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F33293" w14:paraId="5CA554EC" w14:textId="77777777">
        <w:trPr>
          <w:trHeight w:val="852"/>
          <w:jc w:val="center"/>
        </w:trPr>
        <w:tc>
          <w:tcPr>
            <w:tcW w:w="6946" w:type="dxa"/>
            <w:vMerge w:val="restart"/>
            <w:tcBorders>
              <w:right w:val="single" w:sz="4" w:space="0" w:color="auto"/>
            </w:tcBorders>
          </w:tcPr>
          <w:p w14:paraId="4E9ABAB3" w14:textId="77777777" w:rsidR="00F33293" w:rsidRDefault="00F972EC">
            <w:pPr>
              <w:tabs>
                <w:tab w:val="left" w:pos="-108"/>
              </w:tabs>
              <w:ind w:left="-108"/>
              <w:jc w:val="left"/>
              <w:rPr>
                <w:rFonts w:cs="Arial"/>
                <w:b/>
                <w:bCs/>
                <w:i/>
                <w:iCs/>
                <w:color w:val="000066"/>
                <w:sz w:val="12"/>
                <w:szCs w:val="12"/>
                <w:lang w:eastAsia="it-IT"/>
              </w:rPr>
            </w:pPr>
            <w:r>
              <w:rPr>
                <w:rFonts w:ascii="AdvP6960" w:hAnsi="AdvP6960" w:cs="AdvP6960"/>
                <w:noProof/>
                <w:color w:val="241F20"/>
                <w:szCs w:val="18"/>
                <w:lang w:eastAsia="en-GB"/>
              </w:rPr>
              <mc:AlternateContent>
                <mc:Choice Requires="wpg">
                  <w:drawing>
                    <wp:inline distT="0" distB="0" distL="0" distR="0" wp14:anchorId="1B28E301" wp14:editId="0A994B39">
                      <wp:extent cx="640080" cy="373380"/>
                      <wp:effectExtent l="0" t="0" r="7620" b="7620"/>
                      <wp:docPr id="1"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pic:cNvPicPr>
                            </pic:nvPicPr>
                            <pic:blipFill>
                              <a:blip r:embed="rId8"/>
                              <a:stretch/>
                            </pic:blipFill>
                            <pic:spPr bwMode="auto">
                              <a:xfrm>
                                <a:off x="0" y="0"/>
                                <a:ext cx="640080" cy="373380"/>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50.40pt;height:29.40pt;mso-wrap-distance-left:0.00pt;mso-wrap-distance-top:0.00pt;mso-wrap-distance-right:0.00pt;mso-wrap-distance-bottom:0.00pt;z-index:1;" stroked="f">
                      <v:imagedata r:id="rId10" o:title=""/>
                      <o:lock v:ext="edit" rotation="t"/>
                    </v:shape>
                  </w:pict>
                </mc:Fallback>
              </mc:AlternateContent>
            </w:r>
            <w:r>
              <w:rPr>
                <w:rFonts w:ascii="AdvP6960" w:hAnsi="AdvP6960" w:cs="AdvP6960"/>
                <w:color w:val="241F20"/>
                <w:szCs w:val="18"/>
                <w:lang w:eastAsia="it-IT"/>
              </w:rPr>
              <w:t xml:space="preserve"> </w:t>
            </w:r>
            <w:r>
              <w:rPr>
                <w:rFonts w:cs="Arial"/>
                <w:b/>
                <w:bCs/>
                <w:i/>
                <w:iCs/>
                <w:color w:val="000066"/>
                <w:sz w:val="24"/>
                <w:szCs w:val="24"/>
                <w:lang w:eastAsia="it-IT"/>
              </w:rPr>
              <w:t>CHEMICAL ENGINEERING</w:t>
            </w:r>
            <w:r>
              <w:rPr>
                <w:rFonts w:cs="Arial"/>
                <w:b/>
                <w:bCs/>
                <w:i/>
                <w:iCs/>
                <w:color w:val="0033FF"/>
                <w:sz w:val="24"/>
                <w:szCs w:val="24"/>
                <w:lang w:eastAsia="it-IT"/>
              </w:rPr>
              <w:t xml:space="preserve"> </w:t>
            </w:r>
            <w:r>
              <w:rPr>
                <w:rFonts w:cs="Arial"/>
                <w:b/>
                <w:bCs/>
                <w:i/>
                <w:iCs/>
                <w:color w:val="666666"/>
                <w:sz w:val="24"/>
                <w:szCs w:val="24"/>
                <w:lang w:eastAsia="it-IT"/>
              </w:rPr>
              <w:t>TRANSACTIONS</w:t>
            </w:r>
            <w:r>
              <w:rPr>
                <w:color w:val="333333"/>
                <w:sz w:val="24"/>
                <w:szCs w:val="24"/>
                <w:lang w:eastAsia="it-IT"/>
              </w:rPr>
              <w:t xml:space="preserve"> </w:t>
            </w:r>
            <w:r>
              <w:rPr>
                <w:rFonts w:cs="Arial"/>
                <w:b/>
                <w:bCs/>
                <w:i/>
                <w:iCs/>
                <w:color w:val="000066"/>
                <w:sz w:val="27"/>
                <w:szCs w:val="27"/>
                <w:lang w:eastAsia="it-IT"/>
              </w:rPr>
              <w:br/>
            </w:r>
          </w:p>
          <w:p w14:paraId="20F93E7E" w14:textId="77777777" w:rsidR="00F33293" w:rsidRDefault="00F972EC">
            <w:pPr>
              <w:tabs>
                <w:tab w:val="left" w:pos="-108"/>
              </w:tabs>
              <w:ind w:left="-108"/>
              <w:rPr>
                <w:rFonts w:cs="Arial"/>
                <w:b/>
                <w:bCs/>
                <w:i/>
                <w:iCs/>
                <w:color w:val="000066"/>
                <w:sz w:val="22"/>
                <w:szCs w:val="22"/>
                <w:lang w:eastAsia="it-IT"/>
              </w:rPr>
            </w:pPr>
            <w:r>
              <w:rPr>
                <w:rFonts w:cs="Arial"/>
                <w:b/>
                <w:bCs/>
                <w:i/>
                <w:iCs/>
                <w:color w:val="000066"/>
                <w:sz w:val="22"/>
                <w:szCs w:val="22"/>
                <w:lang w:eastAsia="it-IT"/>
              </w:rPr>
              <w:t xml:space="preserve">VOL.   </w:t>
            </w:r>
            <w:proofErr w:type="gramStart"/>
            <w:r>
              <w:rPr>
                <w:rFonts w:cs="Arial"/>
                <w:b/>
                <w:bCs/>
                <w:i/>
                <w:iCs/>
                <w:color w:val="000066"/>
                <w:sz w:val="22"/>
                <w:szCs w:val="22"/>
                <w:lang w:eastAsia="it-IT"/>
              </w:rPr>
              <w:t xml:space="preserve">  ,</w:t>
            </w:r>
            <w:proofErr w:type="gramEnd"/>
            <w:r>
              <w:rPr>
                <w:rFonts w:cs="Arial"/>
                <w:b/>
                <w:bCs/>
                <w:i/>
                <w:iCs/>
                <w:color w:val="000066"/>
                <w:sz w:val="22"/>
                <w:szCs w:val="22"/>
                <w:lang w:eastAsia="it-IT"/>
              </w:rPr>
              <w:t xml:space="preserve"> 2024</w:t>
            </w:r>
          </w:p>
        </w:tc>
        <w:tc>
          <w:tcPr>
            <w:tcW w:w="1843" w:type="dxa"/>
            <w:tcBorders>
              <w:left w:val="single" w:sz="4" w:space="0" w:color="auto"/>
              <w:bottom w:val="none" w:sz="4" w:space="0" w:color="000000"/>
              <w:right w:val="single" w:sz="4" w:space="0" w:color="auto"/>
            </w:tcBorders>
          </w:tcPr>
          <w:p w14:paraId="14DF3CF8" w14:textId="77777777" w:rsidR="00F33293" w:rsidRDefault="00F972EC">
            <w:pPr>
              <w:spacing w:line="140" w:lineRule="atLeast"/>
              <w:jc w:val="right"/>
              <w:rPr>
                <w:rFonts w:cs="Arial"/>
                <w:sz w:val="14"/>
                <w:szCs w:val="14"/>
              </w:rPr>
            </w:pPr>
            <w:r>
              <w:rPr>
                <w:rFonts w:cs="Arial"/>
                <w:sz w:val="14"/>
                <w:szCs w:val="14"/>
              </w:rPr>
              <w:t>A publication of</w:t>
            </w:r>
          </w:p>
          <w:p w14:paraId="5332BDB9" w14:textId="77777777" w:rsidR="00F33293" w:rsidRDefault="00F972EC">
            <w:pPr>
              <w:jc w:val="right"/>
            </w:pPr>
            <w:r>
              <w:rPr>
                <w:noProof/>
                <w:lang w:eastAsia="en-GB"/>
              </w:rPr>
              <mc:AlternateContent>
                <mc:Choice Requires="wpg">
                  <w:drawing>
                    <wp:inline distT="0" distB="0" distL="0" distR="0" wp14:anchorId="35E7837A" wp14:editId="0DABBAE3">
                      <wp:extent cx="670560" cy="358140"/>
                      <wp:effectExtent l="0" t="0" r="0" b="3810"/>
                      <wp:docPr id="2"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pic:cNvPicPr>
                            </pic:nvPicPr>
                            <pic:blipFill>
                              <a:blip r:embed="rId11"/>
                              <a:stretch/>
                            </pic:blipFill>
                            <pic:spPr bwMode="auto">
                              <a:xfrm>
                                <a:off x="0" y="0"/>
                                <a:ext cx="670560" cy="358140"/>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52.80pt;height:28.20pt;mso-wrap-distance-left:0.00pt;mso-wrap-distance-top:0.00pt;mso-wrap-distance-right:0.00pt;mso-wrap-distance-bottom:0.00pt;z-index:1;" stroked="f">
                      <v:imagedata r:id="rId12" o:title=""/>
                      <o:lock v:ext="edit" rotation="t"/>
                    </v:shape>
                  </w:pict>
                </mc:Fallback>
              </mc:AlternateContent>
            </w:r>
          </w:p>
        </w:tc>
      </w:tr>
      <w:tr w:rsidR="00F33293" w14:paraId="3B34210E" w14:textId="77777777">
        <w:trPr>
          <w:trHeight w:val="567"/>
          <w:jc w:val="center"/>
        </w:trPr>
        <w:tc>
          <w:tcPr>
            <w:tcW w:w="6946" w:type="dxa"/>
            <w:vMerge/>
            <w:tcBorders>
              <w:right w:val="single" w:sz="4" w:space="0" w:color="auto"/>
            </w:tcBorders>
          </w:tcPr>
          <w:p w14:paraId="4DB7BF18" w14:textId="77777777" w:rsidR="00F33293" w:rsidRDefault="00F33293">
            <w:pPr>
              <w:tabs>
                <w:tab w:val="left" w:pos="-108"/>
              </w:tabs>
            </w:pPr>
          </w:p>
        </w:tc>
        <w:tc>
          <w:tcPr>
            <w:tcW w:w="1843" w:type="dxa"/>
            <w:tcBorders>
              <w:left w:val="single" w:sz="4" w:space="0" w:color="auto"/>
              <w:bottom w:val="none" w:sz="4" w:space="0" w:color="000000"/>
              <w:right w:val="single" w:sz="4" w:space="0" w:color="auto"/>
            </w:tcBorders>
          </w:tcPr>
          <w:p w14:paraId="1D2AE200" w14:textId="77777777" w:rsidR="00F33293" w:rsidRDefault="00F972EC">
            <w:pPr>
              <w:spacing w:line="140" w:lineRule="atLeast"/>
              <w:jc w:val="right"/>
              <w:rPr>
                <w:rFonts w:cs="Arial"/>
                <w:sz w:val="14"/>
                <w:szCs w:val="14"/>
              </w:rPr>
            </w:pPr>
            <w:r>
              <w:rPr>
                <w:rFonts w:cs="Arial"/>
                <w:sz w:val="14"/>
                <w:szCs w:val="14"/>
              </w:rPr>
              <w:t>The Italian Association</w:t>
            </w:r>
          </w:p>
          <w:p w14:paraId="112CCB28" w14:textId="77777777" w:rsidR="00F33293" w:rsidRDefault="00F972EC">
            <w:pPr>
              <w:spacing w:line="140" w:lineRule="atLeast"/>
              <w:jc w:val="right"/>
              <w:rPr>
                <w:rFonts w:cs="Arial"/>
                <w:sz w:val="14"/>
                <w:szCs w:val="14"/>
              </w:rPr>
            </w:pPr>
            <w:r>
              <w:rPr>
                <w:rFonts w:cs="Arial"/>
                <w:sz w:val="14"/>
                <w:szCs w:val="14"/>
              </w:rPr>
              <w:t>of Chemical Engineering</w:t>
            </w:r>
          </w:p>
          <w:p w14:paraId="7E7A76FF" w14:textId="77777777" w:rsidR="00F33293" w:rsidRDefault="00F972EC">
            <w:pPr>
              <w:spacing w:line="140" w:lineRule="atLeast"/>
              <w:jc w:val="right"/>
              <w:rPr>
                <w:rFonts w:cs="Arial"/>
                <w:sz w:val="13"/>
                <w:szCs w:val="13"/>
              </w:rPr>
            </w:pPr>
            <w:r>
              <w:rPr>
                <w:rFonts w:cs="Arial"/>
                <w:sz w:val="13"/>
                <w:szCs w:val="13"/>
              </w:rPr>
              <w:t>Online at www.cetjournal.it</w:t>
            </w:r>
          </w:p>
        </w:tc>
      </w:tr>
      <w:tr w:rsidR="00F33293" w14:paraId="65D280A1" w14:textId="77777777">
        <w:trPr>
          <w:trHeight w:val="68"/>
          <w:jc w:val="center"/>
        </w:trPr>
        <w:tc>
          <w:tcPr>
            <w:tcW w:w="8789" w:type="dxa"/>
            <w:gridSpan w:val="2"/>
          </w:tcPr>
          <w:p w14:paraId="59E4D8D9" w14:textId="77777777" w:rsidR="00F33293" w:rsidRDefault="00F972EC">
            <w:pPr>
              <w:ind w:left="-107"/>
              <w:outlineLvl w:val="2"/>
              <w:rPr>
                <w:rFonts w:ascii="Tahoma" w:hAnsi="Tahoma" w:cs="Tahoma"/>
                <w:bCs/>
                <w:color w:val="000000"/>
                <w:sz w:val="14"/>
                <w:szCs w:val="14"/>
                <w:lang w:eastAsia="it-IT"/>
              </w:rPr>
            </w:pPr>
            <w:r>
              <w:rPr>
                <w:rFonts w:ascii="Tahoma" w:hAnsi="Tahoma" w:cs="Tahoma"/>
                <w:iCs/>
                <w:color w:val="333333"/>
                <w:sz w:val="14"/>
                <w:szCs w:val="14"/>
                <w:lang w:eastAsia="it-IT"/>
              </w:rPr>
              <w:t>Guest Editors:</w:t>
            </w:r>
            <w:r>
              <w:rPr>
                <w:rFonts w:ascii="Tahoma" w:hAnsi="Tahoma" w:cs="Tahoma"/>
                <w:color w:val="000000"/>
                <w:sz w:val="14"/>
                <w:szCs w:val="14"/>
                <w:shd w:val="clear" w:color="auto" w:fill="FFFFFF"/>
              </w:rPr>
              <w:t xml:space="preserve"> Leonardo </w:t>
            </w:r>
            <w:proofErr w:type="spellStart"/>
            <w:r>
              <w:rPr>
                <w:rFonts w:ascii="Tahoma" w:hAnsi="Tahoma" w:cs="Tahoma"/>
                <w:color w:val="000000"/>
                <w:sz w:val="14"/>
                <w:szCs w:val="14"/>
                <w:shd w:val="clear" w:color="auto" w:fill="FFFFFF"/>
              </w:rPr>
              <w:t>Tognotti</w:t>
            </w:r>
            <w:proofErr w:type="spellEnd"/>
            <w:r>
              <w:rPr>
                <w:rFonts w:ascii="Tahoma" w:hAnsi="Tahoma" w:cs="Tahoma"/>
                <w:color w:val="000000"/>
                <w:sz w:val="14"/>
                <w:szCs w:val="14"/>
                <w:shd w:val="clear" w:color="auto" w:fill="FFFFFF"/>
              </w:rPr>
              <w:t xml:space="preserve">, </w:t>
            </w:r>
            <w:r>
              <w:rPr>
                <w:rFonts w:ascii="Tahoma" w:hAnsi="Tahoma" w:cs="Tahoma"/>
                <w:color w:val="000000"/>
                <w:sz w:val="14"/>
                <w:szCs w:val="14"/>
              </w:rPr>
              <w:t>Rubens Maciel Filho</w:t>
            </w:r>
            <w:r>
              <w:rPr>
                <w:rFonts w:ascii="Tahoma" w:hAnsi="Tahoma" w:cs="Tahoma"/>
                <w:color w:val="000000"/>
                <w:sz w:val="14"/>
                <w:szCs w:val="14"/>
                <w:shd w:val="clear" w:color="auto" w:fill="FFFFFF"/>
              </w:rPr>
              <w:t xml:space="preserve">, </w:t>
            </w:r>
            <w:r>
              <w:rPr>
                <w:rFonts w:ascii="Tahoma" w:hAnsi="Tahoma" w:cs="Tahoma"/>
                <w:color w:val="000000"/>
                <w:sz w:val="14"/>
                <w:szCs w:val="14"/>
              </w:rPr>
              <w:t xml:space="preserve">Viatcheslav </w:t>
            </w:r>
            <w:proofErr w:type="spellStart"/>
            <w:r>
              <w:rPr>
                <w:rFonts w:ascii="Tahoma" w:hAnsi="Tahoma" w:cs="Tahoma"/>
                <w:color w:val="000000"/>
                <w:sz w:val="14"/>
                <w:szCs w:val="14"/>
              </w:rPr>
              <w:t>Kafarov</w:t>
            </w:r>
            <w:proofErr w:type="spellEnd"/>
          </w:p>
          <w:p w14:paraId="3B5FD09A" w14:textId="77777777" w:rsidR="00F33293" w:rsidRDefault="00F972EC">
            <w:pPr>
              <w:tabs>
                <w:tab w:val="left" w:pos="-108"/>
              </w:tabs>
              <w:spacing w:line="140" w:lineRule="atLeast"/>
              <w:ind w:left="-107"/>
              <w:jc w:val="left"/>
            </w:pPr>
            <w:r>
              <w:rPr>
                <w:rFonts w:ascii="Tahoma" w:hAnsi="Tahoma" w:cs="Tahoma"/>
                <w:iCs/>
                <w:color w:val="333333"/>
                <w:sz w:val="14"/>
                <w:szCs w:val="14"/>
                <w:lang w:eastAsia="it-IT"/>
              </w:rPr>
              <w:t xml:space="preserve">Copyright © 2024, AIDIC </w:t>
            </w:r>
            <w:proofErr w:type="spellStart"/>
            <w:r>
              <w:rPr>
                <w:rFonts w:ascii="Tahoma" w:hAnsi="Tahoma" w:cs="Tahoma"/>
                <w:iCs/>
                <w:color w:val="333333"/>
                <w:sz w:val="14"/>
                <w:szCs w:val="14"/>
                <w:lang w:eastAsia="it-IT"/>
              </w:rPr>
              <w:t>Servizi</w:t>
            </w:r>
            <w:proofErr w:type="spellEnd"/>
            <w:r>
              <w:rPr>
                <w:rFonts w:ascii="Tahoma" w:hAnsi="Tahoma" w:cs="Tahoma"/>
                <w:iCs/>
                <w:color w:val="333333"/>
                <w:sz w:val="14"/>
                <w:szCs w:val="14"/>
                <w:lang w:eastAsia="it-IT"/>
              </w:rPr>
              <w:t xml:space="preserve"> </w:t>
            </w:r>
            <w:proofErr w:type="spellStart"/>
            <w:r>
              <w:rPr>
                <w:rFonts w:ascii="Tahoma" w:hAnsi="Tahoma" w:cs="Tahoma"/>
                <w:iCs/>
                <w:color w:val="333333"/>
                <w:sz w:val="14"/>
                <w:szCs w:val="14"/>
                <w:lang w:eastAsia="it-IT"/>
              </w:rPr>
              <w:t>S.r.l</w:t>
            </w:r>
            <w:proofErr w:type="spellEnd"/>
            <w:r>
              <w:rPr>
                <w:rFonts w:ascii="Tahoma" w:hAnsi="Tahoma" w:cs="Tahoma"/>
                <w:iCs/>
                <w:color w:val="333333"/>
                <w:sz w:val="14"/>
                <w:szCs w:val="14"/>
                <w:lang w:eastAsia="it-IT"/>
              </w:rPr>
              <w:t>.</w:t>
            </w:r>
            <w:r>
              <w:rPr>
                <w:rFonts w:ascii="Tahoma" w:hAnsi="Tahoma" w:cs="Tahoma"/>
                <w:iCs/>
                <w:color w:val="333333"/>
                <w:sz w:val="14"/>
                <w:szCs w:val="14"/>
                <w:lang w:eastAsia="it-IT"/>
              </w:rPr>
              <w:br/>
            </w:r>
            <w:r>
              <w:rPr>
                <w:rFonts w:ascii="Tahoma" w:hAnsi="Tahoma" w:cs="Tahoma"/>
                <w:b/>
                <w:iCs/>
                <w:color w:val="000000"/>
                <w:sz w:val="14"/>
                <w:szCs w:val="14"/>
                <w:lang w:eastAsia="it-IT"/>
              </w:rPr>
              <w:t>ISBN</w:t>
            </w:r>
            <w:r>
              <w:rPr>
                <w:rFonts w:ascii="Tahoma" w:hAnsi="Tahoma" w:cs="Tahoma"/>
                <w:iCs/>
                <w:color w:val="000000"/>
                <w:sz w:val="14"/>
                <w:szCs w:val="14"/>
                <w:lang w:eastAsia="it-IT"/>
              </w:rPr>
              <w:t xml:space="preserve"> </w:t>
            </w:r>
            <w:r>
              <w:rPr>
                <w:rFonts w:ascii="Tahoma" w:hAnsi="Tahoma" w:cs="Tahoma"/>
                <w:sz w:val="14"/>
                <w:szCs w:val="14"/>
              </w:rPr>
              <w:t>979-12-81206-09-0</w:t>
            </w:r>
            <w:r>
              <w:rPr>
                <w:rFonts w:ascii="Tahoma" w:hAnsi="Tahoma" w:cs="Tahoma"/>
                <w:iCs/>
                <w:color w:val="333333"/>
                <w:sz w:val="14"/>
                <w:szCs w:val="14"/>
                <w:lang w:eastAsia="it-IT"/>
              </w:rPr>
              <w:t xml:space="preserve">; </w:t>
            </w:r>
            <w:r>
              <w:rPr>
                <w:rFonts w:ascii="Tahoma" w:hAnsi="Tahoma" w:cs="Tahoma"/>
                <w:b/>
                <w:iCs/>
                <w:color w:val="333333"/>
                <w:sz w:val="14"/>
                <w:szCs w:val="14"/>
                <w:lang w:eastAsia="it-IT"/>
              </w:rPr>
              <w:t>ISSN</w:t>
            </w:r>
            <w:r>
              <w:rPr>
                <w:rFonts w:ascii="Tahoma" w:hAnsi="Tahoma" w:cs="Tahoma"/>
                <w:iCs/>
                <w:color w:val="333333"/>
                <w:sz w:val="14"/>
                <w:szCs w:val="14"/>
                <w:lang w:eastAsia="it-IT"/>
              </w:rPr>
              <w:t xml:space="preserve"> 2283-9216</w:t>
            </w:r>
          </w:p>
        </w:tc>
      </w:tr>
    </w:tbl>
    <w:p w14:paraId="579D94C7" w14:textId="77777777" w:rsidR="00F33293" w:rsidRDefault="00F972EC">
      <w:pPr>
        <w:pStyle w:val="CETTitle"/>
      </w:pPr>
      <w:r>
        <w:t xml:space="preserve">Molecular Simulation of Hydrothermal Gasification of Digestate Sludge with Copper Catalyst Addition </w:t>
      </w:r>
    </w:p>
    <w:p w14:paraId="53616C89" w14:textId="77777777" w:rsidR="00F33293" w:rsidRDefault="00F972EC">
      <w:pPr>
        <w:pStyle w:val="CETAuthors"/>
        <w:jc w:val="center"/>
        <w:rPr>
          <w:vertAlign w:val="superscript"/>
        </w:rPr>
      </w:pPr>
      <w:r>
        <w:t xml:space="preserve">Do Tuong </w:t>
      </w:r>
      <w:proofErr w:type="spellStart"/>
      <w:r>
        <w:t>Ha</w:t>
      </w:r>
      <w:r>
        <w:rPr>
          <w:vertAlign w:val="superscript"/>
        </w:rPr>
        <w:t>a</w:t>
      </w:r>
      <w:proofErr w:type="spellEnd"/>
      <w:r>
        <w:t>, Hien Duy Tong</w:t>
      </w:r>
      <w:r>
        <w:rPr>
          <w:vertAlign w:val="superscript"/>
        </w:rPr>
        <w:t>b</w:t>
      </w:r>
      <w:r>
        <w:t xml:space="preserve">, Khanh-Quang </w:t>
      </w:r>
      <w:proofErr w:type="spellStart"/>
      <w:proofErr w:type="gramStart"/>
      <w:r>
        <w:t>Tran</w:t>
      </w:r>
      <w:r>
        <w:rPr>
          <w:vertAlign w:val="superscript"/>
        </w:rPr>
        <w:t>c</w:t>
      </w:r>
      <w:proofErr w:type="spellEnd"/>
      <w:r>
        <w:rPr>
          <w:vertAlign w:val="superscript"/>
        </w:rPr>
        <w:t>,*</w:t>
      </w:r>
      <w:proofErr w:type="gramEnd"/>
      <w:r>
        <w:t xml:space="preserve">, Thuat T. </w:t>
      </w:r>
      <w:proofErr w:type="spellStart"/>
      <w:r>
        <w:t>Trinh</w:t>
      </w:r>
      <w:r>
        <w:rPr>
          <w:vertAlign w:val="superscript"/>
        </w:rPr>
        <w:t>d</w:t>
      </w:r>
      <w:proofErr w:type="spellEnd"/>
      <w:r>
        <w:rPr>
          <w:vertAlign w:val="superscript"/>
        </w:rPr>
        <w:t>,*</w:t>
      </w:r>
    </w:p>
    <w:p w14:paraId="5B8DA03B" w14:textId="77777777" w:rsidR="00F33293" w:rsidRDefault="00F972EC">
      <w:pPr>
        <w:pStyle w:val="CETAddress"/>
      </w:pPr>
      <w:proofErr w:type="spellStart"/>
      <w:r>
        <w:rPr>
          <w:vertAlign w:val="superscript"/>
        </w:rPr>
        <w:t>a</w:t>
      </w:r>
      <w:r>
        <w:t>Faculty</w:t>
      </w:r>
      <w:proofErr w:type="spellEnd"/>
      <w:r>
        <w:t xml:space="preserve"> of Applied Sciences, Ton Duc Thang University, Ho Chi Minh city, Vietnam </w:t>
      </w:r>
    </w:p>
    <w:p w14:paraId="6348D6D1" w14:textId="77777777" w:rsidR="00F33293" w:rsidRDefault="00F972EC">
      <w:pPr>
        <w:pStyle w:val="CETAddress"/>
      </w:pPr>
      <w:proofErr w:type="spellStart"/>
      <w:r>
        <w:rPr>
          <w:vertAlign w:val="superscript"/>
        </w:rPr>
        <w:t>b</w:t>
      </w:r>
      <w:r>
        <w:t>Faculty</w:t>
      </w:r>
      <w:proofErr w:type="spellEnd"/>
      <w:r>
        <w:t xml:space="preserve"> of Engineering, Vietnamese-German University (VGU), Thu Dau Mot City, Binh Duong Province, Vietnam </w:t>
      </w:r>
    </w:p>
    <w:p w14:paraId="7C65F287" w14:textId="77777777" w:rsidR="00F33293" w:rsidRDefault="00F972EC">
      <w:pPr>
        <w:pStyle w:val="CETAddress"/>
      </w:pPr>
      <w:proofErr w:type="spellStart"/>
      <w:r>
        <w:rPr>
          <w:vertAlign w:val="superscript"/>
        </w:rPr>
        <w:t>c</w:t>
      </w:r>
      <w:r>
        <w:t>Department</w:t>
      </w:r>
      <w:proofErr w:type="spellEnd"/>
      <w:r>
        <w:t xml:space="preserve"> of Energy and Process Engineering, Norwegian University of Science and Technology - NTNU, Norway </w:t>
      </w:r>
    </w:p>
    <w:p w14:paraId="6E1626BE" w14:textId="77777777" w:rsidR="00F33293" w:rsidRDefault="00F972EC">
      <w:pPr>
        <w:pStyle w:val="CETAddress"/>
      </w:pPr>
      <w:proofErr w:type="spellStart"/>
      <w:r>
        <w:rPr>
          <w:vertAlign w:val="superscript"/>
        </w:rPr>
        <w:t>d</w:t>
      </w:r>
      <w:r>
        <w:t>Porelab</w:t>
      </w:r>
      <w:proofErr w:type="spellEnd"/>
      <w:r>
        <w:t xml:space="preserve">, Department of Chemistry, Norwegian University of Science and Technology - NTNU, Norway </w:t>
      </w:r>
    </w:p>
    <w:p w14:paraId="62D9310C" w14:textId="77777777" w:rsidR="00F33293" w:rsidRDefault="00F972EC">
      <w:pPr>
        <w:pStyle w:val="CETemail"/>
      </w:pPr>
      <w:r>
        <w:t xml:space="preserve">* </w:t>
      </w:r>
      <w:hyperlink r:id="rId13" w:tooltip="mailto:khanh-quang.tran@ntnu.no" w:history="1">
        <w:r>
          <w:rPr>
            <w:rStyle w:val="Hyperlink"/>
          </w:rPr>
          <w:t>khanh-quang.tran@ntnu.no</w:t>
        </w:r>
      </w:hyperlink>
      <w:r>
        <w:t xml:space="preserve">; </w:t>
      </w:r>
      <w:hyperlink r:id="rId14" w:tooltip="mailto:thuat.trinh@ntnu.no" w:history="1">
        <w:r>
          <w:rPr>
            <w:rStyle w:val="Hyperlink"/>
          </w:rPr>
          <w:t>thuat.trinh@ntnu.no</w:t>
        </w:r>
      </w:hyperlink>
      <w:r>
        <w:t xml:space="preserve"> </w:t>
      </w:r>
    </w:p>
    <w:p w14:paraId="413B7419" w14:textId="5028139A" w:rsidR="00F33293" w:rsidRDefault="00F972EC">
      <w:pPr>
        <w:pStyle w:val="CETBodytext"/>
      </w:pPr>
      <w:r>
        <w:t xml:space="preserve">Hydrothermal gasification (HTG) has emerged as a promising technology for converting wet </w:t>
      </w:r>
      <w:r w:rsidR="002578DE">
        <w:t xml:space="preserve">and </w:t>
      </w:r>
      <w:proofErr w:type="gramStart"/>
      <w:r w:rsidR="002578DE">
        <w:t>low cost</w:t>
      </w:r>
      <w:proofErr w:type="gramEnd"/>
      <w:r w:rsidR="002578DE">
        <w:t xml:space="preserve"> biomass and organic waste resources</w:t>
      </w:r>
      <w:r>
        <w:t xml:space="preserve"> to valuable fuel gases including hydrogen and methane. </w:t>
      </w:r>
      <w:r w:rsidR="002578DE">
        <w:t xml:space="preserve">In this study, </w:t>
      </w:r>
      <w:r>
        <w:t>hydrothermal gasification of digestate sludge, a promising approach for waste management and energy recovery</w:t>
      </w:r>
      <w:r w:rsidR="002578DE">
        <w:t xml:space="preserve"> from biogas plants</w:t>
      </w:r>
      <w:r>
        <w:t>, is investigated through molecular simulations. Copper catalyst addition is explored to enhance the process</w:t>
      </w:r>
      <w:r w:rsidR="007E5CA3">
        <w:t xml:space="preserve"> conversion</w:t>
      </w:r>
      <w:r>
        <w:t xml:space="preserve"> efficiency. The results reveal significant improvements in gas yield and conversion rates upon copper nanoparticle catalyst </w:t>
      </w:r>
      <w:r w:rsidR="0092169B">
        <w:t>addition</w:t>
      </w:r>
      <w:r>
        <w:t xml:space="preserve">. This work </w:t>
      </w:r>
      <w:r w:rsidR="00094B44">
        <w:t xml:space="preserve">also </w:t>
      </w:r>
      <w:r>
        <w:t>sheds light on the</w:t>
      </w:r>
      <w:r w:rsidR="00094B44">
        <w:t xml:space="preserve"> </w:t>
      </w:r>
      <w:r w:rsidR="00A26237">
        <w:t>catalyst aging</w:t>
      </w:r>
      <w:r>
        <w:t xml:space="preserve"> mechanisms</w:t>
      </w:r>
      <w:r w:rsidR="00094B44">
        <w:t xml:space="preserve"> </w:t>
      </w:r>
      <w:r>
        <w:t xml:space="preserve">and offers valuable insights into optimizing hydrothermal gasification conditions for digestate sludge treatment, contributing to sustainable waste management practices and renewable energy generation. </w:t>
      </w:r>
    </w:p>
    <w:p w14:paraId="20E1BBA6" w14:textId="77777777" w:rsidR="00F33293" w:rsidRDefault="00F33293">
      <w:pPr>
        <w:pStyle w:val="CETBodytext"/>
      </w:pPr>
    </w:p>
    <w:p w14:paraId="0EE89D9C" w14:textId="77777777" w:rsidR="00F33293" w:rsidRDefault="00F972EC">
      <w:pPr>
        <w:pStyle w:val="CETHeading1"/>
        <w:rPr>
          <w:lang w:val="en-GB"/>
        </w:rPr>
      </w:pPr>
      <w:r>
        <w:rPr>
          <w:lang w:val="en-GB"/>
        </w:rPr>
        <w:t>Introduction</w:t>
      </w:r>
    </w:p>
    <w:p w14:paraId="0CF31608" w14:textId="77777777" w:rsidR="00F33293" w:rsidRDefault="00F33293">
      <w:pPr>
        <w:pStyle w:val="CETBodytext"/>
        <w:rPr>
          <w:lang w:val="en-GB"/>
        </w:rPr>
      </w:pPr>
    </w:p>
    <w:p w14:paraId="64A0F8C3" w14:textId="6680DC43" w:rsidR="00F33293" w:rsidRDefault="00F972EC">
      <w:pPr>
        <w:pStyle w:val="CETBodytext"/>
        <w:rPr>
          <w:lang w:val="en-GB"/>
        </w:rPr>
      </w:pPr>
      <w:r>
        <w:rPr>
          <w:lang w:val="en-GB"/>
        </w:rPr>
        <w:t xml:space="preserve">Digestate sludge originates from anaerobic digestion (AD) processes in wastewater treatment plants, where microorganisms break down organic materials without oxygen to produce combustible gas mixtures containing primarily methane and carbon dioxide (Li et al., 2011). The resulting digestate contains non-digestible matter and valuable nutrients such as nitrogen and phosphorus, making it suitable for agricultural use (Mata-Alvarez et al., 2014). However, challenges associated with digestate sludge include its variability in composition due to factors like feedstock type and </w:t>
      </w:r>
      <w:r w:rsidR="003B5377">
        <w:rPr>
          <w:lang w:val="en-GB"/>
        </w:rPr>
        <w:t>pre-treatment</w:t>
      </w:r>
      <w:r>
        <w:rPr>
          <w:lang w:val="en-GB"/>
        </w:rPr>
        <w:t xml:space="preserve"> methods used during anaerobic digestion (Nkoa, 2013), as well as potential risks linked to contaminants such as heavy metals and pathogens (Verstraete </w:t>
      </w:r>
      <w:r w:rsidR="00CE0B23">
        <w:rPr>
          <w:lang w:val="en-GB"/>
        </w:rPr>
        <w:t xml:space="preserve">et al. </w:t>
      </w:r>
      <w:r>
        <w:rPr>
          <w:lang w:val="en-GB"/>
        </w:rPr>
        <w:t xml:space="preserve">2011). Consequently, researchers are exploring alternative ways to effectively utilize digestate sludge, including </w:t>
      </w:r>
      <w:r w:rsidR="00CF047B">
        <w:rPr>
          <w:lang w:val="en-GB"/>
        </w:rPr>
        <w:t>HTG</w:t>
      </w:r>
      <w:r>
        <w:rPr>
          <w:lang w:val="en-GB"/>
        </w:rPr>
        <w:t>.</w:t>
      </w:r>
      <w:r w:rsidR="007E5CA3" w:rsidRPr="007E5CA3">
        <w:rPr>
          <w:lang w:val="en-GB"/>
        </w:rPr>
        <w:t xml:space="preserve"> </w:t>
      </w:r>
      <w:r w:rsidR="007E5CA3">
        <w:rPr>
          <w:lang w:val="en-GB"/>
        </w:rPr>
        <w:t>Optimization of biomass conversion, like HTG of digestate sludge, is crucial for sustainable waste-to-energy technologies (</w:t>
      </w:r>
      <w:r w:rsidR="007E5CA3" w:rsidRPr="00D665BF">
        <w:rPr>
          <w:lang w:val="en-GB"/>
        </w:rPr>
        <w:t xml:space="preserve">Verstraete </w:t>
      </w:r>
      <w:r w:rsidR="007E5CA3">
        <w:rPr>
          <w:lang w:val="en-GB"/>
        </w:rPr>
        <w:t>et al., 2011; Zhang et al., 2010; Tran et al., 2020; Mahmoodinia et al., 2017).</w:t>
      </w:r>
    </w:p>
    <w:p w14:paraId="0E74321A" w14:textId="77777777" w:rsidR="00F33293" w:rsidRDefault="00F33293">
      <w:pPr>
        <w:pStyle w:val="CETBodytext"/>
        <w:rPr>
          <w:lang w:val="en-GB"/>
        </w:rPr>
      </w:pPr>
    </w:p>
    <w:p w14:paraId="7BB70512" w14:textId="01ABE545" w:rsidR="00F33293" w:rsidRPr="00FD7E8E" w:rsidRDefault="00CF047B">
      <w:pPr>
        <w:pStyle w:val="CETBodytext"/>
        <w:rPr>
          <w:lang w:val="en-GB"/>
        </w:rPr>
      </w:pPr>
      <w:r>
        <w:rPr>
          <w:lang w:val="en-GB"/>
        </w:rPr>
        <w:t xml:space="preserve">HTG is a process that occurs in supercritical water, typically at temperatures ranging between 500-700°C and corresponding pressures. </w:t>
      </w:r>
      <w:r w:rsidR="0098423C">
        <w:rPr>
          <w:lang w:val="en-GB"/>
        </w:rPr>
        <w:t xml:space="preserve">The use of water as the reaction medium renders HTG highly compatible with the </w:t>
      </w:r>
      <w:proofErr w:type="spellStart"/>
      <w:r w:rsidR="0098423C">
        <w:rPr>
          <w:lang w:val="en-GB"/>
        </w:rPr>
        <w:t>valorization</w:t>
      </w:r>
      <w:proofErr w:type="spellEnd"/>
      <w:r w:rsidR="0098423C">
        <w:rPr>
          <w:lang w:val="en-GB"/>
        </w:rPr>
        <w:t xml:space="preserve"> of wet feedstock such as digestate sludge (</w:t>
      </w:r>
      <w:proofErr w:type="spellStart"/>
      <w:r w:rsidR="0098423C">
        <w:rPr>
          <w:lang w:val="en-GB"/>
        </w:rPr>
        <w:t>Promdej</w:t>
      </w:r>
      <w:proofErr w:type="spellEnd"/>
      <w:r w:rsidR="0098423C">
        <w:rPr>
          <w:lang w:val="en-GB"/>
        </w:rPr>
        <w:t xml:space="preserve"> &amp; Matsumura, 2011). Due to its potential for generating hydrogen-rich syngas with reduced environmental impact compared to conventional gasification methods, HTG has significant potential. </w:t>
      </w:r>
      <w:r w:rsidR="00FD7E8E">
        <w:rPr>
          <w:lang w:val="en-GB"/>
        </w:rPr>
        <w:t>Using c</w:t>
      </w:r>
      <w:r>
        <w:rPr>
          <w:lang w:val="en-GB"/>
        </w:rPr>
        <w:t>atalysts play</w:t>
      </w:r>
      <w:r w:rsidR="00415C31">
        <w:rPr>
          <w:lang w:val="en-GB"/>
        </w:rPr>
        <w:t>s</w:t>
      </w:r>
      <w:r>
        <w:rPr>
          <w:lang w:val="en-GB"/>
        </w:rPr>
        <w:t xml:space="preserve"> a crucial role in optimizing </w:t>
      </w:r>
      <w:r w:rsidR="00FD7E8E">
        <w:rPr>
          <w:lang w:val="en-GB"/>
        </w:rPr>
        <w:t xml:space="preserve">HTG </w:t>
      </w:r>
      <w:r w:rsidR="00415C31">
        <w:rPr>
          <w:lang w:val="en-GB"/>
        </w:rPr>
        <w:t xml:space="preserve">reaction conditions, </w:t>
      </w:r>
      <w:r>
        <w:rPr>
          <w:lang w:val="en-GB"/>
        </w:rPr>
        <w:t>lowering the gasification temperature and pressure, as well as modulating product selectivity (</w:t>
      </w:r>
      <w:r w:rsidR="00CC17C1">
        <w:rPr>
          <w:lang w:val="en-GB"/>
        </w:rPr>
        <w:t>Arregi et al</w:t>
      </w:r>
      <w:r>
        <w:rPr>
          <w:lang w:val="en-GB"/>
        </w:rPr>
        <w:t>., 20</w:t>
      </w:r>
      <w:r w:rsidR="00CC17C1">
        <w:rPr>
          <w:lang w:val="en-GB"/>
        </w:rPr>
        <w:t xml:space="preserve">18; Guo et al., </w:t>
      </w:r>
      <w:proofErr w:type="gramStart"/>
      <w:r w:rsidR="00CC17C1">
        <w:rPr>
          <w:lang w:val="en-GB"/>
        </w:rPr>
        <w:t>2010</w:t>
      </w:r>
      <w:r w:rsidR="00236963">
        <w:rPr>
          <w:lang w:val="en-GB"/>
        </w:rPr>
        <w:t xml:space="preserve"> </w:t>
      </w:r>
      <w:r>
        <w:rPr>
          <w:lang w:val="en-GB"/>
        </w:rPr>
        <w:t>)</w:t>
      </w:r>
      <w:proofErr w:type="gramEnd"/>
      <w:r>
        <w:rPr>
          <w:lang w:val="en-GB"/>
        </w:rPr>
        <w:t>. Copper-based catalysts have been widely studied for their effectiveness in improving the conversion of biomass to syngas during HTG</w:t>
      </w:r>
      <w:r w:rsidR="00ED1AA6">
        <w:rPr>
          <w:lang w:val="en-GB"/>
        </w:rPr>
        <w:t xml:space="preserve"> (Guo et al., 2010)</w:t>
      </w:r>
      <w:r>
        <w:rPr>
          <w:lang w:val="en-GB"/>
        </w:rPr>
        <w:t>. Another important aspect of using catalysts in HTG is their potential impact on the overall economics of the process</w:t>
      </w:r>
      <w:r w:rsidRPr="00B21CE3">
        <w:rPr>
          <w:lang w:val="en-GB"/>
        </w:rPr>
        <w:t xml:space="preserve">. </w:t>
      </w:r>
      <w:r w:rsidR="00415C31" w:rsidRPr="00B21CE3">
        <w:rPr>
          <w:lang w:val="en-GB"/>
        </w:rPr>
        <w:t>It is because, b</w:t>
      </w:r>
      <w:r w:rsidRPr="00B21CE3">
        <w:rPr>
          <w:lang w:val="en-GB"/>
        </w:rPr>
        <w:t>y</w:t>
      </w:r>
      <w:r>
        <w:rPr>
          <w:lang w:val="en-GB"/>
        </w:rPr>
        <w:t xml:space="preserve"> lowering the temperature and pressure required for gasification, catalysts can contribute to cost savings and reduced energy consumption. This is particularly relevant when considering large-scale implementation of HTG technologies for waste management or renewable energy production (Nkoa, 2013).</w:t>
      </w:r>
    </w:p>
    <w:p w14:paraId="374A7249" w14:textId="77777777" w:rsidR="00F33293" w:rsidRDefault="00F33293">
      <w:pPr>
        <w:pStyle w:val="CETBodytext"/>
      </w:pPr>
    </w:p>
    <w:p w14:paraId="3E0F1FFA" w14:textId="6BCEDA40" w:rsidR="00F33293" w:rsidRDefault="00F972EC">
      <w:pPr>
        <w:pStyle w:val="CETBodytext"/>
        <w:rPr>
          <w:lang w:val="en-GB"/>
        </w:rPr>
      </w:pPr>
      <w:r>
        <w:rPr>
          <w:lang w:val="en-GB"/>
        </w:rPr>
        <w:lastRenderedPageBreak/>
        <w:t>In this paper, Reactive force field (</w:t>
      </w:r>
      <w:proofErr w:type="spellStart"/>
      <w:r>
        <w:rPr>
          <w:lang w:val="en-GB"/>
        </w:rPr>
        <w:t>ReaxFF</w:t>
      </w:r>
      <w:proofErr w:type="spellEnd"/>
      <w:r>
        <w:rPr>
          <w:lang w:val="en-GB"/>
        </w:rPr>
        <w:t xml:space="preserve">) is utilized for investigating the </w:t>
      </w:r>
      <w:r w:rsidR="00CF047B">
        <w:rPr>
          <w:lang w:val="en-GB"/>
        </w:rPr>
        <w:t>HTG</w:t>
      </w:r>
      <w:r>
        <w:rPr>
          <w:lang w:val="en-GB"/>
        </w:rPr>
        <w:t xml:space="preserve"> of digestate sludge. By employing </w:t>
      </w:r>
      <w:proofErr w:type="spellStart"/>
      <w:r>
        <w:rPr>
          <w:lang w:val="en-GB"/>
        </w:rPr>
        <w:t>ReaxFF</w:t>
      </w:r>
      <w:proofErr w:type="spellEnd"/>
      <w:r>
        <w:rPr>
          <w:lang w:val="en-GB"/>
        </w:rPr>
        <w:t xml:space="preserve"> simulations, researchers can </w:t>
      </w:r>
      <w:proofErr w:type="spellStart"/>
      <w:r>
        <w:rPr>
          <w:lang w:val="en-GB"/>
        </w:rPr>
        <w:t>analyze</w:t>
      </w:r>
      <w:proofErr w:type="spellEnd"/>
      <w:r>
        <w:rPr>
          <w:lang w:val="en-GB"/>
        </w:rPr>
        <w:t xml:space="preserve"> the molecular-level interactions between the digestate sludge </w:t>
      </w:r>
      <w:r w:rsidR="00415C31">
        <w:rPr>
          <w:lang w:val="en-GB"/>
        </w:rPr>
        <w:t>components and the copper nano</w:t>
      </w:r>
      <w:r>
        <w:rPr>
          <w:lang w:val="en-GB"/>
        </w:rPr>
        <w:t xml:space="preserve">particle catalyst, as well as explore the impact of </w:t>
      </w:r>
      <w:r w:rsidR="00ED1AA6">
        <w:rPr>
          <w:lang w:val="en-GB"/>
        </w:rPr>
        <w:t>catalyst</w:t>
      </w:r>
      <w:r>
        <w:rPr>
          <w:lang w:val="en-GB"/>
        </w:rPr>
        <w:t xml:space="preserve"> on gas yield </w:t>
      </w:r>
      <w:r w:rsidR="00ED1AA6">
        <w:rPr>
          <w:lang w:val="en-GB"/>
        </w:rPr>
        <w:t>and composition products</w:t>
      </w:r>
      <w:r>
        <w:rPr>
          <w:lang w:val="en-GB"/>
        </w:rPr>
        <w:t xml:space="preserve">. This computational approach allows for a deeper understanding of the underlying reaction mechanisms and provides valuable guidance for optimizing </w:t>
      </w:r>
      <w:r w:rsidR="00CF047B">
        <w:rPr>
          <w:lang w:val="en-GB"/>
        </w:rPr>
        <w:t>HTG</w:t>
      </w:r>
      <w:r>
        <w:rPr>
          <w:lang w:val="en-GB"/>
        </w:rPr>
        <w:t xml:space="preserve"> conditions, ultimately contributing to more efficient waste management practices and renewable energy generation.</w:t>
      </w:r>
    </w:p>
    <w:p w14:paraId="654AA245" w14:textId="77777777" w:rsidR="00F33293" w:rsidRDefault="00F33293">
      <w:pPr>
        <w:pStyle w:val="CETBodytext"/>
        <w:rPr>
          <w:lang w:val="en-GB"/>
        </w:rPr>
      </w:pPr>
    </w:p>
    <w:p w14:paraId="7B4012D8" w14:textId="77777777" w:rsidR="00F33293" w:rsidRDefault="00F972EC">
      <w:pPr>
        <w:pStyle w:val="CETHeading1"/>
      </w:pPr>
      <w:r>
        <w:t>Models and methods</w:t>
      </w:r>
    </w:p>
    <w:p w14:paraId="641FEA3E" w14:textId="648B8EDE" w:rsidR="00F33293" w:rsidRDefault="00F972EC">
      <w:pPr>
        <w:pStyle w:val="CETBodytext"/>
      </w:pPr>
      <w:r>
        <w:t xml:space="preserve">In this study, we investigated the </w:t>
      </w:r>
      <w:r w:rsidR="00CF047B">
        <w:t>HTG</w:t>
      </w:r>
      <w:r>
        <w:t xml:space="preserve"> of digestate sludge using molecular simulations. Three simple model compounds were chosen for investigation: aspirin (acetylsalicylic acid), </w:t>
      </w:r>
      <w:proofErr w:type="spellStart"/>
      <w:r>
        <w:t>xylylenediamine</w:t>
      </w:r>
      <w:proofErr w:type="spellEnd"/>
      <w:r>
        <w:t xml:space="preserve">, and </w:t>
      </w:r>
      <w:proofErr w:type="spellStart"/>
      <w:r>
        <w:t>sacrylamide</w:t>
      </w:r>
      <w:proofErr w:type="spellEnd"/>
      <w:r>
        <w:t xml:space="preserve">. These representative model compounds were selected as they are present in digestate sludge solutions (He et al., 2022). Figure 1 shows the initial system containing Cu nanoparticle (Cu-NP) of a size of 4 nm and the three </w:t>
      </w:r>
      <w:r w:rsidR="00E135BB">
        <w:t xml:space="preserve">model </w:t>
      </w:r>
      <w:r>
        <w:t>components.</w:t>
      </w:r>
    </w:p>
    <w:p w14:paraId="376A3D71" w14:textId="77777777" w:rsidR="00F33293" w:rsidRDefault="00F33293">
      <w:pPr>
        <w:pStyle w:val="CETBodytext"/>
      </w:pPr>
    </w:p>
    <w:p w14:paraId="01C3E7A1" w14:textId="77777777" w:rsidR="00F33293" w:rsidRDefault="00F33293">
      <w:pPr>
        <w:pStyle w:val="CETBodytext"/>
      </w:pPr>
    </w:p>
    <w:p w14:paraId="5399BB37" w14:textId="77777777" w:rsidR="00F33293" w:rsidRDefault="00F972EC">
      <w:pPr>
        <w:pStyle w:val="CETBodytext"/>
        <w:jc w:val="center"/>
      </w:pPr>
      <w:r>
        <w:rPr>
          <w:noProof/>
          <w:lang w:val="en-GB" w:eastAsia="en-GB"/>
        </w:rPr>
        <mc:AlternateContent>
          <mc:Choice Requires="wpg">
            <w:drawing>
              <wp:inline distT="0" distB="0" distL="0" distR="0" wp14:anchorId="102D4898" wp14:editId="3446B68D">
                <wp:extent cx="3240550" cy="2821577"/>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470492" name=""/>
                        <pic:cNvPicPr>
                          <a:picLocks noChangeAspect="1"/>
                        </pic:cNvPicPr>
                      </pic:nvPicPr>
                      <pic:blipFill>
                        <a:blip r:embed="rId15"/>
                        <a:srcRect t="12228" b="5247"/>
                        <a:stretch/>
                      </pic:blipFill>
                      <pic:spPr bwMode="auto">
                        <a:xfrm>
                          <a:off x="0" y="0"/>
                          <a:ext cx="3253240" cy="2832627"/>
                        </a:xfrm>
                        <a:prstGeom prst="rect">
                          <a:avLst/>
                        </a:prstGeom>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255.16pt;height:222.17pt;mso-wrap-distance-left:0.00pt;mso-wrap-distance-top:0.00pt;mso-wrap-distance-right:0.00pt;mso-wrap-distance-bottom:0.00pt;z-index:1;" stroked="f">
                <v:imagedata r:id="rId18" o:title=""/>
                <o:lock v:ext="edit" rotation="t"/>
              </v:shape>
            </w:pict>
          </mc:Fallback>
        </mc:AlternateContent>
      </w:r>
    </w:p>
    <w:p w14:paraId="4BB021DF" w14:textId="7FC0736C" w:rsidR="00F33293" w:rsidRDefault="00F972EC">
      <w:pPr>
        <w:pStyle w:val="CETCaption"/>
        <w:jc w:val="center"/>
        <w:rPr>
          <w:lang w:val="en-US"/>
        </w:rPr>
      </w:pPr>
      <w:r>
        <w:rPr>
          <w:lang w:val="en-US"/>
        </w:rPr>
        <w:t xml:space="preserve">Figure 1: A model </w:t>
      </w:r>
      <w:r w:rsidR="00CB459B">
        <w:rPr>
          <w:lang w:val="en-US"/>
        </w:rPr>
        <w:t xml:space="preserve">of </w:t>
      </w:r>
      <w:r>
        <w:rPr>
          <w:lang w:val="en-US"/>
        </w:rPr>
        <w:t xml:space="preserve">digestate sludge with copper nanoparticle (Cu-NP) catalyst used in </w:t>
      </w:r>
      <w:proofErr w:type="spellStart"/>
      <w:r>
        <w:rPr>
          <w:lang w:val="en-US"/>
        </w:rPr>
        <w:t>ReaxFF</w:t>
      </w:r>
      <w:proofErr w:type="spellEnd"/>
      <w:r>
        <w:rPr>
          <w:lang w:val="en-US"/>
        </w:rPr>
        <w:t xml:space="preserve"> MD simulation of HTG process. </w:t>
      </w:r>
      <w:proofErr w:type="gramStart"/>
      <w:r>
        <w:rPr>
          <w:lang w:val="en-US"/>
        </w:rPr>
        <w:t>The color yellow</w:t>
      </w:r>
      <w:proofErr w:type="gramEnd"/>
      <w:r>
        <w:rPr>
          <w:lang w:val="en-US"/>
        </w:rPr>
        <w:t xml:space="preserve">, green, blue, red and white </w:t>
      </w:r>
      <w:r w:rsidR="004F76DA">
        <w:rPr>
          <w:lang w:val="en-US"/>
        </w:rPr>
        <w:t>represent</w:t>
      </w:r>
      <w:r>
        <w:rPr>
          <w:lang w:val="en-US"/>
        </w:rPr>
        <w:t xml:space="preserve"> Cu, C, N, O, and H, respectively. </w:t>
      </w:r>
    </w:p>
    <w:p w14:paraId="3F104047" w14:textId="77777777" w:rsidR="00F33293" w:rsidRDefault="00F972EC">
      <w:pPr>
        <w:pStyle w:val="CETBodytext"/>
      </w:pPr>
      <w:proofErr w:type="spellStart"/>
      <w:r>
        <w:t>ReaxFF</w:t>
      </w:r>
      <w:proofErr w:type="spellEnd"/>
      <w:r>
        <w:t xml:space="preserve"> (Reactive Force Field) is a bond-order based force field method used for molecular dynamics simulations of chemical reactions processes. It was developed to overcome the limitations of traditional force fields, which often fail to accurately describe the dynamic behavior of reactive systems due to their fixed bonding topology and limited parameter sets (van Duin et al., 2001). </w:t>
      </w:r>
      <w:proofErr w:type="spellStart"/>
      <w:r>
        <w:t>ReaxFF</w:t>
      </w:r>
      <w:proofErr w:type="spellEnd"/>
      <w:r>
        <w:t xml:space="preserve"> uses a reactive potential energy function that allows for the formation and breaking of chemical bonds in real-time during the simulation. The method is based on the bond order concept, where the strength of a chemical bond is determined by its overlap with adjacent atoms. This approach enables </w:t>
      </w:r>
      <w:proofErr w:type="spellStart"/>
      <w:r>
        <w:t>ReaxFF</w:t>
      </w:r>
      <w:proofErr w:type="spellEnd"/>
      <w:r>
        <w:t xml:space="preserve"> to accurately model complex reactions involving multiple bond-forming and breaking events, as well as changes in molecular structure and composition. For a more detailed description of the </w:t>
      </w:r>
      <w:proofErr w:type="spellStart"/>
      <w:r>
        <w:t>ReaxFF</w:t>
      </w:r>
      <w:proofErr w:type="spellEnd"/>
      <w:r>
        <w:t xml:space="preserve"> force field and its underlying methodology, interested readers should be referred to the original paper introducing </w:t>
      </w:r>
      <w:proofErr w:type="spellStart"/>
      <w:r>
        <w:t>ReaxFF</w:t>
      </w:r>
      <w:proofErr w:type="spellEnd"/>
      <w:r>
        <w:t xml:space="preserve"> (van Duin et al., 2001).</w:t>
      </w:r>
    </w:p>
    <w:p w14:paraId="6D7EBC95" w14:textId="77777777" w:rsidR="00F33293" w:rsidRDefault="00F33293">
      <w:pPr>
        <w:pStyle w:val="CETBodytext"/>
      </w:pPr>
    </w:p>
    <w:p w14:paraId="32158356" w14:textId="6FBF7709" w:rsidR="00F33293" w:rsidRDefault="00F972EC">
      <w:pPr>
        <w:pStyle w:val="CETBodytext"/>
      </w:pPr>
      <w:r>
        <w:t xml:space="preserve">In this study, we employed the </w:t>
      </w:r>
      <w:proofErr w:type="spellStart"/>
      <w:r>
        <w:t>ReaxFF</w:t>
      </w:r>
      <w:proofErr w:type="spellEnd"/>
      <w:r>
        <w:t xml:space="preserve"> parameters proposed by Monti et al. (2013) to investigate the </w:t>
      </w:r>
      <w:r w:rsidR="00CF047B">
        <w:t>HTG</w:t>
      </w:r>
      <w:r>
        <w:t xml:space="preserve"> process. To accelerate the reaction kinetics and overcome the time and length scale limitations inherent in molecular dynamics (MD) simulations, we conducted the simulations at elevated temperatures beyond those reported in the literature for experimental conditions (</w:t>
      </w:r>
      <w:r w:rsidR="0012305D">
        <w:t>Reddy</w:t>
      </w:r>
      <w:r>
        <w:t xml:space="preserve"> et al., 20</w:t>
      </w:r>
      <w:r w:rsidR="0012305D">
        <w:t>14</w:t>
      </w:r>
      <w:r>
        <w:t xml:space="preserve">; </w:t>
      </w:r>
      <w:r w:rsidR="00D67423">
        <w:t>Ha et al., 2024</w:t>
      </w:r>
      <w:r>
        <w:t xml:space="preserve">). The temperature range used for the </w:t>
      </w:r>
      <w:r w:rsidR="00CF047B">
        <w:t>HTG</w:t>
      </w:r>
      <w:r>
        <w:t xml:space="preserve"> simulations in this work was between 3</w:t>
      </w:r>
      <w:r w:rsidR="00523693">
        <w:t>,</w:t>
      </w:r>
      <w:r>
        <w:t>000 K and 4</w:t>
      </w:r>
      <w:r w:rsidR="00523693">
        <w:t>,</w:t>
      </w:r>
      <w:r>
        <w:t xml:space="preserve">000 K, which is consistent with the temperature range employed in a previous study by Liu et al. (2020). </w:t>
      </w:r>
      <w:r w:rsidR="004C17F7" w:rsidRPr="004C17F7">
        <w:t xml:space="preserve">It was common practice to speed up the </w:t>
      </w:r>
      <w:r w:rsidR="004C17F7" w:rsidRPr="004C17F7">
        <w:lastRenderedPageBreak/>
        <w:t xml:space="preserve">chemical reaction in nanoscale simulations </w:t>
      </w:r>
      <w:r w:rsidR="004C17F7">
        <w:t xml:space="preserve">by simulating </w:t>
      </w:r>
      <w:r w:rsidR="004C17F7" w:rsidRPr="004C17F7">
        <w:t>the HTG process at a temperature higher than the experimental settings</w:t>
      </w:r>
      <w:r w:rsidR="004C17F7">
        <w:t xml:space="preserve"> (</w:t>
      </w:r>
      <w:r w:rsidR="00244620">
        <w:t>Liu et al. 2020)</w:t>
      </w:r>
      <w:r w:rsidR="00244620">
        <w:t xml:space="preserve">. </w:t>
      </w:r>
      <w:r>
        <w:t>The total simulation time was set to 250</w:t>
      </w:r>
      <w:r w:rsidR="00523693">
        <w:t xml:space="preserve"> </w:t>
      </w:r>
      <w:proofErr w:type="spellStart"/>
      <w:r w:rsidR="00523693">
        <w:t>ps</w:t>
      </w:r>
      <w:proofErr w:type="spellEnd"/>
      <w:r w:rsidR="00523693">
        <w:t xml:space="preserve"> </w:t>
      </w:r>
      <w:r>
        <w:t xml:space="preserve">with a time step of 0.25 </w:t>
      </w:r>
      <w:r w:rsidR="00523693">
        <w:t>fs</w:t>
      </w:r>
      <w:r>
        <w:t xml:space="preserve"> allowing for an accurate and efficient exploration of the HTG process.</w:t>
      </w:r>
    </w:p>
    <w:p w14:paraId="7E5C4099" w14:textId="77777777" w:rsidR="00F33293" w:rsidRDefault="00F33293">
      <w:pPr>
        <w:pStyle w:val="CETBodytext"/>
      </w:pPr>
    </w:p>
    <w:p w14:paraId="34271CED" w14:textId="77777777" w:rsidR="00F33293" w:rsidRDefault="00F972EC">
      <w:pPr>
        <w:pStyle w:val="CETHeading1"/>
      </w:pPr>
      <w:r>
        <w:t>Results and discussions</w:t>
      </w:r>
    </w:p>
    <w:p w14:paraId="5B8D86F0" w14:textId="77777777" w:rsidR="00F33293" w:rsidRDefault="00F972EC">
      <w:pPr>
        <w:pStyle w:val="CETheadingx"/>
      </w:pPr>
      <w:r>
        <w:t xml:space="preserve">Formation of product phase </w:t>
      </w:r>
    </w:p>
    <w:p w14:paraId="5F7E9308" w14:textId="77777777" w:rsidR="00F33293" w:rsidRDefault="00F33293">
      <w:pPr>
        <w:pStyle w:val="CETBodytext"/>
      </w:pPr>
    </w:p>
    <w:p w14:paraId="15DB7EB0" w14:textId="34FE97C6" w:rsidR="00F33293" w:rsidRDefault="00F972EC">
      <w:pPr>
        <w:pStyle w:val="CETBodytext"/>
      </w:pPr>
      <w:r>
        <w:t xml:space="preserve">In this section, we present the gas product composition for both cases: with and without </w:t>
      </w:r>
      <w:r w:rsidR="004B20C5">
        <w:t>the</w:t>
      </w:r>
      <w:r>
        <w:t xml:space="preserve"> catalyst</w:t>
      </w:r>
      <w:r w:rsidR="004B20C5">
        <w:t xml:space="preserve"> addition</w:t>
      </w:r>
      <w:r>
        <w:t>. By comparing these compositions, we can observe the impact of the</w:t>
      </w:r>
      <w:r w:rsidR="004B20C5">
        <w:t xml:space="preserve"> addition of</w:t>
      </w:r>
      <w:r>
        <w:t xml:space="preserve"> Cu-NP catalyst on enhancing </w:t>
      </w:r>
      <w:r w:rsidR="00CF047B">
        <w:t>HTG</w:t>
      </w:r>
      <w:r>
        <w:t xml:space="preserve"> efficiency and improving overall process performance.</w:t>
      </w:r>
    </w:p>
    <w:p w14:paraId="2097E52E" w14:textId="77777777" w:rsidR="00F33293" w:rsidRDefault="00F33293">
      <w:pPr>
        <w:pStyle w:val="CETBodytext"/>
      </w:pPr>
    </w:p>
    <w:p w14:paraId="7E3FD4DF" w14:textId="77777777" w:rsidR="00F33293" w:rsidRDefault="00F33293">
      <w:pPr>
        <w:pStyle w:val="CETBodytext"/>
      </w:pPr>
    </w:p>
    <w:p w14:paraId="71D673EF" w14:textId="77777777" w:rsidR="00F33293" w:rsidRDefault="00F33293">
      <w:pPr>
        <w:pStyle w:val="CETBodytext"/>
      </w:pPr>
    </w:p>
    <w:p w14:paraId="4B2A7AA7" w14:textId="77777777" w:rsidR="00F33293" w:rsidRDefault="00F972EC">
      <w:pPr>
        <w:pStyle w:val="CETBodytext"/>
        <w:jc w:val="center"/>
      </w:pPr>
      <w:r>
        <w:rPr>
          <w:noProof/>
          <w:lang w:val="en-GB" w:eastAsia="en-GB"/>
        </w:rPr>
        <mc:AlternateContent>
          <mc:Choice Requires="wpg">
            <w:drawing>
              <wp:inline distT="0" distB="0" distL="0" distR="0" wp14:anchorId="17D61611" wp14:editId="0B1951A9">
                <wp:extent cx="2316671" cy="2250544"/>
                <wp:effectExtent l="0" t="0" r="762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833286" name=""/>
                        <pic:cNvPicPr>
                          <a:picLocks noChangeAspect="1"/>
                        </pic:cNvPicPr>
                      </pic:nvPicPr>
                      <pic:blipFill>
                        <a:blip r:embed="rId19"/>
                        <a:stretch/>
                      </pic:blipFill>
                      <pic:spPr bwMode="auto">
                        <a:xfrm>
                          <a:off x="0" y="0"/>
                          <a:ext cx="2321221" cy="2254964"/>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182.42pt;height:177.21pt;mso-wrap-distance-left:0.00pt;mso-wrap-distance-top:0.00pt;mso-wrap-distance-right:0.00pt;mso-wrap-distance-bottom:0.00pt;z-index:1;" stroked="false">
                <v:imagedata r:id="rId20" o:title=""/>
                <o:lock v:ext="edit" rotation="t"/>
              </v:shape>
            </w:pict>
          </mc:Fallback>
        </mc:AlternateContent>
      </w:r>
      <w:r>
        <w:rPr>
          <w:noProof/>
          <w:lang w:val="en-GB" w:eastAsia="en-GB"/>
        </w:rPr>
        <mc:AlternateContent>
          <mc:Choice Requires="wpg">
            <w:drawing>
              <wp:inline distT="0" distB="0" distL="0" distR="0" wp14:anchorId="655E7ECF" wp14:editId="7533B0CD">
                <wp:extent cx="2303737" cy="2237978"/>
                <wp:effectExtent l="0" t="0" r="190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733234" name=""/>
                        <pic:cNvPicPr>
                          <a:picLocks noChangeAspect="1"/>
                        </pic:cNvPicPr>
                      </pic:nvPicPr>
                      <pic:blipFill>
                        <a:blip r:embed="rId21"/>
                        <a:stretch/>
                      </pic:blipFill>
                      <pic:spPr bwMode="auto">
                        <a:xfrm>
                          <a:off x="0" y="0"/>
                          <a:ext cx="2316972" cy="2250836"/>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181.40pt;height:176.22pt;mso-wrap-distance-left:0.00pt;mso-wrap-distance-top:0.00pt;mso-wrap-distance-right:0.00pt;mso-wrap-distance-bottom:0.00pt;z-index:1;" stroked="false">
                <v:imagedata r:id="rId22" o:title=""/>
                <o:lock v:ext="edit" rotation="t"/>
              </v:shape>
            </w:pict>
          </mc:Fallback>
        </mc:AlternateContent>
      </w:r>
    </w:p>
    <w:p w14:paraId="37B048FC" w14:textId="77777777" w:rsidR="00F33293" w:rsidRDefault="00F972EC">
      <w:pPr>
        <w:pStyle w:val="CETCaption"/>
        <w:numPr>
          <w:ilvl w:val="0"/>
          <w:numId w:val="23"/>
        </w:numPr>
        <w:rPr>
          <w:lang w:val="en-US"/>
        </w:rPr>
      </w:pPr>
      <w:r>
        <w:rPr>
          <w:lang w:val="en-US"/>
        </w:rPr>
        <w:t xml:space="preserve">                                                                           (b)</w:t>
      </w:r>
    </w:p>
    <w:p w14:paraId="00ECD01B" w14:textId="77777777" w:rsidR="00F33293" w:rsidRDefault="00F972EC">
      <w:pPr>
        <w:pStyle w:val="CETCaption"/>
        <w:jc w:val="center"/>
        <w:rPr>
          <w:lang w:val="en-US"/>
        </w:rPr>
      </w:pPr>
      <w:r>
        <w:rPr>
          <w:lang w:val="en-US"/>
        </w:rPr>
        <w:t xml:space="preserve">Figure 2: Mass fraction (%) of different phases during HTG simulation time at temperature T=3200K in the case without catalyst (a) and with Cu-NP catalyst (b). </w:t>
      </w:r>
    </w:p>
    <w:p w14:paraId="17F84625" w14:textId="77777777" w:rsidR="00F33293" w:rsidRDefault="00F33293">
      <w:pPr>
        <w:pStyle w:val="CETBodytext"/>
        <w:jc w:val="center"/>
      </w:pPr>
    </w:p>
    <w:p w14:paraId="2AA7C4F9" w14:textId="24231B83" w:rsidR="00F33293" w:rsidRDefault="00F972EC">
      <w:pPr>
        <w:pStyle w:val="CETBodytext"/>
      </w:pPr>
      <w:r>
        <w:t xml:space="preserve">Figure 2 presents the mass fraction (%) of different phases during </w:t>
      </w:r>
      <w:r w:rsidR="00CF047B">
        <w:t>HTG</w:t>
      </w:r>
      <w:r>
        <w:t xml:space="preserve"> simulation time at a temperature of 3</w:t>
      </w:r>
      <w:r w:rsidR="00927741">
        <w:t>,</w:t>
      </w:r>
      <w:r>
        <w:t xml:space="preserve">200 K, highlighting the significant impact of the Cu-NP catalyst on the conversion process. In Figure 2(a), which illustrates the case without a catalyst, it is evident that the gas yield remains relatively low throughout the simulation, </w:t>
      </w:r>
      <w:r w:rsidR="00927741">
        <w:t>remaining</w:t>
      </w:r>
      <w:r>
        <w:t xml:space="preserve"> around 60%. In contrast, </w:t>
      </w:r>
      <w:proofErr w:type="gramStart"/>
      <w:r>
        <w:t>Figure</w:t>
      </w:r>
      <w:proofErr w:type="gramEnd"/>
      <w:r>
        <w:t xml:space="preserve"> 2(b) displays the mass fraction distribution for the case with the Cu-NP catalyst. As demonstrated in this figure, the introduction of the catalyst leads to a substantial improvement in the gas yield, which increases to approximately 95% during the simulation period. This marked increase in gas yield underlines the crucial role that the Cu-NP catalyst plays in facilitating the conversion of digestate sludge components into valuable gaseous products</w:t>
      </w:r>
      <w:r w:rsidR="00927741">
        <w:t>.</w:t>
      </w:r>
      <w:r w:rsidR="004B20C5">
        <w:t xml:space="preserve"> </w:t>
      </w:r>
    </w:p>
    <w:p w14:paraId="013C4709" w14:textId="77777777" w:rsidR="00F33293" w:rsidRDefault="00F33293">
      <w:pPr>
        <w:pStyle w:val="CETBodytext"/>
      </w:pPr>
    </w:p>
    <w:p w14:paraId="007DD371" w14:textId="6C761671" w:rsidR="00F33293" w:rsidRDefault="00FC608A">
      <w:pPr>
        <w:pStyle w:val="CETBodytext"/>
      </w:pPr>
      <w:r>
        <w:t xml:space="preserve">It is interesting to observe that in the case without a catalyst, there is a very small amount of solid phase (less than 3%) present throughout the </w:t>
      </w:r>
      <w:r w:rsidR="00CF047B">
        <w:t>HTG</w:t>
      </w:r>
      <w:r>
        <w:t xml:space="preserve"> process. However, when employing the Cu-NP catalyst, no solid phase is observed in the entire HTG simulation, highlighting the superior performance of the catalyst in promoting the conversion of digestate sludge components into gaseous products.</w:t>
      </w:r>
      <w:r w:rsidR="004B20C5">
        <w:t xml:space="preserve"> This observation emphasizes the importance of employing an appropriate catalyst to enhance the efficiency and effectiveness of the HTG process.</w:t>
      </w:r>
    </w:p>
    <w:p w14:paraId="73B1CBF7" w14:textId="77777777" w:rsidR="00F33293" w:rsidRDefault="00F33293" w:rsidP="00FC608A">
      <w:pPr>
        <w:pStyle w:val="CETBodytext"/>
      </w:pPr>
    </w:p>
    <w:p w14:paraId="06EAB094" w14:textId="77777777" w:rsidR="00F33293" w:rsidRDefault="00F33293">
      <w:pPr>
        <w:pStyle w:val="CETBodytext"/>
      </w:pPr>
    </w:p>
    <w:p w14:paraId="7484DC54" w14:textId="77777777" w:rsidR="00F33293" w:rsidRDefault="00F972EC">
      <w:pPr>
        <w:pStyle w:val="CETheadingx"/>
      </w:pPr>
      <w:r>
        <w:t>Composition of gaseous product</w:t>
      </w:r>
    </w:p>
    <w:p w14:paraId="2805760F" w14:textId="77777777" w:rsidR="00F33293" w:rsidRDefault="00F33293">
      <w:pPr>
        <w:pStyle w:val="CETBodytext"/>
      </w:pPr>
    </w:p>
    <w:p w14:paraId="27FCF722" w14:textId="71E33CDE" w:rsidR="00FC608A" w:rsidRDefault="00FC608A" w:rsidP="00FC608A">
      <w:pPr>
        <w:pStyle w:val="CETBodytext"/>
      </w:pPr>
      <w:r>
        <w:lastRenderedPageBreak/>
        <w:t>This section focuses on the composition of gaseous products generated during the HTG process, both with and without a Cu-NP catalyst. Figure 3 illustrates the evolution of the number of different gas molecules against simulation time at a temperature of 3200 K, highlighting the distinct gaseous product compositions in the absence and presence of the Cu-NP catalyst.</w:t>
      </w:r>
    </w:p>
    <w:p w14:paraId="3DE57D19" w14:textId="77777777" w:rsidR="00FC608A" w:rsidRDefault="00FC608A">
      <w:pPr>
        <w:pStyle w:val="CETBodytext"/>
      </w:pPr>
    </w:p>
    <w:p w14:paraId="748ED485" w14:textId="77777777" w:rsidR="00F33293" w:rsidRDefault="00F972EC">
      <w:pPr>
        <w:pStyle w:val="CETBodytext"/>
        <w:jc w:val="center"/>
      </w:pPr>
      <w:r>
        <w:rPr>
          <w:noProof/>
          <w:lang w:val="en-GB" w:eastAsia="en-GB"/>
        </w:rPr>
        <mc:AlternateContent>
          <mc:Choice Requires="wpg">
            <w:drawing>
              <wp:inline distT="0" distB="0" distL="0" distR="0" wp14:anchorId="5B128E00" wp14:editId="71DE74A2">
                <wp:extent cx="2253032" cy="2197083"/>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898398" name=""/>
                        <pic:cNvPicPr>
                          <a:picLocks noChangeAspect="1"/>
                        </pic:cNvPicPr>
                      </pic:nvPicPr>
                      <pic:blipFill>
                        <a:blip r:embed="rId23"/>
                        <a:stretch/>
                      </pic:blipFill>
                      <pic:spPr bwMode="auto">
                        <a:xfrm>
                          <a:off x="0" y="0"/>
                          <a:ext cx="2261099" cy="2204949"/>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177.40pt;height:173.00pt;mso-wrap-distance-left:0.00pt;mso-wrap-distance-top:0.00pt;mso-wrap-distance-right:0.00pt;mso-wrap-distance-bottom:0.00pt;z-index:1;" stroked="false">
                <v:imagedata r:id="rId24" o:title=""/>
                <o:lock v:ext="edit" rotation="t"/>
              </v:shape>
            </w:pict>
          </mc:Fallback>
        </mc:AlternateContent>
      </w:r>
      <w:r>
        <w:rPr>
          <w:noProof/>
          <w:lang w:val="en-GB" w:eastAsia="en-GB"/>
        </w:rPr>
        <mc:AlternateContent>
          <mc:Choice Requires="wpg">
            <w:drawing>
              <wp:inline distT="0" distB="0" distL="0" distR="0" wp14:anchorId="7E2D547F" wp14:editId="2C0F90D6">
                <wp:extent cx="2239347" cy="2185146"/>
                <wp:effectExtent l="0" t="0" r="8890" b="571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036844" name=""/>
                        <pic:cNvPicPr>
                          <a:picLocks noChangeAspect="1"/>
                        </pic:cNvPicPr>
                      </pic:nvPicPr>
                      <pic:blipFill>
                        <a:blip r:embed="rId25"/>
                        <a:stretch/>
                      </pic:blipFill>
                      <pic:spPr bwMode="auto">
                        <a:xfrm>
                          <a:off x="0" y="0"/>
                          <a:ext cx="2248275" cy="2193858"/>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176.33pt;height:172.06pt;mso-wrap-distance-left:0.00pt;mso-wrap-distance-top:0.00pt;mso-wrap-distance-right:0.00pt;mso-wrap-distance-bottom:0.00pt;z-index:1;" stroked="false">
                <v:imagedata r:id="rId26" o:title=""/>
                <o:lock v:ext="edit" rotation="t"/>
              </v:shape>
            </w:pict>
          </mc:Fallback>
        </mc:AlternateContent>
      </w:r>
    </w:p>
    <w:p w14:paraId="267BDF90" w14:textId="77777777" w:rsidR="00F33293" w:rsidRDefault="00F972EC">
      <w:pPr>
        <w:pStyle w:val="CETCaption"/>
        <w:numPr>
          <w:ilvl w:val="0"/>
          <w:numId w:val="24"/>
        </w:numPr>
        <w:rPr>
          <w:lang w:val="en-US"/>
        </w:rPr>
      </w:pPr>
      <w:r>
        <w:rPr>
          <w:lang w:val="en-US"/>
        </w:rPr>
        <w:t xml:space="preserve">                                                                           (b)</w:t>
      </w:r>
    </w:p>
    <w:p w14:paraId="793C6ADB" w14:textId="77777777" w:rsidR="00F33293" w:rsidRDefault="00F972EC">
      <w:pPr>
        <w:pStyle w:val="CETCaption"/>
        <w:jc w:val="center"/>
        <w:rPr>
          <w:lang w:val="en-US"/>
        </w:rPr>
      </w:pPr>
      <w:r>
        <w:rPr>
          <w:lang w:val="en-US"/>
        </w:rPr>
        <w:t xml:space="preserve">Figure 3: Evolution of number of different gas molecules against the simulation time of HTG process at temperature T=3200K in the case without catalyst (a) and with Cu-NP catalyst (b). </w:t>
      </w:r>
    </w:p>
    <w:p w14:paraId="6EE25811" w14:textId="6CB5B911" w:rsidR="00F33293" w:rsidRDefault="00F972EC">
      <w:pPr>
        <w:pStyle w:val="CETBodytext"/>
      </w:pPr>
      <w:r>
        <w:t xml:space="preserve">As demonstrated by Figure 3(a), which shows the case without a </w:t>
      </w:r>
      <w:r w:rsidR="00BF241F">
        <w:t>catalyst</w:t>
      </w:r>
      <w:r>
        <w:t>, H</w:t>
      </w:r>
      <w:r w:rsidRPr="0013070A">
        <w:rPr>
          <w:vertAlign w:val="subscript"/>
        </w:rPr>
        <w:t>2</w:t>
      </w:r>
      <w:r>
        <w:t xml:space="preserve"> was found to be the most abundant gaseous product, followed by a lower concentration of carbon dioxide (CO) and other less significant gas molecules. However, no methane (CH</w:t>
      </w:r>
      <w:r w:rsidRPr="0013070A">
        <w:rPr>
          <w:vertAlign w:val="subscript"/>
        </w:rPr>
        <w:t>4</w:t>
      </w:r>
      <w:r>
        <w:t xml:space="preserve">) was observed in this context. </w:t>
      </w:r>
      <w:r w:rsidR="001661A4">
        <w:t xml:space="preserve">In Figure 3(b), which depicts the case with the Cu-NP catalyst, hydrogen was the most abundant gaseous </w:t>
      </w:r>
      <w:r w:rsidR="0092169B">
        <w:t>product</w:t>
      </w:r>
      <w:r w:rsidR="001661A4">
        <w:t xml:space="preserve">. </w:t>
      </w:r>
      <w:r>
        <w:t xml:space="preserve">Nonetheless, a higher concentration of hydrogen </w:t>
      </w:r>
      <w:r w:rsidR="0092169B">
        <w:t xml:space="preserve">product </w:t>
      </w:r>
      <w:r>
        <w:t>was observed</w:t>
      </w:r>
      <w:r w:rsidR="0092169B">
        <w:t xml:space="preserve"> for the case </w:t>
      </w:r>
      <w:proofErr w:type="gramStart"/>
      <w:r w:rsidR="0092169B">
        <w:t>with</w:t>
      </w:r>
      <w:r>
        <w:t xml:space="preserve"> in</w:t>
      </w:r>
      <w:proofErr w:type="gramEnd"/>
      <w:r>
        <w:t xml:space="preserve"> the presence of the Cu-NP catalyst compared to the case without it. </w:t>
      </w:r>
    </w:p>
    <w:p w14:paraId="7C598952" w14:textId="77777777" w:rsidR="00F33293" w:rsidRDefault="00F33293">
      <w:pPr>
        <w:pStyle w:val="CETBodytext"/>
      </w:pPr>
    </w:p>
    <w:p w14:paraId="11F60674" w14:textId="77777777" w:rsidR="00F33293" w:rsidRDefault="00F972EC">
      <w:pPr>
        <w:pStyle w:val="CETTabletitle"/>
      </w:pPr>
      <w:r>
        <w:t xml:space="preserve">Table 1: Mass fraction of main gaseous product from HTG process obtained from </w:t>
      </w:r>
      <w:proofErr w:type="spellStart"/>
      <w:r>
        <w:t>ReaxFF</w:t>
      </w:r>
      <w:proofErr w:type="spellEnd"/>
      <w:r>
        <w:t xml:space="preserve"> MD </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476"/>
        <w:gridCol w:w="792"/>
        <w:gridCol w:w="1134"/>
        <w:gridCol w:w="1134"/>
        <w:gridCol w:w="1134"/>
        <w:gridCol w:w="1134"/>
      </w:tblGrid>
      <w:tr w:rsidR="00F33293" w14:paraId="406FDA23" w14:textId="77777777">
        <w:tc>
          <w:tcPr>
            <w:tcW w:w="1134" w:type="dxa"/>
            <w:tcBorders>
              <w:top w:val="single" w:sz="12" w:space="0" w:color="008000"/>
              <w:bottom w:val="single" w:sz="6" w:space="0" w:color="008000"/>
            </w:tcBorders>
            <w:shd w:val="clear" w:color="auto" w:fill="FFFFFF"/>
          </w:tcPr>
          <w:p w14:paraId="266246C4" w14:textId="77777777" w:rsidR="00F33293" w:rsidRDefault="00F972EC">
            <w:pPr>
              <w:pStyle w:val="CETBodytext"/>
              <w:jc w:val="center"/>
              <w:rPr>
                <w:lang w:val="en-GB"/>
              </w:rPr>
            </w:pPr>
            <w:r>
              <w:rPr>
                <w:lang w:val="en-GB"/>
              </w:rPr>
              <w:t>System</w:t>
            </w:r>
          </w:p>
        </w:tc>
        <w:tc>
          <w:tcPr>
            <w:tcW w:w="1476" w:type="dxa"/>
            <w:tcBorders>
              <w:top w:val="single" w:sz="12" w:space="0" w:color="008000"/>
              <w:bottom w:val="single" w:sz="6" w:space="0" w:color="008000"/>
            </w:tcBorders>
            <w:shd w:val="clear" w:color="auto" w:fill="FFFFFF"/>
          </w:tcPr>
          <w:p w14:paraId="234190A4" w14:textId="77777777" w:rsidR="00F33293" w:rsidRDefault="00F972EC">
            <w:pPr>
              <w:pStyle w:val="CETBodytext"/>
              <w:jc w:val="center"/>
              <w:rPr>
                <w:lang w:val="en-GB"/>
              </w:rPr>
            </w:pPr>
            <w:r>
              <w:rPr>
                <w:lang w:val="en-GB"/>
              </w:rPr>
              <w:t>Simulation temperature</w:t>
            </w:r>
          </w:p>
        </w:tc>
        <w:tc>
          <w:tcPr>
            <w:tcW w:w="792" w:type="dxa"/>
            <w:tcBorders>
              <w:top w:val="single" w:sz="12" w:space="0" w:color="008000"/>
              <w:bottom w:val="single" w:sz="6" w:space="0" w:color="008000"/>
            </w:tcBorders>
            <w:shd w:val="clear" w:color="auto" w:fill="FFFFFF"/>
          </w:tcPr>
          <w:p w14:paraId="2556A957" w14:textId="77777777" w:rsidR="00F33293" w:rsidRDefault="00F972EC">
            <w:pPr>
              <w:pStyle w:val="CETBodytext"/>
              <w:jc w:val="center"/>
              <w:rPr>
                <w:lang w:val="en-GB"/>
              </w:rPr>
            </w:pPr>
            <w:r>
              <w:rPr>
                <w:lang w:val="en-GB"/>
              </w:rPr>
              <w:t>H</w:t>
            </w:r>
            <w:r>
              <w:rPr>
                <w:vertAlign w:val="subscript"/>
                <w:lang w:val="en-GB"/>
              </w:rPr>
              <w:t>2</w:t>
            </w:r>
          </w:p>
        </w:tc>
        <w:tc>
          <w:tcPr>
            <w:tcW w:w="1134" w:type="dxa"/>
            <w:tcBorders>
              <w:top w:val="single" w:sz="12" w:space="0" w:color="008000"/>
              <w:bottom w:val="single" w:sz="6" w:space="0" w:color="008000"/>
            </w:tcBorders>
            <w:shd w:val="clear" w:color="auto" w:fill="FFFFFF"/>
          </w:tcPr>
          <w:p w14:paraId="08AB2635" w14:textId="77777777" w:rsidR="00F33293" w:rsidRDefault="00F972EC">
            <w:pPr>
              <w:pStyle w:val="CETBodytext"/>
              <w:ind w:right="-1"/>
              <w:jc w:val="center"/>
              <w:rPr>
                <w:rFonts w:cs="Arial"/>
                <w:szCs w:val="18"/>
                <w:lang w:val="en-GB"/>
              </w:rPr>
            </w:pPr>
            <w:r>
              <w:rPr>
                <w:rFonts w:cs="Arial"/>
                <w:szCs w:val="18"/>
                <w:lang w:val="en-GB"/>
              </w:rPr>
              <w:t>CO</w:t>
            </w:r>
          </w:p>
        </w:tc>
        <w:tc>
          <w:tcPr>
            <w:tcW w:w="1134" w:type="dxa"/>
            <w:tcBorders>
              <w:top w:val="single" w:sz="12" w:space="0" w:color="008000"/>
              <w:bottom w:val="single" w:sz="6" w:space="0" w:color="008000"/>
            </w:tcBorders>
            <w:shd w:val="clear" w:color="auto" w:fill="FFFFFF"/>
          </w:tcPr>
          <w:p w14:paraId="28E56A31" w14:textId="77777777" w:rsidR="00F33293" w:rsidRDefault="00F972EC">
            <w:pPr>
              <w:pStyle w:val="CETBodytext"/>
              <w:ind w:right="-1"/>
              <w:jc w:val="center"/>
              <w:rPr>
                <w:rFonts w:cs="Arial"/>
                <w:szCs w:val="18"/>
                <w:lang w:val="en-GB"/>
              </w:rPr>
            </w:pPr>
            <w:r>
              <w:rPr>
                <w:rFonts w:cs="Arial"/>
                <w:szCs w:val="18"/>
                <w:lang w:val="en-GB"/>
              </w:rPr>
              <w:t>NH</w:t>
            </w:r>
            <w:r>
              <w:rPr>
                <w:rFonts w:cs="Arial"/>
                <w:szCs w:val="18"/>
                <w:vertAlign w:val="subscript"/>
                <w:lang w:val="en-GB"/>
              </w:rPr>
              <w:t>3</w:t>
            </w:r>
          </w:p>
        </w:tc>
        <w:tc>
          <w:tcPr>
            <w:tcW w:w="1134" w:type="dxa"/>
            <w:tcBorders>
              <w:top w:val="single" w:sz="12" w:space="0" w:color="008000"/>
              <w:bottom w:val="single" w:sz="6" w:space="0" w:color="008000"/>
            </w:tcBorders>
            <w:shd w:val="clear" w:color="auto" w:fill="FFFFFF"/>
          </w:tcPr>
          <w:p w14:paraId="0427905A" w14:textId="77777777" w:rsidR="00F33293" w:rsidRDefault="00F972EC">
            <w:pPr>
              <w:pStyle w:val="CETBodytext"/>
              <w:ind w:right="-1"/>
              <w:jc w:val="center"/>
              <w:rPr>
                <w:rFonts w:cs="Arial"/>
                <w:szCs w:val="18"/>
                <w:lang w:val="en-GB"/>
              </w:rPr>
            </w:pPr>
            <w:r>
              <w:rPr>
                <w:rFonts w:cs="Arial"/>
                <w:szCs w:val="18"/>
                <w:lang w:val="en-GB"/>
              </w:rPr>
              <w:t>CH</w:t>
            </w:r>
            <w:r>
              <w:rPr>
                <w:rFonts w:cs="Arial"/>
                <w:szCs w:val="18"/>
                <w:vertAlign w:val="subscript"/>
                <w:lang w:val="en-GB"/>
              </w:rPr>
              <w:t>4</w:t>
            </w:r>
          </w:p>
        </w:tc>
        <w:tc>
          <w:tcPr>
            <w:tcW w:w="1134" w:type="dxa"/>
            <w:tcBorders>
              <w:top w:val="single" w:sz="12" w:space="0" w:color="008000"/>
              <w:bottom w:val="single" w:sz="6" w:space="0" w:color="008000"/>
            </w:tcBorders>
            <w:shd w:val="clear" w:color="auto" w:fill="FFFFFF"/>
          </w:tcPr>
          <w:p w14:paraId="7CD98929" w14:textId="77777777" w:rsidR="00F33293" w:rsidRDefault="00F972EC">
            <w:pPr>
              <w:pStyle w:val="CETBodytext"/>
              <w:ind w:right="-1"/>
              <w:jc w:val="center"/>
              <w:rPr>
                <w:rFonts w:cs="Arial"/>
                <w:szCs w:val="18"/>
                <w:lang w:val="en-GB"/>
              </w:rPr>
            </w:pPr>
            <w:r>
              <w:rPr>
                <w:rFonts w:cs="Arial"/>
                <w:szCs w:val="18"/>
                <w:lang w:val="en-GB"/>
              </w:rPr>
              <w:t>CO</w:t>
            </w:r>
            <w:r>
              <w:rPr>
                <w:rFonts w:cs="Arial"/>
                <w:szCs w:val="18"/>
                <w:vertAlign w:val="subscript"/>
                <w:lang w:val="en-GB"/>
              </w:rPr>
              <w:t>2</w:t>
            </w:r>
          </w:p>
        </w:tc>
      </w:tr>
      <w:tr w:rsidR="00F33293" w14:paraId="231AF44C" w14:textId="77777777">
        <w:tc>
          <w:tcPr>
            <w:tcW w:w="1134" w:type="dxa"/>
            <w:shd w:val="clear" w:color="auto" w:fill="FFFFFF"/>
          </w:tcPr>
          <w:p w14:paraId="1E104E74" w14:textId="77777777" w:rsidR="00F33293" w:rsidRDefault="00F972EC">
            <w:pPr>
              <w:pStyle w:val="CETBodytext"/>
              <w:jc w:val="center"/>
              <w:rPr>
                <w:lang w:val="en-GB"/>
              </w:rPr>
            </w:pPr>
            <w:r>
              <w:rPr>
                <w:lang w:val="en-GB"/>
              </w:rPr>
              <w:t>Without catalyst</w:t>
            </w:r>
          </w:p>
        </w:tc>
        <w:tc>
          <w:tcPr>
            <w:tcW w:w="1476" w:type="dxa"/>
            <w:shd w:val="clear" w:color="auto" w:fill="FFFFFF"/>
          </w:tcPr>
          <w:p w14:paraId="729E7488" w14:textId="77777777" w:rsidR="00F33293" w:rsidRDefault="00F972EC">
            <w:pPr>
              <w:pStyle w:val="CETBodytext"/>
              <w:jc w:val="center"/>
              <w:rPr>
                <w:lang w:val="en-GB"/>
              </w:rPr>
            </w:pPr>
            <w:r>
              <w:rPr>
                <w:lang w:val="en-GB"/>
              </w:rPr>
              <w:t>3,200 K</w:t>
            </w:r>
          </w:p>
        </w:tc>
        <w:tc>
          <w:tcPr>
            <w:tcW w:w="792" w:type="dxa"/>
            <w:shd w:val="clear" w:color="auto" w:fill="FFFFFF"/>
          </w:tcPr>
          <w:p w14:paraId="43E96EAE" w14:textId="77777777" w:rsidR="00F33293" w:rsidRDefault="00F972EC">
            <w:pPr>
              <w:pStyle w:val="CETBodytext"/>
              <w:jc w:val="center"/>
              <w:rPr>
                <w:rFonts w:cs="Arial"/>
                <w:szCs w:val="18"/>
              </w:rPr>
            </w:pPr>
            <w:r>
              <w:t>36%</w:t>
            </w:r>
          </w:p>
        </w:tc>
        <w:tc>
          <w:tcPr>
            <w:tcW w:w="1134" w:type="dxa"/>
            <w:shd w:val="clear" w:color="auto" w:fill="FFFFFF"/>
          </w:tcPr>
          <w:p w14:paraId="6D47EAFD" w14:textId="77777777" w:rsidR="00F33293" w:rsidRDefault="00F972EC">
            <w:pPr>
              <w:pStyle w:val="CETBodytext"/>
              <w:jc w:val="center"/>
              <w:rPr>
                <w:rFonts w:cs="Arial"/>
                <w:szCs w:val="18"/>
              </w:rPr>
            </w:pPr>
            <w:r>
              <w:t>17%</w:t>
            </w:r>
          </w:p>
        </w:tc>
        <w:tc>
          <w:tcPr>
            <w:tcW w:w="1134" w:type="dxa"/>
            <w:shd w:val="clear" w:color="auto" w:fill="FFFFFF"/>
          </w:tcPr>
          <w:p w14:paraId="7B0EEDAF" w14:textId="77777777" w:rsidR="00F33293" w:rsidRDefault="00F972EC">
            <w:pPr>
              <w:pStyle w:val="CETBodytext"/>
              <w:jc w:val="center"/>
              <w:rPr>
                <w:rFonts w:cs="Arial"/>
                <w:szCs w:val="18"/>
              </w:rPr>
            </w:pPr>
            <w:r>
              <w:t>6%</w:t>
            </w:r>
          </w:p>
        </w:tc>
        <w:tc>
          <w:tcPr>
            <w:tcW w:w="1134" w:type="dxa"/>
            <w:shd w:val="clear" w:color="auto" w:fill="FFFFFF"/>
          </w:tcPr>
          <w:p w14:paraId="06C1437F" w14:textId="77777777" w:rsidR="00F33293" w:rsidRDefault="00F972EC">
            <w:pPr>
              <w:pStyle w:val="CETBodytext"/>
              <w:jc w:val="center"/>
              <w:rPr>
                <w:rFonts w:cs="Arial"/>
                <w:szCs w:val="18"/>
              </w:rPr>
            </w:pPr>
            <w:r>
              <w:t>0%</w:t>
            </w:r>
          </w:p>
        </w:tc>
        <w:tc>
          <w:tcPr>
            <w:tcW w:w="1134" w:type="dxa"/>
            <w:shd w:val="clear" w:color="auto" w:fill="FFFFFF"/>
          </w:tcPr>
          <w:p w14:paraId="3F47086C" w14:textId="77777777" w:rsidR="00F33293" w:rsidRDefault="00F972EC">
            <w:pPr>
              <w:pStyle w:val="CETBodytext"/>
              <w:jc w:val="center"/>
              <w:rPr>
                <w:rFonts w:cs="Arial"/>
                <w:szCs w:val="18"/>
              </w:rPr>
            </w:pPr>
            <w:r>
              <w:t>0%</w:t>
            </w:r>
          </w:p>
        </w:tc>
      </w:tr>
      <w:tr w:rsidR="00F33293" w14:paraId="719A02AD" w14:textId="77777777">
        <w:tc>
          <w:tcPr>
            <w:tcW w:w="1134" w:type="dxa"/>
            <w:shd w:val="clear" w:color="auto" w:fill="FFFFFF"/>
          </w:tcPr>
          <w:p w14:paraId="5C1AD203" w14:textId="77777777" w:rsidR="00F33293" w:rsidRDefault="00F33293">
            <w:pPr>
              <w:pStyle w:val="CETBodytext"/>
              <w:jc w:val="center"/>
              <w:rPr>
                <w:lang w:val="en-GB"/>
              </w:rPr>
            </w:pPr>
          </w:p>
        </w:tc>
        <w:tc>
          <w:tcPr>
            <w:tcW w:w="1476" w:type="dxa"/>
            <w:shd w:val="clear" w:color="auto" w:fill="FFFFFF"/>
          </w:tcPr>
          <w:p w14:paraId="0BF7A518" w14:textId="77777777" w:rsidR="00F33293" w:rsidRDefault="00F33293">
            <w:pPr>
              <w:pStyle w:val="CETBodytext"/>
              <w:jc w:val="center"/>
              <w:rPr>
                <w:lang w:val="en-GB"/>
              </w:rPr>
            </w:pPr>
          </w:p>
        </w:tc>
        <w:tc>
          <w:tcPr>
            <w:tcW w:w="792" w:type="dxa"/>
            <w:shd w:val="clear" w:color="auto" w:fill="FFFFFF"/>
          </w:tcPr>
          <w:p w14:paraId="368541B1" w14:textId="77777777" w:rsidR="00F33293" w:rsidRDefault="00F33293">
            <w:pPr>
              <w:pStyle w:val="CETBodytext"/>
              <w:jc w:val="center"/>
              <w:rPr>
                <w:rFonts w:cs="Arial"/>
                <w:szCs w:val="18"/>
              </w:rPr>
            </w:pPr>
          </w:p>
        </w:tc>
        <w:tc>
          <w:tcPr>
            <w:tcW w:w="1134" w:type="dxa"/>
            <w:shd w:val="clear" w:color="auto" w:fill="FFFFFF"/>
          </w:tcPr>
          <w:p w14:paraId="3135F114" w14:textId="77777777" w:rsidR="00F33293" w:rsidRDefault="00F33293">
            <w:pPr>
              <w:pStyle w:val="CETBodytext"/>
              <w:ind w:right="-1"/>
              <w:jc w:val="center"/>
              <w:rPr>
                <w:rFonts w:cs="Arial"/>
                <w:szCs w:val="18"/>
              </w:rPr>
            </w:pPr>
          </w:p>
        </w:tc>
        <w:tc>
          <w:tcPr>
            <w:tcW w:w="1134" w:type="dxa"/>
            <w:shd w:val="clear" w:color="auto" w:fill="FFFFFF"/>
          </w:tcPr>
          <w:p w14:paraId="7D6E5491" w14:textId="77777777" w:rsidR="00F33293" w:rsidRDefault="00F33293">
            <w:pPr>
              <w:pStyle w:val="CETBodytext"/>
              <w:ind w:right="-1"/>
              <w:jc w:val="center"/>
              <w:rPr>
                <w:rFonts w:cs="Arial"/>
                <w:szCs w:val="18"/>
              </w:rPr>
            </w:pPr>
          </w:p>
        </w:tc>
        <w:tc>
          <w:tcPr>
            <w:tcW w:w="1134" w:type="dxa"/>
            <w:shd w:val="clear" w:color="auto" w:fill="FFFFFF"/>
          </w:tcPr>
          <w:p w14:paraId="0CAF49BF" w14:textId="77777777" w:rsidR="00F33293" w:rsidRDefault="00F33293">
            <w:pPr>
              <w:pStyle w:val="CETBodytext"/>
              <w:ind w:right="-1"/>
              <w:jc w:val="center"/>
              <w:rPr>
                <w:rFonts w:cs="Arial"/>
                <w:szCs w:val="18"/>
              </w:rPr>
            </w:pPr>
          </w:p>
        </w:tc>
        <w:tc>
          <w:tcPr>
            <w:tcW w:w="1134" w:type="dxa"/>
            <w:shd w:val="clear" w:color="auto" w:fill="FFFFFF"/>
          </w:tcPr>
          <w:p w14:paraId="3BACDCA9" w14:textId="77777777" w:rsidR="00F33293" w:rsidRDefault="00F33293">
            <w:pPr>
              <w:pStyle w:val="CETBodytext"/>
              <w:ind w:right="-1"/>
              <w:jc w:val="center"/>
              <w:rPr>
                <w:rFonts w:cs="Arial"/>
                <w:szCs w:val="18"/>
              </w:rPr>
            </w:pPr>
          </w:p>
        </w:tc>
      </w:tr>
      <w:tr w:rsidR="00F33293" w14:paraId="44F8B20A" w14:textId="77777777">
        <w:tc>
          <w:tcPr>
            <w:tcW w:w="1134" w:type="dxa"/>
            <w:shd w:val="clear" w:color="auto" w:fill="FFFFFF"/>
          </w:tcPr>
          <w:p w14:paraId="3C65AB65" w14:textId="77777777" w:rsidR="00F33293" w:rsidRDefault="00F972EC">
            <w:pPr>
              <w:pStyle w:val="CETBodytext"/>
              <w:ind w:right="-1"/>
              <w:jc w:val="center"/>
              <w:rPr>
                <w:rFonts w:cs="Arial"/>
                <w:szCs w:val="18"/>
                <w:lang w:val="en-GB"/>
              </w:rPr>
            </w:pPr>
            <w:r>
              <w:rPr>
                <w:rFonts w:cs="Arial"/>
                <w:szCs w:val="18"/>
                <w:lang w:val="en-GB"/>
              </w:rPr>
              <w:t>With Cu-NP catalyst</w:t>
            </w:r>
          </w:p>
        </w:tc>
        <w:tc>
          <w:tcPr>
            <w:tcW w:w="1476" w:type="dxa"/>
            <w:shd w:val="clear" w:color="auto" w:fill="FFFFFF"/>
          </w:tcPr>
          <w:p w14:paraId="236D27F8" w14:textId="77777777" w:rsidR="00F33293" w:rsidRDefault="00F972EC">
            <w:pPr>
              <w:pStyle w:val="CETBodytext"/>
              <w:ind w:right="-1"/>
              <w:jc w:val="center"/>
              <w:rPr>
                <w:rFonts w:cs="Arial"/>
                <w:szCs w:val="18"/>
                <w:lang w:val="en-GB"/>
              </w:rPr>
            </w:pPr>
            <w:r>
              <w:rPr>
                <w:rFonts w:cs="Arial"/>
                <w:szCs w:val="18"/>
                <w:lang w:val="en-GB"/>
              </w:rPr>
              <w:t>3,200 K</w:t>
            </w:r>
          </w:p>
        </w:tc>
        <w:tc>
          <w:tcPr>
            <w:tcW w:w="792" w:type="dxa"/>
            <w:shd w:val="clear" w:color="auto" w:fill="FFFFFF"/>
          </w:tcPr>
          <w:p w14:paraId="2DA32C9D" w14:textId="77777777" w:rsidR="00F33293" w:rsidRDefault="00F972EC">
            <w:pPr>
              <w:pStyle w:val="CETBodytext"/>
              <w:jc w:val="center"/>
              <w:rPr>
                <w:rFonts w:cs="Arial"/>
                <w:szCs w:val="18"/>
              </w:rPr>
            </w:pPr>
            <w:r>
              <w:t>62%</w:t>
            </w:r>
          </w:p>
        </w:tc>
        <w:tc>
          <w:tcPr>
            <w:tcW w:w="1134" w:type="dxa"/>
            <w:shd w:val="clear" w:color="auto" w:fill="FFFFFF"/>
          </w:tcPr>
          <w:p w14:paraId="67F33C81" w14:textId="77777777" w:rsidR="00F33293" w:rsidRDefault="00F972EC">
            <w:pPr>
              <w:pStyle w:val="CETBodytext"/>
              <w:jc w:val="center"/>
              <w:rPr>
                <w:rFonts w:cs="Arial"/>
                <w:szCs w:val="18"/>
              </w:rPr>
            </w:pPr>
            <w:r>
              <w:t>27%</w:t>
            </w:r>
          </w:p>
        </w:tc>
        <w:tc>
          <w:tcPr>
            <w:tcW w:w="1134" w:type="dxa"/>
            <w:shd w:val="clear" w:color="auto" w:fill="FFFFFF"/>
          </w:tcPr>
          <w:p w14:paraId="796506EA" w14:textId="77777777" w:rsidR="00F33293" w:rsidRDefault="00F972EC">
            <w:pPr>
              <w:pStyle w:val="CETBodytext"/>
              <w:jc w:val="center"/>
              <w:rPr>
                <w:rFonts w:cs="Arial"/>
                <w:szCs w:val="18"/>
              </w:rPr>
            </w:pPr>
            <w:r>
              <w:t>1%</w:t>
            </w:r>
          </w:p>
        </w:tc>
        <w:tc>
          <w:tcPr>
            <w:tcW w:w="1134" w:type="dxa"/>
            <w:shd w:val="clear" w:color="auto" w:fill="FFFFFF"/>
          </w:tcPr>
          <w:p w14:paraId="33C727FC" w14:textId="77777777" w:rsidR="00F33293" w:rsidRDefault="00F972EC">
            <w:pPr>
              <w:pStyle w:val="CETBodytext"/>
              <w:jc w:val="center"/>
              <w:rPr>
                <w:rFonts w:cs="Arial"/>
                <w:szCs w:val="18"/>
              </w:rPr>
            </w:pPr>
            <w:r>
              <w:t>0%</w:t>
            </w:r>
          </w:p>
        </w:tc>
        <w:tc>
          <w:tcPr>
            <w:tcW w:w="1134" w:type="dxa"/>
            <w:shd w:val="clear" w:color="auto" w:fill="FFFFFF"/>
          </w:tcPr>
          <w:p w14:paraId="7A55B474" w14:textId="77777777" w:rsidR="00F33293" w:rsidRDefault="00F972EC">
            <w:pPr>
              <w:pStyle w:val="CETBodytext"/>
              <w:jc w:val="center"/>
              <w:rPr>
                <w:rFonts w:cs="Arial"/>
                <w:szCs w:val="18"/>
              </w:rPr>
            </w:pPr>
            <w:r>
              <w:t>0%</w:t>
            </w:r>
          </w:p>
        </w:tc>
      </w:tr>
    </w:tbl>
    <w:p w14:paraId="13D2F2B1" w14:textId="77777777" w:rsidR="00F33293" w:rsidRDefault="00F33293">
      <w:pPr>
        <w:pStyle w:val="CETBodytext"/>
      </w:pPr>
    </w:p>
    <w:p w14:paraId="1EB5279A" w14:textId="77777777" w:rsidR="00F33293" w:rsidRDefault="00F33293">
      <w:pPr>
        <w:pStyle w:val="CETBodytext"/>
      </w:pPr>
    </w:p>
    <w:p w14:paraId="26BCF45F" w14:textId="4DF6D4D5" w:rsidR="00F33293" w:rsidRDefault="0092169B">
      <w:pPr>
        <w:pStyle w:val="CETBodytext"/>
      </w:pPr>
      <w:r>
        <w:t>The ma</w:t>
      </w:r>
      <w:r w:rsidR="00787229">
        <w:t>s</w:t>
      </w:r>
      <w:r>
        <w:t>s factions of main gaseous product</w:t>
      </w:r>
      <w:r w:rsidR="00284DE5">
        <w:t>s</w:t>
      </w:r>
      <w:r>
        <w:t xml:space="preserve"> from the simulation of HTG with and without the catalyst are numerically tabulated in Table 1.  Clearly, t</w:t>
      </w:r>
      <w:r w:rsidR="00F972EC">
        <w:t xml:space="preserve">he </w:t>
      </w:r>
      <w:r>
        <w:t xml:space="preserve">addition </w:t>
      </w:r>
      <w:r w:rsidR="00F972EC">
        <w:t xml:space="preserve">of Cu-NP catalyst significantly enhances the </w:t>
      </w:r>
      <w:r w:rsidR="00CF047B">
        <w:t>HTG</w:t>
      </w:r>
      <w:r w:rsidR="00F972EC">
        <w:t xml:space="preserve"> process, leading to a considerable increase in hydrogen gas yield. In the case without a catalyst, H</w:t>
      </w:r>
      <w:r w:rsidR="00F972EC">
        <w:rPr>
          <w:vertAlign w:val="subscript"/>
        </w:rPr>
        <w:t>2</w:t>
      </w:r>
      <w:r w:rsidR="00F972EC">
        <w:t xml:space="preserve"> gas yield was found to be approximately 36%, while in the presence of the Cu-NP catalyst, this value increased to around 62% (Table 1). This substantial improvement in H</w:t>
      </w:r>
      <w:r w:rsidR="00F972EC" w:rsidRPr="006C68D0">
        <w:rPr>
          <w:vertAlign w:val="subscript"/>
        </w:rPr>
        <w:t>2</w:t>
      </w:r>
      <w:r w:rsidR="00F972EC">
        <w:t xml:space="preserve"> gas yield can be attributed to the catalytic </w:t>
      </w:r>
      <w:r w:rsidR="00284DE5">
        <w:t>effects</w:t>
      </w:r>
      <w:r w:rsidR="00F972EC">
        <w:t xml:space="preserve"> of copper</w:t>
      </w:r>
      <w:r w:rsidR="00284DE5">
        <w:t xml:space="preserve"> nanoparticles</w:t>
      </w:r>
      <w:r w:rsidR="00F972EC">
        <w:t>, which facilitate the conversion of digestate sludge components into hydrogen.</w:t>
      </w:r>
    </w:p>
    <w:p w14:paraId="39F7A78B" w14:textId="77777777" w:rsidR="00F33293" w:rsidRDefault="00F33293">
      <w:pPr>
        <w:pStyle w:val="CETBodytext"/>
      </w:pPr>
    </w:p>
    <w:p w14:paraId="6CE360D3" w14:textId="539854E2" w:rsidR="00F33293" w:rsidRDefault="00F972EC">
      <w:pPr>
        <w:pStyle w:val="CETBodytext"/>
      </w:pPr>
      <w:r>
        <w:t>Interestingly, the presence of the Cu-NP catalyst also led to a reduction in the formation of ammonia (NH</w:t>
      </w:r>
      <w:r>
        <w:rPr>
          <w:vertAlign w:val="subscript"/>
        </w:rPr>
        <w:t>3</w:t>
      </w:r>
      <w:r>
        <w:t>) from 6% without the catalyst to just 1% when using the catalyst. This observation can be explained by the fact that copper catalysts are known to promote the conversion of NH</w:t>
      </w:r>
      <w:r>
        <w:rPr>
          <w:vertAlign w:val="subscript"/>
        </w:rPr>
        <w:t>3</w:t>
      </w:r>
      <w:r>
        <w:t xml:space="preserve"> to nitrogen (N</w:t>
      </w:r>
      <w:r>
        <w:rPr>
          <w:vertAlign w:val="subscript"/>
        </w:rPr>
        <w:t>2</w:t>
      </w:r>
      <w:r>
        <w:t>) and hydrogen (H</w:t>
      </w:r>
      <w:r>
        <w:rPr>
          <w:vertAlign w:val="subscript"/>
        </w:rPr>
        <w:t>2</w:t>
      </w:r>
      <w:r>
        <w:t xml:space="preserve">). By accelerating this reaction, the Cu-NP catalyst effectively reduces the formation of ammonia during the </w:t>
      </w:r>
      <w:r w:rsidR="00CF047B">
        <w:t>HTG</w:t>
      </w:r>
      <w:r>
        <w:t xml:space="preserve"> process.</w:t>
      </w:r>
    </w:p>
    <w:p w14:paraId="6A067CFB" w14:textId="77777777" w:rsidR="00F33293" w:rsidRDefault="00F33293">
      <w:pPr>
        <w:pStyle w:val="CETBodytext"/>
      </w:pPr>
    </w:p>
    <w:p w14:paraId="15F58C9E" w14:textId="77777777" w:rsidR="00F33293" w:rsidRDefault="00F972EC">
      <w:pPr>
        <w:pStyle w:val="CETheadingx"/>
      </w:pPr>
      <w:r>
        <w:lastRenderedPageBreak/>
        <w:t>Catalyst aging mechanism</w:t>
      </w:r>
    </w:p>
    <w:p w14:paraId="08203E4D" w14:textId="77777777" w:rsidR="00F33293" w:rsidRDefault="00F33293">
      <w:pPr>
        <w:pStyle w:val="CETBodytext"/>
      </w:pPr>
    </w:p>
    <w:p w14:paraId="4316CE09" w14:textId="00490AA0" w:rsidR="00014E36" w:rsidRDefault="00014E36">
      <w:pPr>
        <w:pStyle w:val="CETBodytext"/>
      </w:pPr>
      <w:r>
        <w:t>The long-term stability and performance of Cu-NP catalysts in practical applications is crucial, as well as for optimizing their design to enhance their durability and effectiveness. The aging mechanism of Cu-NP catalysts during HTG processes involves the incorporation of oxygen atoms into the nanoparticles, which can lead to the formation of copper oxide (</w:t>
      </w:r>
      <w:proofErr w:type="spellStart"/>
      <w:r>
        <w:t>Cu</w:t>
      </w:r>
      <w:r w:rsidRPr="00205609">
        <w:rPr>
          <w:vertAlign w:val="subscript"/>
        </w:rPr>
        <w:t>x</w:t>
      </w:r>
      <w:r>
        <w:t>O</w:t>
      </w:r>
      <w:r w:rsidRPr="00205609">
        <w:rPr>
          <w:vertAlign w:val="subscript"/>
        </w:rPr>
        <w:t>y</w:t>
      </w:r>
      <w:proofErr w:type="spellEnd"/>
      <w:r>
        <w:t>). This process is primarily driven by the reaction: 2Cu + 1/2O</w:t>
      </w:r>
      <w:r w:rsidRPr="005523B6">
        <w:rPr>
          <w:vertAlign w:val="subscript"/>
        </w:rPr>
        <w:t>2</w:t>
      </w:r>
      <w:r>
        <w:t xml:space="preserve"> -&gt; Cu</w:t>
      </w:r>
      <w:r w:rsidRPr="005523B6">
        <w:rPr>
          <w:vertAlign w:val="subscript"/>
        </w:rPr>
        <w:t>2</w:t>
      </w:r>
      <w:r>
        <w:t>O. However, at high temperatures and under HTG conditions, a multitude of radicals are present, leading us to observe that the primary oxidation reaction of Cu involves its reaction with hydroxyl radicals (•OH).</w:t>
      </w:r>
    </w:p>
    <w:p w14:paraId="5802CC97" w14:textId="77777777" w:rsidR="00F33293" w:rsidRDefault="00F972EC" w:rsidP="00EF1A42">
      <w:pPr>
        <w:pStyle w:val="CETBodytext"/>
        <w:jc w:val="center"/>
      </w:pPr>
      <w:r>
        <w:rPr>
          <w:noProof/>
          <w:lang w:val="en-GB" w:eastAsia="en-GB"/>
        </w:rPr>
        <w:drawing>
          <wp:inline distT="0" distB="0" distL="0" distR="0" wp14:anchorId="6C342F97" wp14:editId="5B04959E">
            <wp:extent cx="4271650" cy="2353856"/>
            <wp:effectExtent l="0" t="0" r="0" b="8890"/>
            <wp:docPr id="8" name="Picture 1" descr="A graph of a graph showing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513606" name="Picture 1" descr="A graph of a graph showing a graph of a graph&#10;&#10;Description automatically generated with medium confidence"/>
                    <pic:cNvPicPr>
                      <a:picLocks noChangeAspect="1"/>
                    </pic:cNvPicPr>
                  </pic:nvPicPr>
                  <pic:blipFill>
                    <a:blip r:embed="rId27"/>
                    <a:stretch/>
                  </pic:blipFill>
                  <pic:spPr bwMode="auto">
                    <a:xfrm>
                      <a:off x="0" y="0"/>
                      <a:ext cx="4277194" cy="2356911"/>
                    </a:xfrm>
                    <a:prstGeom prst="rect">
                      <a:avLst/>
                    </a:prstGeom>
                  </pic:spPr>
                </pic:pic>
              </a:graphicData>
            </a:graphic>
          </wp:inline>
        </w:drawing>
      </w:r>
    </w:p>
    <w:p w14:paraId="19A75FD5" w14:textId="7DABF553" w:rsidR="00F33293" w:rsidRDefault="00F972EC">
      <w:pPr>
        <w:pStyle w:val="CETCaption"/>
        <w:jc w:val="center"/>
        <w:rPr>
          <w:lang w:val="en-US"/>
        </w:rPr>
      </w:pPr>
      <w:r>
        <w:rPr>
          <w:lang w:val="en-US"/>
        </w:rPr>
        <w:t>Figure 4: Number of Oxygen atom incorporate</w:t>
      </w:r>
      <w:r w:rsidR="0058104B">
        <w:rPr>
          <w:lang w:val="en-US"/>
        </w:rPr>
        <w:t>d</w:t>
      </w:r>
      <w:r>
        <w:rPr>
          <w:lang w:val="en-US"/>
        </w:rPr>
        <w:t xml:space="preserve"> into Cu-NP during HTG process at temperature T=3</w:t>
      </w:r>
      <w:r w:rsidR="00C82AFF">
        <w:rPr>
          <w:lang w:val="en-US"/>
        </w:rPr>
        <w:t>,</w:t>
      </w:r>
      <w:r>
        <w:rPr>
          <w:lang w:val="en-US"/>
        </w:rPr>
        <w:t>200</w:t>
      </w:r>
      <w:r w:rsidR="00C82AFF">
        <w:rPr>
          <w:lang w:val="en-US"/>
        </w:rPr>
        <w:t xml:space="preserve"> </w:t>
      </w:r>
      <w:r>
        <w:rPr>
          <w:lang w:val="en-US"/>
        </w:rPr>
        <w:t xml:space="preserve">K. </w:t>
      </w:r>
    </w:p>
    <w:p w14:paraId="74893DFB" w14:textId="4048FD4F" w:rsidR="00F33293" w:rsidRDefault="00F972EC">
      <w:pPr>
        <w:pStyle w:val="CETBodytext"/>
      </w:pPr>
      <w:r>
        <w:t xml:space="preserve">As illustrated in Figure 4, which presents the number of oxygen atoms incorporated into Cu-NP during the HTG process at a temperature of 3200 K over time, it becomes evident that the aging mechanism follows a specific evolution pattern. Initially, most of the oxide forms after approximately 100 </w:t>
      </w:r>
      <w:proofErr w:type="spellStart"/>
      <w:r w:rsidR="005523B6">
        <w:t>ps</w:t>
      </w:r>
      <w:proofErr w:type="spellEnd"/>
      <w:r>
        <w:t>, indicating a rapid onset of the aging process. As the simulation progresses, the number of oxygen atoms incorporated into Cu-NP gradually increases, reaching around 25 atoms after 250 ps.</w:t>
      </w:r>
    </w:p>
    <w:p w14:paraId="501BB5AD" w14:textId="77777777" w:rsidR="00F33293" w:rsidRDefault="00F33293">
      <w:pPr>
        <w:pStyle w:val="CETBodytext"/>
      </w:pPr>
    </w:p>
    <w:p w14:paraId="61D49651" w14:textId="3111454D" w:rsidR="00F33293" w:rsidRDefault="00726A27">
      <w:pPr>
        <w:pStyle w:val="CETBodytext"/>
      </w:pPr>
      <w:r>
        <w:t xml:space="preserve">By analyzing these findings, it can be concluded that approximately 25 oxygen atoms have been incorporated into the Cu-NP catalyst, leading to an oxygen content of 1% of the total atomic composition of the catalyst. We can estimate that complete deactivation of the Cu-NP catalyst takes place after approximately 100 catalytic cycles. However, it is crucial to emphasize that this estimation requires further simulations to confirm its accuracy and to gain a more comprehensive understanding of the aging mechanism and its implications on the catalyst's performance over extended periods. </w:t>
      </w:r>
      <w:r w:rsidR="008D1837">
        <w:t>Another intriguing question is at which level of oxygen incorporation could influence the catalytic properties and performance of the Cu-NP catalyst in the HTG process.</w:t>
      </w:r>
    </w:p>
    <w:p w14:paraId="33977F3D" w14:textId="77777777" w:rsidR="00F33293" w:rsidRDefault="00F972EC">
      <w:pPr>
        <w:pStyle w:val="CETHeading1"/>
      </w:pPr>
      <w:r>
        <w:t>Conclusions</w:t>
      </w:r>
    </w:p>
    <w:p w14:paraId="798782A4" w14:textId="4B2A8A54" w:rsidR="001B7CDC" w:rsidRDefault="00F972EC">
      <w:pPr>
        <w:pStyle w:val="CETBodytext"/>
      </w:pPr>
      <w:r>
        <w:t xml:space="preserve">In conclusion, this study has demonstrated the significant impact of </w:t>
      </w:r>
      <w:r w:rsidR="00284DE5">
        <w:t xml:space="preserve">the </w:t>
      </w:r>
      <w:r>
        <w:t>Cu-NP catalyst</w:t>
      </w:r>
      <w:r w:rsidR="00284DE5">
        <w:t xml:space="preserve"> addition</w:t>
      </w:r>
      <w:r>
        <w:t xml:space="preserve"> on enhancing the hydrothermal gasification process, leading to a notable increase in hydrogen</w:t>
      </w:r>
      <w:r w:rsidR="005C3827">
        <w:t xml:space="preserve"> </w:t>
      </w:r>
      <w:r>
        <w:t>gas yield and reduced formation of ammonia. By simulating the aging mechanism of Cu-NP catalysts during HTG processes, we have gained valuable insights into the incorporation of oxygen atoms into the nanoparticles, which can lead to the formation of copper oxide</w:t>
      </w:r>
      <w:r w:rsidR="005C3827">
        <w:t xml:space="preserve"> </w:t>
      </w:r>
      <w:r>
        <w:t>and potentially affect the catalytic properties and performance of the Cu-NP catalyst.</w:t>
      </w:r>
      <w:r w:rsidR="00253963">
        <w:t xml:space="preserve"> </w:t>
      </w:r>
      <w:r>
        <w:t>Further research is required to validate our estimation of complete deactivation of Cu-NP catalysts after approximately 100 catalytic cycles, as well as to explore the impact of varying temperature conditions and different digestate sludge feedstocks on the long-term stability and effectiveness of these materials. By gaining a more comprehensive understanding of the aging mechanism and optimizing the design of Cu-NP catalysts, we can contribute to the development of more durable and efficient catalysts for practical applications in waste management and renewable energy production processes.</w:t>
      </w:r>
    </w:p>
    <w:p w14:paraId="6882DCFF" w14:textId="77777777" w:rsidR="00F33293" w:rsidRDefault="00F972EC">
      <w:pPr>
        <w:pStyle w:val="CETAcknowledgementstitle"/>
      </w:pPr>
      <w:r>
        <w:t>Acknowledgments</w:t>
      </w:r>
    </w:p>
    <w:p w14:paraId="7F651A25" w14:textId="787EE647" w:rsidR="00F33293" w:rsidRDefault="00F972EC">
      <w:pPr>
        <w:pStyle w:val="CETBodytext"/>
      </w:pPr>
      <w:r>
        <w:t xml:space="preserve">The research leading to these results has been co-funded by the Norway Grants 2014-2021 via the National Center for Research and Development, within the frame of the project: “Negative CO2 emission gas power </w:t>
      </w:r>
      <w:r>
        <w:lastRenderedPageBreak/>
        <w:t xml:space="preserve">plant” - NOR/POLNORCCS/NEGATIVE -CO2-PP/0009/2019-00 which is co-financed by program “Applied research” under the Norwegian Financial Mechanisms 2014-2021 POLNOR CCS 2019 - Development of CO2 capture solutions integrated in power and industry processes. TTT acknowledge funding from the Research Council of Norway (RCN), the Center of Excellence Funding Scheme, Project No. 262644, </w:t>
      </w:r>
      <w:proofErr w:type="spellStart"/>
      <w:r>
        <w:t>PoreLab</w:t>
      </w:r>
      <w:proofErr w:type="spellEnd"/>
      <w:r>
        <w:t>. Co-financing and support from Ton Duc Thang University, Vietnamese-</w:t>
      </w:r>
      <w:r w:rsidR="007E39D1">
        <w:t>German</w:t>
      </w:r>
      <w:r>
        <w:t xml:space="preserve"> University, and Norwegian University of Science and Technology are gratefully acknowledged.</w:t>
      </w:r>
    </w:p>
    <w:p w14:paraId="64A8F2C7" w14:textId="77777777" w:rsidR="00F33293" w:rsidRDefault="00F972EC">
      <w:pPr>
        <w:pStyle w:val="CETReference"/>
      </w:pPr>
      <w:r>
        <w:t>References</w:t>
      </w:r>
    </w:p>
    <w:p w14:paraId="6A6F5381" w14:textId="77777777" w:rsidR="007B082E" w:rsidRDefault="007B082E">
      <w:pPr>
        <w:pStyle w:val="CETBodytext"/>
        <w:rPr>
          <w:lang w:val="en-GB"/>
        </w:rPr>
      </w:pPr>
    </w:p>
    <w:p w14:paraId="52B641A9" w14:textId="7738F042" w:rsidR="00AA31DC" w:rsidRPr="00351110" w:rsidRDefault="00AA31DC" w:rsidP="00351110">
      <w:pPr>
        <w:pStyle w:val="CETReferencetext"/>
      </w:pPr>
      <w:r w:rsidRPr="00351110">
        <w:t xml:space="preserve">Van Duin, A. C., Dasgupta, S., Lorant, F., &amp; Goddard, W. A. (2001). </w:t>
      </w:r>
      <w:proofErr w:type="spellStart"/>
      <w:r w:rsidRPr="00351110">
        <w:t>ReaxFF</w:t>
      </w:r>
      <w:proofErr w:type="spellEnd"/>
      <w:r w:rsidRPr="00351110">
        <w:t>: a reactive force field for hydrocarbons. The Journal of Physical Chemistry A, 105(41), 9396-9409.</w:t>
      </w:r>
    </w:p>
    <w:p w14:paraId="5E09A8A6" w14:textId="6B1CD194" w:rsidR="0075138F" w:rsidRPr="00351110" w:rsidRDefault="0075138F" w:rsidP="00351110">
      <w:pPr>
        <w:pStyle w:val="CETReferencetext"/>
      </w:pPr>
      <w:r w:rsidRPr="00351110">
        <w:t xml:space="preserve">Arregi A., </w:t>
      </w:r>
      <w:proofErr w:type="spellStart"/>
      <w:r w:rsidRPr="00351110">
        <w:t>Amutio</w:t>
      </w:r>
      <w:proofErr w:type="spellEnd"/>
      <w:r w:rsidRPr="00351110">
        <w:t xml:space="preserve"> M., Lopez G., Bilbao J., </w:t>
      </w:r>
      <w:proofErr w:type="spellStart"/>
      <w:r w:rsidRPr="00351110">
        <w:t>Olazar</w:t>
      </w:r>
      <w:proofErr w:type="spellEnd"/>
      <w:r w:rsidRPr="00351110">
        <w:t xml:space="preserve"> M. (2018). Evaluation of thermochemical routes for hydrogen production from biomass: A review. Energy Convers. Manage., 165, 696-719.</w:t>
      </w:r>
    </w:p>
    <w:p w14:paraId="3397DBB2" w14:textId="77777777" w:rsidR="0075138F" w:rsidRPr="00351110" w:rsidRDefault="0075138F" w:rsidP="00351110">
      <w:pPr>
        <w:pStyle w:val="CETReferencetext"/>
      </w:pPr>
      <w:r w:rsidRPr="00351110">
        <w:t>Guo Y., Wang S., Xu D., Gong Y., Ma H., Tang X. (2010). Review of catalytic supercritical water gasification for hydrogen production from biomass. Renewable Sustainable Energy Rev., 14, 334-343.</w:t>
      </w:r>
    </w:p>
    <w:p w14:paraId="63D40B03" w14:textId="30466954" w:rsidR="0075138F" w:rsidRPr="00351110" w:rsidRDefault="0075138F" w:rsidP="00351110">
      <w:pPr>
        <w:pStyle w:val="CETReferencetext"/>
      </w:pPr>
      <w:r w:rsidRPr="00351110">
        <w:t>Ha D T., Tran K</w:t>
      </w:r>
      <w:r w:rsidR="001529B6" w:rsidRPr="00351110">
        <w:t>-Q</w:t>
      </w:r>
      <w:r w:rsidRPr="00351110">
        <w:t xml:space="preserve">., Trinh T </w:t>
      </w:r>
      <w:proofErr w:type="spellStart"/>
      <w:r w:rsidRPr="00351110">
        <w:t>T</w:t>
      </w:r>
      <w:proofErr w:type="spellEnd"/>
      <w:r w:rsidRPr="00351110">
        <w:t>. (2024). New insights into the hydrothermal carbonization process of sewage sludge: A reactive molecular dynamics study. Fuel, 361, 130692.</w:t>
      </w:r>
    </w:p>
    <w:p w14:paraId="0CF6C378" w14:textId="77777777" w:rsidR="0075138F" w:rsidRPr="00351110" w:rsidRDefault="0075138F" w:rsidP="00351110">
      <w:pPr>
        <w:pStyle w:val="CETReferencetext"/>
      </w:pPr>
      <w:r w:rsidRPr="00351110">
        <w:t xml:space="preserve">He P., Huang Y., Qiu J., Zhang H., Shao L., </w:t>
      </w:r>
      <w:proofErr w:type="spellStart"/>
      <w:r w:rsidRPr="00351110">
        <w:t>Lü</w:t>
      </w:r>
      <w:proofErr w:type="spellEnd"/>
      <w:r w:rsidRPr="00351110">
        <w:t xml:space="preserve"> F. (2022). Molecular diversity of liquid digestate from anaerobic digestion plants for biogenic waste. </w:t>
      </w:r>
      <w:proofErr w:type="spellStart"/>
      <w:r w:rsidRPr="00351110">
        <w:t>Bioresour</w:t>
      </w:r>
      <w:proofErr w:type="spellEnd"/>
      <w:r w:rsidRPr="00351110">
        <w:t>. Technol., 347, 126373.</w:t>
      </w:r>
    </w:p>
    <w:p w14:paraId="71B592BB" w14:textId="77777777" w:rsidR="0075138F" w:rsidRPr="00351110" w:rsidRDefault="0075138F" w:rsidP="00351110">
      <w:pPr>
        <w:pStyle w:val="CETReferencetext"/>
      </w:pPr>
      <w:r w:rsidRPr="00351110">
        <w:t>Hosseini S E., Wahid M A. (2016). Hydrogen production from renewable and sustainable energy resources: Promising green energy carrier for clean development. Renewable Sustainable Energy Rev., 57, 850-866.</w:t>
      </w:r>
    </w:p>
    <w:p w14:paraId="5DCAFC5A" w14:textId="77777777" w:rsidR="0075138F" w:rsidRPr="00351110" w:rsidRDefault="0075138F" w:rsidP="00351110">
      <w:pPr>
        <w:pStyle w:val="CETReferencetext"/>
      </w:pPr>
      <w:r w:rsidRPr="00351110">
        <w:t>Huelsman C M., Savage P E. (2012). Intermediates and kinetics for phenol gasification in supercritical water. Phys. Chem. Chem. Phys., 14, 2900.</w:t>
      </w:r>
    </w:p>
    <w:p w14:paraId="65B0BC17" w14:textId="15070BE2" w:rsidR="0075138F" w:rsidRPr="00351110" w:rsidRDefault="0075138F" w:rsidP="00351110">
      <w:pPr>
        <w:pStyle w:val="CETReferencetext"/>
      </w:pPr>
      <w:proofErr w:type="spellStart"/>
      <w:r w:rsidRPr="00351110">
        <w:t>Kaledin</w:t>
      </w:r>
      <w:proofErr w:type="spellEnd"/>
      <w:r w:rsidRPr="00351110">
        <w:t xml:space="preserve"> A L., van Duin </w:t>
      </w:r>
      <w:proofErr w:type="gramStart"/>
      <w:r w:rsidRPr="00351110">
        <w:t>A</w:t>
      </w:r>
      <w:proofErr w:type="gramEnd"/>
      <w:r w:rsidRPr="00351110">
        <w:t xml:space="preserve"> C., Hill C L., Musaev D G. (2013). Parameterization of Reactive Force Field: Dynamics of the </w:t>
      </w:r>
      <w:r w:rsidR="00957B5D" w:rsidRPr="00351110">
        <w:t>Nb6O19H8</w:t>
      </w:r>
      <w:r w:rsidRPr="00351110">
        <w:t xml:space="preserve"> Lindqvist Polyoxoanion in Bulk Water. J. Phys. Chem. A, 117, 6967-6974.</w:t>
      </w:r>
    </w:p>
    <w:p w14:paraId="482C98A5" w14:textId="77777777" w:rsidR="0075138F" w:rsidRPr="00351110" w:rsidRDefault="0075138F" w:rsidP="00351110">
      <w:pPr>
        <w:pStyle w:val="CETReferencetext"/>
      </w:pPr>
      <w:proofErr w:type="spellStart"/>
      <w:r w:rsidRPr="00351110">
        <w:t>Kalinci</w:t>
      </w:r>
      <w:proofErr w:type="spellEnd"/>
      <w:r w:rsidRPr="00351110">
        <w:t xml:space="preserve"> Y., </w:t>
      </w:r>
      <w:proofErr w:type="spellStart"/>
      <w:r w:rsidRPr="00351110">
        <w:t>Hepbasli</w:t>
      </w:r>
      <w:proofErr w:type="spellEnd"/>
      <w:r w:rsidRPr="00351110">
        <w:t xml:space="preserve"> A., Dincer I. (2009). Biomass-based hydrogen production: A review and analysis. Int. J. Hydrogen Energy, 34, 8799-8817.</w:t>
      </w:r>
    </w:p>
    <w:p w14:paraId="0A29717B" w14:textId="77777777" w:rsidR="0075138F" w:rsidRPr="00351110" w:rsidRDefault="0075138F" w:rsidP="00351110">
      <w:pPr>
        <w:pStyle w:val="CETReferencetext"/>
      </w:pPr>
      <w:r w:rsidRPr="00351110">
        <w:t xml:space="preserve">Kruse A. (2008). Supercritical water gasification. Biofuels </w:t>
      </w:r>
      <w:proofErr w:type="spellStart"/>
      <w:r w:rsidRPr="00351110">
        <w:t>Bioprod</w:t>
      </w:r>
      <w:proofErr w:type="spellEnd"/>
      <w:r w:rsidRPr="00351110">
        <w:t xml:space="preserve"> </w:t>
      </w:r>
      <w:proofErr w:type="spellStart"/>
      <w:r w:rsidRPr="00351110">
        <w:t>Bioref</w:t>
      </w:r>
      <w:proofErr w:type="spellEnd"/>
      <w:r w:rsidRPr="00351110">
        <w:t>, 2, 415-437.</w:t>
      </w:r>
    </w:p>
    <w:p w14:paraId="72F325DE" w14:textId="77777777" w:rsidR="0075138F" w:rsidRPr="00351110" w:rsidRDefault="0075138F" w:rsidP="00351110">
      <w:pPr>
        <w:pStyle w:val="CETReferencetext"/>
      </w:pPr>
      <w:r w:rsidRPr="00351110">
        <w:t>Li Y., Park S Y., Zhu J. (2011). Solid-state anaerobic digestion for methane production from organic waste. Renewable Sustainable Energy Rev., 15, 821-826.</w:t>
      </w:r>
    </w:p>
    <w:p w14:paraId="7500999A" w14:textId="77777777" w:rsidR="0075138F" w:rsidRPr="00351110" w:rsidRDefault="0075138F" w:rsidP="00351110">
      <w:pPr>
        <w:pStyle w:val="CETReferencetext"/>
      </w:pPr>
      <w:r w:rsidRPr="00351110">
        <w:t>Liu X., Wang T., Chu J., He M., Li Q., Zhang Y. (2020). Understanding lignin gasification in supercritical water using reactive molecular dynamics simulations. Renewable Energy, 161, 858-866.</w:t>
      </w:r>
    </w:p>
    <w:p w14:paraId="33118EC6" w14:textId="77777777" w:rsidR="0075138F" w:rsidRPr="00351110" w:rsidRDefault="0075138F" w:rsidP="00351110">
      <w:pPr>
        <w:pStyle w:val="CETReferencetext"/>
      </w:pPr>
      <w:r w:rsidRPr="00351110">
        <w:t xml:space="preserve">Mahmoodinia M., Trinh T </w:t>
      </w:r>
      <w:proofErr w:type="spellStart"/>
      <w:r w:rsidRPr="00351110">
        <w:t>T</w:t>
      </w:r>
      <w:proofErr w:type="spellEnd"/>
      <w:r w:rsidRPr="00351110">
        <w:t>., Åstrand P., Tran K. (2017). Geometrical flexibility of platinum nanoclusters: Impacts on catalytic decomposition of ethylene glycol. Phys. Chem. Chem. Phys., 19, 28596-28603.</w:t>
      </w:r>
    </w:p>
    <w:p w14:paraId="439F1613" w14:textId="77777777" w:rsidR="0075138F" w:rsidRPr="00351110" w:rsidRDefault="0075138F" w:rsidP="00351110">
      <w:pPr>
        <w:pStyle w:val="CETReferencetext"/>
      </w:pPr>
      <w:r w:rsidRPr="00351110">
        <w:t>Mata-Alvarez J., Dosta J., Romero-</w:t>
      </w:r>
      <w:proofErr w:type="spellStart"/>
      <w:r w:rsidRPr="00351110">
        <w:t>Güiza</w:t>
      </w:r>
      <w:proofErr w:type="spellEnd"/>
      <w:r w:rsidRPr="00351110">
        <w:t xml:space="preserve"> M., Fonoll X., </w:t>
      </w:r>
      <w:proofErr w:type="spellStart"/>
      <w:r w:rsidRPr="00351110">
        <w:t>Peces</w:t>
      </w:r>
      <w:proofErr w:type="spellEnd"/>
      <w:r w:rsidRPr="00351110">
        <w:t xml:space="preserve"> M., </w:t>
      </w:r>
      <w:proofErr w:type="spellStart"/>
      <w:r w:rsidRPr="00351110">
        <w:t>Astals</w:t>
      </w:r>
      <w:proofErr w:type="spellEnd"/>
      <w:r w:rsidRPr="00351110">
        <w:t xml:space="preserve"> S. (2014). A critical review on anaerobic co-digestion achievements between 2010 and 2013. Renewable Sustainable Energy Rev., 36, 412-427.</w:t>
      </w:r>
    </w:p>
    <w:p w14:paraId="491EB011" w14:textId="77777777" w:rsidR="0075138F" w:rsidRPr="00351110" w:rsidRDefault="0075138F" w:rsidP="00351110">
      <w:pPr>
        <w:pStyle w:val="CETReferencetext"/>
      </w:pPr>
      <w:r w:rsidRPr="00351110">
        <w:t xml:space="preserve">Matsumura Y., Minowa T., </w:t>
      </w:r>
      <w:proofErr w:type="spellStart"/>
      <w:r w:rsidRPr="00351110">
        <w:t>Potic</w:t>
      </w:r>
      <w:proofErr w:type="spellEnd"/>
      <w:r w:rsidRPr="00351110">
        <w:t xml:space="preserve"> B., Kersten S., Prins W., </w:t>
      </w:r>
      <w:proofErr w:type="spellStart"/>
      <w:r w:rsidRPr="00351110">
        <w:t>Vanswaaij</w:t>
      </w:r>
      <w:proofErr w:type="spellEnd"/>
      <w:r w:rsidRPr="00351110">
        <w:t xml:space="preserve"> W., </w:t>
      </w:r>
      <w:proofErr w:type="spellStart"/>
      <w:r w:rsidRPr="00351110">
        <w:t>Vandebeld</w:t>
      </w:r>
      <w:proofErr w:type="spellEnd"/>
      <w:r w:rsidRPr="00351110">
        <w:t xml:space="preserve"> B., Elliott D., Neuenschwander G., Kruse A. (2005). Biomass gasification in near- and super-critical water: Status and prospects. Biomass Bioenergy, 29, 269-292.</w:t>
      </w:r>
    </w:p>
    <w:p w14:paraId="39555BDC" w14:textId="77777777" w:rsidR="0075138F" w:rsidRPr="00351110" w:rsidRDefault="0075138F" w:rsidP="00351110">
      <w:pPr>
        <w:pStyle w:val="CETReferencetext"/>
      </w:pPr>
      <w:r w:rsidRPr="00351110">
        <w:t xml:space="preserve">Monti S., </w:t>
      </w:r>
      <w:proofErr w:type="spellStart"/>
      <w:r w:rsidRPr="00351110">
        <w:t>Corozzi</w:t>
      </w:r>
      <w:proofErr w:type="spellEnd"/>
      <w:r w:rsidRPr="00351110">
        <w:t xml:space="preserve"> A., Fristrup P., Joshi K L., Shin Y K., Oelschlaeger P., van Duin </w:t>
      </w:r>
      <w:proofErr w:type="gramStart"/>
      <w:r w:rsidRPr="00351110">
        <w:t>A</w:t>
      </w:r>
      <w:proofErr w:type="gramEnd"/>
      <w:r w:rsidRPr="00351110">
        <w:t xml:space="preserve"> C., Barone V. (2013). Exploring the conformational and reactive dynamics of biomolecules in solution using an extended version of the glycine reactive force field. Phys. Chem. Chem. Phys., 15, 15062.</w:t>
      </w:r>
    </w:p>
    <w:p w14:paraId="3697797F" w14:textId="77777777" w:rsidR="0075138F" w:rsidRPr="00351110" w:rsidRDefault="0075138F" w:rsidP="00351110">
      <w:pPr>
        <w:pStyle w:val="CETReferencetext"/>
      </w:pPr>
      <w:r w:rsidRPr="00351110">
        <w:t>Nkoa R. (2013). Agricultural benefits and environmental risks of soil fertilization with anaerobic digestates: A review. Agron. Sustain. Dev., 34, 473-492.</w:t>
      </w:r>
    </w:p>
    <w:p w14:paraId="6C1CC2BE" w14:textId="77777777" w:rsidR="0075138F" w:rsidRPr="00351110" w:rsidRDefault="0075138F" w:rsidP="00351110">
      <w:pPr>
        <w:pStyle w:val="CETReferencetext"/>
      </w:pPr>
      <w:proofErr w:type="spellStart"/>
      <w:r w:rsidRPr="00351110">
        <w:t>Promdej</w:t>
      </w:r>
      <w:proofErr w:type="spellEnd"/>
      <w:r w:rsidRPr="00351110">
        <w:t xml:space="preserve"> C., Matsumura Y. (2011). Temperature Effect on Hydrothermal Decomposition of Glucose in Sub- </w:t>
      </w:r>
      <w:proofErr w:type="gramStart"/>
      <w:r w:rsidRPr="00351110">
        <w:t>And</w:t>
      </w:r>
      <w:proofErr w:type="gramEnd"/>
      <w:r w:rsidRPr="00351110">
        <w:t xml:space="preserve"> Supercritical Water. Ind. Eng. Chem. Res., 50, 8492-8497.</w:t>
      </w:r>
    </w:p>
    <w:p w14:paraId="2667E969" w14:textId="77777777" w:rsidR="0075138F" w:rsidRPr="00351110" w:rsidRDefault="0075138F" w:rsidP="00351110">
      <w:pPr>
        <w:pStyle w:val="CETReferencetext"/>
      </w:pPr>
      <w:r w:rsidRPr="00351110">
        <w:t>Reddy S N., Nanda S., Dalai A K., Kozinski J A. (2014). Supercritical water gasification of biomass for hydrogen production. Int. J. Hydrogen Energy, 39, 6912-6926.</w:t>
      </w:r>
    </w:p>
    <w:p w14:paraId="684227BC" w14:textId="6FB91EAC" w:rsidR="0075138F" w:rsidRPr="00351110" w:rsidRDefault="0075138F" w:rsidP="00351110">
      <w:pPr>
        <w:pStyle w:val="CETReferencetext"/>
      </w:pPr>
      <w:r w:rsidRPr="00351110">
        <w:t>Tran K</w:t>
      </w:r>
      <w:r w:rsidR="00236DFC" w:rsidRPr="00351110">
        <w:t>-Q</w:t>
      </w:r>
      <w:r w:rsidRPr="00351110">
        <w:t xml:space="preserve">., Werle S., Trinh T </w:t>
      </w:r>
      <w:proofErr w:type="spellStart"/>
      <w:r w:rsidRPr="00351110">
        <w:t>T</w:t>
      </w:r>
      <w:proofErr w:type="spellEnd"/>
      <w:r w:rsidRPr="00351110">
        <w:t xml:space="preserve">., Magdziarz A., Sobek S., </w:t>
      </w:r>
      <w:proofErr w:type="spellStart"/>
      <w:r w:rsidRPr="00351110">
        <w:t>Pogrzeba</w:t>
      </w:r>
      <w:proofErr w:type="spellEnd"/>
      <w:r w:rsidRPr="00351110">
        <w:t xml:space="preserve"> M. (2020). Fuel characterization and thermal degradation kinetics of biomass from phytoremediation plants. Biomass Bioenergy, 134, 105469.</w:t>
      </w:r>
    </w:p>
    <w:p w14:paraId="5E05C173" w14:textId="77777777" w:rsidR="0075138F" w:rsidRPr="00351110" w:rsidRDefault="0075138F" w:rsidP="00351110">
      <w:pPr>
        <w:pStyle w:val="CETReferencetext"/>
      </w:pPr>
      <w:r w:rsidRPr="00351110">
        <w:t xml:space="preserve">Verstraete W., </w:t>
      </w:r>
      <w:proofErr w:type="spellStart"/>
      <w:r w:rsidRPr="00351110">
        <w:t>Vlaeminck</w:t>
      </w:r>
      <w:proofErr w:type="spellEnd"/>
      <w:r w:rsidRPr="00351110">
        <w:t xml:space="preserve"> S E. (2011). </w:t>
      </w:r>
      <w:proofErr w:type="spellStart"/>
      <w:r w:rsidRPr="00351110">
        <w:t>ZeroWasteWater</w:t>
      </w:r>
      <w:proofErr w:type="spellEnd"/>
      <w:r w:rsidRPr="00351110">
        <w:t xml:space="preserve">: </w:t>
      </w:r>
      <w:proofErr w:type="gramStart"/>
      <w:r w:rsidRPr="00351110">
        <w:t>Short-cycling</w:t>
      </w:r>
      <w:proofErr w:type="gramEnd"/>
      <w:r w:rsidRPr="00351110">
        <w:t xml:space="preserve"> of wastewater resources for sustainable cities of the future. International Journal of Sustainable Development &amp;amp; World Ecology, 18, 253-264.</w:t>
      </w:r>
    </w:p>
    <w:p w14:paraId="79109A33" w14:textId="3F48F951" w:rsidR="0075138F" w:rsidRPr="00351110" w:rsidRDefault="0075138F" w:rsidP="00351110">
      <w:pPr>
        <w:pStyle w:val="CETReferencetext"/>
      </w:pPr>
      <w:r w:rsidRPr="00351110">
        <w:t>Zhang L., Xu C, Champagne P. (2010). Overview of recent advances in thermo-chemical conversion of biomass. Energy Convers. Manage., 51, 969-982.</w:t>
      </w:r>
    </w:p>
    <w:sectPr w:rsidR="0075138F" w:rsidRPr="00351110">
      <w:type w:val="continuous"/>
      <w:pgSz w:w="11906" w:h="16838" w:orient="landscape"/>
      <w:pgMar w:top="1701" w:right="1418" w:bottom="1701" w:left="1701" w:header="1701"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E7591F" w14:textId="77777777" w:rsidR="007D3816" w:rsidRDefault="007D3816">
      <w:r>
        <w:separator/>
      </w:r>
    </w:p>
  </w:endnote>
  <w:endnote w:type="continuationSeparator" w:id="0">
    <w:p w14:paraId="5AFF44E3" w14:textId="77777777" w:rsidR="007D3816" w:rsidRDefault="007D38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8124E7" w14:textId="77777777" w:rsidR="007D3816" w:rsidRDefault="007D3816">
      <w:r>
        <w:separator/>
      </w:r>
    </w:p>
  </w:footnote>
  <w:footnote w:type="continuationSeparator" w:id="0">
    <w:p w14:paraId="6F13D73F" w14:textId="77777777" w:rsidR="007D3816" w:rsidRDefault="007D38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02BDC"/>
    <w:multiLevelType w:val="multilevel"/>
    <w:tmpl w:val="A4EEDF2E"/>
    <w:lvl w:ilvl="0">
      <w:start w:val="1"/>
      <w:numFmt w:val="bullet"/>
      <w:pStyle w:val="CETnumberingbullets"/>
      <w:suff w:val="space"/>
      <w:lvlText w:val=""/>
      <w:lvlJc w:val="left"/>
      <w:pPr>
        <w:ind w:left="340" w:hanging="227"/>
      </w:pPr>
      <w:rPr>
        <w:rFonts w:ascii="Symbol" w:hAnsi="Symbol" w:hint="default"/>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1" w15:restartNumberingAfterBreak="0">
    <w:nsid w:val="13864211"/>
    <w:multiLevelType w:val="multilevel"/>
    <w:tmpl w:val="AC00158E"/>
    <w:lvl w:ilvl="0">
      <w:start w:val="1"/>
      <w:numFmt w:val="bullet"/>
      <w:suff w:val="space"/>
      <w:lvlText w:val=""/>
      <w:lvlJc w:val="left"/>
      <w:pPr>
        <w:ind w:left="720" w:hanging="360"/>
      </w:pPr>
      <w:rPr>
        <w:rFonts w:ascii="Symbol" w:hAnsi="Symbol" w:hint="default"/>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2" w15:restartNumberingAfterBreak="0">
    <w:nsid w:val="17A71D4B"/>
    <w:multiLevelType w:val="multilevel"/>
    <w:tmpl w:val="081454F8"/>
    <w:lvl w:ilvl="0">
      <w:start w:val="1"/>
      <w:numFmt w:val="decimal"/>
      <w:pStyle w:val="ListNumber5"/>
      <w:suff w:val="space"/>
      <w:lvlText w:val="%1."/>
      <w:lvlJc w:val="left"/>
      <w:pPr>
        <w:tabs>
          <w:tab w:val="num" w:pos="1492"/>
        </w:tabs>
        <w:ind w:left="1492" w:hanging="360"/>
      </w:pPr>
    </w:lvl>
    <w:lvl w:ilvl="1">
      <w:start w:val="1"/>
      <w:numFmt w:val="bullet"/>
      <w:suff w:val="space"/>
      <w:lvlText w:val="o"/>
      <w:lvlJc w:val="left"/>
      <w:pPr>
        <w:ind w:left="1440" w:hanging="360"/>
      </w:pPr>
      <w:rPr>
        <w:rFonts w:ascii="Courier New" w:eastAsia="Courier New" w:hAnsi="Courier New" w:cs="Courier New" w:hint="default"/>
      </w:rPr>
    </w:lvl>
    <w:lvl w:ilvl="2">
      <w:start w:val="1"/>
      <w:numFmt w:val="bullet"/>
      <w:suff w:val="space"/>
      <w:lvlText w:val="§"/>
      <w:lvlJc w:val="left"/>
      <w:pPr>
        <w:ind w:left="2160" w:hanging="360"/>
      </w:pPr>
      <w:rPr>
        <w:rFonts w:ascii="Wingdings" w:eastAsia="Wingdings" w:hAnsi="Wingdings" w:cs="Wingdings" w:hint="default"/>
      </w:rPr>
    </w:lvl>
    <w:lvl w:ilvl="3">
      <w:start w:val="1"/>
      <w:numFmt w:val="bullet"/>
      <w:suff w:val="space"/>
      <w:lvlText w:val="·"/>
      <w:lvlJc w:val="left"/>
      <w:pPr>
        <w:ind w:left="2880" w:hanging="360"/>
      </w:pPr>
      <w:rPr>
        <w:rFonts w:ascii="Symbol" w:eastAsia="Symbol" w:hAnsi="Symbol" w:cs="Symbol" w:hint="default"/>
      </w:rPr>
    </w:lvl>
    <w:lvl w:ilvl="4">
      <w:start w:val="1"/>
      <w:numFmt w:val="bullet"/>
      <w:suff w:val="space"/>
      <w:lvlText w:val="o"/>
      <w:lvlJc w:val="left"/>
      <w:pPr>
        <w:ind w:left="3600" w:hanging="360"/>
      </w:pPr>
      <w:rPr>
        <w:rFonts w:ascii="Courier New" w:eastAsia="Courier New" w:hAnsi="Courier New" w:cs="Courier New" w:hint="default"/>
      </w:rPr>
    </w:lvl>
    <w:lvl w:ilvl="5">
      <w:start w:val="1"/>
      <w:numFmt w:val="bullet"/>
      <w:suff w:val="space"/>
      <w:lvlText w:val="§"/>
      <w:lvlJc w:val="left"/>
      <w:pPr>
        <w:ind w:left="4320" w:hanging="360"/>
      </w:pPr>
      <w:rPr>
        <w:rFonts w:ascii="Wingdings" w:eastAsia="Wingdings" w:hAnsi="Wingdings" w:cs="Wingdings" w:hint="default"/>
      </w:rPr>
    </w:lvl>
    <w:lvl w:ilvl="6">
      <w:start w:val="1"/>
      <w:numFmt w:val="bullet"/>
      <w:suff w:val="space"/>
      <w:lvlText w:val="·"/>
      <w:lvlJc w:val="left"/>
      <w:pPr>
        <w:ind w:left="5040" w:hanging="360"/>
      </w:pPr>
      <w:rPr>
        <w:rFonts w:ascii="Symbol" w:eastAsia="Symbol" w:hAnsi="Symbol" w:cs="Symbol" w:hint="default"/>
      </w:rPr>
    </w:lvl>
    <w:lvl w:ilvl="7">
      <w:start w:val="1"/>
      <w:numFmt w:val="bullet"/>
      <w:suff w:val="space"/>
      <w:lvlText w:val="o"/>
      <w:lvlJc w:val="left"/>
      <w:pPr>
        <w:ind w:left="5760" w:hanging="360"/>
      </w:pPr>
      <w:rPr>
        <w:rFonts w:ascii="Courier New" w:eastAsia="Courier New" w:hAnsi="Courier New" w:cs="Courier New" w:hint="default"/>
      </w:rPr>
    </w:lvl>
    <w:lvl w:ilvl="8">
      <w:start w:val="1"/>
      <w:numFmt w:val="bullet"/>
      <w:suff w:val="space"/>
      <w:lvlText w:val="§"/>
      <w:lvlJc w:val="left"/>
      <w:pPr>
        <w:ind w:left="6480" w:hanging="360"/>
      </w:pPr>
      <w:rPr>
        <w:rFonts w:ascii="Wingdings" w:eastAsia="Wingdings" w:hAnsi="Wingdings" w:cs="Wingdings" w:hint="default"/>
      </w:rPr>
    </w:lvl>
  </w:abstractNum>
  <w:abstractNum w:abstractNumId="3" w15:restartNumberingAfterBreak="0">
    <w:nsid w:val="195F0D9C"/>
    <w:multiLevelType w:val="multilevel"/>
    <w:tmpl w:val="B4EEA406"/>
    <w:lvl w:ilvl="0">
      <w:start w:val="1"/>
      <w:numFmt w:val="decimal"/>
      <w:pStyle w:val="ListNumber3"/>
      <w:suff w:val="space"/>
      <w:lvlText w:val="%1."/>
      <w:lvlJc w:val="left"/>
      <w:pPr>
        <w:tabs>
          <w:tab w:val="num" w:pos="926"/>
        </w:tabs>
        <w:ind w:left="926" w:hanging="360"/>
      </w:pPr>
    </w:lvl>
    <w:lvl w:ilvl="1">
      <w:start w:val="1"/>
      <w:numFmt w:val="bullet"/>
      <w:suff w:val="space"/>
      <w:lvlText w:val="o"/>
      <w:lvlJc w:val="left"/>
      <w:pPr>
        <w:ind w:left="1440" w:hanging="360"/>
      </w:pPr>
      <w:rPr>
        <w:rFonts w:ascii="Courier New" w:eastAsia="Courier New" w:hAnsi="Courier New" w:cs="Courier New" w:hint="default"/>
      </w:rPr>
    </w:lvl>
    <w:lvl w:ilvl="2">
      <w:start w:val="1"/>
      <w:numFmt w:val="bullet"/>
      <w:suff w:val="space"/>
      <w:lvlText w:val="§"/>
      <w:lvlJc w:val="left"/>
      <w:pPr>
        <w:ind w:left="2160" w:hanging="360"/>
      </w:pPr>
      <w:rPr>
        <w:rFonts w:ascii="Wingdings" w:eastAsia="Wingdings" w:hAnsi="Wingdings" w:cs="Wingdings" w:hint="default"/>
      </w:rPr>
    </w:lvl>
    <w:lvl w:ilvl="3">
      <w:start w:val="1"/>
      <w:numFmt w:val="bullet"/>
      <w:suff w:val="space"/>
      <w:lvlText w:val="·"/>
      <w:lvlJc w:val="left"/>
      <w:pPr>
        <w:ind w:left="2880" w:hanging="360"/>
      </w:pPr>
      <w:rPr>
        <w:rFonts w:ascii="Symbol" w:eastAsia="Symbol" w:hAnsi="Symbol" w:cs="Symbol" w:hint="default"/>
      </w:rPr>
    </w:lvl>
    <w:lvl w:ilvl="4">
      <w:start w:val="1"/>
      <w:numFmt w:val="bullet"/>
      <w:suff w:val="space"/>
      <w:lvlText w:val="o"/>
      <w:lvlJc w:val="left"/>
      <w:pPr>
        <w:ind w:left="3600" w:hanging="360"/>
      </w:pPr>
      <w:rPr>
        <w:rFonts w:ascii="Courier New" w:eastAsia="Courier New" w:hAnsi="Courier New" w:cs="Courier New" w:hint="default"/>
      </w:rPr>
    </w:lvl>
    <w:lvl w:ilvl="5">
      <w:start w:val="1"/>
      <w:numFmt w:val="bullet"/>
      <w:suff w:val="space"/>
      <w:lvlText w:val="§"/>
      <w:lvlJc w:val="left"/>
      <w:pPr>
        <w:ind w:left="4320" w:hanging="360"/>
      </w:pPr>
      <w:rPr>
        <w:rFonts w:ascii="Wingdings" w:eastAsia="Wingdings" w:hAnsi="Wingdings" w:cs="Wingdings" w:hint="default"/>
      </w:rPr>
    </w:lvl>
    <w:lvl w:ilvl="6">
      <w:start w:val="1"/>
      <w:numFmt w:val="bullet"/>
      <w:suff w:val="space"/>
      <w:lvlText w:val="·"/>
      <w:lvlJc w:val="left"/>
      <w:pPr>
        <w:ind w:left="5040" w:hanging="360"/>
      </w:pPr>
      <w:rPr>
        <w:rFonts w:ascii="Symbol" w:eastAsia="Symbol" w:hAnsi="Symbol" w:cs="Symbol" w:hint="default"/>
      </w:rPr>
    </w:lvl>
    <w:lvl w:ilvl="7">
      <w:start w:val="1"/>
      <w:numFmt w:val="bullet"/>
      <w:suff w:val="space"/>
      <w:lvlText w:val="o"/>
      <w:lvlJc w:val="left"/>
      <w:pPr>
        <w:ind w:left="5760" w:hanging="360"/>
      </w:pPr>
      <w:rPr>
        <w:rFonts w:ascii="Courier New" w:eastAsia="Courier New" w:hAnsi="Courier New" w:cs="Courier New" w:hint="default"/>
      </w:rPr>
    </w:lvl>
    <w:lvl w:ilvl="8">
      <w:start w:val="1"/>
      <w:numFmt w:val="bullet"/>
      <w:suff w:val="space"/>
      <w:lvlText w:val="§"/>
      <w:lvlJc w:val="left"/>
      <w:pPr>
        <w:ind w:left="6480" w:hanging="360"/>
      </w:pPr>
      <w:rPr>
        <w:rFonts w:ascii="Wingdings" w:eastAsia="Wingdings" w:hAnsi="Wingdings" w:cs="Wingdings" w:hint="default"/>
      </w:rPr>
    </w:lvl>
  </w:abstractNum>
  <w:abstractNum w:abstractNumId="4" w15:restartNumberingAfterBreak="0">
    <w:nsid w:val="200F131E"/>
    <w:multiLevelType w:val="multilevel"/>
    <w:tmpl w:val="4DF64094"/>
    <w:lvl w:ilvl="0">
      <w:start w:val="1"/>
      <w:numFmt w:val="bullet"/>
      <w:suff w:val="space"/>
      <w:lvlText w:val=""/>
      <w:lvlJc w:val="left"/>
      <w:pPr>
        <w:ind w:left="720" w:hanging="360"/>
      </w:pPr>
      <w:rPr>
        <w:rFonts w:ascii="Symbol" w:hAnsi="Symbol" w:hint="default"/>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5" w15:restartNumberingAfterBreak="0">
    <w:nsid w:val="279A7BF1"/>
    <w:multiLevelType w:val="multilevel"/>
    <w:tmpl w:val="259A094A"/>
    <w:lvl w:ilvl="0">
      <w:start w:val="1"/>
      <w:numFmt w:val="bullet"/>
      <w:pStyle w:val="ListBullet4"/>
      <w:suff w:val="space"/>
      <w:lvlText w:val=""/>
      <w:lvlJc w:val="left"/>
      <w:pPr>
        <w:tabs>
          <w:tab w:val="num" w:pos="1209"/>
        </w:tabs>
        <w:ind w:left="1209" w:hanging="360"/>
      </w:pPr>
      <w:rPr>
        <w:rFonts w:ascii="Symbol" w:hAnsi="Symbol" w:hint="default"/>
      </w:rPr>
    </w:lvl>
    <w:lvl w:ilvl="1">
      <w:start w:val="1"/>
      <w:numFmt w:val="bullet"/>
      <w:suff w:val="space"/>
      <w:lvlText w:val="o"/>
      <w:lvlJc w:val="left"/>
      <w:pPr>
        <w:ind w:left="1440" w:hanging="360"/>
      </w:pPr>
      <w:rPr>
        <w:rFonts w:ascii="Courier New" w:eastAsia="Courier New" w:hAnsi="Courier New" w:cs="Courier New" w:hint="default"/>
      </w:rPr>
    </w:lvl>
    <w:lvl w:ilvl="2">
      <w:start w:val="1"/>
      <w:numFmt w:val="bullet"/>
      <w:suff w:val="space"/>
      <w:lvlText w:val="§"/>
      <w:lvlJc w:val="left"/>
      <w:pPr>
        <w:ind w:left="2160" w:hanging="360"/>
      </w:pPr>
      <w:rPr>
        <w:rFonts w:ascii="Wingdings" w:eastAsia="Wingdings" w:hAnsi="Wingdings" w:cs="Wingdings" w:hint="default"/>
      </w:rPr>
    </w:lvl>
    <w:lvl w:ilvl="3">
      <w:start w:val="1"/>
      <w:numFmt w:val="bullet"/>
      <w:suff w:val="space"/>
      <w:lvlText w:val="·"/>
      <w:lvlJc w:val="left"/>
      <w:pPr>
        <w:ind w:left="2880" w:hanging="360"/>
      </w:pPr>
      <w:rPr>
        <w:rFonts w:ascii="Symbol" w:eastAsia="Symbol" w:hAnsi="Symbol" w:cs="Symbol" w:hint="default"/>
      </w:rPr>
    </w:lvl>
    <w:lvl w:ilvl="4">
      <w:start w:val="1"/>
      <w:numFmt w:val="bullet"/>
      <w:suff w:val="space"/>
      <w:lvlText w:val="o"/>
      <w:lvlJc w:val="left"/>
      <w:pPr>
        <w:ind w:left="3600" w:hanging="360"/>
      </w:pPr>
      <w:rPr>
        <w:rFonts w:ascii="Courier New" w:eastAsia="Courier New" w:hAnsi="Courier New" w:cs="Courier New" w:hint="default"/>
      </w:rPr>
    </w:lvl>
    <w:lvl w:ilvl="5">
      <w:start w:val="1"/>
      <w:numFmt w:val="bullet"/>
      <w:suff w:val="space"/>
      <w:lvlText w:val="§"/>
      <w:lvlJc w:val="left"/>
      <w:pPr>
        <w:ind w:left="4320" w:hanging="360"/>
      </w:pPr>
      <w:rPr>
        <w:rFonts w:ascii="Wingdings" w:eastAsia="Wingdings" w:hAnsi="Wingdings" w:cs="Wingdings" w:hint="default"/>
      </w:rPr>
    </w:lvl>
    <w:lvl w:ilvl="6">
      <w:start w:val="1"/>
      <w:numFmt w:val="bullet"/>
      <w:suff w:val="space"/>
      <w:lvlText w:val="·"/>
      <w:lvlJc w:val="left"/>
      <w:pPr>
        <w:ind w:left="5040" w:hanging="360"/>
      </w:pPr>
      <w:rPr>
        <w:rFonts w:ascii="Symbol" w:eastAsia="Symbol" w:hAnsi="Symbol" w:cs="Symbol" w:hint="default"/>
      </w:rPr>
    </w:lvl>
    <w:lvl w:ilvl="7">
      <w:start w:val="1"/>
      <w:numFmt w:val="bullet"/>
      <w:suff w:val="space"/>
      <w:lvlText w:val="o"/>
      <w:lvlJc w:val="left"/>
      <w:pPr>
        <w:ind w:left="5760" w:hanging="360"/>
      </w:pPr>
      <w:rPr>
        <w:rFonts w:ascii="Courier New" w:eastAsia="Courier New" w:hAnsi="Courier New" w:cs="Courier New" w:hint="default"/>
      </w:rPr>
    </w:lvl>
    <w:lvl w:ilvl="8">
      <w:start w:val="1"/>
      <w:numFmt w:val="bullet"/>
      <w:suff w:val="space"/>
      <w:lvlText w:val="§"/>
      <w:lvlJc w:val="left"/>
      <w:pPr>
        <w:ind w:left="6480" w:hanging="360"/>
      </w:pPr>
      <w:rPr>
        <w:rFonts w:ascii="Wingdings" w:eastAsia="Wingdings" w:hAnsi="Wingdings" w:cs="Wingdings" w:hint="default"/>
      </w:rPr>
    </w:lvl>
  </w:abstractNum>
  <w:abstractNum w:abstractNumId="6" w15:restartNumberingAfterBreak="0">
    <w:nsid w:val="29BE1DB2"/>
    <w:multiLevelType w:val="multilevel"/>
    <w:tmpl w:val="F8DA715C"/>
    <w:lvl w:ilvl="0">
      <w:start w:val="1"/>
      <w:numFmt w:val="bullet"/>
      <w:pStyle w:val="ListBullet2"/>
      <w:suff w:val="space"/>
      <w:lvlText w:val=""/>
      <w:lvlJc w:val="left"/>
      <w:pPr>
        <w:tabs>
          <w:tab w:val="num" w:pos="643"/>
        </w:tabs>
        <w:ind w:left="643" w:hanging="360"/>
      </w:pPr>
      <w:rPr>
        <w:rFonts w:ascii="Symbol" w:hAnsi="Symbol" w:hint="default"/>
      </w:rPr>
    </w:lvl>
    <w:lvl w:ilvl="1">
      <w:start w:val="1"/>
      <w:numFmt w:val="bullet"/>
      <w:suff w:val="space"/>
      <w:lvlText w:val="o"/>
      <w:lvlJc w:val="left"/>
      <w:pPr>
        <w:ind w:left="1440" w:hanging="360"/>
      </w:pPr>
      <w:rPr>
        <w:rFonts w:ascii="Courier New" w:eastAsia="Courier New" w:hAnsi="Courier New" w:cs="Courier New" w:hint="default"/>
      </w:rPr>
    </w:lvl>
    <w:lvl w:ilvl="2">
      <w:start w:val="1"/>
      <w:numFmt w:val="bullet"/>
      <w:suff w:val="space"/>
      <w:lvlText w:val="§"/>
      <w:lvlJc w:val="left"/>
      <w:pPr>
        <w:ind w:left="2160" w:hanging="360"/>
      </w:pPr>
      <w:rPr>
        <w:rFonts w:ascii="Wingdings" w:eastAsia="Wingdings" w:hAnsi="Wingdings" w:cs="Wingdings" w:hint="default"/>
      </w:rPr>
    </w:lvl>
    <w:lvl w:ilvl="3">
      <w:start w:val="1"/>
      <w:numFmt w:val="bullet"/>
      <w:suff w:val="space"/>
      <w:lvlText w:val="·"/>
      <w:lvlJc w:val="left"/>
      <w:pPr>
        <w:ind w:left="2880" w:hanging="360"/>
      </w:pPr>
      <w:rPr>
        <w:rFonts w:ascii="Symbol" w:eastAsia="Symbol" w:hAnsi="Symbol" w:cs="Symbol" w:hint="default"/>
      </w:rPr>
    </w:lvl>
    <w:lvl w:ilvl="4">
      <w:start w:val="1"/>
      <w:numFmt w:val="bullet"/>
      <w:suff w:val="space"/>
      <w:lvlText w:val="o"/>
      <w:lvlJc w:val="left"/>
      <w:pPr>
        <w:ind w:left="3600" w:hanging="360"/>
      </w:pPr>
      <w:rPr>
        <w:rFonts w:ascii="Courier New" w:eastAsia="Courier New" w:hAnsi="Courier New" w:cs="Courier New" w:hint="default"/>
      </w:rPr>
    </w:lvl>
    <w:lvl w:ilvl="5">
      <w:start w:val="1"/>
      <w:numFmt w:val="bullet"/>
      <w:suff w:val="space"/>
      <w:lvlText w:val="§"/>
      <w:lvlJc w:val="left"/>
      <w:pPr>
        <w:ind w:left="4320" w:hanging="360"/>
      </w:pPr>
      <w:rPr>
        <w:rFonts w:ascii="Wingdings" w:eastAsia="Wingdings" w:hAnsi="Wingdings" w:cs="Wingdings" w:hint="default"/>
      </w:rPr>
    </w:lvl>
    <w:lvl w:ilvl="6">
      <w:start w:val="1"/>
      <w:numFmt w:val="bullet"/>
      <w:suff w:val="space"/>
      <w:lvlText w:val="·"/>
      <w:lvlJc w:val="left"/>
      <w:pPr>
        <w:ind w:left="5040" w:hanging="360"/>
      </w:pPr>
      <w:rPr>
        <w:rFonts w:ascii="Symbol" w:eastAsia="Symbol" w:hAnsi="Symbol" w:cs="Symbol" w:hint="default"/>
      </w:rPr>
    </w:lvl>
    <w:lvl w:ilvl="7">
      <w:start w:val="1"/>
      <w:numFmt w:val="bullet"/>
      <w:suff w:val="space"/>
      <w:lvlText w:val="o"/>
      <w:lvlJc w:val="left"/>
      <w:pPr>
        <w:ind w:left="5760" w:hanging="360"/>
      </w:pPr>
      <w:rPr>
        <w:rFonts w:ascii="Courier New" w:eastAsia="Courier New" w:hAnsi="Courier New" w:cs="Courier New" w:hint="default"/>
      </w:rPr>
    </w:lvl>
    <w:lvl w:ilvl="8">
      <w:start w:val="1"/>
      <w:numFmt w:val="bullet"/>
      <w:suff w:val="space"/>
      <w:lvlText w:val="§"/>
      <w:lvlJc w:val="left"/>
      <w:pPr>
        <w:ind w:left="6480" w:hanging="360"/>
      </w:pPr>
      <w:rPr>
        <w:rFonts w:ascii="Wingdings" w:eastAsia="Wingdings" w:hAnsi="Wingdings" w:cs="Wingdings" w:hint="default"/>
      </w:rPr>
    </w:lvl>
  </w:abstractNum>
  <w:abstractNum w:abstractNumId="7" w15:restartNumberingAfterBreak="0">
    <w:nsid w:val="2E5828C0"/>
    <w:multiLevelType w:val="multilevel"/>
    <w:tmpl w:val="2A3E1A80"/>
    <w:lvl w:ilvl="0">
      <w:start w:val="1"/>
      <w:numFmt w:val="bullet"/>
      <w:suff w:val="space"/>
      <w:lvlText w:val=""/>
      <w:lvlJc w:val="left"/>
      <w:pPr>
        <w:ind w:left="720" w:hanging="360"/>
      </w:pPr>
      <w:rPr>
        <w:rFonts w:ascii="Symbol" w:hAnsi="Symbol" w:hint="default"/>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8" w15:restartNumberingAfterBreak="0">
    <w:nsid w:val="30BC470E"/>
    <w:multiLevelType w:val="multilevel"/>
    <w:tmpl w:val="75825EB4"/>
    <w:lvl w:ilvl="0">
      <w:start w:val="1"/>
      <w:numFmt w:val="bullet"/>
      <w:pStyle w:val="ListBullet5"/>
      <w:suff w:val="space"/>
      <w:lvlText w:val=""/>
      <w:lvlJc w:val="left"/>
      <w:pPr>
        <w:tabs>
          <w:tab w:val="num" w:pos="1492"/>
        </w:tabs>
        <w:ind w:left="1492" w:hanging="360"/>
      </w:pPr>
      <w:rPr>
        <w:rFonts w:ascii="Symbol" w:hAnsi="Symbol" w:hint="default"/>
      </w:rPr>
    </w:lvl>
    <w:lvl w:ilvl="1">
      <w:start w:val="1"/>
      <w:numFmt w:val="bullet"/>
      <w:suff w:val="space"/>
      <w:lvlText w:val="o"/>
      <w:lvlJc w:val="left"/>
      <w:pPr>
        <w:ind w:left="1440" w:hanging="360"/>
      </w:pPr>
      <w:rPr>
        <w:rFonts w:ascii="Courier New" w:eastAsia="Courier New" w:hAnsi="Courier New" w:cs="Courier New" w:hint="default"/>
      </w:rPr>
    </w:lvl>
    <w:lvl w:ilvl="2">
      <w:start w:val="1"/>
      <w:numFmt w:val="bullet"/>
      <w:suff w:val="space"/>
      <w:lvlText w:val="§"/>
      <w:lvlJc w:val="left"/>
      <w:pPr>
        <w:ind w:left="2160" w:hanging="360"/>
      </w:pPr>
      <w:rPr>
        <w:rFonts w:ascii="Wingdings" w:eastAsia="Wingdings" w:hAnsi="Wingdings" w:cs="Wingdings" w:hint="default"/>
      </w:rPr>
    </w:lvl>
    <w:lvl w:ilvl="3">
      <w:start w:val="1"/>
      <w:numFmt w:val="bullet"/>
      <w:suff w:val="space"/>
      <w:lvlText w:val="·"/>
      <w:lvlJc w:val="left"/>
      <w:pPr>
        <w:ind w:left="2880" w:hanging="360"/>
      </w:pPr>
      <w:rPr>
        <w:rFonts w:ascii="Symbol" w:eastAsia="Symbol" w:hAnsi="Symbol" w:cs="Symbol" w:hint="default"/>
      </w:rPr>
    </w:lvl>
    <w:lvl w:ilvl="4">
      <w:start w:val="1"/>
      <w:numFmt w:val="bullet"/>
      <w:suff w:val="space"/>
      <w:lvlText w:val="o"/>
      <w:lvlJc w:val="left"/>
      <w:pPr>
        <w:ind w:left="3600" w:hanging="360"/>
      </w:pPr>
      <w:rPr>
        <w:rFonts w:ascii="Courier New" w:eastAsia="Courier New" w:hAnsi="Courier New" w:cs="Courier New" w:hint="default"/>
      </w:rPr>
    </w:lvl>
    <w:lvl w:ilvl="5">
      <w:start w:val="1"/>
      <w:numFmt w:val="bullet"/>
      <w:suff w:val="space"/>
      <w:lvlText w:val="§"/>
      <w:lvlJc w:val="left"/>
      <w:pPr>
        <w:ind w:left="4320" w:hanging="360"/>
      </w:pPr>
      <w:rPr>
        <w:rFonts w:ascii="Wingdings" w:eastAsia="Wingdings" w:hAnsi="Wingdings" w:cs="Wingdings" w:hint="default"/>
      </w:rPr>
    </w:lvl>
    <w:lvl w:ilvl="6">
      <w:start w:val="1"/>
      <w:numFmt w:val="bullet"/>
      <w:suff w:val="space"/>
      <w:lvlText w:val="·"/>
      <w:lvlJc w:val="left"/>
      <w:pPr>
        <w:ind w:left="5040" w:hanging="360"/>
      </w:pPr>
      <w:rPr>
        <w:rFonts w:ascii="Symbol" w:eastAsia="Symbol" w:hAnsi="Symbol" w:cs="Symbol" w:hint="default"/>
      </w:rPr>
    </w:lvl>
    <w:lvl w:ilvl="7">
      <w:start w:val="1"/>
      <w:numFmt w:val="bullet"/>
      <w:suff w:val="space"/>
      <w:lvlText w:val="o"/>
      <w:lvlJc w:val="left"/>
      <w:pPr>
        <w:ind w:left="5760" w:hanging="360"/>
      </w:pPr>
      <w:rPr>
        <w:rFonts w:ascii="Courier New" w:eastAsia="Courier New" w:hAnsi="Courier New" w:cs="Courier New" w:hint="default"/>
      </w:rPr>
    </w:lvl>
    <w:lvl w:ilvl="8">
      <w:start w:val="1"/>
      <w:numFmt w:val="bullet"/>
      <w:suff w:val="space"/>
      <w:lvlText w:val="§"/>
      <w:lvlJc w:val="left"/>
      <w:pPr>
        <w:ind w:left="6480" w:hanging="360"/>
      </w:pPr>
      <w:rPr>
        <w:rFonts w:ascii="Wingdings" w:eastAsia="Wingdings" w:hAnsi="Wingdings" w:cs="Wingdings" w:hint="default"/>
      </w:rPr>
    </w:lvl>
  </w:abstractNum>
  <w:abstractNum w:abstractNumId="9" w15:restartNumberingAfterBreak="0">
    <w:nsid w:val="33184EDC"/>
    <w:multiLevelType w:val="multilevel"/>
    <w:tmpl w:val="30E4FBBC"/>
    <w:lvl w:ilvl="0">
      <w:start w:val="1"/>
      <w:numFmt w:val="decimal"/>
      <w:suff w:val="space"/>
      <w:lvlText w:val="%1)"/>
      <w:lvlJc w:val="left"/>
      <w:pPr>
        <w:ind w:left="720" w:hanging="360"/>
      </w:pPr>
      <w:rPr>
        <w:rFonts w:hint="default"/>
      </w:r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10" w15:restartNumberingAfterBreak="0">
    <w:nsid w:val="38195509"/>
    <w:multiLevelType w:val="multilevel"/>
    <w:tmpl w:val="01E02EA0"/>
    <w:lvl w:ilvl="0">
      <w:start w:val="1"/>
      <w:numFmt w:val="decimal"/>
      <w:lvlText w:val="Chapter %1"/>
      <w:lvlJc w:val="left"/>
      <w:pPr>
        <w:ind w:left="0" w:firstLine="0"/>
      </w:pPr>
      <w:rPr>
        <w:rFonts w:hint="default"/>
      </w:rPr>
    </w:lvl>
    <w:lvl w:ilvl="1">
      <w:start w:val="1"/>
      <w:numFmt w:val="decimal"/>
      <w:lvlText w:val="%2."/>
      <w:lvlJc w:val="left"/>
      <w:pPr>
        <w:ind w:left="0" w:firstLine="0"/>
      </w:pPr>
      <w:rPr>
        <w:rFonts w:hint="default"/>
      </w:rPr>
    </w:lvl>
    <w:lvl w:ilvl="2">
      <w:start w:val="1"/>
      <w:numFmt w:val="decimal"/>
      <w:lvlText w:val="%2.%3."/>
      <w:lvlJc w:val="left"/>
      <w:pPr>
        <w:ind w:left="0" w:firstLine="0"/>
      </w:pPr>
      <w:rPr>
        <w:rFonts w:hint="default"/>
      </w:rPr>
    </w:lvl>
    <w:lvl w:ilvl="3">
      <w:start w:val="1"/>
      <w:numFmt w:val="decimal"/>
      <w:lvlText w:val="%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3.%4.%5.%6.%7.%8.%9."/>
      <w:lvlJc w:val="left"/>
      <w:pPr>
        <w:ind w:left="0" w:firstLine="0"/>
      </w:pPr>
      <w:rPr>
        <w:rFonts w:hint="default"/>
      </w:rPr>
    </w:lvl>
  </w:abstractNum>
  <w:abstractNum w:abstractNumId="11" w15:restartNumberingAfterBreak="0">
    <w:nsid w:val="49F92526"/>
    <w:multiLevelType w:val="multilevel"/>
    <w:tmpl w:val="B8E24A16"/>
    <w:lvl w:ilvl="0">
      <w:start w:val="1"/>
      <w:numFmt w:val="decimal"/>
      <w:suff w:val="space"/>
      <w:lvlText w:val="%1)"/>
      <w:lvlJc w:val="left"/>
      <w:pPr>
        <w:ind w:left="340" w:hanging="227"/>
      </w:pPr>
      <w:rPr>
        <w:rFonts w:hint="default"/>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12" w15:restartNumberingAfterBreak="0">
    <w:nsid w:val="4B6A546D"/>
    <w:multiLevelType w:val="multilevel"/>
    <w:tmpl w:val="2DFA3E6A"/>
    <w:lvl w:ilvl="0">
      <w:start w:val="1"/>
      <w:numFmt w:val="bullet"/>
      <w:suff w:val="space"/>
      <w:lvlText w:val=""/>
      <w:lvlJc w:val="left"/>
      <w:pPr>
        <w:ind w:left="340" w:hanging="227"/>
      </w:pPr>
      <w:rPr>
        <w:rFonts w:ascii="Symbol" w:hAnsi="Symbol" w:hint="default"/>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13" w15:restartNumberingAfterBreak="0">
    <w:nsid w:val="4ECD5930"/>
    <w:multiLevelType w:val="multilevel"/>
    <w:tmpl w:val="9CD2CD38"/>
    <w:lvl w:ilvl="0">
      <w:start w:val="1"/>
      <w:numFmt w:val="decimal"/>
      <w:lvlText w:val="Chapter %1"/>
      <w:lvlJc w:val="left"/>
      <w:pPr>
        <w:ind w:left="0" w:firstLine="0"/>
      </w:pPr>
      <w:rPr>
        <w:rFonts w:hint="default"/>
      </w:rPr>
    </w:lvl>
    <w:lvl w:ilvl="1">
      <w:start w:val="1"/>
      <w:numFmt w:val="decimal"/>
      <w:pStyle w:val="CETHeading1"/>
      <w:lvlText w:val="%2."/>
      <w:lvlJc w:val="left"/>
      <w:pPr>
        <w:ind w:left="0" w:firstLine="0"/>
      </w:pPr>
      <w:rPr>
        <w:rFonts w:hint="default"/>
      </w:rPr>
    </w:lvl>
    <w:lvl w:ilvl="2">
      <w:start w:val="1"/>
      <w:numFmt w:val="decimal"/>
      <w:pStyle w:val="CETheadingx"/>
      <w:lvlText w:val="%2.%3"/>
      <w:lvlJc w:val="left"/>
      <w:pPr>
        <w:ind w:left="0" w:firstLine="0"/>
      </w:pPr>
      <w:rPr>
        <w:rFonts w:hint="default"/>
      </w:rPr>
    </w:lvl>
    <w:lvl w:ilvl="3">
      <w:start w:val="1"/>
      <w:numFmt w:val="decimal"/>
      <w:pStyle w:val="TableSimple1"/>
      <w:lvlText w:val="%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3.%4.%5.%6.%7.%8.%9."/>
      <w:lvlJc w:val="left"/>
      <w:pPr>
        <w:ind w:left="0" w:firstLine="0"/>
      </w:pPr>
      <w:rPr>
        <w:rFonts w:hint="default"/>
      </w:rPr>
    </w:lvl>
  </w:abstractNum>
  <w:abstractNum w:abstractNumId="14" w15:restartNumberingAfterBreak="0">
    <w:nsid w:val="52C817FF"/>
    <w:multiLevelType w:val="multilevel"/>
    <w:tmpl w:val="96024974"/>
    <w:lvl w:ilvl="0">
      <w:start w:val="1"/>
      <w:numFmt w:val="decimal"/>
      <w:pStyle w:val="ListNumber4"/>
      <w:suff w:val="space"/>
      <w:lvlText w:val="%1."/>
      <w:lvlJc w:val="left"/>
      <w:pPr>
        <w:tabs>
          <w:tab w:val="num" w:pos="1209"/>
        </w:tabs>
        <w:ind w:left="1209" w:hanging="360"/>
      </w:pPr>
    </w:lvl>
    <w:lvl w:ilvl="1">
      <w:start w:val="1"/>
      <w:numFmt w:val="bullet"/>
      <w:suff w:val="space"/>
      <w:lvlText w:val="o"/>
      <w:lvlJc w:val="left"/>
      <w:pPr>
        <w:ind w:left="1440" w:hanging="360"/>
      </w:pPr>
      <w:rPr>
        <w:rFonts w:ascii="Courier New" w:eastAsia="Courier New" w:hAnsi="Courier New" w:cs="Courier New" w:hint="default"/>
      </w:rPr>
    </w:lvl>
    <w:lvl w:ilvl="2">
      <w:start w:val="1"/>
      <w:numFmt w:val="bullet"/>
      <w:suff w:val="space"/>
      <w:lvlText w:val="§"/>
      <w:lvlJc w:val="left"/>
      <w:pPr>
        <w:ind w:left="2160" w:hanging="360"/>
      </w:pPr>
      <w:rPr>
        <w:rFonts w:ascii="Wingdings" w:eastAsia="Wingdings" w:hAnsi="Wingdings" w:cs="Wingdings" w:hint="default"/>
      </w:rPr>
    </w:lvl>
    <w:lvl w:ilvl="3">
      <w:start w:val="1"/>
      <w:numFmt w:val="bullet"/>
      <w:suff w:val="space"/>
      <w:lvlText w:val="·"/>
      <w:lvlJc w:val="left"/>
      <w:pPr>
        <w:ind w:left="2880" w:hanging="360"/>
      </w:pPr>
      <w:rPr>
        <w:rFonts w:ascii="Symbol" w:eastAsia="Symbol" w:hAnsi="Symbol" w:cs="Symbol" w:hint="default"/>
      </w:rPr>
    </w:lvl>
    <w:lvl w:ilvl="4">
      <w:start w:val="1"/>
      <w:numFmt w:val="bullet"/>
      <w:suff w:val="space"/>
      <w:lvlText w:val="o"/>
      <w:lvlJc w:val="left"/>
      <w:pPr>
        <w:ind w:left="3600" w:hanging="360"/>
      </w:pPr>
      <w:rPr>
        <w:rFonts w:ascii="Courier New" w:eastAsia="Courier New" w:hAnsi="Courier New" w:cs="Courier New" w:hint="default"/>
      </w:rPr>
    </w:lvl>
    <w:lvl w:ilvl="5">
      <w:start w:val="1"/>
      <w:numFmt w:val="bullet"/>
      <w:suff w:val="space"/>
      <w:lvlText w:val="§"/>
      <w:lvlJc w:val="left"/>
      <w:pPr>
        <w:ind w:left="4320" w:hanging="360"/>
      </w:pPr>
      <w:rPr>
        <w:rFonts w:ascii="Wingdings" w:eastAsia="Wingdings" w:hAnsi="Wingdings" w:cs="Wingdings" w:hint="default"/>
      </w:rPr>
    </w:lvl>
    <w:lvl w:ilvl="6">
      <w:start w:val="1"/>
      <w:numFmt w:val="bullet"/>
      <w:suff w:val="space"/>
      <w:lvlText w:val="·"/>
      <w:lvlJc w:val="left"/>
      <w:pPr>
        <w:ind w:left="5040" w:hanging="360"/>
      </w:pPr>
      <w:rPr>
        <w:rFonts w:ascii="Symbol" w:eastAsia="Symbol" w:hAnsi="Symbol" w:cs="Symbol" w:hint="default"/>
      </w:rPr>
    </w:lvl>
    <w:lvl w:ilvl="7">
      <w:start w:val="1"/>
      <w:numFmt w:val="bullet"/>
      <w:suff w:val="space"/>
      <w:lvlText w:val="o"/>
      <w:lvlJc w:val="left"/>
      <w:pPr>
        <w:ind w:left="5760" w:hanging="360"/>
      </w:pPr>
      <w:rPr>
        <w:rFonts w:ascii="Courier New" w:eastAsia="Courier New" w:hAnsi="Courier New" w:cs="Courier New" w:hint="default"/>
      </w:rPr>
    </w:lvl>
    <w:lvl w:ilvl="8">
      <w:start w:val="1"/>
      <w:numFmt w:val="bullet"/>
      <w:suff w:val="space"/>
      <w:lvlText w:val="§"/>
      <w:lvlJc w:val="left"/>
      <w:pPr>
        <w:ind w:left="6480" w:hanging="360"/>
      </w:pPr>
      <w:rPr>
        <w:rFonts w:ascii="Wingdings" w:eastAsia="Wingdings" w:hAnsi="Wingdings" w:cs="Wingdings" w:hint="default"/>
      </w:rPr>
    </w:lvl>
  </w:abstractNum>
  <w:abstractNum w:abstractNumId="15" w15:restartNumberingAfterBreak="0">
    <w:nsid w:val="570A695C"/>
    <w:multiLevelType w:val="multilevel"/>
    <w:tmpl w:val="7B1C56C2"/>
    <w:lvl w:ilvl="0">
      <w:start w:val="1"/>
      <w:numFmt w:val="bullet"/>
      <w:pStyle w:val="ListBullet3"/>
      <w:suff w:val="space"/>
      <w:lvlText w:val=""/>
      <w:lvlJc w:val="left"/>
      <w:pPr>
        <w:tabs>
          <w:tab w:val="num" w:pos="926"/>
        </w:tabs>
        <w:ind w:left="926" w:hanging="360"/>
      </w:pPr>
      <w:rPr>
        <w:rFonts w:ascii="Symbol" w:hAnsi="Symbol" w:hint="default"/>
      </w:rPr>
    </w:lvl>
    <w:lvl w:ilvl="1">
      <w:start w:val="1"/>
      <w:numFmt w:val="bullet"/>
      <w:suff w:val="space"/>
      <w:lvlText w:val="o"/>
      <w:lvlJc w:val="left"/>
      <w:pPr>
        <w:ind w:left="1440" w:hanging="360"/>
      </w:pPr>
      <w:rPr>
        <w:rFonts w:ascii="Courier New" w:eastAsia="Courier New" w:hAnsi="Courier New" w:cs="Courier New" w:hint="default"/>
      </w:rPr>
    </w:lvl>
    <w:lvl w:ilvl="2">
      <w:start w:val="1"/>
      <w:numFmt w:val="bullet"/>
      <w:suff w:val="space"/>
      <w:lvlText w:val="§"/>
      <w:lvlJc w:val="left"/>
      <w:pPr>
        <w:ind w:left="2160" w:hanging="360"/>
      </w:pPr>
      <w:rPr>
        <w:rFonts w:ascii="Wingdings" w:eastAsia="Wingdings" w:hAnsi="Wingdings" w:cs="Wingdings" w:hint="default"/>
      </w:rPr>
    </w:lvl>
    <w:lvl w:ilvl="3">
      <w:start w:val="1"/>
      <w:numFmt w:val="bullet"/>
      <w:suff w:val="space"/>
      <w:lvlText w:val="·"/>
      <w:lvlJc w:val="left"/>
      <w:pPr>
        <w:ind w:left="2880" w:hanging="360"/>
      </w:pPr>
      <w:rPr>
        <w:rFonts w:ascii="Symbol" w:eastAsia="Symbol" w:hAnsi="Symbol" w:cs="Symbol" w:hint="default"/>
      </w:rPr>
    </w:lvl>
    <w:lvl w:ilvl="4">
      <w:start w:val="1"/>
      <w:numFmt w:val="bullet"/>
      <w:suff w:val="space"/>
      <w:lvlText w:val="o"/>
      <w:lvlJc w:val="left"/>
      <w:pPr>
        <w:ind w:left="3600" w:hanging="360"/>
      </w:pPr>
      <w:rPr>
        <w:rFonts w:ascii="Courier New" w:eastAsia="Courier New" w:hAnsi="Courier New" w:cs="Courier New" w:hint="default"/>
      </w:rPr>
    </w:lvl>
    <w:lvl w:ilvl="5">
      <w:start w:val="1"/>
      <w:numFmt w:val="bullet"/>
      <w:suff w:val="space"/>
      <w:lvlText w:val="§"/>
      <w:lvlJc w:val="left"/>
      <w:pPr>
        <w:ind w:left="4320" w:hanging="360"/>
      </w:pPr>
      <w:rPr>
        <w:rFonts w:ascii="Wingdings" w:eastAsia="Wingdings" w:hAnsi="Wingdings" w:cs="Wingdings" w:hint="default"/>
      </w:rPr>
    </w:lvl>
    <w:lvl w:ilvl="6">
      <w:start w:val="1"/>
      <w:numFmt w:val="bullet"/>
      <w:suff w:val="space"/>
      <w:lvlText w:val="·"/>
      <w:lvlJc w:val="left"/>
      <w:pPr>
        <w:ind w:left="5040" w:hanging="360"/>
      </w:pPr>
      <w:rPr>
        <w:rFonts w:ascii="Symbol" w:eastAsia="Symbol" w:hAnsi="Symbol" w:cs="Symbol" w:hint="default"/>
      </w:rPr>
    </w:lvl>
    <w:lvl w:ilvl="7">
      <w:start w:val="1"/>
      <w:numFmt w:val="bullet"/>
      <w:suff w:val="space"/>
      <w:lvlText w:val="o"/>
      <w:lvlJc w:val="left"/>
      <w:pPr>
        <w:ind w:left="5760" w:hanging="360"/>
      </w:pPr>
      <w:rPr>
        <w:rFonts w:ascii="Courier New" w:eastAsia="Courier New" w:hAnsi="Courier New" w:cs="Courier New" w:hint="default"/>
      </w:rPr>
    </w:lvl>
    <w:lvl w:ilvl="8">
      <w:start w:val="1"/>
      <w:numFmt w:val="bullet"/>
      <w:suff w:val="space"/>
      <w:lvlText w:val="§"/>
      <w:lvlJc w:val="left"/>
      <w:pPr>
        <w:ind w:left="6480" w:hanging="360"/>
      </w:pPr>
      <w:rPr>
        <w:rFonts w:ascii="Wingdings" w:eastAsia="Wingdings" w:hAnsi="Wingdings" w:cs="Wingdings" w:hint="default"/>
      </w:rPr>
    </w:lvl>
  </w:abstractNum>
  <w:abstractNum w:abstractNumId="16" w15:restartNumberingAfterBreak="0">
    <w:nsid w:val="57C746C3"/>
    <w:multiLevelType w:val="multilevel"/>
    <w:tmpl w:val="CD780C96"/>
    <w:lvl w:ilvl="0">
      <w:start w:val="1"/>
      <w:numFmt w:val="lowerLetter"/>
      <w:pStyle w:val="CETnumberinga"/>
      <w:suff w:val="space"/>
      <w:lvlText w:val="%1."/>
      <w:lvlJc w:val="left"/>
      <w:pPr>
        <w:ind w:left="340" w:hanging="227"/>
      </w:pPr>
      <w:rPr>
        <w:rFonts w:hint="default"/>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17" w15:restartNumberingAfterBreak="0">
    <w:nsid w:val="5F48292E"/>
    <w:multiLevelType w:val="multilevel"/>
    <w:tmpl w:val="23307420"/>
    <w:lvl w:ilvl="0">
      <w:start w:val="1"/>
      <w:numFmt w:val="bullet"/>
      <w:pStyle w:val="ListBullet"/>
      <w:suff w:val="space"/>
      <w:lvlText w:val=""/>
      <w:lvlJc w:val="left"/>
      <w:pPr>
        <w:tabs>
          <w:tab w:val="num" w:pos="360"/>
        </w:tabs>
        <w:ind w:left="360" w:hanging="360"/>
      </w:pPr>
      <w:rPr>
        <w:rFonts w:ascii="Symbol" w:hAnsi="Symbol" w:hint="default"/>
      </w:rPr>
    </w:lvl>
    <w:lvl w:ilvl="1">
      <w:start w:val="1"/>
      <w:numFmt w:val="bullet"/>
      <w:suff w:val="space"/>
      <w:lvlText w:val="o"/>
      <w:lvlJc w:val="left"/>
      <w:pPr>
        <w:ind w:left="1440" w:hanging="360"/>
      </w:pPr>
      <w:rPr>
        <w:rFonts w:ascii="Courier New" w:eastAsia="Courier New" w:hAnsi="Courier New" w:cs="Courier New" w:hint="default"/>
      </w:rPr>
    </w:lvl>
    <w:lvl w:ilvl="2">
      <w:start w:val="1"/>
      <w:numFmt w:val="bullet"/>
      <w:suff w:val="space"/>
      <w:lvlText w:val="§"/>
      <w:lvlJc w:val="left"/>
      <w:pPr>
        <w:ind w:left="2160" w:hanging="360"/>
      </w:pPr>
      <w:rPr>
        <w:rFonts w:ascii="Wingdings" w:eastAsia="Wingdings" w:hAnsi="Wingdings" w:cs="Wingdings" w:hint="default"/>
      </w:rPr>
    </w:lvl>
    <w:lvl w:ilvl="3">
      <w:start w:val="1"/>
      <w:numFmt w:val="bullet"/>
      <w:suff w:val="space"/>
      <w:lvlText w:val="·"/>
      <w:lvlJc w:val="left"/>
      <w:pPr>
        <w:ind w:left="2880" w:hanging="360"/>
      </w:pPr>
      <w:rPr>
        <w:rFonts w:ascii="Symbol" w:eastAsia="Symbol" w:hAnsi="Symbol" w:cs="Symbol" w:hint="default"/>
      </w:rPr>
    </w:lvl>
    <w:lvl w:ilvl="4">
      <w:start w:val="1"/>
      <w:numFmt w:val="bullet"/>
      <w:suff w:val="space"/>
      <w:lvlText w:val="o"/>
      <w:lvlJc w:val="left"/>
      <w:pPr>
        <w:ind w:left="3600" w:hanging="360"/>
      </w:pPr>
      <w:rPr>
        <w:rFonts w:ascii="Courier New" w:eastAsia="Courier New" w:hAnsi="Courier New" w:cs="Courier New" w:hint="default"/>
      </w:rPr>
    </w:lvl>
    <w:lvl w:ilvl="5">
      <w:start w:val="1"/>
      <w:numFmt w:val="bullet"/>
      <w:suff w:val="space"/>
      <w:lvlText w:val="§"/>
      <w:lvlJc w:val="left"/>
      <w:pPr>
        <w:ind w:left="4320" w:hanging="360"/>
      </w:pPr>
      <w:rPr>
        <w:rFonts w:ascii="Wingdings" w:eastAsia="Wingdings" w:hAnsi="Wingdings" w:cs="Wingdings" w:hint="default"/>
      </w:rPr>
    </w:lvl>
    <w:lvl w:ilvl="6">
      <w:start w:val="1"/>
      <w:numFmt w:val="bullet"/>
      <w:suff w:val="space"/>
      <w:lvlText w:val="·"/>
      <w:lvlJc w:val="left"/>
      <w:pPr>
        <w:ind w:left="5040" w:hanging="360"/>
      </w:pPr>
      <w:rPr>
        <w:rFonts w:ascii="Symbol" w:eastAsia="Symbol" w:hAnsi="Symbol" w:cs="Symbol" w:hint="default"/>
      </w:rPr>
    </w:lvl>
    <w:lvl w:ilvl="7">
      <w:start w:val="1"/>
      <w:numFmt w:val="bullet"/>
      <w:suff w:val="space"/>
      <w:lvlText w:val="o"/>
      <w:lvlJc w:val="left"/>
      <w:pPr>
        <w:ind w:left="5760" w:hanging="360"/>
      </w:pPr>
      <w:rPr>
        <w:rFonts w:ascii="Courier New" w:eastAsia="Courier New" w:hAnsi="Courier New" w:cs="Courier New" w:hint="default"/>
      </w:rPr>
    </w:lvl>
    <w:lvl w:ilvl="8">
      <w:start w:val="1"/>
      <w:numFmt w:val="bullet"/>
      <w:suff w:val="space"/>
      <w:lvlText w:val="§"/>
      <w:lvlJc w:val="left"/>
      <w:pPr>
        <w:ind w:left="6480" w:hanging="360"/>
      </w:pPr>
      <w:rPr>
        <w:rFonts w:ascii="Wingdings" w:eastAsia="Wingdings" w:hAnsi="Wingdings" w:cs="Wingdings" w:hint="default"/>
      </w:rPr>
    </w:lvl>
  </w:abstractNum>
  <w:abstractNum w:abstractNumId="18" w15:restartNumberingAfterBreak="0">
    <w:nsid w:val="603941ED"/>
    <w:multiLevelType w:val="multilevel"/>
    <w:tmpl w:val="E2F8E066"/>
    <w:lvl w:ilvl="0">
      <w:start w:val="1"/>
      <w:numFmt w:val="decimal"/>
      <w:pStyle w:val="CETnumbering1"/>
      <w:suff w:val="space"/>
      <w:lvlText w:val="%1."/>
      <w:lvlJc w:val="left"/>
      <w:pPr>
        <w:ind w:left="720" w:hanging="360"/>
      </w:p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19" w15:restartNumberingAfterBreak="0">
    <w:nsid w:val="61815648"/>
    <w:multiLevelType w:val="multilevel"/>
    <w:tmpl w:val="BAB07B06"/>
    <w:lvl w:ilvl="0">
      <w:start w:val="1"/>
      <w:numFmt w:val="decimal"/>
      <w:pStyle w:val="ListNumber"/>
      <w:suff w:val="space"/>
      <w:lvlText w:val="%1."/>
      <w:lvlJc w:val="left"/>
      <w:pPr>
        <w:tabs>
          <w:tab w:val="num" w:pos="360"/>
        </w:tabs>
        <w:ind w:left="360" w:hanging="360"/>
      </w:pPr>
    </w:lvl>
    <w:lvl w:ilvl="1">
      <w:start w:val="1"/>
      <w:numFmt w:val="bullet"/>
      <w:suff w:val="space"/>
      <w:lvlText w:val="o"/>
      <w:lvlJc w:val="left"/>
      <w:pPr>
        <w:ind w:left="1440" w:hanging="360"/>
      </w:pPr>
      <w:rPr>
        <w:rFonts w:ascii="Courier New" w:eastAsia="Courier New" w:hAnsi="Courier New" w:cs="Courier New" w:hint="default"/>
      </w:rPr>
    </w:lvl>
    <w:lvl w:ilvl="2">
      <w:start w:val="1"/>
      <w:numFmt w:val="bullet"/>
      <w:suff w:val="space"/>
      <w:lvlText w:val="§"/>
      <w:lvlJc w:val="left"/>
      <w:pPr>
        <w:ind w:left="2160" w:hanging="360"/>
      </w:pPr>
      <w:rPr>
        <w:rFonts w:ascii="Wingdings" w:eastAsia="Wingdings" w:hAnsi="Wingdings" w:cs="Wingdings" w:hint="default"/>
      </w:rPr>
    </w:lvl>
    <w:lvl w:ilvl="3">
      <w:start w:val="1"/>
      <w:numFmt w:val="bullet"/>
      <w:suff w:val="space"/>
      <w:lvlText w:val="·"/>
      <w:lvlJc w:val="left"/>
      <w:pPr>
        <w:ind w:left="2880" w:hanging="360"/>
      </w:pPr>
      <w:rPr>
        <w:rFonts w:ascii="Symbol" w:eastAsia="Symbol" w:hAnsi="Symbol" w:cs="Symbol" w:hint="default"/>
      </w:rPr>
    </w:lvl>
    <w:lvl w:ilvl="4">
      <w:start w:val="1"/>
      <w:numFmt w:val="bullet"/>
      <w:suff w:val="space"/>
      <w:lvlText w:val="o"/>
      <w:lvlJc w:val="left"/>
      <w:pPr>
        <w:ind w:left="3600" w:hanging="360"/>
      </w:pPr>
      <w:rPr>
        <w:rFonts w:ascii="Courier New" w:eastAsia="Courier New" w:hAnsi="Courier New" w:cs="Courier New" w:hint="default"/>
      </w:rPr>
    </w:lvl>
    <w:lvl w:ilvl="5">
      <w:start w:val="1"/>
      <w:numFmt w:val="bullet"/>
      <w:suff w:val="space"/>
      <w:lvlText w:val="§"/>
      <w:lvlJc w:val="left"/>
      <w:pPr>
        <w:ind w:left="4320" w:hanging="360"/>
      </w:pPr>
      <w:rPr>
        <w:rFonts w:ascii="Wingdings" w:eastAsia="Wingdings" w:hAnsi="Wingdings" w:cs="Wingdings" w:hint="default"/>
      </w:rPr>
    </w:lvl>
    <w:lvl w:ilvl="6">
      <w:start w:val="1"/>
      <w:numFmt w:val="bullet"/>
      <w:suff w:val="space"/>
      <w:lvlText w:val="·"/>
      <w:lvlJc w:val="left"/>
      <w:pPr>
        <w:ind w:left="5040" w:hanging="360"/>
      </w:pPr>
      <w:rPr>
        <w:rFonts w:ascii="Symbol" w:eastAsia="Symbol" w:hAnsi="Symbol" w:cs="Symbol" w:hint="default"/>
      </w:rPr>
    </w:lvl>
    <w:lvl w:ilvl="7">
      <w:start w:val="1"/>
      <w:numFmt w:val="bullet"/>
      <w:suff w:val="space"/>
      <w:lvlText w:val="o"/>
      <w:lvlJc w:val="left"/>
      <w:pPr>
        <w:ind w:left="5760" w:hanging="360"/>
      </w:pPr>
      <w:rPr>
        <w:rFonts w:ascii="Courier New" w:eastAsia="Courier New" w:hAnsi="Courier New" w:cs="Courier New" w:hint="default"/>
      </w:rPr>
    </w:lvl>
    <w:lvl w:ilvl="8">
      <w:start w:val="1"/>
      <w:numFmt w:val="bullet"/>
      <w:suff w:val="space"/>
      <w:lvlText w:val="§"/>
      <w:lvlJc w:val="left"/>
      <w:pPr>
        <w:ind w:left="6480" w:hanging="360"/>
      </w:pPr>
      <w:rPr>
        <w:rFonts w:ascii="Wingdings" w:eastAsia="Wingdings" w:hAnsi="Wingdings" w:cs="Wingdings" w:hint="default"/>
      </w:rPr>
    </w:lvl>
  </w:abstractNum>
  <w:abstractNum w:abstractNumId="20" w15:restartNumberingAfterBreak="0">
    <w:nsid w:val="627F7A95"/>
    <w:multiLevelType w:val="multilevel"/>
    <w:tmpl w:val="FA1003A2"/>
    <w:lvl w:ilvl="0">
      <w:start w:val="1"/>
      <w:numFmt w:val="decimal"/>
      <w:pStyle w:val="ListNumber2"/>
      <w:suff w:val="space"/>
      <w:lvlText w:val="%1."/>
      <w:lvlJc w:val="left"/>
      <w:pPr>
        <w:tabs>
          <w:tab w:val="num" w:pos="643"/>
        </w:tabs>
        <w:ind w:left="643" w:hanging="360"/>
      </w:pPr>
    </w:lvl>
    <w:lvl w:ilvl="1">
      <w:start w:val="1"/>
      <w:numFmt w:val="bullet"/>
      <w:suff w:val="space"/>
      <w:lvlText w:val="o"/>
      <w:lvlJc w:val="left"/>
      <w:pPr>
        <w:ind w:left="1440" w:hanging="360"/>
      </w:pPr>
      <w:rPr>
        <w:rFonts w:ascii="Courier New" w:eastAsia="Courier New" w:hAnsi="Courier New" w:cs="Courier New" w:hint="default"/>
      </w:rPr>
    </w:lvl>
    <w:lvl w:ilvl="2">
      <w:start w:val="1"/>
      <w:numFmt w:val="bullet"/>
      <w:suff w:val="space"/>
      <w:lvlText w:val="§"/>
      <w:lvlJc w:val="left"/>
      <w:pPr>
        <w:ind w:left="2160" w:hanging="360"/>
      </w:pPr>
      <w:rPr>
        <w:rFonts w:ascii="Wingdings" w:eastAsia="Wingdings" w:hAnsi="Wingdings" w:cs="Wingdings" w:hint="default"/>
      </w:rPr>
    </w:lvl>
    <w:lvl w:ilvl="3">
      <w:start w:val="1"/>
      <w:numFmt w:val="bullet"/>
      <w:suff w:val="space"/>
      <w:lvlText w:val="·"/>
      <w:lvlJc w:val="left"/>
      <w:pPr>
        <w:ind w:left="2880" w:hanging="360"/>
      </w:pPr>
      <w:rPr>
        <w:rFonts w:ascii="Symbol" w:eastAsia="Symbol" w:hAnsi="Symbol" w:cs="Symbol" w:hint="default"/>
      </w:rPr>
    </w:lvl>
    <w:lvl w:ilvl="4">
      <w:start w:val="1"/>
      <w:numFmt w:val="bullet"/>
      <w:suff w:val="space"/>
      <w:lvlText w:val="o"/>
      <w:lvlJc w:val="left"/>
      <w:pPr>
        <w:ind w:left="3600" w:hanging="360"/>
      </w:pPr>
      <w:rPr>
        <w:rFonts w:ascii="Courier New" w:eastAsia="Courier New" w:hAnsi="Courier New" w:cs="Courier New" w:hint="default"/>
      </w:rPr>
    </w:lvl>
    <w:lvl w:ilvl="5">
      <w:start w:val="1"/>
      <w:numFmt w:val="bullet"/>
      <w:suff w:val="space"/>
      <w:lvlText w:val="§"/>
      <w:lvlJc w:val="left"/>
      <w:pPr>
        <w:ind w:left="4320" w:hanging="360"/>
      </w:pPr>
      <w:rPr>
        <w:rFonts w:ascii="Wingdings" w:eastAsia="Wingdings" w:hAnsi="Wingdings" w:cs="Wingdings" w:hint="default"/>
      </w:rPr>
    </w:lvl>
    <w:lvl w:ilvl="6">
      <w:start w:val="1"/>
      <w:numFmt w:val="bullet"/>
      <w:suff w:val="space"/>
      <w:lvlText w:val="·"/>
      <w:lvlJc w:val="left"/>
      <w:pPr>
        <w:ind w:left="5040" w:hanging="360"/>
      </w:pPr>
      <w:rPr>
        <w:rFonts w:ascii="Symbol" w:eastAsia="Symbol" w:hAnsi="Symbol" w:cs="Symbol" w:hint="default"/>
      </w:rPr>
    </w:lvl>
    <w:lvl w:ilvl="7">
      <w:start w:val="1"/>
      <w:numFmt w:val="bullet"/>
      <w:suff w:val="space"/>
      <w:lvlText w:val="o"/>
      <w:lvlJc w:val="left"/>
      <w:pPr>
        <w:ind w:left="5760" w:hanging="360"/>
      </w:pPr>
      <w:rPr>
        <w:rFonts w:ascii="Courier New" w:eastAsia="Courier New" w:hAnsi="Courier New" w:cs="Courier New" w:hint="default"/>
      </w:rPr>
    </w:lvl>
    <w:lvl w:ilvl="8">
      <w:start w:val="1"/>
      <w:numFmt w:val="bullet"/>
      <w:suff w:val="space"/>
      <w:lvlText w:val="§"/>
      <w:lvlJc w:val="left"/>
      <w:pPr>
        <w:ind w:left="6480" w:hanging="360"/>
      </w:pPr>
      <w:rPr>
        <w:rFonts w:ascii="Wingdings" w:eastAsia="Wingdings" w:hAnsi="Wingdings" w:cs="Wingdings" w:hint="default"/>
      </w:rPr>
    </w:lvl>
  </w:abstractNum>
  <w:abstractNum w:abstractNumId="21" w15:restartNumberingAfterBreak="0">
    <w:nsid w:val="63E52448"/>
    <w:multiLevelType w:val="multilevel"/>
    <w:tmpl w:val="2620FFDC"/>
    <w:lvl w:ilvl="0">
      <w:start w:val="1"/>
      <w:numFmt w:val="lowerLetter"/>
      <w:suff w:val="space"/>
      <w:lvlText w:val="(%1)"/>
      <w:lvlJc w:val="left"/>
      <w:pPr>
        <w:ind w:left="2484" w:hanging="360"/>
      </w:pPr>
      <w:rPr>
        <w:rFonts w:hint="default"/>
      </w:rPr>
    </w:lvl>
    <w:lvl w:ilvl="1">
      <w:start w:val="1"/>
      <w:numFmt w:val="lowerLetter"/>
      <w:suff w:val="space"/>
      <w:lvlText w:val="%2."/>
      <w:lvlJc w:val="left"/>
      <w:pPr>
        <w:ind w:left="3204" w:hanging="360"/>
      </w:pPr>
    </w:lvl>
    <w:lvl w:ilvl="2">
      <w:start w:val="1"/>
      <w:numFmt w:val="lowerRoman"/>
      <w:suff w:val="space"/>
      <w:lvlText w:val="%3."/>
      <w:lvlJc w:val="right"/>
      <w:pPr>
        <w:ind w:left="3924" w:hanging="180"/>
      </w:pPr>
    </w:lvl>
    <w:lvl w:ilvl="3">
      <w:start w:val="1"/>
      <w:numFmt w:val="decimal"/>
      <w:suff w:val="space"/>
      <w:lvlText w:val="%4."/>
      <w:lvlJc w:val="left"/>
      <w:pPr>
        <w:ind w:left="4644" w:hanging="360"/>
      </w:pPr>
    </w:lvl>
    <w:lvl w:ilvl="4">
      <w:start w:val="1"/>
      <w:numFmt w:val="lowerLetter"/>
      <w:suff w:val="space"/>
      <w:lvlText w:val="%5."/>
      <w:lvlJc w:val="left"/>
      <w:pPr>
        <w:ind w:left="5364" w:hanging="360"/>
      </w:pPr>
    </w:lvl>
    <w:lvl w:ilvl="5">
      <w:start w:val="1"/>
      <w:numFmt w:val="lowerRoman"/>
      <w:suff w:val="space"/>
      <w:lvlText w:val="%6."/>
      <w:lvlJc w:val="right"/>
      <w:pPr>
        <w:ind w:left="6084" w:hanging="180"/>
      </w:pPr>
    </w:lvl>
    <w:lvl w:ilvl="6">
      <w:start w:val="1"/>
      <w:numFmt w:val="decimal"/>
      <w:suff w:val="space"/>
      <w:lvlText w:val="%7."/>
      <w:lvlJc w:val="left"/>
      <w:pPr>
        <w:ind w:left="6804" w:hanging="360"/>
      </w:pPr>
    </w:lvl>
    <w:lvl w:ilvl="7">
      <w:start w:val="1"/>
      <w:numFmt w:val="lowerLetter"/>
      <w:suff w:val="space"/>
      <w:lvlText w:val="%8."/>
      <w:lvlJc w:val="left"/>
      <w:pPr>
        <w:ind w:left="7524" w:hanging="360"/>
      </w:pPr>
    </w:lvl>
    <w:lvl w:ilvl="8">
      <w:start w:val="1"/>
      <w:numFmt w:val="lowerRoman"/>
      <w:suff w:val="space"/>
      <w:lvlText w:val="%9."/>
      <w:lvlJc w:val="right"/>
      <w:pPr>
        <w:ind w:left="8244" w:hanging="180"/>
      </w:pPr>
    </w:lvl>
  </w:abstractNum>
  <w:abstractNum w:abstractNumId="22" w15:restartNumberingAfterBreak="0">
    <w:nsid w:val="6D396FBD"/>
    <w:multiLevelType w:val="multilevel"/>
    <w:tmpl w:val="D8D61768"/>
    <w:lvl w:ilvl="0">
      <w:start w:val="1"/>
      <w:numFmt w:val="lowerLetter"/>
      <w:suff w:val="space"/>
      <w:lvlText w:val="(%1)"/>
      <w:lvlJc w:val="left"/>
      <w:pPr>
        <w:ind w:left="2484" w:hanging="360"/>
      </w:pPr>
      <w:rPr>
        <w:rFonts w:hint="default"/>
      </w:rPr>
    </w:lvl>
    <w:lvl w:ilvl="1">
      <w:start w:val="1"/>
      <w:numFmt w:val="lowerLetter"/>
      <w:suff w:val="space"/>
      <w:lvlText w:val="%2."/>
      <w:lvlJc w:val="left"/>
      <w:pPr>
        <w:ind w:left="3204" w:hanging="360"/>
      </w:pPr>
    </w:lvl>
    <w:lvl w:ilvl="2">
      <w:start w:val="1"/>
      <w:numFmt w:val="lowerRoman"/>
      <w:suff w:val="space"/>
      <w:lvlText w:val="%3."/>
      <w:lvlJc w:val="right"/>
      <w:pPr>
        <w:ind w:left="3924" w:hanging="180"/>
      </w:pPr>
    </w:lvl>
    <w:lvl w:ilvl="3">
      <w:start w:val="1"/>
      <w:numFmt w:val="decimal"/>
      <w:suff w:val="space"/>
      <w:lvlText w:val="%4."/>
      <w:lvlJc w:val="left"/>
      <w:pPr>
        <w:ind w:left="4644" w:hanging="360"/>
      </w:pPr>
    </w:lvl>
    <w:lvl w:ilvl="4">
      <w:start w:val="1"/>
      <w:numFmt w:val="lowerLetter"/>
      <w:suff w:val="space"/>
      <w:lvlText w:val="%5."/>
      <w:lvlJc w:val="left"/>
      <w:pPr>
        <w:ind w:left="5364" w:hanging="360"/>
      </w:pPr>
    </w:lvl>
    <w:lvl w:ilvl="5">
      <w:start w:val="1"/>
      <w:numFmt w:val="lowerRoman"/>
      <w:suff w:val="space"/>
      <w:lvlText w:val="%6."/>
      <w:lvlJc w:val="right"/>
      <w:pPr>
        <w:ind w:left="6084" w:hanging="180"/>
      </w:pPr>
    </w:lvl>
    <w:lvl w:ilvl="6">
      <w:start w:val="1"/>
      <w:numFmt w:val="decimal"/>
      <w:suff w:val="space"/>
      <w:lvlText w:val="%7."/>
      <w:lvlJc w:val="left"/>
      <w:pPr>
        <w:ind w:left="6804" w:hanging="360"/>
      </w:pPr>
    </w:lvl>
    <w:lvl w:ilvl="7">
      <w:start w:val="1"/>
      <w:numFmt w:val="lowerLetter"/>
      <w:suff w:val="space"/>
      <w:lvlText w:val="%8."/>
      <w:lvlJc w:val="left"/>
      <w:pPr>
        <w:ind w:left="7524" w:hanging="360"/>
      </w:pPr>
    </w:lvl>
    <w:lvl w:ilvl="8">
      <w:start w:val="1"/>
      <w:numFmt w:val="lowerRoman"/>
      <w:suff w:val="space"/>
      <w:lvlText w:val="%9."/>
      <w:lvlJc w:val="right"/>
      <w:pPr>
        <w:ind w:left="8244" w:hanging="180"/>
      </w:pPr>
    </w:lvl>
  </w:abstractNum>
  <w:num w:numId="1" w16cid:durableId="951084800">
    <w:abstractNumId w:val="13"/>
  </w:num>
  <w:num w:numId="2" w16cid:durableId="1748959477">
    <w:abstractNumId w:val="19"/>
  </w:num>
  <w:num w:numId="3" w16cid:durableId="1891454877">
    <w:abstractNumId w:val="20"/>
  </w:num>
  <w:num w:numId="4" w16cid:durableId="484274456">
    <w:abstractNumId w:val="3"/>
  </w:num>
  <w:num w:numId="5" w16cid:durableId="670179012">
    <w:abstractNumId w:val="14"/>
  </w:num>
  <w:num w:numId="6" w16cid:durableId="515004914">
    <w:abstractNumId w:val="2"/>
  </w:num>
  <w:num w:numId="7" w16cid:durableId="1310550869">
    <w:abstractNumId w:val="17"/>
  </w:num>
  <w:num w:numId="8" w16cid:durableId="1343778341">
    <w:abstractNumId w:val="6"/>
  </w:num>
  <w:num w:numId="9" w16cid:durableId="1822502826">
    <w:abstractNumId w:val="15"/>
  </w:num>
  <w:num w:numId="10" w16cid:durableId="248930778">
    <w:abstractNumId w:val="5"/>
  </w:num>
  <w:num w:numId="11" w16cid:durableId="360060182">
    <w:abstractNumId w:val="8"/>
  </w:num>
  <w:num w:numId="12" w16cid:durableId="875847444">
    <w:abstractNumId w:val="10"/>
  </w:num>
  <w:num w:numId="13" w16cid:durableId="1433281467">
    <w:abstractNumId w:val="0"/>
  </w:num>
  <w:num w:numId="14" w16cid:durableId="1147555768">
    <w:abstractNumId w:val="18"/>
  </w:num>
  <w:num w:numId="15" w16cid:durableId="787428746">
    <w:abstractNumId w:val="16"/>
  </w:num>
  <w:num w:numId="16" w16cid:durableId="1491094026">
    <w:abstractNumId w:val="7"/>
  </w:num>
  <w:num w:numId="17" w16cid:durableId="1079516876">
    <w:abstractNumId w:val="4"/>
  </w:num>
  <w:num w:numId="18" w16cid:durableId="238441501">
    <w:abstractNumId w:val="0"/>
    <w:lvlOverride w:ilvl="0">
      <w:startOverride w:val="1"/>
    </w:lvlOverride>
  </w:num>
  <w:num w:numId="19" w16cid:durableId="1666546545">
    <w:abstractNumId w:val="11"/>
  </w:num>
  <w:num w:numId="20" w16cid:durableId="957760990">
    <w:abstractNumId w:val="12"/>
  </w:num>
  <w:num w:numId="21" w16cid:durableId="822618658">
    <w:abstractNumId w:val="9"/>
  </w:num>
  <w:num w:numId="22" w16cid:durableId="784273283">
    <w:abstractNumId w:val="1"/>
  </w:num>
  <w:num w:numId="23" w16cid:durableId="136146863">
    <w:abstractNumId w:val="22"/>
  </w:num>
  <w:num w:numId="24" w16cid:durableId="30018679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ocumentProtection w:edit="forms" w:enforcement="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3293"/>
    <w:rsid w:val="00014E36"/>
    <w:rsid w:val="00037540"/>
    <w:rsid w:val="0007630F"/>
    <w:rsid w:val="00094B44"/>
    <w:rsid w:val="000B0E80"/>
    <w:rsid w:val="0010652D"/>
    <w:rsid w:val="0012305D"/>
    <w:rsid w:val="0013070A"/>
    <w:rsid w:val="001529B6"/>
    <w:rsid w:val="001661A4"/>
    <w:rsid w:val="00177A7B"/>
    <w:rsid w:val="001862AA"/>
    <w:rsid w:val="0019184E"/>
    <w:rsid w:val="001B7CDC"/>
    <w:rsid w:val="00205609"/>
    <w:rsid w:val="00236963"/>
    <w:rsid w:val="00236DFC"/>
    <w:rsid w:val="00244620"/>
    <w:rsid w:val="00253963"/>
    <w:rsid w:val="002578DE"/>
    <w:rsid w:val="00284DE5"/>
    <w:rsid w:val="002857ED"/>
    <w:rsid w:val="00351110"/>
    <w:rsid w:val="003B5377"/>
    <w:rsid w:val="00406511"/>
    <w:rsid w:val="00415C31"/>
    <w:rsid w:val="004239EC"/>
    <w:rsid w:val="00433E40"/>
    <w:rsid w:val="004963AF"/>
    <w:rsid w:val="004B20C5"/>
    <w:rsid w:val="004C17F7"/>
    <w:rsid w:val="004F76DA"/>
    <w:rsid w:val="00523693"/>
    <w:rsid w:val="005523B6"/>
    <w:rsid w:val="0058104B"/>
    <w:rsid w:val="005B55C1"/>
    <w:rsid w:val="005C2427"/>
    <w:rsid w:val="005C3827"/>
    <w:rsid w:val="006C0BBC"/>
    <w:rsid w:val="006C17CC"/>
    <w:rsid w:val="006C68D0"/>
    <w:rsid w:val="00726A27"/>
    <w:rsid w:val="0075138F"/>
    <w:rsid w:val="00787229"/>
    <w:rsid w:val="007B082E"/>
    <w:rsid w:val="007D3816"/>
    <w:rsid w:val="007D73C7"/>
    <w:rsid w:val="007E39D1"/>
    <w:rsid w:val="007E5CA3"/>
    <w:rsid w:val="008666AE"/>
    <w:rsid w:val="00880999"/>
    <w:rsid w:val="008D1837"/>
    <w:rsid w:val="008F1784"/>
    <w:rsid w:val="009114A1"/>
    <w:rsid w:val="0092169B"/>
    <w:rsid w:val="00927741"/>
    <w:rsid w:val="00957B5D"/>
    <w:rsid w:val="0098423C"/>
    <w:rsid w:val="009970F8"/>
    <w:rsid w:val="00A26237"/>
    <w:rsid w:val="00A372FE"/>
    <w:rsid w:val="00A71EF1"/>
    <w:rsid w:val="00AA31DC"/>
    <w:rsid w:val="00B21CE3"/>
    <w:rsid w:val="00BB132B"/>
    <w:rsid w:val="00BF241F"/>
    <w:rsid w:val="00C46A7E"/>
    <w:rsid w:val="00C51E56"/>
    <w:rsid w:val="00C82AFF"/>
    <w:rsid w:val="00C86D31"/>
    <w:rsid w:val="00CB459B"/>
    <w:rsid w:val="00CC17C1"/>
    <w:rsid w:val="00CE0B23"/>
    <w:rsid w:val="00CF047B"/>
    <w:rsid w:val="00D3166C"/>
    <w:rsid w:val="00D665BF"/>
    <w:rsid w:val="00D67423"/>
    <w:rsid w:val="00DA0CB5"/>
    <w:rsid w:val="00DC1F6F"/>
    <w:rsid w:val="00DE0AB4"/>
    <w:rsid w:val="00E135BB"/>
    <w:rsid w:val="00E256A5"/>
    <w:rsid w:val="00ED1AA6"/>
    <w:rsid w:val="00EF1A42"/>
    <w:rsid w:val="00F2158B"/>
    <w:rsid w:val="00F33293"/>
    <w:rsid w:val="00F972EC"/>
    <w:rsid w:val="00FC608A"/>
    <w:rsid w:val="00FD7E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83D9E"/>
  <w15:docId w15:val="{0EFA69D5-46E8-7B42-8F8F-D9459FFC6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GridTable1Light-Accent1">
    <w:name w:val="Grid Table 1 Light Accent 1"/>
    <w:basedOn w:val="TableNormal"/>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1">
    <w:name w:val="Grid Table 1 Light - Accent 21"/>
    <w:basedOn w:val="TableNormal"/>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styleId="GridTable1Light-Accent3">
    <w:name w:val="Grid Table 1 Light Accent 3"/>
    <w:basedOn w:val="TableNormal"/>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styleId="GridTable1Light-Accent4">
    <w:name w:val="Grid Table 1 Light Accent 4"/>
    <w:basedOn w:val="TableNormal"/>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styleId="GridTable1Light-Accent5">
    <w:name w:val="Grid Table 1 Light Accent 5"/>
    <w:basedOn w:val="TableNormal"/>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styleId="GridTable1Light-Accent6">
    <w:name w:val="Grid Table 1 Light Accent 6"/>
    <w:basedOn w:val="TableNormal"/>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ridTable2-Accent1">
    <w:name w:val="Grid Table 2 Accent 1"/>
    <w:basedOn w:val="TableNormal"/>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styleId="GridTable2-Accent2">
    <w:name w:val="Grid Table 2 Accent 2"/>
    <w:basedOn w:val="TableNormal"/>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ridTable2-Accent3">
    <w:name w:val="Grid Table 2 Accent 3"/>
    <w:basedOn w:val="TableNormal"/>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ridTable2-Accent4">
    <w:name w:val="Grid Table 2 Accent 4"/>
    <w:basedOn w:val="TableNormal"/>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ridTable2-Accent5">
    <w:name w:val="Grid Table 2 Accent 5"/>
    <w:basedOn w:val="TableNormal"/>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ridTable2-Accent6">
    <w:name w:val="Grid Table 2 Accent 6"/>
    <w:basedOn w:val="TableNormal"/>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3-Accent1">
    <w:name w:val="Grid Table 3 Accent 1"/>
    <w:basedOn w:val="TableNormal"/>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styleId="GridTable3-Accent2">
    <w:name w:val="Grid Table 3 Accent 2"/>
    <w:basedOn w:val="TableNormal"/>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ridTable3-Accent3">
    <w:name w:val="Grid Table 3 Accent 3"/>
    <w:basedOn w:val="TableNormal"/>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ridTable3-Accent4">
    <w:name w:val="Grid Table 3 Accent 4"/>
    <w:basedOn w:val="TableNormal"/>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ridTable3-Accent5">
    <w:name w:val="Grid Table 3 Accent 5"/>
    <w:basedOn w:val="TableNormal"/>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ridTable3-Accent6">
    <w:name w:val="Grid Table 3 Accent 6"/>
    <w:basedOn w:val="TableNormal"/>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4-Accent1">
    <w:name w:val="Grid Table 4 Accent 1"/>
    <w:basedOn w:val="TableNormal"/>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styleId="GridTable4-Accent2">
    <w:name w:val="Grid Table 4 Accent 2"/>
    <w:basedOn w:val="TableNormal"/>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ridTable4-Accent3">
    <w:name w:val="Grid Table 4 Accent 3"/>
    <w:basedOn w:val="TableNormal"/>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ridTable4-Accent4">
    <w:name w:val="Grid Table 4 Accent 4"/>
    <w:basedOn w:val="TableNormal"/>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ridTable4-Accent5">
    <w:name w:val="Grid Table 4 Accent 5"/>
    <w:basedOn w:val="TableNormal"/>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ridTable4-Accent6">
    <w:name w:val="Grid Table 4 Accent 6"/>
    <w:basedOn w:val="TableNormal"/>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5Dark-Accent2">
    <w:name w:val="Grid Table 5 Dark Accent 2"/>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styleId="GridTable5Dark-Accent3">
    <w:name w:val="Grid Table 5 Dark Accent 3"/>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styleId="GridTable5Dark-Accent5">
    <w:name w:val="Grid Table 5 Dark Accent 5"/>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styleId="GridTable5Dark-Accent6">
    <w:name w:val="Grid Table 5 Dark Accent 6"/>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Accent11">
    <w:name w:val="Grid Table 6 Colorful - Accent 11"/>
    <w:basedOn w:val="TableNormal"/>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1">
    <w:name w:val="Grid Table 6 Colorful - Accent 21"/>
    <w:basedOn w:val="TableNormal"/>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1">
    <w:name w:val="Grid Table 6 Colorful - Accent 31"/>
    <w:basedOn w:val="TableNormal"/>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1">
    <w:name w:val="Grid Table 6 Colorful - Accent 41"/>
    <w:basedOn w:val="TableNormal"/>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1">
    <w:name w:val="Grid Table 6 Colorful - Accent 51"/>
    <w:basedOn w:val="TableNormal"/>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1">
    <w:name w:val="Grid Table 6 Colorful - Accent 61"/>
    <w:basedOn w:val="TableNormal"/>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Accent11">
    <w:name w:val="Grid Table 7 Colorful - Accent 11"/>
    <w:basedOn w:val="TableNormal"/>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1">
    <w:name w:val="Grid Table 7 Colorful - Accent 21"/>
    <w:basedOn w:val="TableNormal"/>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1">
    <w:name w:val="Grid Table 7 Colorful - Accent 31"/>
    <w:basedOn w:val="TableNormal"/>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1">
    <w:name w:val="Grid Table 7 Colorful - Accent 41"/>
    <w:basedOn w:val="TableNormal"/>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1">
    <w:name w:val="Grid Table 7 Colorful - Accent 51"/>
    <w:basedOn w:val="TableNormal"/>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1">
    <w:name w:val="Grid Table 7 Colorful - Accent 61"/>
    <w:basedOn w:val="TableNormal"/>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ListTable1Light-Accent1">
    <w:name w:val="List Table 1 Light Accent 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styleId="ListTable1Light-Accent2">
    <w:name w:val="List Table 1 Light Accent 2"/>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styleId="ListTable1Light-Accent3">
    <w:name w:val="List Table 1 Light Accent 3"/>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styleId="ListTable1Light-Accent4">
    <w:name w:val="List Table 1 Light Accent 4"/>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styleId="ListTable1Light-Accent5">
    <w:name w:val="List Table 1 Light Accent 5"/>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styleId="ListTable1Light-Accent6">
    <w:name w:val="List Table 1 Light Accent 6"/>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ListTable2-Accent1">
    <w:name w:val="List Table 2 Accent 1"/>
    <w:basedOn w:val="TableNormal"/>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styleId="ListTable2-Accent2">
    <w:name w:val="List Table 2 Accent 2"/>
    <w:basedOn w:val="TableNormal"/>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styleId="ListTable2-Accent3">
    <w:name w:val="List Table 2 Accent 3"/>
    <w:basedOn w:val="TableNormal"/>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styleId="ListTable2-Accent4">
    <w:name w:val="List Table 2 Accent 4"/>
    <w:basedOn w:val="TableNormal"/>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styleId="ListTable2-Accent5">
    <w:name w:val="List Table 2 Accent 5"/>
    <w:basedOn w:val="TableNormal"/>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styleId="ListTable2-Accent6">
    <w:name w:val="List Table 2 Accent 6"/>
    <w:basedOn w:val="TableNormal"/>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Table3-Accent1">
    <w:name w:val="List Table 3 Accent 1"/>
    <w:basedOn w:val="TableNormal"/>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styleId="ListTable3-Accent2">
    <w:name w:val="List Table 3 Accent 2"/>
    <w:basedOn w:val="TableNormal"/>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styleId="ListTable3-Accent3">
    <w:name w:val="List Table 3 Accent 3"/>
    <w:basedOn w:val="TableNormal"/>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styleId="ListTable3-Accent4">
    <w:name w:val="List Table 3 Accent 4"/>
    <w:basedOn w:val="TableNormal"/>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styleId="ListTable3-Accent5">
    <w:name w:val="List Table 3 Accent 5"/>
    <w:basedOn w:val="TableNormal"/>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styleId="ListTable3-Accent6">
    <w:name w:val="List Table 3 Accent 6"/>
    <w:basedOn w:val="TableNormal"/>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Table4-Accent1">
    <w:name w:val="List Table 4 Accent 1"/>
    <w:basedOn w:val="TableNormal"/>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styleId="ListTable4-Accent2">
    <w:name w:val="List Table 4 Accent 2"/>
    <w:basedOn w:val="TableNormal"/>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styleId="ListTable4-Accent3">
    <w:name w:val="List Table 4 Accent 3"/>
    <w:basedOn w:val="TableNormal"/>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styleId="ListTable4-Accent4">
    <w:name w:val="List Table 4 Accent 4"/>
    <w:basedOn w:val="TableNormal"/>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styleId="ListTable4-Accent5">
    <w:name w:val="List Table 4 Accent 5"/>
    <w:basedOn w:val="TableNormal"/>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styleId="ListTable4-Accent6">
    <w:name w:val="List Table 4 Accent 6"/>
    <w:basedOn w:val="TableNormal"/>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Table5Dark-Accent1">
    <w:name w:val="List Table 5 Dark Accent 1"/>
    <w:basedOn w:val="TableNormal"/>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styleId="ListTable5Dark-Accent2">
    <w:name w:val="List Table 5 Dark Accent 2"/>
    <w:basedOn w:val="TableNormal"/>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styleId="ListTable5Dark-Accent3">
    <w:name w:val="List Table 5 Dark Accent 3"/>
    <w:basedOn w:val="TableNormal"/>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styleId="ListTable5Dark-Accent4">
    <w:name w:val="List Table 5 Dark Accent 4"/>
    <w:basedOn w:val="TableNormal"/>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styleId="ListTable5Dark-Accent5">
    <w:name w:val="List Table 5 Dark Accent 5"/>
    <w:basedOn w:val="TableNormal"/>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styleId="ListTable5Dark-Accent6">
    <w:name w:val="List Table 5 Dark Accent 6"/>
    <w:basedOn w:val="TableNormal"/>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Accent11">
    <w:name w:val="List Table 6 Colorful - Accent 11"/>
    <w:basedOn w:val="TableNormal"/>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1">
    <w:name w:val="List Table 6 Colorful - Accent 21"/>
    <w:basedOn w:val="TableNormal"/>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1">
    <w:name w:val="List Table 6 Colorful - Accent 31"/>
    <w:basedOn w:val="TableNormal"/>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1">
    <w:name w:val="List Table 6 Colorful - Accent 41"/>
    <w:basedOn w:val="TableNormal"/>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1">
    <w:name w:val="List Table 6 Colorful - Accent 51"/>
    <w:basedOn w:val="TableNormal"/>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1">
    <w:name w:val="List Table 6 Colorful - Accent 61"/>
    <w:basedOn w:val="TableNormal"/>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Accent11">
    <w:name w:val="List Table 7 Colorful - Accent 11"/>
    <w:basedOn w:val="TableNormal"/>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1">
    <w:name w:val="List Table 7 Colorful - Accent 21"/>
    <w:basedOn w:val="TableNormal"/>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1">
    <w:name w:val="List Table 7 Colorful - Accent 31"/>
    <w:basedOn w:val="TableNormal"/>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1">
    <w:name w:val="List Table 7 Colorful - Accent 41"/>
    <w:basedOn w:val="TableNormal"/>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1">
    <w:name w:val="List Table 7 Colorful - Accent 51"/>
    <w:basedOn w:val="TableNormal"/>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1">
    <w:name w:val="List Table 7 Colorful - Accent 61"/>
    <w:basedOn w:val="TableNormal"/>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paragraph" w:styleId="NoSpacing">
    <w:name w:val="No Spacing"/>
    <w:uiPriority w:val="1"/>
    <w:qFormat/>
    <w:pPr>
      <w:spacing w:after="0" w:line="240" w:lineRule="auto"/>
    </w:pPr>
  </w:style>
  <w:style w:type="paragraph" w:styleId="Title">
    <w:name w:val="Title"/>
    <w:basedOn w:val="Normal"/>
    <w:next w:val="Normal"/>
    <w:link w:val="TitleChar"/>
    <w:uiPriority w:val="10"/>
    <w:qFormat/>
    <w:pPr>
      <w:spacing w:before="300" w:after="200"/>
      <w:contextualSpacing/>
    </w:pPr>
    <w:rPr>
      <w:sz w:val="48"/>
      <w:szCs w:val="48"/>
    </w:rPr>
  </w:style>
  <w:style w:type="character" w:customStyle="1" w:styleId="TitleChar">
    <w:name w:val="Title Char"/>
    <w:basedOn w:val="DefaultParagraphFont"/>
    <w:link w:val="Title"/>
    <w:uiPriority w:val="10"/>
    <w:rPr>
      <w:sz w:val="48"/>
      <w:szCs w:val="48"/>
    </w:rPr>
  </w:style>
  <w:style w:type="paragraph" w:styleId="Subtitle">
    <w:name w:val="Subtitle"/>
    <w:basedOn w:val="Normal"/>
    <w:next w:val="Normal"/>
    <w:link w:val="SubtitleChar"/>
    <w:uiPriority w:val="11"/>
    <w:qFormat/>
    <w:pPr>
      <w:spacing w:before="200" w:after="200"/>
    </w:pPr>
    <w:rPr>
      <w:sz w:val="24"/>
      <w:szCs w:val="24"/>
    </w:rPr>
  </w:style>
  <w:style w:type="character" w:customStyle="1" w:styleId="SubtitleChar">
    <w:name w:val="Subtitle Char"/>
    <w:basedOn w:val="DefaultParagraphFont"/>
    <w:link w:val="Subtitle"/>
    <w:uiPriority w:val="11"/>
    <w:rPr>
      <w:sz w:val="24"/>
      <w:szCs w:val="24"/>
    </w:rPr>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Pr>
      <w:i/>
    </w:rPr>
  </w:style>
  <w:style w:type="character" w:customStyle="1" w:styleId="CaptionChar">
    <w:name w:val="Caption Char"/>
    <w:uiPriority w:val="99"/>
  </w:style>
  <w:style w:type="table" w:styleId="PlainTable1">
    <w:name w:val="Plain Table 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1Light-Accent2">
    <w:name w:val="Grid Table 1 Light Accent 2"/>
    <w:basedOn w:val="TableNormal"/>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3">
    <w:name w:val="Grid Table 3"/>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4">
    <w:name w:val="Grid Table 4"/>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styleId="GridTable6Colorful">
    <w:name w:val="Grid Table 6 Colorful"/>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styleId="GridTable6Colorful-Accent2">
    <w:name w:val="Grid Table 6 Colorful Accent 2"/>
    <w:basedOn w:val="TableNormal"/>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styleId="GridTable6Colorful-Accent3">
    <w:name w:val="Grid Table 6 Colorful Accent 3"/>
    <w:basedOn w:val="TableNormal"/>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styleId="GridTable6Colorful-Accent4">
    <w:name w:val="Grid Table 6 Colorful Accent 4"/>
    <w:basedOn w:val="TableNormal"/>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styleId="GridTable6Colorful-Accent5">
    <w:name w:val="Grid Table 6 Colorful Accent 5"/>
    <w:basedOn w:val="TableNormal"/>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styleId="GridTable6Colorful-Accent6">
    <w:name w:val="Grid Table 6 Colorful Accent 6"/>
    <w:basedOn w:val="TableNormal"/>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GridTable7Colorful">
    <w:name w:val="Grid Table 7 Colorful"/>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000000"/>
          <w:left w:val="none" w:sz="0" w:space="0" w:color="000000"/>
          <w:bottom w:val="single" w:sz="4" w:space="0" w:color="A6BFDD" w:themeColor="accent1" w:themeTint="80"/>
          <w:right w:val="none" w:sz="0"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000000"/>
          <w:left w:val="none" w:sz="0" w:space="0" w:color="000000"/>
          <w:bottom w:val="none" w:sz="0"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000000"/>
          <w:left w:val="single" w:sz="4" w:space="0" w:color="A6BFDD" w:themeColor="accent1" w:themeTint="80"/>
          <w:bottom w:val="none" w:sz="0" w:space="0" w:color="000000"/>
          <w:right w:val="none" w:sz="0"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styleId="GridTable7Colorful-Accent2">
    <w:name w:val="Grid Table 7 Colorful Accent 2"/>
    <w:basedOn w:val="TableNormal"/>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000000"/>
          <w:left w:val="none" w:sz="0" w:space="0" w:color="000000"/>
          <w:bottom w:val="single" w:sz="4" w:space="0" w:color="D99695" w:themeColor="accent2" w:themeTint="97"/>
          <w:right w:val="none" w:sz="0"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000000"/>
          <w:left w:val="none" w:sz="0" w:space="0" w:color="000000"/>
          <w:bottom w:val="none" w:sz="0"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000000"/>
          <w:left w:val="single" w:sz="4" w:space="0" w:color="D99695" w:themeColor="accent2" w:themeTint="97"/>
          <w:bottom w:val="none" w:sz="0" w:space="0" w:color="000000"/>
          <w:right w:val="none" w:sz="0"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styleId="GridTable7Colorful-Accent3">
    <w:name w:val="Grid Table 7 Colorful Accent 3"/>
    <w:basedOn w:val="TableNormal"/>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000000"/>
          <w:left w:val="none" w:sz="0" w:space="0" w:color="000000"/>
          <w:bottom w:val="single" w:sz="4" w:space="0" w:color="9ABB59" w:themeColor="accent3" w:themeTint="FE"/>
          <w:right w:val="none" w:sz="0"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000000"/>
          <w:left w:val="none" w:sz="0" w:space="0" w:color="000000"/>
          <w:bottom w:val="none" w:sz="0"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000000"/>
          <w:left w:val="single" w:sz="4" w:space="0" w:color="9ABB59" w:themeColor="accent3" w:themeTint="FE"/>
          <w:bottom w:val="none" w:sz="0" w:space="0" w:color="000000"/>
          <w:right w:val="none" w:sz="0"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styleId="GridTable7Colorful-Accent4">
    <w:name w:val="Grid Table 7 Colorful Accent 4"/>
    <w:basedOn w:val="TableNormal"/>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000000"/>
          <w:left w:val="none" w:sz="0" w:space="0" w:color="000000"/>
          <w:bottom w:val="single" w:sz="4" w:space="0" w:color="B2A1C6" w:themeColor="accent4" w:themeTint="9A"/>
          <w:right w:val="none" w:sz="0"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000000"/>
          <w:left w:val="none" w:sz="0" w:space="0" w:color="000000"/>
          <w:bottom w:val="none" w:sz="0"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000000"/>
          <w:left w:val="single" w:sz="4" w:space="0" w:color="B2A1C6" w:themeColor="accent4" w:themeTint="9A"/>
          <w:bottom w:val="none" w:sz="0" w:space="0" w:color="000000"/>
          <w:right w:val="none" w:sz="0"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styleId="GridTable7Colorful-Accent5">
    <w:name w:val="Grid Table 7 Colorful Accent 5"/>
    <w:basedOn w:val="TableNormal"/>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000000"/>
          <w:left w:val="none" w:sz="0" w:space="0" w:color="000000"/>
          <w:bottom w:val="single" w:sz="4" w:space="0" w:color="99D0DE" w:themeColor="accent5" w:themeTint="90"/>
          <w:right w:val="none" w:sz="0"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000000"/>
          <w:left w:val="none" w:sz="0" w:space="0" w:color="000000"/>
          <w:bottom w:val="none" w:sz="0"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000000"/>
          <w:left w:val="single" w:sz="4" w:space="0" w:color="99D0DE" w:themeColor="accent5" w:themeTint="90"/>
          <w:bottom w:val="none" w:sz="0" w:space="0" w:color="000000"/>
          <w:right w:val="none" w:sz="0"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styleId="GridTable7Colorful-Accent6">
    <w:name w:val="Grid Table 7 Colorful Accent 6"/>
    <w:basedOn w:val="TableNormal"/>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000000"/>
          <w:left w:val="none" w:sz="0" w:space="0" w:color="000000"/>
          <w:bottom w:val="single" w:sz="4" w:space="0" w:color="FAC396" w:themeColor="accent6" w:themeTint="90"/>
          <w:right w:val="none" w:sz="0"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000000"/>
          <w:left w:val="none" w:sz="0" w:space="0" w:color="000000"/>
          <w:bottom w:val="none" w:sz="0"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000000"/>
          <w:left w:val="single" w:sz="4" w:space="0" w:color="FAC396" w:themeColor="accent6" w:themeTint="90"/>
          <w:bottom w:val="none" w:sz="0" w:space="0" w:color="000000"/>
          <w:right w:val="none" w:sz="0"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Table2">
    <w:name w:val="List Table 2"/>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3">
    <w:name w:val="List Table 3"/>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4">
    <w:name w:val="List Table 4"/>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5Dark">
    <w:name w:val="List Table 5 Dark"/>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Table6Colorful">
    <w:name w:val="List Table 6 Colorful"/>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styleId="ListTable6Colorful-Accent2">
    <w:name w:val="List Table 6 Colorful Accent 2"/>
    <w:basedOn w:val="TableNormal"/>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styleId="ListTable6Colorful-Accent3">
    <w:name w:val="List Table 6 Colorful Accent 3"/>
    <w:basedOn w:val="TableNormal"/>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styleId="ListTable6Colorful-Accent4">
    <w:name w:val="List Table 6 Colorful Accent 4"/>
    <w:basedOn w:val="TableNormal"/>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styleId="ListTable6Colorful-Accent5">
    <w:name w:val="List Table 6 Colorful Accent 5"/>
    <w:basedOn w:val="TableNormal"/>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styleId="ListTable6Colorful-Accent6">
    <w:name w:val="List Table 6 Colorful Accent 6"/>
    <w:basedOn w:val="TableNormal"/>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ListTable7Colorful">
    <w:name w:val="List Table 7 Colorful"/>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000000"/>
          <w:left w:val="none" w:sz="0" w:space="0" w:color="000000"/>
          <w:bottom w:val="single" w:sz="4" w:space="0" w:color="4F81BD" w:themeColor="accent1"/>
          <w:right w:val="none" w:sz="0"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000000"/>
          <w:left w:val="none" w:sz="0" w:space="0" w:color="000000"/>
          <w:bottom w:val="none" w:sz="0"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000000"/>
          <w:left w:val="single" w:sz="4" w:space="0" w:color="4F81BD" w:themeColor="accent1"/>
          <w:bottom w:val="none" w:sz="0" w:space="0" w:color="000000"/>
          <w:right w:val="none" w:sz="0"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styleId="ListTable7Colorful-Accent2">
    <w:name w:val="List Table 7 Colorful Accent 2"/>
    <w:basedOn w:val="TableNormal"/>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000000"/>
          <w:left w:val="none" w:sz="0" w:space="0" w:color="000000"/>
          <w:bottom w:val="single" w:sz="4" w:space="0" w:color="D99695" w:themeColor="accent2" w:themeTint="97"/>
          <w:right w:val="none" w:sz="0"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000000"/>
          <w:left w:val="none" w:sz="0" w:space="0" w:color="000000"/>
          <w:bottom w:val="none" w:sz="0"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000000"/>
          <w:left w:val="single" w:sz="4" w:space="0" w:color="D99695" w:themeColor="accent2" w:themeTint="97"/>
          <w:bottom w:val="none" w:sz="0" w:space="0" w:color="000000"/>
          <w:right w:val="none" w:sz="0"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styleId="ListTable7Colorful-Accent3">
    <w:name w:val="List Table 7 Colorful Accent 3"/>
    <w:basedOn w:val="TableNormal"/>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000000"/>
          <w:left w:val="none" w:sz="0" w:space="0" w:color="000000"/>
          <w:bottom w:val="single" w:sz="4" w:space="0" w:color="C3D69B" w:themeColor="accent3" w:themeTint="98"/>
          <w:right w:val="none" w:sz="0"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000000"/>
          <w:left w:val="none" w:sz="0" w:space="0" w:color="000000"/>
          <w:bottom w:val="none" w:sz="0"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000000"/>
          <w:left w:val="single" w:sz="4" w:space="0" w:color="C3D69B" w:themeColor="accent3" w:themeTint="98"/>
          <w:bottom w:val="none" w:sz="0" w:space="0" w:color="000000"/>
          <w:right w:val="none" w:sz="0"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styleId="ListTable7Colorful-Accent4">
    <w:name w:val="List Table 7 Colorful Accent 4"/>
    <w:basedOn w:val="TableNormal"/>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000000"/>
          <w:left w:val="none" w:sz="0" w:space="0" w:color="000000"/>
          <w:bottom w:val="single" w:sz="4" w:space="0" w:color="B2A1C6" w:themeColor="accent4" w:themeTint="9A"/>
          <w:right w:val="none" w:sz="0"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000000"/>
          <w:left w:val="none" w:sz="0" w:space="0" w:color="000000"/>
          <w:bottom w:val="none" w:sz="0"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000000"/>
          <w:left w:val="single" w:sz="4" w:space="0" w:color="B2A1C6" w:themeColor="accent4" w:themeTint="9A"/>
          <w:bottom w:val="none" w:sz="0" w:space="0" w:color="000000"/>
          <w:right w:val="none" w:sz="0"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styleId="ListTable7Colorful-Accent5">
    <w:name w:val="List Table 7 Colorful Accent 5"/>
    <w:basedOn w:val="TableNormal"/>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000000"/>
          <w:left w:val="none" w:sz="0" w:space="0" w:color="000000"/>
          <w:bottom w:val="single" w:sz="4" w:space="0" w:color="92CCDC" w:themeColor="accent5" w:themeTint="9A"/>
          <w:right w:val="none" w:sz="0"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000000"/>
          <w:left w:val="none" w:sz="0" w:space="0" w:color="000000"/>
          <w:bottom w:val="none" w:sz="0"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000000"/>
          <w:left w:val="single" w:sz="4" w:space="0" w:color="92CCDC" w:themeColor="accent5" w:themeTint="9A"/>
          <w:bottom w:val="none" w:sz="0" w:space="0" w:color="000000"/>
          <w:right w:val="none" w:sz="0"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styleId="ListTable7Colorful-Accent6">
    <w:name w:val="List Table 7 Colorful Accent 6"/>
    <w:basedOn w:val="TableNormal"/>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000000"/>
          <w:left w:val="none" w:sz="0" w:space="0" w:color="000000"/>
          <w:bottom w:val="single" w:sz="4" w:space="0" w:color="FAC090" w:themeColor="accent6" w:themeTint="98"/>
          <w:right w:val="none" w:sz="0"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000000"/>
          <w:left w:val="none" w:sz="0" w:space="0" w:color="000000"/>
          <w:bottom w:val="none" w:sz="0"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000000"/>
          <w:left w:val="single" w:sz="4" w:space="0" w:color="FAC090" w:themeColor="accent6" w:themeTint="98"/>
          <w:bottom w:val="none" w:sz="0" w:space="0" w:color="000000"/>
          <w:right w:val="none" w:sz="0"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Normal"/>
    <w:uiPriority w:val="99"/>
    <w:pPr>
      <w:spacing w:after="0"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lang w:val="en-US"/>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lang w:val="en-US"/>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lang w:val="en-US"/>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lang w:val="en-US"/>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lang w:val="en-US"/>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lang w:val="en-US"/>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lang w:val="en-US"/>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FootnoteReference">
    <w:name w:val="footnote reference"/>
    <w:basedOn w:val="DefaultParagraphFont"/>
    <w:uiPriority w:val="99"/>
    <w:unhideWhenUsed/>
    <w:rPr>
      <w:vertAlign w:val="superscript"/>
    </w:rPr>
  </w:style>
  <w:style w:type="character" w:styleId="EndnoteReference">
    <w:name w:val="endnote reference"/>
    <w:basedOn w:val="DefaultParagraphFont"/>
    <w:uiPriority w:val="99"/>
    <w:semiHidden/>
    <w:unhideWhenUsed/>
    <w:rPr>
      <w:vertAlign w:val="superscript"/>
    </w:rPr>
  </w:style>
  <w:style w:type="paragraph" w:customStyle="1" w:styleId="CETAuthors">
    <w:name w:val="CET Authors"/>
    <w:basedOn w:val="CETBodytext"/>
    <w:link w:val="CETAuthorsCarattere"/>
    <w:qFormat/>
    <w:pPr>
      <w:keepNext/>
      <w:spacing w:after="120"/>
    </w:pPr>
    <w:rPr>
      <w:sz w:val="24"/>
      <w:lang w:val="en-GB"/>
    </w:rPr>
  </w:style>
  <w:style w:type="paragraph" w:customStyle="1" w:styleId="CETTitle">
    <w:name w:val="CET Title"/>
    <w:next w:val="CETAuthors"/>
    <w:link w:val="CETTitleCarattere"/>
    <w:pPr>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Pr>
      <w:rFonts w:ascii="Arial" w:eastAsia="Times New Roman" w:hAnsi="Arial" w:cs="Times New Roman"/>
      <w:sz w:val="24"/>
      <w:szCs w:val="20"/>
      <w:lang w:val="en-GB"/>
    </w:rPr>
  </w:style>
  <w:style w:type="character" w:customStyle="1" w:styleId="CETTitleCarattere">
    <w:name w:val="CET Title Carattere"/>
    <w:link w:val="CETTitle"/>
    <w:rPr>
      <w:rFonts w:ascii="Arial" w:eastAsia="Times New Roman" w:hAnsi="Arial" w:cs="Times New Roman"/>
      <w:sz w:val="32"/>
      <w:szCs w:val="20"/>
      <w:lang w:val="en-GB"/>
    </w:rPr>
  </w:style>
  <w:style w:type="paragraph" w:customStyle="1" w:styleId="CETHeading1">
    <w:name w:val="CET Heading1"/>
    <w:next w:val="CETBodytext"/>
    <w:qFormat/>
    <w:pPr>
      <w:keepNext/>
      <w:numPr>
        <w:ilvl w:val="1"/>
        <w:numId w:val="1"/>
      </w:numPr>
      <w:tabs>
        <w:tab w:val="num" w:pos="360"/>
      </w:tab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qFormat/>
    <w:pPr>
      <w:keepNext/>
      <w:numPr>
        <w:ilvl w:val="2"/>
        <w:numId w:val="1"/>
      </w:numPr>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pPr>
      <w:keepNext/>
      <w:spacing w:after="0"/>
      <w:contextualSpacing/>
    </w:pPr>
    <w:rPr>
      <w:rFonts w:ascii="Arial" w:eastAsia="Times New Roman" w:hAnsi="Arial" w:cs="Times New Roman"/>
      <w:sz w:val="16"/>
      <w:szCs w:val="20"/>
      <w:lang w:val="en-GB"/>
    </w:rPr>
  </w:style>
  <w:style w:type="table" w:styleId="TableSimple1">
    <w:name w:val="Table Simple 1"/>
    <w:basedOn w:val="TableNormal"/>
    <w:semiHidden/>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character" w:customStyle="1" w:styleId="CETBodytextCarattere">
    <w:name w:val="CET Body text Carattere"/>
    <w:link w:val="CETBodytext"/>
    <w:rPr>
      <w:rFonts w:ascii="Arial" w:eastAsia="Times New Roman" w:hAnsi="Arial" w:cs="Times New Roman"/>
      <w:sz w:val="18"/>
      <w:szCs w:val="20"/>
      <w:lang w:val="en-US"/>
    </w:rPr>
  </w:style>
  <w:style w:type="paragraph" w:customStyle="1" w:styleId="CETReference">
    <w:name w:val="CET Reference"/>
    <w:qFormat/>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Pr>
      <w:rFonts w:ascii="Arial" w:eastAsia="Times New Roman" w:hAnsi="Arial" w:cs="Times New Roman"/>
      <w:b/>
      <w:sz w:val="18"/>
      <w:szCs w:val="20"/>
      <w:lang w:val="en-US"/>
    </w:rPr>
  </w:style>
  <w:style w:type="character" w:customStyle="1" w:styleId="CETCaptionCarattere">
    <w:name w:val="CET Caption Carattere"/>
    <w:link w:val="CETCaption"/>
    <w:rPr>
      <w:rFonts w:ascii="Arial" w:eastAsia="Times New Roman" w:hAnsi="Arial" w:cs="Times New Roman"/>
      <w:i/>
      <w:sz w:val="18"/>
      <w:szCs w:val="20"/>
      <w:lang w:val="en-GB"/>
    </w:rPr>
  </w:style>
  <w:style w:type="paragraph" w:customStyle="1" w:styleId="CETBodytextItalic">
    <w:name w:val="CET Body text (Italic)"/>
    <w:basedOn w:val="CETBodytext"/>
    <w:qFormat/>
    <w:rPr>
      <w:i/>
      <w:lang w:val="en-GB"/>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ibliography">
    <w:name w:val="Bibliography"/>
    <w:basedOn w:val="CETReferencetext"/>
    <w:uiPriority w:val="37"/>
    <w:unhideWhenUsed/>
    <w:pPr>
      <w:spacing w:line="240" w:lineRule="auto"/>
      <w:ind w:left="720" w:hanging="720"/>
    </w:pPr>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szCs w:val="16"/>
    </w:rPr>
  </w:style>
  <w:style w:type="character" w:customStyle="1" w:styleId="BodyText3Char">
    <w:name w:val="Body Text 3 Char"/>
    <w:basedOn w:val="DefaultParagraphFont"/>
    <w:link w:val="BodyText3"/>
    <w:uiPriority w:val="99"/>
    <w:semiHidden/>
    <w:rPr>
      <w:sz w:val="16"/>
      <w:szCs w:val="16"/>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Caption">
    <w:name w:val="caption"/>
    <w:basedOn w:val="Normal"/>
    <w:next w:val="Normal"/>
    <w:uiPriority w:val="35"/>
    <w:semiHidden/>
    <w:unhideWhenUsed/>
    <w:qFormat/>
    <w:pPr>
      <w:spacing w:line="240" w:lineRule="auto"/>
    </w:pPr>
    <w:rPr>
      <w:b/>
      <w:bCs/>
      <w:color w:val="4F81BD" w:themeColor="accent1"/>
      <w:szCs w:val="18"/>
    </w:rPr>
  </w:style>
  <w:style w:type="paragraph" w:styleId="List">
    <w:name w:val="List"/>
    <w:basedOn w:val="Normal"/>
    <w:uiPriority w:val="99"/>
    <w:semiHidden/>
    <w:unhideWhenUsed/>
    <w:pPr>
      <w:ind w:left="283" w:hanging="283"/>
      <w:contextualSpacing/>
    </w:pPr>
  </w:style>
  <w:style w:type="paragraph" w:styleId="List2">
    <w:name w:val="List 2"/>
    <w:basedOn w:val="Normal"/>
    <w:uiPriority w:val="99"/>
    <w:semiHidden/>
    <w:unhideWhenUsed/>
    <w:pPr>
      <w:ind w:left="566" w:hanging="283"/>
      <w:contextualSpacing/>
    </w:pPr>
  </w:style>
  <w:style w:type="paragraph" w:styleId="List3">
    <w:name w:val="List 3"/>
    <w:basedOn w:val="Normal"/>
    <w:uiPriority w:val="99"/>
    <w:semiHidden/>
    <w:unhideWhenUsed/>
    <w:pPr>
      <w:ind w:left="849" w:hanging="283"/>
      <w:contextualSpacing/>
    </w:pPr>
  </w:style>
  <w:style w:type="paragraph" w:styleId="List4">
    <w:name w:val="List 4"/>
    <w:basedOn w:val="Normal"/>
    <w:uiPriority w:val="99"/>
    <w:semiHidden/>
    <w:unhideWhenUsed/>
    <w:pPr>
      <w:ind w:left="1132" w:hanging="283"/>
      <w:contextualSpacing/>
    </w:pPr>
  </w:style>
  <w:style w:type="paragraph" w:styleId="List5">
    <w:name w:val="List 5"/>
    <w:basedOn w:val="Normal"/>
    <w:uiPriority w:val="99"/>
    <w:semiHidden/>
    <w:unhideWhenUsed/>
    <w:pPr>
      <w:ind w:left="1415" w:hanging="283"/>
      <w:contextualSpacing/>
    </w:pPr>
  </w:style>
  <w:style w:type="paragraph" w:styleId="ListContinue">
    <w:name w:val="List Continue"/>
    <w:basedOn w:val="Normal"/>
    <w:uiPriority w:val="99"/>
    <w:semiHidden/>
    <w:unhideWhenUsed/>
    <w:pPr>
      <w:spacing w:after="120"/>
      <w:ind w:left="283"/>
      <w:contextualSpacing/>
    </w:pPr>
  </w:style>
  <w:style w:type="paragraph" w:styleId="ListContinue2">
    <w:name w:val="List Continue 2"/>
    <w:basedOn w:val="Normal"/>
    <w:uiPriority w:val="99"/>
    <w:semiHidden/>
    <w:unhideWhenUsed/>
    <w:pPr>
      <w:spacing w:after="120"/>
      <w:ind w:left="566"/>
      <w:contextualSpacing/>
    </w:pPr>
  </w:style>
  <w:style w:type="paragraph" w:styleId="ListContinue3">
    <w:name w:val="List Continue 3"/>
    <w:basedOn w:val="Normal"/>
    <w:uiPriority w:val="99"/>
    <w:semiHidden/>
    <w:unhideWhenUsed/>
    <w:pPr>
      <w:spacing w:after="120"/>
      <w:ind w:left="849"/>
      <w:contextualSpacing/>
    </w:pPr>
  </w:style>
  <w:style w:type="paragraph" w:styleId="ListContinue4">
    <w:name w:val="List Continue 4"/>
    <w:basedOn w:val="Normal"/>
    <w:uiPriority w:val="99"/>
    <w:semiHidden/>
    <w:unhideWhenUsed/>
    <w:pPr>
      <w:spacing w:after="120"/>
      <w:ind w:left="1132"/>
      <w:contextualSpacing/>
    </w:pPr>
  </w:style>
  <w:style w:type="paragraph" w:styleId="ListContinue5">
    <w:name w:val="List Continue 5"/>
    <w:basedOn w:val="Normal"/>
    <w:uiPriority w:val="99"/>
    <w:semiHidden/>
    <w:unhideWhenUsed/>
    <w:pPr>
      <w:spacing w:after="120"/>
      <w:ind w:left="1415"/>
      <w:contextualSpacing/>
    </w:pPr>
  </w:style>
  <w:style w:type="paragraph" w:styleId="Signature">
    <w:name w:val="Signature"/>
    <w:basedOn w:val="Normal"/>
    <w:link w:val="SignatureChar"/>
    <w:uiPriority w:val="99"/>
    <w:semiHidden/>
    <w:unhideWhenUsed/>
    <w:pPr>
      <w:spacing w:line="240" w:lineRule="auto"/>
      <w:ind w:left="4252"/>
    </w:pPr>
  </w:style>
  <w:style w:type="character" w:customStyle="1" w:styleId="SignatureChar">
    <w:name w:val="Signature Char"/>
    <w:basedOn w:val="DefaultParagraphFont"/>
    <w:link w:val="Signature"/>
    <w:uiPriority w:val="99"/>
    <w:semiHidden/>
  </w:style>
  <w:style w:type="paragraph" w:styleId="E-mailSignature">
    <w:name w:val="E-mail Signature"/>
    <w:basedOn w:val="Normal"/>
    <w:link w:val="E-mailSignatureChar"/>
    <w:uiPriority w:val="99"/>
    <w:semiHidden/>
    <w:unhideWhenUsed/>
    <w:pPr>
      <w:spacing w:line="240" w:lineRule="auto"/>
    </w:pPr>
  </w:style>
  <w:style w:type="character" w:customStyle="1" w:styleId="E-mailSignatureChar">
    <w:name w:val="E-mail Signature Char"/>
    <w:basedOn w:val="DefaultParagraphFont"/>
    <w:link w:val="E-mailSignature"/>
    <w:uiPriority w:val="99"/>
    <w:semiHidden/>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Closing">
    <w:name w:val="Closing"/>
    <w:basedOn w:val="Normal"/>
    <w:link w:val="ClosingChar"/>
    <w:uiPriority w:val="99"/>
    <w:semiHidden/>
    <w:unhideWhenUsed/>
    <w:pPr>
      <w:spacing w:line="240" w:lineRule="auto"/>
      <w:ind w:left="4252"/>
    </w:pPr>
  </w:style>
  <w:style w:type="character" w:customStyle="1" w:styleId="ClosingChar">
    <w:name w:val="Closing Char"/>
    <w:basedOn w:val="DefaultParagraphFont"/>
    <w:link w:val="Closing"/>
    <w:uiPriority w:val="99"/>
    <w:semiHidden/>
  </w:style>
  <w:style w:type="paragraph" w:styleId="Index1">
    <w:name w:val="index 1"/>
    <w:basedOn w:val="Normal"/>
    <w:next w:val="Normal"/>
    <w:uiPriority w:val="99"/>
    <w:semiHidden/>
    <w:unhideWhenUsed/>
    <w:pPr>
      <w:spacing w:line="240" w:lineRule="auto"/>
      <w:ind w:left="220" w:hanging="220"/>
    </w:pPr>
  </w:style>
  <w:style w:type="paragraph" w:styleId="Index2">
    <w:name w:val="index 2"/>
    <w:basedOn w:val="Normal"/>
    <w:next w:val="Normal"/>
    <w:uiPriority w:val="99"/>
    <w:semiHidden/>
    <w:unhideWhenUsed/>
    <w:pPr>
      <w:spacing w:line="240" w:lineRule="auto"/>
      <w:ind w:left="440" w:hanging="220"/>
    </w:pPr>
  </w:style>
  <w:style w:type="paragraph" w:styleId="Index3">
    <w:name w:val="index 3"/>
    <w:basedOn w:val="Normal"/>
    <w:next w:val="Normal"/>
    <w:uiPriority w:val="99"/>
    <w:semiHidden/>
    <w:unhideWhenUsed/>
    <w:pPr>
      <w:spacing w:line="240" w:lineRule="auto"/>
      <w:ind w:left="660" w:hanging="220"/>
    </w:pPr>
  </w:style>
  <w:style w:type="paragraph" w:styleId="Index4">
    <w:name w:val="index 4"/>
    <w:basedOn w:val="Normal"/>
    <w:next w:val="Normal"/>
    <w:uiPriority w:val="99"/>
    <w:semiHidden/>
    <w:unhideWhenUsed/>
    <w:pPr>
      <w:spacing w:line="240" w:lineRule="auto"/>
      <w:ind w:left="880" w:hanging="220"/>
    </w:pPr>
  </w:style>
  <w:style w:type="paragraph" w:styleId="Index5">
    <w:name w:val="index 5"/>
    <w:basedOn w:val="Normal"/>
    <w:next w:val="Normal"/>
    <w:uiPriority w:val="99"/>
    <w:semiHidden/>
    <w:unhideWhenUsed/>
    <w:pPr>
      <w:spacing w:line="240" w:lineRule="auto"/>
      <w:ind w:left="1100" w:hanging="220"/>
    </w:pPr>
  </w:style>
  <w:style w:type="paragraph" w:styleId="Index6">
    <w:name w:val="index 6"/>
    <w:basedOn w:val="Normal"/>
    <w:next w:val="Normal"/>
    <w:uiPriority w:val="99"/>
    <w:semiHidden/>
    <w:unhideWhenUsed/>
    <w:pPr>
      <w:spacing w:line="240" w:lineRule="auto"/>
      <w:ind w:left="1320" w:hanging="220"/>
    </w:pPr>
  </w:style>
  <w:style w:type="paragraph" w:styleId="Index7">
    <w:name w:val="index 7"/>
    <w:basedOn w:val="Normal"/>
    <w:next w:val="Normal"/>
    <w:uiPriority w:val="99"/>
    <w:semiHidden/>
    <w:unhideWhenUsed/>
    <w:pPr>
      <w:spacing w:line="240" w:lineRule="auto"/>
      <w:ind w:left="1540" w:hanging="220"/>
    </w:pPr>
  </w:style>
  <w:style w:type="paragraph" w:styleId="Index8">
    <w:name w:val="index 8"/>
    <w:basedOn w:val="Normal"/>
    <w:next w:val="Normal"/>
    <w:uiPriority w:val="99"/>
    <w:semiHidden/>
    <w:unhideWhenUsed/>
    <w:pPr>
      <w:spacing w:line="240" w:lineRule="auto"/>
      <w:ind w:left="1760" w:hanging="220"/>
    </w:pPr>
  </w:style>
  <w:style w:type="paragraph" w:styleId="Index9">
    <w:name w:val="index 9"/>
    <w:basedOn w:val="Normal"/>
    <w:next w:val="Normal"/>
    <w:uiPriority w:val="99"/>
    <w:semiHidden/>
    <w:unhideWhenUsed/>
    <w:pPr>
      <w:spacing w:line="240" w:lineRule="auto"/>
      <w:ind w:left="1980" w:hanging="220"/>
    </w:pPr>
  </w:style>
  <w:style w:type="paragraph" w:styleId="TableofFigures">
    <w:name w:val="table of figures"/>
    <w:basedOn w:val="Normal"/>
    <w:next w:val="Normal"/>
    <w:uiPriority w:val="99"/>
    <w:semiHidden/>
    <w:unhideWhenUsed/>
  </w:style>
  <w:style w:type="paragraph" w:styleId="TableofAuthorities">
    <w:name w:val="table of authorities"/>
    <w:basedOn w:val="Normal"/>
    <w:next w:val="Normal"/>
    <w:uiPriority w:val="99"/>
    <w:semiHidden/>
    <w:unhideWhenUsed/>
    <w:pPr>
      <w:ind w:left="220" w:hanging="220"/>
    </w:pPr>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pPr>
      <w:spacing w:line="240" w:lineRule="auto"/>
    </w:pPr>
    <w:rPr>
      <w:i/>
      <w:iCs/>
    </w:rPr>
  </w:style>
  <w:style w:type="character" w:customStyle="1" w:styleId="HTMLAddressChar">
    <w:name w:val="HTML Address Char"/>
    <w:basedOn w:val="DefaultParagraphFont"/>
    <w:link w:val="HTMLAddress"/>
    <w:uiPriority w:val="99"/>
    <w:semiHidden/>
    <w:rPr>
      <w:i/>
      <w:iCs/>
    </w:rPr>
  </w:style>
  <w:style w:type="paragraph" w:styleId="EnvelopeReturn">
    <w:name w:val="envelope return"/>
    <w:basedOn w:val="Normal"/>
    <w:uiPriority w:val="99"/>
    <w:semiHidden/>
    <w:unhideWhenUse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pPr>
      <w:pBdr>
        <w:top w:val="single" w:sz="6" w:space="1" w:color="000000"/>
        <w:left w:val="single" w:sz="6" w:space="1" w:color="000000"/>
        <w:bottom w:val="single" w:sz="6" w:space="1" w:color="000000"/>
        <w:right w:val="single" w:sz="6" w:space="1" w:color="000000"/>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pPr>
      <w:spacing w:line="240" w:lineRule="auto"/>
    </w:pPr>
  </w:style>
  <w:style w:type="character" w:customStyle="1" w:styleId="NoteHeadingChar">
    <w:name w:val="Note Heading Char"/>
    <w:basedOn w:val="DefaultParagraphFont"/>
    <w:link w:val="NoteHeading"/>
    <w:uiPriority w:val="99"/>
    <w:semiHidden/>
  </w:style>
  <w:style w:type="paragraph" w:styleId="DocumentMap">
    <w:name w:val="Document Map"/>
    <w:basedOn w:val="Normal"/>
    <w:link w:val="DocumentMapChar"/>
    <w:uiPriority w:val="99"/>
    <w:semiHidden/>
    <w:unhideWhenUse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hAnsi="Tahoma" w:cs="Tahoma"/>
      <w:sz w:val="16"/>
      <w:szCs w:val="16"/>
    </w:rPr>
  </w:style>
  <w:style w:type="paragraph" w:styleId="NormalWeb">
    <w:name w:val="Normal (Web)"/>
    <w:basedOn w:val="Normal"/>
    <w:uiPriority w:val="99"/>
    <w:semiHidden/>
    <w:unhideWhenUsed/>
    <w:rPr>
      <w:sz w:val="24"/>
      <w:szCs w:val="24"/>
    </w:rPr>
  </w:style>
  <w:style w:type="paragraph" w:styleId="ListNumber">
    <w:name w:val="List Number"/>
    <w:basedOn w:val="Normal"/>
    <w:uiPriority w:val="99"/>
    <w:semiHidden/>
    <w:unhideWhenUsed/>
    <w:pPr>
      <w:numPr>
        <w:numId w:val="2"/>
      </w:numPr>
      <w:contextualSpacing/>
    </w:pPr>
  </w:style>
  <w:style w:type="paragraph" w:styleId="ListNumber2">
    <w:name w:val="List Number 2"/>
    <w:basedOn w:val="Normal"/>
    <w:uiPriority w:val="99"/>
    <w:semiHidden/>
    <w:unhideWhenUsed/>
    <w:pPr>
      <w:numPr>
        <w:numId w:val="3"/>
      </w:numPr>
      <w:contextualSpacing/>
    </w:pPr>
  </w:style>
  <w:style w:type="paragraph" w:styleId="ListNumber3">
    <w:name w:val="List Number 3"/>
    <w:basedOn w:val="Normal"/>
    <w:uiPriority w:val="99"/>
    <w:semiHidden/>
    <w:unhideWhenUsed/>
    <w:pPr>
      <w:numPr>
        <w:numId w:val="4"/>
      </w:numPr>
      <w:contextualSpacing/>
    </w:pPr>
  </w:style>
  <w:style w:type="paragraph" w:styleId="ListNumber4">
    <w:name w:val="List Number 4"/>
    <w:basedOn w:val="Normal"/>
    <w:uiPriority w:val="99"/>
    <w:semiHidden/>
    <w:unhideWhenUsed/>
    <w:pPr>
      <w:numPr>
        <w:numId w:val="5"/>
      </w:numPr>
      <w:contextualSpacing/>
    </w:pPr>
  </w:style>
  <w:style w:type="paragraph" w:styleId="ListNumber5">
    <w:name w:val="List Number 5"/>
    <w:basedOn w:val="Normal"/>
    <w:uiPriority w:val="99"/>
    <w:semiHidden/>
    <w:unhideWhenUsed/>
    <w:pPr>
      <w:numPr>
        <w:numId w:val="6"/>
      </w:numPr>
      <w:contextualSpacing/>
    </w:pPr>
  </w:style>
  <w:style w:type="paragraph" w:styleId="HTMLPreformatted">
    <w:name w:val="HTML Preformatted"/>
    <w:basedOn w:val="Normal"/>
    <w:link w:val="HTMLPreformattedChar"/>
    <w:uiPriority w:val="99"/>
    <w:semiHidden/>
    <w:unhideWhenUse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szCs w:val="20"/>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283"/>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left="360" w:firstLine="360"/>
    </w:pPr>
  </w:style>
  <w:style w:type="character" w:customStyle="1" w:styleId="BodyTextFirstIndent2Char">
    <w:name w:val="Body Text First Indent 2 Char"/>
    <w:basedOn w:val="BodyTextIndentChar"/>
    <w:link w:val="BodyTextFirstIndent2"/>
    <w:uiPriority w:val="99"/>
    <w:semiHidden/>
  </w:style>
  <w:style w:type="paragraph" w:styleId="ListBullet">
    <w:name w:val="List Bullet"/>
    <w:basedOn w:val="Normal"/>
    <w:uiPriority w:val="99"/>
    <w:semiHidden/>
    <w:unhideWhenUsed/>
    <w:pPr>
      <w:numPr>
        <w:numId w:val="7"/>
      </w:numPr>
      <w:contextualSpacing/>
    </w:pPr>
  </w:style>
  <w:style w:type="paragraph" w:styleId="ListBullet2">
    <w:name w:val="List Bullet 2"/>
    <w:basedOn w:val="Normal"/>
    <w:uiPriority w:val="99"/>
    <w:semiHidden/>
    <w:unhideWhenUsed/>
    <w:pPr>
      <w:numPr>
        <w:numId w:val="8"/>
      </w:numPr>
      <w:contextualSpacing/>
    </w:pPr>
  </w:style>
  <w:style w:type="paragraph" w:styleId="ListBullet3">
    <w:name w:val="List Bullet 3"/>
    <w:basedOn w:val="Normal"/>
    <w:uiPriority w:val="99"/>
    <w:semiHidden/>
    <w:unhideWhenUsed/>
    <w:pPr>
      <w:numPr>
        <w:numId w:val="9"/>
      </w:numPr>
      <w:contextualSpacing/>
    </w:pPr>
  </w:style>
  <w:style w:type="paragraph" w:styleId="ListBullet4">
    <w:name w:val="List Bullet 4"/>
    <w:basedOn w:val="Normal"/>
    <w:uiPriority w:val="99"/>
    <w:semiHidden/>
    <w:unhideWhenUsed/>
    <w:pPr>
      <w:numPr>
        <w:numId w:val="10"/>
      </w:numPr>
      <w:contextualSpacing/>
    </w:pPr>
  </w:style>
  <w:style w:type="paragraph" w:styleId="ListBullet5">
    <w:name w:val="List Bullet 5"/>
    <w:basedOn w:val="Normal"/>
    <w:uiPriority w:val="99"/>
    <w:semiHidden/>
    <w:unhideWhenUsed/>
    <w:pPr>
      <w:numPr>
        <w:numId w:val="11"/>
      </w:numPr>
      <w:contextualSpacing/>
    </w:pPr>
  </w:style>
  <w:style w:type="paragraph" w:styleId="BodyTextIndent2">
    <w:name w:val="Body Text Indent 2"/>
    <w:basedOn w:val="Normal"/>
    <w:link w:val="BodyTextIndent2Char"/>
    <w:uiPriority w:val="99"/>
    <w:semiHidden/>
    <w:unhideWhenUsed/>
    <w:pPr>
      <w:spacing w:after="120" w:line="480" w:lineRule="auto"/>
      <w:ind w:left="283"/>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283"/>
    </w:pPr>
    <w:rPr>
      <w:sz w:val="16"/>
      <w:szCs w:val="16"/>
    </w:rPr>
  </w:style>
  <w:style w:type="character" w:customStyle="1" w:styleId="BodyTextIndent3Char">
    <w:name w:val="Body Text Indent 3 Char"/>
    <w:basedOn w:val="DefaultParagraphFont"/>
    <w:link w:val="BodyTextIndent3"/>
    <w:uiPriority w:val="99"/>
    <w:semiHidden/>
    <w:rPr>
      <w:sz w:val="16"/>
      <w:szCs w:val="16"/>
    </w:rPr>
  </w:style>
  <w:style w:type="paragraph" w:styleId="NormalIndent">
    <w:name w:val="Normal Indent"/>
    <w:basedOn w:val="Normal"/>
    <w:uiPriority w:val="99"/>
    <w:semiHidden/>
    <w:unhideWhenUsed/>
    <w:pPr>
      <w:ind w:left="720"/>
    </w:p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TOC1">
    <w:name w:val="toc 1"/>
    <w:basedOn w:val="Normal"/>
    <w:next w:val="Normal"/>
    <w:uiPriority w:val="39"/>
    <w:semiHidden/>
    <w:unhideWhenUsed/>
    <w:pPr>
      <w:spacing w:after="100"/>
    </w:pPr>
  </w:style>
  <w:style w:type="paragraph" w:styleId="TOC2">
    <w:name w:val="toc 2"/>
    <w:basedOn w:val="Normal"/>
    <w:next w:val="Normal"/>
    <w:uiPriority w:val="39"/>
    <w:semiHidden/>
    <w:unhideWhenUsed/>
    <w:pPr>
      <w:spacing w:after="100"/>
      <w:ind w:left="220"/>
    </w:pPr>
  </w:style>
  <w:style w:type="paragraph" w:styleId="TOC3">
    <w:name w:val="toc 3"/>
    <w:basedOn w:val="Normal"/>
    <w:next w:val="Normal"/>
    <w:uiPriority w:val="39"/>
    <w:semiHidden/>
    <w:unhideWhenUsed/>
    <w:pPr>
      <w:spacing w:after="100"/>
      <w:ind w:left="440"/>
    </w:pPr>
  </w:style>
  <w:style w:type="paragraph" w:styleId="TOC4">
    <w:name w:val="toc 4"/>
    <w:basedOn w:val="Normal"/>
    <w:next w:val="Normal"/>
    <w:uiPriority w:val="39"/>
    <w:semiHidden/>
    <w:unhideWhenUsed/>
    <w:pPr>
      <w:spacing w:after="100"/>
      <w:ind w:left="660"/>
    </w:pPr>
  </w:style>
  <w:style w:type="paragraph" w:styleId="TOC5">
    <w:name w:val="toc 5"/>
    <w:basedOn w:val="Normal"/>
    <w:next w:val="Normal"/>
    <w:uiPriority w:val="39"/>
    <w:semiHidden/>
    <w:unhideWhenUsed/>
    <w:pPr>
      <w:spacing w:after="100"/>
      <w:ind w:left="880"/>
    </w:pPr>
  </w:style>
  <w:style w:type="paragraph" w:styleId="TOC6">
    <w:name w:val="toc 6"/>
    <w:basedOn w:val="Normal"/>
    <w:next w:val="Normal"/>
    <w:uiPriority w:val="39"/>
    <w:semiHidden/>
    <w:unhideWhenUsed/>
    <w:pPr>
      <w:spacing w:after="100"/>
      <w:ind w:left="1100"/>
    </w:pPr>
  </w:style>
  <w:style w:type="paragraph" w:styleId="TOC7">
    <w:name w:val="toc 7"/>
    <w:basedOn w:val="Normal"/>
    <w:next w:val="Normal"/>
    <w:uiPriority w:val="39"/>
    <w:semiHidden/>
    <w:unhideWhenUsed/>
    <w:pPr>
      <w:spacing w:after="100"/>
      <w:ind w:left="1320"/>
    </w:pPr>
  </w:style>
  <w:style w:type="paragraph" w:styleId="TOC8">
    <w:name w:val="toc 8"/>
    <w:basedOn w:val="Normal"/>
    <w:next w:val="Normal"/>
    <w:uiPriority w:val="39"/>
    <w:semiHidden/>
    <w:unhideWhenUsed/>
    <w:pPr>
      <w:spacing w:after="100"/>
      <w:ind w:left="1540"/>
    </w:pPr>
  </w:style>
  <w:style w:type="paragraph" w:styleId="TOC9">
    <w:name w:val="toc 9"/>
    <w:basedOn w:val="Normal"/>
    <w:next w:val="Normal"/>
    <w:uiPriority w:val="39"/>
    <w:semiHidden/>
    <w:unhideWhenUsed/>
    <w:pPr>
      <w:spacing w:after="100"/>
      <w:ind w:left="1760"/>
    </w:pPr>
  </w:style>
  <w:style w:type="paragraph" w:styleId="BlockText">
    <w:name w:val="Block Text"/>
    <w:basedOn w:val="Normal"/>
    <w:uiPriority w:val="99"/>
    <w:semiHidden/>
    <w:unhideWhenUse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Pr>
      <w:rFonts w:ascii="Consolas" w:hAnsi="Consolas" w:cs="Consolas"/>
      <w:sz w:val="20"/>
      <w:szCs w:val="20"/>
    </w:rPr>
  </w:style>
  <w:style w:type="paragraph" w:styleId="PlainText">
    <w:name w:val="Plain Text"/>
    <w:basedOn w:val="Normal"/>
    <w:link w:val="PlainTextChar"/>
    <w:uiPriority w:val="99"/>
    <w:semiHidden/>
    <w:unhideWhenUse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Pr>
      <w:rFonts w:ascii="Consolas" w:hAnsi="Consolas" w:cs="Consolas"/>
      <w:sz w:val="21"/>
      <w:szCs w:val="21"/>
    </w:rPr>
  </w:style>
  <w:style w:type="paragraph" w:styleId="FootnoteText">
    <w:name w:val="footnote text"/>
    <w:basedOn w:val="Normal"/>
    <w:link w:val="FootnoteTextChar"/>
    <w:uiPriority w:val="99"/>
    <w:semiHidden/>
    <w:unhideWhenUsed/>
    <w:pPr>
      <w:spacing w:line="240" w:lineRule="auto"/>
    </w:pPr>
  </w:style>
  <w:style w:type="character" w:customStyle="1" w:styleId="FootnoteTextChar">
    <w:name w:val="Footnote Text Char"/>
    <w:basedOn w:val="DefaultParagraphFont"/>
    <w:link w:val="FootnoteText"/>
    <w:uiPriority w:val="99"/>
    <w:semiHidden/>
    <w:rPr>
      <w:sz w:val="20"/>
      <w:szCs w:val="20"/>
    </w:rPr>
  </w:style>
  <w:style w:type="paragraph" w:styleId="EndnoteText">
    <w:name w:val="endnote text"/>
    <w:basedOn w:val="Normal"/>
    <w:link w:val="EndnoteTextChar"/>
    <w:uiPriority w:val="99"/>
    <w:semiHidden/>
    <w:unhideWhenUsed/>
    <w:pPr>
      <w:spacing w:line="240" w:lineRule="auto"/>
    </w:pPr>
  </w:style>
  <w:style w:type="character" w:customStyle="1" w:styleId="EndnoteTextChar">
    <w:name w:val="Endnote Text Char"/>
    <w:basedOn w:val="DefaultParagraphFont"/>
    <w:link w:val="EndnoteText"/>
    <w:uiPriority w:val="99"/>
    <w:semiHidden/>
    <w:rPr>
      <w:sz w:val="20"/>
      <w:szCs w:val="20"/>
    </w:rPr>
  </w:style>
  <w:style w:type="character" w:customStyle="1" w:styleId="Heading1Char">
    <w:name w:val="Heading 1 Char"/>
    <w:basedOn w:val="DefaultParagraphFont"/>
    <w:link w:val="Heading1"/>
    <w:uiPriority w:val="9"/>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pPr>
      <w:outlineLvl w:val="9"/>
    </w:pPr>
  </w:style>
  <w:style w:type="paragraph" w:customStyle="1" w:styleId="CETemail">
    <w:name w:val="CET email"/>
    <w:next w:val="CETBodytext"/>
    <w:pPr>
      <w:spacing w:after="240"/>
    </w:pPr>
    <w:rPr>
      <w:rFonts w:ascii="Arial" w:eastAsia="Times New Roman" w:hAnsi="Arial" w:cs="Times New Roman"/>
      <w:sz w:val="16"/>
      <w:szCs w:val="20"/>
      <w:lang w:val="en-GB"/>
    </w:rPr>
  </w:style>
  <w:style w:type="character" w:customStyle="1" w:styleId="CETAddressCarattere">
    <w:name w:val="CET Address Carattere"/>
    <w:basedOn w:val="DefaultParagraphFont"/>
    <w:link w:val="CETAddress"/>
    <w:rPr>
      <w:rFonts w:ascii="Arial" w:eastAsia="Times New Roman" w:hAnsi="Arial" w:cs="Times New Roman"/>
      <w:sz w:val="16"/>
      <w:szCs w:val="20"/>
      <w:lang w:val="en-GB"/>
    </w:rPr>
  </w:style>
  <w:style w:type="paragraph" w:customStyle="1" w:styleId="CETBodytextBold">
    <w:name w:val="CET Body text (Bold)"/>
    <w:basedOn w:val="CETBodytext"/>
    <w:rPr>
      <w:b/>
    </w:rPr>
  </w:style>
  <w:style w:type="paragraph" w:customStyle="1" w:styleId="CETnumberingbullets">
    <w:name w:val="CET numbering (bullets)"/>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Pr>
      <w:rFonts w:ascii="Arial" w:eastAsia="Times New Roman" w:hAnsi="Arial" w:cs="Times New Roman"/>
      <w:sz w:val="18"/>
      <w:szCs w:val="20"/>
      <w:lang w:val="en-GB"/>
    </w:rPr>
  </w:style>
  <w:style w:type="paragraph" w:styleId="Footer">
    <w:name w:val="footer"/>
    <w:basedOn w:val="Normal"/>
    <w:link w:val="FooterChar"/>
    <w:uiPriority w:val="99"/>
    <w:unhideWhenUsed/>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Pr>
      <w:rFonts w:ascii="Arial" w:eastAsia="Times New Roman" w:hAnsi="Arial" w:cs="Times New Roman"/>
      <w:sz w:val="18"/>
      <w:szCs w:val="20"/>
      <w:lang w:val="en-GB"/>
    </w:rPr>
  </w:style>
  <w:style w:type="table" w:styleId="TableGrid">
    <w:name w:val="Table Grid"/>
    <w:basedOn w:val="Table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Pr>
      <w:color w:val="0000FF" w:themeColor="hyperlink"/>
      <w:u w:val="single"/>
    </w:rPr>
  </w:style>
  <w:style w:type="character" w:customStyle="1" w:styleId="eudoraheader">
    <w:name w:val="eudoraheader"/>
    <w:basedOn w:val="DefaultParagraphFont"/>
  </w:style>
  <w:style w:type="paragraph" w:customStyle="1" w:styleId="CETListbullets">
    <w:name w:val="CET List bullets"/>
    <w:qFormat/>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pPr>
      <w:spacing w:before="120" w:after="120"/>
      <w:jc w:val="left"/>
    </w:pPr>
    <w:rPr>
      <w:lang w:val="en-GB"/>
    </w:rPr>
  </w:style>
  <w:style w:type="paragraph" w:customStyle="1" w:styleId="CETHeadingxx">
    <w:name w:val="CET Headingxx"/>
    <w:basedOn w:val="CETheadingx"/>
    <w:link w:val="CETHeadingxxChar"/>
    <w:qFormat/>
    <w:pPr>
      <w:numPr>
        <w:ilvl w:val="0"/>
        <w:numId w:val="0"/>
      </w:numPr>
    </w:pPr>
  </w:style>
  <w:style w:type="character" w:customStyle="1" w:styleId="CETHeadingxxChar">
    <w:name w:val="CET Headingxx Char"/>
    <w:basedOn w:val="CETheadingxCarattere"/>
    <w:link w:val="CETHeadingxx"/>
    <w:rPr>
      <w:rFonts w:ascii="Arial" w:eastAsia="Times New Roman" w:hAnsi="Arial" w:cs="Times New Roman"/>
      <w:b/>
      <w:sz w:val="18"/>
      <w:szCs w:val="20"/>
      <w:lang w:val="en-US"/>
    </w:rPr>
  </w:style>
  <w:style w:type="paragraph" w:styleId="ListParagraph">
    <w:name w:val="List Paragraph"/>
    <w:basedOn w:val="Normal"/>
    <w:uiPriority w:val="34"/>
    <w:pPr>
      <w:ind w:left="720"/>
      <w:contextualSpacing/>
    </w:p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FollowedHyperlink">
    <w:name w:val="FollowedHyperlink"/>
    <w:basedOn w:val="DefaultParagraphFont"/>
    <w:uiPriority w:val="99"/>
    <w:semiHidden/>
    <w:unhideWhenUsed/>
    <w:rPr>
      <w:color w:val="800080" w:themeColor="followedHyperlink"/>
      <w:u w:val="single"/>
    </w:rPr>
  </w:style>
  <w:style w:type="paragraph" w:styleId="Revision">
    <w:name w:val="Revision"/>
    <w:hidden/>
    <w:uiPriority w:val="99"/>
    <w:semiHidden/>
    <w:rsid w:val="009970F8"/>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khanh-quang.tran@ntnu.no" TargetMode="External"/><Relationship Id="rId18" Type="http://schemas.openxmlformats.org/officeDocument/2006/relationships/image" Target="media/image30.png"/><Relationship Id="rId26" Type="http://schemas.openxmlformats.org/officeDocument/2006/relationships/image" Target="media/image7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20.jpg"/><Relationship Id="rId25" Type="http://schemas.openxmlformats.org/officeDocument/2006/relationships/image" Target="media/image7.png"/><Relationship Id="rId2" Type="http://schemas.openxmlformats.org/officeDocument/2006/relationships/numbering" Target="numbering.xml"/><Relationship Id="rId20" Type="http://schemas.openxmlformats.org/officeDocument/2006/relationships/image" Target="media/image4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60.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image" Target="media/image10.jpg"/><Relationship Id="rId19" Type="http://schemas.openxmlformats.org/officeDocument/2006/relationships/image" Target="media/image4.png"/><Relationship Id="rId4" Type="http://schemas.openxmlformats.org/officeDocument/2006/relationships/settings" Target="settings.xml"/><Relationship Id="rId14" Type="http://schemas.openxmlformats.org/officeDocument/2006/relationships/hyperlink" Target="mailto:thuat.trinh@ntnu.no" TargetMode="External"/><Relationship Id="rId22" Type="http://schemas.openxmlformats.org/officeDocument/2006/relationships/image" Target="media/image50.png"/><Relationship Id="rId27" Type="http://schemas.openxmlformats.org/officeDocument/2006/relationships/image" Target="media/image8.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E87025-4DFE-4A56-9039-F6ACCA003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6</Pages>
  <Words>2997</Words>
  <Characters>17086</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Dipartimento CMIC - Politecnico di Milano</Company>
  <LinksUpToDate>false</LinksUpToDate>
  <CharactersWithSpaces>20043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Thanh Thuat Trinh</cp:lastModifiedBy>
  <cp:revision>15</cp:revision>
  <dcterms:created xsi:type="dcterms:W3CDTF">2024-01-12T16:39:00Z</dcterms:created>
  <dcterms:modified xsi:type="dcterms:W3CDTF">2024-02-12T10:23:00Z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