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046E448B" w:rsidR="000A03B2" w:rsidRPr="00B57B36" w:rsidRDefault="007C1C85" w:rsidP="00DE264A">
            <w:pPr>
              <w:tabs>
                <w:tab w:val="left" w:pos="-108"/>
              </w:tabs>
              <w:ind w:left="-108"/>
              <w:jc w:val="left"/>
              <w:rPr>
                <w:rFonts w:cs="Arial"/>
                <w:b/>
                <w:bCs/>
                <w:i/>
                <w:iCs/>
                <w:color w:val="000066"/>
                <w:sz w:val="12"/>
                <w:szCs w:val="12"/>
                <w:lang w:eastAsia="it-IT"/>
              </w:rPr>
            </w:pPr>
            <w:r>
              <w:rPr>
                <w:rFonts w:ascii="AdvP6960" w:hAnsi="AdvP6960" w:cs="AdvP6960"/>
                <w:color w:val="241F20"/>
                <w:szCs w:val="18"/>
                <w:lang w:eastAsia="it-IT"/>
              </w:rPr>
              <w:t xml:space="preserve"> </w:t>
            </w:r>
            <w:r w:rsidR="000A03B2" w:rsidRPr="00B57B36">
              <w:rPr>
                <w:rFonts w:ascii="AdvP6960" w:hAnsi="AdvP6960" w:cs="AdvP6960"/>
                <w:noProof/>
                <w:color w:val="241F20"/>
                <w:szCs w:val="18"/>
                <w:lang w:val="pt-BR" w:eastAsia="pt-B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7CDAF16" w:rsidR="00E978D0" w:rsidRPr="00B57B36" w:rsidRDefault="004765F0" w:rsidP="00E978D0">
      <w:pPr>
        <w:pStyle w:val="CETTitle"/>
      </w:pPr>
      <w:r>
        <w:t>Carbon footprint of the recent bioenergy crop sugarcane transiti</w:t>
      </w:r>
      <w:r w:rsidR="00140FEB">
        <w:t>o</w:t>
      </w:r>
      <w:r w:rsidR="00EB2BA8">
        <w:t>n in Bolivia and outlook to 2028</w:t>
      </w:r>
    </w:p>
    <w:p w14:paraId="0488FED2" w14:textId="78A062FD" w:rsidR="00B57E6F" w:rsidRPr="003D40AA" w:rsidRDefault="004765F0" w:rsidP="00B57E6F">
      <w:pPr>
        <w:pStyle w:val="CETAuthors"/>
        <w:rPr>
          <w:lang w:val="es-BO"/>
        </w:rPr>
      </w:pPr>
      <w:r w:rsidRPr="003D40AA">
        <w:rPr>
          <w:lang w:val="es-BO"/>
        </w:rPr>
        <w:t>Victor Villegas Mercado</w:t>
      </w:r>
      <w:r w:rsidR="00B57E6F" w:rsidRPr="003D40AA">
        <w:rPr>
          <w:vertAlign w:val="superscript"/>
          <w:lang w:val="es-BO"/>
        </w:rPr>
        <w:t>a</w:t>
      </w:r>
      <w:r w:rsidR="003D40AA" w:rsidRPr="003D40AA">
        <w:rPr>
          <w:lang w:val="es-BO"/>
        </w:rPr>
        <w:t>*</w:t>
      </w:r>
      <w:r w:rsidRPr="003D40AA">
        <w:rPr>
          <w:lang w:val="es-BO"/>
        </w:rPr>
        <w:t xml:space="preserve">, </w:t>
      </w:r>
      <w:r w:rsidR="00702D33" w:rsidRPr="003D40AA">
        <w:rPr>
          <w:lang w:val="es-BO"/>
        </w:rPr>
        <w:t>Jean Felipe Leal Silva</w:t>
      </w:r>
      <w:r w:rsidR="00B57E6F" w:rsidRPr="003D40AA">
        <w:rPr>
          <w:vertAlign w:val="superscript"/>
          <w:lang w:val="es-BO"/>
        </w:rPr>
        <w:t>b</w:t>
      </w:r>
      <w:r w:rsidR="00B57E6F" w:rsidRPr="003D40AA">
        <w:rPr>
          <w:lang w:val="es-BO"/>
        </w:rPr>
        <w:t>,</w:t>
      </w:r>
      <w:r w:rsidR="008B6826">
        <w:rPr>
          <w:lang w:val="es-BO"/>
        </w:rPr>
        <w:t xml:space="preserve"> </w:t>
      </w:r>
      <w:r w:rsidR="00702D33" w:rsidRPr="003D40AA">
        <w:rPr>
          <w:lang w:val="es-BO"/>
        </w:rPr>
        <w:t>Laura Plazas Tovar</w:t>
      </w:r>
      <w:r w:rsidR="00702D33" w:rsidRPr="003D40AA">
        <w:rPr>
          <w:szCs w:val="24"/>
          <w:vertAlign w:val="superscript"/>
          <w:lang w:val="es-BO"/>
        </w:rPr>
        <w:t xml:space="preserve"> a</w:t>
      </w:r>
    </w:p>
    <w:p w14:paraId="0E3949A1" w14:textId="0FA84AF5" w:rsidR="00702D33" w:rsidRPr="00FB28D8" w:rsidRDefault="00B57E6F" w:rsidP="007A1C6C">
      <w:pPr>
        <w:pStyle w:val="CETAddress"/>
        <w:rPr>
          <w:szCs w:val="24"/>
          <w:lang w:val="en-US"/>
        </w:rPr>
      </w:pPr>
      <w:r w:rsidRPr="00B57B36">
        <w:rPr>
          <w:vertAlign w:val="superscript"/>
        </w:rPr>
        <w:t>a</w:t>
      </w:r>
      <w:r w:rsidR="00702D33">
        <w:t xml:space="preserve">Department of Chemical Engineering, Federal University of </w:t>
      </w:r>
      <w:r w:rsidR="00702D33" w:rsidRPr="00FB28D8">
        <w:rPr>
          <w:szCs w:val="24"/>
          <w:lang w:val="en-US"/>
        </w:rPr>
        <w:t>São</w:t>
      </w:r>
      <w:r w:rsidRPr="00B57B36">
        <w:t xml:space="preserve"> </w:t>
      </w:r>
      <w:r w:rsidR="00702D33">
        <w:t xml:space="preserve">Paulo, </w:t>
      </w:r>
      <w:r w:rsidR="00702D33" w:rsidRPr="00FB28D8">
        <w:rPr>
          <w:szCs w:val="24"/>
          <w:lang w:val="en-US"/>
        </w:rPr>
        <w:t>ZIP code 09913-030, Diadema–SP, Brazil.</w:t>
      </w:r>
    </w:p>
    <w:p w14:paraId="7B3401AB" w14:textId="416F9D4F" w:rsidR="00F048B1" w:rsidRDefault="00B57E6F" w:rsidP="007A1C6C">
      <w:pPr>
        <w:pStyle w:val="CETAddress"/>
      </w:pPr>
      <w:r w:rsidRPr="00B57B36">
        <w:rPr>
          <w:vertAlign w:val="superscript"/>
        </w:rPr>
        <w:t>b</w:t>
      </w:r>
      <w:r w:rsidR="00702D33" w:rsidRPr="00FB28D8">
        <w:rPr>
          <w:szCs w:val="24"/>
          <w:lang w:val="en-US"/>
        </w:rPr>
        <w:t>School of Chemical Engineering, University of Campinas, ZIP code 13083-852, Campinas</w:t>
      </w:r>
      <w:r w:rsidR="008B6826" w:rsidRPr="00FB28D8">
        <w:rPr>
          <w:szCs w:val="24"/>
          <w:lang w:val="en-US"/>
        </w:rPr>
        <w:t>–</w:t>
      </w:r>
      <w:r w:rsidR="00702D33" w:rsidRPr="00FB28D8">
        <w:rPr>
          <w:szCs w:val="24"/>
          <w:lang w:val="en-US"/>
        </w:rPr>
        <w:t>SP, Brazil.</w:t>
      </w:r>
      <w:r>
        <w:t xml:space="preserve"> </w:t>
      </w:r>
    </w:p>
    <w:p w14:paraId="73F1267A" w14:textId="5F5B9C04" w:rsidR="00B57E6F" w:rsidRPr="003D40AA" w:rsidRDefault="00000000" w:rsidP="007A1C6C">
      <w:pPr>
        <w:pStyle w:val="CETemail"/>
      </w:pPr>
      <w:hyperlink r:id="rId10" w:history="1">
        <w:r w:rsidR="003D40AA" w:rsidRPr="003D40AA">
          <w:rPr>
            <w:rStyle w:val="Collegamentoipertestuale"/>
            <w:color w:val="auto"/>
            <w:u w:val="none"/>
          </w:rPr>
          <w:t>victor.shamir@unifesp.br</w:t>
        </w:r>
      </w:hyperlink>
    </w:p>
    <w:p w14:paraId="6AF06839" w14:textId="77777777" w:rsidR="00E309AC" w:rsidRDefault="00E309AC" w:rsidP="00267767">
      <w:pPr>
        <w:pStyle w:val="CETBodytext"/>
      </w:pPr>
    </w:p>
    <w:p w14:paraId="3711002A" w14:textId="55864EE5" w:rsidR="003D40AA" w:rsidRPr="004571B6" w:rsidRDefault="003D40AA" w:rsidP="004571B6">
      <w:pPr>
        <w:pStyle w:val="CETBodytext"/>
      </w:pPr>
      <w:r w:rsidRPr="004571B6">
        <w:t>Bolivia's biofuel policy has made progress in</w:t>
      </w:r>
      <w:r w:rsidR="006819A8" w:rsidRPr="004571B6">
        <w:t xml:space="preserve"> replacing</w:t>
      </w:r>
      <w:r w:rsidRPr="004571B6">
        <w:t xml:space="preserve"> gasoline import</w:t>
      </w:r>
      <w:r w:rsidR="006819A8" w:rsidRPr="004571B6">
        <w:t>s</w:t>
      </w:r>
      <w:r w:rsidRPr="004571B6">
        <w:t xml:space="preserve"> and in reducing its greenhouse gases (GHG)</w:t>
      </w:r>
      <w:r w:rsidR="006819A8" w:rsidRPr="004571B6">
        <w:t xml:space="preserve"> emissions</w:t>
      </w:r>
      <w:r w:rsidRPr="004571B6">
        <w:t xml:space="preserve">. Advances in crop yield, energy use, and fertilizer/chemical use increased the operational efficiency and </w:t>
      </w:r>
      <w:r w:rsidR="006819A8" w:rsidRPr="004571B6">
        <w:t>reduced GHG</w:t>
      </w:r>
      <w:r w:rsidRPr="004571B6">
        <w:t xml:space="preserve"> emission potential of Bolivia’s sugarcane bioenergy crop. This study examines GHG emissions resulting from sugarcane energy crop development in Bolivia. A carbon intensity inventory was compiled for 2022/</w:t>
      </w:r>
      <w:r w:rsidR="00EB2BA8" w:rsidRPr="004571B6">
        <w:t>2023 looking at the 2028</w:t>
      </w:r>
      <w:r w:rsidRPr="004571B6">
        <w:t xml:space="preserve"> harvest season. Information was collected from sugarcane farmers (in the form of personal reports) and from government reports. Uncertainty and sensitivity analyses were considered during the data study. System boundaries include agricultural practice and crop harvesting. The results show that the average carbon intensity was estimated to </w:t>
      </w:r>
      <w:r w:rsidR="00A362EA" w:rsidRPr="004571B6">
        <w:t xml:space="preserve">be 21.48 </w:t>
      </w:r>
      <w:r w:rsidRPr="004571B6">
        <w:t>kg</w:t>
      </w:r>
      <w:r w:rsidR="00DF5F92" w:rsidRPr="004571B6">
        <w:t xml:space="preserve"> </w:t>
      </w:r>
      <w:r w:rsidR="004571B6" w:rsidRPr="004571B6">
        <w:rPr>
          <w:rFonts w:cs="Arial"/>
        </w:rPr>
        <w:t>CO</w:t>
      </w:r>
      <w:r w:rsidR="004571B6" w:rsidRPr="004571B6">
        <w:rPr>
          <w:rFonts w:ascii="Cambria Math" w:hAnsi="Cambria Math" w:cs="Cambria Math"/>
        </w:rPr>
        <w:t>₂</w:t>
      </w:r>
      <w:r w:rsidR="00DF5F92" w:rsidRPr="004571B6">
        <w:t xml:space="preserve"> </w:t>
      </w:r>
      <w:r w:rsidRPr="004571B6">
        <w:t>eq</w:t>
      </w:r>
      <w:r w:rsidR="000D26FF" w:rsidRPr="004571B6">
        <w:t>/</w:t>
      </w:r>
      <w:r w:rsidR="006819A8" w:rsidRPr="004571B6">
        <w:t>t</w:t>
      </w:r>
      <w:r w:rsidRPr="004571B6">
        <w:t xml:space="preserve"> of sugarcane produced. The top three sources of greenhouse gases were </w:t>
      </w:r>
      <w:r w:rsidR="004571B6">
        <w:t>N</w:t>
      </w:r>
      <w:r w:rsidR="004571B6" w:rsidRPr="004571B6">
        <w:rPr>
          <w:vertAlign w:val="subscript"/>
        </w:rPr>
        <w:t>2</w:t>
      </w:r>
      <w:r w:rsidR="004571B6">
        <w:t>O</w:t>
      </w:r>
      <w:r w:rsidR="001F1193" w:rsidRPr="004571B6">
        <w:t xml:space="preserve"> emissions from fields (4</w:t>
      </w:r>
      <w:r w:rsidR="000408F7" w:rsidRPr="004571B6">
        <w:t>1</w:t>
      </w:r>
      <w:r w:rsidR="001F1193" w:rsidRPr="004571B6">
        <w:t xml:space="preserve"> </w:t>
      </w:r>
      <w:r w:rsidRPr="004571B6">
        <w:t xml:space="preserve">%), energy </w:t>
      </w:r>
      <w:r w:rsidR="001F1193" w:rsidRPr="004571B6">
        <w:t>u</w:t>
      </w:r>
      <w:r w:rsidR="000408F7" w:rsidRPr="004571B6">
        <w:t xml:space="preserve">se in sugarcane cultivation (29 </w:t>
      </w:r>
      <w:r w:rsidRPr="004571B6">
        <w:t>%), and application of nitrogen fert</w:t>
      </w:r>
      <w:r w:rsidR="000408F7" w:rsidRPr="004571B6">
        <w:t xml:space="preserve">ilizers and biomass residues (13 </w:t>
      </w:r>
      <w:r w:rsidRPr="004571B6">
        <w:t xml:space="preserve">%). </w:t>
      </w:r>
      <w:r w:rsidR="00013AB8" w:rsidRPr="004571B6">
        <w:t>Scenario parameters for 2028</w:t>
      </w:r>
      <w:r w:rsidRPr="004571B6">
        <w:t xml:space="preserve"> also forecast a cultivated </w:t>
      </w:r>
      <w:r w:rsidR="00CC6557" w:rsidRPr="004571B6">
        <w:t xml:space="preserve">yield of </w:t>
      </w:r>
      <w:r w:rsidR="00020900" w:rsidRPr="004571B6">
        <w:t>59.3</w:t>
      </w:r>
      <w:r w:rsidR="00CC6557" w:rsidRPr="004571B6">
        <w:t xml:space="preserve"> </w:t>
      </w:r>
      <w:r w:rsidR="000D26FF" w:rsidRPr="004571B6">
        <w:t>t/</w:t>
      </w:r>
      <w:r w:rsidR="00020900" w:rsidRPr="004571B6">
        <w:t>ha</w:t>
      </w:r>
      <w:r w:rsidRPr="004571B6">
        <w:t xml:space="preserve">. Carbon dioxide footprint reduction is expected to be up to </w:t>
      </w:r>
      <w:r w:rsidR="00CC6557" w:rsidRPr="004571B6">
        <w:t>15</w:t>
      </w:r>
      <w:r w:rsidR="00DF5F92" w:rsidRPr="004571B6">
        <w:t xml:space="preserve"> </w:t>
      </w:r>
      <w:r w:rsidR="00CC6557" w:rsidRPr="004571B6">
        <w:t>% (18.2</w:t>
      </w:r>
      <w:r w:rsidRPr="004571B6">
        <w:t xml:space="preserve"> kg </w:t>
      </w:r>
      <w:r w:rsidR="004571B6" w:rsidRPr="004571B6">
        <w:rPr>
          <w:rFonts w:cs="Arial"/>
        </w:rPr>
        <w:t>CO</w:t>
      </w:r>
      <w:r w:rsidR="004571B6" w:rsidRPr="004571B6">
        <w:rPr>
          <w:rFonts w:ascii="Cambria Math" w:hAnsi="Cambria Math" w:cs="Cambria Math"/>
        </w:rPr>
        <w:t>₂</w:t>
      </w:r>
      <w:r w:rsidR="00EC3249" w:rsidRPr="004571B6">
        <w:rPr>
          <w:rFonts w:cs="Arial"/>
        </w:rPr>
        <w:t xml:space="preserve"> </w:t>
      </w:r>
      <w:r w:rsidRPr="004571B6">
        <w:t>eq</w:t>
      </w:r>
      <w:r w:rsidR="00EC3249" w:rsidRPr="004571B6">
        <w:t>/t)</w:t>
      </w:r>
      <w:r w:rsidRPr="004571B6">
        <w:t xml:space="preserve">. Most </w:t>
      </w:r>
      <w:r w:rsidR="004571B6" w:rsidRPr="004571B6">
        <w:t>CO</w:t>
      </w:r>
      <w:r w:rsidR="004571B6">
        <w:rPr>
          <w:rFonts w:ascii="Cambria Math" w:hAnsi="Cambria Math" w:cs="Cambria Math"/>
          <w:vertAlign w:val="subscript"/>
        </w:rPr>
        <w:t>2</w:t>
      </w:r>
      <w:r w:rsidRPr="004571B6">
        <w:t xml:space="preserve"> emissions com</w:t>
      </w:r>
      <w:r w:rsidR="00FE5674" w:rsidRPr="004571B6">
        <w:t>e from agricultural practices (6</w:t>
      </w:r>
      <w:r w:rsidRPr="004571B6">
        <w:t>2</w:t>
      </w:r>
      <w:r w:rsidR="00020900" w:rsidRPr="004571B6">
        <w:t xml:space="preserve"> </w:t>
      </w:r>
      <w:r w:rsidR="008532AA" w:rsidRPr="004571B6">
        <w:t>%</w:t>
      </w:r>
      <w:r w:rsidR="000D26FF" w:rsidRPr="004571B6">
        <w:t>). This</w:t>
      </w:r>
      <w:r w:rsidRPr="004571B6">
        <w:t xml:space="preserve"> is the first analysis of the carbon footprint of sugarcane farming in Bolivia. Developing technologies to increase sugarcane yields while reducing nitrogen fertilizers and diesel use in agricultural activities is becoming a priority for the country to meet environmental goals.</w:t>
      </w:r>
    </w:p>
    <w:p w14:paraId="476B2F2E" w14:textId="77777777" w:rsidR="00600535" w:rsidRDefault="00600535" w:rsidP="00600535">
      <w:pPr>
        <w:pStyle w:val="CETHeading1"/>
        <w:rPr>
          <w:lang w:val="en-GB"/>
        </w:rPr>
      </w:pPr>
      <w:r w:rsidRPr="00B57B36">
        <w:rPr>
          <w:lang w:val="en-GB"/>
        </w:rPr>
        <w:t>Introduction</w:t>
      </w:r>
    </w:p>
    <w:p w14:paraId="7CB7345B" w14:textId="0A68394E" w:rsidR="00F6176A" w:rsidRPr="005562CE" w:rsidRDefault="00F6176A" w:rsidP="004571B6">
      <w:pPr>
        <w:pStyle w:val="CETBodytext"/>
      </w:pPr>
      <w:r w:rsidRPr="00F6176A">
        <w:rPr>
          <w:lang w:val="en-GB"/>
        </w:rPr>
        <w:t>Currently</w:t>
      </w:r>
      <w:r w:rsidR="007A1C6C">
        <w:rPr>
          <w:lang w:val="en-GB"/>
        </w:rPr>
        <w:t>,</w:t>
      </w:r>
      <w:r w:rsidRPr="00F6176A">
        <w:rPr>
          <w:lang w:val="en-GB"/>
        </w:rPr>
        <w:t xml:space="preserve"> there is </w:t>
      </w:r>
      <w:r>
        <w:rPr>
          <w:lang w:val="en-GB"/>
        </w:rPr>
        <w:t xml:space="preserve">a growing </w:t>
      </w:r>
      <w:r w:rsidR="006819A8">
        <w:rPr>
          <w:lang w:val="en-GB"/>
        </w:rPr>
        <w:t xml:space="preserve">global </w:t>
      </w:r>
      <w:r>
        <w:rPr>
          <w:lang w:val="en-GB"/>
        </w:rPr>
        <w:t xml:space="preserve">interest in biofuels </w:t>
      </w:r>
      <w:r>
        <w:fldChar w:fldCharType="begin"/>
      </w:r>
      <w:r w:rsidR="005562CE">
        <w:instrText xml:space="preserve"> ADDIN ZOTERO_ITEM CSL_CITATION {"citationID":"k3GLG8RE","properties":{"formattedCitation":"(Alazaiza et\\uc0\\u160{}al., 2023)","plainCitation":"(Alazaiza et al., 2023)","noteIndex":0},"citationItems":[{"id":1336,"uris":["http://zotero.org/groups/5347490/items/B6JUEDQK"],"itemData":{"id":1336,"type":"article-journal","abstract":"The process of looking for alternative energy sources is driven by the increasing demand for energy and environmental contamination caused by using fossil fuels. Recent investigations reported the efficiency of microalgae for biofuel production due to its low cost of production, high speed of growth, and ability to grow in harsh environments. In addition, many microalgae are photosynthetic, consuming CO2 and solar light to grow in biomass and providing a promising bioenergy source. This review presents the recent advances in the application of microalgae for biofuel production. In addition, cultivation and harvesting systems and environmental factors that affect microalgae cultivation for biofuel production have also been discussed. Moreover, lipid extraction and conversion technologies to biofuel are presented. The mixotrophic cultivation strategy is promising as it combines the advantages of heterotrophy and autotrophy. Green harvesting methods such as using bio-coagulants and flocculants are promising technologies to reduce the cost of microalgal biomass production. In the future, more investigations into co-cultivation systems, new green harvesting methods, high lipids extraction methods, and the optimization of lipid extraction and converting processes should be implemented to increase the sustainability of microalgae application for biofuel production.","container-title":"Energies","DOI":"10.3390/en16031316","ISSN":"1996-1073","issue":"3","language":"en","license":"http://creativecommons.org/licenses/by/3.0/","note":"number: 3\npublisher: Multidisciplinary Digital Publishing Institute","page":"1316","source":"www.mdpi.com","title":"Biofuel Production Using Cultivated Algae: Technologies, Economics, and Its Environmental Impacts","title-short":"Biofuel Production Using Cultivated Algae","volume":"16","author":[{"family":"Alazaiza","given":"Motasem Y. D."},{"family":"Albahnasawi","given":"Ahmed"},{"family":"Al Maskari","given":"Tahra"},{"family":"Abujazar","given":"Mohammed Shadi S."},{"family":"Bashir","given":"Mohammed J. K."},{"family":"Nassani","given":"Dia Eddin"},{"family":"Abu Amr","given":"Salem S."}],"issued":{"date-parts":[["2023",1]]}}}],"schema":"https://github.com/citation-style-language/schema/raw/master/csl-citation.json"} </w:instrText>
      </w:r>
      <w:r>
        <w:fldChar w:fldCharType="separate"/>
      </w:r>
      <w:r w:rsidR="005562CE" w:rsidRPr="005562CE">
        <w:rPr>
          <w:rFonts w:cs="Arial"/>
          <w:szCs w:val="24"/>
        </w:rPr>
        <w:t>(Alazaiza et al., 2023)</w:t>
      </w:r>
      <w:r>
        <w:fldChar w:fldCharType="end"/>
      </w:r>
      <w:r w:rsidRPr="00F6176A">
        <w:t xml:space="preserve"> </w:t>
      </w:r>
      <w:r>
        <w:t xml:space="preserve"> </w:t>
      </w:r>
      <w:r w:rsidRPr="00F6176A">
        <w:rPr>
          <w:lang w:val="en-GB"/>
        </w:rPr>
        <w:t xml:space="preserve">because they have the potential to satisfy the demand for energy services </w:t>
      </w:r>
      <w:r>
        <w:fldChar w:fldCharType="begin"/>
      </w:r>
      <w:r w:rsidR="005562CE">
        <w:instrText xml:space="preserve"> ADDIN ZOTERO_ITEM CSL_CITATION {"citationID":"gShN6nI2","properties":{"formattedCitation":"(Bharathiraja et\\uc0\\u160{}al., 2017)","plainCitation":"(Bharathiraja et al., 2017)","noteIndex":0},"citationItems":[{"id":1341,"uris":["http://zotero.org/groups/5347490/items/FPXWPYJI"],"itemData":{"id":1341,"type":"article-journal","abstract":"Driven by the increase in industrialization and population, the global demand for energy and material products is steadily growing. Since the world primary sources for energy and chemicals are fossil fuels, this growth raises significant issues at environmental, economic and social levels. To meet the increasing demand of energy sources, biomass resources are extremely promising. For the sustainable production of renewable energy, the production of biobutanol through ABE fermentation was investigated by upstream and downstream processing techniques. ABE fermentation was achieved using Clostridium species whose genes help in the conversion of biomass into butanol. Further, genetic engineering techniques are used to modify these organisms to increase the yield of butanol. Biobutanol is found to be efficient fuel compared to other known biofuels both by physical and chemical properties. In order to accomplish the increasing demand of this fuel; selection of species, identification of subtrates, pre-treatment, genetic engineering techniques and various downstream processing techniques (pervaporation, gas stripping, etc.) are inculcated which are been discussed in this review. This review also focuses on economics of biobutanol across the globe.","container-title":"Renewable and Sustainable Energy Reviews","DOI":"https://doi.org/10.1016/j.rser.2016.10.017","ISSN":"1364-0321","page":"788-807","title":"Biobutanol – An impending biofuel for future: A review on upstream and downstream processing tecniques","volume":"68","author":[{"family":"Bharathiraja","given":"B."},{"family":"Jayamuthunagai","given":"J."},{"family":"Sudharsanaa","given":"T."},{"family":"Bharghavi","given":"A."},{"family":"Praveenkumar","given":"R."},{"family":"Chakravarthy","given":"M."},{"family":"Yuvaraj","given":"D."}],"issued":{"date-parts":[["2017"]]}}}],"schema":"https://github.com/citation-style-language/schema/raw/master/csl-citation.json"} </w:instrText>
      </w:r>
      <w:r>
        <w:fldChar w:fldCharType="separate"/>
      </w:r>
      <w:r w:rsidR="005562CE" w:rsidRPr="005562CE">
        <w:rPr>
          <w:rFonts w:cs="Arial"/>
          <w:szCs w:val="24"/>
        </w:rPr>
        <w:t>(Bharathiraja et al., 2017)</w:t>
      </w:r>
      <w:r>
        <w:fldChar w:fldCharType="end"/>
      </w:r>
      <w:r w:rsidR="000D26FF">
        <w:rPr>
          <w:lang w:val="en-GB"/>
        </w:rPr>
        <w:t xml:space="preserve"> while</w:t>
      </w:r>
      <w:r w:rsidRPr="00F6176A">
        <w:rPr>
          <w:lang w:val="en-GB"/>
        </w:rPr>
        <w:t xml:space="preserve"> contributing to sustainable development</w:t>
      </w:r>
      <w:r w:rsidR="000D26FF">
        <w:rPr>
          <w:lang w:val="en-GB"/>
        </w:rPr>
        <w:t xml:space="preserve">, whereas </w:t>
      </w:r>
      <w:r w:rsidRPr="00F6176A">
        <w:rPr>
          <w:lang w:val="en-GB"/>
        </w:rPr>
        <w:t>fossil fuels involve rapid depletion</w:t>
      </w:r>
      <w:r w:rsidR="000D26FF">
        <w:rPr>
          <w:lang w:val="en-GB"/>
        </w:rPr>
        <w:t xml:space="preserve"> of limited resources</w:t>
      </w:r>
      <w:r w:rsidRPr="00F6176A">
        <w:rPr>
          <w:lang w:val="en-GB"/>
        </w:rPr>
        <w:t xml:space="preserve"> </w:t>
      </w:r>
      <w:r>
        <w:fldChar w:fldCharType="begin"/>
      </w:r>
      <w:r w:rsidR="005562CE">
        <w:instrText xml:space="preserve"> ADDIN ZOTERO_ITEM CSL_CITATION {"citationID":"q3bZbDHM","properties":{"formattedCitation":"(Erdiwansyah et\\uc0\\u160{}al., 2019)","plainCitation":"(Erdiwansyah et al., 2019)","noteIndex":0},"citationItems":[{"id":1338,"uris":["http://zotero.org/groups/5347490/items/WU97NSHK"],"itemData":{"id":1338,"type":"article-journal","abstract":"Hydrocarbon based conventional fuels are considered as fast depleting and harmful to the environment as they release poisonous chemicals to the atmosphere. Higher Alcohols and Biodiesel are the most promising alternative fuels widely researched due to their availability, ease of production and environmental benefits. The use of alternative fuels such as alcohol and biodiesel in engines aims to reduce air pollution and energy costs. The most commonly used higher alcohol fuel are bio-ethanol, isopropanol, propanol, ethanol–methanol, butanol, n-butanol, tert-butanol and iso-butanol. The commonly used biodiesel are derived from the waste cooking oil, Pyrolysis oil, Palmoil, Jatropha oil, Karanja oil and Linn oil. The purpose of this review is to reveal engine performance and combustion characteristics using alternative fuels such as alcohol and biodiesel. Also summarized are the effects of alternative fuels on emission properties such as NOx, CO and HC.","container-title":"Energy Reports","DOI":"https://doi.org/10.1016/j.egyr.2019.04.009","ISSN":"2352-4847","page":"467-479","title":"An overview of Higher alcohol and biodiesel as alternative fuels in engines","volume":"5","author":[{"literal":"Erdiwansyah"},{"family":"Mamat","given":"R."},{"family":"Sani","given":"M. S. M."},{"family":"Sudhakar","given":"K."},{"family":"Kadarohman","given":"Asep"},{"family":"Sardjono","given":"R. E."}],"issued":{"date-parts":[["2019"]]}}}],"schema":"https://github.com/citation-style-language/schema/raw/master/csl-citation.json"} </w:instrText>
      </w:r>
      <w:r>
        <w:fldChar w:fldCharType="separate"/>
      </w:r>
      <w:r w:rsidR="005562CE" w:rsidRPr="005562CE">
        <w:rPr>
          <w:rFonts w:cs="Arial"/>
          <w:szCs w:val="24"/>
        </w:rPr>
        <w:t>(Erdiwansyah et al., 2019)</w:t>
      </w:r>
      <w:r>
        <w:fldChar w:fldCharType="end"/>
      </w:r>
      <w:r>
        <w:t xml:space="preserve"> </w:t>
      </w:r>
      <w:r w:rsidRPr="00F6176A">
        <w:rPr>
          <w:lang w:val="en-GB"/>
        </w:rPr>
        <w:t>and an increase in greenhouse gas</w:t>
      </w:r>
      <w:r w:rsidR="006819A8">
        <w:rPr>
          <w:lang w:val="en-GB"/>
        </w:rPr>
        <w:t xml:space="preserve"> (GHG)</w:t>
      </w:r>
      <w:r w:rsidRPr="00F6176A">
        <w:rPr>
          <w:lang w:val="en-GB"/>
        </w:rPr>
        <w:t xml:space="preserve"> emissions </w:t>
      </w:r>
      <w:r>
        <w:fldChar w:fldCharType="begin"/>
      </w:r>
      <w:r w:rsidR="005562CE">
        <w:instrText xml:space="preserve"> ADDIN ZOTERO_ITEM CSL_CITATION {"citationID":"8cCKxKXb","properties":{"formattedCitation":"(Capilla et\\uc0\\u160{}al., 2022)","plainCitation":"(Capilla et al., 2022)","noteIndex":0},"citationItems":[{"id":1339,"uris":["http://zotero.org/groups/5347490/items/67YSV9UF"],"itemData":{"id":1339,"type":"article-journal","abstract":"Acetone–butanol–ethanol (ABE) fermentation is influenced by external conditions. This work aimed to study the influence of pH regulation on monosaccharide composition in batch and continuous fermentation processes to determine butanol production and productivity. Batch fermentations with ammonium acetate or calcium carbonate combined with minimum pH control (pH ≥ 4.8 or 5.1) were assessed with pure xylose and glucose/xylose mixtures (ratios of 1:1 and 3:1). Continuous two-stage fermentation was developed using plastic rings to retain the biomass. Although batch fermentations with pure xylose performed better without active minimum pH control with both buffers, minimum pH control was necessary to metabolize xylose in the presence of glucose. Xylose uptake was favored by the use of calcium carbonate and pH ≥ 5.1 at a ratio of 1:1, while ammonium acetate and a pH ≥ 4.8 was the best option for a 3:1 ratio. The best butanol production and productivity values with sugar mixtures in batch reactors were 8.8 g L−1 and 0.61 g L−1 h−1 with an ammonium acetate pH ≥ 4.8 (ratio 3:1). The glucose/xylose ratio combined with pH regulation thus modulated xylose metabolism and solvent production in batch modes. Immobilized cells combined with operating at D = 0.333 h−1 and pH regulation increased butanol productivity almost fourfold up to 2.4 ± 0.2 g L−1 h−1.","container-title":"Fermentation","DOI":"10.3390/fermentation8050226","ISSN":"2311-5637","issue":"5","language":"en","license":"http://creativecommons.org/licenses/by/3.0/","note":"number: 5\npublisher: Multidisciplinary Digital Publishing Institute","page":"226","source":"www.mdpi.com","title":"The Influence of Sugar Composition and pH Regulation in Batch and Continuous Acetone–Butanol–Ethanol Fermentation","volume":"8","author":[{"family":"Capilla","given":"Miguel"},{"family":"Silvestre","given":"Carlos"},{"family":"Valles","given":"Alejo"},{"family":"Álvarez-Hornos","given":"Francisco Javier"},{"family":"San-Valero","given":"Pau"},{"family":"Gabaldón","given":"Carmen"}],"issued":{"date-parts":[["2022",5]]}}}],"schema":"https://github.com/citation-style-language/schema/raw/master/csl-citation.json"} </w:instrText>
      </w:r>
      <w:r>
        <w:fldChar w:fldCharType="separate"/>
      </w:r>
      <w:r w:rsidR="005562CE" w:rsidRPr="005562CE">
        <w:rPr>
          <w:rFonts w:cs="Arial"/>
          <w:szCs w:val="24"/>
        </w:rPr>
        <w:t>(Capilla et al., 2022)</w:t>
      </w:r>
      <w:r>
        <w:fldChar w:fldCharType="end"/>
      </w:r>
      <w:r w:rsidRPr="005562CE">
        <w:t>.</w:t>
      </w:r>
      <w:r w:rsidR="000D26FF">
        <w:t xml:space="preserve"> </w:t>
      </w:r>
    </w:p>
    <w:p w14:paraId="238D64DF" w14:textId="15307B9E" w:rsidR="00F6176A" w:rsidRPr="00F6176A" w:rsidRDefault="000D26FF" w:rsidP="004571B6">
      <w:pPr>
        <w:pStyle w:val="CETBodytext"/>
      </w:pPr>
      <w:r>
        <w:t>GHG</w:t>
      </w:r>
      <w:r w:rsidR="00F6176A" w:rsidRPr="00F6176A">
        <w:t xml:space="preserve"> emissions, which have increased by 75</w:t>
      </w:r>
      <w:r w:rsidR="00EC3249">
        <w:t xml:space="preserve"> </w:t>
      </w:r>
      <w:r w:rsidR="00F6176A" w:rsidRPr="00F6176A">
        <w:t>% since</w:t>
      </w:r>
      <w:r w:rsidR="007A1C6C">
        <w:t xml:space="preserve"> the</w:t>
      </w:r>
      <w:r w:rsidR="00F6176A" w:rsidRPr="00F6176A">
        <w:t xml:space="preserve"> 1970s</w:t>
      </w:r>
      <w:r>
        <w:t>,</w:t>
      </w:r>
      <w:r w:rsidR="00F6176A" w:rsidRPr="00F6176A">
        <w:t xml:space="preserve"> include carbon dioxide, methane</w:t>
      </w:r>
      <w:r w:rsidR="007A1C6C">
        <w:t>,</w:t>
      </w:r>
      <w:r w:rsidR="00F6176A" w:rsidRPr="00F6176A">
        <w:t xml:space="preserve"> and nitrous oxide </w:t>
      </w:r>
      <w:r w:rsidR="00F6176A">
        <w:fldChar w:fldCharType="begin"/>
      </w:r>
      <w:r w:rsidR="005562CE">
        <w:instrText xml:space="preserve"> ADDIN ZOTERO_ITEM CSL_CITATION {"citationID":"1FK14TA5","properties":{"formattedCitation":"(Battaglia et\\uc0\\u160{}al., 2022)","plainCitation":"(Battaglia et al., 2022)","noteIndex":0},"citationItems":[{"id":1343,"uris":["http://zotero.org/groups/5347490/items/M4DS3AAC"],"itemData":{"id":1343,"type":"article-journal","abstract":"Greenhouse gas (GHG) emissions from crop residue management have been studied extensively, yet the effects of harvesting more than one crop residue in a rotation have not been reported. Here, we measured the short-term changes in methane (CH4), nitrous oxide (N2O), and carbon dioxide (CO2) emissions in response to residue removal from continuous corn (Zea mays L.) (CC) and corn–wheat (Triticum aestivum L.)–soybean (Glycine max L. Merr.) (CWS) rotations in the Mid-Atlantic USA. A first experiment retained five corn stover rates (0, 3.33, 6.66, 10, and 20 Mg ha−1) in a continuous corn (CC) in Blacksburg, VA, in 2016 and 2017. Two other experiments, initiated during the wheat and corn phases of the CWS rotation in New Kent, VA, utilized a factorial combination of retained corn (0, 3.33, 6.66, and 10.0 Mg ha−1) and wheat residue (0, 1, 2, and 3 Mg ha−1). Soybean residue was not varied. Different crop retention rates did not affect CO2 fluxes in any of the field studies. In Blacksburg, retaining 5 Mg ha−1 stover or more increased CH4 and N2O emissions by ~25%. Maximum CH4 and N2O fluxes (4.16 and 5.94 mg m−2 day−1) occurred with 200% (20 Mg ha−1) retention. Two cycles of stover management in Blacksburg, and one cycle of corn or wheat residue management in New Kent did not affect GHG fluxes. This study is the first to investigate the effects of crop residue on GHG emissions in a multi-crop system in humid temperate zones. Longer-term studies are warranted to understand crop residue management effects on GHG emissions in these systems.","container-title":"Land","DOI":"10.3390/land11060846","ISSN":"2073-445X","issue":"6","language":"en","license":"http://creativecommons.org/licenses/by/3.0/","note":"number: 6\npublisher: Multidisciplinary Digital Publishing Institute","page":"846","source":"www.mdpi.com","title":"Corn and Wheat Residue Management Effects on Greenhouse Gas Emissions in the Mid-Atlantic USA","volume":"11","author":[{"family":"Battaglia","given":"Martin L."},{"family":"Thomason","given":"Wade E."},{"family":"Fike","given":"John H."},{"family":"Evanylo","given":"Gregory K."},{"family":"Stewart","given":"Ryan D."},{"family":"Gross","given":"Cole D."},{"family":"Seleiman","given":"Mahmoud F."},{"family":"Babur","given":"Emre"},{"family":"Sadeghpour","given":"Amir"},{"family":"Harrison","given":"Matthew Tom"}],"issued":{"date-parts":[["2022",6]]}}}],"schema":"https://github.com/citation-style-language/schema/raw/master/csl-citation.json"} </w:instrText>
      </w:r>
      <w:r w:rsidR="00F6176A">
        <w:fldChar w:fldCharType="separate"/>
      </w:r>
      <w:r w:rsidR="005562CE" w:rsidRPr="005562CE">
        <w:rPr>
          <w:rFonts w:cs="Arial"/>
          <w:szCs w:val="24"/>
        </w:rPr>
        <w:t>(Battaglia et al., 2022)</w:t>
      </w:r>
      <w:r w:rsidR="00F6176A">
        <w:fldChar w:fldCharType="end"/>
      </w:r>
      <w:r w:rsidR="00F6176A" w:rsidRPr="00F6176A">
        <w:t>.</w:t>
      </w:r>
      <w:r w:rsidR="00D75D1B">
        <w:t xml:space="preserve"> </w:t>
      </w:r>
      <w:r w:rsidR="00F6176A" w:rsidRPr="00F6176A">
        <w:t>In the 1990s there was an increase in carbon dioxide emissions of 1.5 ppm</w:t>
      </w:r>
      <w:r>
        <w:t>/</w:t>
      </w:r>
      <w:r w:rsidRPr="00F6176A">
        <w:t>y</w:t>
      </w:r>
      <w:r w:rsidR="00F6176A" w:rsidRPr="00F6176A">
        <w:t>, in the 2000s approximately 1.9 ppm</w:t>
      </w:r>
      <w:r>
        <w:t>/</w:t>
      </w:r>
      <w:r w:rsidRPr="00F6176A">
        <w:t>y</w:t>
      </w:r>
      <w:r w:rsidR="007A1C6C">
        <w:t>,</w:t>
      </w:r>
      <w:r w:rsidR="00F6176A" w:rsidRPr="00F6176A">
        <w:t xml:space="preserve"> and from 2010 to 2020 approximately 2.35 ppm/</w:t>
      </w:r>
      <w:r>
        <w:t xml:space="preserve">y </w:t>
      </w:r>
      <w:r w:rsidR="00F6176A">
        <w:fldChar w:fldCharType="begin"/>
      </w:r>
      <w:r w:rsidR="00F6176A" w:rsidRPr="00F6176A">
        <w:instrText xml:space="preserve"> ADDIN ZOTERO_ITEM CSL_CITATION {"citationID":"YTslCVIL","properties":{"formattedCitation":"(LAN; TANS; K.W., 2024)","plainCitation":"(LAN; TANS; K.W., 2024)","dontUpdate":true,"noteIndex":0},"citationItems":[{"id":1342,"uris":["http://zotero.org/groups/5347490/items/AAAD6UJR"],"itemData":{"id":1342,"type":"dataset","DOI":"https://doi.org/10.15138/9N0H-ZH07","language":"EN-US","title":"Thoning: Trends in globally-averaged CO2 determined from NOAA Global Monitoring Laboratory measurements","URL":"https://gml.noaa.gov/ccgg/trends/gl_data.html","author":[{"family":"Lan","given":"Xin."},{"family":"Tans","given":"P"},{"literal":"K.W."}],"accessed":{"date-parts":[["2023",5,21]]},"issued":{"date-parts":[["2024",1]]}}}],"schema":"https://github.com/citation-style-language/schema/raw/master/csl-citation.json"} </w:instrText>
      </w:r>
      <w:r w:rsidR="00F6176A">
        <w:fldChar w:fldCharType="separate"/>
      </w:r>
      <w:r w:rsidR="00896792">
        <w:rPr>
          <w:rFonts w:cs="Arial"/>
        </w:rPr>
        <w:t>(Lan</w:t>
      </w:r>
      <w:r w:rsidR="00F6176A" w:rsidRPr="00F6176A">
        <w:rPr>
          <w:rFonts w:cs="Arial"/>
        </w:rPr>
        <w:t xml:space="preserve"> et al., 2024)</w:t>
      </w:r>
      <w:r w:rsidR="00F6176A">
        <w:fldChar w:fldCharType="end"/>
      </w:r>
      <w:r w:rsidR="00F6176A" w:rsidRPr="00F6176A">
        <w:t xml:space="preserve">. Consequently, the concentration of GHG in the atmosphere has been </w:t>
      </w:r>
      <w:r>
        <w:t xml:space="preserve">steadily </w:t>
      </w:r>
      <w:r w:rsidR="00F6176A" w:rsidRPr="00F6176A">
        <w:t>increasing</w:t>
      </w:r>
      <w:r>
        <w:t xml:space="preserve">: </w:t>
      </w:r>
      <w:r w:rsidR="00F6176A" w:rsidRPr="00F6176A">
        <w:t xml:space="preserve">in 2022 the NOAA (National Oceanic and Atmospheric Administration) laboratory in the United States reported an average of 420.99 ppm of carbon dioxide in the atmosphere, showing an increase of 1.8 ppm </w:t>
      </w:r>
      <w:r>
        <w:t>from the previous year</w:t>
      </w:r>
      <w:r w:rsidR="00F6176A" w:rsidRPr="00F6176A">
        <w:t xml:space="preserve"> </w:t>
      </w:r>
      <w:r w:rsidR="00F6176A">
        <w:fldChar w:fldCharType="begin"/>
      </w:r>
      <w:r w:rsidR="00F6176A" w:rsidRPr="00F6176A">
        <w:instrText xml:space="preserve"> ADDIN ZOTERO_ITEM CSL_CITATION {"citationID":"WdRlZlmI","properties":{"formattedCitation":"(NOAA, 2022)","plainCitation":"(NOAA, 2022)","noteIndex":0},"citationItems":[{"id":1345,"uris":["http://zotero.org/groups/5347490/items/F4KQA6HK"],"itemData":{"id":1345,"type":"report","abstract":"Carbon dioxide measured at NOAA’s Mauna Loa Atmospheric Baseline Observatory peaked for 2022 at 421 parts per million in May, pushing the atmosphere further into territory not seen for millions of years, scientists from NOAA and Scripps Institution of Oceanography offsite link at the University of California San Diego announced","language":"en","title":"Carbon dioxide now more than 50% higher than pre-industrial levels | National Oceanic and Atmospheric Administration","URL":"https://www.noaa.gov/news-release/carbon-dioxide-now-more-than-50-higher-than-pre-industrial-levels","author":[{"family":"NOAA","given":""}],"accessed":{"date-parts":[["2024",1,9]]},"issued":{"date-parts":[["2022",6,3]]}}}],"schema":"https://github.com/citation-style-language/schema/raw/master/csl-citation.json"} </w:instrText>
      </w:r>
      <w:r w:rsidR="00F6176A">
        <w:fldChar w:fldCharType="separate"/>
      </w:r>
      <w:r w:rsidR="005562CE" w:rsidRPr="005562CE">
        <w:rPr>
          <w:rFonts w:cs="Arial"/>
        </w:rPr>
        <w:t>(NOAA, 2022)</w:t>
      </w:r>
      <w:r w:rsidR="00F6176A">
        <w:fldChar w:fldCharType="end"/>
      </w:r>
      <w:r w:rsidR="00F6176A" w:rsidRPr="00F6176A">
        <w:t>.</w:t>
      </w:r>
    </w:p>
    <w:p w14:paraId="026396C2" w14:textId="327A4739" w:rsidR="00F6176A" w:rsidRPr="00F6176A" w:rsidRDefault="00A20DA4" w:rsidP="004571B6">
      <w:pPr>
        <w:pStyle w:val="CETBodytext"/>
      </w:pPr>
      <w:r w:rsidRPr="00A20DA4">
        <w:t>According to the World Bank report</w:t>
      </w:r>
      <w:r w:rsidR="004E71F9">
        <w:t xml:space="preserve">, </w:t>
      </w:r>
      <w:r w:rsidRPr="00A20DA4">
        <w:t>Latin America and the Caribbean produced 8</w:t>
      </w:r>
      <w:r>
        <w:t>.</w:t>
      </w:r>
      <w:r w:rsidR="000D26FF">
        <w:t>0</w:t>
      </w:r>
      <w:r w:rsidR="00D75D1B">
        <w:t xml:space="preserve"> </w:t>
      </w:r>
      <w:r w:rsidRPr="00A20DA4">
        <w:t xml:space="preserve">% of global </w:t>
      </w:r>
      <w:r w:rsidR="000D26FF">
        <w:t>GHG</w:t>
      </w:r>
      <w:r w:rsidRPr="00A20DA4">
        <w:t xml:space="preserve"> emissions </w:t>
      </w:r>
      <w:r>
        <w:fldChar w:fldCharType="begin"/>
      </w:r>
      <w:r w:rsidR="00A62EF5">
        <w:instrText xml:space="preserve"> ADDIN ZOTERO_ITEM CSL_CITATION {"citationID":"WpJ13Amd","properties":{"formattedCitation":"(World Bank, 2022)","plainCitation":"(World Bank, 2022)","noteIndex":0},"citationItems":[{"id":1355,"uris":["http://zotero.org/groups/5347490/items/GF55NPDM"],"itemData":{"id":1355,"type":"document","abstract":"Analysis in Spanish on World about Agriculture, Climate Change and Environment and more; published on 14 Sep 2022 by World Bank","language":"en","publisher":"World Bank","title":"Roadmap for climate action in Latin America and the Caribbean 2021-25 [ES/PT] - World | ReliefWeb (in Spanish)","URL":"https://reliefweb.int/report/world/hoja-de-ruta-para-la-accion-climatica-en-america-latina-y-el-caribe-2021-25-espt","author":[{"family":"World Bank","given":""}],"accessed":{"date-parts":[["2023",5,21]]},"issued":{"date-parts":[["2022",9,19]]}}}],"schema":"https://github.com/citation-style-language/schema/raw/master/csl-citation.json"} </w:instrText>
      </w:r>
      <w:r>
        <w:fldChar w:fldCharType="separate"/>
      </w:r>
      <w:r w:rsidR="005562CE" w:rsidRPr="005562CE">
        <w:rPr>
          <w:rFonts w:cs="Arial"/>
        </w:rPr>
        <w:t>(World Bank, 2022)</w:t>
      </w:r>
      <w:r>
        <w:fldChar w:fldCharType="end"/>
      </w:r>
      <w:r w:rsidR="000D26FF">
        <w:t>.</w:t>
      </w:r>
      <w:r>
        <w:t xml:space="preserve"> </w:t>
      </w:r>
      <w:r w:rsidR="000D26FF">
        <w:t>T</w:t>
      </w:r>
      <w:r w:rsidR="000D26FF" w:rsidRPr="00A20DA4">
        <w:t xml:space="preserve">he </w:t>
      </w:r>
      <w:r w:rsidRPr="00A20DA4">
        <w:t>Agriculture, Forestry</w:t>
      </w:r>
      <w:r w:rsidR="007A1C6C">
        <w:t>,</w:t>
      </w:r>
      <w:r w:rsidRPr="00A20DA4">
        <w:t xml:space="preserve"> and Other Land Use (AFOLU) sector presents the largest amount of emissions of GHG by sector, </w:t>
      </w:r>
      <w:r w:rsidR="000D26FF">
        <w:t xml:space="preserve">accounting for </w:t>
      </w:r>
      <w:r w:rsidRPr="00A20DA4">
        <w:t>approximately 60</w:t>
      </w:r>
      <w:r w:rsidR="00D75D1B">
        <w:t xml:space="preserve"> </w:t>
      </w:r>
      <w:r w:rsidRPr="00A20DA4">
        <w:t xml:space="preserve">%, followed by the transport sector, </w:t>
      </w:r>
      <w:r w:rsidR="000D26FF">
        <w:t xml:space="preserve">with </w:t>
      </w:r>
      <w:r w:rsidRPr="00A20DA4">
        <w:t>approximately 15</w:t>
      </w:r>
      <w:r w:rsidR="00EC3249">
        <w:t xml:space="preserve"> </w:t>
      </w:r>
      <w:r w:rsidRPr="00A20DA4">
        <w:t>% of the total of 3690</w:t>
      </w:r>
      <w:r w:rsidR="000D26FF">
        <w:t xml:space="preserve"> </w:t>
      </w:r>
      <w:r w:rsidRPr="00A20DA4">
        <w:t xml:space="preserve">thousand tons of </w:t>
      </w:r>
      <w:r w:rsidR="004571B6">
        <w:t>CO</w:t>
      </w:r>
      <w:r w:rsidR="004571B6" w:rsidRPr="004571B6">
        <w:rPr>
          <w:rFonts w:cs="Arial"/>
          <w:vertAlign w:val="subscript"/>
        </w:rPr>
        <w:t>2</w:t>
      </w:r>
      <w:r w:rsidR="00EC3249">
        <w:rPr>
          <w:vertAlign w:val="subscript"/>
        </w:rPr>
        <w:t xml:space="preserve"> </w:t>
      </w:r>
      <w:r w:rsidRPr="00A20DA4">
        <w:t xml:space="preserve">eq reported in the year 2021 </w:t>
      </w:r>
      <w:r>
        <w:fldChar w:fldCharType="begin"/>
      </w:r>
      <w:r w:rsidR="005562CE">
        <w:instrText xml:space="preserve"> ADDIN ZOTERO_ITEM CSL_CITATION {"citationID":"FmBP2qOZ","properties":{"formattedCitation":"(Guizzardi et\\uc0\\u160{}al., 2023)","plainCitation":"(Guizzardi et al., 2023)","noteIndex":0},"citationItems":[{"id":1348,"uris":["http://zotero.org/groups/5347490/items/J64N2XK8"],"itemData":{"id":1348,"type":"dataset","DOI":"10.2905/D67EEDA8-C03E-4421-95D0-0ADC460B9658","language":"en","note":"publisher: European Commission, Joint Research Centre (JRC)","source":"data.jrc.ec.europa.eu","title":"GHG Emissions at sub-national level","URL":"http://data.europa.eu/89h/d67eeda8-c03e-4421-95d0-0adc460b9658","author":[{"family":"Guizzardi","given":"Diego"},{"family":"Pisoni","given":"Enrico"},{"family":"Pagani","given":"Federico"},{"family":"Crippa","given":"Monica"}],"accessed":{"date-parts":[["2024",1,9]]},"issued":{"date-parts":[["2023",1,1]]}}}],"schema":"https://github.com/citation-style-language/schema/raw/master/csl-citation.json"} </w:instrText>
      </w:r>
      <w:r>
        <w:fldChar w:fldCharType="separate"/>
      </w:r>
      <w:r w:rsidR="005562CE" w:rsidRPr="005562CE">
        <w:rPr>
          <w:rFonts w:cs="Arial"/>
          <w:szCs w:val="24"/>
        </w:rPr>
        <w:t>(Guizzardi et al., 2023)</w:t>
      </w:r>
      <w:r>
        <w:fldChar w:fldCharType="end"/>
      </w:r>
      <w:r w:rsidRPr="00A20DA4">
        <w:t xml:space="preserve"> showing an increasing trend since the year 2000 </w:t>
      </w:r>
      <w:r>
        <w:fldChar w:fldCharType="begin"/>
      </w:r>
      <w:r w:rsidR="005562CE">
        <w:instrText xml:space="preserve"> ADDIN ZOTERO_ITEM CSL_CITATION {"citationID":"o0NJn9oq","properties":{"formattedCitation":"(Lamb et\\uc0\\u160{}al., 2021)","plainCitation":"(Lamb et al., 2021)","noteIndex":0},"citationItems":[{"id":1350,"uris":["http://zotero.org/groups/5347490/items/I49PEDKD"],"itemData":{"id":1350,"type":"article-journal","abstract":"Global greenhouse gas (GHG) emissions can be traced to five economic sectors: energy, industry, buildings, transport and AFOLU (agriculture, forestry and other land uses). In this topical review, we synthesise the literature to explain recent trends in global and regional emissions in each of these sectors. To contextualise our review, we present estimates of GHG emissions trends by sector from 1990 to 2018, describing the major sources of emissions growth, stability and decline across ten global regions. Overall, the literature and data emphasise that progress towards reducing GHG emissions has been limited. The prominent global pattern is a continuation of underlying drivers with few signs of emerging limits to demand, nor of a deep shift towards the delivery of low and zero carbon services across sectors. We observe a moderate decarbonisation of energy systems in Europe and North America, driven by fuel switching and the increasing penetration of renewables. By contrast, in rapidly industrialising regions, fossil-based energy systems have continuously expanded, only very recently slowing down in their growth. Strong demand for materials, floor area, energy services and travel have driven emissions growth in the industry, buildings and transport sectors, particularly in Eastern Asia, Southern Asia and South-East Asia. An expansion of agriculture into carbon-dense tropical forest areas has driven recent increases in AFOLU emissions in Latin America, South-East Asia and Africa. Identifying, understanding, and tackling the most persistent and climate-damaging trends across sectors is a fundamental concern for research and policy as humanity treads deeper into the Anthropocene.","container-title":"Environmental Research Letters","DOI":"10.1088/1748-9326/abee4e","ISSN":"1748-9326","issue":"7","journalAbbreviation":"Environ. Res. Lett.","language":"en","note":"publisher: IOP Publishing","page":"073005","source":"Institute of Physics","title":"A review of trends and drivers of greenhouse gas emissions by sector from 1990 to 2018","volume":"16","author":[{"family":"Lamb","given":"William F."},{"family":"Wiedmann","given":"Thomas"},{"family":"Pongratz","given":"Julia"},{"family":"Andrew","given":"Robbie"},{"family":"Crippa","given":"Monica"},{"family":"Olivier","given":"Jos G. J."},{"family":"Wiedenhofer","given":"Dominik"},{"family":"Mattioli","given":"Giulio"},{"family":"Khourdajie","given":"Alaa Al"},{"family":"House","given":"Jo"},{"family":"Pachauri","given":"Shonali"},{"family":"Figueroa","given":"Maria"},{"family":"Saheb","given":"Yamina"},{"family":"Slade","given":"Raphael"},{"family":"Hubacek","given":"Klaus"},{"family":"Sun","given":"Laixiang"},{"family":"Ribeiro","given":"Suzana Kahn"},{"family":"Khennas","given":"Smail"},{"family":"Can","given":"Stephane de la Rue","dropping-particle":"du"},{"family":"Chapungu","given":"Lazarus"},{"family":"Davis","given":"Steven J."},{"family":"Bashmakov","given":"Igor"},{"family":"Dai","given":"Hancheng"},{"family":"Dhakal","given":"Shobhakar"},{"family":"Tan","given":"Xianchun"},{"family":"Geng","given":"Yong"},{"family":"Gu","given":"Baihe"},{"family":"Minx","given":"Jan"}],"issued":{"date-parts":[["2021",6]]}}}],"schema":"https://github.com/citation-style-language/schema/raw/master/csl-citation.json"} </w:instrText>
      </w:r>
      <w:r>
        <w:fldChar w:fldCharType="separate"/>
      </w:r>
      <w:r w:rsidR="005562CE" w:rsidRPr="005562CE">
        <w:rPr>
          <w:rFonts w:cs="Arial"/>
          <w:szCs w:val="24"/>
        </w:rPr>
        <w:t>(Lamb et al., 2021)</w:t>
      </w:r>
      <w:r>
        <w:fldChar w:fldCharType="end"/>
      </w:r>
      <w:r w:rsidRPr="00A20DA4">
        <w:t>. In parallel</w:t>
      </w:r>
      <w:r w:rsidR="000D26FF">
        <w:t>,</w:t>
      </w:r>
      <w:r w:rsidRPr="00A20DA4">
        <w:t xml:space="preserve"> within the transport sector, the largest GHG-emitting sub-sector corresponds to road transport</w:t>
      </w:r>
      <w:r w:rsidR="000D26FF">
        <w:t>.</w:t>
      </w:r>
      <w:r w:rsidRPr="00A20DA4">
        <w:t xml:space="preserve"> </w:t>
      </w:r>
      <w:r w:rsidR="000D26FF">
        <w:t>T</w:t>
      </w:r>
      <w:r w:rsidR="000D26FF" w:rsidRPr="00A20DA4">
        <w:t xml:space="preserve">his </w:t>
      </w:r>
      <w:r w:rsidR="000D26FF">
        <w:t>happens</w:t>
      </w:r>
      <w:r w:rsidR="000D26FF" w:rsidRPr="00A20DA4">
        <w:t xml:space="preserve"> </w:t>
      </w:r>
      <w:r w:rsidR="007A1C6C">
        <w:t>because</w:t>
      </w:r>
      <w:r w:rsidRPr="00A20DA4">
        <w:t xml:space="preserve"> vehicles such as buses, light, medium</w:t>
      </w:r>
      <w:r w:rsidR="007A1C6C">
        <w:t>,</w:t>
      </w:r>
      <w:r w:rsidRPr="00A20DA4">
        <w:t xml:space="preserve"> and heavy trucks consume petroleum derivatives and, although they constitute a </w:t>
      </w:r>
      <w:r w:rsidR="000D26FF">
        <w:lastRenderedPageBreak/>
        <w:t>smaller share</w:t>
      </w:r>
      <w:r w:rsidRPr="00A20DA4">
        <w:t xml:space="preserve"> of road transport vehicles, around 60</w:t>
      </w:r>
      <w:r w:rsidR="00D0480C">
        <w:t xml:space="preserve"> </w:t>
      </w:r>
      <w:r w:rsidRPr="00A20DA4">
        <w:t xml:space="preserve">% of the </w:t>
      </w:r>
      <w:r w:rsidR="004571B6">
        <w:t>CO</w:t>
      </w:r>
      <w:r w:rsidR="004571B6">
        <w:rPr>
          <w:rFonts w:ascii="Cambria Math" w:hAnsi="Cambria Math" w:cs="Cambria Math"/>
        </w:rPr>
        <w:t>₂</w:t>
      </w:r>
      <w:r w:rsidRPr="00A20DA4">
        <w:t xml:space="preserve"> emissions generated by the sector come from this group </w:t>
      </w:r>
      <w:r>
        <w:fldChar w:fldCharType="begin"/>
      </w:r>
      <w:r w:rsidR="005562CE">
        <w:instrText xml:space="preserve"> ADDIN ZOTERO_ITEM CSL_CITATION {"citationID":"s0lKQ5xM","properties":{"formattedCitation":"(Tanco et\\uc0\\u160{}al., 2023)","plainCitation":"(Tanco et al., 2023)","noteIndex":0},"citationItems":[{"id":1353,"uris":["http://zotero.org/groups/5347490/items/ITNICTUQ"],"itemData":{"id":1353,"type":"article-journal","archive":"Scopus","container-title":"Transportation Research Part D: Transport and Environment","DOI":"10.1016/j.trd.2023.103614","title":"Impact of electric trucks in GHG inventory – A Uruguayan scenario study","URL":"https://www.scopus.com/inward/record.uri?eid=2-s2.0-85147247413&amp;doi=10.1016%2fj.trd.2023.103614&amp;partnerID=40&amp;md5=6a2fb532563d84b9872d5398b2a03c72","volume":"117","author":[{"family":"Tanco","given":"M."},{"family":"Cavallieri","given":"M.S."},{"family":"Levy","given":"M."},{"family":"Rossi","given":"S."},{"family":"Jurburg","given":"D."}],"issued":{"date-parts":[["2023"]]}}}],"schema":"https://github.com/citation-style-language/schema/raw/master/csl-citation.json"} </w:instrText>
      </w:r>
      <w:r>
        <w:fldChar w:fldCharType="separate"/>
      </w:r>
      <w:r w:rsidR="005562CE" w:rsidRPr="005562CE">
        <w:rPr>
          <w:rFonts w:cs="Arial"/>
          <w:szCs w:val="24"/>
        </w:rPr>
        <w:t>(Tanco et al., 2023)</w:t>
      </w:r>
      <w:r>
        <w:fldChar w:fldCharType="end"/>
      </w:r>
      <w:r>
        <w:t>.</w:t>
      </w:r>
    </w:p>
    <w:p w14:paraId="419B387D" w14:textId="02801BA2" w:rsidR="00F6176A" w:rsidRDefault="007A1C6C" w:rsidP="004571B6">
      <w:pPr>
        <w:pStyle w:val="CETBodytext"/>
      </w:pPr>
      <w:r>
        <w:t>In the</w:t>
      </w:r>
      <w:r w:rsidR="004E71F9" w:rsidRPr="004E71F9">
        <w:t xml:space="preserve"> last ten years</w:t>
      </w:r>
      <w:r w:rsidR="000D26FF">
        <w:t>,</w:t>
      </w:r>
      <w:r w:rsidR="004E71F9" w:rsidRPr="004E71F9">
        <w:t xml:space="preserve"> </w:t>
      </w:r>
      <w:r w:rsidR="000D26FF">
        <w:t xml:space="preserve">bioeconomy has been flourishing </w:t>
      </w:r>
      <w:r w:rsidR="004E71F9" w:rsidRPr="004E71F9">
        <w:t xml:space="preserve">in several Latin American countries through the elaboration of different political measures </w:t>
      </w:r>
      <w:r w:rsidR="004E71F9">
        <w:rPr>
          <w:lang w:val="pt-BR"/>
        </w:rPr>
        <w:fldChar w:fldCharType="begin"/>
      </w:r>
      <w:r w:rsidR="004E71F9" w:rsidRPr="004E71F9">
        <w:instrText xml:space="preserve"> ADDIN ZOTERO_ITEM CSL_CITATION {"citationID":"I18WOuO3","properties":{"formattedCitation":"(RODR\\uc0\\u205{}GUEZ; RODRIGUES; SOTOMAYOR ECHENIQUE, 2019)","plainCitation":"(RODRÍGUEZ; RODRIGUES; SOTOMAYOR ECHENIQUE, 2019)","dontUpdate":true,"noteIndex":0},"citationItems":[{"id":1357,"uris":["http://zotero.org/groups/5347490/items/MUF2J25Y"],"itemData":{"id":1357,"type":"article-journal","abstract":"The document serves as a frame of reference to guide the development of national strategies for bioeconomy development. We propose a strategic framework based on four pillars: a) the 2030 Agenda; b) the Paris Agreement on Climate Change and individual country commitments expressed in their nationally determined contributions; c) social inclusion and territorial development; and d) innovation and productive diversification for decarbonization. The document identifies key structural factors for the development of bioeconomy strategies, with the common goal of moving towards sustainability. The document also identifies limitations, needs, opportunities and precautions to consider in the development of such strategies. Adequate knowledge of available biological resources, related scientific and technological capabilities and market potential and consumer acceptance of new bioeconomy products are required to tap the full potential offered by the bioeconomy.  Still, the development of an inclusive, sustainable and competitive bioeconomy can be hindered by several factors, including the lack of adequate regulatory frameworks, contradictory regulatory frameworks, insufficient coordination of existing technical and technological capabilities, market entry restrictions for bioeconomy-related small businesses, and lack of funds to enhance the creation of innovative business enterprises. Finally, we highlight the importance of international and intra-regional cooperation for the development of the bioeconomy, in particular, the facilitating and supportive role that regional technical and financial cooperation agencies can play.","language":"en","note":"Accepted: 2019-12-06T13:57:49Z\npublisher: ECLAC","source":"repositorio.cepal.org","title":"Towards a sustainable bioeconomy in Latin America and the Caribbean: Elements for a regional vision","title-short":"Towards a sustainable bioeconomy in Latin America and the Caribbean","URL":"https://repositorio.cepal.org/handle/11362/44994","author":[{"family":"Rodríguez","given":"Adrián G."},{"family":"Rodrigues","given":"Mônica dos Santos"},{"family":"Sotomayor Echenique","given":"Octavio"}],"accessed":{"date-parts":[["2023",5,21]]},"issued":{"date-parts":[["2019",12,6]]}}}],"schema":"https://github.com/citation-style-language/schema/raw/master/csl-citation.json"} </w:instrText>
      </w:r>
      <w:r w:rsidR="004E71F9">
        <w:rPr>
          <w:lang w:val="pt-BR"/>
        </w:rPr>
        <w:fldChar w:fldCharType="separate"/>
      </w:r>
      <w:r w:rsidR="004E71F9" w:rsidRPr="004E71F9">
        <w:rPr>
          <w:rFonts w:cs="Arial"/>
          <w:szCs w:val="24"/>
        </w:rPr>
        <w:t>(R</w:t>
      </w:r>
      <w:r w:rsidR="005562CE">
        <w:rPr>
          <w:rFonts w:cs="Arial"/>
          <w:szCs w:val="24"/>
        </w:rPr>
        <w:t>odriguez</w:t>
      </w:r>
      <w:r w:rsidR="004E71F9" w:rsidRPr="004E71F9">
        <w:rPr>
          <w:rFonts w:cs="Arial"/>
          <w:szCs w:val="24"/>
        </w:rPr>
        <w:t xml:space="preserve"> et al., 2019)</w:t>
      </w:r>
      <w:r w:rsidR="004E71F9">
        <w:rPr>
          <w:lang w:val="pt-BR"/>
        </w:rPr>
        <w:fldChar w:fldCharType="end"/>
      </w:r>
      <w:r w:rsidR="004E71F9" w:rsidRPr="004E71F9">
        <w:t xml:space="preserve"> </w:t>
      </w:r>
      <w:r w:rsidR="000D26FF">
        <w:t>because these countries are</w:t>
      </w:r>
      <w:r w:rsidR="000D26FF" w:rsidRPr="004E71F9">
        <w:t xml:space="preserve"> fac</w:t>
      </w:r>
      <w:r w:rsidR="000D26FF">
        <w:t>ing</w:t>
      </w:r>
      <w:r w:rsidR="000D26FF" w:rsidRPr="004E71F9">
        <w:t xml:space="preserve"> </w:t>
      </w:r>
      <w:r w:rsidR="004E71F9" w:rsidRPr="004E71F9">
        <w:t>the problem</w:t>
      </w:r>
      <w:r w:rsidR="000D26FF">
        <w:t>s</w:t>
      </w:r>
      <w:r w:rsidR="004E71F9" w:rsidRPr="004E71F9">
        <w:t xml:space="preserve"> </w:t>
      </w:r>
      <w:r w:rsidR="000D26FF">
        <w:t>caused by</w:t>
      </w:r>
      <w:r w:rsidR="000D26FF" w:rsidRPr="004E71F9">
        <w:t xml:space="preserve"> </w:t>
      </w:r>
      <w:r w:rsidR="004E71F9" w:rsidRPr="004E71F9">
        <w:t xml:space="preserve">emissions </w:t>
      </w:r>
      <w:r w:rsidR="000D26FF">
        <w:t>related to</w:t>
      </w:r>
      <w:r w:rsidR="004E71F9" w:rsidRPr="004E71F9">
        <w:t xml:space="preserve"> burning of fossil fuels in the transport sector</w:t>
      </w:r>
      <w:r w:rsidR="000D26FF">
        <w:t>. Especially, s</w:t>
      </w:r>
      <w:r w:rsidR="004E71F9" w:rsidRPr="004E71F9">
        <w:t>everal countries have been adopting measures related to the use and production of ethanol.</w:t>
      </w:r>
      <w:r w:rsidR="00BB411B">
        <w:t xml:space="preserve"> </w:t>
      </w:r>
    </w:p>
    <w:p w14:paraId="0F0FE584" w14:textId="3C9422D3" w:rsidR="004E71F9" w:rsidRPr="005562CE" w:rsidRDefault="004E71F9" w:rsidP="004571B6">
      <w:pPr>
        <w:pStyle w:val="CETBodytext"/>
      </w:pPr>
      <w:r w:rsidRPr="004E71F9">
        <w:t>In Argentina, the government launched a new public policy on mandatory biofuel</w:t>
      </w:r>
      <w:r w:rsidR="00BB411B">
        <w:t xml:space="preserve"> blending</w:t>
      </w:r>
      <w:r w:rsidRPr="004E71F9">
        <w:t xml:space="preserve"> (new Biofuels Law 27,640, of July 2021), establishing new criteria for the </w:t>
      </w:r>
      <w:r w:rsidR="00BB411B">
        <w:t>blending</w:t>
      </w:r>
      <w:r w:rsidR="00BB411B" w:rsidRPr="004E71F9">
        <w:t xml:space="preserve"> </w:t>
      </w:r>
      <w:r w:rsidR="00BB411B">
        <w:t xml:space="preserve">as </w:t>
      </w:r>
      <w:r w:rsidRPr="004E71F9">
        <w:t>12</w:t>
      </w:r>
      <w:r w:rsidR="00D75D1B">
        <w:t xml:space="preserve"> </w:t>
      </w:r>
      <w:r w:rsidRPr="004E71F9">
        <w:t>% ethanol in gasoline (E12) and 5</w:t>
      </w:r>
      <w:r w:rsidR="00D75D1B">
        <w:t xml:space="preserve"> </w:t>
      </w:r>
      <w:r w:rsidRPr="004E71F9">
        <w:t xml:space="preserve">% </w:t>
      </w:r>
      <w:r w:rsidR="00BB411B">
        <w:t xml:space="preserve">biodiesel in diesel </w:t>
      </w:r>
      <w:r w:rsidRPr="004E71F9">
        <w:t>(B5)</w:t>
      </w:r>
      <w:r w:rsidR="00BB411B">
        <w:t>. E</w:t>
      </w:r>
      <w:r w:rsidR="00BB411B" w:rsidRPr="004E71F9">
        <w:t xml:space="preserve">thanol </w:t>
      </w:r>
      <w:r w:rsidRPr="004E71F9">
        <w:t>production</w:t>
      </w:r>
      <w:r w:rsidR="00BB411B">
        <w:t xml:space="preserve"> in Argentina</w:t>
      </w:r>
      <w:r w:rsidRPr="004E71F9">
        <w:t xml:space="preserve"> exceeded one billion liters in 2019 </w:t>
      </w:r>
      <w:r w:rsidRPr="007A1FCF">
        <w:fldChar w:fldCharType="begin"/>
      </w:r>
      <w:r w:rsidRPr="004E71F9">
        <w:instrText xml:space="preserve"> ADDIN ZOTERO_ITEM CSL_CITATION {"citationID":"xcfiPvhJ","properties":{"formattedCitation":"(USDA, 2021)","plainCitation":"(USDA, 2021)","noteIndex":0},"citationItems":[{"id":325,"uris":["http://zotero.org/users/local/TESewbgn/items/EEJ6523M","http://zotero.org/users/6527694/items/EEJ6523M"],"itemData":{"id":325,"type":"report","abstract":"Argentine biofuel production in 2021 continues to suffer from the negative effects of the COVID-19 pandemic which has reduced fuel demand, a prolonged domestic...","event-place":"Buenos Aires","genre":"Biofuels","language":"en","number":"AR2021-0018","publisher":"USDA","publisher-place":"Buenos Aires","title":"Argentina: Biofuels Annual","title-short":"Argentina","URL":"https://www.fas.usda.gov/data/argentina-biofuels-annual-6","author":[{"family":"USDA","given":""}],"accessed":{"date-parts":[["2023",5,27]]},"issued":{"date-parts":[["2021",8,23]]}}}],"schema":"https://github.com/citation-style-language/schema/raw/master/csl-citation.json"} </w:instrText>
      </w:r>
      <w:r w:rsidRPr="007A1FCF">
        <w:fldChar w:fldCharType="separate"/>
      </w:r>
      <w:r w:rsidR="005562CE" w:rsidRPr="005562CE">
        <w:rPr>
          <w:rFonts w:cs="Arial"/>
        </w:rPr>
        <w:t>(USDA, 2021)</w:t>
      </w:r>
      <w:r w:rsidRPr="007A1FCF">
        <w:fldChar w:fldCharType="end"/>
      </w:r>
      <w:r>
        <w:t xml:space="preserve">. </w:t>
      </w:r>
      <w:r w:rsidRPr="004E71F9">
        <w:t xml:space="preserve">In Colombia, based on Law 693 of 2001 for ethanol and Law 939 of 2004 for biodiesel, the government established the highest </w:t>
      </w:r>
      <w:r w:rsidR="00BB411B">
        <w:t>blending</w:t>
      </w:r>
      <w:r w:rsidR="00BB411B" w:rsidRPr="004E71F9">
        <w:t xml:space="preserve"> </w:t>
      </w:r>
      <w:r w:rsidR="00BB411B">
        <w:t>mandate</w:t>
      </w:r>
      <w:r w:rsidR="00BB411B" w:rsidRPr="004E71F9">
        <w:t xml:space="preserve"> </w:t>
      </w:r>
      <w:r w:rsidRPr="004E71F9">
        <w:t>in its history</w:t>
      </w:r>
      <w:r w:rsidR="00BB411B">
        <w:t>:</w:t>
      </w:r>
      <w:r w:rsidRPr="004E71F9">
        <w:t xml:space="preserve"> 10</w:t>
      </w:r>
      <w:r w:rsidR="00D75D1B">
        <w:t xml:space="preserve"> </w:t>
      </w:r>
      <w:r w:rsidRPr="004E71F9">
        <w:t>% for ethanol and 12</w:t>
      </w:r>
      <w:r w:rsidR="00D75D1B">
        <w:t xml:space="preserve"> </w:t>
      </w:r>
      <w:r w:rsidRPr="004E71F9">
        <w:t xml:space="preserve">% for biodiesel </w:t>
      </w:r>
      <w:r w:rsidRPr="007A1FCF">
        <w:fldChar w:fldCharType="begin"/>
      </w:r>
      <w:r w:rsidR="005562CE">
        <w:instrText xml:space="preserve"> ADDIN ZOTERO_ITEM CSL_CITATION {"citationID":"hXSt3iDT","properties":{"formattedCitation":"(Canabarro et\\uc0\\u160{}al., 2023)","plainCitation":"(Canabarro et al., 2023)","noteIndex":0},"citationItems":[{"id":331,"uris":["http://zotero.org/users/local/TESewbgn/items/WX6NST9R","http://zotero.org/users/6527694/items/WX6NST9R"],"itemData":{"id":331,"type":"article-journal","abstract":"This study assessed the production, land use, environmental impacts, and energy balance associated with ethanol and biodiesel production in Argentina, Brazil, Colombia, and Guatemala. These countries are considered developing economies and produced 97% of biofuel in Latin America, achieving production of 46 billion liters in 2019. The implementation of public policies (ie. RenovaBio, LCFS frameworks) to stimulate the adoption of low-carbon fuels may encourage biofuel production. Hence, the official data for each country were used to quantify the biofuel production and land required for their production. To evaluate the environmental impacts, a cradle-to-gate attributional life cycle assessment (ALCA) was performed. The results revealed that transforming 5% of current pastures into arable land for raw materials could double biofuel production. The findings also showed that increases in raw material productivity could significantly reduce land demand, suggesting that efforts in this direction should be intensified. When ethanol and biodiesel production were compared to gasoline and diesel production, considerable reductions in global warming (up to 84%) and ozone layer depletion were observed; most importantly, the positive energy ratio (ER, 2.5–9.3 MJbioenergy/MJfossil) and net energy ratio (NER, 0.51–0.96 MJnet energy/MJbiofuel) indicated energy sustainability of biofuel production in these countries. In addition, water use and biodiversity impacts were presented based on previous studies. Finally, the impact of public policies such as the RenovaBio program, expected to incentivize farmers, biofuel producers, and policymakers to improve the biofuel supply chain, were evaluated in the context of these countries.","container-title":"Renewable and Sustainable Energy Reviews","DOI":"10.1016/j.rser.2022.113019","ISSN":"1364-0321","journalAbbreviation":"Renewable and Sustainable Energy Reviews","page":"113019","title":"Sustainability assessment of ethanol and biodiesel production in Argentina, Brazil, Colombia, and Guatemala","volume":"171","author":[{"family":"Canabarro","given":"N.I."},{"family":"Silva-Ortiz","given":"P."},{"family":"Nogueira","given":"L.A.H."},{"family":"Cantarella","given":"H."},{"family":"Maciel-Filho","given":"R."},{"family":"Souza","given":"G.M."}],"issued":{"date-parts":[["2023",1,1]]}}}],"schema":"https://github.com/citation-style-language/schema/raw/master/csl-citation.json"} </w:instrText>
      </w:r>
      <w:r w:rsidRPr="007A1FCF">
        <w:fldChar w:fldCharType="separate"/>
      </w:r>
      <w:r w:rsidR="005562CE" w:rsidRPr="005562CE">
        <w:rPr>
          <w:rFonts w:cs="Arial"/>
          <w:szCs w:val="24"/>
        </w:rPr>
        <w:t>(Canabarro et al., 2023)</w:t>
      </w:r>
      <w:r w:rsidRPr="007A1FCF">
        <w:fldChar w:fldCharType="end"/>
      </w:r>
      <w:r w:rsidRPr="004E71F9">
        <w:t xml:space="preserve">. In 2017, Law no. 13,576 published by the Brazilian Ministry of Mines and Energy established a new policy in Brazil, known as RenovaBio, </w:t>
      </w:r>
      <w:r w:rsidR="00BB411B">
        <w:t>whose</w:t>
      </w:r>
      <w:r w:rsidRPr="004E71F9">
        <w:t xml:space="preserve"> objectives </w:t>
      </w:r>
      <w:r w:rsidR="00BB411B">
        <w:t>include</w:t>
      </w:r>
      <w:r w:rsidR="00BB411B" w:rsidRPr="004E71F9">
        <w:t xml:space="preserve"> </w:t>
      </w:r>
      <w:r w:rsidRPr="004E71F9">
        <w:t>promot</w:t>
      </w:r>
      <w:r w:rsidR="00BB411B">
        <w:t>ing</w:t>
      </w:r>
      <w:r w:rsidRPr="004E71F9">
        <w:t xml:space="preserve"> the expansion of the production and use of biofuels</w:t>
      </w:r>
      <w:r>
        <w:t xml:space="preserve"> in the national energy </w:t>
      </w:r>
      <w:r w:rsidR="00BB411B">
        <w:t xml:space="preserve">mix </w:t>
      </w:r>
      <w:r w:rsidRPr="007A1FCF">
        <w:fldChar w:fldCharType="begin"/>
      </w:r>
      <w:r w:rsidR="00283527">
        <w:instrText xml:space="preserve"> ADDIN ZOTERO_ITEM CSL_CITATION {"citationID":"Pzh2Sjiv","properties":{"formattedCitation":"(Ribeiro &amp; da Cunha, 2022)","plainCitation":"(Ribeiro &amp; da Cunha, 2022)","dontUpdate":true,"noteIndex":0},"citationItems":[{"id":332,"uris":["http://zotero.org/users/local/TESewbgn/items/HM9Y842Q","http://zotero.org/users/6527694/items/HM9Y842Q"],"itemData":{"id":332,"type":"article-journal","abstract":"The Brazilian National Policy on Biofuels (Renovabio) sets targets to reduce greenhouse gas emissions (GGE) in the transportation mix. Through the policy, a financial asset known as CBIO (a Decarbonization Credit) was created. CBIOs represent the equivalent CO2 emissions prevented when substituting fossil fuels for renewable fuels and are traded on the stock market, which sets the price. Fossil fuel distributors are obliged to buy these assets and biofuel producers can issue the CBIOs on the stock market. A dynamic computable general equilibrium model was applied to estimate the CBIO prices and the annual economic and environmental impacts of RenovaBio from 2021 to 2029. The impacts on fuel and energy consumption, fuel prices, inflation, gross domestic product (GDP) and agricultural productivity considering ethanol, gasoline, biodiesel and diesel were calculated. To achieve the required decarbonization level by 2029, ethanol production must increase by 87.7%, led by a drop in its price relative to gasoline. The total fuel energy consumed would drop by 7.10% and inflation would increase by 0.35 percentage points, while GDP would increase by only 0.08% in the scenario of the last year, when the CBIO price would reach R\\223.35 ( US\\74.45). RenovaBio can be an effective policy to promote carbon intensity reduction and works as a hedge against unfavorable scenarios for biofuel production. Therefore, the policy can help Brazil reach its intended nationally determined contribution by boosting the use of biofuels in the country's transportation sector. © 2021 Society of Chemical Industry and John Wiley &amp; Sons, Ltd","container-title":"Biofuels, Bioproducts and Biorefining","DOI":"10.1002/bbb.2326","ISSN":"1932-1031","issue":"2","language":"en","note":"_eprint: https://onlinelibrary.wiley.com/doi/pdf/10.1002/bbb.2326","page":"413-434","source":"Wiley Online Library","title":"The economic and environmental impacts of Brazilian National Biofuel Policy","volume":"16","author":[{"family":"Ribeiro","given":"Carolina Habib"},{"family":"Cunha","given":"Marcelo Pereira","non-dropping-particle":"da"}],"issued":{"date-parts":[["2022"]]}}}],"schema":"https://github.com/citation-style-language/schema/raw/master/csl-citation.json"} </w:instrText>
      </w:r>
      <w:r w:rsidRPr="007A1FCF">
        <w:fldChar w:fldCharType="separate"/>
      </w:r>
      <w:r w:rsidR="005562CE" w:rsidRPr="005562CE">
        <w:rPr>
          <w:rFonts w:cs="Arial"/>
        </w:rPr>
        <w:t xml:space="preserve">(Ribeiro </w:t>
      </w:r>
      <w:r w:rsidR="008B3E1B">
        <w:rPr>
          <w:rFonts w:cs="Arial"/>
        </w:rPr>
        <w:t>and</w:t>
      </w:r>
      <w:r w:rsidR="005562CE" w:rsidRPr="005562CE">
        <w:rPr>
          <w:rFonts w:cs="Arial"/>
        </w:rPr>
        <w:t xml:space="preserve"> da Cunha, 2022)</w:t>
      </w:r>
      <w:r w:rsidRPr="007A1FCF">
        <w:fldChar w:fldCharType="end"/>
      </w:r>
      <w:r w:rsidRPr="005562CE">
        <w:t>.</w:t>
      </w:r>
    </w:p>
    <w:p w14:paraId="6FE4A023" w14:textId="6BCA05CE" w:rsidR="004E71F9" w:rsidRPr="005562CE" w:rsidRDefault="00487A41" w:rsidP="004571B6">
      <w:pPr>
        <w:pStyle w:val="CETBodytext"/>
      </w:pPr>
      <w:r w:rsidRPr="00487A41">
        <w:t xml:space="preserve">While governments often have a clear understanding of GHG emissions within </w:t>
      </w:r>
      <w:r w:rsidR="0083725C">
        <w:t xml:space="preserve">their </w:t>
      </w:r>
      <w:r w:rsidRPr="00487A41">
        <w:t xml:space="preserve">geographic boundaries, quantifying their emissions upstream and downstream of the value chain is challenging </w:t>
      </w:r>
      <w:r w:rsidRPr="007A1FCF">
        <w:fldChar w:fldCharType="begin"/>
      </w:r>
      <w:r w:rsidR="00283527">
        <w:instrText xml:space="preserve"> ADDIN ZOTERO_ITEM CSL_CITATION {"citationID":"EvEGhCUp","properties":{"formattedCitation":"(Hertwich &amp; Wood, 2018)","plainCitation":"(Hertwich &amp; Wood, 2018)","dontUpdate":true,"noteIndex":0},"citationItems":[{"id":336,"uris":["http://zotero.org/users/local/TESewbgn/items/HVEAKPRI","http://zotero.org/users/6527694/items/HVEAKPRI"],"itemData":{"id":336,"type":"article-journal","container-title":"Environmental Research Letters","DOI":"10.1088/1748-9326/aae19a","ISSN":"1748-9326","issue":"10","journalAbbreviation":"Environ. Res. Lett.","language":"en","note":"publisher: IOP Publishing","page":"104013","source":"iopscience-iop.ez69.periodicos.capes.gov.br","title":"The growing importance of scope 3 greenhouse gas emissions from industry","volume":"13","author":[{"family":"Hertwich","given":"Edgar G."},{"family":"Wood","given":"Richard"}],"issued":{"date-parts":[["2018",10,5]]}}}],"schema":"https://github.com/citation-style-language/schema/raw/master/csl-citation.json"} </w:instrText>
      </w:r>
      <w:r w:rsidRPr="007A1FCF">
        <w:fldChar w:fldCharType="separate"/>
      </w:r>
      <w:r w:rsidR="005562CE" w:rsidRPr="005562CE">
        <w:rPr>
          <w:rFonts w:cs="Arial"/>
        </w:rPr>
        <w:t xml:space="preserve">(Hertwich </w:t>
      </w:r>
      <w:r w:rsidR="008B3E1B">
        <w:rPr>
          <w:rFonts w:cs="Arial"/>
        </w:rPr>
        <w:t>and</w:t>
      </w:r>
      <w:r w:rsidR="005562CE" w:rsidRPr="005562CE">
        <w:rPr>
          <w:rFonts w:cs="Arial"/>
        </w:rPr>
        <w:t xml:space="preserve"> Wood, 2018)</w:t>
      </w:r>
      <w:r w:rsidRPr="007A1FCF">
        <w:fldChar w:fldCharType="end"/>
      </w:r>
      <w:r w:rsidRPr="00487A41">
        <w:t xml:space="preserve">. Likewise, there </w:t>
      </w:r>
      <w:r w:rsidR="007A1C6C">
        <w:t>is</w:t>
      </w:r>
      <w:r w:rsidRPr="00487A41">
        <w:t xml:space="preserve"> potential GHG emissions effect associated with the AFOLU sector due to the production of biofuels in the agricultural phase </w:t>
      </w:r>
      <w:r>
        <w:rPr>
          <w:lang w:val="pt-BR"/>
        </w:rPr>
        <w:fldChar w:fldCharType="begin"/>
      </w:r>
      <w:r w:rsidR="005562CE">
        <w:instrText xml:space="preserve"> ADDIN ZOTERO_ITEM CSL_CITATION {"citationID":"AwNhNX9S","properties":{"formattedCitation":"(Calvin et\\uc0\\u160{}al., 2016)","plainCitation":"(Calvin et al., 2016)","noteIndex":0},"citationItems":[{"id":1359,"uris":["http://zotero.org/groups/5347490/items/JA5TA67S"],"itemData":{"id":1359,"type":"article-journal","abstract":"Nearly 40% of greenhouse gas (GHG) emissions in Latin America were from agriculture, forestry, and other land use (AFOLU) in 2008, more than double the global fraction of AFOLU emissions. In this article, we investigate the future trajectory of AFOLU GHG emissions in Latin America, with and without efforts to mitigate, using a multi-model comparison approach. We find significant uncertainty in future emissions with and without climate policy. This uncertainty is due to differences in a variety of assumptions including (1) the role of bioenergy, (2) where and how bioenergy is produced, (3) the availability of afforestation options in climate mitigation policy, and (4) N2O and CH4 emission intensity. With climate policy, these differences in assumptions can lead to significant variance in mitigation potential, with three models indicating reductions in AFOLU GHG emissions and one model indicating modest increases in AFOLU GHG emissions.","container-title":"Energy Economics","DOI":"10.1016/j.eneco.2015.03.020","ISSN":"0140-9883","journalAbbreviation":"Energy Economics","page":"615-624","source":"ScienceDirect","title":"Agriculture, forestry, and other land-use emissions in Latin America","volume":"56","author":[{"family":"Calvin","given":"Katherine V."},{"family":"Beach","given":"Robert"},{"family":"Gurgel","given":"Angelo"},{"family":"Labriet","given":"Maryse"},{"family":"Loboguerrero Rodriguez","given":"Ana Maria"}],"issued":{"date-parts":[["2016",5,1]]}}}],"schema":"https://github.com/citation-style-language/schema/raw/master/csl-citation.json"} </w:instrText>
      </w:r>
      <w:r>
        <w:rPr>
          <w:lang w:val="pt-BR"/>
        </w:rPr>
        <w:fldChar w:fldCharType="separate"/>
      </w:r>
      <w:r w:rsidR="005562CE" w:rsidRPr="005562CE">
        <w:rPr>
          <w:rFonts w:cs="Arial"/>
          <w:szCs w:val="24"/>
        </w:rPr>
        <w:t>(Calvin et al., 2016)</w:t>
      </w:r>
      <w:r>
        <w:rPr>
          <w:lang w:val="pt-BR"/>
        </w:rPr>
        <w:fldChar w:fldCharType="end"/>
      </w:r>
      <w:r w:rsidRPr="00487A41">
        <w:t xml:space="preserve">, which means that the potential benefits of using biofuels in the transport sector in Latin America may be affected by potential emissions from the AFOLU sector </w:t>
      </w:r>
      <w:r>
        <w:rPr>
          <w:lang w:val="pt-BR"/>
        </w:rPr>
        <w:fldChar w:fldCharType="begin"/>
      </w:r>
      <w:r w:rsidR="00283527">
        <w:instrText xml:space="preserve"> ADDIN ZOTERO_ITEM CSL_CITATION {"citationID":"axCOTcc8","properties":{"formattedCitation":"(Picoli &amp; Machado, 2021)","plainCitation":"(Picoli &amp; Machado, 2021)","dontUpdate":true,"noteIndex":0},"citationItems":[{"id":1360,"uris":["http://zotero.org/groups/5347490/items/I7M3Q5CQ"],"itemData":{"id":1360,"type":"article-journal","abstract":"Abstract Bioethanol production in Brazil gained momentum in the 1970s and 1980s as an energy security and energy sufficiency measure due to the well-known world oil crisis. However, the increase in bioethanol production and consumption in the past couple of decades has been backed by the country's efforts and measures to reduce greenhouse gas (GHG) emissions in the transport sector. Brazil is the second largest producer of biofuels, and its production continues to increase because of the commitments made in the Paris Agreement in 2015. This study reviews several key policies designed to develop Brazilian bioethanol production and to protect the environment. It is argued that many of these policies do not consider land use change or encourage land protection to achieve sustainable land use and agricultural production. Thus, this work aims to understand the importance and impacts of public policies in expanding sugarcane in Brazil in the past 34?years, with regard to land use and native vegetation. The discussion in this paper addresses the inadequacy of current policies to avoid direct and indirect land use change caused by sugarcane expansion, despite incentives such as 17 Sustainable Development Goals from the United Nations and certification schemes. The data presented indicate an indirect effect caused by the expansion of sugarcane over pasture areas, which leads to further clearing of natural vegetation to establish new pasture areas. Ultimately, this study addresses the importance of zero deforestation in Brazil, regardless of the crop that causes the conversion. Without conjoint efforts by all sectors of the economy to curtail deforestation, the sustainability of producing biofuels is not guaranteed, as the emissions caused by deforestation will not be offset by the lower GHG emissions obtained by using ethanol as a transport fuel. ? 2021 Society of Chemical Industry and John Wiley &amp; Sons, Ltd","container-title":"Biofuels, Bioproducts and Biorefining","DOI":"10.1002/bbb.2270","ISSN":"1932-104X","issue":"6","note":"publisher: John Wiley &amp; Sons, Ltd","page":"1591-1603","source":"onlinelibrary-wiley.ez69.periodicos.capes.gov.br (Atypon)","title":"Land use change: the barrier for sugarcane sustainability","title-short":"Land use change","volume":"15","author":[{"family":"Picoli","given":"Michelle C. A."},{"family":"Machado","given":"Pedro G."}],"issued":{"date-parts":[["2021",11]]}}}],"schema":"https://github.com/citation-style-language/schema/raw/master/csl-citation.json"} </w:instrText>
      </w:r>
      <w:r>
        <w:rPr>
          <w:lang w:val="pt-BR"/>
        </w:rPr>
        <w:fldChar w:fldCharType="separate"/>
      </w:r>
      <w:r w:rsidR="005562CE" w:rsidRPr="005562CE">
        <w:rPr>
          <w:rFonts w:cs="Arial"/>
        </w:rPr>
        <w:t xml:space="preserve">(Picoli </w:t>
      </w:r>
      <w:r w:rsidR="008B3E1B">
        <w:rPr>
          <w:rFonts w:cs="Arial"/>
        </w:rPr>
        <w:t>and</w:t>
      </w:r>
      <w:r w:rsidR="005562CE" w:rsidRPr="005562CE">
        <w:rPr>
          <w:rFonts w:cs="Arial"/>
        </w:rPr>
        <w:t xml:space="preserve"> Machado, 2021)</w:t>
      </w:r>
      <w:r>
        <w:rPr>
          <w:lang w:val="pt-BR"/>
        </w:rPr>
        <w:fldChar w:fldCharType="end"/>
      </w:r>
      <w:r w:rsidRPr="005562CE">
        <w:t>.</w:t>
      </w:r>
    </w:p>
    <w:p w14:paraId="7AD2ED19" w14:textId="2C370C92" w:rsidR="00F6176A" w:rsidRPr="00487A41" w:rsidRDefault="00487A41" w:rsidP="004571B6">
      <w:pPr>
        <w:pStyle w:val="CETBodytext"/>
      </w:pPr>
      <w:r w:rsidRPr="00487A41">
        <w:t xml:space="preserve">The Bolivian government ratified the Paris Agreement in 2016 and presented its Nationally Determined Contributions (NDC) to the United Nations Framework Convention on Climate Change (UNFCCC) </w:t>
      </w:r>
      <w:r w:rsidRPr="007A1FCF">
        <w:fldChar w:fldCharType="begin"/>
      </w:r>
      <w:r>
        <w:instrText xml:space="preserve"> ADDIN ZOTERO_ITEM CSL_CITATION {"citationID":"0d4XuoSE","properties":{"formattedCitation":"(FERNANDEZ VAZQUEZ; BRECHA; FERNANDEZ FUENTES, 2022)","plainCitation":"(FERNANDEZ VAZQUEZ; BRECHA; FERNANDEZ FUENTES, 2022)","dontUpdate":true,"noteIndex":0},"citationItems":[{"id":347,"uris":["http://zotero.org/users/local/TESewbgn/items/DA2K7HQY","http://zotero.org/users/6527694/items/DA2K7HQY"],"itemData":{"id":347,"type":"article-journal","abstract":"A transition of the Bolivian power sector towards a renewable energy dominated system has been inhibited by a series of laws and policies including heavy subsidies for power generation using domestic natural gas. Within this context, alternative techno-economic scenarios are designed based on key characteristics of the system, and a series of six policy levers are used to analyze impacts on the development of the power sector. The energy-system optimization modeling framework OSeMOSYS is utilized to analyze power sector transition pathways. Techno-economic characteristics and policies are combined to develop bracketing scenarios for the future energy system, contrasting business-as-usual with an ambitious renewable energy policy scenario. Results from the analyzed scenarios show that achieving significant reductions of GHG emissions in the Bolivian electric system will heavily depend on:1) reducing the artificial competitiveness of thermal power plants through subsidies, but also a price on carbon emissions; 2) banning high impact power plants (mainly very large hydropower plants); and 3) defining clear long-term objectives for the participation of renewables in the system, starting with objectives in current short-term plans. By examining several scenarios, relative system costs as a function of emissions reductions are determined as well. For high penetration of variable renewable energy, addition of storage will eventually be needed as dispatchable renewable resources are limited.","container-title":"Renewable and Sustainable Energy Transition","DOI":"10.1016/j.rset.2022.100017","ISSN":"2667-095X","journalAbbreviation":"Renewable and Sustainable Energy Transition","page":"100017","title":"Analyzing carbon emissions policies for the Bolivian electric sector","volume":"2","author":[{"family":"Fernandez Vazquez","given":"Carlos A.A."},{"family":"Brecha","given":"R.J."},{"family":"Fernandez Fuentes","given":"Miguel H."}],"issued":{"date-parts":[["2022",8,1]]}}}],"schema":"https://github.com/citation-style-language/schema/raw/master/csl-citation.json"} </w:instrText>
      </w:r>
      <w:r w:rsidRPr="007A1FCF">
        <w:fldChar w:fldCharType="separate"/>
      </w:r>
      <w:r w:rsidRPr="00487A41">
        <w:t>(F</w:t>
      </w:r>
      <w:r w:rsidR="005562CE">
        <w:t>ernandez Vazquez</w:t>
      </w:r>
      <w:r w:rsidRPr="00487A41">
        <w:t xml:space="preserve"> et al., 2022)</w:t>
      </w:r>
      <w:r w:rsidRPr="007A1FCF">
        <w:fldChar w:fldCharType="end"/>
      </w:r>
      <w:r w:rsidR="00752921">
        <w:t>. In</w:t>
      </w:r>
      <w:r>
        <w:t xml:space="preserve"> </w:t>
      </w:r>
      <w:r w:rsidRPr="00487A41">
        <w:t>2018</w:t>
      </w:r>
      <w:r w:rsidR="00752921">
        <w:t>,</w:t>
      </w:r>
      <w:r w:rsidRPr="00487A41">
        <w:t xml:space="preserve"> it started production of ethanol from sugarcane to be mixed with gasoline to reduce GHG emissions and the cost of importing fuel </w:t>
      </w:r>
      <w:r w:rsidR="005562CE">
        <w:fldChar w:fldCharType="begin"/>
      </w:r>
      <w:r w:rsidR="005562CE">
        <w:instrText xml:space="preserve"> ADDIN ZOTERO_ITEM CSL_CITATION {"citationID":"POzRZ2ze","properties":{"formattedCitation":"(USDA, 2018)","plainCitation":"(USDA, 2018)","noteIndex":0},"citationItems":[{"id":196,"uris":["http://zotero.org/users/local/TESewbgn/items/NNFYIEER","http://zotero.org/users/6527694/items/NNFYIEER"],"itemData":{"id":196,"type":"webpage","abstract":"Bolivia announces its intention to implement an ethanol blend mandate in gasoline which will begin at 10 percent and would increase gradually as the Bolivian...","container-title":"Global Agricultural Information Network","language":"en","title":"Bolivia: Bolivia Enters Ethanol Era","title-short":"Bolivia","URL":"https://www.fas.usda.gov/data/bolivia-bolivia-enters-ethanol-era","author":[{"family":"USDA","given":""}],"accessed":{"date-parts":[["2023",5,16]]},"issued":{"date-parts":[["2018",3,22]]}}}],"schema":"https://github.com/citation-style-language/schema/raw/master/csl-citation.json"} </w:instrText>
      </w:r>
      <w:r w:rsidR="005562CE">
        <w:fldChar w:fldCharType="separate"/>
      </w:r>
      <w:r w:rsidR="005562CE" w:rsidRPr="005562CE">
        <w:rPr>
          <w:rFonts w:cs="Arial"/>
        </w:rPr>
        <w:t>(USDA, 2018)</w:t>
      </w:r>
      <w:r w:rsidR="005562CE">
        <w:fldChar w:fldCharType="end"/>
      </w:r>
      <w:r w:rsidR="00752921">
        <w:t>. A</w:t>
      </w:r>
      <w:r>
        <w:t>lso</w:t>
      </w:r>
      <w:r w:rsidR="00752921">
        <w:t>,</w:t>
      </w:r>
      <w:r>
        <w:t xml:space="preserve"> in 2021</w:t>
      </w:r>
      <w:r w:rsidR="00752921">
        <w:t>,</w:t>
      </w:r>
      <w:r>
        <w:t xml:space="preserve"> it was approved the increment of</w:t>
      </w:r>
      <w:r w:rsidRPr="00487A41">
        <w:t xml:space="preserve"> the </w:t>
      </w:r>
      <w:r w:rsidR="00752921">
        <w:t>blending mandate for</w:t>
      </w:r>
      <w:r w:rsidRPr="00487A41">
        <w:t xml:space="preserve"> ethanol in gasoline from 10</w:t>
      </w:r>
      <w:r w:rsidR="00D0480C">
        <w:t xml:space="preserve"> </w:t>
      </w:r>
      <w:r w:rsidR="00752921">
        <w:t>%</w:t>
      </w:r>
      <w:r w:rsidRPr="00487A41">
        <w:t xml:space="preserve"> to 12</w:t>
      </w:r>
      <w:r w:rsidR="00D0480C">
        <w:t xml:space="preserve"> </w:t>
      </w:r>
      <w:r w:rsidRPr="00487A41">
        <w:t xml:space="preserve">% </w:t>
      </w:r>
      <w:r w:rsidRPr="007A1FCF">
        <w:fldChar w:fldCharType="begin"/>
      </w:r>
      <w:r w:rsidR="005562CE">
        <w:instrText xml:space="preserve"> ADDIN ZOTERO_ITEM CSL_CITATION {"citationID":"YRZdBFlP","properties":{"formattedCitation":"(Jeanete, 2023)","plainCitation":"(Jeanete, 2023)","noteIndex":0},"citationItems":[{"id":203,"uris":["http://zotero.org/users/local/TESewbgn/items/BB22RHXY","http://zotero.org/users/6527694/items/BB22RHXY"],"itemData":{"id":203,"type":"post-weblog","abstract":"Yacimientos Petrolíferos Fiscales Bolivianos (YPFB) subirá la mezcla de etanol para la gasolina de 10% a 12 %, con el","container-title":"El Diario - Bolivia","language":"es","note":"section: Economía","title":"YPFB aumentará etanol de 10% a 12% a la gasolina","URL":"https://www.eldiario.net/portal/2023/05/11/ypfb-aumentara-etanol-de-10-a-12-a-la-gasolina/","author":[{"family":"Jeanete","given":""}],"accessed":{"date-parts":[["2023",5,16]]},"issued":{"date-parts":[["2023",5,11]]}}}],"schema":"https://github.com/citation-style-language/schema/raw/master/csl-citation.json"} </w:instrText>
      </w:r>
      <w:r w:rsidRPr="007A1FCF">
        <w:fldChar w:fldCharType="separate"/>
      </w:r>
      <w:r w:rsidR="005562CE" w:rsidRPr="005562CE">
        <w:rPr>
          <w:rFonts w:cs="Arial"/>
        </w:rPr>
        <w:t>(Jeanete, 2023)</w:t>
      </w:r>
      <w:r w:rsidRPr="007A1FCF">
        <w:fldChar w:fldCharType="end"/>
      </w:r>
      <w:r w:rsidRPr="00487A41">
        <w:t>.</w:t>
      </w:r>
    </w:p>
    <w:p w14:paraId="4D3D1594" w14:textId="71CA2FF7" w:rsidR="009672F5" w:rsidRPr="009672F5" w:rsidRDefault="009672F5" w:rsidP="004571B6">
      <w:pPr>
        <w:pStyle w:val="CETBodytext"/>
      </w:pPr>
      <w:r w:rsidRPr="009672F5">
        <w:t>An agreement was signed between the government and the private sector (sugar</w:t>
      </w:r>
      <w:r w:rsidR="00752921">
        <w:t>cane</w:t>
      </w:r>
      <w:r w:rsidRPr="009672F5">
        <w:t xml:space="preserve"> producers) in which the aim was to produce 80 million liters of anhydrous ethanol using sugarcane as raw material, with the expectation of reaching 380 million liters in 2025 starting with a production of 10</w:t>
      </w:r>
      <w:r w:rsidR="00D0480C">
        <w:t xml:space="preserve"> </w:t>
      </w:r>
      <w:r w:rsidRPr="009672F5">
        <w:t xml:space="preserve">% and gradually increasing </w:t>
      </w:r>
      <w:r w:rsidR="00752921">
        <w:t>to</w:t>
      </w:r>
      <w:r w:rsidR="00752921" w:rsidRPr="009672F5">
        <w:t xml:space="preserve"> </w:t>
      </w:r>
      <w:r w:rsidRPr="009672F5">
        <w:t>25</w:t>
      </w:r>
      <w:r w:rsidR="00D0480C">
        <w:t xml:space="preserve"> </w:t>
      </w:r>
      <w:r w:rsidRPr="009672F5">
        <w:t xml:space="preserve">% until 2025, estimating to expand the sugarcane cultivation area up to 305 thousand hectares, almost doubling the 172.6 thousand hectares harvested in 2019 </w:t>
      </w:r>
      <w:r w:rsidRPr="007A1FCF">
        <w:fldChar w:fldCharType="begin"/>
      </w:r>
      <w:r w:rsidRPr="009672F5">
        <w:instrText xml:space="preserve"> ADDIN ZOTERO_ITEM CSL_CITATION {"citationID":"a2j2c594td9","properties":{"formattedCitation":"(PE\\uc0\\u209{}A BALDERRAMA et al., 2020; USDA, 2018)","plainCitation":"(PEÑA BALDERRAMA et al., 2020; USDA, 2018)","dontUpdate":true,"noteIndex":0},"citationItems":[{"id":131,"uris":["http://zotero.org/users/local/TESewbgn/items/YRYZUH4C","http://zotero.org/users/6527694/items/YRYZUH4C"],"itemData":{"id":131,"type":"book","abstract":"The use of biomass for renewable energy production is one alternative to reduce the environmental impacts of energy production worldwide. Sugarcane-based ethanol is one of the most widespread biofuels in the road transport sector and its development has been encouraged by strong incentives on production and use in several countries. The growing realization on the environmental impacts of ethanol production indicates the need to increase the efficient utilization of biomass resources by optimizing the production chain sustainably. This paper evaluates enhancements in the ethanol production chain quantitatively by identifying opportunities for agricultural intensification and investments in advanced biorefineries in a least-cost optimization model. Results of our model show that significant cost and environmental benefits can be achieved by modernizing sugarcane agriculture in Bolivia. Demands for ethanol and sugar can be met cost-effectively by increasing sugarcane yields from the current country-average of 55.34 ton/ha to 85.7 ton/ha in 2030 with a moderate cropland expansion of 11.4 thousand hectares in the period 2019-2030. Our results further suggest that it is cost-optimal to invest in efficient cogeneration in biorefineries to maximize the renewable energy output and the economic benefits of sugarcane ethanol. Finally, biofuel support in the range of 8-10 US$/GJ is required for investments in second-generation ethanol in biorefineries to be cost-competitive in the medium-term.","note":"DOI: 10.21203/rs.3.rs-97263/v2","source":"ResearchGate","title":"Integrated analysis of land-use, energy and water systems for ethanol production from sugarcane in Bolivia","author":[{"family":"Peña Balderrama","given":"Gabriela"},{"family":"Khatiwada","given":"Dilip"},{"family":"Gardumi","given":"Francesco"},{"family":"Alfstad","given":"Thomas"},{"family":"Ulloa Jimenez","given":"Silvia"},{"family":"Howells","given":"Mark"}],"issued":{"date-parts":[["2020",11,12]]}}},{"id":196,"uris":["http://zotero.org/users/local/TESewbgn/items/NNFYIEER","http://zotero.org/users/6527694/items/NNFYIEER"],"itemData":{"id":196,"type":"webpage","abstract":"Bolivia announces its intention to implement an ethanol blend mandate in gasoline which will begin at 10 percent and would increase gradually as the Bolivian...","container-title":"Global Agricultural Information Network","language":"en","title":"Bolivia: Bolivia Enters Ethanol Era","title-short":"Bolivia","URL":"https://www.fas.usda.gov/data/bolivia-bolivia-enters-ethanol-era","author":[{"family":"USDA","given":""}],"accessed":{"date-parts":[["2023",5,16]]},"issued":{"date-parts":[["2018",3,22]]}}}],"schema":"https://github.com/citation-style-language/schema/raw/master/csl-citation.json"} </w:instrText>
      </w:r>
      <w:r w:rsidRPr="007A1FCF">
        <w:fldChar w:fldCharType="separate"/>
      </w:r>
      <w:r w:rsidR="005562CE">
        <w:rPr>
          <w:szCs w:val="24"/>
        </w:rPr>
        <w:t>(Pena Balderramana</w:t>
      </w:r>
      <w:r w:rsidRPr="009672F5">
        <w:rPr>
          <w:szCs w:val="24"/>
        </w:rPr>
        <w:t xml:space="preserve"> </w:t>
      </w:r>
      <w:r w:rsidR="00A62EF5" w:rsidRPr="00663FB5">
        <w:rPr>
          <w:szCs w:val="24"/>
        </w:rPr>
        <w:t>et al</w:t>
      </w:r>
      <w:r w:rsidRPr="009672F5">
        <w:rPr>
          <w:szCs w:val="24"/>
        </w:rPr>
        <w:t>., 2020)</w:t>
      </w:r>
      <w:r w:rsidRPr="007A1FCF">
        <w:fldChar w:fldCharType="end"/>
      </w:r>
      <w:r w:rsidRPr="009672F5">
        <w:t>.</w:t>
      </w:r>
    </w:p>
    <w:p w14:paraId="3B7F00FE" w14:textId="604834B8" w:rsidR="004E71F9" w:rsidRDefault="00752921" w:rsidP="004571B6">
      <w:pPr>
        <w:pStyle w:val="CETBodytext"/>
      </w:pPr>
      <w:r>
        <w:t>Based on these aspects</w:t>
      </w:r>
      <w:r w:rsidR="009672F5" w:rsidRPr="009672F5">
        <w:t xml:space="preserve">, the focus of this study </w:t>
      </w:r>
      <w:r>
        <w:t>was</w:t>
      </w:r>
      <w:r w:rsidRPr="009672F5">
        <w:t xml:space="preserve"> </w:t>
      </w:r>
      <w:r w:rsidR="009672F5" w:rsidRPr="009672F5">
        <w:t>to evaluate Bolivia's GHG emissions potential within the scope of the policies for ethanol production in the agricultural phase that the country has implemented until 202</w:t>
      </w:r>
      <w:r w:rsidR="0024568E">
        <w:t>8</w:t>
      </w:r>
      <w:r w:rsidR="009672F5" w:rsidRPr="009672F5">
        <w:t>.</w:t>
      </w:r>
      <w:r>
        <w:t xml:space="preserve"> Based on information obtained through personal reports from sugarcane farmers and government reports, a carbon intensity inventory was compiled to estimate the carbon intensity of sugarcane produced in Bolivia.</w:t>
      </w:r>
    </w:p>
    <w:p w14:paraId="084FCDE0" w14:textId="3AB98107" w:rsidR="00985FD5" w:rsidRDefault="00985FD5" w:rsidP="00985FD5">
      <w:pPr>
        <w:pStyle w:val="CETHeading1"/>
        <w:rPr>
          <w:lang w:val="en-GB"/>
        </w:rPr>
      </w:pPr>
      <w:r>
        <w:rPr>
          <w:lang w:val="en-GB"/>
        </w:rPr>
        <w:t>Materials and Methods</w:t>
      </w:r>
    </w:p>
    <w:p w14:paraId="4D7C0CA5" w14:textId="621BF720" w:rsidR="00F82A1C" w:rsidRPr="007A1C6C" w:rsidRDefault="007A1C6C" w:rsidP="00752921">
      <w:pPr>
        <w:pStyle w:val="CETheadingx"/>
      </w:pPr>
      <w:r w:rsidRPr="007A1C6C">
        <w:t>Study area and data collection</w:t>
      </w:r>
    </w:p>
    <w:p w14:paraId="5B87684B" w14:textId="62BD4112" w:rsidR="00EB22E5" w:rsidRDefault="00EB22E5" w:rsidP="00F82A1C">
      <w:pPr>
        <w:pStyle w:val="CETBodytext"/>
      </w:pPr>
      <w:r w:rsidRPr="00EB22E5">
        <w:t xml:space="preserve">Greenhouse gas estimation from sugarcane cultivation includes four distinct phases: (1) definition of objective and scope (including functional unit and system boundaries); (2) life cycle inventory (LCI) analysis; (3) life cycle impact assessment (LCIA); and (4) the interpretation of the life cycle with the delimitation of the work area </w:t>
      </w:r>
      <w:r w:rsidR="0034358C">
        <w:fldChar w:fldCharType="begin"/>
      </w:r>
      <w:r w:rsidR="005562CE">
        <w:instrText xml:space="preserve"> ADDIN ZOTERO_ITEM CSL_CITATION {"citationID":"toJ0brkM","properties":{"formattedCitation":"(Romano et\\uc0\\u160{}al., 2021)","plainCitation":"(Romano et al., 2021)","noteIndex":0},"citationItems":[{"id":1366,"uris":["http://zotero.org/groups/5347490/items/KLIYCDVT"],"itemData":{"id":1366,"type":"article-journal","abstract":"In this study, the life cycle assessment (LCA) principle was performed to estimate the environmental impact of three dairy farms that operate using different farming systems, namely, conventional (CON), organic (ORG), and high-quality (HQ) modes. In Italy, the typical style of high-quality (HQ) farming is commonly included in the conventional system but is more strictly regulated by the Decree of the Italian Ministry of Health N° 185/1991. Although the farms are not fully representative of each conduct, they showed intrinsic peculiarities, e.g., the cow-culling rate of each system. This rate requires a quantification as it may be related to loss of income. Allocation criteria were applied to attribute the quantities of pollutants to the co-products: wheat, involved in the congruence and number of cows culled, the latter being undesirable and therefore necessary to quantify. Analysis of variance (ANOVA) highlighted that the no-dairy products significantly mitigated (p &amp;lt; 0.05) some of the impacts’ categories. The allocation of culled cows decreased the impacts of the CON and particularly those of the ORG farms when the mass mode was adopted. HQ showed values similar to the results without allocation. Overall, the objective of identifying a “marker” of undesirable products, estimated by the culling rate, was partially achieved.","container-title":"Sustainability","DOI":"10.3390/su13084354","ISSN":"2071-1050","issue":"8","title":"Dairy Farms and Life Cycle Assessment (LCA): The Allocation Criterion Useful to Estimate Undesirable Products","volume":"13","author":[{"family":"Romano","given":"Elio"},{"family":"Roma","given":"Rocco"},{"family":"Tidona","given":"Flavio"},{"family":"Giraffa","given":"Giorgio"},{"family":"Bragaglio","given":"Andrea"}],"issued":{"date-parts":[["2021"]]}}}],"schema":"https://github.com/citation-style-language/schema/raw/master/csl-citation.json"} </w:instrText>
      </w:r>
      <w:r w:rsidR="0034358C">
        <w:fldChar w:fldCharType="separate"/>
      </w:r>
      <w:r w:rsidR="005562CE" w:rsidRPr="005562CE">
        <w:rPr>
          <w:rFonts w:cs="Arial"/>
          <w:szCs w:val="24"/>
        </w:rPr>
        <w:t>(Romano et al., 2021)</w:t>
      </w:r>
      <w:r w:rsidR="0034358C">
        <w:fldChar w:fldCharType="end"/>
      </w:r>
      <w:r w:rsidR="0034358C">
        <w:t>.</w:t>
      </w:r>
      <w:r w:rsidR="00752921">
        <w:t xml:space="preserve"> </w:t>
      </w:r>
    </w:p>
    <w:p w14:paraId="5E66003A" w14:textId="39452A7D" w:rsidR="00EB22E5" w:rsidRPr="00EB22E5" w:rsidRDefault="00EB22E5" w:rsidP="00F82A1C">
      <w:pPr>
        <w:pStyle w:val="CETBodytext"/>
      </w:pPr>
      <w:r w:rsidRPr="00EB22E5">
        <w:t xml:space="preserve">The main sugarcane </w:t>
      </w:r>
      <w:r w:rsidR="00752921">
        <w:t>plantations</w:t>
      </w:r>
      <w:r w:rsidR="00752921" w:rsidRPr="00EB22E5">
        <w:t xml:space="preserve"> </w:t>
      </w:r>
      <w:r w:rsidRPr="00EB22E5">
        <w:t xml:space="preserve">are found in the </w:t>
      </w:r>
      <w:r w:rsidR="00752921">
        <w:t xml:space="preserve">Bolivian </w:t>
      </w:r>
      <w:r w:rsidRPr="00EB22E5">
        <w:t>department of Santa Cruz (94.3</w:t>
      </w:r>
      <w:r w:rsidR="00D0480C">
        <w:t xml:space="preserve"> </w:t>
      </w:r>
      <w:r w:rsidRPr="00EB22E5">
        <w:t xml:space="preserve">% of the sugarcane </w:t>
      </w:r>
      <w:r w:rsidR="0034358C">
        <w:t xml:space="preserve">produced in Bolivia) </w:t>
      </w:r>
      <w:r w:rsidR="0034358C">
        <w:fldChar w:fldCharType="begin"/>
      </w:r>
      <w:r w:rsidR="00283527">
        <w:instrText xml:space="preserve"> ADDIN ZOTERO_ITEM CSL_CITATION {"citationID":"MerIUxXT","properties":{"formattedCitation":"(INE, 2022)","plainCitation":"(INE, 2022)","noteIndex":0},"citationItems":[{"id":1367,"uris":["http://zotero.org/groups/5347490/items/8HSJGC55"],"itemData":{"id":1367,"type":"dataset","abstract":"Página oficial del Instituto Nacional de Estadisticas INE, información estadística, geográfica y económica a nivel nacional.","language":"es","title":"Bolivia – Agricultural Year Area by Department, 1984 – 2022 (in Spanish)","URL":"https://www.ine.gob.bo/index.php/estadisticas-economicas/agropecuaria/agricultura-cuadros-estadisticos/","author":[{"family":"INE","given":""}],"accessed":{"date-parts":[["2023",10,23]]},"issued":{"date-parts":[["2022"]]}}}],"schema":"https://github.com/citation-style-language/schema/raw/master/csl-citation.json"} </w:instrText>
      </w:r>
      <w:r w:rsidR="0034358C">
        <w:fldChar w:fldCharType="separate"/>
      </w:r>
      <w:r w:rsidR="005562CE" w:rsidRPr="005562CE">
        <w:rPr>
          <w:rFonts w:cs="Arial"/>
        </w:rPr>
        <w:t>(INE, 2022)</w:t>
      </w:r>
      <w:r w:rsidR="0034358C">
        <w:fldChar w:fldCharType="end"/>
      </w:r>
      <w:r w:rsidR="00752921">
        <w:t>.</w:t>
      </w:r>
      <w:r w:rsidRPr="00EB22E5">
        <w:t xml:space="preserve"> </w:t>
      </w:r>
      <w:r w:rsidR="00752921">
        <w:t>T</w:t>
      </w:r>
      <w:r w:rsidR="00752921" w:rsidRPr="00EB22E5">
        <w:t xml:space="preserve">he </w:t>
      </w:r>
      <w:r w:rsidRPr="00EB22E5">
        <w:t>selected study area corresponds to the municipalities Fernández Alonso, Mineros</w:t>
      </w:r>
      <w:r w:rsidR="00752921">
        <w:t>,</w:t>
      </w:r>
      <w:r w:rsidRPr="00EB22E5">
        <w:t xml:space="preserve"> and Montero, </w:t>
      </w:r>
      <w:r w:rsidR="00752921">
        <w:t>all</w:t>
      </w:r>
      <w:r w:rsidRPr="00EB22E5">
        <w:t xml:space="preserve"> located in the Obispo Santistevan province and the municipality of Warnes located in the</w:t>
      </w:r>
      <w:r w:rsidR="0034358C">
        <w:t xml:space="preserve"> Warnes province </w:t>
      </w:r>
      <w:r w:rsidR="0034358C">
        <w:fldChar w:fldCharType="begin"/>
      </w:r>
      <w:r w:rsidR="00283527">
        <w:instrText xml:space="preserve"> ADDIN ZOTERO_ITEM CSL_CITATION {"citationID":"Af2HAI6Q","properties":{"formattedCitation":"(MDPyEP, 2021)","plainCitation":"(MDPyEP, 2021)","noteIndex":0},"citationItems":[{"id":1371,"uris":["http://zotero.org/groups/5347490/items/CLES2RTM"],"itemData":{"id":1371,"type":"report","event-place":"La Paz","publisher":"MINISTERIO DE DESARROLLO PRODUCTIVO Y ECONOMÍA PLURAL","publisher-place":"La Paz","title":"Analysis of the Sugar Cane Productive Complex (in Spanish)","URL":"https://siip.produccion.gob.bo/noticias/files/777_analisis-complejo-cana-de-azucar.pdf","author":[{"literal":"MDPyEP"}],"accessed":{"date-parts":[["2023",6,9]]},"issued":{"date-parts":[["2021"]]}}}],"schema":"https://github.com/citation-style-language/schema/raw/master/csl-citation.json"} </w:instrText>
      </w:r>
      <w:r w:rsidR="0034358C">
        <w:fldChar w:fldCharType="separate"/>
      </w:r>
      <w:r w:rsidR="005562CE" w:rsidRPr="005562CE">
        <w:rPr>
          <w:rFonts w:cs="Arial"/>
        </w:rPr>
        <w:t>(MDPyEP, 2021)</w:t>
      </w:r>
      <w:r w:rsidR="0034358C">
        <w:fldChar w:fldCharType="end"/>
      </w:r>
      <w:r w:rsidRPr="00EB22E5">
        <w:t>, representing 69</w:t>
      </w:r>
      <w:r w:rsidR="00D0480C">
        <w:t xml:space="preserve"> </w:t>
      </w:r>
      <w:r w:rsidRPr="00EB22E5">
        <w:t>% of the sugarcane planted area in the departm</w:t>
      </w:r>
      <w:r w:rsidR="0034358C">
        <w:t xml:space="preserve">ent of Santa Cruz </w:t>
      </w:r>
      <w:r w:rsidR="0034358C">
        <w:fldChar w:fldCharType="begin"/>
      </w:r>
      <w:r w:rsidR="00283527">
        <w:instrText xml:space="preserve"> ADDIN ZOTERO_ITEM CSL_CITATION {"citationID":"7Mdk5TrC","properties":{"formattedCitation":"(MDPyEP, 2023)","plainCitation":"(MDPyEP, 2023)","noteIndex":0},"citationItems":[{"id":1372,"uris":["http://zotero.org/groups/5347490/items/FX8NZ342"],"itemData":{"id":1372,"type":"document","language":"sp","publisher":"MDPyEP","title":"Sugarcane Newsletter (in Spanish)","URL":"https://siip.produccion.gob.bo/repSIIP2/lista-biblioteca.php","author":[{"family":"MDPyEP","given":""}],"accessed":{"date-parts":[["2023",9,11]]},"issued":{"date-parts":[["2023",3,4]]}}}],"schema":"https://github.com/citation-style-language/schema/raw/master/csl-citation.json"} </w:instrText>
      </w:r>
      <w:r w:rsidR="0034358C">
        <w:fldChar w:fldCharType="separate"/>
      </w:r>
      <w:r w:rsidR="005562CE" w:rsidRPr="005562CE">
        <w:rPr>
          <w:rFonts w:cs="Arial"/>
        </w:rPr>
        <w:t>(MDPyEP, 2023)</w:t>
      </w:r>
      <w:r w:rsidR="0034358C">
        <w:fldChar w:fldCharType="end"/>
      </w:r>
      <w:r w:rsidR="0034358C">
        <w:t>.</w:t>
      </w:r>
    </w:p>
    <w:p w14:paraId="0A23A9C9" w14:textId="5D64BC27" w:rsidR="00EB22E5" w:rsidRPr="00D9620C" w:rsidRDefault="00D9620C" w:rsidP="00F82A1C">
      <w:pPr>
        <w:pStyle w:val="CETBodytext"/>
      </w:pPr>
      <w:r w:rsidRPr="00D9620C">
        <w:t>Institutions such as the Bolivian Chamber of Commerce, the National Statistics Institute</w:t>
      </w:r>
      <w:r w:rsidR="007A1C6C">
        <w:t>,</w:t>
      </w:r>
      <w:r w:rsidRPr="00D9620C">
        <w:t xml:space="preserve"> and the Bolivian Alcohol Producers Association </w:t>
      </w:r>
      <w:r w:rsidR="00752921">
        <w:t>reports</w:t>
      </w:r>
      <w:r w:rsidRPr="00D9620C">
        <w:t xml:space="preserve"> data </w:t>
      </w:r>
      <w:r w:rsidR="00752921">
        <w:t>about sugarcane planted</w:t>
      </w:r>
      <w:r w:rsidR="00752921" w:rsidRPr="00D9620C">
        <w:t xml:space="preserve"> </w:t>
      </w:r>
      <w:r w:rsidRPr="00D9620C">
        <w:t>the region, and the expected ethanol production capacity is equal to 260 million liters per year. To obtain data at t</w:t>
      </w:r>
      <w:r>
        <w:t xml:space="preserve">he farm level to estimate the </w:t>
      </w:r>
      <w:r w:rsidRPr="00D9620C">
        <w:t>C</w:t>
      </w:r>
      <w:r>
        <w:t>I</w:t>
      </w:r>
      <w:r w:rsidRPr="00D9620C">
        <w:t xml:space="preserve"> (Carbon Index) of sugarcane, a collection of historical data was prepared on the key paramete</w:t>
      </w:r>
      <w:r>
        <w:t>rs essential for carrying out a</w:t>
      </w:r>
      <w:r w:rsidRPr="00D9620C">
        <w:t xml:space="preserve"> L</w:t>
      </w:r>
      <w:r>
        <w:t xml:space="preserve">CA of greenhouse gas emissions </w:t>
      </w:r>
      <w:r w:rsidRPr="00D9620C">
        <w:t xml:space="preserve">using different sources of information such as: </w:t>
      </w:r>
      <w:r w:rsidR="00752921">
        <w:t>d</w:t>
      </w:r>
      <w:r w:rsidRPr="00D9620C">
        <w:t>irect contact with farmers, government reports published through the official page of the Ministry of Productive Development and Plural Economy</w:t>
      </w:r>
      <w:r w:rsidR="00752921">
        <w:t>,</w:t>
      </w:r>
      <w:r w:rsidRPr="00D9620C">
        <w:t xml:space="preserve"> and </w:t>
      </w:r>
      <w:r>
        <w:t xml:space="preserve">historical data </w:t>
      </w:r>
      <w:r w:rsidRPr="00D9620C">
        <w:t>recorded in the National Statistics Institute (INE) database.</w:t>
      </w:r>
      <w:r w:rsidR="00752921">
        <w:t xml:space="preserve"> </w:t>
      </w:r>
    </w:p>
    <w:p w14:paraId="45FF2C1B" w14:textId="31835035" w:rsidR="00E043E5" w:rsidRPr="00E043E5" w:rsidRDefault="00E043E5" w:rsidP="00E043E5">
      <w:pPr>
        <w:pStyle w:val="CETBodytext"/>
      </w:pPr>
      <w:r w:rsidRPr="00E043E5">
        <w:t>The main information collected was farm size, sugarcane yield, the use of agricultural energy, the types of main sources of energy supply and consumption, the types of fertilizers, the use of other chemical products, such as insecticides and herbicides in the 2022-2023 crop year.</w:t>
      </w:r>
    </w:p>
    <w:p w14:paraId="15352909" w14:textId="0571ECDE" w:rsidR="00EB22E5" w:rsidRPr="00E043E5" w:rsidRDefault="00E043E5" w:rsidP="00E043E5">
      <w:pPr>
        <w:pStyle w:val="CETBodytext"/>
      </w:pPr>
      <w:r w:rsidRPr="00E043E5">
        <w:t xml:space="preserve">In this way, the aim is to have a representative sample for input data </w:t>
      </w:r>
      <w:r w:rsidR="00752921">
        <w:t>for</w:t>
      </w:r>
      <w:r w:rsidR="00752921" w:rsidRPr="00E043E5">
        <w:t xml:space="preserve"> </w:t>
      </w:r>
      <w:r w:rsidRPr="00E043E5">
        <w:t>the life cycle inventory.</w:t>
      </w:r>
    </w:p>
    <w:p w14:paraId="0B9F8F6C" w14:textId="41C7925E" w:rsidR="00F82A1C" w:rsidRPr="00077BAD" w:rsidRDefault="00752921" w:rsidP="00752921">
      <w:pPr>
        <w:pStyle w:val="CETheadingx"/>
      </w:pPr>
      <w:r>
        <w:lastRenderedPageBreak/>
        <w:t>F</w:t>
      </w:r>
      <w:r w:rsidR="00CA368B" w:rsidRPr="00077BAD">
        <w:t xml:space="preserve">eedstock carbon intensity calculator tool and the </w:t>
      </w:r>
      <w:r>
        <w:t>GREET</w:t>
      </w:r>
      <w:r w:rsidRPr="00077BAD">
        <w:t xml:space="preserve"> </w:t>
      </w:r>
      <w:r w:rsidR="00CA368B" w:rsidRPr="00077BAD">
        <w:t>model</w:t>
      </w:r>
    </w:p>
    <w:p w14:paraId="2E2CB622" w14:textId="398E845B" w:rsidR="00077BAD" w:rsidRDefault="00077BAD" w:rsidP="00F82A1C">
      <w:pPr>
        <w:pStyle w:val="CETBodytext"/>
      </w:pPr>
      <w:r>
        <w:t xml:space="preserve">The </w:t>
      </w:r>
      <w:r w:rsidRPr="00077BAD">
        <w:t>Argonne National Laboratory, sponsored by the U.S. Department of Energy's Office of Energy Efficiency and Renewable Energy (EERE), has developed a full life cycle model called GREET (Greenhouse Gases, Regulated Emissions and Energy Use in Technologies). It allows researchers and analysts to evaluate various vehicle and fuel combinations based on the complete fuel cycle/vehicle cycle.</w:t>
      </w:r>
    </w:p>
    <w:p w14:paraId="50C68820" w14:textId="4539744D" w:rsidR="00077BAD" w:rsidRDefault="00077BAD" w:rsidP="00F82A1C">
      <w:pPr>
        <w:pStyle w:val="CETBodytext"/>
      </w:pPr>
      <w:r w:rsidRPr="00077BAD">
        <w:t xml:space="preserve">The U.S. Department of Energy's Advanced Research Projects Agency for Energy (ARPAE) has supported the Systems Assessment Center, an area within Argonne's Energy Systems Division, to examine CI variations of different agricultural practices and provide results of evidence-based research, during the agricultural production of crops involved in the production of biofuels. In this context, the Feedstock Carbon Intensity Calculator (FD-CIC) tool was designed, the first version of which took into account user-specific input data at the level of the farm for corn production, along with the life cycle inventory (LCI) </w:t>
      </w:r>
      <w:r>
        <w:rPr>
          <w:lang w:val="pt-BR"/>
        </w:rPr>
        <w:fldChar w:fldCharType="begin"/>
      </w:r>
      <w:r w:rsidRPr="00077BAD">
        <w:instrText xml:space="preserve"> ADDIN ZOTERO_ITEM CSL_CITATION {"citationID":"7OwSoTy4","properties":{"formattedCitation":"(LIU; KWON; WANG, 2021)","plainCitation":"(LIU; KWON; WANG, 2021)","dontUpdate":true,"noteIndex":0},"citationItems":[{"id":1364,"uris":["http://zotero.org/groups/5347490/items/F7HAGW6Q"],"itemData":{"id":1364,"type":"article-journal","DOI":"10.2172/1823646","title":"Feedstock Carbon Intensity Calculator (FD-CIC) Users’ Manual and Technical Documentation","URL":"https://www.osti.gov/biblio/1823646","author":[{"family":"Liu","given":"Xinyu"},{"family":"Kwon","given":"Hoyoung"},{"family":"Wang","given":"Michael"}],"issued":{"date-parts":[["2021",10]]}}}],"schema":"https://github.com/citation-style-language/schema/raw/master/csl-citation.json"} </w:instrText>
      </w:r>
      <w:r>
        <w:rPr>
          <w:lang w:val="pt-BR"/>
        </w:rPr>
        <w:fldChar w:fldCharType="separate"/>
      </w:r>
      <w:r w:rsidRPr="00077BAD">
        <w:rPr>
          <w:rFonts w:cs="Arial"/>
        </w:rPr>
        <w:t>(L</w:t>
      </w:r>
      <w:r w:rsidR="005562CE">
        <w:rPr>
          <w:rFonts w:cs="Arial"/>
        </w:rPr>
        <w:t>iu</w:t>
      </w:r>
      <w:r w:rsidRPr="00077BAD">
        <w:rPr>
          <w:rFonts w:cs="Arial"/>
        </w:rPr>
        <w:t xml:space="preserve"> et al., 2021)</w:t>
      </w:r>
      <w:r>
        <w:rPr>
          <w:lang w:val="pt-BR"/>
        </w:rPr>
        <w:fldChar w:fldCharType="end"/>
      </w:r>
    </w:p>
    <w:p w14:paraId="7B69BBA2" w14:textId="044FD60F" w:rsidR="00077BAD" w:rsidRPr="00077BAD" w:rsidRDefault="00077BAD" w:rsidP="00F82A1C">
      <w:pPr>
        <w:pStyle w:val="CETBodytext"/>
      </w:pPr>
      <w:r w:rsidRPr="00077BAD">
        <w:t xml:space="preserve">Key parameters that affect the CI of biofuel feedstock include sugarcane yield (related to sugarcane productivity, the total volume of ethanol produced per coupled land area, and the sugarcane conversion rate </w:t>
      </w:r>
      <w:r w:rsidR="001C7DB3">
        <w:t xml:space="preserve">– </w:t>
      </w:r>
      <w:r w:rsidRPr="00077BAD">
        <w:t>from sugar to ethanol, fertilizer/chemical application rates</w:t>
      </w:r>
      <w:r w:rsidR="001C7DB3">
        <w:t>,</w:t>
      </w:r>
      <w:r w:rsidRPr="00077BAD">
        <w:t xml:space="preserve"> and agronomic practices.</w:t>
      </w:r>
    </w:p>
    <w:p w14:paraId="3A5FF275" w14:textId="753F4A57" w:rsidR="007905AA" w:rsidRPr="007905AA" w:rsidRDefault="007905AA" w:rsidP="00F82A1C">
      <w:pPr>
        <w:pStyle w:val="CETBodytext"/>
      </w:pPr>
      <w:r w:rsidRPr="007905AA">
        <w:t xml:space="preserve">The global warming potential </w:t>
      </w:r>
      <w:r>
        <w:t xml:space="preserve">of each parameter in the study is calculated using </w:t>
      </w:r>
      <w:r w:rsidRPr="00B57B36">
        <w:t>Eq(1)</w:t>
      </w:r>
      <w:r w:rsidR="001C7DB3">
        <w:t>:</w:t>
      </w:r>
    </w:p>
    <w:tbl>
      <w:tblPr>
        <w:tblW w:w="5000" w:type="pct"/>
        <w:tblLook w:val="04A0" w:firstRow="1" w:lastRow="0" w:firstColumn="1" w:lastColumn="0" w:noHBand="0" w:noVBand="1"/>
      </w:tblPr>
      <w:tblGrid>
        <w:gridCol w:w="7982"/>
        <w:gridCol w:w="805"/>
      </w:tblGrid>
      <w:tr w:rsidR="0031428C" w:rsidRPr="00B57B36" w14:paraId="5B66A6D0" w14:textId="77777777" w:rsidTr="008140A3">
        <w:tc>
          <w:tcPr>
            <w:tcW w:w="7982" w:type="dxa"/>
            <w:shd w:val="clear" w:color="auto" w:fill="auto"/>
            <w:vAlign w:val="center"/>
          </w:tcPr>
          <w:p w14:paraId="6156EBE2" w14:textId="05D39FFF" w:rsidR="0031428C" w:rsidRPr="00E53DC6" w:rsidRDefault="00E53DC6" w:rsidP="00E53DC6">
            <w:pPr>
              <w:pStyle w:val="CETEquation"/>
            </w:pPr>
            <m:oMathPara>
              <m:oMathParaPr>
                <m:jc m:val="left"/>
              </m:oMathParaPr>
              <m:oMath>
                <m:r>
                  <w:rPr>
                    <w:rFonts w:ascii="Cambria Math" w:hAnsi="Cambria Math"/>
                  </w:rPr>
                  <m:t>GW</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=Q</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i</m:t>
                    </m:r>
                  </m:sub>
                </m:sSub>
              </m:oMath>
            </m:oMathPara>
          </w:p>
        </w:tc>
        <w:tc>
          <w:tcPr>
            <w:tcW w:w="805" w:type="dxa"/>
            <w:shd w:val="clear" w:color="auto" w:fill="auto"/>
            <w:vAlign w:val="center"/>
          </w:tcPr>
          <w:p w14:paraId="5EA42D31" w14:textId="77777777" w:rsidR="0031428C" w:rsidRPr="00B57B36" w:rsidRDefault="0031428C" w:rsidP="00A362EA">
            <w:pPr>
              <w:pStyle w:val="CETEquation"/>
              <w:jc w:val="right"/>
            </w:pPr>
            <w:r w:rsidRPr="00B57B36">
              <w:t>(1)</w:t>
            </w:r>
          </w:p>
        </w:tc>
      </w:tr>
    </w:tbl>
    <w:p w14:paraId="627279DF" w14:textId="5FEC7440" w:rsidR="007A12B6" w:rsidRDefault="001C7DB3" w:rsidP="00E53DC6">
      <w:pPr>
        <w:pStyle w:val="CETBodytext"/>
        <w:rPr>
          <w:iCs/>
        </w:rPr>
      </w:pPr>
      <w:r>
        <w:t>w</w:t>
      </w:r>
      <w:r w:rsidR="00E53DC6" w:rsidRPr="007A12B6">
        <w:t>here</w:t>
      </w:r>
      <w:r w:rsidR="007A12B6" w:rsidRPr="007A12B6">
        <w:t xml:space="preserve"> </w:t>
      </w:r>
      <m:oMath>
        <m:sSub>
          <m:sSubPr>
            <m:ctrlPr>
              <w:rPr>
                <w:rFonts w:ascii="Cambria Math" w:hAnsi="Cambria Math"/>
                <w:i/>
              </w:rPr>
            </m:ctrlPr>
          </m:sSubPr>
          <m:e>
            <m:r>
              <w:rPr>
                <w:rFonts w:ascii="Cambria Math" w:hAnsi="Cambria Math"/>
              </w:rPr>
              <m:t>GWP</m:t>
            </m:r>
          </m:e>
          <m:sub>
            <m:r>
              <w:rPr>
                <w:rFonts w:ascii="Cambria Math" w:hAnsi="Cambria Math"/>
              </w:rPr>
              <m:t>i</m:t>
            </m:r>
          </m:sub>
        </m:sSub>
      </m:oMath>
      <w:r w:rsidR="007A12B6">
        <w:t xml:space="preserve"> denotes the</w:t>
      </w:r>
      <w:r w:rsidR="00E53DC6">
        <w:t xml:space="preserve"> Global </w:t>
      </w:r>
      <w:r>
        <w:t>W</w:t>
      </w:r>
      <w:r w:rsidR="00E53DC6">
        <w:t xml:space="preserve">arming </w:t>
      </w:r>
      <w:r>
        <w:t xml:space="preserve">Potential </w:t>
      </w:r>
      <w:r w:rsidR="00E53DC6">
        <w:t xml:space="preserve">of parameter </w:t>
      </w:r>
      <m:oMath>
        <m:r>
          <w:rPr>
            <w:rFonts w:ascii="Cambria Math" w:hAnsi="Cambria Math"/>
          </w:rPr>
          <m:t>i</m:t>
        </m:r>
      </m:oMath>
      <w:r w:rsidR="00BD1AC1" w:rsidRPr="00E53DC6">
        <w:t xml:space="preserve"> </w:t>
      </w:r>
      <w:r>
        <w:t>(</w:t>
      </w:r>
      <w:r w:rsidR="00E53DC6" w:rsidRPr="00E53DC6">
        <w:t>g GHG</w:t>
      </w:r>
      <w:r w:rsidR="00E53DC6">
        <w:t>/</w:t>
      </w:r>
      <w:r w:rsidR="00E53DC6" w:rsidRPr="00E53DC6">
        <w:t>t of sugarcane produced</w:t>
      </w:r>
      <w:r w:rsidR="00135837">
        <w:t>),</w:t>
      </w:r>
      <w:r w:rsidR="007A12B6">
        <w:t xml:space="preserve"> the term </w:t>
      </w:r>
      <m:oMath>
        <m:r>
          <w:rPr>
            <w:rFonts w:ascii="Cambria Math" w:hAnsi="Cambria Math"/>
          </w:rPr>
          <m:t>Q</m:t>
        </m:r>
        <m:sSub>
          <m:sSubPr>
            <m:ctrlPr>
              <w:rPr>
                <w:rFonts w:ascii="Cambria Math" w:hAnsi="Cambria Math"/>
                <w:i/>
              </w:rPr>
            </m:ctrlPr>
          </m:sSubPr>
          <m:e>
            <m:r>
              <w:rPr>
                <w:rFonts w:ascii="Cambria Math" w:hAnsi="Cambria Math"/>
              </w:rPr>
              <m:t>P</m:t>
            </m:r>
          </m:e>
          <m:sub>
            <m:r>
              <w:rPr>
                <w:rFonts w:ascii="Cambria Math" w:hAnsi="Cambria Math"/>
              </w:rPr>
              <m:t>i</m:t>
            </m:r>
          </m:sub>
        </m:sSub>
      </m:oMath>
      <w:r w:rsidR="007A12B6">
        <w:t xml:space="preserve"> is the q</w:t>
      </w:r>
      <w:r w:rsidR="00E53DC6">
        <w:t xml:space="preserve">uantity of parameter </w:t>
      </w:r>
      <m:oMath>
        <m:r>
          <w:rPr>
            <w:rFonts w:ascii="Cambria Math" w:hAnsi="Cambria Math"/>
          </w:rPr>
          <m:t>i</m:t>
        </m:r>
      </m:oMath>
      <w:r w:rsidR="00E53DC6" w:rsidRPr="00E53DC6">
        <w:t xml:space="preserve"> </w:t>
      </w:r>
      <w:r w:rsidR="00E53DC6">
        <w:t xml:space="preserve">used per ton of sugarcane </w:t>
      </w:r>
      <w:r w:rsidR="00135837">
        <w:t>produced,</w:t>
      </w:r>
      <w:r w:rsidR="007A12B6">
        <w:t xml:space="preserve"> the </w:t>
      </w:r>
      <m:oMath>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i</m:t>
            </m:r>
          </m:sub>
        </m:sSub>
      </m:oMath>
      <w:r w:rsidR="007A12B6">
        <w:t xml:space="preserve"> refers to the e</w:t>
      </w:r>
      <w:r w:rsidR="00E53DC6">
        <w:t xml:space="preserve">mission factor of parameter </w:t>
      </w:r>
      <m:oMath>
        <m:r>
          <w:rPr>
            <w:rFonts w:ascii="Cambria Math" w:hAnsi="Cambria Math"/>
          </w:rPr>
          <m:t>i</m:t>
        </m:r>
      </m:oMath>
      <w:r w:rsidR="008140A3">
        <w:rPr>
          <w:iCs/>
        </w:rPr>
        <w:t xml:space="preserve">, </w:t>
      </w:r>
      <w:r w:rsidR="008140A3" w:rsidRPr="008140A3">
        <w:rPr>
          <w:iCs/>
        </w:rPr>
        <w:t xml:space="preserve">included in the </w:t>
      </w:r>
      <w:r>
        <w:rPr>
          <w:iCs/>
        </w:rPr>
        <w:t>GREET</w:t>
      </w:r>
      <w:r w:rsidRPr="008140A3">
        <w:rPr>
          <w:iCs/>
        </w:rPr>
        <w:t xml:space="preserve"> </w:t>
      </w:r>
      <w:r w:rsidR="008140A3" w:rsidRPr="008140A3">
        <w:rPr>
          <w:iCs/>
        </w:rPr>
        <w:t>model database</w:t>
      </w:r>
      <w:r w:rsidR="007A12B6">
        <w:rPr>
          <w:iCs/>
        </w:rPr>
        <w:t xml:space="preserve"> .</w:t>
      </w:r>
    </w:p>
    <w:p w14:paraId="30C01724" w14:textId="5BD960BC" w:rsidR="008140A3" w:rsidRDefault="008140A3" w:rsidP="00E53DC6">
      <w:pPr>
        <w:pStyle w:val="CETBodytext"/>
        <w:rPr>
          <w:iCs/>
        </w:rPr>
      </w:pPr>
      <w:r>
        <w:rPr>
          <w:iCs/>
        </w:rPr>
        <w:t>Finally</w:t>
      </w:r>
      <w:r w:rsidR="001C7DB3">
        <w:rPr>
          <w:iCs/>
        </w:rPr>
        <w:t>,</w:t>
      </w:r>
      <w:r>
        <w:rPr>
          <w:iCs/>
        </w:rPr>
        <w:t xml:space="preserve"> the GHG emissions potential of the crop can be calculated as follows</w:t>
      </w:r>
      <w:r w:rsidR="007905AA">
        <w:rPr>
          <w:iCs/>
        </w:rPr>
        <w:t xml:space="preserve"> using Eq(2)</w:t>
      </w:r>
      <w:r w:rsidR="001C7DB3">
        <w:rPr>
          <w:iCs/>
        </w:rPr>
        <w:t>:</w:t>
      </w:r>
    </w:p>
    <w:tbl>
      <w:tblPr>
        <w:tblW w:w="5000" w:type="pct"/>
        <w:tblLook w:val="04A0" w:firstRow="1" w:lastRow="0" w:firstColumn="1" w:lastColumn="0" w:noHBand="0" w:noVBand="1"/>
      </w:tblPr>
      <w:tblGrid>
        <w:gridCol w:w="7982"/>
        <w:gridCol w:w="805"/>
      </w:tblGrid>
      <w:tr w:rsidR="008140A3" w:rsidRPr="00B57B36" w14:paraId="6D6196A4" w14:textId="77777777" w:rsidTr="00A362EA">
        <w:tc>
          <w:tcPr>
            <w:tcW w:w="7982" w:type="dxa"/>
            <w:shd w:val="clear" w:color="auto" w:fill="auto"/>
            <w:vAlign w:val="center"/>
          </w:tcPr>
          <w:p w14:paraId="791EBFD4" w14:textId="68C7D362" w:rsidR="008140A3" w:rsidRPr="00F86202" w:rsidRDefault="00F86202" w:rsidP="008140A3">
            <w:pPr>
              <w:pStyle w:val="CETEquation"/>
            </w:pPr>
            <m:oMathPara>
              <m:oMathParaPr>
                <m:jc m:val="left"/>
              </m:oMathParaPr>
              <m:oMath>
                <m:r>
                  <w:rPr>
                    <w:rFonts w:ascii="Cambria Math" w:hAnsi="Cambria Math"/>
                  </w:rPr>
                  <m:t>GW</m:t>
                </m:r>
                <m:sSub>
                  <m:sSubPr>
                    <m:ctrlPr>
                      <w:rPr>
                        <w:rFonts w:ascii="Cambria Math" w:hAnsi="Cambria Math"/>
                        <w:i/>
                      </w:rPr>
                    </m:ctrlPr>
                  </m:sSubPr>
                  <m:e>
                    <m:r>
                      <w:rPr>
                        <w:rFonts w:ascii="Cambria Math" w:hAnsi="Cambria Math"/>
                      </w:rPr>
                      <m:t>P</m:t>
                    </m:r>
                  </m:e>
                  <m:sub>
                    <m:r>
                      <w:rPr>
                        <w:rFonts w:ascii="Cambria Math" w:hAnsi="Cambria Math"/>
                      </w:rPr>
                      <m:t>crop</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Q</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i</m:t>
                        </m:r>
                      </m:sub>
                    </m:sSub>
                  </m:e>
                </m:nary>
              </m:oMath>
            </m:oMathPara>
          </w:p>
        </w:tc>
        <w:tc>
          <w:tcPr>
            <w:tcW w:w="805" w:type="dxa"/>
            <w:shd w:val="clear" w:color="auto" w:fill="auto"/>
            <w:vAlign w:val="center"/>
          </w:tcPr>
          <w:p w14:paraId="2BB22C7E" w14:textId="6239A066" w:rsidR="008140A3" w:rsidRPr="00B57B36" w:rsidRDefault="008140A3" w:rsidP="00A362EA">
            <w:pPr>
              <w:pStyle w:val="CETEquation"/>
              <w:jc w:val="right"/>
            </w:pPr>
            <w:r>
              <w:t>(2</w:t>
            </w:r>
            <w:r w:rsidRPr="00B57B36">
              <w:t>)</w:t>
            </w:r>
          </w:p>
        </w:tc>
      </w:tr>
    </w:tbl>
    <w:p w14:paraId="046434CA" w14:textId="0D349F22" w:rsidR="008140A3" w:rsidRPr="00E53DC6" w:rsidRDefault="001C7DB3" w:rsidP="00E53DC6">
      <w:pPr>
        <w:pStyle w:val="CETBodytext"/>
      </w:pPr>
      <w:r>
        <w:t>w</w:t>
      </w:r>
      <w:r w:rsidR="008140A3">
        <w:t>here</w:t>
      </w:r>
      <w:r w:rsidR="007A12B6">
        <w:t xml:space="preserve"> </w:t>
      </w:r>
      <m:oMath>
        <m:r>
          <w:rPr>
            <w:rFonts w:ascii="Cambria Math" w:hAnsi="Cambria Math"/>
          </w:rPr>
          <m:t>n</m:t>
        </m:r>
      </m:oMath>
      <w:r w:rsidR="007A12B6">
        <w:t xml:space="preserve"> is the n</w:t>
      </w:r>
      <w:r w:rsidR="008140A3">
        <w:t>umber of p</w:t>
      </w:r>
      <w:r w:rsidR="00077BAD">
        <w:t>arameters considered in the case.</w:t>
      </w:r>
    </w:p>
    <w:p w14:paraId="1CC7F888" w14:textId="6BF378FC" w:rsidR="00F86202" w:rsidRPr="00F774E7" w:rsidRDefault="00CA368B" w:rsidP="00752921">
      <w:pPr>
        <w:pStyle w:val="CETheadingx"/>
      </w:pPr>
      <w:r>
        <w:t>P</w:t>
      </w:r>
      <w:r w:rsidRPr="00F774E7">
        <w:t xml:space="preserve">arametric sensitivity analysis and </w:t>
      </w:r>
      <w:r>
        <w:t>M</w:t>
      </w:r>
      <w:r w:rsidRPr="00F774E7">
        <w:t xml:space="preserve">onte </w:t>
      </w:r>
      <w:r>
        <w:t>C</w:t>
      </w:r>
      <w:r w:rsidRPr="00F774E7">
        <w:t>arlo simulations</w:t>
      </w:r>
    </w:p>
    <w:p w14:paraId="5233CB0B" w14:textId="5C951838" w:rsidR="008140A3" w:rsidRPr="00F774E7" w:rsidRDefault="00F774E7" w:rsidP="00FB514A">
      <w:pPr>
        <w:pStyle w:val="CETBodytext"/>
      </w:pPr>
      <w:r w:rsidRPr="00F774E7">
        <w:t>A parametric sensitivity study corresponds to the study between the variations of a result and the sources of variation in the input data within an established mathematical model</w:t>
      </w:r>
      <w:r w:rsidR="001C7DB3">
        <w:t>. This</w:t>
      </w:r>
      <w:r w:rsidRPr="00F774E7">
        <w:t xml:space="preserve"> variation can be represented as</w:t>
      </w:r>
      <w:r w:rsidR="00E71F65" w:rsidRPr="00F774E7">
        <w:t xml:space="preserve"> Eq(3)</w:t>
      </w:r>
      <w:r w:rsidR="001C7DB3">
        <w:t>:</w:t>
      </w:r>
    </w:p>
    <w:tbl>
      <w:tblPr>
        <w:tblW w:w="5000" w:type="pct"/>
        <w:tblLook w:val="04A0" w:firstRow="1" w:lastRow="0" w:firstColumn="1" w:lastColumn="0" w:noHBand="0" w:noVBand="1"/>
      </w:tblPr>
      <w:tblGrid>
        <w:gridCol w:w="7982"/>
        <w:gridCol w:w="805"/>
      </w:tblGrid>
      <w:tr w:rsidR="00E71F65" w:rsidRPr="00B57B36" w14:paraId="21E4765E" w14:textId="77777777" w:rsidTr="00E71F65">
        <w:trPr>
          <w:trHeight w:val="522"/>
        </w:trPr>
        <w:tc>
          <w:tcPr>
            <w:tcW w:w="7982" w:type="dxa"/>
            <w:shd w:val="clear" w:color="auto" w:fill="auto"/>
            <w:vAlign w:val="center"/>
          </w:tcPr>
          <w:p w14:paraId="08044511" w14:textId="17E28F59" w:rsidR="00E71F65" w:rsidRPr="007B5641" w:rsidRDefault="00000000" w:rsidP="007B5641">
            <w:pPr>
              <w:pStyle w:val="CETBodytext"/>
              <w:rPr>
                <w:bCs/>
                <w:iCs/>
              </w:rPr>
            </w:pPr>
            <m:oMathPara>
              <m:oMathParaPr>
                <m:jc m:val="left"/>
              </m:oMathParaPr>
              <m:oMath>
                <m:f>
                  <m:fPr>
                    <m:ctrlPr>
                      <w:rPr>
                        <w:rFonts w:ascii="Cambria Math" w:hAnsi="Cambria Math"/>
                        <w:bCs/>
                        <w:i/>
                        <w:iCs/>
                        <w:lang w:val="pt-BR"/>
                      </w:rPr>
                    </m:ctrlPr>
                  </m:fPr>
                  <m:num>
                    <m:r>
                      <w:rPr>
                        <w:rFonts w:ascii="Cambria Math" w:hAnsi="Cambria Math"/>
                      </w:rPr>
                      <m:t>dy</m:t>
                    </m:r>
                  </m:num>
                  <m:den>
                    <m:r>
                      <w:rPr>
                        <w:rFonts w:ascii="Cambria Math" w:hAnsi="Cambria Math"/>
                      </w:rPr>
                      <m:t>dx</m:t>
                    </m:r>
                  </m:den>
                </m:f>
                <m:r>
                  <w:rPr>
                    <w:rFonts w:ascii="Cambria Math" w:hAnsi="Cambria Math"/>
                  </w:rPr>
                  <m:t>=f(x,y,φ)</m:t>
                </m:r>
              </m:oMath>
            </m:oMathPara>
          </w:p>
        </w:tc>
        <w:tc>
          <w:tcPr>
            <w:tcW w:w="805" w:type="dxa"/>
            <w:shd w:val="clear" w:color="auto" w:fill="auto"/>
            <w:vAlign w:val="center"/>
          </w:tcPr>
          <w:p w14:paraId="26DA5B12" w14:textId="376B5C2E" w:rsidR="00E71F65" w:rsidRPr="00B57B36" w:rsidRDefault="00E71F65" w:rsidP="00A362EA">
            <w:pPr>
              <w:pStyle w:val="CETEquation"/>
              <w:jc w:val="right"/>
            </w:pPr>
            <w:r>
              <w:t>(3</w:t>
            </w:r>
            <w:r w:rsidRPr="00B57B36">
              <w:t>)</w:t>
            </w:r>
          </w:p>
        </w:tc>
      </w:tr>
    </w:tbl>
    <w:p w14:paraId="3D0D348B" w14:textId="214AD366" w:rsidR="00F86202" w:rsidRPr="00EA5F3A" w:rsidRDefault="00F774E7" w:rsidP="00EA5F3A">
      <w:pPr>
        <w:pStyle w:val="CETBodytext"/>
      </w:pPr>
      <w:r w:rsidRPr="00F774E7">
        <w:rPr>
          <w:bCs/>
          <w:iCs/>
          <w:lang w:val="en-GB"/>
        </w:rPr>
        <w:t>The variable</w:t>
      </w:r>
      <w:r w:rsidR="003D6FC8" w:rsidRPr="00F774E7">
        <w:rPr>
          <w:bCs/>
          <w:iCs/>
          <w:lang w:val="en-GB"/>
        </w:rPr>
        <w:t xml:space="preserve"> </w:t>
      </w:r>
      <m:oMath>
        <m:r>
          <w:rPr>
            <w:rFonts w:ascii="Cambria Math" w:hAnsi="Cambria Math"/>
          </w:rPr>
          <m:t>y</m:t>
        </m:r>
      </m:oMath>
      <w:r w:rsidR="003D6FC8" w:rsidRPr="00F774E7">
        <w:rPr>
          <w:bCs/>
          <w:lang w:val="en-GB"/>
        </w:rPr>
        <w:t xml:space="preserve"> </w:t>
      </w:r>
      <w:r w:rsidRPr="00F774E7">
        <w:rPr>
          <w:bCs/>
          <w:lang w:val="en-GB"/>
        </w:rPr>
        <w:t>denotes the dependent variable</w:t>
      </w:r>
      <w:r w:rsidR="003D6FC8" w:rsidRPr="00F774E7">
        <w:rPr>
          <w:lang w:val="en-GB"/>
        </w:rPr>
        <w:t>,</w:t>
      </w:r>
      <w:r w:rsidR="001C7DB3">
        <w:rPr>
          <w:lang w:val="en-GB"/>
        </w:rPr>
        <w:t xml:space="preserve"> </w:t>
      </w:r>
      <m:oMath>
        <m:r>
          <w:rPr>
            <w:rFonts w:ascii="Cambria Math" w:hAnsi="Cambria Math"/>
          </w:rPr>
          <m:t>x</m:t>
        </m:r>
      </m:oMath>
      <w:r w:rsidR="00F86202" w:rsidRPr="00F774E7">
        <w:rPr>
          <w:bCs/>
          <w:lang w:val="en-GB"/>
        </w:rPr>
        <w:t xml:space="preserve"> </w:t>
      </w:r>
      <w:r w:rsidR="001C7DB3">
        <w:rPr>
          <w:bCs/>
          <w:lang w:val="en-GB"/>
        </w:rPr>
        <w:t xml:space="preserve">is </w:t>
      </w:r>
      <w:r w:rsidRPr="00F774E7">
        <w:rPr>
          <w:lang w:val="en-GB"/>
        </w:rPr>
        <w:t xml:space="preserve">the </w:t>
      </w:r>
      <w:r w:rsidR="00B65B9D" w:rsidRPr="00F774E7">
        <w:rPr>
          <w:lang w:val="en-GB"/>
        </w:rPr>
        <w:t>independent</w:t>
      </w:r>
      <w:r w:rsidRPr="00F774E7">
        <w:rPr>
          <w:lang w:val="en-GB"/>
        </w:rPr>
        <w:t xml:space="preserve"> variable</w:t>
      </w:r>
      <w:r w:rsidR="001C7DB3">
        <w:rPr>
          <w:lang w:val="en-GB"/>
        </w:rPr>
        <w:t>,</w:t>
      </w:r>
      <w:r w:rsidR="003D6FC8" w:rsidRPr="00F774E7">
        <w:rPr>
          <w:lang w:val="en-GB"/>
        </w:rPr>
        <w:t xml:space="preserve"> </w:t>
      </w:r>
      <w:r w:rsidRPr="00F774E7">
        <w:rPr>
          <w:lang w:val="en-GB"/>
        </w:rPr>
        <w:t>and</w:t>
      </w:r>
      <w:r w:rsidR="003D6FC8" w:rsidRPr="00F774E7">
        <w:rPr>
          <w:lang w:val="en-GB"/>
        </w:rPr>
        <w:t xml:space="preserve"> </w:t>
      </w:r>
      <m:oMath>
        <m:r>
          <w:rPr>
            <w:rFonts w:ascii="Cambria Math" w:hAnsi="Cambria Math"/>
            <w:lang w:val="pt-BR"/>
          </w:rPr>
          <m:t>f</m:t>
        </m:r>
      </m:oMath>
      <w:r w:rsidR="003D6FC8" w:rsidRPr="00F774E7">
        <w:rPr>
          <w:bCs/>
          <w:lang w:val="en-GB"/>
        </w:rPr>
        <w:t xml:space="preserve"> </w:t>
      </w:r>
      <w:r w:rsidRPr="00F774E7">
        <w:rPr>
          <w:bCs/>
          <w:lang w:val="en-GB"/>
        </w:rPr>
        <w:t>denotes a continuous and differentiable function in all its arguments</w:t>
      </w:r>
      <w:r>
        <w:rPr>
          <w:lang w:val="en-GB"/>
        </w:rPr>
        <w:t xml:space="preserve">, </w:t>
      </w:r>
      <w:r w:rsidR="001C7DB3">
        <w:rPr>
          <w:lang w:val="en-GB"/>
        </w:rPr>
        <w:t xml:space="preserve">so </w:t>
      </w:r>
      <w:r>
        <w:rPr>
          <w:lang w:val="en-GB"/>
        </w:rPr>
        <w:t>that for</w:t>
      </w:r>
      <w:r w:rsidR="00F86202" w:rsidRPr="00F774E7">
        <w:rPr>
          <w:lang w:val="en-GB"/>
        </w:rPr>
        <w:t xml:space="preserve"> </w:t>
      </w:r>
      <m:oMath>
        <m:sSub>
          <m:sSubPr>
            <m:ctrlPr>
              <w:rPr>
                <w:rFonts w:ascii="Cambria Math" w:hAnsi="Cambria Math"/>
                <w:i/>
                <w:iCs/>
                <w:lang w:val="pt-BR"/>
              </w:rPr>
            </m:ctrlPr>
          </m:sSubPr>
          <m:e>
            <m:r>
              <w:rPr>
                <w:rFonts w:ascii="Cambria Math" w:hAnsi="Cambria Math"/>
                <w:lang w:val="pt-BR"/>
              </w:rPr>
              <m:t>y</m:t>
            </m:r>
          </m:e>
          <m:sub>
            <m:r>
              <w:rPr>
                <w:rFonts w:ascii="Cambria Math" w:hAnsi="Cambria Math"/>
                <w:lang w:val="en-GB"/>
              </w:rPr>
              <m:t>0</m:t>
            </m:r>
          </m:sub>
        </m:sSub>
        <m:r>
          <w:rPr>
            <w:rFonts w:ascii="Cambria Math" w:hAnsi="Cambria Math"/>
            <w:lang w:val="en-GB"/>
          </w:rPr>
          <m:t>=</m:t>
        </m:r>
        <m:r>
          <w:rPr>
            <w:rFonts w:ascii="Cambria Math" w:hAnsi="Cambria Math"/>
            <w:lang w:val="pt-BR"/>
          </w:rPr>
          <m:t>y</m:t>
        </m:r>
        <m:d>
          <m:dPr>
            <m:ctrlPr>
              <w:rPr>
                <w:rFonts w:ascii="Cambria Math" w:hAnsi="Cambria Math"/>
                <w:i/>
                <w:iCs/>
                <w:lang w:val="pt-BR"/>
              </w:rPr>
            </m:ctrlPr>
          </m:dPr>
          <m:e>
            <m:r>
              <w:rPr>
                <w:rFonts w:ascii="Cambria Math" w:hAnsi="Cambria Math"/>
                <w:lang w:val="en-GB"/>
              </w:rPr>
              <m:t>0</m:t>
            </m:r>
          </m:e>
        </m:d>
      </m:oMath>
      <w:r w:rsidR="001C7DB3" w:rsidRPr="00D0480C">
        <w:rPr>
          <w:iCs/>
        </w:rPr>
        <w:t>, i</w:t>
      </w:r>
      <w:r w:rsidR="001C7DB3">
        <w:rPr>
          <w:iCs/>
        </w:rPr>
        <w:t>t</w:t>
      </w:r>
      <w:r w:rsidR="001C7DB3" w:rsidRPr="00D0480C">
        <w:rPr>
          <w:iCs/>
        </w:rPr>
        <w:t xml:space="preserve"> </w:t>
      </w:r>
      <w:r w:rsidRPr="00F774E7">
        <w:rPr>
          <w:lang w:val="en-GB"/>
        </w:rPr>
        <w:t>has a unique</w:t>
      </w:r>
      <w:r w:rsidR="001C7DB3">
        <w:rPr>
          <w:lang w:val="en-GB"/>
        </w:rPr>
        <w:t>,</w:t>
      </w:r>
      <w:r w:rsidRPr="00F774E7">
        <w:rPr>
          <w:lang w:val="en-GB"/>
        </w:rPr>
        <w:t xml:space="preserve"> differentiable</w:t>
      </w:r>
      <w:r w:rsidR="001C7DB3">
        <w:rPr>
          <w:lang w:val="en-GB"/>
        </w:rPr>
        <w:t xml:space="preserve">, </w:t>
      </w:r>
      <w:r w:rsidRPr="00F774E7">
        <w:rPr>
          <w:lang w:val="en-GB"/>
        </w:rPr>
        <w:t>and continuous solution in</w:t>
      </w:r>
      <w:r w:rsidR="00F86202" w:rsidRPr="00EA5F3A">
        <w:t xml:space="preserve"> </w:t>
      </w:r>
      <m:oMath>
        <m:r>
          <w:rPr>
            <w:rFonts w:ascii="Cambria Math" w:hAnsi="Cambria Math"/>
            <w:lang w:val="pt-BR"/>
          </w:rPr>
          <m:t>x</m:t>
        </m:r>
      </m:oMath>
      <w:r w:rsidR="00F86202" w:rsidRPr="00EA5F3A">
        <w:t xml:space="preserve"> </w:t>
      </w:r>
      <w:r w:rsidR="00EA5F3A">
        <w:t>and</w:t>
      </w:r>
      <w:r w:rsidR="00F86202" w:rsidRPr="00EA5F3A">
        <w:t xml:space="preserve"> </w:t>
      </w:r>
      <m:oMath>
        <m:r>
          <w:rPr>
            <w:rFonts w:ascii="Cambria Math" w:hAnsi="Cambria Math"/>
          </w:rPr>
          <m:t>φ</m:t>
        </m:r>
      </m:oMath>
      <w:r w:rsidR="00F86202" w:rsidRPr="00EA5F3A">
        <w:t xml:space="preserve"> represent</w:t>
      </w:r>
      <w:r w:rsidR="00EA5F3A">
        <w:t>ed by</w:t>
      </w:r>
      <w:r w:rsidR="00F86202" w:rsidRPr="00EA5F3A">
        <w:t>:</w:t>
      </w:r>
      <w:r w:rsidR="00E71F65" w:rsidRPr="00EA5F3A">
        <w:t xml:space="preserve"> </w:t>
      </w:r>
      <m:oMath>
        <m:sSub>
          <m:sSubPr>
            <m:ctrlPr>
              <w:rPr>
                <w:rFonts w:ascii="Cambria Math" w:hAnsi="Cambria Math"/>
                <w:i/>
                <w:iCs/>
                <w:lang w:val="pt-BR"/>
              </w:rPr>
            </m:ctrlPr>
          </m:sSubPr>
          <m:e>
            <m:r>
              <w:rPr>
                <w:rFonts w:ascii="Cambria Math" w:hAnsi="Cambria Math"/>
                <w:lang w:val="pt-BR"/>
              </w:rPr>
              <m:t>y</m:t>
            </m:r>
          </m:e>
          <m:sub>
            <m:r>
              <w:rPr>
                <w:rFonts w:ascii="Cambria Math" w:hAnsi="Cambria Math"/>
              </w:rPr>
              <m:t>0</m:t>
            </m:r>
          </m:sub>
        </m:sSub>
        <m:r>
          <w:rPr>
            <w:rFonts w:ascii="Cambria Math" w:hAnsi="Cambria Math"/>
          </w:rPr>
          <m:t>=</m:t>
        </m:r>
        <m:r>
          <w:rPr>
            <w:rFonts w:ascii="Cambria Math" w:hAnsi="Cambria Math"/>
            <w:lang w:val="pt-BR"/>
          </w:rPr>
          <m:t>y</m:t>
        </m:r>
        <m:r>
          <w:rPr>
            <w:rFonts w:ascii="Cambria Math" w:hAnsi="Cambria Math"/>
          </w:rPr>
          <m:t> (</m:t>
        </m:r>
        <m:r>
          <w:rPr>
            <w:rFonts w:ascii="Cambria Math" w:hAnsi="Cambria Math"/>
            <w:lang w:val="pt-BR"/>
          </w:rPr>
          <m:t>x</m:t>
        </m:r>
        <m:r>
          <w:rPr>
            <w:rFonts w:ascii="Cambria Math" w:hAnsi="Cambria Math"/>
          </w:rPr>
          <m:t>,φ</m:t>
        </m:r>
      </m:oMath>
      <w:r w:rsidR="00F86202" w:rsidRPr="00EA5F3A">
        <w:t>)</w:t>
      </w:r>
      <w:r w:rsidR="001C7DB3">
        <w:t xml:space="preserve">. </w:t>
      </w:r>
    </w:p>
    <w:p w14:paraId="53C5DE8D" w14:textId="432E30F6" w:rsidR="008140A3" w:rsidRPr="00EA5F3A" w:rsidRDefault="00EA5F3A" w:rsidP="00FB514A">
      <w:pPr>
        <w:pStyle w:val="CETBodytext"/>
      </w:pPr>
      <w:r w:rsidRPr="00EA5F3A">
        <w:t>Thus, parametric sensitivity can also be represented by</w:t>
      </w:r>
      <w:r w:rsidR="00A97E6E" w:rsidRPr="00EA5F3A">
        <w:t xml:space="preserve"> Eq(4</w:t>
      </w:r>
      <w:r w:rsidR="00E71F65" w:rsidRPr="00EA5F3A">
        <w:t>)</w:t>
      </w:r>
      <w:r w:rsidR="001C7DB3">
        <w:t>:</w:t>
      </w:r>
    </w:p>
    <w:tbl>
      <w:tblPr>
        <w:tblW w:w="5000" w:type="pct"/>
        <w:tblLook w:val="04A0" w:firstRow="1" w:lastRow="0" w:firstColumn="1" w:lastColumn="0" w:noHBand="0" w:noVBand="1"/>
      </w:tblPr>
      <w:tblGrid>
        <w:gridCol w:w="7982"/>
        <w:gridCol w:w="805"/>
      </w:tblGrid>
      <w:tr w:rsidR="00E71F65" w:rsidRPr="00B57B36" w14:paraId="68C35045" w14:textId="77777777" w:rsidTr="00A362EA">
        <w:trPr>
          <w:trHeight w:val="522"/>
        </w:trPr>
        <w:tc>
          <w:tcPr>
            <w:tcW w:w="7982" w:type="dxa"/>
            <w:shd w:val="clear" w:color="auto" w:fill="auto"/>
            <w:vAlign w:val="center"/>
          </w:tcPr>
          <w:p w14:paraId="05D4153B" w14:textId="06B77485" w:rsidR="00E71F65" w:rsidRPr="00D0480C" w:rsidRDefault="00D0480C" w:rsidP="00D0480C">
            <w:pPr>
              <w:pStyle w:val="CETEquation"/>
              <w:rPr>
                <w:rFonts w:eastAsiaTheme="minorEastAsia"/>
                <w:lang w:val="en-US"/>
              </w:rPr>
            </w:pPr>
            <m:oMathPara>
              <m:oMathParaPr>
                <m:jc m:val="left"/>
              </m:oMathParaPr>
              <m:oMath>
                <m:r>
                  <w:rPr>
                    <w:rFonts w:ascii="Cambria Math" w:eastAsiaTheme="minorEastAsia" w:hAnsi="Cambria Math"/>
                    <w:lang w:val="en-US"/>
                  </w:rPr>
                  <m:t>S</m:t>
                </m:r>
                <m:d>
                  <m:dPr>
                    <m:ctrlPr>
                      <w:rPr>
                        <w:rFonts w:ascii="Cambria Math" w:eastAsiaTheme="minorEastAsia" w:hAnsi="Cambria Math"/>
                        <w:lang w:val="en-US"/>
                      </w:rPr>
                    </m:ctrlPr>
                  </m:dPr>
                  <m:e>
                    <m:f>
                      <m:fPr>
                        <m:ctrlPr>
                          <w:rPr>
                            <w:rFonts w:ascii="Cambria Math" w:eastAsiaTheme="minorEastAsia" w:hAnsi="Cambria Math"/>
                            <w:lang w:val="en-US"/>
                          </w:rPr>
                        </m:ctrlPr>
                      </m:fPr>
                      <m:num>
                        <m:r>
                          <w:rPr>
                            <w:rFonts w:ascii="Cambria Math" w:eastAsiaTheme="minorEastAsia" w:hAnsi="Cambria Math"/>
                            <w:lang w:val="en-US"/>
                          </w:rPr>
                          <m:t>F</m:t>
                        </m:r>
                      </m:num>
                      <m:den>
                        <m:sSup>
                          <m:sSupPr>
                            <m:ctrlPr>
                              <w:rPr>
                                <w:rFonts w:ascii="Cambria Math" w:eastAsiaTheme="minorEastAsia" w:hAnsi="Cambria Math"/>
                                <w:lang w:val="en-US"/>
                              </w:rPr>
                            </m:ctrlPr>
                          </m:sSupPr>
                          <m:e>
                            <m:r>
                              <w:rPr>
                                <w:rFonts w:ascii="Cambria Math" w:eastAsiaTheme="minorEastAsia" w:hAnsi="Cambria Math"/>
                                <w:lang w:val="en-US"/>
                              </w:rPr>
                              <m:t>F</m:t>
                            </m:r>
                          </m:e>
                          <m:sup>
                            <m:r>
                              <m:rPr>
                                <m:sty m:val="p"/>
                              </m:rPr>
                              <w:rPr>
                                <w:rFonts w:ascii="Cambria Math" w:eastAsiaTheme="minorEastAsia" w:hAnsi="Cambria Math"/>
                                <w:lang w:val="en-US"/>
                              </w:rPr>
                              <m:t>*</m:t>
                            </m:r>
                          </m:sup>
                        </m:sSup>
                      </m:den>
                    </m:f>
                    <m:r>
                      <m:rPr>
                        <m:sty m:val="p"/>
                      </m:rPr>
                      <w:rPr>
                        <w:rFonts w:ascii="Cambria Math" w:eastAsiaTheme="minorEastAsia" w:hAnsi="Cambria Math"/>
                        <w:lang w:val="en-US"/>
                      </w:rPr>
                      <m:t>;</m:t>
                    </m:r>
                    <m:f>
                      <m:fPr>
                        <m:ctrlPr>
                          <w:rPr>
                            <w:rFonts w:ascii="Cambria Math" w:eastAsiaTheme="minorEastAsia" w:hAnsi="Cambria Math"/>
                            <w:lang w:val="en-US"/>
                          </w:rPr>
                        </m:ctrlPr>
                      </m:fPr>
                      <m:num>
                        <m:sSub>
                          <m:sSubPr>
                            <m:ctrlPr>
                              <w:rPr>
                                <w:rFonts w:ascii="Cambria Math" w:eastAsiaTheme="minorEastAsia" w:hAnsi="Cambria Math"/>
                                <w:lang w:val="en-US"/>
                              </w:rPr>
                            </m:ctrlPr>
                          </m:sSubPr>
                          <m:e>
                            <m:r>
                              <w:rPr>
                                <w:rFonts w:ascii="Cambria Math" w:eastAsiaTheme="minorEastAsia" w:hAnsi="Cambria Math"/>
                                <w:lang w:val="en-US"/>
                              </w:rPr>
                              <m:t>ξ</m:t>
                            </m:r>
                          </m:e>
                          <m:sub>
                            <m:r>
                              <w:rPr>
                                <w:rFonts w:ascii="Cambria Math" w:eastAsiaTheme="minorEastAsia" w:hAnsi="Cambria Math"/>
                                <w:lang w:val="en-US"/>
                              </w:rPr>
                              <m:t>i</m:t>
                            </m:r>
                          </m:sub>
                        </m:sSub>
                      </m:num>
                      <m:den>
                        <m:sSubSup>
                          <m:sSubSupPr>
                            <m:ctrlPr>
                              <w:rPr>
                                <w:rFonts w:ascii="Cambria Math" w:eastAsiaTheme="minorEastAsia" w:hAnsi="Cambria Math"/>
                                <w:lang w:val="en-US"/>
                              </w:rPr>
                            </m:ctrlPr>
                          </m:sSubSupPr>
                          <m:e>
                            <m:r>
                              <w:rPr>
                                <w:rFonts w:ascii="Cambria Math" w:eastAsiaTheme="minorEastAsia" w:hAnsi="Cambria Math"/>
                                <w:lang w:val="en-US"/>
                              </w:rPr>
                              <m:t>ξ</m:t>
                            </m:r>
                          </m:e>
                          <m:sub>
                            <m:r>
                              <w:rPr>
                                <w:rFonts w:ascii="Cambria Math" w:eastAsiaTheme="minorEastAsia" w:hAnsi="Cambria Math"/>
                                <w:lang w:val="en-US"/>
                              </w:rPr>
                              <m:t>i</m:t>
                            </m:r>
                          </m:sub>
                          <m:sup>
                            <m:r>
                              <m:rPr>
                                <m:sty m:val="p"/>
                              </m:rPr>
                              <w:rPr>
                                <w:rFonts w:ascii="Cambria Math" w:eastAsiaTheme="minorEastAsia" w:hAnsi="Cambria Math"/>
                                <w:lang w:val="en-US"/>
                              </w:rPr>
                              <m:t>*</m:t>
                            </m:r>
                          </m:sup>
                        </m:sSubSup>
                      </m:den>
                    </m:f>
                  </m:e>
                </m:d>
                <m:r>
                  <m:rPr>
                    <m:sty m:val="p"/>
                  </m:rPr>
                  <w:rPr>
                    <w:rFonts w:ascii="Cambria Math" w:eastAsiaTheme="minorEastAsia" w:hAnsi="Cambria Math"/>
                    <w:lang w:val="en-US"/>
                  </w:rPr>
                  <m:t>=</m:t>
                </m:r>
                <m:f>
                  <m:fPr>
                    <m:ctrlPr>
                      <w:rPr>
                        <w:rFonts w:ascii="Cambria Math" w:eastAsiaTheme="minorEastAsia" w:hAnsi="Cambria Math"/>
                        <w:lang w:val="en-US"/>
                      </w:rPr>
                    </m:ctrlPr>
                  </m:fPr>
                  <m:num>
                    <m:r>
                      <w:rPr>
                        <w:rFonts w:ascii="Cambria Math" w:eastAsiaTheme="minorEastAsia" w:hAnsi="Cambria Math"/>
                        <w:lang w:val="en-US"/>
                      </w:rPr>
                      <m:t>F</m:t>
                    </m:r>
                    <m:d>
                      <m:dPr>
                        <m:ctrlPr>
                          <w:rPr>
                            <w:rFonts w:ascii="Cambria Math" w:eastAsiaTheme="minorEastAsia" w:hAnsi="Cambria Math"/>
                            <w:lang w:val="en-US"/>
                          </w:rPr>
                        </m:ctrlPr>
                      </m:dPr>
                      <m:e>
                        <m:sSubSup>
                          <m:sSubSupPr>
                            <m:ctrlPr>
                              <w:rPr>
                                <w:rFonts w:ascii="Cambria Math" w:eastAsiaTheme="minorEastAsia" w:hAnsi="Cambria Math"/>
                                <w:lang w:val="en-US"/>
                              </w:rPr>
                            </m:ctrlPr>
                          </m:sSubSupPr>
                          <m:e>
                            <m:r>
                              <w:rPr>
                                <w:rFonts w:ascii="Cambria Math" w:eastAsiaTheme="minorEastAsia" w:hAnsi="Cambria Math"/>
                                <w:lang w:val="en-US"/>
                              </w:rPr>
                              <m:t>ξ</m:t>
                            </m:r>
                          </m:e>
                          <m:sub>
                            <m:r>
                              <w:rPr>
                                <w:rFonts w:ascii="Cambria Math" w:eastAsiaTheme="minorEastAsia" w:hAnsi="Cambria Math"/>
                                <w:lang w:val="en-US"/>
                              </w:rPr>
                              <m:t>i</m:t>
                            </m:r>
                          </m:sub>
                          <m:sup>
                            <m:r>
                              <m:rPr>
                                <m:sty m:val="p"/>
                              </m:rPr>
                              <w:rPr>
                                <w:rFonts w:ascii="Cambria Math" w:eastAsiaTheme="minorEastAsia" w:hAnsi="Cambria Math"/>
                                <w:lang w:val="en-US"/>
                              </w:rPr>
                              <m:t>*</m:t>
                            </m:r>
                          </m:sup>
                        </m:sSubSup>
                        <m:r>
                          <m:rPr>
                            <m:sty m:val="p"/>
                          </m:rPr>
                          <w:rPr>
                            <w:rFonts w:ascii="Cambria Math" w:eastAsiaTheme="minorEastAsia" w:hAnsi="Cambria Math"/>
                            <w:lang w:val="en-US"/>
                          </w:rPr>
                          <m:t>+∆</m:t>
                        </m:r>
                        <m:sSub>
                          <m:sSubPr>
                            <m:ctrlPr>
                              <w:rPr>
                                <w:rFonts w:ascii="Cambria Math" w:eastAsiaTheme="minorEastAsia" w:hAnsi="Cambria Math"/>
                                <w:lang w:val="en-US"/>
                              </w:rPr>
                            </m:ctrlPr>
                          </m:sSubPr>
                          <m:e>
                            <m:r>
                              <w:rPr>
                                <w:rFonts w:ascii="Cambria Math" w:eastAsiaTheme="minorEastAsia" w:hAnsi="Cambria Math"/>
                                <w:lang w:val="en-US"/>
                              </w:rPr>
                              <m:t>ξ</m:t>
                            </m:r>
                          </m:e>
                          <m:sub>
                            <m:r>
                              <w:rPr>
                                <w:rFonts w:ascii="Cambria Math" w:eastAsiaTheme="minorEastAsia" w:hAnsi="Cambria Math"/>
                                <w:lang w:val="en-US"/>
                              </w:rPr>
                              <m:t>i</m:t>
                            </m:r>
                          </m:sub>
                        </m:sSub>
                      </m:e>
                    </m:d>
                    <m:r>
                      <m:rPr>
                        <m:sty m:val="p"/>
                      </m:rPr>
                      <w:rPr>
                        <w:rFonts w:ascii="Cambria Math" w:eastAsiaTheme="minorEastAsia" w:hAnsi="Cambria Math"/>
                        <w:lang w:val="en-US"/>
                      </w:rPr>
                      <m:t>-</m:t>
                    </m:r>
                    <m:r>
                      <w:rPr>
                        <w:rFonts w:ascii="Cambria Math" w:eastAsiaTheme="minorEastAsia" w:hAnsi="Cambria Math"/>
                        <w:lang w:val="en-US"/>
                      </w:rPr>
                      <m:t>F</m:t>
                    </m:r>
                    <m:r>
                      <m:rPr>
                        <m:sty m:val="p"/>
                      </m:rPr>
                      <w:rPr>
                        <w:rFonts w:ascii="Cambria Math" w:eastAsiaTheme="minorEastAsia" w:hAnsi="Cambria Math"/>
                        <w:lang w:val="en-US"/>
                      </w:rPr>
                      <m:t>(</m:t>
                    </m:r>
                    <m:sSubSup>
                      <m:sSubSupPr>
                        <m:ctrlPr>
                          <w:rPr>
                            <w:rFonts w:ascii="Cambria Math" w:eastAsiaTheme="minorEastAsia" w:hAnsi="Cambria Math"/>
                            <w:lang w:val="en-US"/>
                          </w:rPr>
                        </m:ctrlPr>
                      </m:sSubSupPr>
                      <m:e>
                        <m:r>
                          <w:rPr>
                            <w:rFonts w:ascii="Cambria Math" w:eastAsiaTheme="minorEastAsia" w:hAnsi="Cambria Math"/>
                            <w:lang w:val="en-US"/>
                          </w:rPr>
                          <m:t>ξ</m:t>
                        </m:r>
                      </m:e>
                      <m:sub>
                        <m:r>
                          <w:rPr>
                            <w:rFonts w:ascii="Cambria Math" w:eastAsiaTheme="minorEastAsia" w:hAnsi="Cambria Math"/>
                            <w:lang w:val="en-US"/>
                          </w:rPr>
                          <m:t>i</m:t>
                        </m:r>
                      </m:sub>
                      <m:sup>
                        <m:r>
                          <m:rPr>
                            <m:sty m:val="p"/>
                          </m:rPr>
                          <w:rPr>
                            <w:rFonts w:ascii="Cambria Math" w:eastAsiaTheme="minorEastAsia" w:hAnsi="Cambria Math"/>
                            <w:lang w:val="en-US"/>
                          </w:rPr>
                          <m:t>*</m:t>
                        </m:r>
                      </m:sup>
                    </m:sSubSup>
                    <m:r>
                      <m:rPr>
                        <m:sty m:val="p"/>
                      </m:rPr>
                      <w:rPr>
                        <w:rFonts w:ascii="Cambria Math" w:eastAsiaTheme="minorEastAsia" w:hAnsi="Cambria Math"/>
                        <w:lang w:val="en-US"/>
                      </w:rPr>
                      <m:t>)</m:t>
                    </m:r>
                  </m:num>
                  <m:den>
                    <m:r>
                      <w:rPr>
                        <w:rFonts w:ascii="Cambria Math" w:eastAsiaTheme="minorEastAsia" w:hAnsi="Cambria Math"/>
                        <w:lang w:val="en-US"/>
                      </w:rPr>
                      <m:t>F</m:t>
                    </m:r>
                    <m:r>
                      <m:rPr>
                        <m:sty m:val="p"/>
                      </m:rPr>
                      <w:rPr>
                        <w:rFonts w:ascii="Cambria Math" w:eastAsiaTheme="minorEastAsia" w:hAnsi="Cambria Math"/>
                        <w:lang w:val="en-US"/>
                      </w:rPr>
                      <m:t>(</m:t>
                    </m:r>
                    <m:sSubSup>
                      <m:sSubSupPr>
                        <m:ctrlPr>
                          <w:rPr>
                            <w:rFonts w:ascii="Cambria Math" w:eastAsiaTheme="minorEastAsia" w:hAnsi="Cambria Math"/>
                            <w:lang w:val="en-US"/>
                          </w:rPr>
                        </m:ctrlPr>
                      </m:sSubSupPr>
                      <m:e>
                        <m:r>
                          <w:rPr>
                            <w:rFonts w:ascii="Cambria Math" w:eastAsiaTheme="minorEastAsia" w:hAnsi="Cambria Math"/>
                            <w:lang w:val="en-US"/>
                          </w:rPr>
                          <m:t>ξ</m:t>
                        </m:r>
                      </m:e>
                      <m:sub>
                        <m:r>
                          <w:rPr>
                            <w:rFonts w:ascii="Cambria Math" w:eastAsiaTheme="minorEastAsia" w:hAnsi="Cambria Math"/>
                            <w:lang w:val="en-US"/>
                          </w:rPr>
                          <m:t>i</m:t>
                        </m:r>
                      </m:sub>
                      <m:sup>
                        <m:r>
                          <m:rPr>
                            <m:sty m:val="p"/>
                          </m:rPr>
                          <w:rPr>
                            <w:rFonts w:ascii="Cambria Math" w:eastAsiaTheme="minorEastAsia" w:hAnsi="Cambria Math"/>
                            <w:lang w:val="en-US"/>
                          </w:rPr>
                          <m:t>*</m:t>
                        </m:r>
                      </m:sup>
                    </m:sSubSup>
                    <m:r>
                      <m:rPr>
                        <m:sty m:val="p"/>
                      </m:rPr>
                      <w:rPr>
                        <w:rFonts w:ascii="Cambria Math" w:eastAsiaTheme="minorEastAsia" w:hAnsi="Cambria Math"/>
                        <w:lang w:val="en-US"/>
                      </w:rPr>
                      <m:t>)</m:t>
                    </m:r>
                  </m:den>
                </m:f>
                <m:r>
                  <m:rPr>
                    <m:sty m:val="p"/>
                  </m:rPr>
                  <w:rPr>
                    <w:rFonts w:ascii="Cambria Math" w:eastAsiaTheme="minorEastAsia" w:hAnsi="Cambria Math"/>
                    <w:lang w:val="en-US"/>
                  </w:rPr>
                  <m:t xml:space="preserve"> </m:t>
                </m:r>
                <m:f>
                  <m:fPr>
                    <m:ctrlPr>
                      <w:rPr>
                        <w:rFonts w:ascii="Cambria Math" w:eastAsiaTheme="minorEastAsia" w:hAnsi="Cambria Math"/>
                        <w:lang w:val="en-US"/>
                      </w:rPr>
                    </m:ctrlPr>
                  </m:fPr>
                  <m:num>
                    <m:sSubSup>
                      <m:sSubSupPr>
                        <m:ctrlPr>
                          <w:rPr>
                            <w:rFonts w:ascii="Cambria Math" w:eastAsiaTheme="minorEastAsia" w:hAnsi="Cambria Math"/>
                            <w:lang w:val="en-US"/>
                          </w:rPr>
                        </m:ctrlPr>
                      </m:sSubSupPr>
                      <m:e>
                        <m:r>
                          <w:rPr>
                            <w:rFonts w:ascii="Cambria Math" w:eastAsiaTheme="minorEastAsia" w:hAnsi="Cambria Math"/>
                            <w:lang w:val="en-US"/>
                          </w:rPr>
                          <m:t>ξ</m:t>
                        </m:r>
                      </m:e>
                      <m:sub>
                        <m:r>
                          <w:rPr>
                            <w:rFonts w:ascii="Cambria Math" w:eastAsiaTheme="minorEastAsia" w:hAnsi="Cambria Math"/>
                            <w:lang w:val="en-US"/>
                          </w:rPr>
                          <m:t>i</m:t>
                        </m:r>
                      </m:sub>
                      <m:sup>
                        <m:r>
                          <m:rPr>
                            <m:sty m:val="p"/>
                          </m:rPr>
                          <w:rPr>
                            <w:rFonts w:ascii="Cambria Math" w:eastAsiaTheme="minorEastAsia" w:hAnsi="Cambria Math"/>
                            <w:lang w:val="en-US"/>
                          </w:rPr>
                          <m:t>*</m:t>
                        </m:r>
                      </m:sup>
                    </m:sSubSup>
                  </m:num>
                  <m:den>
                    <m:r>
                      <m:rPr>
                        <m:sty m:val="p"/>
                      </m:rPr>
                      <w:rPr>
                        <w:rFonts w:ascii="Cambria Math" w:eastAsiaTheme="minorEastAsia" w:hAnsi="Cambria Math"/>
                        <w:lang w:val="en-US"/>
                      </w:rPr>
                      <m:t>∆</m:t>
                    </m:r>
                    <m:sSub>
                      <m:sSubPr>
                        <m:ctrlPr>
                          <w:rPr>
                            <w:rFonts w:ascii="Cambria Math" w:eastAsiaTheme="minorEastAsia" w:hAnsi="Cambria Math"/>
                            <w:lang w:val="en-US"/>
                          </w:rPr>
                        </m:ctrlPr>
                      </m:sSubPr>
                      <m:e>
                        <m:r>
                          <w:rPr>
                            <w:rFonts w:ascii="Cambria Math" w:eastAsiaTheme="minorEastAsia" w:hAnsi="Cambria Math"/>
                            <w:lang w:val="en-US"/>
                          </w:rPr>
                          <m:t>ξ</m:t>
                        </m:r>
                      </m:e>
                      <m:sub>
                        <m:r>
                          <w:rPr>
                            <w:rFonts w:ascii="Cambria Math" w:eastAsiaTheme="minorEastAsia" w:hAnsi="Cambria Math"/>
                            <w:lang w:val="en-US"/>
                          </w:rPr>
                          <m:t>i</m:t>
                        </m:r>
                      </m:sub>
                    </m:sSub>
                  </m:den>
                </m:f>
              </m:oMath>
            </m:oMathPara>
          </w:p>
          <w:p w14:paraId="6C042189" w14:textId="69A1F8D6" w:rsidR="007B5641" w:rsidRPr="007B5641" w:rsidRDefault="007B5641" w:rsidP="007B5641">
            <w:pPr>
              <w:rPr>
                <w:rFonts w:eastAsiaTheme="minorEastAsia"/>
                <w:b/>
                <w:lang w:val="en-US"/>
              </w:rPr>
            </w:pPr>
          </w:p>
        </w:tc>
        <w:tc>
          <w:tcPr>
            <w:tcW w:w="805" w:type="dxa"/>
            <w:shd w:val="clear" w:color="auto" w:fill="auto"/>
            <w:vAlign w:val="center"/>
          </w:tcPr>
          <w:p w14:paraId="758775E9" w14:textId="0C95175D" w:rsidR="00E71F65" w:rsidRPr="00B57B36" w:rsidRDefault="00E71F65" w:rsidP="00A362EA">
            <w:pPr>
              <w:pStyle w:val="CETEquation"/>
              <w:jc w:val="right"/>
            </w:pPr>
            <w:r>
              <w:t>(4</w:t>
            </w:r>
            <w:r w:rsidRPr="00B57B36">
              <w:t>)</w:t>
            </w:r>
          </w:p>
        </w:tc>
      </w:tr>
    </w:tbl>
    <w:p w14:paraId="29739FCE" w14:textId="5ED89E86" w:rsidR="00C97D16" w:rsidRPr="005562CE" w:rsidRDefault="001C7DB3" w:rsidP="00C97D16">
      <w:pPr>
        <w:pStyle w:val="CETBodytext"/>
      </w:pPr>
      <w:r>
        <w:t>w</w:t>
      </w:r>
      <w:r w:rsidR="00B65B9D" w:rsidRPr="00B65B9D">
        <w:t>here</w:t>
      </w:r>
      <w:r w:rsidR="003D6FC8" w:rsidRPr="00B65B9D">
        <w:t xml:space="preserve"> </w:t>
      </w:r>
      <m:oMath>
        <m:r>
          <w:rPr>
            <w:rFonts w:ascii="Cambria Math" w:hAnsi="Cambria Math"/>
          </w:rPr>
          <m:t>S</m:t>
        </m:r>
      </m:oMath>
      <w:r w:rsidR="00B65B9D" w:rsidRPr="00B65B9D">
        <w:rPr>
          <w:bCs/>
        </w:rPr>
        <w:t xml:space="preserve"> corresponds </w:t>
      </w:r>
      <w:r w:rsidR="00B65B9D">
        <w:rPr>
          <w:bCs/>
        </w:rPr>
        <w:t xml:space="preserve">to </w:t>
      </w:r>
      <w:r>
        <w:rPr>
          <w:bCs/>
        </w:rPr>
        <w:t>the s</w:t>
      </w:r>
      <w:r w:rsidR="00B65B9D">
        <w:rPr>
          <w:bCs/>
        </w:rPr>
        <w:t>ensitivity of</w:t>
      </w:r>
      <w:r w:rsidR="00C97D16" w:rsidRPr="00B65B9D">
        <w:rPr>
          <w:bCs/>
        </w:rPr>
        <w:t xml:space="preserve"> </w:t>
      </w:r>
      <m:oMath>
        <m:r>
          <w:rPr>
            <w:rFonts w:ascii="Cambria Math" w:hAnsi="Cambria Math"/>
          </w:rPr>
          <m:t>F</m:t>
        </m:r>
      </m:oMath>
      <w:r w:rsidR="00C97D16" w:rsidRPr="00B65B9D">
        <w:rPr>
          <w:bCs/>
        </w:rPr>
        <w:t xml:space="preserve"> </w:t>
      </w:r>
      <w:r w:rsidR="00B65B9D">
        <w:rPr>
          <w:bCs/>
        </w:rPr>
        <w:t xml:space="preserve">to uncertainty in the parameter </w:t>
      </w:r>
      <w:r w:rsidR="00C97D16" w:rsidRPr="00B65B9D">
        <w:rPr>
          <w:bCs/>
        </w:rPr>
        <w:t xml:space="preserve"> </w:t>
      </w:r>
      <m:oMath>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i</m:t>
            </m:r>
          </m:sub>
        </m:sSub>
      </m:oMath>
      <w:r w:rsidR="003D6FC8" w:rsidRPr="00B65B9D">
        <w:t xml:space="preserve"> , </w:t>
      </w:r>
      <m:oMath>
        <m:r>
          <w:rPr>
            <w:rFonts w:ascii="Cambria Math" w:hAnsi="Cambria Math"/>
          </w:rPr>
          <m:t>F </m:t>
        </m:r>
      </m:oMath>
      <w:r w:rsidR="00C97D16" w:rsidRPr="00B65B9D">
        <w:rPr>
          <w:bCs/>
        </w:rPr>
        <w:t xml:space="preserve"> </w:t>
      </w:r>
      <w:r w:rsidR="00B65B9D" w:rsidRPr="00B65B9D">
        <w:rPr>
          <w:bCs/>
        </w:rPr>
        <w:t>is the process variable whose value is uncertain due to uncertainty in the parameters in the input variables within the vector</w:t>
      </w:r>
      <w:r w:rsidR="008D3058">
        <w:rPr>
          <w:bCs/>
        </w:rPr>
        <w:t xml:space="preserve"> </w:t>
      </w:r>
      <w:r w:rsidR="00B65B9D">
        <w:rPr>
          <w:bCs/>
        </w:rPr>
        <w:t xml:space="preserve"> </w:t>
      </w:r>
      <m:oMath>
        <m:r>
          <w:rPr>
            <w:rFonts w:ascii="Cambria Math" w:eastAsiaTheme="minorEastAsia" w:hAnsi="Cambria Math"/>
          </w:rPr>
          <m:t>ξ</m:t>
        </m:r>
      </m:oMath>
      <w:r w:rsidR="003D6FC8" w:rsidRPr="005562CE">
        <w:t>.</w:t>
      </w:r>
    </w:p>
    <w:p w14:paraId="11ED12B1" w14:textId="1A9E89E8" w:rsidR="00910C5A" w:rsidRDefault="00910C5A" w:rsidP="00C97D16">
      <w:pPr>
        <w:pStyle w:val="CETBodytext"/>
        <w:rPr>
          <w:bCs/>
        </w:rPr>
      </w:pPr>
      <w:r w:rsidRPr="00910C5A">
        <w:rPr>
          <w:bCs/>
        </w:rPr>
        <w:t>The uncertainty of one or more parameters cannot be extrapolated directly to the potential variation in the intensity of GHG emissions</w:t>
      </w:r>
      <w:r>
        <w:t xml:space="preserve"> </w:t>
      </w:r>
      <w:r>
        <w:fldChar w:fldCharType="begin"/>
      </w:r>
      <w:r w:rsidR="005562CE">
        <w:instrText xml:space="preserve"> ADDIN ZOTERO_ITEM CSL_CITATION {"citationID":"QB5qJbqK","properties":{"formattedCitation":"(Jonker et\\uc0\\u160{}al., 2019)","plainCitation":"(Jonker et al., 2019)","noteIndex":0},"citationItems":[{"id":1373,"uris":["http://zotero.org/groups/5347490/items/L5T9S679"],"itemData":{"id":1373,"type":"article-journal","archive_location":"WOS:000476550800011","container-title":"BIOFUELS BIOPRODUCTS &amp; BIOREFINING-BIOFPR","DOI":"10.1002/bbb.1986","ISSN":"1932-104X","issue":"4","page":"950-977","title":"Economic performance and GHG emission intensity of sugarcane- and eucalyptus-derived biofuels and biobased chemicals in Brazil","volume":"13","author":[{"family":"Jonker","given":"JGG"},{"family":"Junginger","given":"M"},{"family":"Posada","given":"J"},{"family":"Ioiart","given":"CS"},{"family":"Faaij","given":"APC"},{"family":"Hilst","given":"F","non-dropping-particle":"van der"}],"issued":{"date-parts":[["2019",7]]}}}],"schema":"https://github.com/citation-style-language/schema/raw/master/csl-citation.json"} </w:instrText>
      </w:r>
      <w:r>
        <w:fldChar w:fldCharType="separate"/>
      </w:r>
      <w:r w:rsidR="005562CE" w:rsidRPr="005562CE">
        <w:rPr>
          <w:rFonts w:cs="Arial"/>
          <w:szCs w:val="24"/>
        </w:rPr>
        <w:t>(Jonker et al., 2019)</w:t>
      </w:r>
      <w:r>
        <w:fldChar w:fldCharType="end"/>
      </w:r>
      <w:r>
        <w:t xml:space="preserve">. </w:t>
      </w:r>
      <w:r w:rsidRPr="00910C5A">
        <w:rPr>
          <w:bCs/>
        </w:rPr>
        <w:t xml:space="preserve">Therefore, a Monte Carlo simulation was carried out to quantify the confidence intervals of GHG emission intensity. Each variable has a specific probability distribution used in Monte Carlo analysis. Likewise, the distribution of each parameter is based on available data. In the Monte Carlo simulation, all main input parameters </w:t>
      </w:r>
      <w:r w:rsidR="001C7DB3">
        <w:rPr>
          <w:bCs/>
        </w:rPr>
        <w:t xml:space="preserve">are </w:t>
      </w:r>
      <w:r w:rsidRPr="00910C5A">
        <w:rPr>
          <w:bCs/>
        </w:rPr>
        <w:t>varied simultaneously according to their probability distribution. Consequently, the simulation results are probability distributions for the GHG emission intensity.</w:t>
      </w:r>
    </w:p>
    <w:p w14:paraId="76F8D324" w14:textId="2C803F71" w:rsidR="002B4031" w:rsidRPr="005562CE" w:rsidRDefault="001C7DB3" w:rsidP="00232A2F">
      <w:pPr>
        <w:pStyle w:val="CETBodytext"/>
      </w:pPr>
      <w:r>
        <w:rPr>
          <w:bCs/>
        </w:rPr>
        <w:t>T</w:t>
      </w:r>
      <w:r w:rsidR="00232A2F" w:rsidRPr="00232A2F">
        <w:rPr>
          <w:bCs/>
        </w:rPr>
        <w:t>he propagation of probability distributions is decisive to carry out a correct assessment of the measurement uncertainty of an output quantity</w:t>
      </w:r>
      <w:r w:rsidR="00232A2F">
        <w:rPr>
          <w:bCs/>
        </w:rPr>
        <w:t xml:space="preserve"> </w:t>
      </w:r>
      <m:oMath>
        <m:r>
          <w:rPr>
            <w:rFonts w:ascii="Cambria Math" w:hAnsi="Cambria Math"/>
          </w:rPr>
          <m:t>Y</m:t>
        </m:r>
      </m:oMath>
      <w:r w:rsidR="00232A2F">
        <w:t>,</w:t>
      </w:r>
      <w:r>
        <w:t xml:space="preserve"> </w:t>
      </w:r>
      <w:r w:rsidR="00232A2F" w:rsidRPr="00232A2F">
        <w:t>which can be understood as a known function</w:t>
      </w:r>
      <w:r w:rsidR="002B4031" w:rsidRPr="00232A2F">
        <w:t xml:space="preserve"> </w:t>
      </w:r>
      <m:oMath>
        <m:r>
          <w:rPr>
            <w:rFonts w:ascii="Cambria Math" w:hAnsi="Cambria Math"/>
          </w:rPr>
          <m:t>f</m:t>
        </m:r>
      </m:oMath>
      <w:r w:rsidR="002B4031" w:rsidRPr="00232A2F">
        <w:t xml:space="preserve"> </w:t>
      </w:r>
      <w:r w:rsidR="00232A2F" w:rsidRPr="00232A2F">
        <w:t>of several input quantities</w:t>
      </w:r>
      <w:r w:rsidR="00232A2F">
        <w:t xml:space="preserve"> </w:t>
      </w:r>
      <m:oMath>
        <m:sSub>
          <m:sSubPr>
            <m:ctrlPr>
              <w:rPr>
                <w:rFonts w:ascii="Cambria Math" w:hAnsi="Cambria Math"/>
                <w:bCs/>
                <w:i/>
                <w:iCs/>
              </w:rPr>
            </m:ctrlPr>
          </m:sSubPr>
          <m:e>
            <m:r>
              <w:rPr>
                <w:rFonts w:ascii="Cambria Math" w:hAnsi="Cambria Math"/>
              </w:rPr>
              <m:t>X</m:t>
            </m:r>
          </m:e>
          <m:sub>
            <m:r>
              <w:rPr>
                <w:rFonts w:ascii="Cambria Math" w:hAnsi="Cambria Math"/>
              </w:rPr>
              <m:t>i</m:t>
            </m:r>
          </m:sub>
        </m:sSub>
      </m:oMath>
      <w:r w:rsidR="002B4031" w:rsidRPr="00232A2F">
        <w:t xml:space="preserve">. </w:t>
      </w:r>
      <w:r w:rsidR="00232A2F" w:rsidRPr="00232A2F">
        <w:t>By defining and fitting probability density functions</w:t>
      </w:r>
      <w:r w:rsidR="002B4031" w:rsidRPr="00B65B9D">
        <w:t xml:space="preserve"> </w:t>
      </w:r>
      <m:oMath>
        <m:sSub>
          <m:sSubPr>
            <m:ctrlPr>
              <w:rPr>
                <w:rFonts w:ascii="Cambria Math" w:hAnsi="Cambria Math"/>
                <w:i/>
              </w:rPr>
            </m:ctrlPr>
          </m:sSubPr>
          <m:e>
            <m:r>
              <w:rPr>
                <w:rFonts w:ascii="Cambria Math" w:hAnsi="Cambria Math"/>
              </w:rPr>
              <m:t>g</m:t>
            </m:r>
          </m:e>
          <m:sub>
            <m:sSub>
              <m:sSubPr>
                <m:ctrlPr>
                  <w:rPr>
                    <w:rFonts w:ascii="Cambria Math" w:hAnsi="Cambria Math"/>
                    <w:i/>
                  </w:rPr>
                </m:ctrlPr>
              </m:sSubPr>
              <m:e>
                <m:r>
                  <w:rPr>
                    <w:rFonts w:ascii="Cambria Math" w:hAnsi="Cambria Math"/>
                  </w:rPr>
                  <m:t>X</m:t>
                </m:r>
              </m:e>
              <m:sub>
                <m:r>
                  <w:rPr>
                    <w:rFonts w:ascii="Cambria Math" w:hAnsi="Cambria Math"/>
                  </w:rPr>
                  <m:t>i</m:t>
                </m:r>
              </m:sub>
            </m:sSub>
          </m:sub>
        </m:sSub>
      </m:oMath>
      <w:r w:rsidR="002B4031" w:rsidRPr="00B65B9D">
        <w:t xml:space="preserve"> </w:t>
      </w:r>
      <w:r w:rsidR="00232A2F" w:rsidRPr="00232A2F">
        <w:t>for each of the input quantities</w:t>
      </w:r>
      <w:r w:rsidR="002B4031" w:rsidRPr="00B65B9D">
        <w:t xml:space="preserve"> </w:t>
      </w:r>
      <m:oMath>
        <m:sSub>
          <m:sSubPr>
            <m:ctrlPr>
              <w:rPr>
                <w:rFonts w:ascii="Cambria Math" w:hAnsi="Cambria Math"/>
                <w:bCs/>
                <w:i/>
                <w:iCs/>
              </w:rPr>
            </m:ctrlPr>
          </m:sSubPr>
          <m:e>
            <m:r>
              <w:rPr>
                <w:rFonts w:ascii="Cambria Math" w:hAnsi="Cambria Math"/>
              </w:rPr>
              <m:t>X</m:t>
            </m:r>
          </m:e>
          <m:sub>
            <m:r>
              <w:rPr>
                <w:rFonts w:ascii="Cambria Math" w:hAnsi="Cambria Math"/>
              </w:rPr>
              <m:t>i</m:t>
            </m:r>
          </m:sub>
        </m:sSub>
      </m:oMath>
      <w:r w:rsidR="002B4031" w:rsidRPr="00B65B9D">
        <w:t xml:space="preserve">, </w:t>
      </w:r>
      <w:r w:rsidR="00232A2F" w:rsidRPr="00232A2F">
        <w:t>the probability density function</w:t>
      </w:r>
      <w:r w:rsidR="002B4031" w:rsidRPr="00B65B9D">
        <w:t xml:space="preserve"> </w:t>
      </w:r>
      <m:oMath>
        <m:sSub>
          <m:sSubPr>
            <m:ctrlPr>
              <w:rPr>
                <w:rFonts w:ascii="Cambria Math" w:hAnsi="Cambria Math"/>
                <w:bCs/>
                <w:i/>
                <w:iCs/>
              </w:rPr>
            </m:ctrlPr>
          </m:sSubPr>
          <m:e>
            <m:r>
              <w:rPr>
                <w:rFonts w:ascii="Cambria Math" w:hAnsi="Cambria Math"/>
              </w:rPr>
              <m:t>g</m:t>
            </m:r>
          </m:e>
          <m:sub>
            <m:r>
              <w:rPr>
                <w:rFonts w:ascii="Cambria Math" w:hAnsi="Cambria Math"/>
              </w:rPr>
              <m:t>X</m:t>
            </m:r>
          </m:sub>
        </m:sSub>
      </m:oMath>
      <w:r w:rsidR="002B4031" w:rsidRPr="00B65B9D">
        <w:t xml:space="preserve"> </w:t>
      </w:r>
      <w:r w:rsidR="00232A2F" w:rsidRPr="00232A2F">
        <w:t>of the output quantity</w:t>
      </w:r>
      <w:r w:rsidR="002B4031" w:rsidRPr="00B65B9D">
        <w:t xml:space="preserve"> </w:t>
      </w:r>
      <m:oMath>
        <m:r>
          <w:rPr>
            <w:rFonts w:ascii="Cambria Math" w:hAnsi="Cambria Math"/>
          </w:rPr>
          <m:t>Y</m:t>
        </m:r>
      </m:oMath>
      <w:r w:rsidR="002B4031" w:rsidRPr="00B65B9D">
        <w:t xml:space="preserve"> </w:t>
      </w:r>
      <w:r w:rsidR="00232A2F" w:rsidRPr="00232A2F">
        <w:t xml:space="preserve">can be propagated by solving </w:t>
      </w:r>
      <w:r w:rsidR="002B4031" w:rsidRPr="005562CE">
        <w:t>Eq(5)</w:t>
      </w:r>
      <w:r>
        <w:t>:</w:t>
      </w:r>
    </w:p>
    <w:tbl>
      <w:tblPr>
        <w:tblW w:w="5000" w:type="pct"/>
        <w:tblLook w:val="04A0" w:firstRow="1" w:lastRow="0" w:firstColumn="1" w:lastColumn="0" w:noHBand="0" w:noVBand="1"/>
      </w:tblPr>
      <w:tblGrid>
        <w:gridCol w:w="7982"/>
        <w:gridCol w:w="805"/>
      </w:tblGrid>
      <w:tr w:rsidR="005B6C05" w:rsidRPr="00B57B36" w14:paraId="7B8E6A8F" w14:textId="77777777" w:rsidTr="00A362EA">
        <w:trPr>
          <w:trHeight w:val="522"/>
        </w:trPr>
        <w:tc>
          <w:tcPr>
            <w:tcW w:w="7982" w:type="dxa"/>
            <w:shd w:val="clear" w:color="auto" w:fill="auto"/>
            <w:vAlign w:val="center"/>
          </w:tcPr>
          <w:p w14:paraId="4BC220DD" w14:textId="0F318CCD" w:rsidR="005B6C05" w:rsidRPr="005B6C05" w:rsidRDefault="00000000" w:rsidP="00D0480C">
            <w:pPr>
              <w:pStyle w:val="CETEquation"/>
            </w:pPr>
            <m:oMathPara>
              <m:oMathParaPr>
                <m:jc m:val="left"/>
              </m:oMathParaPr>
              <m:oMath>
                <m:sSub>
                  <m:sSubPr>
                    <m:ctrlPr>
                      <w:rPr>
                        <w:rFonts w:ascii="Cambria Math" w:eastAsiaTheme="minorEastAsia" w:hAnsi="Cambria Math"/>
                        <w:lang w:val="en-US"/>
                      </w:rPr>
                    </m:ctrlPr>
                  </m:sSubPr>
                  <m:e>
                    <m:r>
                      <w:rPr>
                        <w:rFonts w:ascii="Cambria Math" w:eastAsiaTheme="minorEastAsia" w:hAnsi="Cambria Math"/>
                        <w:lang w:val="en-US"/>
                      </w:rPr>
                      <m:t>g</m:t>
                    </m:r>
                  </m:e>
                  <m:sub>
                    <m:r>
                      <w:rPr>
                        <w:rFonts w:ascii="Cambria Math" w:eastAsiaTheme="minorEastAsia" w:hAnsi="Cambria Math"/>
                        <w:lang w:val="en-US"/>
                      </w:rPr>
                      <m:t>Y</m:t>
                    </m:r>
                  </m:sub>
                </m:sSub>
                <m:d>
                  <m:dPr>
                    <m:ctrlPr>
                      <w:rPr>
                        <w:rFonts w:ascii="Cambria Math" w:eastAsiaTheme="minorEastAsia" w:hAnsi="Cambria Math"/>
                        <w:lang w:val="en-US"/>
                      </w:rPr>
                    </m:ctrlPr>
                  </m:dPr>
                  <m:e>
                    <m:r>
                      <w:rPr>
                        <w:rFonts w:ascii="Cambria Math" w:eastAsiaTheme="minorEastAsia" w:hAnsi="Cambria Math"/>
                        <w:lang w:val="en-US"/>
                      </w:rPr>
                      <m:t>η</m:t>
                    </m:r>
                  </m:e>
                </m:d>
                <m:r>
                  <m:rPr>
                    <m:sty m:val="p"/>
                  </m:rPr>
                  <w:rPr>
                    <w:rFonts w:ascii="Cambria Math" w:eastAsiaTheme="minorEastAsia" w:hAnsi="Cambria Math"/>
                    <w:lang w:val="en-US"/>
                  </w:rPr>
                  <m:t>=</m:t>
                </m:r>
                <m:nary>
                  <m:naryPr>
                    <m:limLoc m:val="subSup"/>
                    <m:ctrlPr>
                      <w:rPr>
                        <w:rFonts w:ascii="Cambria Math" w:eastAsiaTheme="minorEastAsia" w:hAnsi="Cambria Math"/>
                        <w:lang w:val="en-US"/>
                      </w:rPr>
                    </m:ctrlPr>
                  </m:naryPr>
                  <m:sub>
                    <m:r>
                      <m:rPr>
                        <m:sty m:val="p"/>
                      </m:rPr>
                      <w:rPr>
                        <w:rFonts w:ascii="Cambria Math" w:eastAsiaTheme="minorEastAsia" w:hAnsi="Cambria Math"/>
                        <w:lang w:val="en-US"/>
                      </w:rPr>
                      <m:t>-∞</m:t>
                    </m:r>
                  </m:sub>
                  <m:sup>
                    <m:r>
                      <m:rPr>
                        <m:sty m:val="p"/>
                      </m:rPr>
                      <w:rPr>
                        <w:rFonts w:ascii="Cambria Math" w:eastAsiaTheme="minorEastAsia" w:hAnsi="Cambria Math"/>
                        <w:lang w:val="en-US"/>
                      </w:rPr>
                      <m:t>∞</m:t>
                    </m:r>
                  </m:sup>
                  <m:e>
                    <m:r>
                      <m:rPr>
                        <m:sty m:val="p"/>
                      </m:rPr>
                      <w:rPr>
                        <w:rFonts w:ascii="Cambria Math" w:eastAsiaTheme="minorEastAsia" w:hAnsi="Cambria Math"/>
                        <w:lang w:val="en-US"/>
                      </w:rPr>
                      <m:t>…</m:t>
                    </m:r>
                    <m:nary>
                      <m:naryPr>
                        <m:limLoc m:val="subSup"/>
                        <m:ctrlPr>
                          <w:rPr>
                            <w:rFonts w:ascii="Cambria Math" w:eastAsiaTheme="minorEastAsia" w:hAnsi="Cambria Math"/>
                            <w:lang w:val="en-US"/>
                          </w:rPr>
                        </m:ctrlPr>
                      </m:naryPr>
                      <m:sub>
                        <m:r>
                          <m:rPr>
                            <m:sty m:val="p"/>
                          </m:rPr>
                          <w:rPr>
                            <w:rFonts w:ascii="Cambria Math" w:eastAsiaTheme="minorEastAsia" w:hAnsi="Cambria Math"/>
                            <w:lang w:val="en-US"/>
                          </w:rPr>
                          <m:t>-∞</m:t>
                        </m:r>
                      </m:sub>
                      <m:sup>
                        <m:r>
                          <m:rPr>
                            <m:sty m:val="p"/>
                          </m:rPr>
                          <w:rPr>
                            <w:rFonts w:ascii="Cambria Math" w:eastAsiaTheme="minorEastAsia" w:hAnsi="Cambria Math"/>
                            <w:lang w:val="en-US"/>
                          </w:rPr>
                          <m:t>∞</m:t>
                        </m:r>
                      </m:sup>
                      <m:e>
                        <m:sSub>
                          <m:sSubPr>
                            <m:ctrlPr>
                              <w:rPr>
                                <w:rFonts w:ascii="Cambria Math" w:eastAsiaTheme="minorEastAsia" w:hAnsi="Cambria Math"/>
                                <w:lang w:val="en-US"/>
                              </w:rPr>
                            </m:ctrlPr>
                          </m:sSubPr>
                          <m:e>
                            <m:r>
                              <w:rPr>
                                <w:rFonts w:ascii="Cambria Math" w:eastAsiaTheme="minorEastAsia" w:hAnsi="Cambria Math"/>
                                <w:lang w:val="en-US"/>
                              </w:rPr>
                              <m:t>g</m:t>
                            </m:r>
                          </m:e>
                          <m:sub>
                            <m:sSub>
                              <m:sSubPr>
                                <m:ctrlPr>
                                  <w:rPr>
                                    <w:rFonts w:ascii="Cambria Math" w:eastAsiaTheme="minorEastAsia" w:hAnsi="Cambria Math"/>
                                    <w:lang w:val="en-US"/>
                                  </w:rPr>
                                </m:ctrlPr>
                              </m:sSubPr>
                              <m:e>
                                <m:r>
                                  <w:rPr>
                                    <w:rFonts w:ascii="Cambria Math" w:eastAsiaTheme="minorEastAsia" w:hAnsi="Cambria Math"/>
                                    <w:lang w:val="en-US"/>
                                  </w:rPr>
                                  <m:t>X</m:t>
                                </m:r>
                              </m:e>
                              <m:sub>
                                <m:r>
                                  <w:rPr>
                                    <w:rFonts w:ascii="Cambria Math" w:eastAsiaTheme="minorEastAsia" w:hAnsi="Cambria Math"/>
                                    <w:lang w:val="en-US"/>
                                  </w:rPr>
                                  <m:t>i</m:t>
                                </m:r>
                              </m:sub>
                            </m:sSub>
                          </m:sub>
                        </m:sSub>
                      </m:e>
                    </m:nary>
                  </m:e>
                </m:nary>
                <m:d>
                  <m:dPr>
                    <m:ctrlPr>
                      <w:rPr>
                        <w:rFonts w:ascii="Cambria Math" w:eastAsiaTheme="minorEastAsia" w:hAnsi="Cambria Math"/>
                        <w:lang w:val="en-US"/>
                      </w:rPr>
                    </m:ctrlPr>
                  </m:dPr>
                  <m:e>
                    <m:sSub>
                      <m:sSubPr>
                        <m:ctrlPr>
                          <w:rPr>
                            <w:rFonts w:ascii="Cambria Math" w:eastAsiaTheme="minorEastAsia" w:hAnsi="Cambria Math"/>
                            <w:lang w:val="en-US"/>
                          </w:rPr>
                        </m:ctrlPr>
                      </m:sSubPr>
                      <m:e>
                        <m:r>
                          <w:rPr>
                            <w:rFonts w:ascii="Cambria Math" w:eastAsiaTheme="minorEastAsia" w:hAnsi="Cambria Math"/>
                            <w:lang w:val="en-US"/>
                          </w:rPr>
                          <m:t>ξ</m:t>
                        </m:r>
                      </m:e>
                      <m:sub>
                        <m:r>
                          <w:rPr>
                            <w:rFonts w:ascii="Cambria Math" w:eastAsiaTheme="minorEastAsia" w:hAnsi="Cambria Math"/>
                            <w:lang w:val="en-US"/>
                          </w:rPr>
                          <m:t>i</m:t>
                        </m:r>
                      </m:sub>
                    </m:sSub>
                  </m:e>
                </m:d>
                <m:r>
                  <w:rPr>
                    <w:rFonts w:ascii="Cambria Math" w:eastAsiaTheme="minorEastAsia" w:hAnsi="Cambria Math"/>
                    <w:lang w:val="en-US"/>
                  </w:rPr>
                  <m:t>δ</m:t>
                </m:r>
                <m:d>
                  <m:dPr>
                    <m:ctrlPr>
                      <w:rPr>
                        <w:rFonts w:ascii="Cambria Math" w:eastAsiaTheme="minorEastAsia" w:hAnsi="Cambria Math"/>
                        <w:lang w:val="en-US"/>
                      </w:rPr>
                    </m:ctrlPr>
                  </m:dPr>
                  <m:e>
                    <m:r>
                      <w:rPr>
                        <w:rFonts w:ascii="Cambria Math" w:eastAsiaTheme="minorEastAsia" w:hAnsi="Cambria Math"/>
                        <w:lang w:val="en-US"/>
                      </w:rPr>
                      <m:t>η</m:t>
                    </m:r>
                    <m:r>
                      <m:rPr>
                        <m:sty m:val="p"/>
                      </m:rPr>
                      <w:rPr>
                        <w:rFonts w:ascii="Cambria Math" w:eastAsiaTheme="minorEastAsia" w:hAnsi="Cambria Math"/>
                        <w:lang w:val="en-US"/>
                      </w:rPr>
                      <m:t>-</m:t>
                    </m:r>
                    <m:r>
                      <w:rPr>
                        <w:rFonts w:ascii="Cambria Math" w:eastAsiaTheme="minorEastAsia" w:hAnsi="Cambria Math"/>
                        <w:lang w:val="en-US"/>
                      </w:rPr>
                      <m:t>f</m:t>
                    </m:r>
                    <m:d>
                      <m:dPr>
                        <m:ctrlPr>
                          <w:rPr>
                            <w:rFonts w:ascii="Cambria Math" w:eastAsiaTheme="minorEastAsia" w:hAnsi="Cambria Math"/>
                            <w:lang w:val="en-US"/>
                          </w:rPr>
                        </m:ctrlPr>
                      </m:dPr>
                      <m:e>
                        <m:sSub>
                          <m:sSubPr>
                            <m:ctrlPr>
                              <w:rPr>
                                <w:rFonts w:ascii="Cambria Math" w:eastAsiaTheme="minorEastAsia" w:hAnsi="Cambria Math"/>
                                <w:lang w:val="en-US"/>
                              </w:rPr>
                            </m:ctrlPr>
                          </m:sSubPr>
                          <m:e>
                            <m:r>
                              <w:rPr>
                                <w:rFonts w:ascii="Cambria Math" w:eastAsiaTheme="minorEastAsia" w:hAnsi="Cambria Math"/>
                                <w:lang w:val="en-US"/>
                              </w:rPr>
                              <m:t>ξ</m:t>
                            </m:r>
                          </m:e>
                          <m:sub>
                            <m:r>
                              <w:rPr>
                                <w:rFonts w:ascii="Cambria Math" w:eastAsiaTheme="minorEastAsia" w:hAnsi="Cambria Math"/>
                                <w:lang w:val="en-US"/>
                              </w:rPr>
                              <m:t>i</m:t>
                            </m:r>
                          </m:sub>
                        </m:sSub>
                      </m:e>
                    </m:d>
                  </m:e>
                </m:d>
                <m:r>
                  <w:rPr>
                    <w:rFonts w:ascii="Cambria Math" w:eastAsiaTheme="minorEastAsia" w:hAnsi="Cambria Math"/>
                    <w:lang w:val="en-US"/>
                  </w:rPr>
                  <m:t>d</m:t>
                </m:r>
                <m:sSub>
                  <m:sSubPr>
                    <m:ctrlPr>
                      <w:rPr>
                        <w:rFonts w:ascii="Cambria Math" w:eastAsiaTheme="minorEastAsia" w:hAnsi="Cambria Math"/>
                        <w:lang w:val="en-US"/>
                      </w:rPr>
                    </m:ctrlPr>
                  </m:sSubPr>
                  <m:e>
                    <m:r>
                      <w:rPr>
                        <w:rFonts w:ascii="Cambria Math" w:eastAsiaTheme="minorEastAsia" w:hAnsi="Cambria Math"/>
                        <w:lang w:val="en-US"/>
                      </w:rPr>
                      <m:t>ξ</m:t>
                    </m:r>
                  </m:e>
                  <m:sub>
                    <m:r>
                      <w:rPr>
                        <w:rFonts w:ascii="Cambria Math" w:eastAsiaTheme="minorEastAsia" w:hAnsi="Cambria Math"/>
                        <w:lang w:val="en-US"/>
                      </w:rPr>
                      <m:t>N</m:t>
                    </m:r>
                  </m:sub>
                </m:sSub>
                <m:r>
                  <m:rPr>
                    <m:sty m:val="p"/>
                  </m:rPr>
                  <w:rPr>
                    <w:rFonts w:ascii="Cambria Math" w:eastAsiaTheme="minorEastAsia" w:hAnsi="Cambria Math"/>
                    <w:lang w:val="en-US"/>
                  </w:rPr>
                  <m:t>…</m:t>
                </m:r>
                <m:r>
                  <w:rPr>
                    <w:rFonts w:ascii="Cambria Math" w:eastAsiaTheme="minorEastAsia" w:hAnsi="Cambria Math"/>
                    <w:lang w:val="en-US"/>
                  </w:rPr>
                  <m:t>d</m:t>
                </m:r>
                <m:sSub>
                  <m:sSubPr>
                    <m:ctrlPr>
                      <w:rPr>
                        <w:rFonts w:ascii="Cambria Math" w:eastAsiaTheme="minorEastAsia" w:hAnsi="Cambria Math"/>
                        <w:lang w:val="en-US"/>
                      </w:rPr>
                    </m:ctrlPr>
                  </m:sSubPr>
                  <m:e>
                    <m:r>
                      <w:rPr>
                        <w:rFonts w:ascii="Cambria Math" w:eastAsiaTheme="minorEastAsia" w:hAnsi="Cambria Math"/>
                        <w:lang w:val="en-US"/>
                      </w:rPr>
                      <m:t>ξ</m:t>
                    </m:r>
                  </m:e>
                  <m:sub>
                    <m:r>
                      <m:rPr>
                        <m:sty m:val="p"/>
                      </m:rPr>
                      <w:rPr>
                        <w:rFonts w:ascii="Cambria Math" w:eastAsiaTheme="minorEastAsia" w:hAnsi="Cambria Math"/>
                        <w:lang w:val="en-US"/>
                      </w:rPr>
                      <m:t>1</m:t>
                    </m:r>
                  </m:sub>
                </m:sSub>
              </m:oMath>
            </m:oMathPara>
          </w:p>
        </w:tc>
        <w:tc>
          <w:tcPr>
            <w:tcW w:w="805" w:type="dxa"/>
            <w:shd w:val="clear" w:color="auto" w:fill="auto"/>
            <w:vAlign w:val="center"/>
          </w:tcPr>
          <w:p w14:paraId="71739E57" w14:textId="6A97541B" w:rsidR="005B6C05" w:rsidRPr="00B57B36" w:rsidRDefault="00692AF3" w:rsidP="00A362EA">
            <w:pPr>
              <w:pStyle w:val="CETEquation"/>
              <w:jc w:val="right"/>
            </w:pPr>
            <w:r>
              <w:t>(5</w:t>
            </w:r>
            <w:r w:rsidR="005B6C05" w:rsidRPr="00B57B36">
              <w:t>)</w:t>
            </w:r>
          </w:p>
        </w:tc>
      </w:tr>
    </w:tbl>
    <w:p w14:paraId="6AF89F53" w14:textId="25273F18" w:rsidR="00312D55" w:rsidRPr="00312D55" w:rsidRDefault="00312D55" w:rsidP="00312D55">
      <w:pPr>
        <w:pStyle w:val="CETBodytext"/>
      </w:pPr>
      <w:r w:rsidRPr="00312D55">
        <w:t xml:space="preserve">The function </w:t>
      </w:r>
      <m:oMath>
        <m:r>
          <w:rPr>
            <w:rFonts w:ascii="Cambria Math" w:hAnsi="Cambria Math"/>
            <w:lang w:val="pt-BR"/>
          </w:rPr>
          <m:t>δ</m:t>
        </m:r>
      </m:oMath>
      <w:r w:rsidRPr="00312D55">
        <w:t xml:space="preserve"> denotes the Dirac delta function, while</w:t>
      </w:r>
      <w:r>
        <w:t xml:space="preserve"> </w:t>
      </w:r>
      <w:r>
        <w:rPr>
          <w:rFonts w:ascii="Cambria Math" w:hAnsi="Cambria Math"/>
        </w:rPr>
        <w:t>𝜂</w:t>
      </w:r>
      <w:r>
        <w:t xml:space="preserve"> and</w:t>
      </w:r>
      <w:r w:rsidRPr="00312D55">
        <w:t xml:space="preserve"> </w:t>
      </w:r>
      <m:oMath>
        <m:sSub>
          <m:sSubPr>
            <m:ctrlPr>
              <w:rPr>
                <w:rFonts w:ascii="Cambria Math" w:hAnsi="Cambria Math"/>
                <w:i/>
                <w:lang w:val="pt-BR"/>
              </w:rPr>
            </m:ctrlPr>
          </m:sSubPr>
          <m:e>
            <m:r>
              <w:rPr>
                <w:rFonts w:ascii="Cambria Math" w:hAnsi="Cambria Math"/>
                <w:lang w:val="pt-BR"/>
              </w:rPr>
              <m:t>ξ</m:t>
            </m:r>
          </m:e>
          <m:sub>
            <m:r>
              <w:rPr>
                <w:rFonts w:ascii="Cambria Math" w:hAnsi="Cambria Math"/>
                <w:lang w:val="pt-BR"/>
              </w:rPr>
              <m:t>i</m:t>
            </m:r>
          </m:sub>
        </m:sSub>
      </m:oMath>
      <w:r w:rsidRPr="00312D55">
        <w:t xml:space="preserve"> correspond to the variables that describe the possible</w:t>
      </w:r>
      <w:r>
        <w:t xml:space="preserve"> values of the output quantity </w:t>
      </w:r>
      <m:oMath>
        <m:r>
          <w:rPr>
            <w:rFonts w:ascii="Cambria Math" w:hAnsi="Cambria Math"/>
            <w:lang w:val="pt-BR"/>
          </w:rPr>
          <m:t>Y</m:t>
        </m:r>
      </m:oMath>
      <w:r w:rsidRPr="00312D55">
        <w:t xml:space="preserve"> and the random variables</w:t>
      </w:r>
      <m:oMath>
        <m:r>
          <w:rPr>
            <w:rFonts w:ascii="Cambria Math" w:hAnsi="Cambria Math"/>
          </w:rPr>
          <m:t xml:space="preserve">  </m:t>
        </m:r>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i</m:t>
            </m:r>
          </m:sub>
        </m:sSub>
      </m:oMath>
      <w:r>
        <w:t xml:space="preserve">, respectively </w:t>
      </w:r>
      <w:r>
        <w:fldChar w:fldCharType="begin"/>
      </w:r>
      <w:r w:rsidR="00283527">
        <w:instrText xml:space="preserve"> ADDIN ZOTERO_ITEM CSL_CITATION {"citationID":"ccYVLeLw","properties":{"formattedCitation":"(Possolo &amp; Iyer, 2017)","plainCitation":"(Possolo &amp; Iyer, 2017)","dontUpdate":true,"noteIndex":0},"citationItems":[{"id":1374,"uris":["http://zotero.org/groups/5347490/items/H7YBD2LR"],"itemData":{"id":1374,"type":"article-journal","abstract":"Measurements involve comparisons of measured values with reference values traceable to measurement standards and are made to support decision-making. While the conventional definition of measurement focuses on quantitative properties (including ordinal properties), we adopt a broader view and entertain the possibility of regarding qualitative properties also as legitimate targets for measurement. A measurement result comprises the following: (i) a value that has been assigned to a property based on information derived from an experiment or computation, possibly also including information derived from other sources, and (ii) a characterization of the margin of doubt that remains about the true value of the property after taking that information into account. Measurement uncertainty is this margin of doubt, and it can be characterized by a probability distribution on the set of possible values of the property of interest. Mathematical or statistical models enable the quantification of measurement uncertainty and underlie the varied collection of methods available for uncertainty evaluation. Some of these methods have been in use for over a century (for example, as introduced by Gauss for the combination of mutually inconsistent observations or for the propagation of “errors”), while others are of fairly recent vintage (for example, Monte Carlo methods including those that involve Markov Chain Monte Carlo sampling). This contribution reviews the concepts, models, methods, and computations that are commonly used for the evaluation of measurement uncertainty, and illustrates their application in realistic examples drawn from multiple areas of science and technology, aiming to serve as a general, widely accessible reference.","container-title":"Review of Scientific Instruments","DOI":"10.1063/1.4974274","ISSN":"0034-6748","issue":"1","journalAbbreviation":"Review of Scientific Instruments","page":"011301","source":"Silverchair","title":"Invited Article: Concepts and tools for the evaluation of measurement uncertainty","title-short":"Invited Article","volume":"88","author":[{"family":"Possolo","given":"Antonio"},{"family":"Iyer","given":"Hari K."}],"issued":{"date-parts":[["2017",1,31]]}}}],"schema":"https://github.com/citation-style-language/schema/raw/master/csl-citation.json"} </w:instrText>
      </w:r>
      <w:r>
        <w:fldChar w:fldCharType="separate"/>
      </w:r>
      <w:r w:rsidR="005562CE" w:rsidRPr="005562CE">
        <w:rPr>
          <w:rFonts w:cs="Arial"/>
        </w:rPr>
        <w:t xml:space="preserve">(Possolo </w:t>
      </w:r>
      <w:r w:rsidR="008B3E1B">
        <w:rPr>
          <w:rFonts w:cs="Arial"/>
        </w:rPr>
        <w:t>and</w:t>
      </w:r>
      <w:r w:rsidR="005562CE" w:rsidRPr="005562CE">
        <w:rPr>
          <w:rFonts w:cs="Arial"/>
        </w:rPr>
        <w:t xml:space="preserve"> Iyer, 2017)</w:t>
      </w:r>
      <w:r>
        <w:fldChar w:fldCharType="end"/>
      </w:r>
      <w:r>
        <w:t>.</w:t>
      </w:r>
    </w:p>
    <w:p w14:paraId="2D344F26" w14:textId="76754BDD" w:rsidR="003033E5" w:rsidRPr="00312D55" w:rsidRDefault="00312D55" w:rsidP="00CA368B">
      <w:pPr>
        <w:pStyle w:val="CETBodytext"/>
        <w:rPr>
          <w:lang w:val="pt-BR"/>
        </w:rPr>
      </w:pPr>
      <w:r w:rsidRPr="00312D55">
        <w:lastRenderedPageBreak/>
        <w:t>The Monte Carlo simulation method provides a general numerical approximation to obtain a representation of the probability density function</w:t>
      </w:r>
      <m:oMath>
        <m:r>
          <w:rPr>
            <w:rFonts w:ascii="Cambria Math" w:hAnsi="Cambria Math"/>
          </w:rPr>
          <m:t xml:space="preserve">  </m:t>
        </m:r>
        <m:sSub>
          <m:sSubPr>
            <m:ctrlPr>
              <w:rPr>
                <w:rFonts w:ascii="Cambria Math" w:hAnsi="Cambria Math"/>
                <w:i/>
                <w:lang w:val="pt-BR"/>
              </w:rPr>
            </m:ctrlPr>
          </m:sSubPr>
          <m:e>
            <m:r>
              <w:rPr>
                <w:rFonts w:ascii="Cambria Math" w:hAnsi="Cambria Math"/>
                <w:lang w:val="pt-BR"/>
              </w:rPr>
              <m:t>g</m:t>
            </m:r>
          </m:e>
          <m:sub>
            <m:r>
              <w:rPr>
                <w:rFonts w:ascii="Cambria Math" w:hAnsi="Cambria Math"/>
                <w:lang w:val="pt-BR"/>
              </w:rPr>
              <m:t>Y</m:t>
            </m:r>
          </m:sub>
        </m:sSub>
        <m:r>
          <w:rPr>
            <w:rFonts w:ascii="Cambria Math" w:hAnsi="Cambria Math"/>
          </w:rPr>
          <m:t>(</m:t>
        </m:r>
        <m:r>
          <w:rPr>
            <w:rFonts w:ascii="Cambria Math" w:hAnsi="Cambria Math"/>
            <w:lang w:val="pt-BR"/>
          </w:rPr>
          <m:t>η</m:t>
        </m:r>
        <m:r>
          <w:rPr>
            <w:rFonts w:ascii="Cambria Math" w:hAnsi="Cambria Math"/>
          </w:rPr>
          <m:t>)</m:t>
        </m:r>
      </m:oMath>
      <w:r w:rsidRPr="00312D55">
        <w:t>. To do this, a large number of repeated random samples (simulation results) of the probability density functions</w:t>
      </w:r>
      <w:r>
        <w:t xml:space="preserve"> </w:t>
      </w:r>
      <m:oMath>
        <m:sSub>
          <m:sSubPr>
            <m:ctrlPr>
              <w:rPr>
                <w:rFonts w:ascii="Cambria Math" w:hAnsi="Cambria Math"/>
                <w:i/>
                <w:lang w:val="pt-BR"/>
              </w:rPr>
            </m:ctrlPr>
          </m:sSubPr>
          <m:e>
            <m:r>
              <w:rPr>
                <w:rFonts w:ascii="Cambria Math" w:hAnsi="Cambria Math"/>
                <w:lang w:val="pt-BR"/>
              </w:rPr>
              <m:t>g</m:t>
            </m:r>
          </m:e>
          <m:sub>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i</m:t>
                </m:r>
              </m:sub>
            </m:sSub>
          </m:sub>
        </m:sSub>
        <m:r>
          <w:rPr>
            <w:rFonts w:ascii="Cambria Math" w:hAnsi="Cambria Math"/>
          </w:rPr>
          <m:t>(</m:t>
        </m:r>
        <m:sSub>
          <m:sSubPr>
            <m:ctrlPr>
              <w:rPr>
                <w:rFonts w:ascii="Cambria Math" w:hAnsi="Cambria Math"/>
                <w:bCs/>
                <w:i/>
                <w:lang w:val="pt-BR"/>
              </w:rPr>
            </m:ctrlPr>
          </m:sSubPr>
          <m:e>
            <m:r>
              <w:rPr>
                <w:rFonts w:ascii="Cambria Math" w:hAnsi="Cambria Math"/>
                <w:lang w:val="pt-BR"/>
              </w:rPr>
              <m:t>ξ</m:t>
            </m:r>
            <m:ctrlPr>
              <w:rPr>
                <w:rFonts w:ascii="Cambria Math" w:hAnsi="Cambria Math"/>
                <w:i/>
                <w:lang w:val="pt-BR"/>
              </w:rPr>
            </m:ctrlPr>
          </m:e>
          <m:sub>
            <m:r>
              <w:rPr>
                <w:rFonts w:ascii="Cambria Math" w:hAnsi="Cambria Math"/>
                <w:lang w:val="pt-BR"/>
              </w:rPr>
              <m:t>i</m:t>
            </m:r>
          </m:sub>
        </m:sSub>
        <m:r>
          <w:rPr>
            <w:rFonts w:ascii="Cambria Math" w:hAnsi="Cambria Math"/>
          </w:rPr>
          <m:t>)</m:t>
        </m:r>
      </m:oMath>
      <w:r w:rsidRPr="00312D55">
        <w:t xml:space="preserve"> are estimated and the</w:t>
      </w:r>
      <w:r>
        <w:t xml:space="preserve"> results of the known function </w:t>
      </w:r>
      <m:oMath>
        <m:r>
          <w:rPr>
            <w:rFonts w:ascii="Cambria Math" w:hAnsi="Cambria Math"/>
            <w:lang w:val="pt-BR"/>
          </w:rPr>
          <m:t>f</m:t>
        </m:r>
      </m:oMath>
      <w:r w:rsidRPr="00312D55">
        <w:t xml:space="preserve"> are calculated repeatedly </w:t>
      </w:r>
      <w:r>
        <w:fldChar w:fldCharType="begin"/>
      </w:r>
      <w:r w:rsidR="005562CE">
        <w:instrText xml:space="preserve"> ADDIN ZOTERO_ITEM CSL_CITATION {"citationID":"0dk26vrq","properties":{"formattedCitation":"(Molina-Castro, 2022)","plainCitation":"(Molina-Castro, 2022)","noteIndex":0},"citationItems":[{"id":1375,"uris":["http://zotero.org/groups/5347490/items/3PCQCZUG"],"itemData":{"id":1375,"type":"article-journal","abstract":"With the publication of the latest version of ISO 14064-1, the National Carbon Neutrality Program of Costa Rica included measurement uncertainty as a mandatory requirement for the reporting of greenhouse gas (GHG) inventories as an essential parameter to have precise and reliable results. However, technical gaps remain for an optimal implementation of this requirement, including a lack of information regarding uncertainties in the official database of Costa Rican emission factors. The present article sought to fill the gap of uncertainty information for 22 emission factors from this database, providing uncertainty values through the collection of input information, use of expert criteria, fitting of probability distributions, and the application of the Monte Carlo simulation method. Emission factors were classified into three groups according to their estimation methods and their information sources. Five probability distributions were chosen and fitted to the input data based on their previous application in the field. Standard uncertainties and 95% confidence intervals were estimated for each emission factor as the standard deviations and differences between the 2.5% and 97.5% percentiles of their simulated data. As expected, most of the standard uncertainties were estimated between 15% and 50% of the value of the emission factor, and confidence intervals tended to asymmetry as the standard uncertainties or the number of input data for the emission factor estimation increased. High consistency was found between these results and values reported in other studies. These results are critical to complement the official database of Costa Rican emission factors and for national users to estimate the uncertainties of their greenhouse gas inventories, easing to comply with national environmental policies by adapting to international requirements in the fight against climate change. Additionally, improvement opportunities were identified to update the emission factors from livestock enteric fermentation, manure management, waste treatments, and non-energy use of lubricants, whose estimations are based on outdated references and methodologies. An opportunity to improve and reduce the remarkably high uncertainties for emission factors associated with the biological treatment of solid waste through studies adapted to the specific characteristics of tropical countries like Costa Rica was also pointed out.","container-title":"Frontiers in Environmental Science","ISSN":"2296-665X","source":"Frontiers","title":"A Monte Carlo Method for Quantifying Uncertainties in the Official Greenhouse Gas Emission Factors Database of Costa Rica","URL":"https://www.frontiersin.org/articles/10.3389/fenvs.2022.896256","volume":"10","author":[{"family":"Molina-Castro","given":"Gabriel"}],"accessed":{"date-parts":[["2023",5,25]]},"issued":{"date-parts":[["2022"]]}}}],"schema":"https://github.com/citation-style-language/schema/raw/master/csl-citation.json"} </w:instrText>
      </w:r>
      <w:r>
        <w:fldChar w:fldCharType="separate"/>
      </w:r>
      <w:r w:rsidR="005562CE" w:rsidRPr="005562CE">
        <w:rPr>
          <w:rFonts w:cs="Arial"/>
        </w:rPr>
        <w:t>(Molina-Castro, 2022)</w:t>
      </w:r>
      <w:r>
        <w:fldChar w:fldCharType="end"/>
      </w:r>
      <w:r>
        <w:t>.</w:t>
      </w:r>
    </w:p>
    <w:p w14:paraId="52D6FCA5" w14:textId="531EFF63" w:rsidR="000A4024" w:rsidRDefault="000A4024" w:rsidP="000A4024">
      <w:pPr>
        <w:pStyle w:val="CETHeading1"/>
        <w:rPr>
          <w:lang w:val="pt-BR"/>
        </w:rPr>
      </w:pPr>
      <w:r w:rsidRPr="00312D55">
        <w:rPr>
          <w:lang w:val="pt-BR"/>
        </w:rPr>
        <w:t>Results and Discussions</w:t>
      </w:r>
    </w:p>
    <w:p w14:paraId="35D767A2" w14:textId="6638DE2C" w:rsidR="000F1906" w:rsidRPr="000F1906" w:rsidRDefault="000F1906" w:rsidP="000F1906">
      <w:pPr>
        <w:pStyle w:val="CETBodytext"/>
      </w:pPr>
      <w:r w:rsidRPr="000F1906">
        <w:t>The potential for greenhouse gas emissions from sugarcane cultivation is 21</w:t>
      </w:r>
      <w:r w:rsidR="00333701">
        <w:t>.</w:t>
      </w:r>
      <w:r w:rsidRPr="000F1906">
        <w:t xml:space="preserve">48 </w:t>
      </w:r>
      <w:r w:rsidR="00333701">
        <w:t>kg</w:t>
      </w:r>
      <w:r w:rsidR="00D0480C">
        <w:t xml:space="preserve"> </w:t>
      </w:r>
      <w:r w:rsidR="004571B6">
        <w:t>CO</w:t>
      </w:r>
      <w:r w:rsidR="004571B6">
        <w:rPr>
          <w:rFonts w:ascii="Cambria Math" w:hAnsi="Cambria Math" w:cs="Cambria Math"/>
        </w:rPr>
        <w:t>₂</w:t>
      </w:r>
      <w:r w:rsidR="00D0480C">
        <w:rPr>
          <w:vertAlign w:val="subscript"/>
        </w:rPr>
        <w:t xml:space="preserve"> </w:t>
      </w:r>
      <w:r w:rsidR="00333701">
        <w:t>eq/t</w:t>
      </w:r>
      <w:r w:rsidRPr="000F1906">
        <w:t xml:space="preserve"> of sugarcane produced. The results of the sensitivity analysis are presented in Figure 1, where the variation for the most important parameters in the agricultural stage were 20, 35 and 65%, thus evaluating the variation in crop emissions.</w:t>
      </w:r>
    </w:p>
    <w:p w14:paraId="2FA926AD" w14:textId="231801DF" w:rsidR="008140A3" w:rsidRPr="00506D07" w:rsidRDefault="000E0BAC" w:rsidP="00BA5AB1">
      <w:pPr>
        <w:pStyle w:val="CETBodytext"/>
        <w:jc w:val="left"/>
      </w:pPr>
      <w:r>
        <w:rPr>
          <w:noProof/>
          <w:lang w:val="pt-BR" w:eastAsia="pt-BR"/>
        </w:rPr>
        <w:drawing>
          <wp:inline distT="0" distB="0" distL="0" distR="0" wp14:anchorId="4A5F2948" wp14:editId="4E6956B1">
            <wp:extent cx="4121253" cy="1828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1253" cy="1828800"/>
                    </a:xfrm>
                    <a:prstGeom prst="rect">
                      <a:avLst/>
                    </a:prstGeom>
                    <a:noFill/>
                  </pic:spPr>
                </pic:pic>
              </a:graphicData>
            </a:graphic>
          </wp:inline>
        </w:drawing>
      </w:r>
    </w:p>
    <w:p w14:paraId="1AA56AA5" w14:textId="0E95EC05" w:rsidR="00BA5AB1" w:rsidRPr="005562CE" w:rsidRDefault="00BA5AB1" w:rsidP="00BA5AB1">
      <w:pPr>
        <w:pStyle w:val="CETCaption"/>
        <w:rPr>
          <w:lang w:val="en-US"/>
        </w:rPr>
      </w:pPr>
      <w:r w:rsidRPr="005562CE">
        <w:rPr>
          <w:rStyle w:val="CETCaptionCarattere"/>
          <w:i/>
          <w:lang w:val="en-US"/>
        </w:rPr>
        <w:t>Figure 1: Tornado graph of GHG emissions from sugarcane cultivation</w:t>
      </w:r>
    </w:p>
    <w:p w14:paraId="5143E6B4" w14:textId="51BF79BE" w:rsidR="00A4479B" w:rsidRDefault="008E5907" w:rsidP="00FB514A">
      <w:pPr>
        <w:pStyle w:val="CETBodytext"/>
      </w:pPr>
      <w:r w:rsidRPr="008E5907">
        <w:t xml:space="preserve">The variables that had the greatest impact on </w:t>
      </w:r>
      <w:r w:rsidR="00333701">
        <w:t>GHG emissions</w:t>
      </w:r>
      <w:r w:rsidRPr="008E5907">
        <w:t xml:space="preserve"> in the agricultural stage were the yield from sugarcane cultivation, the use of urea </w:t>
      </w:r>
      <w:r w:rsidR="00333701">
        <w:t>(</w:t>
      </w:r>
      <w:r w:rsidRPr="008E5907">
        <w:t>the main chemical fertilizer used in Bolivia</w:t>
      </w:r>
      <w:r w:rsidR="00333701">
        <w:t>)</w:t>
      </w:r>
      <w:r w:rsidRPr="008E5907">
        <w:t>, and the use of electrical energy in planting</w:t>
      </w:r>
      <w:r>
        <w:t xml:space="preserve"> and harvesting</w:t>
      </w:r>
      <w:r w:rsidRPr="008E5907">
        <w:t xml:space="preserve"> tasks. The results are consistent with the study </w:t>
      </w:r>
      <w:r w:rsidR="00333701">
        <w:t xml:space="preserve">carried out by </w:t>
      </w:r>
      <w:r>
        <w:rPr>
          <w:lang w:val="pt-BR"/>
        </w:rPr>
        <w:fldChar w:fldCharType="begin"/>
      </w:r>
      <w:r w:rsidRPr="008E5907">
        <w:instrText xml:space="preserve"> ADDIN ZOTERO_ITEM CSL_CITATION {"citationID":"YmXVq2rF","properties":{"formattedCitation":"(ARCENTALES-BASTIDAS; SILVA; RAMIREZ, 2022)","plainCitation":"(ARCENTALES-BASTIDAS; SILVA; RAMIREZ, 2022)","dontUpdate":true,"noteIndex":0},"citationItems":[{"id":1362,"uris":["http://zotero.org/groups/5347490/items/3TE3H8RN"],"itemData":{"id":1362,"type":"article-journal","container-title":"Energies","DOI":"10.3390/en15155421","issue":"15","note":"WOS:000839822500001","page":"5421","title":"The Environmental Profile of Ethanol Derived from Sugarcane in Ecuador: A Life Cycle Assessment Including the Effect of Cogeneration of Electricity in a Sugar Industrial Complex","volume":"15","author":[{"family":"Arcentales-Bastidas","given":"Danilo"},{"family":"Silva","given":"Carla"},{"family":"Ramirez","given":"Angel D."}],"issued":{"date-parts":[["2022",8]]}}}],"schema":"https://github.com/citation-style-language/schema/raw/master/csl-citation.json"} </w:instrText>
      </w:r>
      <w:r>
        <w:rPr>
          <w:lang w:val="pt-BR"/>
        </w:rPr>
        <w:fldChar w:fldCharType="separate"/>
      </w:r>
      <w:r w:rsidRPr="008E5907">
        <w:rPr>
          <w:rFonts w:cs="Arial"/>
        </w:rPr>
        <w:t>A</w:t>
      </w:r>
      <w:r w:rsidR="005562CE">
        <w:rPr>
          <w:rFonts w:cs="Arial"/>
        </w:rPr>
        <w:t>rcentales-Bastidas</w:t>
      </w:r>
      <w:r w:rsidRPr="008E5907">
        <w:rPr>
          <w:rFonts w:cs="Arial"/>
        </w:rPr>
        <w:t xml:space="preserve"> et al. (2022</w:t>
      </w:r>
      <w:r>
        <w:rPr>
          <w:lang w:val="pt-BR"/>
        </w:rPr>
        <w:fldChar w:fldCharType="end"/>
      </w:r>
      <w:r w:rsidRPr="008E5907">
        <w:t>) in Ecuador, in which it was determined that sugarcane</w:t>
      </w:r>
      <w:r>
        <w:t xml:space="preserve"> yield</w:t>
      </w:r>
      <w:r w:rsidRPr="008E5907">
        <w:t xml:space="preserve"> is the variable that has the greatest impact on the </w:t>
      </w:r>
      <w:r w:rsidR="00333701">
        <w:t>GWP</w:t>
      </w:r>
      <w:r>
        <w:t xml:space="preserve"> of sugarcane cultivation</w:t>
      </w:r>
      <w:r w:rsidRPr="008E5907">
        <w:t xml:space="preserve">. Likewise, the study by </w:t>
      </w:r>
      <w:r>
        <w:rPr>
          <w:lang w:val="pt-BR"/>
        </w:rPr>
        <w:fldChar w:fldCharType="begin"/>
      </w:r>
      <w:r w:rsidRPr="008E5907">
        <w:instrText xml:space="preserve"> ADDIN ZOTERO_ITEM CSL_CITATION {"citationID":"SqF1Ybum","properties":{"formattedCitation":"(SILVA et al., 2020)","plainCitation":"(SILVA et al., 2020)","dontUpdate":true,"noteIndex":0},"citationItems":[{"id":1363,"uris":["http://zotero.org/groups/5347490/items/D2TWC4EH"],"itemData":{"id":1363,"type":"article-journal","abstract":"The increase in the cultivation of sugarcane for energy purposes has raised awareness regarding the possibilities of mitigating the associated environmental impacts. This study applies the Life Cycle Assessment (LCA) methodology to quantify and compare the environmental impacts associated with the use of commercial chemical fertilization and industrial biosolids in the production of sugarcane. LCA was developed with the SimaPro® software, utilizing the Ecoinvent and Agri-footprint databases. The environmental impact assessment methods employed were the IPCC 2013 GWP 100y and Eco-indicator 99. An experiment was devised at an experimental farm located in Northeast Brazil, considering 1 ha cultivated with sugarcane. For commercial chemical fertilization, local management practices were followed. The biosolid was applied in the exact dosage recommended by Brazilian regulation, “biosolid 1x”. This amount was then multiplied by two, four, and eight, totalling four scenarios. The environmental loads generated in the cultivation of sugarcane decreased with the application of “biosolid 1x”. All biosolid dosages tested reached higher production values than commercial chemical fertilization. The application of biosolid as a fertilizer contributed to addressing the issue of its correct disposal and is a promising alternative for the development of more sustainable and productive energy systems.","container-title":"Renewable Energy","DOI":"https://doi.org/10.1016/j.renene.2020.05.178","ISSN":"0960-1481","page":"547-552","title":"Sustainable enhancement of sugarcane fertilization for energy purposes in hot climates","volume":"159","author":[{"family":"Silva","given":"Wallysson Klebson de Medeiros"},{"family":"Neves","given":"Talles Iwasawa"},{"family":"Silva","given":"Cleiton de Souza"},{"family":"Carvalho","given":"Monica"},{"family":"Abrahão","given":"Raphael"}],"issued":{"date-parts":[["2020"]]}}}],"schema":"https://github.com/citation-style-language/schema/raw/master/csl-citation.json"} </w:instrText>
      </w:r>
      <w:r>
        <w:rPr>
          <w:lang w:val="pt-BR"/>
        </w:rPr>
        <w:fldChar w:fldCharType="separate"/>
      </w:r>
      <w:r w:rsidR="005562CE">
        <w:rPr>
          <w:rFonts w:cs="Arial"/>
        </w:rPr>
        <w:t>Silva et al.</w:t>
      </w:r>
      <w:r w:rsidRPr="008E5907">
        <w:rPr>
          <w:rFonts w:cs="Arial"/>
        </w:rPr>
        <w:t xml:space="preserve"> (2020)</w:t>
      </w:r>
      <w:r>
        <w:rPr>
          <w:lang w:val="pt-BR"/>
        </w:rPr>
        <w:fldChar w:fldCharType="end"/>
      </w:r>
      <w:r w:rsidRPr="008E5907">
        <w:t>, developed in Brazil, states that the use of nitrogen fertilizers is among the three agricultural variables that have the greatest environmental impact on GHG emissi</w:t>
      </w:r>
      <w:r>
        <w:t>ons from sugarcane crop.</w:t>
      </w:r>
      <w:r w:rsidR="00333701">
        <w:t xml:space="preserve"> </w:t>
      </w:r>
      <w:r w:rsidR="00A4479B" w:rsidRPr="00A4479B">
        <w:t>An increase in the yield of sugarcane cultivation by 35</w:t>
      </w:r>
      <w:r w:rsidR="00866C64">
        <w:t xml:space="preserve"> </w:t>
      </w:r>
      <w:r w:rsidR="00A4479B" w:rsidRPr="00A4479B">
        <w:t>% implies a potential reduction in the crop's emissions of up to 17</w:t>
      </w:r>
      <w:r w:rsidR="00333701">
        <w:t>.</w:t>
      </w:r>
      <w:r w:rsidR="00A4479B" w:rsidRPr="00A4479B">
        <w:t xml:space="preserve">01 </w:t>
      </w:r>
      <w:r w:rsidR="00333701">
        <w:t>kg</w:t>
      </w:r>
      <w:r w:rsidR="00866C64">
        <w:t xml:space="preserve"> </w:t>
      </w:r>
      <w:r w:rsidR="004571B6">
        <w:t>CO</w:t>
      </w:r>
      <w:r w:rsidR="004571B6">
        <w:rPr>
          <w:rFonts w:ascii="Cambria Math" w:hAnsi="Cambria Math" w:cs="Cambria Math"/>
        </w:rPr>
        <w:t>₂</w:t>
      </w:r>
      <w:r w:rsidR="00866C64">
        <w:rPr>
          <w:vertAlign w:val="subscript"/>
        </w:rPr>
        <w:t xml:space="preserve"> </w:t>
      </w:r>
      <w:r w:rsidR="00333701">
        <w:t>eq/t</w:t>
      </w:r>
      <w:r w:rsidR="00333701" w:rsidRPr="000F1906">
        <w:t xml:space="preserve"> </w:t>
      </w:r>
      <w:r w:rsidR="00A4479B" w:rsidRPr="00A4479B">
        <w:t>of sugarcane and an increase of 65</w:t>
      </w:r>
      <w:r w:rsidR="00866C64">
        <w:t xml:space="preserve"> </w:t>
      </w:r>
      <w:r w:rsidR="00A4479B" w:rsidRPr="00A4479B">
        <w:t>% has the potential to reach a value of 15</w:t>
      </w:r>
      <w:r w:rsidR="00333701">
        <w:t>.00</w:t>
      </w:r>
      <w:r w:rsidR="00333701" w:rsidRPr="00333701">
        <w:t xml:space="preserve"> kg</w:t>
      </w:r>
      <w:r w:rsidR="00866C64">
        <w:t xml:space="preserve"> </w:t>
      </w:r>
      <w:r w:rsidR="004571B6">
        <w:t>CO</w:t>
      </w:r>
      <w:r w:rsidR="004571B6">
        <w:rPr>
          <w:rFonts w:ascii="Cambria Math" w:hAnsi="Cambria Math" w:cs="Cambria Math"/>
        </w:rPr>
        <w:t>₂</w:t>
      </w:r>
      <w:r w:rsidR="00866C64">
        <w:rPr>
          <w:vertAlign w:val="subscript"/>
        </w:rPr>
        <w:t xml:space="preserve"> </w:t>
      </w:r>
      <w:r w:rsidR="00333701" w:rsidRPr="00333701">
        <w:t>eq/</w:t>
      </w:r>
      <w:r w:rsidR="00E72D2E" w:rsidRPr="00333701">
        <w:t xml:space="preserve">t </w:t>
      </w:r>
      <w:r w:rsidR="00E72D2E" w:rsidRPr="00A4479B">
        <w:t>of</w:t>
      </w:r>
      <w:r w:rsidR="00A4479B" w:rsidRPr="00A4479B">
        <w:t xml:space="preserve"> sugarcane.</w:t>
      </w:r>
      <w:r w:rsidR="00333701">
        <w:t xml:space="preserve"> </w:t>
      </w:r>
    </w:p>
    <w:p w14:paraId="5A1FB580" w14:textId="7168F407" w:rsidR="00BA0FA7" w:rsidRDefault="00BA0FA7" w:rsidP="00BA0FA7">
      <w:pPr>
        <w:pStyle w:val="CETBodytext"/>
      </w:pPr>
      <w:r>
        <w:t xml:space="preserve">Likewise, a reduction in urea </w:t>
      </w:r>
      <w:r w:rsidR="00333701">
        <w:t xml:space="preserve">application of </w:t>
      </w:r>
      <w:r>
        <w:t>20</w:t>
      </w:r>
      <w:r w:rsidR="00607456">
        <w:t xml:space="preserve"> </w:t>
      </w:r>
      <w:r>
        <w:t>%, 35</w:t>
      </w:r>
      <w:r w:rsidR="00607456">
        <w:t xml:space="preserve"> </w:t>
      </w:r>
      <w:r>
        <w:t>%</w:t>
      </w:r>
      <w:r w:rsidR="00333701">
        <w:t>,</w:t>
      </w:r>
      <w:r>
        <w:t xml:space="preserve"> and 65</w:t>
      </w:r>
      <w:r w:rsidR="00607456">
        <w:t xml:space="preserve"> </w:t>
      </w:r>
      <w:r>
        <w:t>% implies a greenhouse gas potential of 19</w:t>
      </w:r>
      <w:r w:rsidR="00333701">
        <w:t>.</w:t>
      </w:r>
      <w:r>
        <w:t>60, 18</w:t>
      </w:r>
      <w:r w:rsidR="00333701">
        <w:t>.</w:t>
      </w:r>
      <w:r>
        <w:t>19</w:t>
      </w:r>
      <w:r w:rsidR="00333701">
        <w:t>,</w:t>
      </w:r>
      <w:r>
        <w:t xml:space="preserve"> and 15</w:t>
      </w:r>
      <w:r w:rsidR="00333701">
        <w:t>.</w:t>
      </w:r>
      <w:r>
        <w:t xml:space="preserve">37 </w:t>
      </w:r>
      <w:r w:rsidR="00333701">
        <w:t>kg</w:t>
      </w:r>
      <w:r w:rsidR="00607456">
        <w:t xml:space="preserve"> </w:t>
      </w:r>
      <w:r w:rsidR="004571B6">
        <w:t>CO</w:t>
      </w:r>
      <w:r w:rsidR="004571B6">
        <w:rPr>
          <w:rFonts w:ascii="Cambria Math" w:hAnsi="Cambria Math" w:cs="Cambria Math"/>
        </w:rPr>
        <w:t>₂</w:t>
      </w:r>
      <w:r w:rsidR="00607456">
        <w:rPr>
          <w:vertAlign w:val="subscript"/>
        </w:rPr>
        <w:t xml:space="preserve"> </w:t>
      </w:r>
      <w:r w:rsidR="00333701">
        <w:t>eq/t</w:t>
      </w:r>
      <w:r w:rsidR="00333701" w:rsidRPr="000F1906">
        <w:t xml:space="preserve"> </w:t>
      </w:r>
      <w:r>
        <w:t>of sugarcane, respectively.</w:t>
      </w:r>
    </w:p>
    <w:p w14:paraId="4C12ED86" w14:textId="5CE1C29B" w:rsidR="00E120EE" w:rsidRDefault="005116B8" w:rsidP="00FB514A">
      <w:pPr>
        <w:pStyle w:val="CETBodytext"/>
      </w:pPr>
      <w:r w:rsidRPr="009F7A02">
        <w:rPr>
          <w:noProof/>
          <w:lang w:val="pt-BR" w:eastAsia="pt-BR"/>
        </w:rPr>
        <w:drawing>
          <wp:anchor distT="0" distB="0" distL="114300" distR="114300" simplePos="0" relativeHeight="251663360" behindDoc="0" locked="0" layoutInCell="1" allowOverlap="1" wp14:anchorId="17942E46" wp14:editId="4900F603">
            <wp:simplePos x="0" y="0"/>
            <wp:positionH relativeFrom="column">
              <wp:posOffset>257403</wp:posOffset>
            </wp:positionH>
            <wp:positionV relativeFrom="paragraph">
              <wp:posOffset>1006475</wp:posOffset>
            </wp:positionV>
            <wp:extent cx="2256865" cy="169164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6865"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9CA" w:rsidRPr="002D0AA9">
        <w:rPr>
          <w:noProof/>
          <w:lang w:val="pt-BR" w:eastAsia="pt-BR"/>
        </w:rPr>
        <w:drawing>
          <wp:anchor distT="0" distB="0" distL="114300" distR="114300" simplePos="0" relativeHeight="251660288" behindDoc="0" locked="0" layoutInCell="1" allowOverlap="1" wp14:anchorId="17F155AD" wp14:editId="2A32167F">
            <wp:simplePos x="0" y="0"/>
            <wp:positionH relativeFrom="margin">
              <wp:posOffset>2479381</wp:posOffset>
            </wp:positionH>
            <wp:positionV relativeFrom="paragraph">
              <wp:posOffset>938872</wp:posOffset>
            </wp:positionV>
            <wp:extent cx="2819400" cy="169164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FA7">
        <w:t xml:space="preserve">For the Monte Carlo simulation, forecasts were prepared for the variables that were reported the most times, that is, the variables for which more information was available. </w:t>
      </w:r>
      <w:r w:rsidR="00BA0FA7" w:rsidRPr="00BA0FA7">
        <w:t xml:space="preserve">Information related to crop yield and urea use is presented in </w:t>
      </w:r>
      <w:r w:rsidR="00C61281" w:rsidRPr="00BA0FA7">
        <w:t xml:space="preserve">Figure 2, </w:t>
      </w:r>
      <w:r w:rsidR="00BA0FA7" w:rsidRPr="00BA0FA7">
        <w:t>while information related to the use of insecticides and herbicides is presented in</w:t>
      </w:r>
      <w:r w:rsidR="00C61281" w:rsidRPr="00BA0FA7">
        <w:t xml:space="preserve"> Figure 3.</w:t>
      </w:r>
      <w:r w:rsidR="00445842" w:rsidRPr="00445842">
        <w:rPr>
          <w:noProof/>
          <w:lang w:eastAsia="pt-BR"/>
        </w:rPr>
        <w:t xml:space="preserve"> </w:t>
      </w:r>
      <w:r w:rsidR="00333701" w:rsidRPr="00EB2BA8">
        <w:t xml:space="preserve">Based on historical data, the probability of yield reaching a value of 24 </w:t>
      </w:r>
      <w:r w:rsidR="00333701">
        <w:t>t/</w:t>
      </w:r>
      <w:r w:rsidR="00333701" w:rsidRPr="00EB2BA8">
        <w:t>acre</w:t>
      </w:r>
      <w:r w:rsidR="002041E3">
        <w:t xml:space="preserve"> (59.3 t/ha)</w:t>
      </w:r>
      <w:r w:rsidR="00333701" w:rsidRPr="00EB2BA8">
        <w:t xml:space="preserve"> over the next </w:t>
      </w:r>
      <w:r w:rsidR="00333701">
        <w:t xml:space="preserve">four </w:t>
      </w:r>
      <w:r w:rsidR="00333701" w:rsidRPr="00EB2BA8">
        <w:t>years is 95</w:t>
      </w:r>
      <w:r w:rsidR="002041E3">
        <w:t xml:space="preserve"> </w:t>
      </w:r>
      <w:r w:rsidR="00333701" w:rsidRPr="00EB2BA8">
        <w:t xml:space="preserve">%, and a forecast urea use of </w:t>
      </w:r>
      <w:r w:rsidR="00333701">
        <w:t>12.1</w:t>
      </w:r>
      <w:r w:rsidR="00333701" w:rsidRPr="00EB2BA8">
        <w:t xml:space="preserve"> </w:t>
      </w:r>
      <w:r w:rsidR="00333701">
        <w:t>kg</w:t>
      </w:r>
      <w:r w:rsidR="00333701" w:rsidRPr="00EB2BA8">
        <w:t xml:space="preserve"> of nitrogen per acre of cropland was determined. In the case of the use of herbicides and insecticides, there </w:t>
      </w:r>
      <w:r w:rsidR="00333701">
        <w:t>is a forecast for the next four</w:t>
      </w:r>
      <w:r w:rsidR="00333701" w:rsidRPr="00EB2BA8">
        <w:t xml:space="preserve"> years of </w:t>
      </w:r>
      <w:r w:rsidR="00333701">
        <w:t>0.</w:t>
      </w:r>
      <w:r w:rsidR="00333701" w:rsidRPr="00EB2BA8">
        <w:t xml:space="preserve">38 and </w:t>
      </w:r>
      <w:r w:rsidR="00333701">
        <w:t>0.</w:t>
      </w:r>
      <w:r w:rsidR="00333701" w:rsidRPr="00EB2BA8">
        <w:t xml:space="preserve">81 </w:t>
      </w:r>
      <w:r w:rsidR="00333701">
        <w:t>kg/</w:t>
      </w:r>
      <w:r w:rsidR="00333701" w:rsidRPr="00EB2BA8">
        <w:t>acre of cultivated land.</w:t>
      </w:r>
      <w:r w:rsidR="00E120EE" w:rsidRPr="00E120EE">
        <w:t xml:space="preserve"> </w:t>
      </w:r>
    </w:p>
    <w:p w14:paraId="60432ADB" w14:textId="1504313E" w:rsidR="00E120EE" w:rsidRDefault="00E120EE" w:rsidP="00FB514A">
      <w:pPr>
        <w:pStyle w:val="CETBodytext"/>
      </w:pPr>
    </w:p>
    <w:p w14:paraId="2D4AA28B" w14:textId="749F1428" w:rsidR="003A5304" w:rsidRPr="00904CAF" w:rsidRDefault="00E120EE" w:rsidP="00663FB5">
      <w:pPr>
        <w:pStyle w:val="CETCaption"/>
        <w:rPr>
          <w:rStyle w:val="CETCaptionCarattere"/>
        </w:rPr>
      </w:pPr>
      <w:r w:rsidRPr="00663FB5">
        <w:rPr>
          <w:rStyle w:val="CETCaptionCarattere"/>
          <w:i/>
        </w:rPr>
        <w:t xml:space="preserve">   Figure 2: Crop yield and urea use forecasts                 Figure 3: Insecticides and herbicides use forecast</w:t>
      </w:r>
    </w:p>
    <w:p w14:paraId="29661C2C" w14:textId="169A981A" w:rsidR="0089037D" w:rsidRPr="00904CAF" w:rsidRDefault="00EB2BA8" w:rsidP="00663FB5">
      <w:pPr>
        <w:pStyle w:val="CETBodytext"/>
      </w:pPr>
      <w:r w:rsidRPr="00904CAF">
        <w:lastRenderedPageBreak/>
        <w:t xml:space="preserve">Based on the history of the reported variables and, consequently, their probability distribution, a Monte Carlo simulation </w:t>
      </w:r>
      <w:r w:rsidR="00333701" w:rsidRPr="00904CAF">
        <w:t xml:space="preserve">was </w:t>
      </w:r>
      <w:r w:rsidRPr="00904CAF">
        <w:t xml:space="preserve">carried out, which after a thousand repetitions allows evaluating the probability distribution of greenhouse gas emissions from sugarcane, which is shown in </w:t>
      </w:r>
      <w:r w:rsidR="00EA1579" w:rsidRPr="00904CAF">
        <w:t>Figure 4.</w:t>
      </w:r>
      <w:r w:rsidR="0089037D" w:rsidRPr="00904CAF">
        <w:t xml:space="preserve"> The result is a normal probability distribution whose average greenhouse gas emissions based on forecasts for the next three years is 18.2</w:t>
      </w:r>
      <w:r w:rsidR="0079603A" w:rsidRPr="00904CAF">
        <w:t xml:space="preserve"> </w:t>
      </w:r>
      <w:r w:rsidR="0089037D" w:rsidRPr="00904CAF">
        <w:t>kg</w:t>
      </w:r>
      <w:r w:rsidR="0079603A" w:rsidRPr="00904CAF">
        <w:t xml:space="preserve"> </w:t>
      </w:r>
      <w:r w:rsidR="004571B6">
        <w:t>CO</w:t>
      </w:r>
      <w:r w:rsidR="004571B6">
        <w:rPr>
          <w:rFonts w:ascii="Cambria Math" w:hAnsi="Cambria Math" w:cs="Cambria Math"/>
        </w:rPr>
        <w:t>₂</w:t>
      </w:r>
      <w:r w:rsidR="0079603A" w:rsidRPr="00663FB5">
        <w:t xml:space="preserve"> </w:t>
      </w:r>
      <w:r w:rsidR="0089037D" w:rsidRPr="00904CAF">
        <w:t>eq/t of sugarcane with a standard deviation of 3.1 kg</w:t>
      </w:r>
      <w:r w:rsidR="007F412F">
        <w:t xml:space="preserve"> </w:t>
      </w:r>
      <w:r w:rsidR="004571B6">
        <w:t>CO</w:t>
      </w:r>
      <w:r w:rsidR="004571B6">
        <w:rPr>
          <w:rFonts w:ascii="Cambria Math" w:hAnsi="Cambria Math" w:cs="Cambria Math"/>
        </w:rPr>
        <w:t>₂</w:t>
      </w:r>
      <w:r w:rsidR="007F412F">
        <w:t xml:space="preserve"> </w:t>
      </w:r>
      <w:r w:rsidR="0089037D" w:rsidRPr="00904CAF">
        <w:t>eq/t.</w:t>
      </w:r>
    </w:p>
    <w:p w14:paraId="6A9C99CC" w14:textId="68E06F54" w:rsidR="0079603A" w:rsidRDefault="0079603A" w:rsidP="0089037D">
      <w:pPr>
        <w:pStyle w:val="CETBodytext"/>
        <w:jc w:val="left"/>
      </w:pPr>
    </w:p>
    <w:p w14:paraId="331C783E" w14:textId="2197DEB9" w:rsidR="00243E04" w:rsidRDefault="007F412F" w:rsidP="00663FB5">
      <w:pPr>
        <w:pStyle w:val="CETBodytext"/>
        <w:ind w:left="4248"/>
        <w:jc w:val="right"/>
        <w:rPr>
          <w:rStyle w:val="CETCaptionCarattere"/>
        </w:rPr>
      </w:pPr>
      <w:r w:rsidRPr="00243E04">
        <w:rPr>
          <w:noProof/>
          <w:lang w:val="pt-BR" w:eastAsia="pt-BR"/>
        </w:rPr>
        <w:drawing>
          <wp:anchor distT="0" distB="0" distL="114300" distR="114300" simplePos="0" relativeHeight="251662336" behindDoc="0" locked="0" layoutInCell="1" allowOverlap="1" wp14:anchorId="526986BD" wp14:editId="2B1F4897">
            <wp:simplePos x="0" y="0"/>
            <wp:positionH relativeFrom="margin">
              <wp:align>left</wp:align>
            </wp:positionH>
            <wp:positionV relativeFrom="paragraph">
              <wp:posOffset>20149</wp:posOffset>
            </wp:positionV>
            <wp:extent cx="5226055" cy="210312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2108" r="5829" b="12108"/>
                    <a:stretch/>
                  </pic:blipFill>
                  <pic:spPr bwMode="auto">
                    <a:xfrm>
                      <a:off x="0" y="0"/>
                      <a:ext cx="5226055" cy="2103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3DC25B" w14:textId="77777777" w:rsidR="00243E04" w:rsidRDefault="00243E04" w:rsidP="00663FB5">
      <w:pPr>
        <w:pStyle w:val="CETBodytext"/>
        <w:ind w:left="4248"/>
        <w:jc w:val="right"/>
        <w:rPr>
          <w:rStyle w:val="CETCaptionCarattere"/>
        </w:rPr>
      </w:pPr>
    </w:p>
    <w:p w14:paraId="14C529DD" w14:textId="7DDD9D23" w:rsidR="0079603A" w:rsidRPr="001D534A" w:rsidRDefault="0079603A" w:rsidP="0089037D">
      <w:pPr>
        <w:pStyle w:val="CETBodytext"/>
        <w:jc w:val="left"/>
      </w:pPr>
    </w:p>
    <w:p w14:paraId="6F22DB0A" w14:textId="42325FF4" w:rsidR="00243E04" w:rsidRDefault="00243E04" w:rsidP="00EA1579">
      <w:pPr>
        <w:pStyle w:val="CETBodytext"/>
        <w:jc w:val="left"/>
      </w:pPr>
    </w:p>
    <w:p w14:paraId="273A0A1E" w14:textId="77777777" w:rsidR="00243E04" w:rsidRDefault="00243E04" w:rsidP="00EA1579">
      <w:pPr>
        <w:pStyle w:val="CETBodytext"/>
        <w:jc w:val="left"/>
      </w:pPr>
    </w:p>
    <w:p w14:paraId="23AF9E70" w14:textId="70C6CEC9" w:rsidR="00EA1579" w:rsidRPr="00663FB5" w:rsidRDefault="00EA1579" w:rsidP="00EA1579">
      <w:pPr>
        <w:pStyle w:val="CETBodytext"/>
        <w:jc w:val="left"/>
      </w:pPr>
    </w:p>
    <w:p w14:paraId="78A2E18F" w14:textId="77777777" w:rsidR="00243E04" w:rsidRDefault="00243E04" w:rsidP="007B5641">
      <w:pPr>
        <w:pStyle w:val="CETBodytext"/>
        <w:jc w:val="left"/>
        <w:rPr>
          <w:noProof/>
          <w:lang w:eastAsia="pt-BR"/>
        </w:rPr>
      </w:pPr>
    </w:p>
    <w:p w14:paraId="1BB421CA" w14:textId="77777777" w:rsidR="00243E04" w:rsidRDefault="00243E04" w:rsidP="007B5641">
      <w:pPr>
        <w:pStyle w:val="CETBodytext"/>
        <w:jc w:val="left"/>
        <w:rPr>
          <w:noProof/>
          <w:lang w:eastAsia="pt-BR"/>
        </w:rPr>
      </w:pPr>
    </w:p>
    <w:p w14:paraId="6880F927" w14:textId="77777777" w:rsidR="00243E04" w:rsidRDefault="00243E04" w:rsidP="007B5641">
      <w:pPr>
        <w:pStyle w:val="CETBodytext"/>
        <w:jc w:val="left"/>
        <w:rPr>
          <w:noProof/>
          <w:lang w:eastAsia="pt-BR"/>
        </w:rPr>
      </w:pPr>
    </w:p>
    <w:p w14:paraId="36E344E7" w14:textId="77777777" w:rsidR="00243E04" w:rsidRDefault="00243E04" w:rsidP="007B5641">
      <w:pPr>
        <w:pStyle w:val="CETBodytext"/>
        <w:jc w:val="left"/>
        <w:rPr>
          <w:noProof/>
          <w:lang w:eastAsia="pt-BR"/>
        </w:rPr>
      </w:pPr>
    </w:p>
    <w:p w14:paraId="47D735CC" w14:textId="77777777" w:rsidR="00243E04" w:rsidRDefault="00243E04" w:rsidP="007B5641">
      <w:pPr>
        <w:pStyle w:val="CETBodytext"/>
        <w:jc w:val="left"/>
        <w:rPr>
          <w:noProof/>
          <w:lang w:eastAsia="pt-BR"/>
        </w:rPr>
      </w:pPr>
    </w:p>
    <w:p w14:paraId="2637B1D2" w14:textId="77777777" w:rsidR="00243E04" w:rsidRDefault="00243E04" w:rsidP="007B5641">
      <w:pPr>
        <w:pStyle w:val="CETBodytext"/>
        <w:jc w:val="left"/>
        <w:rPr>
          <w:noProof/>
          <w:lang w:eastAsia="pt-BR"/>
        </w:rPr>
      </w:pPr>
    </w:p>
    <w:p w14:paraId="41AD8F8B" w14:textId="77777777" w:rsidR="00243E04" w:rsidRDefault="00243E04" w:rsidP="007B5641">
      <w:pPr>
        <w:pStyle w:val="CETBodytext"/>
        <w:jc w:val="left"/>
        <w:rPr>
          <w:noProof/>
          <w:lang w:eastAsia="pt-BR"/>
        </w:rPr>
      </w:pPr>
    </w:p>
    <w:p w14:paraId="3DB37278" w14:textId="77777777" w:rsidR="00626994" w:rsidRDefault="00626994" w:rsidP="00663FB5">
      <w:pPr>
        <w:pStyle w:val="CETCaption"/>
        <w:rPr>
          <w:noProof/>
          <w:lang w:eastAsia="pt-BR"/>
        </w:rPr>
      </w:pPr>
    </w:p>
    <w:p w14:paraId="3B9D51E0" w14:textId="64DD9992" w:rsidR="007B5641" w:rsidRPr="007B5641" w:rsidRDefault="007B5641" w:rsidP="00663FB5">
      <w:pPr>
        <w:pStyle w:val="CETCaption"/>
      </w:pPr>
      <w:r w:rsidRPr="00904CAF">
        <w:rPr>
          <w:rStyle w:val="CETCaptionCarattere"/>
          <w:i/>
        </w:rPr>
        <w:t>Figure 4: Probability distribution obtained through Monte Carlo simulation</w:t>
      </w:r>
    </w:p>
    <w:p w14:paraId="6B5F1A4A" w14:textId="77777777" w:rsidR="002340F7" w:rsidRPr="00663FB5" w:rsidRDefault="002340F7" w:rsidP="00904CAF">
      <w:pPr>
        <w:pStyle w:val="CETHeading1"/>
      </w:pPr>
      <w:r w:rsidRPr="00663FB5">
        <w:t>Conclusions</w:t>
      </w:r>
    </w:p>
    <w:p w14:paraId="48576C5C" w14:textId="522A03D4" w:rsidR="00A06CC1" w:rsidRPr="00A06CC1" w:rsidRDefault="00A06CC1" w:rsidP="00A06CC1">
      <w:pPr>
        <w:pStyle w:val="CETBodytext"/>
      </w:pPr>
      <w:r w:rsidRPr="00A06CC1">
        <w:t>Bolivia began producing ethanol for mixing with gasoline only in 2018, starting with a 10</w:t>
      </w:r>
      <w:r w:rsidR="00E835B1">
        <w:t xml:space="preserve"> </w:t>
      </w:r>
      <w:r w:rsidRPr="00A06CC1">
        <w:t>% volumetric fraction blend with the goal of reaching a 25</w:t>
      </w:r>
      <w:r w:rsidR="00E835B1">
        <w:t xml:space="preserve"> </w:t>
      </w:r>
      <w:r w:rsidRPr="00A06CC1">
        <w:t xml:space="preserve">% blend in 2025. To guarantee future supply, expansion of the </w:t>
      </w:r>
      <w:r>
        <w:t>cultivated area is planned.</w:t>
      </w:r>
      <w:r w:rsidRPr="00A06CC1">
        <w:t xml:space="preserve"> However, this measure does not guarantee the sustainable development of sugarcane, as although greater ethanol production is guaranteed and consequently a lower environmental impact of the road transport subsector, the potential environmental impact of the agricultural sector is still </w:t>
      </w:r>
      <w:r w:rsidR="00FE75BF" w:rsidRPr="00A06CC1">
        <w:t>present.</w:t>
      </w:r>
      <w:r w:rsidR="00540DB9">
        <w:t xml:space="preserve"> </w:t>
      </w:r>
      <w:r w:rsidR="0089037D">
        <w:t xml:space="preserve">The results of LCA of this study indicated that the current carbon intensity of sugarcane cultivation in Bolivia is </w:t>
      </w:r>
      <w:r w:rsidR="0089037D" w:rsidRPr="000F1906">
        <w:t>21</w:t>
      </w:r>
      <w:r w:rsidR="0089037D">
        <w:t>.</w:t>
      </w:r>
      <w:r w:rsidR="0089037D" w:rsidRPr="000F1906">
        <w:t xml:space="preserve">48 </w:t>
      </w:r>
      <w:r w:rsidR="0089037D">
        <w:t>kg</w:t>
      </w:r>
      <w:r w:rsidR="00E835B1">
        <w:t xml:space="preserve"> </w:t>
      </w:r>
      <w:r w:rsidR="004571B6">
        <w:t>CO</w:t>
      </w:r>
      <w:r w:rsidR="004571B6">
        <w:rPr>
          <w:rFonts w:ascii="Cambria Math" w:hAnsi="Cambria Math" w:cs="Cambria Math"/>
        </w:rPr>
        <w:t>₂</w:t>
      </w:r>
      <w:r w:rsidR="00E835B1">
        <w:rPr>
          <w:vertAlign w:val="subscript"/>
        </w:rPr>
        <w:t xml:space="preserve"> </w:t>
      </w:r>
      <w:r w:rsidR="0089037D">
        <w:t>eq/t</w:t>
      </w:r>
      <w:r w:rsidR="0089037D" w:rsidRPr="000F1906">
        <w:t xml:space="preserve"> of sugarcane</w:t>
      </w:r>
      <w:r w:rsidR="0089037D">
        <w:t xml:space="preserve">, with potential to decrease in the next years. </w:t>
      </w:r>
    </w:p>
    <w:p w14:paraId="5B0552CB" w14:textId="42E212F8" w:rsidR="00F82BD8" w:rsidRDefault="00A06CC1" w:rsidP="00A06CC1">
      <w:pPr>
        <w:pStyle w:val="CETBodytext"/>
      </w:pPr>
      <w:r w:rsidRPr="00A06CC1">
        <w:t xml:space="preserve">In the short term, it is expected that the country's government will consider the importance of crop yield and implement sustainable agricultural practices that can maximize this yield. At the same time, it is important to mention that the application of controlled rates of chemical fertilizers, </w:t>
      </w:r>
      <w:r w:rsidR="00540DB9">
        <w:t xml:space="preserve">such as urea </w:t>
      </w:r>
      <w:r w:rsidRPr="00A06CC1">
        <w:t>in the case of Bolivia, is also considered an agricultural technique to maximize agricultural production.</w:t>
      </w:r>
      <w:r w:rsidR="00540DB9">
        <w:t xml:space="preserve"> </w:t>
      </w:r>
    </w:p>
    <w:p w14:paraId="068CC301" w14:textId="77777777" w:rsidR="00F82BD8" w:rsidRPr="00947FF4" w:rsidRDefault="00F82BD8" w:rsidP="00947FF4">
      <w:pPr>
        <w:pStyle w:val="CETAcknowledgementstitle"/>
      </w:pPr>
      <w:r w:rsidRPr="00947FF4">
        <w:t>Acknowledgments</w:t>
      </w:r>
    </w:p>
    <w:p w14:paraId="7B7B4E12" w14:textId="612DC901" w:rsidR="00F82BD8" w:rsidRDefault="00F82BD8" w:rsidP="00F82BD8">
      <w:pPr>
        <w:pStyle w:val="CETBodytext"/>
        <w:rPr>
          <w:lang w:val="en-GB"/>
        </w:rPr>
      </w:pPr>
      <w:r>
        <w:rPr>
          <w:lang w:val="en-GB"/>
        </w:rPr>
        <w:t>T</w:t>
      </w:r>
      <w:r w:rsidRPr="00F82BD8">
        <w:rPr>
          <w:lang w:val="en-GB"/>
        </w:rPr>
        <w:t>his study was financed in part by the Coordenação de Aperfeiçoamento de Pessoal de Nível Superior - Brazil (CAPES) - Finance Code 001.</w:t>
      </w:r>
      <w:r w:rsidR="00C60EE9">
        <w:rPr>
          <w:lang w:val="en-GB"/>
        </w:rPr>
        <w:t xml:space="preserve"> Also, </w:t>
      </w:r>
      <w:r w:rsidR="00C60EE9" w:rsidRPr="00C60EE9">
        <w:rPr>
          <w:lang w:val="en-GB"/>
        </w:rPr>
        <w:t>The authors acknowledge the support from FAPESP (the Sao Paulo Research Foundation, #2022/16379-8 and #2015/20630-4).</w:t>
      </w:r>
    </w:p>
    <w:p w14:paraId="522BECDD" w14:textId="1AD1BE39" w:rsidR="00BA5AB1" w:rsidRPr="00947FF4" w:rsidRDefault="008D390D" w:rsidP="00947FF4">
      <w:pPr>
        <w:pStyle w:val="CETReference"/>
      </w:pPr>
      <w:r w:rsidRPr="00947FF4">
        <w:t>References</w:t>
      </w:r>
    </w:p>
    <w:p w14:paraId="1895C5D7" w14:textId="588BBF7E" w:rsidR="00A62EF5" w:rsidRPr="00C60EE9" w:rsidRDefault="00000092" w:rsidP="00A62EF5">
      <w:pPr>
        <w:pStyle w:val="CETReferencetext"/>
        <w:ind w:left="288" w:hanging="288"/>
        <w:rPr>
          <w:sz w:val="16"/>
          <w:szCs w:val="16"/>
          <w:lang w:val="en-US"/>
        </w:rPr>
      </w:pPr>
      <w:r w:rsidRPr="00CA368B">
        <w:rPr>
          <w:szCs w:val="16"/>
          <w:lang w:val="pt-BR"/>
        </w:rPr>
        <w:fldChar w:fldCharType="begin"/>
      </w:r>
      <w:r w:rsidR="00A62EF5" w:rsidRPr="004571B6">
        <w:rPr>
          <w:szCs w:val="16"/>
        </w:rPr>
        <w:instrText xml:space="preserve"> ADDIN ZOTERO_BIBL {"uncited":[],"omitted":[],"custom":[]} CSL_BIBLIOGRAPHY </w:instrText>
      </w:r>
      <w:r w:rsidRPr="00CA368B">
        <w:rPr>
          <w:szCs w:val="16"/>
          <w:lang w:val="pt-BR"/>
        </w:rPr>
        <w:fldChar w:fldCharType="separate"/>
      </w:r>
      <w:r w:rsidR="00A62EF5" w:rsidRPr="00C60EE9">
        <w:rPr>
          <w:sz w:val="16"/>
          <w:szCs w:val="16"/>
        </w:rPr>
        <w:t xml:space="preserve">Alazaiza, M. Y. D., Albahnasawi, A., Al Maskari, T., Abujazar, M. S. S., Bashir, M. J. K., Nassani, D. E., and Abu Amr, S. S. (2023). Biofuel Production Using Cultivated Algae: Technologies, Economics, and Its Environmental Impacts. </w:t>
      </w:r>
      <w:r w:rsidR="00A62EF5" w:rsidRPr="00C60EE9">
        <w:rPr>
          <w:i/>
          <w:iCs/>
          <w:sz w:val="16"/>
          <w:szCs w:val="16"/>
          <w:lang w:val="en-US"/>
        </w:rPr>
        <w:t>Energies</w:t>
      </w:r>
      <w:r w:rsidR="00A62EF5" w:rsidRPr="00C60EE9">
        <w:rPr>
          <w:sz w:val="16"/>
          <w:szCs w:val="16"/>
          <w:lang w:val="en-US"/>
        </w:rPr>
        <w:t xml:space="preserve">, </w:t>
      </w:r>
      <w:r w:rsidR="00A62EF5" w:rsidRPr="00C60EE9">
        <w:rPr>
          <w:i/>
          <w:iCs/>
          <w:sz w:val="16"/>
          <w:szCs w:val="16"/>
          <w:lang w:val="en-US"/>
        </w:rPr>
        <w:t>16</w:t>
      </w:r>
      <w:r w:rsidR="00A62EF5" w:rsidRPr="00C60EE9">
        <w:rPr>
          <w:sz w:val="16"/>
          <w:szCs w:val="16"/>
          <w:lang w:val="en-US"/>
        </w:rPr>
        <w:t>(3), Article 3. https://doi.org/10.3390/en16031316</w:t>
      </w:r>
    </w:p>
    <w:p w14:paraId="44D396A8" w14:textId="6084E38C" w:rsidR="00A62EF5" w:rsidRPr="00C60EE9" w:rsidRDefault="00A62EF5" w:rsidP="00A62EF5">
      <w:pPr>
        <w:pStyle w:val="CETReferencetext"/>
        <w:ind w:left="288" w:hanging="288"/>
        <w:rPr>
          <w:sz w:val="16"/>
          <w:szCs w:val="16"/>
        </w:rPr>
      </w:pPr>
      <w:r w:rsidRPr="00C60EE9">
        <w:rPr>
          <w:sz w:val="16"/>
          <w:szCs w:val="16"/>
          <w:lang w:val="en-US"/>
        </w:rPr>
        <w:t xml:space="preserve">Arcentales-Bastidas, D., Silva, C., and Ramirez, A. D. (2022). </w:t>
      </w:r>
      <w:r w:rsidRPr="00C60EE9">
        <w:rPr>
          <w:sz w:val="16"/>
          <w:szCs w:val="16"/>
        </w:rPr>
        <w:t xml:space="preserve">The Environmental Profile of Ethanol Derived from Sugarcane in Ecuador: A Life Cycle Assessment Including the Effect of Cogeneration of Electricity in a Sugar Industrial Complex. </w:t>
      </w:r>
      <w:r w:rsidRPr="00C60EE9">
        <w:rPr>
          <w:i/>
          <w:iCs/>
          <w:sz w:val="16"/>
          <w:szCs w:val="16"/>
        </w:rPr>
        <w:t>Energies</w:t>
      </w:r>
      <w:r w:rsidRPr="00C60EE9">
        <w:rPr>
          <w:sz w:val="16"/>
          <w:szCs w:val="16"/>
        </w:rPr>
        <w:t xml:space="preserve">, </w:t>
      </w:r>
      <w:r w:rsidRPr="00C60EE9">
        <w:rPr>
          <w:i/>
          <w:iCs/>
          <w:sz w:val="16"/>
          <w:szCs w:val="16"/>
        </w:rPr>
        <w:t>15</w:t>
      </w:r>
      <w:r w:rsidRPr="00C60EE9">
        <w:rPr>
          <w:sz w:val="16"/>
          <w:szCs w:val="16"/>
        </w:rPr>
        <w:t>(15), 5421. https://doi.org/10.3390/en15155421</w:t>
      </w:r>
    </w:p>
    <w:p w14:paraId="044784CD" w14:textId="3F4F473F" w:rsidR="00A62EF5" w:rsidRPr="00C60EE9" w:rsidRDefault="00A62EF5" w:rsidP="00A62EF5">
      <w:pPr>
        <w:pStyle w:val="CETReferencetext"/>
        <w:ind w:left="288" w:hanging="288"/>
        <w:rPr>
          <w:sz w:val="16"/>
          <w:szCs w:val="16"/>
        </w:rPr>
      </w:pPr>
      <w:r w:rsidRPr="00C60EE9">
        <w:rPr>
          <w:sz w:val="16"/>
          <w:szCs w:val="16"/>
        </w:rPr>
        <w:t xml:space="preserve">Battaglia, M. L., Thomason, W. E., Fike, J. H., Evanylo, G. K., Stewart, R. D., Gross, C. D., Seleiman, M. F., Babur, E., Sadeghpour, A., and Harrison, M. T. (2022). Corn and Wheat Residue Management Effects on Greenhouse Gas Emissions in the Mid-Atlantic USA. </w:t>
      </w:r>
      <w:r w:rsidRPr="00C60EE9">
        <w:rPr>
          <w:i/>
          <w:iCs/>
          <w:sz w:val="16"/>
          <w:szCs w:val="16"/>
        </w:rPr>
        <w:t>Land</w:t>
      </w:r>
      <w:r w:rsidRPr="00C60EE9">
        <w:rPr>
          <w:sz w:val="16"/>
          <w:szCs w:val="16"/>
        </w:rPr>
        <w:t xml:space="preserve">, </w:t>
      </w:r>
      <w:r w:rsidRPr="00C60EE9">
        <w:rPr>
          <w:i/>
          <w:iCs/>
          <w:sz w:val="16"/>
          <w:szCs w:val="16"/>
        </w:rPr>
        <w:t>11</w:t>
      </w:r>
      <w:r w:rsidRPr="00C60EE9">
        <w:rPr>
          <w:sz w:val="16"/>
          <w:szCs w:val="16"/>
        </w:rPr>
        <w:t>(6), Article 6. https://doi.org/10.3390/land11060846</w:t>
      </w:r>
    </w:p>
    <w:p w14:paraId="46BE50D0" w14:textId="78F27AB4" w:rsidR="00A62EF5" w:rsidRPr="00C60EE9" w:rsidRDefault="00A62EF5" w:rsidP="00A62EF5">
      <w:pPr>
        <w:pStyle w:val="CETReferencetext"/>
        <w:ind w:left="288" w:hanging="288"/>
        <w:rPr>
          <w:sz w:val="16"/>
          <w:szCs w:val="16"/>
        </w:rPr>
      </w:pPr>
      <w:r w:rsidRPr="00C60EE9">
        <w:rPr>
          <w:sz w:val="16"/>
          <w:szCs w:val="16"/>
        </w:rPr>
        <w:t xml:space="preserve">Bharathiraja, B., Jayamuthunagai, J., Sudharsanaa, T., Bharghavi, A., Praveenkumar, R., Chakravarthy, M., and Yuvaraj, D. (2017). Biobutanol – An impending biofuel for future: A review on upstream and downstream processing tecniques. </w:t>
      </w:r>
      <w:r w:rsidRPr="00C60EE9">
        <w:rPr>
          <w:i/>
          <w:iCs/>
          <w:sz w:val="16"/>
          <w:szCs w:val="16"/>
        </w:rPr>
        <w:t>Renewable and Sustainable Energy Reviews</w:t>
      </w:r>
      <w:r w:rsidRPr="00C60EE9">
        <w:rPr>
          <w:sz w:val="16"/>
          <w:szCs w:val="16"/>
        </w:rPr>
        <w:t xml:space="preserve">, </w:t>
      </w:r>
      <w:r w:rsidRPr="00C60EE9">
        <w:rPr>
          <w:i/>
          <w:iCs/>
          <w:sz w:val="16"/>
          <w:szCs w:val="16"/>
        </w:rPr>
        <w:t>68</w:t>
      </w:r>
      <w:r w:rsidRPr="00C60EE9">
        <w:rPr>
          <w:sz w:val="16"/>
          <w:szCs w:val="16"/>
        </w:rPr>
        <w:t>, 788-807. https://doi.org/10.1016/j.rser.2016.10.017</w:t>
      </w:r>
    </w:p>
    <w:p w14:paraId="0E2F1914" w14:textId="64D6FD36" w:rsidR="00A62EF5" w:rsidRPr="00C60EE9" w:rsidRDefault="00A62EF5" w:rsidP="00A62EF5">
      <w:pPr>
        <w:pStyle w:val="CETReferencetext"/>
        <w:ind w:left="288" w:hanging="288"/>
        <w:rPr>
          <w:sz w:val="16"/>
          <w:szCs w:val="16"/>
          <w:lang w:val="pt-BR"/>
        </w:rPr>
      </w:pPr>
      <w:r w:rsidRPr="00C60EE9">
        <w:rPr>
          <w:sz w:val="16"/>
          <w:szCs w:val="16"/>
          <w:lang w:val="en-US"/>
        </w:rPr>
        <w:t xml:space="preserve">Calvin, K. V., Beach, R., Gurgel, A., Labriet, M., and Loboguerrero Rodriguez, A. M. (2016). </w:t>
      </w:r>
      <w:r w:rsidRPr="00C60EE9">
        <w:rPr>
          <w:sz w:val="16"/>
          <w:szCs w:val="16"/>
        </w:rPr>
        <w:t xml:space="preserve">Agriculture, forestry, and other land-use emissions in Latin America. </w:t>
      </w:r>
      <w:r w:rsidRPr="00C60EE9">
        <w:rPr>
          <w:i/>
          <w:iCs/>
          <w:sz w:val="16"/>
          <w:szCs w:val="16"/>
          <w:lang w:val="pt-BR"/>
        </w:rPr>
        <w:t>Energy Economics</w:t>
      </w:r>
      <w:r w:rsidRPr="00C60EE9">
        <w:rPr>
          <w:sz w:val="16"/>
          <w:szCs w:val="16"/>
          <w:lang w:val="pt-BR"/>
        </w:rPr>
        <w:t xml:space="preserve">, </w:t>
      </w:r>
      <w:r w:rsidRPr="00C60EE9">
        <w:rPr>
          <w:i/>
          <w:iCs/>
          <w:sz w:val="16"/>
          <w:szCs w:val="16"/>
          <w:lang w:val="pt-BR"/>
        </w:rPr>
        <w:t>56</w:t>
      </w:r>
      <w:r w:rsidRPr="00C60EE9">
        <w:rPr>
          <w:sz w:val="16"/>
          <w:szCs w:val="16"/>
          <w:lang w:val="pt-BR"/>
        </w:rPr>
        <w:t>, 615-624. https://doi.org/10.1016/j.eneco.2015.03.020</w:t>
      </w:r>
    </w:p>
    <w:p w14:paraId="3FE1BBC1" w14:textId="36B3A510" w:rsidR="00A62EF5" w:rsidRPr="00C60EE9" w:rsidRDefault="00A62EF5" w:rsidP="00A62EF5">
      <w:pPr>
        <w:pStyle w:val="CETReferencetext"/>
        <w:ind w:left="288" w:hanging="288"/>
        <w:rPr>
          <w:sz w:val="16"/>
          <w:szCs w:val="16"/>
        </w:rPr>
      </w:pPr>
      <w:r w:rsidRPr="00C60EE9">
        <w:rPr>
          <w:sz w:val="16"/>
          <w:szCs w:val="16"/>
          <w:lang w:val="pt-BR"/>
        </w:rPr>
        <w:lastRenderedPageBreak/>
        <w:t xml:space="preserve">Canabarro, N. I., Silva-Ortiz, P., Nogueira, L. A. H., Cantarella, H., Maciel-Filho, R., and Souza, G. M. (2023). </w:t>
      </w:r>
      <w:r w:rsidRPr="00C60EE9">
        <w:rPr>
          <w:sz w:val="16"/>
          <w:szCs w:val="16"/>
        </w:rPr>
        <w:t xml:space="preserve">Sustainability assessment of ethanol and biodiesel production in Argentina, Brazil, Colombia, and Guatemala. </w:t>
      </w:r>
      <w:r w:rsidRPr="00C60EE9">
        <w:rPr>
          <w:i/>
          <w:iCs/>
          <w:sz w:val="16"/>
          <w:szCs w:val="16"/>
        </w:rPr>
        <w:t>Renewable and Sustainable Energy Reviews</w:t>
      </w:r>
      <w:r w:rsidRPr="00C60EE9">
        <w:rPr>
          <w:sz w:val="16"/>
          <w:szCs w:val="16"/>
        </w:rPr>
        <w:t xml:space="preserve">, </w:t>
      </w:r>
      <w:r w:rsidRPr="00C60EE9">
        <w:rPr>
          <w:i/>
          <w:iCs/>
          <w:sz w:val="16"/>
          <w:szCs w:val="16"/>
        </w:rPr>
        <w:t>171</w:t>
      </w:r>
      <w:r w:rsidRPr="00C60EE9">
        <w:rPr>
          <w:sz w:val="16"/>
          <w:szCs w:val="16"/>
        </w:rPr>
        <w:t>, 113019. https://doi.org/10.1016/j.rser.2022.113019</w:t>
      </w:r>
    </w:p>
    <w:p w14:paraId="51ECAA63" w14:textId="625D2309" w:rsidR="00A62EF5" w:rsidRPr="00C60EE9" w:rsidRDefault="00A62EF5" w:rsidP="00A62EF5">
      <w:pPr>
        <w:pStyle w:val="CETReferencetext"/>
        <w:ind w:left="288" w:hanging="288"/>
        <w:rPr>
          <w:sz w:val="16"/>
          <w:szCs w:val="16"/>
        </w:rPr>
      </w:pPr>
      <w:r w:rsidRPr="00C60EE9">
        <w:rPr>
          <w:sz w:val="16"/>
          <w:szCs w:val="16"/>
          <w:lang w:val="es-BO"/>
        </w:rPr>
        <w:t xml:space="preserve">Capilla, M., Silvestre, C., Valles, A., Álvarez-Hornos, F. J., San-Valero, P., and Gabaldón, C. (2022). </w:t>
      </w:r>
      <w:r w:rsidRPr="00C60EE9">
        <w:rPr>
          <w:sz w:val="16"/>
          <w:szCs w:val="16"/>
        </w:rPr>
        <w:t xml:space="preserve">The Influence of Sugar Composition and pH Regulation in Batch and Continuous Acetone–Butanol–Ethanol Fermentation. </w:t>
      </w:r>
      <w:r w:rsidRPr="00C60EE9">
        <w:rPr>
          <w:i/>
          <w:iCs/>
          <w:sz w:val="16"/>
          <w:szCs w:val="16"/>
        </w:rPr>
        <w:t>Fermentation</w:t>
      </w:r>
      <w:r w:rsidRPr="00C60EE9">
        <w:rPr>
          <w:sz w:val="16"/>
          <w:szCs w:val="16"/>
        </w:rPr>
        <w:t xml:space="preserve">, </w:t>
      </w:r>
      <w:r w:rsidRPr="00C60EE9">
        <w:rPr>
          <w:i/>
          <w:iCs/>
          <w:sz w:val="16"/>
          <w:szCs w:val="16"/>
        </w:rPr>
        <w:t>8</w:t>
      </w:r>
      <w:r w:rsidRPr="00C60EE9">
        <w:rPr>
          <w:sz w:val="16"/>
          <w:szCs w:val="16"/>
        </w:rPr>
        <w:t>(5), Article 5. https://doi.org/10.3390/fermentation8050226</w:t>
      </w:r>
    </w:p>
    <w:p w14:paraId="7F51788B" w14:textId="291E7F2D" w:rsidR="00A62EF5" w:rsidRPr="00C60EE9" w:rsidRDefault="00A62EF5" w:rsidP="00A62EF5">
      <w:pPr>
        <w:pStyle w:val="CETReferencetext"/>
        <w:ind w:left="288" w:hanging="288"/>
        <w:rPr>
          <w:sz w:val="16"/>
          <w:szCs w:val="16"/>
          <w:lang w:val="es-BO"/>
        </w:rPr>
      </w:pPr>
      <w:r w:rsidRPr="00C60EE9">
        <w:rPr>
          <w:sz w:val="16"/>
          <w:szCs w:val="16"/>
        </w:rPr>
        <w:t xml:space="preserve">Erdiwansyah, Mamat, R., Sani, M. S. M., Sudhakar, K., Kadarohman, A., and Sardjono, R. E. (2019). An overview of Higher alcohol and biodiesel as alternative fuels in engines. </w:t>
      </w:r>
      <w:r w:rsidRPr="00C60EE9">
        <w:rPr>
          <w:i/>
          <w:iCs/>
          <w:sz w:val="16"/>
          <w:szCs w:val="16"/>
          <w:lang w:val="es-BO"/>
        </w:rPr>
        <w:t>Energy Reports</w:t>
      </w:r>
      <w:r w:rsidRPr="00C60EE9">
        <w:rPr>
          <w:sz w:val="16"/>
          <w:szCs w:val="16"/>
          <w:lang w:val="es-BO"/>
        </w:rPr>
        <w:t xml:space="preserve">, </w:t>
      </w:r>
      <w:r w:rsidRPr="00C60EE9">
        <w:rPr>
          <w:i/>
          <w:iCs/>
          <w:sz w:val="16"/>
          <w:szCs w:val="16"/>
          <w:lang w:val="es-BO"/>
        </w:rPr>
        <w:t>5</w:t>
      </w:r>
      <w:r w:rsidRPr="00C60EE9">
        <w:rPr>
          <w:sz w:val="16"/>
          <w:szCs w:val="16"/>
          <w:lang w:val="es-BO"/>
        </w:rPr>
        <w:t>, 467-479. https://doi.org/10.1016/j.egyr.2019.04.009</w:t>
      </w:r>
    </w:p>
    <w:p w14:paraId="738A71DE" w14:textId="66B65AC6" w:rsidR="00A62EF5" w:rsidRPr="00C60EE9" w:rsidRDefault="00A62EF5" w:rsidP="00A62EF5">
      <w:pPr>
        <w:pStyle w:val="CETReferencetext"/>
        <w:ind w:left="288" w:hanging="288"/>
        <w:rPr>
          <w:sz w:val="16"/>
          <w:szCs w:val="16"/>
        </w:rPr>
      </w:pPr>
      <w:r w:rsidRPr="00C60EE9">
        <w:rPr>
          <w:sz w:val="16"/>
          <w:szCs w:val="16"/>
          <w:lang w:val="es-BO"/>
        </w:rPr>
        <w:t xml:space="preserve">Fernandez Vazquez, C. A. A., Brecha, R. J., and Fernandez Fuentes, M. H. (2022). </w:t>
      </w:r>
      <w:r w:rsidRPr="00C60EE9">
        <w:rPr>
          <w:sz w:val="16"/>
          <w:szCs w:val="16"/>
        </w:rPr>
        <w:t xml:space="preserve">Analyzing carbon emissions policies for the Bolivian electric sector. </w:t>
      </w:r>
      <w:r w:rsidRPr="00C60EE9">
        <w:rPr>
          <w:i/>
          <w:iCs/>
          <w:sz w:val="16"/>
          <w:szCs w:val="16"/>
        </w:rPr>
        <w:t>Renewable and Sustainable Energy Transition</w:t>
      </w:r>
      <w:r w:rsidRPr="00C60EE9">
        <w:rPr>
          <w:sz w:val="16"/>
          <w:szCs w:val="16"/>
        </w:rPr>
        <w:t xml:space="preserve">, </w:t>
      </w:r>
      <w:r w:rsidRPr="00C60EE9">
        <w:rPr>
          <w:i/>
          <w:iCs/>
          <w:sz w:val="16"/>
          <w:szCs w:val="16"/>
        </w:rPr>
        <w:t>2</w:t>
      </w:r>
      <w:r w:rsidRPr="00C60EE9">
        <w:rPr>
          <w:sz w:val="16"/>
          <w:szCs w:val="16"/>
        </w:rPr>
        <w:t>, 100017. https://doi.org/10.1016/j.rset.2022.100017</w:t>
      </w:r>
    </w:p>
    <w:p w14:paraId="213F37C7" w14:textId="360A65F4" w:rsidR="00A62EF5" w:rsidRPr="00C60EE9" w:rsidRDefault="00A62EF5" w:rsidP="00A62EF5">
      <w:pPr>
        <w:pStyle w:val="CETReferencetext"/>
        <w:ind w:left="288" w:hanging="288"/>
        <w:rPr>
          <w:sz w:val="16"/>
          <w:szCs w:val="16"/>
        </w:rPr>
      </w:pPr>
      <w:r w:rsidRPr="00C60EE9">
        <w:rPr>
          <w:sz w:val="16"/>
          <w:szCs w:val="16"/>
          <w:lang w:val="en-US"/>
        </w:rPr>
        <w:t xml:space="preserve">Guizzardi, D., Pisoni, E., Pagani, F., and Crippa, M. (2023). </w:t>
      </w:r>
      <w:r w:rsidRPr="00C60EE9">
        <w:rPr>
          <w:i/>
          <w:iCs/>
          <w:sz w:val="16"/>
          <w:szCs w:val="16"/>
        </w:rPr>
        <w:t>GHG Emissions at sub-national level</w:t>
      </w:r>
      <w:r w:rsidRPr="00C60EE9">
        <w:rPr>
          <w:sz w:val="16"/>
          <w:szCs w:val="16"/>
        </w:rPr>
        <w:t xml:space="preserve"> [dataset]. European Commission, Joint Research Centre (JRC). https://doi.org/10.2905/D67EEDA8-C03E-4421-95D0-0ADC460B9658</w:t>
      </w:r>
    </w:p>
    <w:p w14:paraId="114B96F3" w14:textId="464CDD95" w:rsidR="00A62EF5" w:rsidRPr="00C60EE9" w:rsidRDefault="00A62EF5" w:rsidP="00A62EF5">
      <w:pPr>
        <w:pStyle w:val="CETReferencetext"/>
        <w:ind w:left="288" w:hanging="288"/>
        <w:rPr>
          <w:sz w:val="16"/>
          <w:szCs w:val="16"/>
        </w:rPr>
      </w:pPr>
      <w:r w:rsidRPr="00C60EE9">
        <w:rPr>
          <w:sz w:val="16"/>
          <w:szCs w:val="16"/>
        </w:rPr>
        <w:t xml:space="preserve">Hertwich, E. G., and Wood, R. (2018). The growing importance of scope 3 greenhouse gas emissions from industry. </w:t>
      </w:r>
      <w:r w:rsidRPr="00C60EE9">
        <w:rPr>
          <w:i/>
          <w:iCs/>
          <w:sz w:val="16"/>
          <w:szCs w:val="16"/>
        </w:rPr>
        <w:t>Environmental Research Letters</w:t>
      </w:r>
      <w:r w:rsidRPr="00C60EE9">
        <w:rPr>
          <w:sz w:val="16"/>
          <w:szCs w:val="16"/>
        </w:rPr>
        <w:t xml:space="preserve">, </w:t>
      </w:r>
      <w:r w:rsidRPr="00C60EE9">
        <w:rPr>
          <w:i/>
          <w:iCs/>
          <w:sz w:val="16"/>
          <w:szCs w:val="16"/>
        </w:rPr>
        <w:t>13</w:t>
      </w:r>
      <w:r w:rsidRPr="00C60EE9">
        <w:rPr>
          <w:sz w:val="16"/>
          <w:szCs w:val="16"/>
        </w:rPr>
        <w:t>(10), 104013. https://doi.org/10.1088/1748-9326/aae19a</w:t>
      </w:r>
    </w:p>
    <w:p w14:paraId="1BEAB0F6" w14:textId="77777777" w:rsidR="00A62EF5" w:rsidRPr="00C60EE9" w:rsidRDefault="00A62EF5" w:rsidP="00A62EF5">
      <w:pPr>
        <w:pStyle w:val="CETReferencetext"/>
        <w:ind w:left="288" w:hanging="288"/>
        <w:rPr>
          <w:sz w:val="16"/>
          <w:szCs w:val="16"/>
        </w:rPr>
      </w:pPr>
      <w:r w:rsidRPr="00C60EE9">
        <w:rPr>
          <w:sz w:val="16"/>
          <w:szCs w:val="16"/>
        </w:rPr>
        <w:t xml:space="preserve">INE. (2022). </w:t>
      </w:r>
      <w:r w:rsidRPr="00C60EE9">
        <w:rPr>
          <w:i/>
          <w:iCs/>
          <w:sz w:val="16"/>
          <w:szCs w:val="16"/>
        </w:rPr>
        <w:t>Bolivia – Agricultural Year Area by Department, 1984 – 2022 (in Spanish)</w:t>
      </w:r>
      <w:r w:rsidRPr="00C60EE9">
        <w:rPr>
          <w:sz w:val="16"/>
          <w:szCs w:val="16"/>
        </w:rPr>
        <w:t xml:space="preserve"> [dataset]. https://www.ine.gob.bo/index.php/estadisticas-economicas/agropecuaria/agricultura-cuadros-estadisticos/</w:t>
      </w:r>
    </w:p>
    <w:p w14:paraId="15938830" w14:textId="77777777" w:rsidR="00A62EF5" w:rsidRPr="00C60EE9" w:rsidRDefault="00A62EF5" w:rsidP="00A62EF5">
      <w:pPr>
        <w:pStyle w:val="CETReferencetext"/>
        <w:ind w:left="288" w:hanging="288"/>
        <w:rPr>
          <w:sz w:val="16"/>
          <w:szCs w:val="16"/>
          <w:lang w:val="es-BO"/>
        </w:rPr>
      </w:pPr>
      <w:r w:rsidRPr="00C60EE9">
        <w:rPr>
          <w:sz w:val="16"/>
          <w:szCs w:val="16"/>
          <w:lang w:val="es-BO"/>
        </w:rPr>
        <w:t xml:space="preserve">Jeanete. (2023, mayo 11). YPFB aumentará etanol de 10% a 12% a la gasolina. </w:t>
      </w:r>
      <w:r w:rsidRPr="00C60EE9">
        <w:rPr>
          <w:i/>
          <w:iCs/>
          <w:sz w:val="16"/>
          <w:szCs w:val="16"/>
          <w:lang w:val="es-BO"/>
        </w:rPr>
        <w:t>El Diario - Bolivia</w:t>
      </w:r>
      <w:r w:rsidRPr="00C60EE9">
        <w:rPr>
          <w:sz w:val="16"/>
          <w:szCs w:val="16"/>
          <w:lang w:val="es-BO"/>
        </w:rPr>
        <w:t>. https://www.eldiario.net/portal/2023/05/11/ypfb-aumentara-etanol-de-10-a-12-a-la-gasolina/</w:t>
      </w:r>
    </w:p>
    <w:p w14:paraId="57DC6377" w14:textId="15860598" w:rsidR="00A62EF5" w:rsidRPr="00C60EE9" w:rsidRDefault="00A62EF5" w:rsidP="00A62EF5">
      <w:pPr>
        <w:pStyle w:val="CETReferencetext"/>
        <w:ind w:left="288" w:hanging="288"/>
        <w:rPr>
          <w:sz w:val="16"/>
          <w:szCs w:val="16"/>
        </w:rPr>
      </w:pPr>
      <w:r w:rsidRPr="00C60EE9">
        <w:rPr>
          <w:sz w:val="16"/>
          <w:szCs w:val="16"/>
        </w:rPr>
        <w:t xml:space="preserve">Jonker, J., Junginger, M., Posada, J., Ioiart, C., Faaij, A., and van der Hilst, F. (2019). Economic performance and GHG emission intensity of sugarcane- and eucalyptus-derived biofuels and biobased chemicals in Brazil. </w:t>
      </w:r>
      <w:r w:rsidRPr="00C60EE9">
        <w:rPr>
          <w:i/>
          <w:iCs/>
          <w:sz w:val="16"/>
          <w:szCs w:val="16"/>
        </w:rPr>
        <w:t>BIOFUELS BIOPRODUCTS and BIOREFINING-BIOFPR</w:t>
      </w:r>
      <w:r w:rsidRPr="00C60EE9">
        <w:rPr>
          <w:sz w:val="16"/>
          <w:szCs w:val="16"/>
        </w:rPr>
        <w:t xml:space="preserve">, </w:t>
      </w:r>
      <w:r w:rsidRPr="00C60EE9">
        <w:rPr>
          <w:i/>
          <w:iCs/>
          <w:sz w:val="16"/>
          <w:szCs w:val="16"/>
        </w:rPr>
        <w:t>13</w:t>
      </w:r>
      <w:r w:rsidRPr="00C60EE9">
        <w:rPr>
          <w:sz w:val="16"/>
          <w:szCs w:val="16"/>
        </w:rPr>
        <w:t>(4), 950-977. https://doi.org/10.1002/bbb.1986</w:t>
      </w:r>
    </w:p>
    <w:p w14:paraId="3CE0B7C1" w14:textId="77777777" w:rsidR="00A62EF5" w:rsidRPr="00C60EE9" w:rsidRDefault="00A62EF5" w:rsidP="00A62EF5">
      <w:pPr>
        <w:pStyle w:val="CETReferencetext"/>
        <w:ind w:left="288" w:hanging="288"/>
        <w:rPr>
          <w:sz w:val="16"/>
          <w:szCs w:val="16"/>
        </w:rPr>
      </w:pPr>
      <w:r w:rsidRPr="00C60EE9">
        <w:rPr>
          <w:sz w:val="16"/>
          <w:szCs w:val="16"/>
        </w:rPr>
        <w:t xml:space="preserve">Lamb, W. F., Wiedmann, T., Pongratz, J., Andrew, R., Crippa, M., Olivier, J. G. J., Wiedenhofer, D., Mattioli, G., Khourdajie, A. A., House, J., Pachauri, S., Figueroa, M., Saheb, Y., Slade, R., Hubacek, K., Sun, L., Ribeiro, S. K., Khennas, S., Can, S. de la R. du, … Minx, J. (2021). A review of trends and drivers of greenhouse gas emissions by sector from 1990 to 2018. </w:t>
      </w:r>
      <w:r w:rsidRPr="00C60EE9">
        <w:rPr>
          <w:i/>
          <w:iCs/>
          <w:sz w:val="16"/>
          <w:szCs w:val="16"/>
        </w:rPr>
        <w:t>Environmental Research Letters</w:t>
      </w:r>
      <w:r w:rsidRPr="00C60EE9">
        <w:rPr>
          <w:sz w:val="16"/>
          <w:szCs w:val="16"/>
        </w:rPr>
        <w:t xml:space="preserve">, </w:t>
      </w:r>
      <w:r w:rsidRPr="00C60EE9">
        <w:rPr>
          <w:i/>
          <w:iCs/>
          <w:sz w:val="16"/>
          <w:szCs w:val="16"/>
        </w:rPr>
        <w:t>16</w:t>
      </w:r>
      <w:r w:rsidRPr="00C60EE9">
        <w:rPr>
          <w:sz w:val="16"/>
          <w:szCs w:val="16"/>
        </w:rPr>
        <w:t>(7), 073005. https://doi.org/10.1088/1748-9326/abee4e</w:t>
      </w:r>
    </w:p>
    <w:p w14:paraId="13F633B1" w14:textId="5DB707FB" w:rsidR="00A62EF5" w:rsidRPr="00C60EE9" w:rsidRDefault="00A62EF5" w:rsidP="00A62EF5">
      <w:pPr>
        <w:pStyle w:val="CETReferencetext"/>
        <w:ind w:left="288" w:hanging="288"/>
        <w:rPr>
          <w:sz w:val="16"/>
          <w:szCs w:val="16"/>
        </w:rPr>
      </w:pPr>
      <w:r w:rsidRPr="00C60EE9">
        <w:rPr>
          <w:sz w:val="16"/>
          <w:szCs w:val="16"/>
        </w:rPr>
        <w:t xml:space="preserve">Lan, Xin., Tans, P., and K.W. (2024). </w:t>
      </w:r>
      <w:r w:rsidRPr="00C60EE9">
        <w:rPr>
          <w:i/>
          <w:iCs/>
          <w:sz w:val="16"/>
          <w:szCs w:val="16"/>
        </w:rPr>
        <w:t xml:space="preserve">Thoning: Trends in globally-averaged </w:t>
      </w:r>
      <w:r w:rsidR="004571B6" w:rsidRPr="00C60EE9">
        <w:rPr>
          <w:i/>
          <w:iCs/>
          <w:sz w:val="16"/>
          <w:szCs w:val="16"/>
        </w:rPr>
        <w:t>CO</w:t>
      </w:r>
      <w:r w:rsidR="004571B6" w:rsidRPr="00C60EE9">
        <w:rPr>
          <w:rFonts w:ascii="Cambria Math" w:hAnsi="Cambria Math" w:cs="Cambria Math"/>
          <w:i/>
          <w:iCs/>
          <w:sz w:val="16"/>
          <w:szCs w:val="16"/>
        </w:rPr>
        <w:t>₂</w:t>
      </w:r>
      <w:r w:rsidRPr="00C60EE9">
        <w:rPr>
          <w:i/>
          <w:iCs/>
          <w:sz w:val="16"/>
          <w:szCs w:val="16"/>
        </w:rPr>
        <w:t xml:space="preserve"> determined from NOAA Global Monitoring Laboratory measurements</w:t>
      </w:r>
      <w:r w:rsidRPr="00C60EE9">
        <w:rPr>
          <w:sz w:val="16"/>
          <w:szCs w:val="16"/>
        </w:rPr>
        <w:t xml:space="preserve"> [dataset]. https://doi.org/10.15138/9N0H-ZH07</w:t>
      </w:r>
    </w:p>
    <w:p w14:paraId="6729D933" w14:textId="66D18E40" w:rsidR="00A62EF5" w:rsidRPr="00C60EE9" w:rsidRDefault="00A62EF5" w:rsidP="00A62EF5">
      <w:pPr>
        <w:pStyle w:val="CETReferencetext"/>
        <w:ind w:left="288" w:hanging="288"/>
        <w:rPr>
          <w:sz w:val="16"/>
          <w:szCs w:val="16"/>
        </w:rPr>
      </w:pPr>
      <w:r w:rsidRPr="00C60EE9">
        <w:rPr>
          <w:sz w:val="16"/>
          <w:szCs w:val="16"/>
        </w:rPr>
        <w:t xml:space="preserve">Liu, X., Kwon, H., and Wang, M. (2021). </w:t>
      </w:r>
      <w:r w:rsidRPr="00C60EE9">
        <w:rPr>
          <w:i/>
          <w:iCs/>
          <w:sz w:val="16"/>
          <w:szCs w:val="16"/>
        </w:rPr>
        <w:t>Feedstock Carbon Intensity Calculator (FD-CIC) Users’ Manual and Technical Documentation</w:t>
      </w:r>
      <w:r w:rsidRPr="00C60EE9">
        <w:rPr>
          <w:sz w:val="16"/>
          <w:szCs w:val="16"/>
        </w:rPr>
        <w:t>. https://doi.org/10.2172/1823646</w:t>
      </w:r>
    </w:p>
    <w:p w14:paraId="4B7E79CE" w14:textId="77777777" w:rsidR="00A62EF5" w:rsidRPr="00C60EE9" w:rsidRDefault="00A62EF5" w:rsidP="00A62EF5">
      <w:pPr>
        <w:pStyle w:val="CETReferencetext"/>
        <w:ind w:left="288" w:hanging="288"/>
        <w:rPr>
          <w:sz w:val="16"/>
          <w:szCs w:val="16"/>
          <w:lang w:val="es-BO"/>
        </w:rPr>
      </w:pPr>
      <w:r w:rsidRPr="00C60EE9">
        <w:rPr>
          <w:sz w:val="16"/>
          <w:szCs w:val="16"/>
        </w:rPr>
        <w:t xml:space="preserve">MDPyEP. (2021). </w:t>
      </w:r>
      <w:r w:rsidRPr="00C60EE9">
        <w:rPr>
          <w:i/>
          <w:iCs/>
          <w:sz w:val="16"/>
          <w:szCs w:val="16"/>
        </w:rPr>
        <w:t>Analysis of the Sugar Cane Productive Complex (in Spanish)</w:t>
      </w:r>
      <w:r w:rsidRPr="00C60EE9">
        <w:rPr>
          <w:sz w:val="16"/>
          <w:szCs w:val="16"/>
        </w:rPr>
        <w:t xml:space="preserve">. </w:t>
      </w:r>
      <w:r w:rsidRPr="00C60EE9">
        <w:rPr>
          <w:sz w:val="16"/>
          <w:szCs w:val="16"/>
          <w:lang w:val="es-BO"/>
        </w:rPr>
        <w:t>MINISTERIO DE DESARROLLO PRODUCTIVO Y ECONOMÍA PLURAL. https://siip.produccion.gob.bo/noticias/files/777_analisis-complejo-cana-de-azucar.pdf</w:t>
      </w:r>
    </w:p>
    <w:p w14:paraId="4E13AC7A" w14:textId="77777777" w:rsidR="00A62EF5" w:rsidRPr="00C60EE9" w:rsidRDefault="00A62EF5" w:rsidP="00A62EF5">
      <w:pPr>
        <w:pStyle w:val="CETReferencetext"/>
        <w:ind w:left="288" w:hanging="288"/>
        <w:rPr>
          <w:sz w:val="16"/>
          <w:szCs w:val="16"/>
        </w:rPr>
      </w:pPr>
      <w:r w:rsidRPr="00C60EE9">
        <w:rPr>
          <w:sz w:val="16"/>
          <w:szCs w:val="16"/>
        </w:rPr>
        <w:t xml:space="preserve">MDPyEP. (2023). </w:t>
      </w:r>
      <w:r w:rsidRPr="00C60EE9">
        <w:rPr>
          <w:i/>
          <w:iCs/>
          <w:sz w:val="16"/>
          <w:szCs w:val="16"/>
        </w:rPr>
        <w:t>Sugarcane Newsletter (in Spanish)</w:t>
      </w:r>
      <w:r w:rsidRPr="00C60EE9">
        <w:rPr>
          <w:sz w:val="16"/>
          <w:szCs w:val="16"/>
        </w:rPr>
        <w:t>. MDPyEP. https://siip.produccion.gob.bo/repSIIP2/lista-biblioteca.php</w:t>
      </w:r>
    </w:p>
    <w:p w14:paraId="63CC9996" w14:textId="77777777" w:rsidR="00A62EF5" w:rsidRPr="00C60EE9" w:rsidRDefault="00A62EF5" w:rsidP="00A62EF5">
      <w:pPr>
        <w:pStyle w:val="CETReferencetext"/>
        <w:ind w:left="288" w:hanging="288"/>
        <w:rPr>
          <w:sz w:val="16"/>
          <w:szCs w:val="16"/>
        </w:rPr>
      </w:pPr>
      <w:r w:rsidRPr="00C60EE9">
        <w:rPr>
          <w:sz w:val="16"/>
          <w:szCs w:val="16"/>
        </w:rPr>
        <w:t xml:space="preserve">Molina-Castro, G. (2022). A Monte Carlo Method for Quantifying Uncertainties in the Official Greenhouse Gas Emission Factors Database of Costa Rica. </w:t>
      </w:r>
      <w:r w:rsidRPr="00C60EE9">
        <w:rPr>
          <w:i/>
          <w:iCs/>
          <w:sz w:val="16"/>
          <w:szCs w:val="16"/>
        </w:rPr>
        <w:t>Frontiers in Environmental Science</w:t>
      </w:r>
      <w:r w:rsidRPr="00C60EE9">
        <w:rPr>
          <w:sz w:val="16"/>
          <w:szCs w:val="16"/>
        </w:rPr>
        <w:t xml:space="preserve">, </w:t>
      </w:r>
      <w:r w:rsidRPr="00C60EE9">
        <w:rPr>
          <w:i/>
          <w:iCs/>
          <w:sz w:val="16"/>
          <w:szCs w:val="16"/>
        </w:rPr>
        <w:t>10</w:t>
      </w:r>
      <w:r w:rsidRPr="00C60EE9">
        <w:rPr>
          <w:sz w:val="16"/>
          <w:szCs w:val="16"/>
        </w:rPr>
        <w:t>. https://www.frontiersin.org/articles/10.3389/fenvs.2022.896256</w:t>
      </w:r>
    </w:p>
    <w:p w14:paraId="3B2D0475" w14:textId="77777777" w:rsidR="00A62EF5" w:rsidRPr="00C60EE9" w:rsidRDefault="00A62EF5" w:rsidP="00A62EF5">
      <w:pPr>
        <w:pStyle w:val="CETReferencetext"/>
        <w:ind w:left="288" w:hanging="288"/>
        <w:rPr>
          <w:sz w:val="16"/>
          <w:szCs w:val="16"/>
        </w:rPr>
      </w:pPr>
      <w:r w:rsidRPr="00C60EE9">
        <w:rPr>
          <w:sz w:val="16"/>
          <w:szCs w:val="16"/>
        </w:rPr>
        <w:t xml:space="preserve">NOAA. (2022). </w:t>
      </w:r>
      <w:r w:rsidRPr="00C60EE9">
        <w:rPr>
          <w:i/>
          <w:iCs/>
          <w:sz w:val="16"/>
          <w:szCs w:val="16"/>
        </w:rPr>
        <w:t>Carbon dioxide now more than 50% higher than pre-industrial levels | National Oceanic and Atmospheric Administration</w:t>
      </w:r>
      <w:r w:rsidRPr="00C60EE9">
        <w:rPr>
          <w:sz w:val="16"/>
          <w:szCs w:val="16"/>
        </w:rPr>
        <w:t>. https://www.noaa.gov/news-release/carbon-dioxide-now-more-than-50-higher-than-pre-industrial-levels</w:t>
      </w:r>
    </w:p>
    <w:p w14:paraId="4910C4BC" w14:textId="2B3619B1" w:rsidR="00A62EF5" w:rsidRPr="00C60EE9" w:rsidRDefault="00A62EF5" w:rsidP="00A62EF5">
      <w:pPr>
        <w:pStyle w:val="CETReferencetext"/>
        <w:ind w:left="288" w:hanging="288"/>
        <w:rPr>
          <w:sz w:val="16"/>
          <w:szCs w:val="16"/>
        </w:rPr>
      </w:pPr>
      <w:r w:rsidRPr="00C60EE9">
        <w:rPr>
          <w:sz w:val="16"/>
          <w:szCs w:val="16"/>
        </w:rPr>
        <w:t xml:space="preserve">Peña Balderrama, G., Khatiwada, D., Gardumi, F., Alfstad, T., Ulloa Jimenez, S., and Howells, M. (2020). </w:t>
      </w:r>
      <w:r w:rsidRPr="00C60EE9">
        <w:rPr>
          <w:i/>
          <w:iCs/>
          <w:sz w:val="16"/>
          <w:szCs w:val="16"/>
        </w:rPr>
        <w:t>Integrated analysis of land-use, energy and water systems for ethanol production from sugarcane in Bolivia</w:t>
      </w:r>
      <w:r w:rsidRPr="00C60EE9">
        <w:rPr>
          <w:sz w:val="16"/>
          <w:szCs w:val="16"/>
        </w:rPr>
        <w:t>. https://doi.org/10.21203/rs.3.rs-97263/v2</w:t>
      </w:r>
    </w:p>
    <w:p w14:paraId="23583E09" w14:textId="51530881" w:rsidR="00A62EF5" w:rsidRPr="00C60EE9" w:rsidRDefault="00A62EF5" w:rsidP="00A62EF5">
      <w:pPr>
        <w:pStyle w:val="CETReferencetext"/>
        <w:ind w:left="288" w:hanging="288"/>
        <w:rPr>
          <w:sz w:val="16"/>
          <w:szCs w:val="16"/>
        </w:rPr>
      </w:pPr>
      <w:r w:rsidRPr="00C60EE9">
        <w:rPr>
          <w:sz w:val="16"/>
          <w:szCs w:val="16"/>
          <w:lang w:val="en-US"/>
        </w:rPr>
        <w:t xml:space="preserve">Picoli, M. C. A., and Machado, P. G. (2021). </w:t>
      </w:r>
      <w:r w:rsidRPr="00C60EE9">
        <w:rPr>
          <w:sz w:val="16"/>
          <w:szCs w:val="16"/>
        </w:rPr>
        <w:t xml:space="preserve">Land use change: The barrier for sugarcane sustainability. </w:t>
      </w:r>
      <w:r w:rsidRPr="00C60EE9">
        <w:rPr>
          <w:i/>
          <w:iCs/>
          <w:sz w:val="16"/>
          <w:szCs w:val="16"/>
        </w:rPr>
        <w:t>Biofuels, Bioproducts and Biorefining</w:t>
      </w:r>
      <w:r w:rsidRPr="00C60EE9">
        <w:rPr>
          <w:sz w:val="16"/>
          <w:szCs w:val="16"/>
        </w:rPr>
        <w:t xml:space="preserve">, </w:t>
      </w:r>
      <w:r w:rsidRPr="00C60EE9">
        <w:rPr>
          <w:i/>
          <w:iCs/>
          <w:sz w:val="16"/>
          <w:szCs w:val="16"/>
        </w:rPr>
        <w:t>15</w:t>
      </w:r>
      <w:r w:rsidRPr="00C60EE9">
        <w:rPr>
          <w:sz w:val="16"/>
          <w:szCs w:val="16"/>
        </w:rPr>
        <w:t>(6), 1591-1603. https://doi.org/10.1002/bbb.2270</w:t>
      </w:r>
    </w:p>
    <w:p w14:paraId="0B509BAA" w14:textId="5E9188DC" w:rsidR="00A62EF5" w:rsidRPr="00C60EE9" w:rsidRDefault="00A62EF5" w:rsidP="00A62EF5">
      <w:pPr>
        <w:pStyle w:val="CETReferencetext"/>
        <w:ind w:left="288" w:hanging="288"/>
        <w:rPr>
          <w:sz w:val="16"/>
          <w:szCs w:val="16"/>
        </w:rPr>
      </w:pPr>
      <w:r w:rsidRPr="00C60EE9">
        <w:rPr>
          <w:sz w:val="16"/>
          <w:szCs w:val="16"/>
        </w:rPr>
        <w:t xml:space="preserve">Possolo, A., and Iyer, H. K. (2017). Invited Article: Concepts and tools for the evaluation of measurement uncertainty. </w:t>
      </w:r>
      <w:r w:rsidRPr="00C60EE9">
        <w:rPr>
          <w:i/>
          <w:iCs/>
          <w:sz w:val="16"/>
          <w:szCs w:val="16"/>
        </w:rPr>
        <w:t>Review of Scientific Instruments</w:t>
      </w:r>
      <w:r w:rsidRPr="00C60EE9">
        <w:rPr>
          <w:sz w:val="16"/>
          <w:szCs w:val="16"/>
        </w:rPr>
        <w:t xml:space="preserve">, </w:t>
      </w:r>
      <w:r w:rsidRPr="00C60EE9">
        <w:rPr>
          <w:i/>
          <w:iCs/>
          <w:sz w:val="16"/>
          <w:szCs w:val="16"/>
        </w:rPr>
        <w:t>88</w:t>
      </w:r>
      <w:r w:rsidRPr="00C60EE9">
        <w:rPr>
          <w:sz w:val="16"/>
          <w:szCs w:val="16"/>
        </w:rPr>
        <w:t>(1), 011301. https://doi.org/10.1063/1.4974274</w:t>
      </w:r>
    </w:p>
    <w:p w14:paraId="2E708BAC" w14:textId="72E52F79" w:rsidR="00A62EF5" w:rsidRPr="00C60EE9" w:rsidRDefault="00A62EF5" w:rsidP="00A62EF5">
      <w:pPr>
        <w:pStyle w:val="CETReferencetext"/>
        <w:ind w:left="288" w:hanging="288"/>
        <w:rPr>
          <w:sz w:val="16"/>
          <w:szCs w:val="16"/>
        </w:rPr>
      </w:pPr>
      <w:r w:rsidRPr="00C60EE9">
        <w:rPr>
          <w:sz w:val="16"/>
          <w:szCs w:val="16"/>
          <w:lang w:val="en-US"/>
        </w:rPr>
        <w:t xml:space="preserve">Ribeiro, C. H., and da Cunha, M. P. (2022). </w:t>
      </w:r>
      <w:r w:rsidRPr="00C60EE9">
        <w:rPr>
          <w:sz w:val="16"/>
          <w:szCs w:val="16"/>
        </w:rPr>
        <w:t xml:space="preserve">The economic and environmental impacts of Brazilian National Biofuel Policy. </w:t>
      </w:r>
      <w:r w:rsidRPr="00C60EE9">
        <w:rPr>
          <w:i/>
          <w:iCs/>
          <w:sz w:val="16"/>
          <w:szCs w:val="16"/>
        </w:rPr>
        <w:t>Biofuels, Bioproducts and Biorefining</w:t>
      </w:r>
      <w:r w:rsidRPr="00C60EE9">
        <w:rPr>
          <w:sz w:val="16"/>
          <w:szCs w:val="16"/>
        </w:rPr>
        <w:t xml:space="preserve">, </w:t>
      </w:r>
      <w:r w:rsidRPr="00C60EE9">
        <w:rPr>
          <w:i/>
          <w:iCs/>
          <w:sz w:val="16"/>
          <w:szCs w:val="16"/>
        </w:rPr>
        <w:t>16</w:t>
      </w:r>
      <w:r w:rsidRPr="00C60EE9">
        <w:rPr>
          <w:sz w:val="16"/>
          <w:szCs w:val="16"/>
        </w:rPr>
        <w:t>(2), 413-434. https://doi.org/10.1002/bbb.2326</w:t>
      </w:r>
    </w:p>
    <w:p w14:paraId="2EAB00D4" w14:textId="0D2A8DA1" w:rsidR="00A62EF5" w:rsidRPr="00C60EE9" w:rsidRDefault="00A62EF5" w:rsidP="00A62EF5">
      <w:pPr>
        <w:pStyle w:val="CETReferencetext"/>
        <w:ind w:left="288" w:hanging="288"/>
        <w:rPr>
          <w:sz w:val="16"/>
          <w:szCs w:val="16"/>
        </w:rPr>
      </w:pPr>
      <w:r w:rsidRPr="00C60EE9">
        <w:rPr>
          <w:sz w:val="16"/>
          <w:szCs w:val="16"/>
          <w:lang w:val="en-US"/>
        </w:rPr>
        <w:t xml:space="preserve">Rodríguez, A. G., Rodrigues, M. dos S., and Sotomayor Echenique, O. (2019). </w:t>
      </w:r>
      <w:r w:rsidRPr="00C60EE9">
        <w:rPr>
          <w:i/>
          <w:iCs/>
          <w:sz w:val="16"/>
          <w:szCs w:val="16"/>
        </w:rPr>
        <w:t>Towards a sustainable bioeconomy in Latin America and the Caribbean: Elements for a regional vision</w:t>
      </w:r>
      <w:r w:rsidRPr="00C60EE9">
        <w:rPr>
          <w:sz w:val="16"/>
          <w:szCs w:val="16"/>
        </w:rPr>
        <w:t>. https://repositorio.cepal.org/handle/11362/44994</w:t>
      </w:r>
    </w:p>
    <w:p w14:paraId="714B9975" w14:textId="64E174D2" w:rsidR="00A62EF5" w:rsidRPr="00C60EE9" w:rsidRDefault="00A62EF5" w:rsidP="00A62EF5">
      <w:pPr>
        <w:pStyle w:val="CETReferencetext"/>
        <w:ind w:left="288" w:hanging="288"/>
        <w:rPr>
          <w:sz w:val="16"/>
          <w:szCs w:val="16"/>
          <w:lang w:val="pt-BR"/>
        </w:rPr>
      </w:pPr>
      <w:r w:rsidRPr="00C60EE9">
        <w:rPr>
          <w:sz w:val="16"/>
          <w:szCs w:val="16"/>
          <w:lang w:val="pt-BR"/>
        </w:rPr>
        <w:t xml:space="preserve">Romano, E., Roma, R., Tidona, F., Giraffa, G., and Bragaglio, A. (2021). </w:t>
      </w:r>
      <w:r w:rsidRPr="00C60EE9">
        <w:rPr>
          <w:sz w:val="16"/>
          <w:szCs w:val="16"/>
        </w:rPr>
        <w:t xml:space="preserve">Dairy Farms and Life Cycle Assessment (LCA): The Allocation Criterion Useful to Estimate Undesirable Products. </w:t>
      </w:r>
      <w:r w:rsidRPr="00C60EE9">
        <w:rPr>
          <w:i/>
          <w:iCs/>
          <w:sz w:val="16"/>
          <w:szCs w:val="16"/>
          <w:lang w:val="pt-BR"/>
        </w:rPr>
        <w:t>Sustainability</w:t>
      </w:r>
      <w:r w:rsidRPr="00C60EE9">
        <w:rPr>
          <w:sz w:val="16"/>
          <w:szCs w:val="16"/>
          <w:lang w:val="pt-BR"/>
        </w:rPr>
        <w:t xml:space="preserve">, </w:t>
      </w:r>
      <w:r w:rsidRPr="00C60EE9">
        <w:rPr>
          <w:i/>
          <w:iCs/>
          <w:sz w:val="16"/>
          <w:szCs w:val="16"/>
          <w:lang w:val="pt-BR"/>
        </w:rPr>
        <w:t>13</w:t>
      </w:r>
      <w:r w:rsidRPr="00C60EE9">
        <w:rPr>
          <w:sz w:val="16"/>
          <w:szCs w:val="16"/>
          <w:lang w:val="pt-BR"/>
        </w:rPr>
        <w:t>(8). https://doi.org/10.3390/su13084354</w:t>
      </w:r>
    </w:p>
    <w:p w14:paraId="7C4B128A" w14:textId="436CB13C" w:rsidR="00A62EF5" w:rsidRPr="00C60EE9" w:rsidRDefault="00A62EF5" w:rsidP="00A62EF5">
      <w:pPr>
        <w:pStyle w:val="CETReferencetext"/>
        <w:ind w:left="288" w:hanging="288"/>
        <w:rPr>
          <w:sz w:val="16"/>
          <w:szCs w:val="16"/>
        </w:rPr>
      </w:pPr>
      <w:r w:rsidRPr="00C60EE9">
        <w:rPr>
          <w:sz w:val="16"/>
          <w:szCs w:val="16"/>
          <w:lang w:val="pt-BR"/>
        </w:rPr>
        <w:t xml:space="preserve">Silva, W. K. de M., Neves, T. I., Silva, C. de S., Carvalho, M., and Abrahão, R. (2020). </w:t>
      </w:r>
      <w:r w:rsidRPr="00C60EE9">
        <w:rPr>
          <w:sz w:val="16"/>
          <w:szCs w:val="16"/>
        </w:rPr>
        <w:t xml:space="preserve">Sustainable enhancement of sugarcane fertilization for energy purposes in hot climates. </w:t>
      </w:r>
      <w:r w:rsidRPr="00C60EE9">
        <w:rPr>
          <w:i/>
          <w:iCs/>
          <w:sz w:val="16"/>
          <w:szCs w:val="16"/>
        </w:rPr>
        <w:t>Renewable Energy</w:t>
      </w:r>
      <w:r w:rsidRPr="00C60EE9">
        <w:rPr>
          <w:sz w:val="16"/>
          <w:szCs w:val="16"/>
        </w:rPr>
        <w:t xml:space="preserve">, </w:t>
      </w:r>
      <w:r w:rsidRPr="00C60EE9">
        <w:rPr>
          <w:i/>
          <w:iCs/>
          <w:sz w:val="16"/>
          <w:szCs w:val="16"/>
        </w:rPr>
        <w:t>159</w:t>
      </w:r>
      <w:r w:rsidRPr="00C60EE9">
        <w:rPr>
          <w:sz w:val="16"/>
          <w:szCs w:val="16"/>
        </w:rPr>
        <w:t>, 547-552. https://doi.org/10.1016/j.renene.2020.05.178</w:t>
      </w:r>
    </w:p>
    <w:p w14:paraId="67132DD8" w14:textId="6FFF1BFE" w:rsidR="00A62EF5" w:rsidRPr="00C60EE9" w:rsidRDefault="00A62EF5" w:rsidP="00A62EF5">
      <w:pPr>
        <w:pStyle w:val="CETReferencetext"/>
        <w:ind w:left="288" w:hanging="288"/>
        <w:rPr>
          <w:sz w:val="16"/>
          <w:szCs w:val="16"/>
        </w:rPr>
      </w:pPr>
      <w:r w:rsidRPr="00C60EE9">
        <w:rPr>
          <w:sz w:val="16"/>
          <w:szCs w:val="16"/>
        </w:rPr>
        <w:t xml:space="preserve">Tanco, M., Cavallieri, M. S., Levy, M., Rossi, S., and Jurburg, D. (2023). Impact of electric trucks in GHG inventory – A Uruguayan scenario study. </w:t>
      </w:r>
      <w:r w:rsidRPr="00C60EE9">
        <w:rPr>
          <w:i/>
          <w:iCs/>
          <w:sz w:val="16"/>
          <w:szCs w:val="16"/>
        </w:rPr>
        <w:t>Transportation Research Part D: Transport and Environment</w:t>
      </w:r>
      <w:r w:rsidRPr="00C60EE9">
        <w:rPr>
          <w:sz w:val="16"/>
          <w:szCs w:val="16"/>
        </w:rPr>
        <w:t xml:space="preserve">, </w:t>
      </w:r>
      <w:r w:rsidRPr="00C60EE9">
        <w:rPr>
          <w:i/>
          <w:iCs/>
          <w:sz w:val="16"/>
          <w:szCs w:val="16"/>
        </w:rPr>
        <w:t>117</w:t>
      </w:r>
      <w:r w:rsidRPr="00C60EE9">
        <w:rPr>
          <w:sz w:val="16"/>
          <w:szCs w:val="16"/>
        </w:rPr>
        <w:t>. Scopus. https://doi.org/10.1016/j.trd.2023.103614</w:t>
      </w:r>
    </w:p>
    <w:p w14:paraId="65D29F18" w14:textId="77777777" w:rsidR="00A62EF5" w:rsidRPr="00C60EE9" w:rsidRDefault="00A62EF5" w:rsidP="00A62EF5">
      <w:pPr>
        <w:pStyle w:val="CETReferencetext"/>
        <w:ind w:left="288" w:hanging="288"/>
        <w:rPr>
          <w:sz w:val="16"/>
          <w:szCs w:val="16"/>
        </w:rPr>
      </w:pPr>
      <w:r w:rsidRPr="00C60EE9">
        <w:rPr>
          <w:sz w:val="16"/>
          <w:szCs w:val="16"/>
        </w:rPr>
        <w:t xml:space="preserve">USDA. (2021). </w:t>
      </w:r>
      <w:r w:rsidRPr="00C60EE9">
        <w:rPr>
          <w:i/>
          <w:iCs/>
          <w:sz w:val="16"/>
          <w:szCs w:val="16"/>
        </w:rPr>
        <w:t>Argentina: Biofuels Annual</w:t>
      </w:r>
      <w:r w:rsidRPr="00C60EE9">
        <w:rPr>
          <w:sz w:val="16"/>
          <w:szCs w:val="16"/>
        </w:rPr>
        <w:t xml:space="preserve"> (Biofuels AR2021-0018). USDA. https://www.fas.usda.gov/data/argentina-biofuels-annual-6</w:t>
      </w:r>
    </w:p>
    <w:p w14:paraId="5C2E3D93" w14:textId="77777777" w:rsidR="00A62EF5" w:rsidRPr="00C60EE9" w:rsidRDefault="00A62EF5" w:rsidP="00A62EF5">
      <w:pPr>
        <w:pStyle w:val="CETReferencetext"/>
        <w:ind w:left="288" w:hanging="288"/>
        <w:rPr>
          <w:sz w:val="16"/>
          <w:szCs w:val="16"/>
        </w:rPr>
      </w:pPr>
      <w:r w:rsidRPr="00C60EE9">
        <w:rPr>
          <w:sz w:val="16"/>
          <w:szCs w:val="16"/>
        </w:rPr>
        <w:t xml:space="preserve">USDA. (2018, marzo 22). </w:t>
      </w:r>
      <w:r w:rsidRPr="00C60EE9">
        <w:rPr>
          <w:i/>
          <w:iCs/>
          <w:sz w:val="16"/>
          <w:szCs w:val="16"/>
        </w:rPr>
        <w:t>Bolivia: Bolivia Enters Ethanol Era</w:t>
      </w:r>
      <w:r w:rsidRPr="00C60EE9">
        <w:rPr>
          <w:sz w:val="16"/>
          <w:szCs w:val="16"/>
        </w:rPr>
        <w:t>. Global Agricultural Information Network. https://www.fas.usda.gov/data/bolivia-bolivia-enters-ethanol-era</w:t>
      </w:r>
    </w:p>
    <w:p w14:paraId="25F6DFDD" w14:textId="3D5C7AEC" w:rsidR="00BA5AB1" w:rsidRPr="005562CE" w:rsidRDefault="00A62EF5" w:rsidP="00C60EE9">
      <w:pPr>
        <w:pStyle w:val="CETReferencetext"/>
        <w:ind w:left="288" w:hanging="288"/>
      </w:pPr>
      <w:r w:rsidRPr="00C60EE9">
        <w:rPr>
          <w:sz w:val="16"/>
          <w:szCs w:val="16"/>
        </w:rPr>
        <w:t xml:space="preserve">World Bank. (2022). </w:t>
      </w:r>
      <w:r w:rsidRPr="00C60EE9">
        <w:rPr>
          <w:i/>
          <w:iCs/>
          <w:sz w:val="16"/>
          <w:szCs w:val="16"/>
        </w:rPr>
        <w:t>Roadmap for climate action in Latin America and the Caribbean 2021-25 [ES/PT]—World | ReliefWeb (in Spanish)</w:t>
      </w:r>
      <w:r w:rsidRPr="00C60EE9">
        <w:rPr>
          <w:sz w:val="16"/>
          <w:szCs w:val="16"/>
        </w:rPr>
        <w:t>. World Bank. https://reliefweb.int/report/world/hoja-de-ruta-para-la-accion-climatica-en-america-latina-y-el-caribe-2021-25-espt</w:t>
      </w:r>
      <w:r w:rsidR="00000092" w:rsidRPr="00CA368B">
        <w:rPr>
          <w:szCs w:val="16"/>
          <w:lang w:val="pt-BR"/>
        </w:rPr>
        <w:fldChar w:fldCharType="end"/>
      </w:r>
    </w:p>
    <w:sectPr w:rsidR="00BA5AB1" w:rsidRPr="005562CE" w:rsidSect="009A1F6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27D7" w14:textId="77777777" w:rsidR="009A1F61" w:rsidRDefault="009A1F61" w:rsidP="004F5E36">
      <w:r>
        <w:separator/>
      </w:r>
    </w:p>
  </w:endnote>
  <w:endnote w:type="continuationSeparator" w:id="0">
    <w:p w14:paraId="62CA72B6" w14:textId="77777777" w:rsidR="009A1F61" w:rsidRDefault="009A1F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F487" w14:textId="77777777" w:rsidR="009A1F61" w:rsidRDefault="009A1F61" w:rsidP="004F5E36">
      <w:r>
        <w:separator/>
      </w:r>
    </w:p>
  </w:footnote>
  <w:footnote w:type="continuationSeparator" w:id="0">
    <w:p w14:paraId="310D2573" w14:textId="77777777" w:rsidR="009A1F61" w:rsidRDefault="009A1F6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7C8EE7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D291DC4"/>
    <w:multiLevelType w:val="hybridMultilevel"/>
    <w:tmpl w:val="47B0ACD2"/>
    <w:lvl w:ilvl="0" w:tplc="8E70CB12">
      <w:start w:val="1"/>
      <w:numFmt w:val="bullet"/>
      <w:lvlText w:val="•"/>
      <w:lvlJc w:val="left"/>
      <w:pPr>
        <w:tabs>
          <w:tab w:val="num" w:pos="720"/>
        </w:tabs>
        <w:ind w:left="720" w:hanging="360"/>
      </w:pPr>
      <w:rPr>
        <w:rFonts w:ascii="Arial" w:hAnsi="Arial" w:hint="default"/>
      </w:rPr>
    </w:lvl>
    <w:lvl w:ilvl="1" w:tplc="14A2CFF2" w:tentative="1">
      <w:start w:val="1"/>
      <w:numFmt w:val="bullet"/>
      <w:lvlText w:val="•"/>
      <w:lvlJc w:val="left"/>
      <w:pPr>
        <w:tabs>
          <w:tab w:val="num" w:pos="1440"/>
        </w:tabs>
        <w:ind w:left="1440" w:hanging="360"/>
      </w:pPr>
      <w:rPr>
        <w:rFonts w:ascii="Arial" w:hAnsi="Arial" w:hint="default"/>
      </w:rPr>
    </w:lvl>
    <w:lvl w:ilvl="2" w:tplc="3654849E" w:tentative="1">
      <w:start w:val="1"/>
      <w:numFmt w:val="bullet"/>
      <w:lvlText w:val="•"/>
      <w:lvlJc w:val="left"/>
      <w:pPr>
        <w:tabs>
          <w:tab w:val="num" w:pos="2160"/>
        </w:tabs>
        <w:ind w:left="2160" w:hanging="360"/>
      </w:pPr>
      <w:rPr>
        <w:rFonts w:ascii="Arial" w:hAnsi="Arial" w:hint="default"/>
      </w:rPr>
    </w:lvl>
    <w:lvl w:ilvl="3" w:tplc="02689BC2" w:tentative="1">
      <w:start w:val="1"/>
      <w:numFmt w:val="bullet"/>
      <w:lvlText w:val="•"/>
      <w:lvlJc w:val="left"/>
      <w:pPr>
        <w:tabs>
          <w:tab w:val="num" w:pos="2880"/>
        </w:tabs>
        <w:ind w:left="2880" w:hanging="360"/>
      </w:pPr>
      <w:rPr>
        <w:rFonts w:ascii="Arial" w:hAnsi="Arial" w:hint="default"/>
      </w:rPr>
    </w:lvl>
    <w:lvl w:ilvl="4" w:tplc="FD900290" w:tentative="1">
      <w:start w:val="1"/>
      <w:numFmt w:val="bullet"/>
      <w:lvlText w:val="•"/>
      <w:lvlJc w:val="left"/>
      <w:pPr>
        <w:tabs>
          <w:tab w:val="num" w:pos="3600"/>
        </w:tabs>
        <w:ind w:left="3600" w:hanging="360"/>
      </w:pPr>
      <w:rPr>
        <w:rFonts w:ascii="Arial" w:hAnsi="Arial" w:hint="default"/>
      </w:rPr>
    </w:lvl>
    <w:lvl w:ilvl="5" w:tplc="C6541674" w:tentative="1">
      <w:start w:val="1"/>
      <w:numFmt w:val="bullet"/>
      <w:lvlText w:val="•"/>
      <w:lvlJc w:val="left"/>
      <w:pPr>
        <w:tabs>
          <w:tab w:val="num" w:pos="4320"/>
        </w:tabs>
        <w:ind w:left="4320" w:hanging="360"/>
      </w:pPr>
      <w:rPr>
        <w:rFonts w:ascii="Arial" w:hAnsi="Arial" w:hint="default"/>
      </w:rPr>
    </w:lvl>
    <w:lvl w:ilvl="6" w:tplc="AF201326" w:tentative="1">
      <w:start w:val="1"/>
      <w:numFmt w:val="bullet"/>
      <w:lvlText w:val="•"/>
      <w:lvlJc w:val="left"/>
      <w:pPr>
        <w:tabs>
          <w:tab w:val="num" w:pos="5040"/>
        </w:tabs>
        <w:ind w:left="5040" w:hanging="360"/>
      </w:pPr>
      <w:rPr>
        <w:rFonts w:ascii="Arial" w:hAnsi="Arial" w:hint="default"/>
      </w:rPr>
    </w:lvl>
    <w:lvl w:ilvl="7" w:tplc="D67CE04C" w:tentative="1">
      <w:start w:val="1"/>
      <w:numFmt w:val="bullet"/>
      <w:lvlText w:val="•"/>
      <w:lvlJc w:val="left"/>
      <w:pPr>
        <w:tabs>
          <w:tab w:val="num" w:pos="5760"/>
        </w:tabs>
        <w:ind w:left="5760" w:hanging="360"/>
      </w:pPr>
      <w:rPr>
        <w:rFonts w:ascii="Arial" w:hAnsi="Arial" w:hint="default"/>
      </w:rPr>
    </w:lvl>
    <w:lvl w:ilvl="8" w:tplc="84B497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7909437">
    <w:abstractNumId w:val="10"/>
  </w:num>
  <w:num w:numId="2" w16cid:durableId="1244682634">
    <w:abstractNumId w:val="8"/>
  </w:num>
  <w:num w:numId="3" w16cid:durableId="291057544">
    <w:abstractNumId w:val="3"/>
  </w:num>
  <w:num w:numId="4" w16cid:durableId="386808401">
    <w:abstractNumId w:val="2"/>
  </w:num>
  <w:num w:numId="5" w16cid:durableId="1604265240">
    <w:abstractNumId w:val="1"/>
  </w:num>
  <w:num w:numId="6" w16cid:durableId="690183973">
    <w:abstractNumId w:val="0"/>
  </w:num>
  <w:num w:numId="7" w16cid:durableId="402332991">
    <w:abstractNumId w:val="9"/>
  </w:num>
  <w:num w:numId="8" w16cid:durableId="1440030364">
    <w:abstractNumId w:val="7"/>
  </w:num>
  <w:num w:numId="9" w16cid:durableId="591744137">
    <w:abstractNumId w:val="6"/>
  </w:num>
  <w:num w:numId="10" w16cid:durableId="1807157829">
    <w:abstractNumId w:val="5"/>
  </w:num>
  <w:num w:numId="11" w16cid:durableId="1844391042">
    <w:abstractNumId w:val="4"/>
  </w:num>
  <w:num w:numId="12" w16cid:durableId="313489947">
    <w:abstractNumId w:val="18"/>
  </w:num>
  <w:num w:numId="13" w16cid:durableId="1145901733">
    <w:abstractNumId w:val="12"/>
  </w:num>
  <w:num w:numId="14" w16cid:durableId="1340279393">
    <w:abstractNumId w:val="19"/>
  </w:num>
  <w:num w:numId="15" w16cid:durableId="1431243830">
    <w:abstractNumId w:val="21"/>
  </w:num>
  <w:num w:numId="16" w16cid:durableId="1289702431">
    <w:abstractNumId w:val="20"/>
  </w:num>
  <w:num w:numId="17" w16cid:durableId="2081635689">
    <w:abstractNumId w:val="11"/>
  </w:num>
  <w:num w:numId="18" w16cid:durableId="1219786216">
    <w:abstractNumId w:val="12"/>
    <w:lvlOverride w:ilvl="0">
      <w:startOverride w:val="1"/>
    </w:lvlOverride>
  </w:num>
  <w:num w:numId="19" w16cid:durableId="1740665460">
    <w:abstractNumId w:val="17"/>
  </w:num>
  <w:num w:numId="20" w16cid:durableId="1029767485">
    <w:abstractNumId w:val="16"/>
  </w:num>
  <w:num w:numId="21" w16cid:durableId="1083141117">
    <w:abstractNumId w:val="14"/>
  </w:num>
  <w:num w:numId="22" w16cid:durableId="1106540871">
    <w:abstractNumId w:val="13"/>
  </w:num>
  <w:num w:numId="23" w16cid:durableId="3122928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0092"/>
    <w:rsid w:val="000027C0"/>
    <w:rsid w:val="000052FB"/>
    <w:rsid w:val="000117CB"/>
    <w:rsid w:val="00013AB8"/>
    <w:rsid w:val="00020900"/>
    <w:rsid w:val="00021DC7"/>
    <w:rsid w:val="0003148D"/>
    <w:rsid w:val="00031EEC"/>
    <w:rsid w:val="000408F7"/>
    <w:rsid w:val="00043820"/>
    <w:rsid w:val="00047879"/>
    <w:rsid w:val="00051566"/>
    <w:rsid w:val="000562A9"/>
    <w:rsid w:val="00062A81"/>
    <w:rsid w:val="00062A9A"/>
    <w:rsid w:val="00065058"/>
    <w:rsid w:val="00075F30"/>
    <w:rsid w:val="00077BAD"/>
    <w:rsid w:val="00086C39"/>
    <w:rsid w:val="000945E2"/>
    <w:rsid w:val="000A03B2"/>
    <w:rsid w:val="000A26FA"/>
    <w:rsid w:val="000A4024"/>
    <w:rsid w:val="000D0268"/>
    <w:rsid w:val="000D26FF"/>
    <w:rsid w:val="000D34BE"/>
    <w:rsid w:val="000E0BAC"/>
    <w:rsid w:val="000E102F"/>
    <w:rsid w:val="000E36F1"/>
    <w:rsid w:val="000E3A73"/>
    <w:rsid w:val="000E414A"/>
    <w:rsid w:val="000F093C"/>
    <w:rsid w:val="000F1906"/>
    <w:rsid w:val="000F787B"/>
    <w:rsid w:val="001138A7"/>
    <w:rsid w:val="0012091F"/>
    <w:rsid w:val="001229C0"/>
    <w:rsid w:val="00126BC2"/>
    <w:rsid w:val="001308B6"/>
    <w:rsid w:val="0013121F"/>
    <w:rsid w:val="00131FE6"/>
    <w:rsid w:val="0013263F"/>
    <w:rsid w:val="00132E9C"/>
    <w:rsid w:val="001331DF"/>
    <w:rsid w:val="00134DE4"/>
    <w:rsid w:val="00135837"/>
    <w:rsid w:val="0014034D"/>
    <w:rsid w:val="00140FEB"/>
    <w:rsid w:val="00144D16"/>
    <w:rsid w:val="00150E59"/>
    <w:rsid w:val="00152DE3"/>
    <w:rsid w:val="00156F74"/>
    <w:rsid w:val="001579B9"/>
    <w:rsid w:val="00164CF9"/>
    <w:rsid w:val="001667A6"/>
    <w:rsid w:val="0017674A"/>
    <w:rsid w:val="00184AD6"/>
    <w:rsid w:val="00185B48"/>
    <w:rsid w:val="001A4AF7"/>
    <w:rsid w:val="001B0349"/>
    <w:rsid w:val="001B1E93"/>
    <w:rsid w:val="001B65C1"/>
    <w:rsid w:val="001C684B"/>
    <w:rsid w:val="001C7DB3"/>
    <w:rsid w:val="001D0CFB"/>
    <w:rsid w:val="001D21AF"/>
    <w:rsid w:val="001D3992"/>
    <w:rsid w:val="001D534A"/>
    <w:rsid w:val="001D53FC"/>
    <w:rsid w:val="001F1193"/>
    <w:rsid w:val="001F42A5"/>
    <w:rsid w:val="001F7B9D"/>
    <w:rsid w:val="00201C93"/>
    <w:rsid w:val="002041E3"/>
    <w:rsid w:val="00204777"/>
    <w:rsid w:val="00217076"/>
    <w:rsid w:val="0022013C"/>
    <w:rsid w:val="002224B4"/>
    <w:rsid w:val="00232A2F"/>
    <w:rsid w:val="002340F7"/>
    <w:rsid w:val="00235713"/>
    <w:rsid w:val="00243E04"/>
    <w:rsid w:val="002447EF"/>
    <w:rsid w:val="0024568E"/>
    <w:rsid w:val="00251550"/>
    <w:rsid w:val="00252718"/>
    <w:rsid w:val="00263B05"/>
    <w:rsid w:val="00267767"/>
    <w:rsid w:val="0027221A"/>
    <w:rsid w:val="00275B61"/>
    <w:rsid w:val="00280FAF"/>
    <w:rsid w:val="00282656"/>
    <w:rsid w:val="002829CB"/>
    <w:rsid w:val="00283527"/>
    <w:rsid w:val="00283C6F"/>
    <w:rsid w:val="00296B83"/>
    <w:rsid w:val="002A370D"/>
    <w:rsid w:val="002B4015"/>
    <w:rsid w:val="002B4031"/>
    <w:rsid w:val="002B78CE"/>
    <w:rsid w:val="002C2FB6"/>
    <w:rsid w:val="002D0AA9"/>
    <w:rsid w:val="002E5FA7"/>
    <w:rsid w:val="002E673D"/>
    <w:rsid w:val="002F23DD"/>
    <w:rsid w:val="002F3309"/>
    <w:rsid w:val="003008CE"/>
    <w:rsid w:val="003009B7"/>
    <w:rsid w:val="00300E56"/>
    <w:rsid w:val="0030152C"/>
    <w:rsid w:val="003033E5"/>
    <w:rsid w:val="0030469C"/>
    <w:rsid w:val="00312D55"/>
    <w:rsid w:val="0031428C"/>
    <w:rsid w:val="00317366"/>
    <w:rsid w:val="00320916"/>
    <w:rsid w:val="00321CA6"/>
    <w:rsid w:val="00323763"/>
    <w:rsid w:val="00323C5F"/>
    <w:rsid w:val="00327482"/>
    <w:rsid w:val="00332250"/>
    <w:rsid w:val="00333701"/>
    <w:rsid w:val="00334C09"/>
    <w:rsid w:val="00341A8E"/>
    <w:rsid w:val="0034358C"/>
    <w:rsid w:val="0037167F"/>
    <w:rsid w:val="003723D4"/>
    <w:rsid w:val="00380E55"/>
    <w:rsid w:val="00381905"/>
    <w:rsid w:val="00383B48"/>
    <w:rsid w:val="00384CC8"/>
    <w:rsid w:val="003871FD"/>
    <w:rsid w:val="003A1E30"/>
    <w:rsid w:val="003A2280"/>
    <w:rsid w:val="003A2829"/>
    <w:rsid w:val="003A4799"/>
    <w:rsid w:val="003A5304"/>
    <w:rsid w:val="003A6FC6"/>
    <w:rsid w:val="003A7D1C"/>
    <w:rsid w:val="003B304B"/>
    <w:rsid w:val="003B3146"/>
    <w:rsid w:val="003D096F"/>
    <w:rsid w:val="003D40AA"/>
    <w:rsid w:val="003D6FC8"/>
    <w:rsid w:val="003F015E"/>
    <w:rsid w:val="00400414"/>
    <w:rsid w:val="0041446B"/>
    <w:rsid w:val="004331DE"/>
    <w:rsid w:val="0043504C"/>
    <w:rsid w:val="0044071E"/>
    <w:rsid w:val="0044329C"/>
    <w:rsid w:val="00445842"/>
    <w:rsid w:val="00453E24"/>
    <w:rsid w:val="004571B6"/>
    <w:rsid w:val="00457456"/>
    <w:rsid w:val="004577FE"/>
    <w:rsid w:val="00457B9C"/>
    <w:rsid w:val="0046164A"/>
    <w:rsid w:val="004628D2"/>
    <w:rsid w:val="00462DCD"/>
    <w:rsid w:val="004631DB"/>
    <w:rsid w:val="004648AD"/>
    <w:rsid w:val="004703A9"/>
    <w:rsid w:val="004760DE"/>
    <w:rsid w:val="004761E9"/>
    <w:rsid w:val="004763D7"/>
    <w:rsid w:val="004765F0"/>
    <w:rsid w:val="00484C9A"/>
    <w:rsid w:val="00487A41"/>
    <w:rsid w:val="004A004E"/>
    <w:rsid w:val="004A24CF"/>
    <w:rsid w:val="004C3D1D"/>
    <w:rsid w:val="004C3D84"/>
    <w:rsid w:val="004C5C72"/>
    <w:rsid w:val="004C7913"/>
    <w:rsid w:val="004E4DD6"/>
    <w:rsid w:val="004E71F9"/>
    <w:rsid w:val="004F5E36"/>
    <w:rsid w:val="00506D07"/>
    <w:rsid w:val="00507B47"/>
    <w:rsid w:val="00507BEF"/>
    <w:rsid w:val="00507CC9"/>
    <w:rsid w:val="005116B8"/>
    <w:rsid w:val="005119A5"/>
    <w:rsid w:val="00516AAC"/>
    <w:rsid w:val="005278B7"/>
    <w:rsid w:val="00532016"/>
    <w:rsid w:val="005346C8"/>
    <w:rsid w:val="00540DB9"/>
    <w:rsid w:val="00543E7D"/>
    <w:rsid w:val="00547A68"/>
    <w:rsid w:val="005531C9"/>
    <w:rsid w:val="005562CE"/>
    <w:rsid w:val="00556DCA"/>
    <w:rsid w:val="00570C43"/>
    <w:rsid w:val="00586085"/>
    <w:rsid w:val="005A445B"/>
    <w:rsid w:val="005B2110"/>
    <w:rsid w:val="005B61E6"/>
    <w:rsid w:val="005B6C05"/>
    <w:rsid w:val="005C77E1"/>
    <w:rsid w:val="005D34D9"/>
    <w:rsid w:val="005D668A"/>
    <w:rsid w:val="005D6A2F"/>
    <w:rsid w:val="005E1A82"/>
    <w:rsid w:val="005E253A"/>
    <w:rsid w:val="005E794C"/>
    <w:rsid w:val="005F0A28"/>
    <w:rsid w:val="005F0E5E"/>
    <w:rsid w:val="00600535"/>
    <w:rsid w:val="00607456"/>
    <w:rsid w:val="00610CD6"/>
    <w:rsid w:val="006207C4"/>
    <w:rsid w:val="00620DEE"/>
    <w:rsid w:val="00621F92"/>
    <w:rsid w:val="0062280A"/>
    <w:rsid w:val="00625639"/>
    <w:rsid w:val="00626994"/>
    <w:rsid w:val="00631B33"/>
    <w:rsid w:val="00637C3F"/>
    <w:rsid w:val="0064184D"/>
    <w:rsid w:val="006422CC"/>
    <w:rsid w:val="00660E3E"/>
    <w:rsid w:val="00662E74"/>
    <w:rsid w:val="00663FB5"/>
    <w:rsid w:val="00680C23"/>
    <w:rsid w:val="006819A8"/>
    <w:rsid w:val="00681CC2"/>
    <w:rsid w:val="00692AF3"/>
    <w:rsid w:val="00693766"/>
    <w:rsid w:val="00694CD0"/>
    <w:rsid w:val="006A23E9"/>
    <w:rsid w:val="006A3281"/>
    <w:rsid w:val="006B4888"/>
    <w:rsid w:val="006C2E45"/>
    <w:rsid w:val="006C359C"/>
    <w:rsid w:val="006C5579"/>
    <w:rsid w:val="006D6E8B"/>
    <w:rsid w:val="006E737D"/>
    <w:rsid w:val="006F5EBC"/>
    <w:rsid w:val="00702D33"/>
    <w:rsid w:val="00713973"/>
    <w:rsid w:val="00720A24"/>
    <w:rsid w:val="00732386"/>
    <w:rsid w:val="0073514D"/>
    <w:rsid w:val="007447F3"/>
    <w:rsid w:val="00752921"/>
    <w:rsid w:val="0075499F"/>
    <w:rsid w:val="00757510"/>
    <w:rsid w:val="007661C8"/>
    <w:rsid w:val="0077098D"/>
    <w:rsid w:val="00780A28"/>
    <w:rsid w:val="00790549"/>
    <w:rsid w:val="007905AA"/>
    <w:rsid w:val="007931FA"/>
    <w:rsid w:val="0079603A"/>
    <w:rsid w:val="00797C5E"/>
    <w:rsid w:val="007A12B6"/>
    <w:rsid w:val="007A1C6C"/>
    <w:rsid w:val="007A4861"/>
    <w:rsid w:val="007A7BBA"/>
    <w:rsid w:val="007B0C50"/>
    <w:rsid w:val="007B48F9"/>
    <w:rsid w:val="007B5641"/>
    <w:rsid w:val="007C1A43"/>
    <w:rsid w:val="007C1C85"/>
    <w:rsid w:val="007D0951"/>
    <w:rsid w:val="007F412F"/>
    <w:rsid w:val="0080013E"/>
    <w:rsid w:val="00813288"/>
    <w:rsid w:val="008140A3"/>
    <w:rsid w:val="008168FC"/>
    <w:rsid w:val="00830996"/>
    <w:rsid w:val="008345F1"/>
    <w:rsid w:val="0083725C"/>
    <w:rsid w:val="00843EAC"/>
    <w:rsid w:val="008532AA"/>
    <w:rsid w:val="00865B07"/>
    <w:rsid w:val="008667EA"/>
    <w:rsid w:val="00866C64"/>
    <w:rsid w:val="0087637F"/>
    <w:rsid w:val="0089037D"/>
    <w:rsid w:val="00892AD5"/>
    <w:rsid w:val="00896792"/>
    <w:rsid w:val="008A1512"/>
    <w:rsid w:val="008A5D85"/>
    <w:rsid w:val="008B3E1B"/>
    <w:rsid w:val="008B6826"/>
    <w:rsid w:val="008B7C03"/>
    <w:rsid w:val="008C0D63"/>
    <w:rsid w:val="008D3058"/>
    <w:rsid w:val="008D32B9"/>
    <w:rsid w:val="008D390D"/>
    <w:rsid w:val="008D433B"/>
    <w:rsid w:val="008D4A16"/>
    <w:rsid w:val="008D6808"/>
    <w:rsid w:val="008E566E"/>
    <w:rsid w:val="008E5907"/>
    <w:rsid w:val="008E6045"/>
    <w:rsid w:val="0090161A"/>
    <w:rsid w:val="00901EB6"/>
    <w:rsid w:val="00902EDA"/>
    <w:rsid w:val="00904C62"/>
    <w:rsid w:val="00904CAF"/>
    <w:rsid w:val="00910C5A"/>
    <w:rsid w:val="0091734C"/>
    <w:rsid w:val="00922BA8"/>
    <w:rsid w:val="00924DAC"/>
    <w:rsid w:val="00927058"/>
    <w:rsid w:val="00942750"/>
    <w:rsid w:val="00944E0F"/>
    <w:rsid w:val="009450CE"/>
    <w:rsid w:val="009459BB"/>
    <w:rsid w:val="00947179"/>
    <w:rsid w:val="00947FF4"/>
    <w:rsid w:val="0095164B"/>
    <w:rsid w:val="00954090"/>
    <w:rsid w:val="009573E7"/>
    <w:rsid w:val="0096178A"/>
    <w:rsid w:val="00963B3A"/>
    <w:rsid w:val="00963E05"/>
    <w:rsid w:val="00964A45"/>
    <w:rsid w:val="00964CB8"/>
    <w:rsid w:val="009672F5"/>
    <w:rsid w:val="00967843"/>
    <w:rsid w:val="00967D54"/>
    <w:rsid w:val="00971028"/>
    <w:rsid w:val="00974E2B"/>
    <w:rsid w:val="00985FD5"/>
    <w:rsid w:val="00993B84"/>
    <w:rsid w:val="00996483"/>
    <w:rsid w:val="00996F5A"/>
    <w:rsid w:val="009A1F61"/>
    <w:rsid w:val="009B041A"/>
    <w:rsid w:val="009C37C3"/>
    <w:rsid w:val="009C7C86"/>
    <w:rsid w:val="009D0AC6"/>
    <w:rsid w:val="009D2FF7"/>
    <w:rsid w:val="009D3B01"/>
    <w:rsid w:val="009E7884"/>
    <w:rsid w:val="009E788A"/>
    <w:rsid w:val="009F0E08"/>
    <w:rsid w:val="00A03378"/>
    <w:rsid w:val="00A06CC1"/>
    <w:rsid w:val="00A1763D"/>
    <w:rsid w:val="00A17CEC"/>
    <w:rsid w:val="00A20DA4"/>
    <w:rsid w:val="00A26801"/>
    <w:rsid w:val="00A27EF0"/>
    <w:rsid w:val="00A362EA"/>
    <w:rsid w:val="00A42361"/>
    <w:rsid w:val="00A4479B"/>
    <w:rsid w:val="00A50B20"/>
    <w:rsid w:val="00A51390"/>
    <w:rsid w:val="00A60D13"/>
    <w:rsid w:val="00A62EF5"/>
    <w:rsid w:val="00A7223D"/>
    <w:rsid w:val="00A72745"/>
    <w:rsid w:val="00A76EFC"/>
    <w:rsid w:val="00A81F7E"/>
    <w:rsid w:val="00A82785"/>
    <w:rsid w:val="00A87D50"/>
    <w:rsid w:val="00A91010"/>
    <w:rsid w:val="00A97E6E"/>
    <w:rsid w:val="00A97F29"/>
    <w:rsid w:val="00AA1B02"/>
    <w:rsid w:val="00AA702E"/>
    <w:rsid w:val="00AA7D26"/>
    <w:rsid w:val="00AB0964"/>
    <w:rsid w:val="00AB5011"/>
    <w:rsid w:val="00AC46BA"/>
    <w:rsid w:val="00AC7368"/>
    <w:rsid w:val="00AD0030"/>
    <w:rsid w:val="00AD16B9"/>
    <w:rsid w:val="00AE377D"/>
    <w:rsid w:val="00AF0EBA"/>
    <w:rsid w:val="00B02C8A"/>
    <w:rsid w:val="00B15EBF"/>
    <w:rsid w:val="00B16BD4"/>
    <w:rsid w:val="00B17FBD"/>
    <w:rsid w:val="00B315A6"/>
    <w:rsid w:val="00B31813"/>
    <w:rsid w:val="00B33365"/>
    <w:rsid w:val="00B33E8F"/>
    <w:rsid w:val="00B50A95"/>
    <w:rsid w:val="00B57B36"/>
    <w:rsid w:val="00B57E6F"/>
    <w:rsid w:val="00B65B9D"/>
    <w:rsid w:val="00B8686D"/>
    <w:rsid w:val="00B93F69"/>
    <w:rsid w:val="00B95E7B"/>
    <w:rsid w:val="00BA0FA7"/>
    <w:rsid w:val="00BA5AB1"/>
    <w:rsid w:val="00BB09BE"/>
    <w:rsid w:val="00BB1DDC"/>
    <w:rsid w:val="00BB411B"/>
    <w:rsid w:val="00BC1060"/>
    <w:rsid w:val="00BC30C9"/>
    <w:rsid w:val="00BD077D"/>
    <w:rsid w:val="00BD1AC1"/>
    <w:rsid w:val="00BD2152"/>
    <w:rsid w:val="00BE3E58"/>
    <w:rsid w:val="00C01616"/>
    <w:rsid w:val="00C0162B"/>
    <w:rsid w:val="00C068ED"/>
    <w:rsid w:val="00C22E0C"/>
    <w:rsid w:val="00C32A6C"/>
    <w:rsid w:val="00C33557"/>
    <w:rsid w:val="00C345B1"/>
    <w:rsid w:val="00C40142"/>
    <w:rsid w:val="00C4165A"/>
    <w:rsid w:val="00C52C3C"/>
    <w:rsid w:val="00C57182"/>
    <w:rsid w:val="00C57863"/>
    <w:rsid w:val="00C60990"/>
    <w:rsid w:val="00C60EE9"/>
    <w:rsid w:val="00C61281"/>
    <w:rsid w:val="00C640AF"/>
    <w:rsid w:val="00C655FD"/>
    <w:rsid w:val="00C75407"/>
    <w:rsid w:val="00C76D8F"/>
    <w:rsid w:val="00C870A8"/>
    <w:rsid w:val="00C940AE"/>
    <w:rsid w:val="00C94434"/>
    <w:rsid w:val="00C96DD3"/>
    <w:rsid w:val="00C97D16"/>
    <w:rsid w:val="00CA0D4A"/>
    <w:rsid w:val="00CA0D75"/>
    <w:rsid w:val="00CA1C95"/>
    <w:rsid w:val="00CA368B"/>
    <w:rsid w:val="00CA5A9C"/>
    <w:rsid w:val="00CC3302"/>
    <w:rsid w:val="00CC4C20"/>
    <w:rsid w:val="00CC6557"/>
    <w:rsid w:val="00CD3517"/>
    <w:rsid w:val="00CD5FE2"/>
    <w:rsid w:val="00CE7C68"/>
    <w:rsid w:val="00D02B4C"/>
    <w:rsid w:val="00D040C4"/>
    <w:rsid w:val="00D0480C"/>
    <w:rsid w:val="00D20AD1"/>
    <w:rsid w:val="00D46B7E"/>
    <w:rsid w:val="00D519E3"/>
    <w:rsid w:val="00D57C84"/>
    <w:rsid w:val="00D6057D"/>
    <w:rsid w:val="00D648EC"/>
    <w:rsid w:val="00D71640"/>
    <w:rsid w:val="00D75D1B"/>
    <w:rsid w:val="00D836C5"/>
    <w:rsid w:val="00D84576"/>
    <w:rsid w:val="00D9620C"/>
    <w:rsid w:val="00DA1399"/>
    <w:rsid w:val="00DA24C6"/>
    <w:rsid w:val="00DA45DE"/>
    <w:rsid w:val="00DA4D7B"/>
    <w:rsid w:val="00DB3233"/>
    <w:rsid w:val="00DD1C3B"/>
    <w:rsid w:val="00DD271C"/>
    <w:rsid w:val="00DD59CA"/>
    <w:rsid w:val="00DD5C8F"/>
    <w:rsid w:val="00DE264A"/>
    <w:rsid w:val="00DE4DF0"/>
    <w:rsid w:val="00DF41EE"/>
    <w:rsid w:val="00DF5072"/>
    <w:rsid w:val="00DF5F92"/>
    <w:rsid w:val="00E02D18"/>
    <w:rsid w:val="00E041E7"/>
    <w:rsid w:val="00E043E5"/>
    <w:rsid w:val="00E120EE"/>
    <w:rsid w:val="00E155AB"/>
    <w:rsid w:val="00E236E1"/>
    <w:rsid w:val="00E23CA1"/>
    <w:rsid w:val="00E309AC"/>
    <w:rsid w:val="00E33DD7"/>
    <w:rsid w:val="00E409A8"/>
    <w:rsid w:val="00E43A46"/>
    <w:rsid w:val="00E50C12"/>
    <w:rsid w:val="00E53DC6"/>
    <w:rsid w:val="00E57506"/>
    <w:rsid w:val="00E65B91"/>
    <w:rsid w:val="00E71F65"/>
    <w:rsid w:val="00E7209D"/>
    <w:rsid w:val="00E72D2E"/>
    <w:rsid w:val="00E72EAD"/>
    <w:rsid w:val="00E77223"/>
    <w:rsid w:val="00E835B1"/>
    <w:rsid w:val="00E844A8"/>
    <w:rsid w:val="00E8528B"/>
    <w:rsid w:val="00E85B94"/>
    <w:rsid w:val="00E978D0"/>
    <w:rsid w:val="00EA1579"/>
    <w:rsid w:val="00EA4613"/>
    <w:rsid w:val="00EA5A2A"/>
    <w:rsid w:val="00EA5F3A"/>
    <w:rsid w:val="00EA7F91"/>
    <w:rsid w:val="00EB1523"/>
    <w:rsid w:val="00EB22E5"/>
    <w:rsid w:val="00EB2BA8"/>
    <w:rsid w:val="00EC0E49"/>
    <w:rsid w:val="00EC101F"/>
    <w:rsid w:val="00EC1D9F"/>
    <w:rsid w:val="00EC3249"/>
    <w:rsid w:val="00EE0131"/>
    <w:rsid w:val="00EE17B0"/>
    <w:rsid w:val="00EF06D9"/>
    <w:rsid w:val="00F048B1"/>
    <w:rsid w:val="00F3049E"/>
    <w:rsid w:val="00F30C64"/>
    <w:rsid w:val="00F32BA2"/>
    <w:rsid w:val="00F32CDB"/>
    <w:rsid w:val="00F3531D"/>
    <w:rsid w:val="00F421FA"/>
    <w:rsid w:val="00F42569"/>
    <w:rsid w:val="00F565FE"/>
    <w:rsid w:val="00F60D5C"/>
    <w:rsid w:val="00F6176A"/>
    <w:rsid w:val="00F63A70"/>
    <w:rsid w:val="00F63D8C"/>
    <w:rsid w:val="00F7534E"/>
    <w:rsid w:val="00F774E7"/>
    <w:rsid w:val="00F82A1C"/>
    <w:rsid w:val="00F82BD8"/>
    <w:rsid w:val="00F86202"/>
    <w:rsid w:val="00F93EDF"/>
    <w:rsid w:val="00FA1301"/>
    <w:rsid w:val="00FA1802"/>
    <w:rsid w:val="00FA21D0"/>
    <w:rsid w:val="00FA5F5F"/>
    <w:rsid w:val="00FB514A"/>
    <w:rsid w:val="00FB730C"/>
    <w:rsid w:val="00FC2695"/>
    <w:rsid w:val="00FC3E03"/>
    <w:rsid w:val="00FC3FC1"/>
    <w:rsid w:val="00FE5674"/>
    <w:rsid w:val="00FE756A"/>
    <w:rsid w:val="00FE75B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5292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5292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48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Testosegnaposto">
    <w:name w:val="Placeholder Text"/>
    <w:basedOn w:val="Carpredefinitoparagrafo"/>
    <w:uiPriority w:val="99"/>
    <w:semiHidden/>
    <w:rsid w:val="00DE4DF0"/>
    <w:rPr>
      <w:color w:val="808080"/>
    </w:rPr>
  </w:style>
  <w:style w:type="paragraph" w:styleId="Revisione">
    <w:name w:val="Revision"/>
    <w:hidden/>
    <w:uiPriority w:val="99"/>
    <w:semiHidden/>
    <w:rsid w:val="008B682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61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634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408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09061">
      <w:bodyDiv w:val="1"/>
      <w:marLeft w:val="0"/>
      <w:marRight w:val="0"/>
      <w:marTop w:val="0"/>
      <w:marBottom w:val="0"/>
      <w:divBdr>
        <w:top w:val="none" w:sz="0" w:space="0" w:color="auto"/>
        <w:left w:val="none" w:sz="0" w:space="0" w:color="auto"/>
        <w:bottom w:val="none" w:sz="0" w:space="0" w:color="auto"/>
        <w:right w:val="none" w:sz="0" w:space="0" w:color="auto"/>
      </w:divBdr>
    </w:div>
    <w:div w:id="2026592350">
      <w:bodyDiv w:val="1"/>
      <w:marLeft w:val="0"/>
      <w:marRight w:val="0"/>
      <w:marTop w:val="0"/>
      <w:marBottom w:val="0"/>
      <w:divBdr>
        <w:top w:val="none" w:sz="0" w:space="0" w:color="auto"/>
        <w:left w:val="none" w:sz="0" w:space="0" w:color="auto"/>
        <w:bottom w:val="none" w:sz="0" w:space="0" w:color="auto"/>
        <w:right w:val="none" w:sz="0" w:space="0" w:color="auto"/>
      </w:divBdr>
      <w:divsChild>
        <w:div w:id="1045330729">
          <w:marLeft w:val="446"/>
          <w:marRight w:val="0"/>
          <w:marTop w:val="0"/>
          <w:marBottom w:val="16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ctor.shamir@unifesp.b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5179-6859-4DA7-8D12-85C6D3F6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12723</Words>
  <Characters>72524</Characters>
  <Application>Microsoft Office Word</Application>
  <DocSecurity>0</DocSecurity>
  <Lines>604</Lines>
  <Paragraphs>170</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85077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2024-01-18T11:37:00Z</dcterms:created>
  <dcterms:modified xsi:type="dcterms:W3CDTF">2024-01-18T11:37:00Z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id="akR7j6us"/&gt;&lt;style id="http://www.zotero.org/styles/apa" locale="es-ES" hasBibliography="1" bibliographyStyleHasBeenSet="1"/&gt;&lt;prefs&gt;&lt;pref name="fieldType" value="Field"/&gt;&lt;pref name="storeReference</vt:lpwstr>
  </property>
  <property fmtid="{D5CDD505-2E9C-101B-9397-08002B2CF9AE}" pid="3" name="ZOTERO_PREF_2">
    <vt:lpwstr>s" value="true"/&gt;&lt;/prefs&gt;&lt;/data&gt;</vt:lpwstr>
  </property>
  <property fmtid="{D5CDD505-2E9C-101B-9397-08002B2CF9AE}" pid="4" name="GrammarlyDocumentId">
    <vt:lpwstr>bdbacfb975cab910ce1018d5af9a97a7156465218daaaeea53838318d50db45d</vt:lpwstr>
  </property>
</Properties>
</file>