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8D0834" w14:paraId="2A131A54" w14:textId="77777777" w:rsidTr="00C05CEE">
        <w:trPr>
          <w:trHeight w:val="852"/>
          <w:jc w:val="center"/>
        </w:trPr>
        <w:tc>
          <w:tcPr>
            <w:tcW w:w="6940" w:type="dxa"/>
            <w:vMerge w:val="restart"/>
            <w:tcBorders>
              <w:right w:val="single" w:sz="4" w:space="0" w:color="auto"/>
            </w:tcBorders>
          </w:tcPr>
          <w:p w14:paraId="38C3D2BA" w14:textId="77777777" w:rsidR="000A03B2" w:rsidRPr="008D0834" w:rsidRDefault="000A03B2" w:rsidP="00DE264A">
            <w:pPr>
              <w:tabs>
                <w:tab w:val="left" w:pos="-108"/>
              </w:tabs>
              <w:ind w:left="-108"/>
              <w:jc w:val="left"/>
              <w:rPr>
                <w:rFonts w:cs="Arial"/>
                <w:b/>
                <w:bCs/>
                <w:i/>
                <w:iCs/>
                <w:color w:val="000066"/>
                <w:sz w:val="12"/>
                <w:szCs w:val="12"/>
                <w:lang w:val="en-US" w:eastAsia="it-IT"/>
              </w:rPr>
            </w:pPr>
            <w:r w:rsidRPr="008D0834">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8D0834">
              <w:rPr>
                <w:rFonts w:ascii="AdvP6960" w:hAnsi="AdvP6960" w:cs="AdvP6960"/>
                <w:color w:val="241F20"/>
                <w:szCs w:val="18"/>
                <w:lang w:val="en-US" w:eastAsia="it-IT"/>
              </w:rPr>
              <w:t xml:space="preserve"> </w:t>
            </w:r>
            <w:r w:rsidRPr="008D0834">
              <w:rPr>
                <w:rFonts w:cs="Arial"/>
                <w:b/>
                <w:bCs/>
                <w:i/>
                <w:iCs/>
                <w:color w:val="000066"/>
                <w:sz w:val="24"/>
                <w:szCs w:val="24"/>
                <w:lang w:val="en-US" w:eastAsia="it-IT"/>
              </w:rPr>
              <w:t>CHEMICAL ENGINEERING</w:t>
            </w:r>
            <w:r w:rsidRPr="008D0834">
              <w:rPr>
                <w:rFonts w:cs="Arial"/>
                <w:b/>
                <w:bCs/>
                <w:i/>
                <w:iCs/>
                <w:color w:val="0033FF"/>
                <w:sz w:val="24"/>
                <w:szCs w:val="24"/>
                <w:lang w:val="en-US" w:eastAsia="it-IT"/>
              </w:rPr>
              <w:t xml:space="preserve"> </w:t>
            </w:r>
            <w:r w:rsidRPr="008D0834">
              <w:rPr>
                <w:rFonts w:cs="Arial"/>
                <w:b/>
                <w:bCs/>
                <w:i/>
                <w:iCs/>
                <w:color w:val="666666"/>
                <w:sz w:val="24"/>
                <w:szCs w:val="24"/>
                <w:lang w:val="en-US" w:eastAsia="it-IT"/>
              </w:rPr>
              <w:t>TRANSACTIONS</w:t>
            </w:r>
            <w:r w:rsidRPr="008D0834">
              <w:rPr>
                <w:color w:val="333333"/>
                <w:sz w:val="24"/>
                <w:szCs w:val="24"/>
                <w:lang w:val="en-US" w:eastAsia="it-IT"/>
              </w:rPr>
              <w:t xml:space="preserve"> </w:t>
            </w:r>
            <w:r w:rsidRPr="008D0834">
              <w:rPr>
                <w:rFonts w:cs="Arial"/>
                <w:b/>
                <w:bCs/>
                <w:i/>
                <w:iCs/>
                <w:color w:val="000066"/>
                <w:sz w:val="27"/>
                <w:szCs w:val="27"/>
                <w:lang w:val="en-US" w:eastAsia="it-IT"/>
              </w:rPr>
              <w:br/>
            </w:r>
          </w:p>
          <w:p w14:paraId="4B780582" w14:textId="15DAE12D" w:rsidR="000A03B2" w:rsidRPr="008D0834" w:rsidRDefault="00A76EFC" w:rsidP="001D21AF">
            <w:pPr>
              <w:tabs>
                <w:tab w:val="left" w:pos="-108"/>
              </w:tabs>
              <w:ind w:left="-108"/>
              <w:rPr>
                <w:rFonts w:cs="Arial"/>
                <w:b/>
                <w:bCs/>
                <w:i/>
                <w:iCs/>
                <w:color w:val="000066"/>
                <w:sz w:val="22"/>
                <w:szCs w:val="22"/>
                <w:lang w:val="en-US" w:eastAsia="it-IT"/>
              </w:rPr>
            </w:pPr>
            <w:r w:rsidRPr="008D0834">
              <w:rPr>
                <w:rFonts w:cs="Arial"/>
                <w:b/>
                <w:bCs/>
                <w:i/>
                <w:iCs/>
                <w:color w:val="000066"/>
                <w:sz w:val="22"/>
                <w:szCs w:val="22"/>
                <w:lang w:val="en-US" w:eastAsia="it-IT"/>
              </w:rPr>
              <w:t>VOL.</w:t>
            </w:r>
            <w:r w:rsidR="00843EAC" w:rsidRPr="008D0834">
              <w:rPr>
                <w:rFonts w:cs="Arial"/>
                <w:b/>
                <w:bCs/>
                <w:i/>
                <w:iCs/>
                <w:color w:val="000066"/>
                <w:sz w:val="22"/>
                <w:szCs w:val="22"/>
                <w:lang w:val="en-US" w:eastAsia="it-IT"/>
              </w:rPr>
              <w:t xml:space="preserve">    </w:t>
            </w:r>
            <w:r w:rsidR="004761E9" w:rsidRPr="008D0834">
              <w:rPr>
                <w:rFonts w:cs="Arial"/>
                <w:b/>
                <w:bCs/>
                <w:i/>
                <w:iCs/>
                <w:color w:val="000066"/>
                <w:sz w:val="22"/>
                <w:szCs w:val="22"/>
                <w:lang w:val="en-US" w:eastAsia="it-IT"/>
              </w:rPr>
              <w:t xml:space="preserve"> </w:t>
            </w:r>
            <w:r w:rsidR="007B48F9" w:rsidRPr="008D0834">
              <w:rPr>
                <w:rFonts w:cs="Arial"/>
                <w:b/>
                <w:bCs/>
                <w:i/>
                <w:iCs/>
                <w:color w:val="000066"/>
                <w:sz w:val="22"/>
                <w:szCs w:val="22"/>
                <w:lang w:val="en-US" w:eastAsia="it-IT"/>
              </w:rPr>
              <w:t>,</w:t>
            </w:r>
            <w:r w:rsidR="00FA5F5F" w:rsidRPr="008D0834">
              <w:rPr>
                <w:rFonts w:cs="Arial"/>
                <w:b/>
                <w:bCs/>
                <w:i/>
                <w:iCs/>
                <w:color w:val="000066"/>
                <w:sz w:val="22"/>
                <w:szCs w:val="22"/>
                <w:lang w:val="en-US" w:eastAsia="it-IT"/>
              </w:rPr>
              <w:t xml:space="preserve"> </w:t>
            </w:r>
            <w:r w:rsidR="0030152C" w:rsidRPr="008D0834">
              <w:rPr>
                <w:rFonts w:cs="Arial"/>
                <w:b/>
                <w:bCs/>
                <w:i/>
                <w:iCs/>
                <w:color w:val="000066"/>
                <w:sz w:val="22"/>
                <w:szCs w:val="22"/>
                <w:lang w:val="en-US" w:eastAsia="it-IT"/>
              </w:rPr>
              <w:t>202</w:t>
            </w:r>
            <w:r w:rsidR="00DB3233" w:rsidRPr="008D0834">
              <w:rPr>
                <w:rFonts w:cs="Arial"/>
                <w:b/>
                <w:bCs/>
                <w:i/>
                <w:iCs/>
                <w:color w:val="000066"/>
                <w:sz w:val="22"/>
                <w:szCs w:val="22"/>
                <w:lang w:val="en-US" w:eastAsia="it-IT"/>
              </w:rPr>
              <w:t>4</w:t>
            </w:r>
          </w:p>
        </w:tc>
        <w:tc>
          <w:tcPr>
            <w:tcW w:w="1842" w:type="dxa"/>
            <w:tcBorders>
              <w:left w:val="single" w:sz="4" w:space="0" w:color="auto"/>
              <w:bottom w:val="nil"/>
              <w:right w:val="single" w:sz="4" w:space="0" w:color="auto"/>
            </w:tcBorders>
          </w:tcPr>
          <w:p w14:paraId="56782132" w14:textId="77777777" w:rsidR="000A03B2" w:rsidRPr="008D0834" w:rsidRDefault="000A03B2" w:rsidP="00CD5FE2">
            <w:pPr>
              <w:spacing w:line="140" w:lineRule="atLeast"/>
              <w:jc w:val="right"/>
              <w:rPr>
                <w:rFonts w:cs="Arial"/>
                <w:sz w:val="14"/>
                <w:szCs w:val="14"/>
                <w:lang w:val="en-US"/>
              </w:rPr>
            </w:pPr>
            <w:r w:rsidRPr="008D0834">
              <w:rPr>
                <w:rFonts w:cs="Arial"/>
                <w:sz w:val="14"/>
                <w:szCs w:val="14"/>
                <w:lang w:val="en-US"/>
              </w:rPr>
              <w:t>A publication of</w:t>
            </w:r>
          </w:p>
          <w:p w14:paraId="599E5441" w14:textId="77777777" w:rsidR="000A03B2" w:rsidRPr="008D0834" w:rsidRDefault="000A03B2" w:rsidP="00CD5FE2">
            <w:pPr>
              <w:jc w:val="right"/>
              <w:rPr>
                <w:lang w:val="en-US"/>
              </w:rPr>
            </w:pPr>
            <w:r w:rsidRPr="008D0834">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D0834" w14:paraId="380FA3CD" w14:textId="77777777" w:rsidTr="00C05CEE">
        <w:trPr>
          <w:trHeight w:val="567"/>
          <w:jc w:val="center"/>
        </w:trPr>
        <w:tc>
          <w:tcPr>
            <w:tcW w:w="6940" w:type="dxa"/>
            <w:vMerge/>
            <w:tcBorders>
              <w:right w:val="single" w:sz="4" w:space="0" w:color="auto"/>
            </w:tcBorders>
          </w:tcPr>
          <w:p w14:paraId="39E5E4C1" w14:textId="77777777" w:rsidR="000A03B2" w:rsidRPr="008D0834" w:rsidRDefault="000A03B2" w:rsidP="00CD5FE2">
            <w:pPr>
              <w:tabs>
                <w:tab w:val="left" w:pos="-108"/>
              </w:tabs>
              <w:rPr>
                <w:lang w:val="en-US"/>
              </w:rPr>
            </w:pPr>
          </w:p>
        </w:tc>
        <w:tc>
          <w:tcPr>
            <w:tcW w:w="1842" w:type="dxa"/>
            <w:tcBorders>
              <w:left w:val="single" w:sz="4" w:space="0" w:color="auto"/>
              <w:bottom w:val="nil"/>
              <w:right w:val="single" w:sz="4" w:space="0" w:color="auto"/>
            </w:tcBorders>
          </w:tcPr>
          <w:p w14:paraId="43858A98" w14:textId="77777777" w:rsidR="000A03B2" w:rsidRPr="008D0834" w:rsidRDefault="000A03B2" w:rsidP="00CD5FE2">
            <w:pPr>
              <w:spacing w:line="140" w:lineRule="atLeast"/>
              <w:jc w:val="right"/>
              <w:rPr>
                <w:rFonts w:cs="Arial"/>
                <w:sz w:val="14"/>
                <w:szCs w:val="14"/>
                <w:lang w:val="en-US"/>
              </w:rPr>
            </w:pPr>
            <w:r w:rsidRPr="008D0834">
              <w:rPr>
                <w:rFonts w:cs="Arial"/>
                <w:sz w:val="14"/>
                <w:szCs w:val="14"/>
                <w:lang w:val="en-US"/>
              </w:rPr>
              <w:t>The Italian Association</w:t>
            </w:r>
          </w:p>
          <w:p w14:paraId="7522B1D2" w14:textId="77777777" w:rsidR="000A03B2" w:rsidRPr="008D0834" w:rsidRDefault="000A03B2" w:rsidP="00CD5FE2">
            <w:pPr>
              <w:spacing w:line="140" w:lineRule="atLeast"/>
              <w:jc w:val="right"/>
              <w:rPr>
                <w:rFonts w:cs="Arial"/>
                <w:sz w:val="14"/>
                <w:szCs w:val="14"/>
                <w:lang w:val="en-US"/>
              </w:rPr>
            </w:pPr>
            <w:r w:rsidRPr="008D0834">
              <w:rPr>
                <w:rFonts w:cs="Arial"/>
                <w:sz w:val="14"/>
                <w:szCs w:val="14"/>
                <w:lang w:val="en-US"/>
              </w:rPr>
              <w:t>of Chemical Engineering</w:t>
            </w:r>
          </w:p>
          <w:p w14:paraId="4F0CC5DE" w14:textId="47FDB2FC" w:rsidR="000A03B2" w:rsidRPr="008D0834" w:rsidRDefault="000D0268" w:rsidP="00CD5FE2">
            <w:pPr>
              <w:spacing w:line="140" w:lineRule="atLeast"/>
              <w:jc w:val="right"/>
              <w:rPr>
                <w:rFonts w:cs="Arial"/>
                <w:sz w:val="13"/>
                <w:szCs w:val="13"/>
                <w:lang w:val="en-US"/>
              </w:rPr>
            </w:pPr>
            <w:r w:rsidRPr="008D0834">
              <w:rPr>
                <w:rFonts w:cs="Arial"/>
                <w:sz w:val="13"/>
                <w:szCs w:val="13"/>
                <w:lang w:val="en-US"/>
              </w:rPr>
              <w:t>Online at www.cetjournal.it</w:t>
            </w:r>
          </w:p>
        </w:tc>
      </w:tr>
      <w:tr w:rsidR="000A03B2" w:rsidRPr="008D0834" w14:paraId="2D1B7169" w14:textId="77777777" w:rsidTr="00C05CEE">
        <w:trPr>
          <w:trHeight w:val="68"/>
          <w:jc w:val="center"/>
        </w:trPr>
        <w:tc>
          <w:tcPr>
            <w:tcW w:w="8782" w:type="dxa"/>
            <w:gridSpan w:val="2"/>
          </w:tcPr>
          <w:p w14:paraId="1D8DD3C9" w14:textId="475D992A" w:rsidR="00AA7D26" w:rsidRPr="008D0834" w:rsidRDefault="00AA7D26" w:rsidP="00AA7D26">
            <w:pPr>
              <w:ind w:left="-107"/>
              <w:outlineLvl w:val="2"/>
              <w:rPr>
                <w:rFonts w:ascii="Tahoma" w:hAnsi="Tahoma" w:cs="Tahoma"/>
                <w:bCs/>
                <w:color w:val="000000"/>
                <w:sz w:val="14"/>
                <w:szCs w:val="14"/>
                <w:lang w:val="en-US" w:eastAsia="it-IT"/>
              </w:rPr>
            </w:pPr>
            <w:r w:rsidRPr="008D0834">
              <w:rPr>
                <w:rFonts w:ascii="Tahoma" w:hAnsi="Tahoma" w:cs="Tahoma"/>
                <w:iCs/>
                <w:color w:val="333333"/>
                <w:sz w:val="14"/>
                <w:szCs w:val="14"/>
                <w:lang w:val="en-US" w:eastAsia="it-IT"/>
              </w:rPr>
              <w:t>Guest Editors:</w:t>
            </w:r>
            <w:r w:rsidRPr="008D0834">
              <w:rPr>
                <w:rFonts w:ascii="Tahoma" w:hAnsi="Tahoma" w:cs="Tahoma"/>
                <w:color w:val="000000"/>
                <w:sz w:val="14"/>
                <w:szCs w:val="14"/>
                <w:shd w:val="clear" w:color="auto" w:fill="FFFFFF"/>
                <w:lang w:val="en-US"/>
              </w:rPr>
              <w:t xml:space="preserve"> </w:t>
            </w:r>
            <w:r w:rsidR="006A23E9" w:rsidRPr="008D0834">
              <w:rPr>
                <w:rFonts w:ascii="Tahoma" w:hAnsi="Tahoma" w:cs="Tahoma"/>
                <w:color w:val="000000"/>
                <w:sz w:val="14"/>
                <w:szCs w:val="14"/>
                <w:shd w:val="clear" w:color="auto" w:fill="FFFFFF"/>
                <w:lang w:val="en-US"/>
              </w:rPr>
              <w:t xml:space="preserve">Leonardo Tognotti, </w:t>
            </w:r>
            <w:r w:rsidR="006A23E9" w:rsidRPr="008D0834">
              <w:rPr>
                <w:rFonts w:ascii="Tahoma" w:hAnsi="Tahoma" w:cs="Tahoma"/>
                <w:color w:val="000000"/>
                <w:sz w:val="14"/>
                <w:szCs w:val="14"/>
                <w:lang w:val="en-US"/>
              </w:rPr>
              <w:t>Rubens Maciel Filho</w:t>
            </w:r>
            <w:r w:rsidR="006A23E9" w:rsidRPr="008D0834">
              <w:rPr>
                <w:rFonts w:ascii="Tahoma" w:hAnsi="Tahoma" w:cs="Tahoma"/>
                <w:color w:val="000000"/>
                <w:sz w:val="14"/>
                <w:szCs w:val="14"/>
                <w:shd w:val="clear" w:color="auto" w:fill="FFFFFF"/>
                <w:lang w:val="en-US"/>
              </w:rPr>
              <w:t xml:space="preserve">, </w:t>
            </w:r>
            <w:r w:rsidR="006A23E9" w:rsidRPr="008D0834">
              <w:rPr>
                <w:rFonts w:ascii="Tahoma" w:hAnsi="Tahoma" w:cs="Tahoma"/>
                <w:color w:val="000000"/>
                <w:sz w:val="14"/>
                <w:szCs w:val="14"/>
                <w:lang w:val="en-US"/>
              </w:rPr>
              <w:t>Viatcheslav Kafarov</w:t>
            </w:r>
          </w:p>
          <w:p w14:paraId="1B0F1814" w14:textId="3AD74145" w:rsidR="000A03B2" w:rsidRPr="008D0834" w:rsidRDefault="00AA7D26" w:rsidP="00AA7D26">
            <w:pPr>
              <w:tabs>
                <w:tab w:val="left" w:pos="-108"/>
              </w:tabs>
              <w:spacing w:line="140" w:lineRule="atLeast"/>
              <w:ind w:left="-107"/>
              <w:jc w:val="left"/>
              <w:rPr>
                <w:lang w:val="en-US"/>
              </w:rPr>
            </w:pPr>
            <w:r w:rsidRPr="008D0834">
              <w:rPr>
                <w:rFonts w:ascii="Tahoma" w:hAnsi="Tahoma" w:cs="Tahoma"/>
                <w:iCs/>
                <w:color w:val="333333"/>
                <w:sz w:val="14"/>
                <w:szCs w:val="14"/>
                <w:lang w:val="en-US" w:eastAsia="it-IT"/>
              </w:rPr>
              <w:t>Copyright © 202</w:t>
            </w:r>
            <w:r w:rsidR="00843EAC" w:rsidRPr="008D0834">
              <w:rPr>
                <w:rFonts w:ascii="Tahoma" w:hAnsi="Tahoma" w:cs="Tahoma"/>
                <w:iCs/>
                <w:color w:val="333333"/>
                <w:sz w:val="14"/>
                <w:szCs w:val="14"/>
                <w:lang w:val="en-US" w:eastAsia="it-IT"/>
              </w:rPr>
              <w:t>4</w:t>
            </w:r>
            <w:r w:rsidRPr="008D0834">
              <w:rPr>
                <w:rFonts w:ascii="Tahoma" w:hAnsi="Tahoma" w:cs="Tahoma"/>
                <w:iCs/>
                <w:color w:val="333333"/>
                <w:sz w:val="14"/>
                <w:szCs w:val="14"/>
                <w:lang w:val="en-US" w:eastAsia="it-IT"/>
              </w:rPr>
              <w:t>, AIDIC Servizi S.r.l.</w:t>
            </w:r>
            <w:r w:rsidRPr="008D0834">
              <w:rPr>
                <w:rFonts w:ascii="Tahoma" w:hAnsi="Tahoma" w:cs="Tahoma"/>
                <w:iCs/>
                <w:color w:val="333333"/>
                <w:sz w:val="14"/>
                <w:szCs w:val="14"/>
                <w:lang w:val="en-US" w:eastAsia="it-IT"/>
              </w:rPr>
              <w:br/>
            </w:r>
            <w:r w:rsidRPr="008D0834">
              <w:rPr>
                <w:rFonts w:ascii="Tahoma" w:hAnsi="Tahoma" w:cs="Tahoma"/>
                <w:b/>
                <w:iCs/>
                <w:color w:val="000000"/>
                <w:sz w:val="14"/>
                <w:szCs w:val="14"/>
                <w:lang w:val="en-US" w:eastAsia="it-IT"/>
              </w:rPr>
              <w:t>ISBN</w:t>
            </w:r>
            <w:r w:rsidRPr="008D0834">
              <w:rPr>
                <w:rFonts w:ascii="Tahoma" w:hAnsi="Tahoma" w:cs="Tahoma"/>
                <w:iCs/>
                <w:color w:val="000000"/>
                <w:sz w:val="14"/>
                <w:szCs w:val="14"/>
                <w:lang w:val="en-US" w:eastAsia="it-IT"/>
              </w:rPr>
              <w:t xml:space="preserve"> </w:t>
            </w:r>
            <w:r w:rsidR="008B7C03" w:rsidRPr="008D0834">
              <w:rPr>
                <w:rFonts w:ascii="Tahoma" w:hAnsi="Tahoma" w:cs="Tahoma"/>
                <w:sz w:val="14"/>
                <w:szCs w:val="14"/>
                <w:lang w:val="en-US"/>
              </w:rPr>
              <w:t>979-12-81206</w:t>
            </w:r>
            <w:r w:rsidRPr="008D0834">
              <w:rPr>
                <w:rFonts w:ascii="Tahoma" w:hAnsi="Tahoma" w:cs="Tahoma"/>
                <w:sz w:val="14"/>
                <w:szCs w:val="14"/>
                <w:lang w:val="en-US"/>
              </w:rPr>
              <w:t>-</w:t>
            </w:r>
            <w:r w:rsidR="00DB3233" w:rsidRPr="008D0834">
              <w:rPr>
                <w:rFonts w:ascii="Tahoma" w:hAnsi="Tahoma" w:cs="Tahoma"/>
                <w:sz w:val="14"/>
                <w:szCs w:val="14"/>
                <w:lang w:val="en-US"/>
              </w:rPr>
              <w:t>09</w:t>
            </w:r>
            <w:r w:rsidRPr="008D0834">
              <w:rPr>
                <w:rFonts w:ascii="Tahoma" w:hAnsi="Tahoma" w:cs="Tahoma"/>
                <w:sz w:val="14"/>
                <w:szCs w:val="14"/>
                <w:lang w:val="en-US"/>
              </w:rPr>
              <w:t>-</w:t>
            </w:r>
            <w:r w:rsidR="00DB3233" w:rsidRPr="008D0834">
              <w:rPr>
                <w:rFonts w:ascii="Tahoma" w:hAnsi="Tahoma" w:cs="Tahoma"/>
                <w:sz w:val="14"/>
                <w:szCs w:val="14"/>
                <w:lang w:val="en-US"/>
              </w:rPr>
              <w:t>0</w:t>
            </w:r>
            <w:r w:rsidRPr="008D0834">
              <w:rPr>
                <w:rFonts w:ascii="Tahoma" w:hAnsi="Tahoma" w:cs="Tahoma"/>
                <w:iCs/>
                <w:color w:val="333333"/>
                <w:sz w:val="14"/>
                <w:szCs w:val="14"/>
                <w:lang w:val="en-US" w:eastAsia="it-IT"/>
              </w:rPr>
              <w:t xml:space="preserve">; </w:t>
            </w:r>
            <w:r w:rsidRPr="008D0834">
              <w:rPr>
                <w:rFonts w:ascii="Tahoma" w:hAnsi="Tahoma" w:cs="Tahoma"/>
                <w:b/>
                <w:iCs/>
                <w:color w:val="333333"/>
                <w:sz w:val="14"/>
                <w:szCs w:val="14"/>
                <w:lang w:val="en-US" w:eastAsia="it-IT"/>
              </w:rPr>
              <w:t>ISSN</w:t>
            </w:r>
            <w:r w:rsidRPr="008D0834">
              <w:rPr>
                <w:rFonts w:ascii="Tahoma" w:hAnsi="Tahoma" w:cs="Tahoma"/>
                <w:iCs/>
                <w:color w:val="333333"/>
                <w:sz w:val="14"/>
                <w:szCs w:val="14"/>
                <w:lang w:val="en-US" w:eastAsia="it-IT"/>
              </w:rPr>
              <w:t xml:space="preserve"> 2283-9216</w:t>
            </w:r>
          </w:p>
        </w:tc>
      </w:tr>
    </w:tbl>
    <w:p w14:paraId="2E667253" w14:textId="041F3EA0" w:rsidR="00E978D0" w:rsidRPr="008D0834" w:rsidRDefault="00C05CEE" w:rsidP="00E978D0">
      <w:pPr>
        <w:pStyle w:val="CETTitle"/>
        <w:rPr>
          <w:lang w:val="en-US"/>
        </w:rPr>
      </w:pPr>
      <w:r w:rsidRPr="008D0834">
        <w:rPr>
          <w:lang w:val="en-US"/>
        </w:rPr>
        <w:t>Techno-economic Analysis and Life Cycle Assessment of Renewable Acetaldehyde from Sugarcane Ethanol</w:t>
      </w:r>
    </w:p>
    <w:p w14:paraId="0488FED2" w14:textId="01D3C489" w:rsidR="00B57E6F" w:rsidRPr="00393D6F" w:rsidRDefault="00C05CEE" w:rsidP="00B57E6F">
      <w:pPr>
        <w:pStyle w:val="CETAuthors"/>
        <w:rPr>
          <w:lang w:val="pt-BR"/>
        </w:rPr>
      </w:pPr>
      <w:r w:rsidRPr="00393D6F">
        <w:rPr>
          <w:lang w:val="pt-BR"/>
        </w:rPr>
        <w:t>Jean Felipe Leal Silva, Rubens Maciel Filh</w:t>
      </w:r>
      <w:r w:rsidR="00DB5902" w:rsidRPr="00393D6F">
        <w:rPr>
          <w:lang w:val="pt-BR"/>
        </w:rPr>
        <w:t>o</w:t>
      </w:r>
    </w:p>
    <w:p w14:paraId="6B2D21B3" w14:textId="02864958" w:rsidR="00B57E6F" w:rsidRPr="008D0834" w:rsidRDefault="00DB5902" w:rsidP="00B57E6F">
      <w:pPr>
        <w:pStyle w:val="CETAddress"/>
        <w:rPr>
          <w:lang w:val="en-US"/>
        </w:rPr>
      </w:pPr>
      <w:r w:rsidRPr="008D0834">
        <w:rPr>
          <w:lang w:val="en-US"/>
        </w:rPr>
        <w:t>School of Chemical Engineering, University of Campinas, Av. Albert Einstein, 500, Campinas, SP, 13083-852, Brazil</w:t>
      </w:r>
    </w:p>
    <w:p w14:paraId="73F1267A" w14:textId="09F6C3AF" w:rsidR="00B57E6F" w:rsidRPr="008D0834" w:rsidRDefault="00DB5902" w:rsidP="00B57E6F">
      <w:pPr>
        <w:pStyle w:val="CETemail"/>
        <w:rPr>
          <w:lang w:val="en-US"/>
        </w:rPr>
      </w:pPr>
      <w:r w:rsidRPr="008D0834">
        <w:rPr>
          <w:lang w:val="en-US"/>
        </w:rPr>
        <w:t>jeanf@unicamp.br</w:t>
      </w:r>
    </w:p>
    <w:p w14:paraId="7BF68643" w14:textId="280EDF7B" w:rsidR="00DB5902" w:rsidRPr="008D0834" w:rsidRDefault="00DB5902" w:rsidP="00600535">
      <w:pPr>
        <w:pStyle w:val="CETBodytext"/>
      </w:pPr>
      <w:r w:rsidRPr="008D0834">
        <w:t xml:space="preserve">Acetaldehyde has been historically synthesized from ethanol via oxidation. However, since the 1960s, the cost of feedstock and conversion process has gradually driven manufacturers to prefer the liquid-phase oxidation of ethylene. However, the aggravation of the effects of the climate crisis demands a shift from fossil feedstocks to renewable feedstocks to reduce society’s </w:t>
      </w:r>
      <w:r w:rsidR="005A33A9">
        <w:t>CO</w:t>
      </w:r>
      <w:r w:rsidR="005A33A9" w:rsidRPr="005A33A9">
        <w:rPr>
          <w:vertAlign w:val="subscript"/>
        </w:rPr>
        <w:t>2</w:t>
      </w:r>
      <w:r w:rsidR="005A33A9">
        <w:t xml:space="preserve"> footprint</w:t>
      </w:r>
      <w:r w:rsidRPr="008D0834">
        <w:t xml:space="preserve">. Moreover, sugarcane ethanol production is a more mature process nowadays, delivering a low-cost renewable chemical. </w:t>
      </w:r>
      <w:r w:rsidR="00B036CF">
        <w:t>Bearing all this in mind</w:t>
      </w:r>
      <w:r w:rsidRPr="008D0834">
        <w:t xml:space="preserve">, this work analyzes the viability of the production of acetaldehyde via oxidation of sugarcane ethanol. The key idea is to integrate the process into a sugarcane biorefinery to take advantage of the surplus energy of optimized distilleries to provide renewable energy </w:t>
      </w:r>
      <w:r w:rsidR="00887901">
        <w:t>for</w:t>
      </w:r>
      <w:r w:rsidRPr="008D0834">
        <w:t xml:space="preserve"> acetaldehyde</w:t>
      </w:r>
      <w:r w:rsidR="00887901">
        <w:t xml:space="preserve"> production</w:t>
      </w:r>
      <w:r w:rsidRPr="008D0834">
        <w:t xml:space="preserve">. The oxidation process of ethanol to acetaldehyde </w:t>
      </w:r>
      <w:r w:rsidR="00887901" w:rsidRPr="008D0834">
        <w:t>in</w:t>
      </w:r>
      <w:r w:rsidRPr="008D0834">
        <w:t xml:space="preserve"> the gas phase was simulated using literature data. Process data for the remaining sections of the sugarcane biorefinery were based on literature data as well. Based on equipment sizing and processing capacity, a cash flow analysis was performed to determine the </w:t>
      </w:r>
      <w:r w:rsidR="00887901">
        <w:t>best operating conditions for acetaldehyde production</w:t>
      </w:r>
      <w:r w:rsidR="00B036CF">
        <w:t xml:space="preserve"> via ethanol oxidation</w:t>
      </w:r>
      <w:r w:rsidRPr="008D0834">
        <w:t>.</w:t>
      </w:r>
      <w:r w:rsidR="00887901">
        <w:t xml:space="preserve"> Results have shown that </w:t>
      </w:r>
      <w:r w:rsidR="00CC7DC7">
        <w:t xml:space="preserve">the </w:t>
      </w:r>
      <w:r w:rsidR="00887901">
        <w:t>conversion of ethanol to acetaldehyde using this process is competitive</w:t>
      </w:r>
      <w:r w:rsidR="005A33A9">
        <w:t xml:space="preserve"> </w:t>
      </w:r>
      <w:r w:rsidR="0069574D">
        <w:t xml:space="preserve">and </w:t>
      </w:r>
      <w:r w:rsidR="00887901">
        <w:t xml:space="preserve">can increase the earnings of the biorefinery. </w:t>
      </w:r>
      <w:r w:rsidRPr="008D0834">
        <w:t>A life cycle assessment was performed as well to compare the carbon intensity of acetaldehyde produced from ethanol to the carbon intensity of acetaldehyde produced via direct oxidation of ethylene</w:t>
      </w:r>
      <w:r w:rsidR="00887901">
        <w:t>, showing a reduction of 85%</w:t>
      </w:r>
      <w:r w:rsidRPr="008D0834">
        <w:t>. Results demonstrate that the oxidation of ethanol represents a renewable alternative with economic potential when integrated into a sugarcane biorefinery.</w:t>
      </w:r>
    </w:p>
    <w:p w14:paraId="03A144EC" w14:textId="77777777" w:rsidR="00DB5902" w:rsidRPr="008D0834" w:rsidRDefault="00DB5902" w:rsidP="00600535">
      <w:pPr>
        <w:pStyle w:val="CETBodytext"/>
      </w:pPr>
    </w:p>
    <w:p w14:paraId="476B2F2E" w14:textId="77777777" w:rsidR="00600535" w:rsidRPr="008D0834" w:rsidRDefault="00600535" w:rsidP="00600535">
      <w:pPr>
        <w:pStyle w:val="CETHeading1"/>
      </w:pPr>
      <w:r w:rsidRPr="008D0834">
        <w:t>Introduction</w:t>
      </w:r>
    </w:p>
    <w:p w14:paraId="46FCAE8C" w14:textId="14A38240" w:rsidR="00DB5902" w:rsidRPr="00CF1DA6" w:rsidRDefault="008D0834" w:rsidP="00CF1DA6">
      <w:pPr>
        <w:pStyle w:val="CETBodytext"/>
      </w:pPr>
      <w:r w:rsidRPr="00CF1DA6">
        <w:t>Acetaldehyde</w:t>
      </w:r>
      <w:r w:rsidR="000E2B92" w:rsidRPr="00CF1DA6">
        <w:t xml:space="preserve"> (ethanal)</w:t>
      </w:r>
      <w:r w:rsidRPr="00CF1DA6">
        <w:t xml:space="preserve"> is </w:t>
      </w:r>
      <w:r w:rsidR="00393D6F" w:rsidRPr="00CF1DA6">
        <w:t>an important</w:t>
      </w:r>
      <w:r w:rsidR="000E2B92" w:rsidRPr="00CF1DA6">
        <w:t xml:space="preserve"> chemical</w:t>
      </w:r>
      <w:r w:rsidR="00393D6F" w:rsidRPr="00CF1DA6">
        <w:t xml:space="preserve"> </w:t>
      </w:r>
      <w:r w:rsidR="000E2B92" w:rsidRPr="00CF1DA6">
        <w:t>intermediate</w:t>
      </w:r>
      <w:r w:rsidR="00393D6F" w:rsidRPr="00CF1DA6">
        <w:t xml:space="preserve"> with applications in </w:t>
      </w:r>
      <w:r w:rsidR="000E2B92" w:rsidRPr="00CF1DA6">
        <w:t>chemicals</w:t>
      </w:r>
      <w:r w:rsidR="00393D6F" w:rsidRPr="00CF1DA6">
        <w:t xml:space="preserve">, perfumes, pharmaceuticals, and plastics. </w:t>
      </w:r>
      <w:r w:rsidR="000E2B92" w:rsidRPr="00CF1DA6">
        <w:t>It can be used in the production of acetic acid, acetone, ethyl acetate, acetic anhydride, pyridines, and alkylamines</w:t>
      </w:r>
      <w:r w:rsidR="00231A76" w:rsidRPr="00CF1DA6">
        <w:t xml:space="preserve"> </w:t>
      </w:r>
      <w:r w:rsidR="00231A76" w:rsidRPr="00CF1DA6">
        <w:fldChar w:fldCharType="begin" w:fldLock="1"/>
      </w:r>
      <w:r w:rsidR="00082234">
        <w:instrText>ADDIN CSL_CITATION {"citationItems":[{"id":"ITEM-1","itemData":{"DOI":"10.1002/0471238961.0103052008010705.A01","author":[{"dropping-particle":"","family":"Hagemeyer","given":"H.J.","non-dropping-particle":"","parse-names":false,"suffix":""}],"container-title":"Kirk-Othmer Encyclopedia of Chemical Technology","id":"ITEM-1","issued":{"date-parts":[["2000","12","4"]]},"publisher":"John Wiley &amp; Sons, Ltd","title":"Acetaldehyde","type":"article-journal"},"uris":["http://www.mendeley.com/documents/?uuid=8714f1f2-b9a0-3eb0-9258-0960e22bd741"]}],"mendeley":{"formattedCitation":"(Hagemeyer, 2000)","plainTextFormattedCitation":"(Hagemeyer, 2000)","previouslyFormattedCitation":"(Hagemeyer, 2000)"},"properties":{"noteIndex":0},"schema":"https://github.com/citation-style-language/schema/raw/master/csl-citation.json"}</w:instrText>
      </w:r>
      <w:r w:rsidR="00231A76" w:rsidRPr="00CF1DA6">
        <w:fldChar w:fldCharType="separate"/>
      </w:r>
      <w:r w:rsidR="00A82EE2" w:rsidRPr="00A82EE2">
        <w:rPr>
          <w:noProof/>
        </w:rPr>
        <w:t>(Hagemeyer, 20</w:t>
      </w:r>
      <w:r w:rsidR="005E1618">
        <w:rPr>
          <w:noProof/>
        </w:rPr>
        <w:t>14</w:t>
      </w:r>
      <w:r w:rsidR="00A82EE2" w:rsidRPr="00A82EE2">
        <w:rPr>
          <w:noProof/>
        </w:rPr>
        <w:t>)</w:t>
      </w:r>
      <w:r w:rsidR="00231A76" w:rsidRPr="00CF1DA6">
        <w:fldChar w:fldCharType="end"/>
      </w:r>
      <w:r w:rsidR="000E2B92" w:rsidRPr="00CF1DA6">
        <w:t>. Since the 1960s, acetaldehyde has been mostly produced via liquid-phase oxidation of ethylene</w:t>
      </w:r>
      <w:r w:rsidR="00231A76" w:rsidRPr="00CF1DA6">
        <w:t xml:space="preserve"> in the presence of a metal catalyst </w:t>
      </w:r>
      <w:r w:rsidR="00231A76" w:rsidRPr="00CF1DA6">
        <w:fldChar w:fldCharType="begin" w:fldLock="1"/>
      </w:r>
      <w:r w:rsidR="00082234">
        <w:instrText>ADDIN CSL_CITATION {"citationItems":[{"id":"ITEM-1","itemData":{"DOI":"10.1002/ANIE.200903992","ISSN":"1521-3773","abstract":"The Wacker oxidation for the conversion of ethylene into acetaldehyde Is one of the most important processes in the chemical industry. This year marks the 50th anniversary of the first publication on this process in Angewandte Chemie-an occasion for a retrospective from one of the original authors, Reinhard Jira. © 2009 Wiley-VCH Verlag GmbH &amp; Co. KGaA.","author":[{"dropping-particle":"","family":"Jira","given":"Reinhard","non-dropping-particle":"","parse-names":false,"suffix":""}],"container-title":"Angewandte Chemie International Edition","id":"ITEM-1","issue":"48","issued":{"date-parts":[["2009","11","16"]]},"page":"9034-9037","publisher":"John Wiley &amp; Sons, Ltd","title":"Acetaldehyde from Ethylene—A Retrospective on the Discovery of the Wacker Process","type":"article-journal","volume":"48"},"uris":["http://www.mendeley.com/documents/?uuid=3aa5b97b-074a-3d45-955a-55e73fb1f593"]}],"mendeley":{"formattedCitation":"(Jira, 2009)","plainTextFormattedCitation":"(Jira, 2009)","previouslyFormattedCitation":"(Jira, 2009)"},"properties":{"noteIndex":0},"schema":"https://github.com/citation-style-language/schema/raw/master/csl-citation.json"}</w:instrText>
      </w:r>
      <w:r w:rsidR="00231A76" w:rsidRPr="00CF1DA6">
        <w:fldChar w:fldCharType="separate"/>
      </w:r>
      <w:r w:rsidR="00A82EE2" w:rsidRPr="00A82EE2">
        <w:rPr>
          <w:noProof/>
        </w:rPr>
        <w:t>(Jira, 2009)</w:t>
      </w:r>
      <w:r w:rsidR="00231A76" w:rsidRPr="00CF1DA6">
        <w:fldChar w:fldCharType="end"/>
      </w:r>
      <w:r w:rsidR="00F6223A" w:rsidRPr="00CF1DA6">
        <w:t xml:space="preserve">, in the </w:t>
      </w:r>
      <w:r w:rsidR="000E2B92" w:rsidRPr="00CF1DA6">
        <w:t>Wacker process</w:t>
      </w:r>
      <w:r w:rsidR="00F6223A" w:rsidRPr="00CF1DA6">
        <w:t>, while there are still some commercial plants working with partial oxidation of ethanol and hydration of acetylene. Despite the reliability of mature technology, the Wacker process has drawbacks such as high consumption of energy and the use of a non-renewable raw material</w:t>
      </w:r>
      <w:r w:rsidR="00317C8A">
        <w:t xml:space="preserve"> — ethylene, produced via steam cracking of petroleum fractions or natural gas liquids </w:t>
      </w:r>
      <w:r w:rsidR="001C4DDA">
        <w:fldChar w:fldCharType="begin" w:fldLock="1"/>
      </w:r>
      <w:r w:rsidR="001C4DDA">
        <w:instrText>ADDIN CSL_CITATION {"citationItems":[{"id":"ITEM-1","itemData":{"ISBN":"1444320254","abstract":"Second edition. This new edition of the bestselling text provides a comprehensive introduction to chemical process technology, linking the fundamental theory and concepts to the applied nature of the subject. It provides an essential bridge between the chemical sciences and the chemical industry. 1 Introduction -- 2 The chemical industry -- 3 Processes in the oil refinery -- 4 Production of light alkenes -- 5 Production of synthesis gas -- 6 Bulk chemicals and synthetic fuels derived from synthesis gas -- 7 Processes for the conversion of biomass -- 8 Inorganic bulk chemicals -- 9 Homogeneous transition metal catalysis in the production of bulk chemicals -- 10 Heterogeneous catalysis -- concepts and examples -- 11 Production of polymers -- polyethene -- 12 Production of fine chemicals -- 13 Biotechnology -- 14 Process intensification -- 15 Process development -- Appendix A chemical industry -- figures -- Appendix B Main symbols used in flow scemes.","author":[{"dropping-particle":"","family":"Moulijn","given":"Jacob A.","non-dropping-particle":"","parse-names":false,"suffix":""},{"dropping-particle":"","family":"Makkee","given":"Michiel.","non-dropping-particle":"","parse-names":false,"suffix":""},{"dropping-particle":"","family":"Diepen","given":"Annelies van.","non-dropping-particle":"","parse-names":false,"suffix":""}],"id":"ITEM-1","issued":{"date-parts":[["2013"]]},"number-of-pages":"552","publisher":"John Wiley &amp; Sons","title":"Chemical process technology","type":"book"},"uris":["http://www.mendeley.com/documents/?uuid=787bd2c7-eed0-3b4f-9227-02897011a682"]}],"mendeley":{"formattedCitation":"(Moulijn et al., 2013)","plainTextFormattedCitation":"(Moulijn et al., 2013)","previouslyFormattedCitation":"(Moulijn et al., 2013)"},"properties":{"noteIndex":0},"schema":"https://github.com/citation-style-language/schema/raw/master/csl-citation.json"}</w:instrText>
      </w:r>
      <w:r w:rsidR="001C4DDA">
        <w:fldChar w:fldCharType="separate"/>
      </w:r>
      <w:r w:rsidR="001C4DDA" w:rsidRPr="001C4DDA">
        <w:rPr>
          <w:noProof/>
        </w:rPr>
        <w:t>(Moulijn et al., 2013)</w:t>
      </w:r>
      <w:r w:rsidR="001C4DDA">
        <w:fldChar w:fldCharType="end"/>
      </w:r>
      <w:r w:rsidR="00F6223A" w:rsidRPr="00CF1DA6">
        <w:t xml:space="preserve">. </w:t>
      </w:r>
      <w:r w:rsidR="00D3748D" w:rsidRPr="00CF1DA6">
        <w:t xml:space="preserve">In the face of the current climate crisis, alternative processes to replace non-renewable chemicals </w:t>
      </w:r>
      <w:r w:rsidR="00231A76" w:rsidRPr="00CF1DA6">
        <w:t>with</w:t>
      </w:r>
      <w:r w:rsidR="00D3748D" w:rsidRPr="00CF1DA6">
        <w:t xml:space="preserve"> green chemicals must be developed</w:t>
      </w:r>
      <w:r w:rsidR="001C4DDA">
        <w:t xml:space="preserve"> </w:t>
      </w:r>
      <w:r w:rsidR="001C4DDA">
        <w:fldChar w:fldCharType="begin" w:fldLock="1"/>
      </w:r>
      <w:r w:rsidR="00D65477">
        <w:instrText>ADDIN CSL_CITATION {"citationItems":[{"id":"ITEM-1","itemData":{"DOI":"10.3390/EN16041752","ISSN":"1996-1073","abstract":"The idea of a circular economy (CE) has gained ground over the past ten years as a means of addressing sustainable development and getting around the limitations of the current and linear dominant production and consumption patterns. The primary goal of a CE is to encourage the adoption of closing-the-loop production methods to improve resource use efficiency, modify chemical processes, and increase product and material lifespan. According to the 2030 Agenda for Sustainable Development, which focuses on 17 Sustainable Development Goals, 14 of which call for the appropriate application of green chemistry (GC) concepts and patterns, the role that chemistry may play in the shift toward more sustainable models is critical. By serving as the foundation for novel products made from renewable feedstocks and designed to be reused, recycled, or recovered with the associated minimum energy requirements, green and sustainable chemistry could be the key to unlocking the economic potential of the CE toward new product design and ultimately solving waste management problems. The aim of this perspective paper, while using a variety of literature sources, is to essentially capture the main issues associated with the CE and GC paradigms and how these two approaches can merge toward sustainable business models and the production of new materials. This integration focuses on reducing waste, conserving resources, and minimizing negative environmental impacts, while also considering economic viability. However, the obstacles to achieving implementation of the CE and GC principles are investment, environmental education, and legislation. To advance toward the circular economy and green chemistry, international agreements should be reconsidered to provide an appropriate framework, including the creation of incentives for businesses and individuals to adopt circular practices, the establishment of education programs to promote the benefits of circular practices, and the development of regulations to support the transition to sustainable production and consumption patterns.","author":[{"dropping-particle":"","family":"Ncube","given":"Amos","non-dropping-particle":"","parse-names":false,"suffix":""},{"dropping-particle":"","family":"Mtetwa","given":"Sandile","non-dropping-particle":"","parse-names":false,"suffix":""},{"dropping-particle":"","family":"Bukhari","given":"Mahak","non-dropping-particle":"","parse-names":false,"suffix":""},{"dropping-particle":"","family":"Fiorentino","given":"Gabriella","non-dropping-particle":"","parse-names":false,"suffix":""},{"dropping-particle":"","family":"Passaro","given":"Renato","non-dropping-particle":"","parse-names":false,"suffix":""}],"container-title":"Energies 2023, Vol. 16, Page 1752","id":"ITEM-1","issue":"4","issued":{"date-parts":[["2023","2","9"]]},"page":"1752","publisher":"Multidisciplinary Digital Publishing Institute","title":"Circular Economy and Green Chemistry: The Need for Radical Innovative Approaches in the Design for New Products","type":"article-journal","volume":"16"},"uris":["http://www.mendeley.com/documents/?uuid=b5ab9645-7e97-387a-b4c5-8fa5042f8e30"]}],"mendeley":{"formattedCitation":"(Ncube et al., 2023)","plainTextFormattedCitation":"(Ncube et al., 2023)","previouslyFormattedCitation":"(Ncube et al., 2023)"},"properties":{"noteIndex":0},"schema":"https://github.com/citation-style-language/schema/raw/master/csl-citation.json"}</w:instrText>
      </w:r>
      <w:r w:rsidR="001C4DDA">
        <w:fldChar w:fldCharType="separate"/>
      </w:r>
      <w:r w:rsidR="001C4DDA" w:rsidRPr="001C4DDA">
        <w:rPr>
          <w:noProof/>
        </w:rPr>
        <w:t>(Ncube et al., 2023)</w:t>
      </w:r>
      <w:r w:rsidR="001C4DDA">
        <w:fldChar w:fldCharType="end"/>
      </w:r>
      <w:r w:rsidR="00D3748D" w:rsidRPr="00CF1DA6">
        <w:t>.</w:t>
      </w:r>
    </w:p>
    <w:p w14:paraId="29260CBB" w14:textId="36492204" w:rsidR="00D3748D" w:rsidRPr="00CF1DA6" w:rsidRDefault="00D3748D" w:rsidP="00CF1DA6">
      <w:pPr>
        <w:pStyle w:val="CETBodytext"/>
      </w:pPr>
      <w:r w:rsidRPr="00CF1DA6">
        <w:t>Ethanol</w:t>
      </w:r>
      <w:r w:rsidR="00231A76" w:rsidRPr="00CF1DA6">
        <w:t xml:space="preserve"> oxidation </w:t>
      </w:r>
      <w:r w:rsidR="00CF1DA6" w:rsidRPr="00CF1DA6">
        <w:t>was the preferred route to produce acetaldehyde before the development of the Wacker process</w:t>
      </w:r>
      <w:r w:rsidR="00C97968">
        <w:t>, which took over as the preferred process option by 1968</w:t>
      </w:r>
      <w:r w:rsidR="00A21AD2">
        <w:t xml:space="preserve"> in the United States</w:t>
      </w:r>
      <w:r w:rsidR="00C97968">
        <w:t xml:space="preserve"> </w:t>
      </w:r>
      <w:r w:rsidR="00C97968">
        <w:fldChar w:fldCharType="begin" w:fldLock="1"/>
      </w:r>
      <w:r w:rsidR="00082234">
        <w:instrText>ADDIN CSL_CITATION {"citationItems":[{"id":"ITEM-1","itemData":{"DOI":"10.1002/0471238961.0103052008010705.A01","author":[{"dropping-particle":"","family":"Hagemeyer","given":"H.J.","non-dropping-particle":"","parse-names":false,"suffix":""}],"container-title":"Kirk-Othmer Encyclopedia of Chemical Technology","id":"ITEM-1","issued":{"date-parts":[["2000","12","4"]]},"publisher":"John Wiley &amp; Sons, Ltd","title":"Acetaldehyde","type":"article-journal"},"uris":["http://www.mendeley.com/documents/?uuid=8714f1f2-b9a0-3eb0-9258-0960e22bd741"]}],"mendeley":{"formattedCitation":"(Hagemeyer, 2000)","plainTextFormattedCitation":"(Hagemeyer, 2000)","previouslyFormattedCitation":"(Hagemeyer, 2000)"},"properties":{"noteIndex":0},"schema":"https://github.com/citation-style-language/schema/raw/master/csl-citation.json"}</w:instrText>
      </w:r>
      <w:r w:rsidR="00C97968">
        <w:fldChar w:fldCharType="separate"/>
      </w:r>
      <w:r w:rsidR="00A82EE2" w:rsidRPr="00A82EE2">
        <w:rPr>
          <w:noProof/>
        </w:rPr>
        <w:t>(Hagemeyer, 20</w:t>
      </w:r>
      <w:r w:rsidR="005E1618">
        <w:rPr>
          <w:noProof/>
        </w:rPr>
        <w:t>14</w:t>
      </w:r>
      <w:r w:rsidR="00A82EE2" w:rsidRPr="00A82EE2">
        <w:rPr>
          <w:noProof/>
        </w:rPr>
        <w:t>)</w:t>
      </w:r>
      <w:r w:rsidR="00C97968">
        <w:fldChar w:fldCharType="end"/>
      </w:r>
      <w:r w:rsidR="00C97968">
        <w:t xml:space="preserve">. </w:t>
      </w:r>
      <w:r w:rsidR="00CC7DC7">
        <w:t>During</w:t>
      </w:r>
      <w:r w:rsidR="00C97968">
        <w:t xml:space="preserve"> this time, </w:t>
      </w:r>
      <w:r w:rsidR="00A21AD2">
        <w:t xml:space="preserve">the Wacker process became more economically attractive because of feedstock costs. However, since then, ethanol production from corn and sugarcane has </w:t>
      </w:r>
      <w:r w:rsidR="00585767">
        <w:t>grown</w:t>
      </w:r>
      <w:r w:rsidR="00A21AD2">
        <w:t xml:space="preserve"> significantly</w:t>
      </w:r>
      <w:r w:rsidR="00CC7DC7">
        <w:t>,</w:t>
      </w:r>
      <w:r w:rsidR="00585767">
        <w:t xml:space="preserve"> and costs </w:t>
      </w:r>
      <w:r w:rsidR="00D41D90">
        <w:t>reduced</w:t>
      </w:r>
      <w:r w:rsidR="00585767">
        <w:t xml:space="preserve"> </w:t>
      </w:r>
      <w:r w:rsidR="00585767">
        <w:fldChar w:fldCharType="begin" w:fldLock="1"/>
      </w:r>
      <w:r w:rsidR="00082234">
        <w:instrText>ADDIN CSL_CITATION {"citationItems":[{"id":"ITEM-1","itemData":{"DOI":"10.1111/GCBB.13091","ISSN":"1757-1707","abstract":"This Opinion highlights several successful cases of biofuel technologies recently described by the IEA Bioenergy Intertask Report on Lessons Learned. The report discussed the potential of biofuels to contribute to a significant market supply, thus replacing fossil fuels and mitigating global warming, and it underscores the challenges in expanding biofuel production and replicating successful models between countries and regions. Based on the lessons learned from conventional, established technologies, the authors analyzed policies, feedstocks, products, technologies, economics, environmental concerns, social aspects, scalability, and ease of implementation and replication in different countries or regions. There are blending mandates in place around the world to foster the use of biofuels. Dependence on the availability and price fluctuations of crop feedstocks may limit biofuel production in certain circumstances. Legal restrictions on using food crops as feedstocks present obstacles to scaling up production. Temporary constraints related to feedstock costs and availability, as evidenced by changes and postponements of biofuel blending mandates in various countries (particularly during the COVID-19 pandemic) also pose challenges. Technological hurdles exist for advanced biofuels that implicate premium pricing. Still, 2G ethanol from sugarcane meets very strict feedstock requirements with a carbon footprint so low that only electric vehicles charged in Norway could have life-cycle GHG emissions at the same level as a 2G ethanol-fueled combustion engine car. The authors evaluate whether and how much electrification could contribute to advance the decarbonization efforts in different countries. Drawing from these observations, the authors express their viewpoints to assist researchers and policymakers in the energy sector in formulating viable approaches to combat the climate crisis.","author":[{"dropping-particle":"","family":"Cantarella","given":"Heitor","non-dropping-particle":"","parse-names":false,"suffix":""},{"dropping-particle":"","family":"Leal Silva","given":"Jean Felipe","non-dropping-particle":"","parse-names":false,"suffix":""},{"dropping-particle":"","family":"Nogueira","given":"Luiz Augusto Horta","non-dropping-particle":"","parse-names":false,"suffix":""},{"dropping-particle":"","family":"Maciel Filho","given":"Rubens","non-dropping-particle":"","parse-names":false,"suffix":""},{"dropping-particle":"","family":"Rossetto","given":"Raffaella","non-dropping-particle":"","parse-names":false,"suffix":""},{"dropping-particle":"","family":"Ekbom","given":"Tomas","non-dropping-particle":"","parse-names":false,"suffix":""},{"dropping-particle":"","family":"Souza","given":"Glaucia Mendes","non-dropping-particle":"","parse-names":false,"suffix":""},{"dropping-particle":"","family":"Mueller-Langer","given":"Franziska","non-dropping-particle":"","parse-names":false,"suffix":""}],"container-title":"GCB Bioenergy","id":"ITEM-1","issued":{"date-parts":[["2023"]]},"page":"1-14","publisher":"John Wiley &amp; Sons, Ltd","title":"Biofuel technologies: Lessons learned and pathways to decarbonization","type":"article-journal","volume":"00"},"uris":["http://www.mendeley.com/documents/?uuid=b3b3075f-1675-3004-9dab-85f0274d6981"]}],"mendeley":{"formattedCitation":"(Cantarella et al., 2023)","plainTextFormattedCitation":"(Cantarella et al., 2023)","previouslyFormattedCitation":"(Cantarella et al., 2023)"},"properties":{"noteIndex":0},"schema":"https://github.com/citation-style-language/schema/raw/master/csl-citation.json"}</w:instrText>
      </w:r>
      <w:r w:rsidR="00585767">
        <w:fldChar w:fldCharType="separate"/>
      </w:r>
      <w:r w:rsidR="00A82EE2" w:rsidRPr="00A82EE2">
        <w:rPr>
          <w:noProof/>
        </w:rPr>
        <w:t>(Cantarella et al., 2023)</w:t>
      </w:r>
      <w:r w:rsidR="00585767">
        <w:fldChar w:fldCharType="end"/>
      </w:r>
      <w:r w:rsidR="00585767">
        <w:t xml:space="preserve">, which might make this </w:t>
      </w:r>
      <w:r w:rsidR="00D41D90">
        <w:t>raw material</w:t>
      </w:r>
      <w:r w:rsidR="00585767">
        <w:t xml:space="preserve"> attractive again. Moreover, bearing in mind the effects of the climate crisis, it is important to move away from non-renewable </w:t>
      </w:r>
      <w:r w:rsidR="00D41D90">
        <w:t>sources</w:t>
      </w:r>
      <w:r w:rsidR="00585767">
        <w:t xml:space="preserve"> by developing and improving chemical processes that are based on green chemicals</w:t>
      </w:r>
      <w:r w:rsidR="00D41D90">
        <w:t xml:space="preserve"> and renewable feedstocks</w:t>
      </w:r>
      <w:r w:rsidR="00585767">
        <w:t>, such as ethanol.</w:t>
      </w:r>
      <w:r w:rsidR="00D41D90">
        <w:t xml:space="preserve"> In this context, the catalytic conversion of ethanol to acetaldehyde has been studied using Fe and Mo catalysts </w:t>
      </w:r>
      <w:r w:rsidR="00D41D90">
        <w:fldChar w:fldCharType="begin" w:fldLock="1"/>
      </w:r>
      <w:r w:rsidR="00082234">
        <w:instrText>ADDIN CSL_CITATION {"citationItems":[{"id":"ITEM-1","itemData":{"DOI":"10.1016/0098-1354(96)00238-4","ISSN":"0098-1354","abstract":"Appreciable efforts have been expended in the manufacture of chemical products in such a way that pollution may be minimized and, if possible, even avoided. The conceptual design of such production plants involves an interplay between design and operational requirements, which attempt to balance non-commensurable objectives such as economics, safety health and environmental impact. If the environmental impact problem is not considered in the conceptual phase of the process development, there is a need to extensive end-of-pipe treatment of wastes which is always an expensive activity with negative economic effect. In this sense, in this work, a conceptual design of an acetaldehyde plant with zero avoidable pollution is presented. The proposed process is based on the oxidation of ethyl alcohol over Fe-Mo catalyst. In order to obtain high performance operation (high conversion and complete selectivity) a non-conventional reactor design is proposed. The computer aided design involves the experimental conversion of ethanol to acetaldehyde, the reactor analysis through extensive simulation using specific computer simulation code. The separating problem and the whole plant analysis is made using the HYSIM commercial simulator. It is shown the great potential of the proposed process which permits very high conversion and complete selectivity leading to zero waste emission. The process methodology considered in this work involves since the experimental conversion of ethanol to acetaldehyde up to the proposition of a new reactor design, a set of separation units and the whole acetaldehyde plant simulation.","author":[{"dropping-particle":"","family":"Maciel Filho","given":"R.","non-dropping-particle":"","parse-names":false,"suffix":""},{"dropping-particle":"","family":"Wolf Maciel","given":"M. R.","non-dropping-particle":"","parse-names":false,"suffix":""},{"dropping-particle":"","family":"Domingues","given":"A.","non-dropping-particle":"","parse-names":false,"suffix":""},{"dropping-particle":"","family":"Stinghen","given":"A. O.","non-dropping-particle":"","parse-names":false,"suffix":""}],"container-title":"Computers &amp; Chemical Engineering","id":"ITEM-1","issue":"SUPPL.2","issued":{"date-parts":[["1996","1","1"]]},"page":"S1389-S1393","publisher":"Pergamon","title":"Computer aided design of acetaldehyde plant with zero avoidable pollution","type":"article-journal","volume":"20"},"uris":["http://www.mendeley.com/documents/?uuid=7b2815ca-b6fd-3892-a3e7-07111cec3810"]}],"mendeley":{"formattedCitation":"(Maciel Filho et al., 1996)","plainTextFormattedCitation":"(Maciel Filho et al., 1996)","previouslyFormattedCitation":"(Maciel Filho et al., 1996)"},"properties":{"noteIndex":0},"schema":"https://github.com/citation-style-language/schema/raw/master/csl-citation.json"}</w:instrText>
      </w:r>
      <w:r w:rsidR="00D41D90">
        <w:fldChar w:fldCharType="separate"/>
      </w:r>
      <w:r w:rsidR="00A82EE2" w:rsidRPr="00A82EE2">
        <w:rPr>
          <w:noProof/>
        </w:rPr>
        <w:t>(Maciel Filho et al., 1996)</w:t>
      </w:r>
      <w:r w:rsidR="00D41D90">
        <w:fldChar w:fldCharType="end"/>
      </w:r>
      <w:r w:rsidR="00D41D90">
        <w:t xml:space="preserve">, and the recovery process has been studied as well in terms of process design and </w:t>
      </w:r>
      <w:r w:rsidR="00D41D90">
        <w:lastRenderedPageBreak/>
        <w:t xml:space="preserve">energy demand </w:t>
      </w:r>
      <w:r w:rsidR="00D41D90">
        <w:fldChar w:fldCharType="begin" w:fldLock="1"/>
      </w:r>
      <w:r w:rsidR="00082234">
        <w:instrText>ADDIN CSL_CITATION {"citationItems":[{"id":"ITEM-1","itemData":{"author":[{"dropping-particle":"","family":"Leal Silva","given":"Jean Felipe","non-dropping-particle":"","parse-names":false,"suffix":""},{"dropping-particle":"","family":"Maciel Filho","given":"Rubens","non-dropping-particle":"","parse-names":false,"suffix":""}],"container-title":"34 European Symposium on Computer Aided Process Engineering","editor":[{"dropping-particle":"","family":"Manenti","given":"Flavio","non-dropping-particle":"","parse-names":false,"suffix":""},{"dropping-particle":"V.","family":"Reklaitis","given":"Gintaras","non-dropping-particle":"","parse-names":false,"suffix":""}],"id":"ITEM-1","issued":{"date-parts":[["2024"]]},"publisher":"Elsevier","title":"Sustainable Acetaldehyde Synthesis from Renewable Ethanol: Analysis of Reaction and Separation Processes","type":"chapter"},"uris":["http://www.mendeley.com/documents/?uuid=01fad819-ebdc-4f4e-9359-bff372fa4d74"]}],"mendeley":{"formattedCitation":"(Leal Silva and Maciel Filho, 2024)","plainTextFormattedCitation":"(Leal Silva and Maciel Filho, 2024)","previouslyFormattedCitation":"(Leal Silva and Maciel Filho, 2024)"},"properties":{"noteIndex":0},"schema":"https://github.com/citation-style-language/schema/raw/master/csl-citation.json"}</w:instrText>
      </w:r>
      <w:r w:rsidR="00D41D90">
        <w:fldChar w:fldCharType="separate"/>
      </w:r>
      <w:r w:rsidR="00A82EE2" w:rsidRPr="00A82EE2">
        <w:rPr>
          <w:noProof/>
        </w:rPr>
        <w:t>(Leal Silva and Maciel Filho, 2024)</w:t>
      </w:r>
      <w:r w:rsidR="00D41D90">
        <w:fldChar w:fldCharType="end"/>
      </w:r>
      <w:r w:rsidR="00D41D90">
        <w:t>. Nevertheless, it is still needed to identify the economic competitiveness of the process and determine potential bottlenecks.</w:t>
      </w:r>
    </w:p>
    <w:p w14:paraId="7F85609D" w14:textId="75CB9AFF" w:rsidR="00D41D90" w:rsidRDefault="00C847C2" w:rsidP="00CF1DA6">
      <w:pPr>
        <w:pStyle w:val="CETBodytext"/>
      </w:pPr>
      <w:r>
        <w:t xml:space="preserve">One of the potential </w:t>
      </w:r>
      <w:r w:rsidR="006339ED">
        <w:t xml:space="preserve">tools to ensure the </w:t>
      </w:r>
      <w:r w:rsidR="00CD3AD3">
        <w:t xml:space="preserve">economic success </w:t>
      </w:r>
      <w:r w:rsidR="006339ED">
        <w:t xml:space="preserve">of green chemicals is their integration into large biorefineries </w:t>
      </w:r>
      <w:r w:rsidR="006339ED">
        <w:fldChar w:fldCharType="begin" w:fldLock="1"/>
      </w:r>
      <w:r w:rsidR="00082234">
        <w:instrText>ADDIN CSL_CITATION {"citationItems":[{"id":"ITEM-1","itemData":{"DOI":"10.1021/acs.iecr.1c02550","ISSN":"15205045","abstract":"The levulinic acid chemical platform is still unfeasible due to the lack of a cost-competitive process. Therefore, this work investigates the conversion of sugarcane molasses to levulinic acid. A design of experiments was used to optimize temperature, sulfuric acid loading in aqueous solution, and the ratio of sulfuric acid solution to sugarcane molasses via a genetic algorithm-based multiobjective optimization. Optimized results indicated that a yield of levulinic acid of 83.8 mol % is attainable with a concentration of 129 g L−1. Based on these optimized conditions, a biorefinery was simulated to produce sugar, ethanol, electricity, and levulinic acid (all sugarcane molasses converted to levulinic acid). A techno-economic analysis of the simulation results showed that an internal rate of return of 33.1% is attainable at the current market price of levulinic acid, and the calculated minimum selling price of levulinic acid ($0.679 kg−1) indicates that many other applications might be possible for this renewable chemical. Overall, the results showed that using sugarcane molasses in the production of levulinic acid is both cost-competitive and technically feasible.","author":[{"dropping-particle":"","family":"Lopes","given":"Emília Savioli","non-dropping-particle":"","parse-names":false,"suffix":""},{"dropping-particle":"","family":"Silva","given":"Jean Felipe Leal","non-dropping-particle":"","parse-names":false,"suffix":""},{"dropping-particle":"","family":"Nascimento","given":"Letícia Araújo","non-dropping-particle":"do","parse-names":false,"suffix":""},{"dropping-particle":"","family":"Bohórquez","given":"José Fernando Cuadros","non-dropping-particle":"","parse-names":false,"suffix":""},{"dropping-particle":"","family":"Lopes","given":"Melina Savioli","non-dropping-particle":"","parse-names":false,"suffix":""},{"dropping-particle":"","family":"Tovar","given":"Laura Plazas","non-dropping-particle":"","parse-names":false,"suffix":""},{"dropping-particle":"","family":"Filho","given":"Rubens Maciel","non-dropping-particle":"","parse-names":false,"suffix":""}],"container-title":"Industrial and Engineering Chemistry Research","id":"ITEM-1","issue":"43","issued":{"date-parts":[["2021"]]},"page":"15646-15657","title":"Feasibility of the conversion of sugarcane molasses to levulinic acid: Reaction optimization and techno-economic analysis","type":"article-journal","volume":"60"},"uris":["http://www.mendeley.com/documents/?uuid=d7e82b2c-612e-4536-8214-4f8348c89349"]}],"mendeley":{"formattedCitation":"(Lopes et al., 2021)","plainTextFormattedCitation":"(Lopes et al., 2021)","previouslyFormattedCitation":"(Lopes et al., 2021)"},"properties":{"noteIndex":0},"schema":"https://github.com/citation-style-language/schema/raw/master/csl-citation.json"}</w:instrText>
      </w:r>
      <w:r w:rsidR="006339ED">
        <w:fldChar w:fldCharType="separate"/>
      </w:r>
      <w:r w:rsidR="00A82EE2" w:rsidRPr="00A82EE2">
        <w:rPr>
          <w:noProof/>
        </w:rPr>
        <w:t>(Lopes et al., 2021)</w:t>
      </w:r>
      <w:r w:rsidR="006339ED">
        <w:fldChar w:fldCharType="end"/>
      </w:r>
      <w:r w:rsidR="006339ED">
        <w:t>. As the process for production of renewable acetaldehyde demands ethanol and energy (heat and electricity), integrating this process into a sugarcane biorefinery with surplus electricity production could enable cost-competitive production of renewable acetaldehyde</w:t>
      </w:r>
      <w:r w:rsidR="003E6D05">
        <w:t xml:space="preserve"> </w:t>
      </w:r>
      <w:r w:rsidR="003E6D05">
        <w:fldChar w:fldCharType="begin" w:fldLock="1"/>
      </w:r>
      <w:r w:rsidR="001C4DDA">
        <w:instrText>ADDIN CSL_CITATION {"citationItems":[{"id":"ITEM-1","itemData":{"author":[{"dropping-particle":"","family":"Solarte-Toro","given":"J. C.","non-dropping-particle":"","parse-names":false,"suffix":""},{"dropping-particle":"","family":"Cardona Alzate","given":"Carlos A.","non-dropping-particle":"","parse-names":false,"suffix":""}],"container-title":"Chemical Engineering Transactions","id":"ITEM-1","issued":{"date-parts":[["2021"]]},"page":"307-312","title":"Perspectives of the Sustainability Assessment of Biorefineries","type":"article-journal","volume":"83"},"uris":["http://www.mendeley.com/documents/?uuid=c3e16ea1-3fb4-4f35-93a6-c042a7515cf9","http://www.mendeley.com/documents/?uuid=05d0f26c-3b7e-47c1-ae82-4a70802493ad"]}],"mendeley":{"formattedCitation":"(Solarte-Toro and Cardona Alzate, 2021)","plainTextFormattedCitation":"(Solarte-Toro and Cardona Alzate, 2021)","previouslyFormattedCitation":"(Solarte-Toro and Cardona Alzate, 2021)"},"properties":{"noteIndex":0},"schema":"https://github.com/citation-style-language/schema/raw/master/csl-citation.json"}</w:instrText>
      </w:r>
      <w:r w:rsidR="003E6D05">
        <w:fldChar w:fldCharType="separate"/>
      </w:r>
      <w:r w:rsidR="003E6D05" w:rsidRPr="003E6D05">
        <w:rPr>
          <w:noProof/>
        </w:rPr>
        <w:t>(Solarte-Toro and Cardona Alzate, 2021)</w:t>
      </w:r>
      <w:r w:rsidR="003E6D05">
        <w:fldChar w:fldCharType="end"/>
      </w:r>
      <w:r w:rsidR="006339ED">
        <w:t xml:space="preserve">. Therefore, this study presents </w:t>
      </w:r>
      <w:r w:rsidR="00CC7DC7">
        <w:t>a</w:t>
      </w:r>
      <w:r w:rsidR="006339ED">
        <w:t xml:space="preserve"> techno-economic analysis of the production of acetaldehyde from sugarcane. </w:t>
      </w:r>
      <w:r w:rsidR="00CD3AD3">
        <w:t>Twelve</w:t>
      </w:r>
      <w:r w:rsidR="006339ED">
        <w:t xml:space="preserve"> </w:t>
      </w:r>
      <w:r w:rsidR="00CD3AD3">
        <w:t xml:space="preserve">scenarios of </w:t>
      </w:r>
      <w:r w:rsidR="001C4DDA">
        <w:t xml:space="preserve">different </w:t>
      </w:r>
      <w:r w:rsidR="00CD3AD3">
        <w:t>process conditions</w:t>
      </w:r>
      <w:r w:rsidR="001C4DDA">
        <w:t xml:space="preserve"> for the conversion of ethanol</w:t>
      </w:r>
      <w:r w:rsidR="00E70327">
        <w:t xml:space="preserve"> were</w:t>
      </w:r>
      <w:r w:rsidR="001C4DDA">
        <w:t xml:space="preserve"> integrated into a conventional, optimized sugarcane biorefinery via process simulation. These scenarios were</w:t>
      </w:r>
      <w:r w:rsidR="00E70327">
        <w:t xml:space="preserve"> </w:t>
      </w:r>
      <w:r w:rsidR="00CD3AD3">
        <w:t>compared</w:t>
      </w:r>
      <w:r w:rsidR="00E70327">
        <w:t xml:space="preserve"> </w:t>
      </w:r>
      <w:r w:rsidR="00CD3AD3">
        <w:t>to</w:t>
      </w:r>
      <w:r w:rsidR="00E70327">
        <w:t xml:space="preserve"> a standard sugarcane biorefinery producing ethanol and electricity</w:t>
      </w:r>
      <w:r w:rsidR="001C4DDA">
        <w:t xml:space="preserve"> in terms of economic indicators to </w:t>
      </w:r>
      <w:r w:rsidR="006D77DF">
        <w:t>assess</w:t>
      </w:r>
      <w:r w:rsidR="001C4DDA">
        <w:t xml:space="preserve"> the feasibility of acetaldehyde production from sugarcane</w:t>
      </w:r>
      <w:r w:rsidR="00E70327">
        <w:t xml:space="preserve">. Results of mass and energy balance were also used to estimate the carbon footprint of </w:t>
      </w:r>
      <w:r w:rsidR="001C4DDA">
        <w:t>renewable</w:t>
      </w:r>
      <w:r w:rsidR="00E70327">
        <w:t xml:space="preserve"> acetaldehyde, which was compared to the standard value for the fossil-based chemical. </w:t>
      </w:r>
    </w:p>
    <w:p w14:paraId="309FD1DE" w14:textId="3FE26105" w:rsidR="007A1EA3" w:rsidRPr="008D0834" w:rsidRDefault="007A1EA3" w:rsidP="007A1EA3">
      <w:pPr>
        <w:pStyle w:val="CETHeading1"/>
      </w:pPr>
      <w:r w:rsidRPr="008D0834">
        <w:t>Methodology</w:t>
      </w:r>
    </w:p>
    <w:p w14:paraId="031498FC" w14:textId="4BF959CC" w:rsidR="00CD3AD3" w:rsidRDefault="00CD3AD3" w:rsidP="00600535">
      <w:pPr>
        <w:pStyle w:val="CETBodytext"/>
      </w:pPr>
      <w:r>
        <w:t xml:space="preserve">Figure 1 shows the proposed biorefinery layout to produce acetaldehyde. The biorefinery processes were simulated in Aspen Plus 8.6 (Aspen Tech, Inc., Bedford, USA). Ethanol production from sugarcane juice and burning of sugarcane bagasse to produce steam and electricity were simulated based on process conditions reported in the literature for the optimized process currently implemented in modern sugarcane processing facilities in Brazil </w:t>
      </w:r>
      <w:r>
        <w:fldChar w:fldCharType="begin" w:fldLock="1"/>
      </w:r>
      <w:r w:rsidR="00082234">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Strategies","type":"chapter"},"uris":["http://www.mendeley.com/documents/?uuid=3822c37a-5055-30b4-9e49-1849f37c8aa7"]}],"mendeley":{"formattedCitation":"(Dias et al., 2016)","plainTextFormattedCitation":"(Dias et al., 2016)","previouslyFormattedCitation":"(Dias et al., 2016)"},"properties":{"noteIndex":0},"schema":"https://github.com/citation-style-language/schema/raw/master/csl-citation.json"}</w:instrText>
      </w:r>
      <w:r>
        <w:fldChar w:fldCharType="separate"/>
      </w:r>
      <w:r w:rsidR="00A82EE2" w:rsidRPr="00A82EE2">
        <w:rPr>
          <w:noProof/>
        </w:rPr>
        <w:t>(Dias et al., 2016)</w:t>
      </w:r>
      <w:r>
        <w:fldChar w:fldCharType="end"/>
      </w:r>
      <w:r w:rsidR="00AB3328">
        <w:t>, assuming a processing capacity of 4 million t of sugarcane per year, operating 200 d/y (during sugarcane harvest)</w:t>
      </w:r>
      <w:r>
        <w:t xml:space="preserve">. </w:t>
      </w:r>
      <w:r w:rsidR="001C4DDA">
        <w:t>The</w:t>
      </w:r>
      <w:r w:rsidR="009B1301">
        <w:t xml:space="preserve"> base scenario, called ET-0, represent</w:t>
      </w:r>
      <w:r w:rsidR="00A82EE2">
        <w:t>s</w:t>
      </w:r>
      <w:r w:rsidR="009B1301">
        <w:t xml:space="preserve"> the case in which the biorefinery produces only ethanol and electricity</w:t>
      </w:r>
      <w:r w:rsidR="001C4DDA">
        <w:t xml:space="preserve"> — all sugarcane bagasse is consumed by the biomass boiler</w:t>
      </w:r>
      <w:r w:rsidR="009B1301">
        <w:t xml:space="preserve">. </w:t>
      </w:r>
    </w:p>
    <w:p w14:paraId="2D2FEF77" w14:textId="77777777" w:rsidR="00CD3AD3" w:rsidRDefault="00CD3AD3" w:rsidP="00600535">
      <w:pPr>
        <w:pStyle w:val="CETBodytext"/>
      </w:pPr>
    </w:p>
    <w:p w14:paraId="3227FF81" w14:textId="0400BB1E" w:rsidR="00CD3AD3" w:rsidRDefault="00CD3AD3" w:rsidP="00600535">
      <w:pPr>
        <w:pStyle w:val="CETBodytext"/>
      </w:pPr>
      <w:r>
        <w:rPr>
          <w:noProof/>
        </w:rPr>
        <w:drawing>
          <wp:inline distT="0" distB="0" distL="0" distR="0" wp14:anchorId="4404EB3B" wp14:editId="33CE14CD">
            <wp:extent cx="5486400" cy="1371600"/>
            <wp:effectExtent l="0" t="0" r="0" b="0"/>
            <wp:docPr id="1812108295" name="Picture 3" descr="A diagram of a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08295" name="Picture 3" descr="A diagram of a strawberri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14:paraId="697A758D" w14:textId="02505D17" w:rsidR="00CD3AD3" w:rsidRPr="008D0834" w:rsidRDefault="00CD3AD3" w:rsidP="00CD3AD3">
      <w:pPr>
        <w:pStyle w:val="CETCaption"/>
        <w:rPr>
          <w:lang w:val="en-US"/>
        </w:rPr>
      </w:pPr>
      <w:r w:rsidRPr="008D0834">
        <w:rPr>
          <w:rStyle w:val="CETCaptionCarattere"/>
          <w:i/>
          <w:lang w:val="en-US"/>
        </w:rPr>
        <w:t xml:space="preserve">Figure 1: </w:t>
      </w:r>
      <w:r>
        <w:rPr>
          <w:rStyle w:val="CETCaptionCarattere"/>
          <w:i/>
          <w:lang w:val="en-US"/>
        </w:rPr>
        <w:t>Proposed biorefinery layout to produce acetaldehyde from sugarcane ethanol.</w:t>
      </w:r>
    </w:p>
    <w:p w14:paraId="6545A80D" w14:textId="7E39A7BD" w:rsidR="00D65477" w:rsidRDefault="009B1301" w:rsidP="003D648C">
      <w:pPr>
        <w:pStyle w:val="CETBodytext"/>
      </w:pPr>
      <w:r>
        <w:t xml:space="preserve">The ethanol oxidation step to produce acetaldehyde was based on </w:t>
      </w:r>
      <w:r w:rsidR="00CC7DC7">
        <w:t xml:space="preserve">the </w:t>
      </w:r>
      <w:r w:rsidR="001C4DDA">
        <w:t>process design</w:t>
      </w:r>
      <w:r>
        <w:t xml:space="preserve"> provided in the literature as well </w:t>
      </w:r>
      <w:r>
        <w:fldChar w:fldCharType="begin" w:fldLock="1"/>
      </w:r>
      <w:r w:rsidR="00082234">
        <w:instrText>ADDIN CSL_CITATION {"citationItems":[{"id":"ITEM-1","itemData":{"author":[{"dropping-particle":"","family":"Leal Silva","given":"Jean Felipe","non-dropping-particle":"","parse-names":false,"suffix":""},{"dropping-particle":"","family":"Maciel Filho","given":"Rubens","non-dropping-particle":"","parse-names":false,"suffix":""}],"container-title":"34 European Symposium on Computer Aided Process Engineering","editor":[{"dropping-particle":"","family":"Manenti","given":"Flavio","non-dropping-particle":"","parse-names":false,"suffix":""},{"dropping-particle":"V.","family":"Reklaitis","given":"Gintaras","non-dropping-particle":"","parse-names":false,"suffix":""}],"id":"ITEM-1","issued":{"date-parts":[["2024"]]},"publisher":"Elsevier","title":"Sustainable Acetaldehyde Synthesis from Renewable Ethanol: Analysis of Reaction and Separation Processes","type":"chapter"},"uris":["http://www.mendeley.com/documents/?uuid=01fad819-ebdc-4f4e-9359-bff372fa4d74"]}],"mendeley":{"formattedCitation":"(Leal Silva and Maciel Filho, 2024)","plainTextFormattedCitation":"(Leal Silva and Maciel Filho, 2024)","previouslyFormattedCitation":"(Leal Silva and Maciel Filho, 2024)"},"properties":{"noteIndex":0},"schema":"https://github.com/citation-style-language/schema/raw/master/csl-citation.json"}</w:instrText>
      </w:r>
      <w:r>
        <w:fldChar w:fldCharType="separate"/>
      </w:r>
      <w:r w:rsidR="00A82EE2" w:rsidRPr="00A82EE2">
        <w:rPr>
          <w:noProof/>
        </w:rPr>
        <w:t>(Leal Silva and Maciel Filho, 2024)</w:t>
      </w:r>
      <w:r>
        <w:fldChar w:fldCharType="end"/>
      </w:r>
      <w:r>
        <w:t xml:space="preserve">. </w:t>
      </w:r>
      <w:r w:rsidR="00CD3AD3">
        <w:t xml:space="preserve">In this process, ethanol </w:t>
      </w:r>
      <w:r w:rsidR="00A82EE2">
        <w:t>was</w:t>
      </w:r>
      <w:r w:rsidR="00CD3AD3">
        <w:t xml:space="preserve"> vaporized and mixed with air with molar ratios of O</w:t>
      </w:r>
      <w:r w:rsidR="00CD3AD3" w:rsidRPr="00CD3AD3">
        <w:rPr>
          <w:vertAlign w:val="subscript"/>
        </w:rPr>
        <w:t>2</w:t>
      </w:r>
      <w:r w:rsidR="00CD3AD3">
        <w:t xml:space="preserve"> to ethanol of 3.2, 6.1, and 9.0. The mixture </w:t>
      </w:r>
      <w:r w:rsidR="00A82EE2">
        <w:t>was</w:t>
      </w:r>
      <w:r w:rsidR="00CD3AD3">
        <w:t xml:space="preserve"> then passed through a fixed bed react</w:t>
      </w:r>
      <w:r w:rsidR="001C4DDA">
        <w:t xml:space="preserve">or, simulated by an </w:t>
      </w:r>
      <w:r w:rsidR="001C4DDA" w:rsidRPr="001C4DDA">
        <w:rPr>
          <w:i/>
          <w:iCs/>
        </w:rPr>
        <w:t>RStoic</w:t>
      </w:r>
      <w:r w:rsidR="001C4DDA">
        <w:t xml:space="preserve"> model</w:t>
      </w:r>
      <w:r w:rsidR="00CD3AD3">
        <w:t xml:space="preserve">, with conversion based on experimental results </w:t>
      </w:r>
      <w:r w:rsidR="00CD3AD3">
        <w:fldChar w:fldCharType="begin" w:fldLock="1"/>
      </w:r>
      <w:r w:rsidR="00082234">
        <w:instrText>ADDIN CSL_CITATION {"citationItems":[{"id":"ITEM-1","itemData":{"DOI":"10.1016/0098-1354(96)00238-4","ISSN":"0098-1354","abstract":"Appreciable efforts have been expended in the manufacture of chemical products in such a way that pollution may be minimized and, if possible, even avoided. The conceptual design of such production plants involves an interplay between design and operational requirements, which attempt to balance non-commensurable objectives such as economics, safety health and environmental impact. If the environmental impact problem is not considered in the conceptual phase of the process development, there is a need to extensive end-of-pipe treatment of wastes which is always an expensive activity with negative economic effect. In this sense, in this work, a conceptual design of an acetaldehyde plant with zero avoidable pollution is presented. The proposed process is based on the oxidation of ethyl alcohol over Fe-Mo catalyst. In order to obtain high performance operation (high conversion and complete selectivity) a non-conventional reactor design is proposed. The computer aided design involves the experimental conversion of ethanol to acetaldehyde, the reactor analysis through extensive simulation using specific computer simulation code. The separating problem and the whole plant analysis is made using the HYSIM commercial simulator. It is shown the great potential of the proposed process which permits very high conversion and complete selectivity leading to zero waste emission. The process methodology considered in this work involves since the experimental conversion of ethanol to acetaldehyde up to the proposition of a new reactor design, a set of separation units and the whole acetaldehyde plant simulation.","author":[{"dropping-particle":"","family":"Maciel Filho","given":"R.","non-dropping-particle":"","parse-names":false,"suffix":""},{"dropping-particle":"","family":"Wolf Maciel","given":"M. R.","non-dropping-particle":"","parse-names":false,"suffix":""},{"dropping-particle":"","family":"Domingues","given":"A.","non-dropping-particle":"","parse-names":false,"suffix":""},{"dropping-particle":"","family":"Stinghen","given":"A. O.","non-dropping-particle":"","parse-names":false,"suffix":""}],"container-title":"Computers &amp; Chemical Engineering","id":"ITEM-1","issue":"SUPPL.2","issued":{"date-parts":[["1996","1","1"]]},"page":"S1389-S1393","publisher":"Pergamon","title":"Computer aided design of acetaldehyde plant with zero avoidable pollution","type":"article-journal","volume":"20"},"uris":["http://www.mendeley.com/documents/?uuid=7b2815ca-b6fd-3892-a3e7-07111cec3810"]}],"mendeley":{"formattedCitation":"(Maciel Filho et al., 1996)","plainTextFormattedCitation":"(Maciel Filho et al., 1996)","previouslyFormattedCitation":"(Maciel Filho et al., 1996)"},"properties":{"noteIndex":0},"schema":"https://github.com/citation-style-language/schema/raw/master/csl-citation.json"}</w:instrText>
      </w:r>
      <w:r w:rsidR="00CD3AD3">
        <w:fldChar w:fldCharType="separate"/>
      </w:r>
      <w:r w:rsidR="00A82EE2" w:rsidRPr="00A82EE2">
        <w:rPr>
          <w:noProof/>
        </w:rPr>
        <w:t>(Maciel Filho et al., 1996)</w:t>
      </w:r>
      <w:r w:rsidR="00CD3AD3">
        <w:fldChar w:fldCharType="end"/>
      </w:r>
      <w:r w:rsidR="00CD3AD3">
        <w:t xml:space="preserve">. Recovery of acetaldehyde </w:t>
      </w:r>
      <w:r w:rsidR="00A82EE2">
        <w:t>was</w:t>
      </w:r>
      <w:r w:rsidR="00CD3AD3">
        <w:t xml:space="preserve"> a cumbersome task because it </w:t>
      </w:r>
      <w:r w:rsidR="00A82EE2">
        <w:t>was</w:t>
      </w:r>
      <w:r w:rsidR="00CD3AD3">
        <w:t xml:space="preserve"> mixed with nitrogen (from air). In this case, to avoid the use of organic solvents, the gas stream </w:t>
      </w:r>
      <w:r w:rsidR="00A82EE2">
        <w:t>was</w:t>
      </w:r>
      <w:r w:rsidR="00CD3AD3">
        <w:t xml:space="preserve"> compressed and passed through a </w:t>
      </w:r>
      <w:r w:rsidR="00D65477">
        <w:t xml:space="preserve">gas </w:t>
      </w:r>
      <w:r w:rsidR="00CD3AD3">
        <w:t>absorber to recover the acetaldehyde and unconverted ethanol.</w:t>
      </w:r>
      <w:r w:rsidR="00D65477">
        <w:t xml:space="preserve"> </w:t>
      </w:r>
      <w:r w:rsidR="003D648C">
        <w:t>In this absorber, the gas stream was contacted with a cold water stream (5 °C) whose flow rate was</w:t>
      </w:r>
      <w:r w:rsidR="00D65477">
        <w:t xml:space="preserve"> calculated so that the concentration of volatile organic compounds in the gas </w:t>
      </w:r>
      <w:r w:rsidR="003D648C">
        <w:t>wa</w:t>
      </w:r>
      <w:r w:rsidR="00D65477">
        <w:t xml:space="preserve">s reduced to 20 </w:t>
      </w:r>
      <w:r w:rsidR="00D65477" w:rsidRPr="00D65477">
        <w:t>mg</w:t>
      </w:r>
      <w:r w:rsidR="005A33A9">
        <w:rPr>
          <w:vertAlign w:val="subscript"/>
        </w:rPr>
        <w:t xml:space="preserve"> </w:t>
      </w:r>
      <w:r w:rsidR="005A33A9">
        <w:t>C</w:t>
      </w:r>
      <w:r w:rsidR="00D65477">
        <w:t>/</w:t>
      </w:r>
      <w:r w:rsidR="00D65477" w:rsidRPr="00D65477">
        <w:t>Nm</w:t>
      </w:r>
      <w:r w:rsidR="00D65477" w:rsidRPr="00D65477">
        <w:rPr>
          <w:vertAlign w:val="superscript"/>
        </w:rPr>
        <w:t>3</w:t>
      </w:r>
      <w:r w:rsidR="00D65477" w:rsidRPr="00D65477">
        <w:t>, compatible with European legislation</w:t>
      </w:r>
      <w:r w:rsidR="00D65477">
        <w:t xml:space="preserve"> </w:t>
      </w:r>
      <w:r w:rsidR="00D65477">
        <w:fldChar w:fldCharType="begin" w:fldLock="1"/>
      </w:r>
      <w:r w:rsidR="00D65477">
        <w:instrText>ADDIN CSL_CITATION {"citationItems":[{"id":"ITEM-1","itemData":{"author":[{"dropping-particle":"","family":"European Union","given":"","non-dropping-particle":"","parse-names":false,"suffix":""}],"id":"ITEM-1","issued":{"date-parts":[["1999"]]},"page":"L 85/1-22","publisher-place":"Brussels","title":"Council Directive 1999/13/EC, on the limitation of emissions of volatile organic compounds due to the use of organic solvents in certain activities and installations","type":"bill"},"uris":["http://www.mendeley.com/documents/?uuid=1b9ab8b2-ccc5-4191-b637-170ef1864d15"]}],"mendeley":{"formattedCitation":"(European Union, 1999)","plainTextFormattedCitation":"(European Union, 1999)","previouslyFormattedCitation":"(European Union, 1999)"},"properties":{"noteIndex":0},"schema":"https://github.com/citation-style-language/schema/raw/master/csl-citation.json"}</w:instrText>
      </w:r>
      <w:r w:rsidR="00D65477">
        <w:fldChar w:fldCharType="separate"/>
      </w:r>
      <w:r w:rsidR="00D65477" w:rsidRPr="00D65477">
        <w:rPr>
          <w:noProof/>
        </w:rPr>
        <w:t>(European Union, 1999)</w:t>
      </w:r>
      <w:r w:rsidR="00D65477">
        <w:fldChar w:fldCharType="end"/>
      </w:r>
      <w:r w:rsidR="00D65477">
        <w:t>.</w:t>
      </w:r>
    </w:p>
    <w:p w14:paraId="1D9CC8D7" w14:textId="21FAE85C" w:rsidR="00CD3AD3" w:rsidRDefault="00CD3AD3" w:rsidP="00600535">
      <w:pPr>
        <w:pStyle w:val="CETBodytext"/>
      </w:pPr>
      <w:r>
        <w:t xml:space="preserve">For each of the three </w:t>
      </w:r>
      <w:r w:rsidR="003D648C">
        <w:rPr>
          <w:color w:val="000000" w:themeColor="text1"/>
        </w:rPr>
        <w:t>above</w:t>
      </w:r>
      <w:r w:rsidR="0069574D">
        <w:rPr>
          <w:color w:val="000000" w:themeColor="text1"/>
        </w:rPr>
        <w:t>-</w:t>
      </w:r>
      <w:r w:rsidR="003D648C">
        <w:rPr>
          <w:color w:val="000000" w:themeColor="text1"/>
        </w:rPr>
        <w:t xml:space="preserve">indicated </w:t>
      </w:r>
      <w:r>
        <w:t xml:space="preserve">reaction conditions, four absorber pressures were </w:t>
      </w:r>
      <w:r w:rsidR="006D77DF">
        <w:t>evaluated</w:t>
      </w:r>
      <w:r>
        <w:t xml:space="preserve"> because the working pressure affects the water flow rate demanded to recover the acetaldehyde.</w:t>
      </w:r>
      <w:r w:rsidR="00BA45C6">
        <w:t xml:space="preserve"> This resulted in a total of twelve scenarios of different process conditions.</w:t>
      </w:r>
      <w:r w:rsidR="009B1301">
        <w:t xml:space="preserve"> Scenarios were named A3-1, A3-2, A3-3, and A3-4 for the molar ratio of 3.2 and each possible working pressure for the absorber</w:t>
      </w:r>
      <w:r w:rsidR="00D65477">
        <w:t xml:space="preserve"> (3.1 bar, 5.0 bar, 8.0 bar, and 13 bar corresponds to -1, -2, -3, and -4, respectively)</w:t>
      </w:r>
      <w:r w:rsidR="009B1301">
        <w:t xml:space="preserve">, and similar naming was used for the other molar ratios (A6-x for the molar ratio of 6.1 and A9-x for the molar ratio of 9.0). </w:t>
      </w:r>
      <w:r>
        <w:t xml:space="preserve">The aqueous solution containing acetaldehyde </w:t>
      </w:r>
      <w:r w:rsidR="00A82EE2">
        <w:t>was</w:t>
      </w:r>
      <w:r>
        <w:t xml:space="preserve"> then distilled to recover the acetaldehyde as </w:t>
      </w:r>
      <w:r w:rsidR="00CC7DC7">
        <w:t xml:space="preserve">the </w:t>
      </w:r>
      <w:r>
        <w:t xml:space="preserve">product of the process. From the remaining aqueous solution, ethanol </w:t>
      </w:r>
      <w:r w:rsidR="00A82EE2">
        <w:t>was</w:t>
      </w:r>
      <w:r>
        <w:t xml:space="preserve"> recovered and recycled to the </w:t>
      </w:r>
      <w:r w:rsidR="00D65477">
        <w:t xml:space="preserve">oxidation </w:t>
      </w:r>
      <w:r>
        <w:t xml:space="preserve">reactor and water </w:t>
      </w:r>
      <w:r w:rsidR="00A82EE2">
        <w:t>was</w:t>
      </w:r>
      <w:r>
        <w:t xml:space="preserve"> recovered and recycled to the </w:t>
      </w:r>
      <w:r w:rsidR="00D65477">
        <w:t xml:space="preserve">gas </w:t>
      </w:r>
      <w:r>
        <w:t xml:space="preserve">absorber. Electricity for </w:t>
      </w:r>
      <w:r w:rsidR="00D65477">
        <w:t xml:space="preserve">the </w:t>
      </w:r>
      <w:r>
        <w:t xml:space="preserve">compressors and heating and cooling utilities for the other unit operations were drawn from the </w:t>
      </w:r>
      <w:r w:rsidR="00D65477">
        <w:t xml:space="preserve">biorefinery utilities section, represented by the biomass boiler in </w:t>
      </w:r>
      <w:r>
        <w:t>Figure 1</w:t>
      </w:r>
      <w:r w:rsidR="00D65477">
        <w:t>.</w:t>
      </w:r>
    </w:p>
    <w:p w14:paraId="436DF573" w14:textId="0291C437" w:rsidR="005E09EF" w:rsidRDefault="00CC7DC7" w:rsidP="00600535">
      <w:pPr>
        <w:pStyle w:val="CETBodytext"/>
      </w:pPr>
      <w:r>
        <w:t>The c</w:t>
      </w:r>
      <w:r w:rsidR="00BA45C6">
        <w:t xml:space="preserve">apital cost of equipment for the conversion of ethanol to acetaldehyde was estimated based on </w:t>
      </w:r>
      <w:r>
        <w:t xml:space="preserve">the </w:t>
      </w:r>
      <w:r w:rsidR="00BA45C6">
        <w:t>results of mass and energy balances provided by the process simulator and the module costing technique</w:t>
      </w:r>
      <w:r w:rsidR="00D65477">
        <w:t xml:space="preserve"> </w:t>
      </w:r>
      <w:r w:rsidR="00D65477">
        <w:fldChar w:fldCharType="begin" w:fldLock="1"/>
      </w:r>
      <w:r w:rsidR="00020FC7">
        <w:instrText>ADDIN CSL_CITATION {"citationItems":[{"id":"ITEM-1","itemData":{"ISBN":"0134177401","abstract":"applicability for this approach.","author":[{"dropping-particle":"","family":"Turton","given":"Richard","non-dropping-particle":"","parse-names":false,"suffix":""},{"dropping-particle":"","family":"Shaeiwitz","given":"Joseph A.","non-dropping-particle":"","parse-names":false,"suffix":""},{"dropping-particle":"","family":"Bhattacharyya","given":"Debangsu","non-dropping-particle":"","parse-names":false,"suffix":""},{"dropping-particle":"","family":"Whiting","given":"Wallace B.","non-dropping-particle":"","parse-names":false,"suffix":""}],"edition":"5th","id":"ITEM-1","issued":{"date-parts":[["2018"]]},"number-of-pages":"1520","publisher":"Pearson Education","publisher-place":"New Jersey, USA","title":"Analysis, Synthesis, and Design of Chemical Processes","type":"book"},"uris":["http://www.mendeley.com/documents/?uuid=20e6bbcc-b85e-3fd9-a24f-48ebdbc9d3d8"]}],"mendeley":{"formattedCitation":"(Turton et al., 2018)","plainTextFormattedCitation":"(Turton et al., 2018)","previouslyFormattedCitation":"(Turton et al., 2018)"},"properties":{"noteIndex":0},"schema":"https://github.com/citation-style-language/schema/raw/master/csl-citation.json"}</w:instrText>
      </w:r>
      <w:r w:rsidR="00D65477">
        <w:fldChar w:fldCharType="separate"/>
      </w:r>
      <w:r w:rsidR="00D65477" w:rsidRPr="00D65477">
        <w:rPr>
          <w:noProof/>
        </w:rPr>
        <w:t>(Turton et al., 2018)</w:t>
      </w:r>
      <w:r w:rsidR="00D65477">
        <w:fldChar w:fldCharType="end"/>
      </w:r>
      <w:r w:rsidR="00BA45C6">
        <w:t xml:space="preserve">. The reactor was dimensioned as a scaled-up multi-tubular reactor based on previous results </w:t>
      </w:r>
      <w:r w:rsidR="00BA45C6">
        <w:fldChar w:fldCharType="begin" w:fldLock="1"/>
      </w:r>
      <w:r w:rsidR="00082234">
        <w:instrText>ADDIN CSL_CITATION {"citationItems":[{"id":"ITEM-1","itemData":{"DOI":"10.1016/0098-1354(96)00238-4","ISSN":"0098-1354","abstract":"Appreciable efforts have been expended in the manufacture of chemical products in such a way that pollution may be minimized and, if possible, even avoided. The conceptual design of such production plants involves an interplay between design and operational requirements, which attempt to balance non-commensurable objectives such as economics, safety health and environmental impact. If the environmental impact problem is not considered in the conceptual phase of the process development, there is a need to extensive end-of-pipe treatment of wastes which is always an expensive activity with negative economic effect. In this sense, in this work, a conceptual design of an acetaldehyde plant with zero avoidable pollution is presented. The proposed process is based on the oxidation of ethyl alcohol over Fe-Mo catalyst. In order to obtain high performance operation (high conversion and complete selectivity) a non-conventional reactor design is proposed. The computer aided design involves the experimental conversion of ethanol to acetaldehyde, the reactor analysis through extensive simulation using specific computer simulation code. The separating problem and the whole plant analysis is made using the HYSIM commercial simulator. It is shown the great potential of the proposed process which permits very high conversion and complete selectivity leading to zero waste emission. The process methodology considered in this work involves since the experimental conversion of ethanol to acetaldehyde up to the proposition of a new reactor design, a set of separation units and the whole acetaldehyde plant simulation.","author":[{"dropping-particle":"","family":"Maciel Filho","given":"R.","non-dropping-particle":"","parse-names":false,"suffix":""},{"dropping-particle":"","family":"Wolf Maciel","given":"M. R.","non-dropping-particle":"","parse-names":false,"suffix":""},{"dropping-particle":"","family":"Domingues","given":"A.","non-dropping-particle":"","parse-names":false,"suffix":""},{"dropping-particle":"","family":"Stinghen","given":"A. O.","non-dropping-particle":"","parse-names":false,"suffix":""}],"container-title":"Computers &amp; Chemical Engineering","id":"ITEM-1","issue":"SUPPL.2","issued":{"date-parts":[["1996","1","1"]]},"page":"S1389-S1393","publisher":"Pergamon","title":"Computer aided design of acetaldehyde plant with zero avoidable pollution","type":"article-journal","volume":"20"},"uris":["http://www.mendeley.com/documents/?uuid=7b2815ca-b6fd-3892-a3e7-07111cec3810"]}],"mendeley":{"formattedCitation":"(Maciel Filho et al., 1996)","plainTextFormattedCitation":"(Maciel Filho et al., 1996)","previouslyFormattedCitation":"(Maciel Filho et al., 1996)"},"properties":{"noteIndex":0},"schema":"https://github.com/citation-style-language/schema/raw/master/csl-citation.json"}</w:instrText>
      </w:r>
      <w:r w:rsidR="00BA45C6">
        <w:fldChar w:fldCharType="separate"/>
      </w:r>
      <w:r w:rsidR="00A82EE2" w:rsidRPr="00A82EE2">
        <w:rPr>
          <w:noProof/>
        </w:rPr>
        <w:t xml:space="preserve">(Maciel </w:t>
      </w:r>
      <w:r w:rsidR="00A82EE2" w:rsidRPr="00A82EE2">
        <w:rPr>
          <w:noProof/>
        </w:rPr>
        <w:lastRenderedPageBreak/>
        <w:t>Filho et al., 1996)</w:t>
      </w:r>
      <w:r w:rsidR="00BA45C6">
        <w:fldChar w:fldCharType="end"/>
      </w:r>
      <w:r w:rsidR="00BA45C6">
        <w:t xml:space="preserve">. Distillation columns were initially designed based on short-cut methods, and the provided results were then used in the rigorous </w:t>
      </w:r>
      <w:r w:rsidR="00BA45C6" w:rsidRPr="00BA45C6">
        <w:rPr>
          <w:i/>
          <w:iCs/>
        </w:rPr>
        <w:t xml:space="preserve">RadFrac </w:t>
      </w:r>
      <w:r w:rsidR="00BA45C6">
        <w:t xml:space="preserve">model of Aspen Plus, which can be used to estimate column dimensions. The absorber was modeled using the </w:t>
      </w:r>
      <w:r w:rsidR="00BA45C6" w:rsidRPr="00BA45C6">
        <w:rPr>
          <w:i/>
          <w:iCs/>
        </w:rPr>
        <w:t>RadFrac</w:t>
      </w:r>
      <w:r w:rsidR="00BA45C6">
        <w:t xml:space="preserve"> model as well</w:t>
      </w:r>
      <w:r w:rsidR="005E09EF">
        <w:t>, assuming a random packing of Pall rings of 25 mm</w:t>
      </w:r>
      <w:r w:rsidR="00BA45C6">
        <w:t>. Heat exchangers were dimensioned based on heat exchange area,</w:t>
      </w:r>
      <w:r w:rsidR="005E09EF">
        <w:t xml:space="preserve"> which was</w:t>
      </w:r>
      <w:r w:rsidR="00BA45C6">
        <w:t xml:space="preserve"> calculated using the heat duty, the mean temperature difference, and the overall heat transfer coefficient calculated using Aspen Exchanger Design and Rating</w:t>
      </w:r>
      <w:r w:rsidR="005E09EF">
        <w:t xml:space="preserve"> 8.4</w:t>
      </w:r>
      <w:r w:rsidR="00BA45C6">
        <w:t>.</w:t>
      </w:r>
    </w:p>
    <w:p w14:paraId="1F8DF2E1" w14:textId="35B0E7AB" w:rsidR="00CD3AD3" w:rsidRDefault="00BA45C6" w:rsidP="00600535">
      <w:pPr>
        <w:pStyle w:val="CETBodytext"/>
      </w:pPr>
      <w:r>
        <w:t xml:space="preserve">Based on these results, </w:t>
      </w:r>
      <w:r w:rsidR="005E09EF">
        <w:t xml:space="preserve">the </w:t>
      </w:r>
      <w:r>
        <w:t xml:space="preserve">bare module cost </w:t>
      </w:r>
      <w:r w:rsidR="00FE5A5C">
        <w:t>(</w:t>
      </w:r>
      <w:r w:rsidR="00FE5A5C" w:rsidRPr="002E6BCA">
        <w:rPr>
          <w:i/>
          <w:iCs/>
        </w:rPr>
        <w:t>C</w:t>
      </w:r>
      <w:r w:rsidR="00FE5A5C" w:rsidRPr="002E6BCA">
        <w:rPr>
          <w:i/>
          <w:iCs/>
          <w:vertAlign w:val="subscript"/>
        </w:rPr>
        <w:t>BM</w:t>
      </w:r>
      <w:r w:rsidR="00FE5A5C">
        <w:t xml:space="preserve">) </w:t>
      </w:r>
      <w:r>
        <w:t>for equipment at base conditions was calculated using Eq. (1)</w:t>
      </w:r>
      <w:r w:rsidR="00FE5A5C">
        <w:t xml:space="preserve">. In this equation, </w:t>
      </w:r>
      <w:r w:rsidR="00FE5A5C" w:rsidRPr="002E6BCA">
        <w:rPr>
          <w:i/>
          <w:iCs/>
        </w:rPr>
        <w:t>B</w:t>
      </w:r>
      <w:r w:rsidR="00FE5A5C" w:rsidRPr="002E6BCA">
        <w:rPr>
          <w:i/>
          <w:iCs/>
          <w:vertAlign w:val="subscript"/>
        </w:rPr>
        <w:t>1</w:t>
      </w:r>
      <w:r w:rsidR="00FE5A5C">
        <w:t xml:space="preserve"> and </w:t>
      </w:r>
      <w:r w:rsidR="00FE5A5C" w:rsidRPr="002E6BCA">
        <w:rPr>
          <w:i/>
          <w:iCs/>
        </w:rPr>
        <w:t>B</w:t>
      </w:r>
      <w:r w:rsidR="00FE5A5C" w:rsidRPr="002E6BCA">
        <w:rPr>
          <w:i/>
          <w:iCs/>
          <w:vertAlign w:val="subscript"/>
        </w:rPr>
        <w:t>2</w:t>
      </w:r>
      <w:r w:rsidR="00FE5A5C">
        <w:t xml:space="preserve"> are constants that are particular to each process equipment, available in tables in the literature </w:t>
      </w:r>
      <w:r w:rsidR="00FE5A5C">
        <w:fldChar w:fldCharType="begin" w:fldLock="1"/>
      </w:r>
      <w:r w:rsidR="00082234">
        <w:instrText>ADDIN CSL_CITATION {"citationItems":[{"id":"ITEM-1","itemData":{"ISBN":"0134177401","abstract":"applicability for this approach.","author":[{"dropping-particle":"","family":"Turton","given":"Richard","non-dropping-particle":"","parse-names":false,"suffix":""},{"dropping-particle":"","family":"Shaeiwitz","given":"Joseph A.","non-dropping-particle":"","parse-names":false,"suffix":""},{"dropping-particle":"","family":"Bhattacharyya","given":"Debangsu","non-dropping-particle":"","parse-names":false,"suffix":""},{"dropping-particle":"","family":"Whiting","given":"Wallace B.","non-dropping-particle":"","parse-names":false,"suffix":""}],"edition":"5th","id":"ITEM-1","issued":{"date-parts":[["2018"]]},"number-of-pages":"1520","publisher":"Pearson Education","publisher-place":"New Jersey, USA","title":"Analysis, Synthesis, and Design of Chemical Processes","type":"book"},"uris":["http://www.mendeley.com/documents/?uuid=20e6bbcc-b85e-3fd9-a24f-48ebdbc9d3d8"]}],"mendeley":{"formattedCitation":"(Turton et al., 2018)","plainTextFormattedCitation":"(Turton et al., 2018)","previouslyFormattedCitation":"(Turton et al., 2018)"},"properties":{"noteIndex":0},"schema":"https://github.com/citation-style-language/schema/raw/master/csl-citation.json"}</w:instrText>
      </w:r>
      <w:r w:rsidR="00FE5A5C">
        <w:fldChar w:fldCharType="separate"/>
      </w:r>
      <w:r w:rsidR="00A82EE2" w:rsidRPr="00A82EE2">
        <w:rPr>
          <w:noProof/>
        </w:rPr>
        <w:t>(Turton et al., 2018)</w:t>
      </w:r>
      <w:r w:rsidR="00FE5A5C">
        <w:fldChar w:fldCharType="end"/>
      </w:r>
      <w:r w:rsidR="00FE5A5C">
        <w:t>.</w:t>
      </w:r>
      <w:r w:rsidR="002E6BCA">
        <w:t xml:space="preserve"> </w:t>
      </w:r>
      <w:r w:rsidR="002E6BCA" w:rsidRPr="005E09EF">
        <w:rPr>
          <w:i/>
          <w:iCs/>
        </w:rPr>
        <w:t>F</w:t>
      </w:r>
      <w:r w:rsidR="002E6BCA" w:rsidRPr="005E09EF">
        <w:rPr>
          <w:i/>
          <w:iCs/>
          <w:vertAlign w:val="subscript"/>
        </w:rPr>
        <w:t>P</w:t>
      </w:r>
      <w:r w:rsidR="002E6BCA">
        <w:t xml:space="preserve"> is the pressure factor, which increase</w:t>
      </w:r>
      <w:r w:rsidR="00CC7DC7">
        <w:t>s</w:t>
      </w:r>
      <w:r w:rsidR="002E6BCA">
        <w:t xml:space="preserve"> the demand for construction material as the operating pressure increases, and it is calculated using Eq. (2) and constants </w:t>
      </w:r>
      <w:r w:rsidR="002E6BCA" w:rsidRPr="002E6BCA">
        <w:rPr>
          <w:i/>
          <w:iCs/>
        </w:rPr>
        <w:t>C</w:t>
      </w:r>
      <w:r w:rsidR="002E6BCA" w:rsidRPr="002E6BCA">
        <w:rPr>
          <w:i/>
          <w:iCs/>
          <w:vertAlign w:val="subscript"/>
        </w:rPr>
        <w:t>1</w:t>
      </w:r>
      <w:r w:rsidR="002E6BCA">
        <w:t xml:space="preserve">, </w:t>
      </w:r>
      <w:r w:rsidR="002E6BCA" w:rsidRPr="002E6BCA">
        <w:rPr>
          <w:i/>
          <w:iCs/>
        </w:rPr>
        <w:t>C</w:t>
      </w:r>
      <w:r w:rsidR="002E6BCA" w:rsidRPr="002E6BCA">
        <w:rPr>
          <w:i/>
          <w:iCs/>
          <w:vertAlign w:val="subscript"/>
        </w:rPr>
        <w:t>2</w:t>
      </w:r>
      <w:r w:rsidR="002E6BCA">
        <w:t xml:space="preserve">, and </w:t>
      </w:r>
      <w:r w:rsidR="002E6BCA" w:rsidRPr="002E6BCA">
        <w:rPr>
          <w:i/>
          <w:iCs/>
        </w:rPr>
        <w:t>C</w:t>
      </w:r>
      <w:r w:rsidR="002E6BCA" w:rsidRPr="002E6BCA">
        <w:rPr>
          <w:i/>
          <w:iCs/>
          <w:vertAlign w:val="subscript"/>
        </w:rPr>
        <w:t>3</w:t>
      </w:r>
      <w:r w:rsidR="002E6BCA">
        <w:t xml:space="preserve">, particular to </w:t>
      </w:r>
      <w:r w:rsidR="005E09EF">
        <w:t xml:space="preserve">each </w:t>
      </w:r>
      <w:r w:rsidR="002E6BCA">
        <w:t xml:space="preserve">equipment type, with values available in the literature </w:t>
      </w:r>
      <w:r w:rsidR="002E6BCA">
        <w:fldChar w:fldCharType="begin" w:fldLock="1"/>
      </w:r>
      <w:r w:rsidR="00082234">
        <w:instrText>ADDIN CSL_CITATION {"citationItems":[{"id":"ITEM-1","itemData":{"ISBN":"0134177401","abstract":"applicability for this approach.","author":[{"dropping-particle":"","family":"Turton","given":"Richard","non-dropping-particle":"","parse-names":false,"suffix":""},{"dropping-particle":"","family":"Shaeiwitz","given":"Joseph A.","non-dropping-particle":"","parse-names":false,"suffix":""},{"dropping-particle":"","family":"Bhattacharyya","given":"Debangsu","non-dropping-particle":"","parse-names":false,"suffix":""},{"dropping-particle":"","family":"Whiting","given":"Wallace B.","non-dropping-particle":"","parse-names":false,"suffix":""}],"edition":"5th","id":"ITEM-1","issued":{"date-parts":[["2018"]]},"number-of-pages":"1520","publisher":"Pearson Education","publisher-place":"New Jersey, USA","title":"Analysis, Synthesis, and Design of Chemical Processes","type":"book"},"uris":["http://www.mendeley.com/documents/?uuid=20e6bbcc-b85e-3fd9-a24f-48ebdbc9d3d8"]}],"mendeley":{"formattedCitation":"(Turton et al., 2018)","plainTextFormattedCitation":"(Turton et al., 2018)","previouslyFormattedCitation":"(Turton et al., 2018)"},"properties":{"noteIndex":0},"schema":"https://github.com/citation-style-language/schema/raw/master/csl-citation.json"}</w:instrText>
      </w:r>
      <w:r w:rsidR="002E6BCA">
        <w:fldChar w:fldCharType="separate"/>
      </w:r>
      <w:r w:rsidR="00A82EE2" w:rsidRPr="00A82EE2">
        <w:rPr>
          <w:noProof/>
        </w:rPr>
        <w:t>(Turton et al., 2018)</w:t>
      </w:r>
      <w:r w:rsidR="002E6BCA">
        <w:fldChar w:fldCharType="end"/>
      </w:r>
      <w:r w:rsidR="002E6BCA">
        <w:t xml:space="preserve">. </w:t>
      </w:r>
      <w:r w:rsidR="00FE5A5C" w:rsidRPr="005E09EF">
        <w:rPr>
          <w:i/>
          <w:iCs/>
        </w:rPr>
        <w:t>F</w:t>
      </w:r>
      <w:r w:rsidR="00FE5A5C" w:rsidRPr="005E09EF">
        <w:rPr>
          <w:i/>
          <w:iCs/>
          <w:vertAlign w:val="subscript"/>
        </w:rPr>
        <w:t>M</w:t>
      </w:r>
      <w:r w:rsidR="00FE5A5C">
        <w:t xml:space="preserve"> is a constant that is related to the material of construction. In this case, as acetaldehyde is not corrosive, </w:t>
      </w:r>
      <w:r w:rsidR="00110015">
        <w:t>a combination of carbon steel and stainless steel was chosen depending on the service</w:t>
      </w:r>
      <w:r w:rsidR="005E09EF">
        <w:t xml:space="preserve"> and temperature</w:t>
      </w:r>
      <w:r w:rsidR="00110015">
        <w:t xml:space="preserve"> </w:t>
      </w:r>
      <w:r w:rsidR="005E09EF">
        <w:t>for which</w:t>
      </w:r>
      <w:r w:rsidR="00110015">
        <w:t xml:space="preserve"> each unit operation was intended</w:t>
      </w:r>
      <w:r w:rsidR="00FE5A5C">
        <w:t xml:space="preserve">. The value of </w:t>
      </w:r>
      <w:r w:rsidR="005E09EF">
        <w:t>this</w:t>
      </w:r>
      <w:r w:rsidR="00FE5A5C">
        <w:t xml:space="preserve"> constant depends on the equipment</w:t>
      </w:r>
      <w:r w:rsidR="005E09EF">
        <w:t xml:space="preserve"> type</w:t>
      </w:r>
      <w:r w:rsidR="00FE5A5C">
        <w:t xml:space="preserve">, and these values are available in the literature as well </w:t>
      </w:r>
      <w:r w:rsidR="00FE5A5C">
        <w:fldChar w:fldCharType="begin" w:fldLock="1"/>
      </w:r>
      <w:r w:rsidR="00082234">
        <w:instrText>ADDIN CSL_CITATION {"citationItems":[{"id":"ITEM-1","itemData":{"ISBN":"0134177401","abstract":"applicability for this approach.","author":[{"dropping-particle":"","family":"Turton","given":"Richard","non-dropping-particle":"","parse-names":false,"suffix":""},{"dropping-particle":"","family":"Shaeiwitz","given":"Joseph A.","non-dropping-particle":"","parse-names":false,"suffix":""},{"dropping-particle":"","family":"Bhattacharyya","given":"Debangsu","non-dropping-particle":"","parse-names":false,"suffix":""},{"dropping-particle":"","family":"Whiting","given":"Wallace B.","non-dropping-particle":"","parse-names":false,"suffix":""}],"edition":"5th","id":"ITEM-1","issued":{"date-parts":[["2018"]]},"number-of-pages":"1520","publisher":"Pearson Education","publisher-place":"New Jersey, USA","title":"Analysis, Synthesis, and Design of Chemical Processes","type":"book"},"uris":["http://www.mendeley.com/documents/?uuid=20e6bbcc-b85e-3fd9-a24f-48ebdbc9d3d8"]}],"mendeley":{"formattedCitation":"(Turton et al., 2018)","plainTextFormattedCitation":"(Turton et al., 2018)","previouslyFormattedCitation":"(Turton et al., 2018)"},"properties":{"noteIndex":0},"schema":"https://github.com/citation-style-language/schema/raw/master/csl-citation.json"}</w:instrText>
      </w:r>
      <w:r w:rsidR="00FE5A5C">
        <w:fldChar w:fldCharType="separate"/>
      </w:r>
      <w:r w:rsidR="00A82EE2" w:rsidRPr="00A82EE2">
        <w:rPr>
          <w:noProof/>
        </w:rPr>
        <w:t>(Turton et al., 2018)</w:t>
      </w:r>
      <w:r w:rsidR="00FE5A5C">
        <w:fldChar w:fldCharType="end"/>
      </w:r>
      <w:r w:rsidR="00FE5A5C">
        <w:t>.</w:t>
      </w:r>
      <w:r w:rsidR="002E6BCA">
        <w:t xml:space="preserve"> </w:t>
      </w:r>
      <w:r w:rsidR="002E6BCA" w:rsidRPr="002E6BCA">
        <w:rPr>
          <w:i/>
          <w:iCs/>
        </w:rPr>
        <w:t>C</w:t>
      </w:r>
      <w:r w:rsidR="002E6BCA" w:rsidRPr="002E6BCA">
        <w:rPr>
          <w:i/>
          <w:iCs/>
          <w:vertAlign w:val="subscript"/>
        </w:rPr>
        <w:t>p</w:t>
      </w:r>
      <w:r w:rsidR="002E6BCA" w:rsidRPr="002E6BCA">
        <w:rPr>
          <w:i/>
          <w:iCs/>
          <w:vertAlign w:val="superscript"/>
        </w:rPr>
        <w:t>0</w:t>
      </w:r>
      <w:r w:rsidR="002E6BCA">
        <w:t xml:space="preserve"> is the base purchase cost of equipment at standard conditions, calculated using Eq. (3). </w:t>
      </w:r>
      <w:r w:rsidR="002E6BCA" w:rsidRPr="002E6BCA">
        <w:rPr>
          <w:i/>
          <w:iCs/>
        </w:rPr>
        <w:t>C</w:t>
      </w:r>
      <w:r w:rsidR="002E6BCA" w:rsidRPr="002E6BCA">
        <w:rPr>
          <w:i/>
          <w:iCs/>
          <w:vertAlign w:val="subscript"/>
        </w:rPr>
        <w:t>p</w:t>
      </w:r>
      <w:r w:rsidR="002E6BCA" w:rsidRPr="002E6BCA">
        <w:rPr>
          <w:i/>
          <w:iCs/>
          <w:vertAlign w:val="superscript"/>
        </w:rPr>
        <w:t>0</w:t>
      </w:r>
      <w:r w:rsidR="002E6BCA">
        <w:t xml:space="preserve"> is a function of constants </w:t>
      </w:r>
      <w:r w:rsidR="002E6BCA" w:rsidRPr="005E09EF">
        <w:rPr>
          <w:i/>
          <w:iCs/>
        </w:rPr>
        <w:t>K</w:t>
      </w:r>
      <w:r w:rsidR="002E6BCA" w:rsidRPr="005E09EF">
        <w:rPr>
          <w:i/>
          <w:iCs/>
          <w:vertAlign w:val="subscript"/>
        </w:rPr>
        <w:t>1</w:t>
      </w:r>
      <w:r w:rsidR="002E6BCA">
        <w:t xml:space="preserve">, </w:t>
      </w:r>
      <w:r w:rsidR="002E6BCA" w:rsidRPr="005E09EF">
        <w:rPr>
          <w:i/>
          <w:iCs/>
        </w:rPr>
        <w:t>K</w:t>
      </w:r>
      <w:r w:rsidR="002E6BCA" w:rsidRPr="005E09EF">
        <w:rPr>
          <w:i/>
          <w:iCs/>
          <w:vertAlign w:val="subscript"/>
        </w:rPr>
        <w:t>2</w:t>
      </w:r>
      <w:r w:rsidR="002E6BCA">
        <w:t xml:space="preserve">, and </w:t>
      </w:r>
      <w:r w:rsidR="002E6BCA" w:rsidRPr="005E09EF">
        <w:rPr>
          <w:i/>
          <w:iCs/>
        </w:rPr>
        <w:t>K</w:t>
      </w:r>
      <w:r w:rsidR="002E6BCA" w:rsidRPr="005E09EF">
        <w:rPr>
          <w:i/>
          <w:iCs/>
          <w:vertAlign w:val="subscript"/>
        </w:rPr>
        <w:t>3</w:t>
      </w:r>
      <w:r w:rsidR="002E6BCA">
        <w:t xml:space="preserve">, particular to equipment type with values available in the literature </w:t>
      </w:r>
      <w:r w:rsidR="002E6BCA">
        <w:fldChar w:fldCharType="begin" w:fldLock="1"/>
      </w:r>
      <w:r w:rsidR="00082234">
        <w:instrText>ADDIN CSL_CITATION {"citationItems":[{"id":"ITEM-1","itemData":{"ISBN":"0134177401","abstract":"applicability for this approach.","author":[{"dropping-particle":"","family":"Turton","given":"Richard","non-dropping-particle":"","parse-names":false,"suffix":""},{"dropping-particle":"","family":"Shaeiwitz","given":"Joseph A.","non-dropping-particle":"","parse-names":false,"suffix":""},{"dropping-particle":"","family":"Bhattacharyya","given":"Debangsu","non-dropping-particle":"","parse-names":false,"suffix":""},{"dropping-particle":"","family":"Whiting","given":"Wallace B.","non-dropping-particle":"","parse-names":false,"suffix":""}],"edition":"5th","id":"ITEM-1","issued":{"date-parts":[["2018"]]},"number-of-pages":"1520","publisher":"Pearson Education","publisher-place":"New Jersey, USA","title":"Analysis, Synthesis, and Design of Chemical Processes","type":"book"},"uris":["http://www.mendeley.com/documents/?uuid=20e6bbcc-b85e-3fd9-a24f-48ebdbc9d3d8"]}],"mendeley":{"formattedCitation":"(Turton et al., 2018)","plainTextFormattedCitation":"(Turton et al., 2018)","previouslyFormattedCitation":"(Turton et al., 2018)"},"properties":{"noteIndex":0},"schema":"https://github.com/citation-style-language/schema/raw/master/csl-citation.json"}</w:instrText>
      </w:r>
      <w:r w:rsidR="002E6BCA">
        <w:fldChar w:fldCharType="separate"/>
      </w:r>
      <w:r w:rsidR="00A82EE2" w:rsidRPr="00A82EE2">
        <w:rPr>
          <w:noProof/>
        </w:rPr>
        <w:t>(Turton et al., 2018)</w:t>
      </w:r>
      <w:r w:rsidR="002E6BCA">
        <w:fldChar w:fldCharType="end"/>
      </w:r>
      <w:r w:rsidR="002E6BCA">
        <w:t xml:space="preserve">, and </w:t>
      </w:r>
      <w:r w:rsidR="002E6BCA" w:rsidRPr="005E09EF">
        <w:rPr>
          <w:i/>
          <w:iCs/>
        </w:rPr>
        <w:t>A</w:t>
      </w:r>
      <w:r w:rsidR="002E6BCA">
        <w:t>, which is the capacity or sizing parameter for each equipment</w:t>
      </w:r>
      <w:r w:rsidR="005E09EF">
        <w:t xml:space="preserve"> (</w:t>
      </w:r>
      <w:r w:rsidR="005E09EF" w:rsidRPr="005E09EF">
        <w:rPr>
          <w:i/>
          <w:iCs/>
        </w:rPr>
        <w:t>e.g.</w:t>
      </w:r>
      <w:r w:rsidR="005E09EF">
        <w:t xml:space="preserve"> heat transfer area for heat exchangers)</w:t>
      </w:r>
      <w:r w:rsidR="002E6BCA">
        <w:t xml:space="preserve">. The sum of these costs yields the capital expenditure </w:t>
      </w:r>
      <w:r w:rsidR="00D07A7D">
        <w:t xml:space="preserve">(CapEx) </w:t>
      </w:r>
      <w:r w:rsidR="002E6BCA">
        <w:t xml:space="preserve">of the acetaldehyde plant. </w:t>
      </w:r>
    </w:p>
    <w:tbl>
      <w:tblPr>
        <w:tblW w:w="5000" w:type="pct"/>
        <w:tblLook w:val="04A0" w:firstRow="1" w:lastRow="0" w:firstColumn="1" w:lastColumn="0" w:noHBand="0" w:noVBand="1"/>
      </w:tblPr>
      <w:tblGrid>
        <w:gridCol w:w="7986"/>
        <w:gridCol w:w="801"/>
      </w:tblGrid>
      <w:tr w:rsidR="00BA45C6" w:rsidRPr="008D0834" w14:paraId="6D9082B6" w14:textId="77777777" w:rsidTr="00FE5A5C">
        <w:tc>
          <w:tcPr>
            <w:tcW w:w="7986" w:type="dxa"/>
            <w:shd w:val="clear" w:color="auto" w:fill="auto"/>
            <w:vAlign w:val="center"/>
          </w:tcPr>
          <w:p w14:paraId="346C5B2E" w14:textId="6859ECE7" w:rsidR="00BA45C6" w:rsidRPr="00FE5A5C" w:rsidRDefault="00000000" w:rsidP="008166B1">
            <w:pPr>
              <w:pStyle w:val="CETEquation"/>
              <w:rPr>
                <w:lang w:val="en-US"/>
              </w:rPr>
            </w:pPr>
            <m:oMathPara>
              <m:oMathParaPr>
                <m:jc m:val="left"/>
              </m:oMathPara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BM</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m:t>
                        </m:r>
                      </m:sub>
                    </m:sSub>
                  </m:e>
                </m:d>
                <m:sSubSup>
                  <m:sSubSupPr>
                    <m:ctrlPr>
                      <w:rPr>
                        <w:rFonts w:ascii="Cambria Math" w:hAnsi="Cambria Math"/>
                        <w:i/>
                        <w:lang w:val="en-US"/>
                      </w:rPr>
                    </m:ctrlPr>
                  </m:sSubSupPr>
                  <m:e>
                    <m:r>
                      <w:rPr>
                        <w:rFonts w:ascii="Cambria Math" w:hAnsi="Cambria Math"/>
                        <w:lang w:val="en-US"/>
                      </w:rPr>
                      <m:t>C</m:t>
                    </m:r>
                  </m:e>
                  <m:sub>
                    <m:r>
                      <w:rPr>
                        <w:rFonts w:ascii="Cambria Math" w:hAnsi="Cambria Math"/>
                        <w:lang w:val="en-US"/>
                      </w:rPr>
                      <m:t>p</m:t>
                    </m:r>
                  </m:sub>
                  <m:sup>
                    <m:r>
                      <w:rPr>
                        <w:rFonts w:ascii="Cambria Math" w:hAnsi="Cambria Math"/>
                        <w:lang w:val="en-US"/>
                      </w:rPr>
                      <m:t>0</m:t>
                    </m:r>
                  </m:sup>
                </m:sSubSup>
              </m:oMath>
            </m:oMathPara>
          </w:p>
        </w:tc>
        <w:tc>
          <w:tcPr>
            <w:tcW w:w="801" w:type="dxa"/>
            <w:shd w:val="clear" w:color="auto" w:fill="auto"/>
            <w:vAlign w:val="center"/>
          </w:tcPr>
          <w:p w14:paraId="3BF2D2DF" w14:textId="77777777" w:rsidR="00BA45C6" w:rsidRPr="008D0834" w:rsidRDefault="00BA45C6" w:rsidP="008166B1">
            <w:pPr>
              <w:pStyle w:val="CETEquation"/>
              <w:jc w:val="right"/>
              <w:rPr>
                <w:lang w:val="en-US"/>
              </w:rPr>
            </w:pPr>
            <w:r w:rsidRPr="008D0834">
              <w:rPr>
                <w:lang w:val="en-US"/>
              </w:rPr>
              <w:t>(1)</w:t>
            </w:r>
          </w:p>
        </w:tc>
      </w:tr>
      <w:tr w:rsidR="00FE5A5C" w:rsidRPr="008D0834" w14:paraId="78992CA2" w14:textId="77777777" w:rsidTr="00FE5A5C">
        <w:tc>
          <w:tcPr>
            <w:tcW w:w="7986" w:type="dxa"/>
            <w:shd w:val="clear" w:color="auto" w:fill="auto"/>
            <w:vAlign w:val="center"/>
          </w:tcPr>
          <w:p w14:paraId="44A182F6" w14:textId="20784762" w:rsidR="00FE5A5C" w:rsidRPr="008D0834" w:rsidRDefault="00000000" w:rsidP="008166B1">
            <w:pPr>
              <w:pStyle w:val="CETEquation"/>
              <w:rPr>
                <w:noProof/>
                <w:lang w:val="en-US" w:eastAsia="it-IT"/>
              </w:rPr>
            </w:pPr>
            <m:oMath>
              <m:func>
                <m:funcPr>
                  <m:ctrlPr>
                    <w:rPr>
                      <w:rFonts w:ascii="Cambria Math" w:hAnsi="Cambria Math"/>
                      <w:i/>
                      <w:noProof/>
                      <w:lang w:val="en-US" w:eastAsia="it-IT"/>
                    </w:rPr>
                  </m:ctrlPr>
                </m:funcPr>
                <m:fName>
                  <m:sSub>
                    <m:sSubPr>
                      <m:ctrlPr>
                        <w:rPr>
                          <w:rFonts w:ascii="Cambria Math" w:hAnsi="Cambria Math"/>
                          <w:i/>
                          <w:noProof/>
                          <w:lang w:val="en-US" w:eastAsia="it-IT"/>
                        </w:rPr>
                      </m:ctrlPr>
                    </m:sSubPr>
                    <m:e>
                      <m:r>
                        <w:rPr>
                          <w:rFonts w:ascii="Cambria Math" w:hAnsi="Cambria Math"/>
                          <w:noProof/>
                          <w:lang w:val="en-US" w:eastAsia="it-IT"/>
                        </w:rPr>
                        <m:t>log</m:t>
                      </m:r>
                    </m:e>
                    <m:sub>
                      <m:r>
                        <w:rPr>
                          <w:rFonts w:ascii="Cambria Math" w:hAnsi="Cambria Math"/>
                          <w:noProof/>
                          <w:lang w:val="en-US" w:eastAsia="it-IT"/>
                        </w:rPr>
                        <m:t>10</m:t>
                      </m:r>
                    </m:sub>
                  </m:sSub>
                </m:fName>
                <m:e>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F</m:t>
                      </m:r>
                    </m:e>
                    <m:sub>
                      <m:r>
                        <w:rPr>
                          <w:rFonts w:ascii="Cambria Math" w:hAnsi="Cambria Math"/>
                          <w:noProof/>
                          <w:lang w:val="en-US" w:eastAsia="it-IT"/>
                        </w:rPr>
                        <m:t>P</m:t>
                      </m:r>
                    </m:sub>
                  </m:sSub>
                  <m:r>
                    <w:rPr>
                      <w:rFonts w:ascii="Cambria Math" w:hAnsi="Cambria Math"/>
                      <w:noProof/>
                      <w:lang w:val="en-US" w:eastAsia="it-IT"/>
                    </w:rPr>
                    <m:t>)</m:t>
                  </m:r>
                </m:e>
              </m:func>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C</m:t>
                  </m:r>
                </m:e>
                <m:sub>
                  <m:r>
                    <w:rPr>
                      <w:rFonts w:ascii="Cambria Math" w:hAnsi="Cambria Math"/>
                      <w:noProof/>
                      <w:lang w:val="en-US" w:eastAsia="it-IT"/>
                    </w:rPr>
                    <m:t>1</m:t>
                  </m:r>
                </m:sub>
              </m:sSub>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C</m:t>
                  </m:r>
                </m:e>
                <m:sub>
                  <m:r>
                    <w:rPr>
                      <w:rFonts w:ascii="Cambria Math" w:hAnsi="Cambria Math"/>
                      <w:noProof/>
                      <w:lang w:val="en-US" w:eastAsia="it-IT"/>
                    </w:rPr>
                    <m:t>2</m:t>
                  </m:r>
                </m:sub>
              </m:sSub>
              <m:func>
                <m:funcPr>
                  <m:ctrlPr>
                    <w:rPr>
                      <w:rFonts w:ascii="Cambria Math" w:hAnsi="Cambria Math"/>
                      <w:i/>
                      <w:noProof/>
                      <w:lang w:val="en-US" w:eastAsia="it-IT"/>
                    </w:rPr>
                  </m:ctrlPr>
                </m:funcPr>
                <m:fName>
                  <m:sSub>
                    <m:sSubPr>
                      <m:ctrlPr>
                        <w:rPr>
                          <w:rFonts w:ascii="Cambria Math" w:hAnsi="Cambria Math"/>
                          <w:i/>
                          <w:noProof/>
                          <w:lang w:val="en-US" w:eastAsia="it-IT"/>
                        </w:rPr>
                      </m:ctrlPr>
                    </m:sSubPr>
                    <m:e>
                      <m:r>
                        <w:rPr>
                          <w:rFonts w:ascii="Cambria Math" w:hAnsi="Cambria Math"/>
                          <w:noProof/>
                          <w:lang w:val="en-US" w:eastAsia="it-IT"/>
                        </w:rPr>
                        <m:t>log</m:t>
                      </m:r>
                    </m:e>
                    <m:sub>
                      <m:r>
                        <w:rPr>
                          <w:rFonts w:ascii="Cambria Math" w:hAnsi="Cambria Math"/>
                          <w:noProof/>
                          <w:lang w:val="en-US" w:eastAsia="it-IT"/>
                        </w:rPr>
                        <m:t>10</m:t>
                      </m:r>
                    </m:sub>
                  </m:sSub>
                </m:fName>
                <m:e>
                  <m:r>
                    <w:rPr>
                      <w:rFonts w:ascii="Cambria Math" w:hAnsi="Cambria Math"/>
                      <w:noProof/>
                      <w:lang w:val="en-US" w:eastAsia="it-IT"/>
                    </w:rPr>
                    <m:t>(P)</m:t>
                  </m:r>
                </m:e>
              </m:func>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C</m:t>
                  </m:r>
                </m:e>
                <m:sub>
                  <m:r>
                    <w:rPr>
                      <w:rFonts w:ascii="Cambria Math" w:hAnsi="Cambria Math"/>
                      <w:noProof/>
                      <w:lang w:val="en-US" w:eastAsia="it-IT"/>
                    </w:rPr>
                    <m:t>3</m:t>
                  </m:r>
                </m:sub>
              </m:sSub>
              <m:sSup>
                <m:sSupPr>
                  <m:ctrlPr>
                    <w:rPr>
                      <w:rFonts w:ascii="Cambria Math" w:hAnsi="Cambria Math"/>
                      <w:i/>
                      <w:noProof/>
                      <w:lang w:val="en-US" w:eastAsia="it-IT"/>
                    </w:rPr>
                  </m:ctrlPr>
                </m:sSupPr>
                <m:e>
                  <m:d>
                    <m:dPr>
                      <m:ctrlPr>
                        <w:rPr>
                          <w:rFonts w:ascii="Cambria Math" w:hAnsi="Cambria Math"/>
                          <w:i/>
                          <w:noProof/>
                          <w:lang w:val="en-US" w:eastAsia="it-IT"/>
                        </w:rPr>
                      </m:ctrlPr>
                    </m:dPr>
                    <m:e>
                      <m:func>
                        <m:funcPr>
                          <m:ctrlPr>
                            <w:rPr>
                              <w:rFonts w:ascii="Cambria Math" w:hAnsi="Cambria Math"/>
                              <w:i/>
                              <w:noProof/>
                              <w:lang w:val="en-US" w:eastAsia="it-IT"/>
                            </w:rPr>
                          </m:ctrlPr>
                        </m:funcPr>
                        <m:fName>
                          <m:sSub>
                            <m:sSubPr>
                              <m:ctrlPr>
                                <w:rPr>
                                  <w:rFonts w:ascii="Cambria Math" w:hAnsi="Cambria Math"/>
                                  <w:i/>
                                  <w:noProof/>
                                  <w:lang w:val="en-US" w:eastAsia="it-IT"/>
                                </w:rPr>
                              </m:ctrlPr>
                            </m:sSubPr>
                            <m:e>
                              <m:r>
                                <w:rPr>
                                  <w:rFonts w:ascii="Cambria Math" w:hAnsi="Cambria Math"/>
                                  <w:noProof/>
                                  <w:lang w:val="en-US" w:eastAsia="it-IT"/>
                                </w:rPr>
                                <m:t>log</m:t>
                              </m:r>
                            </m:e>
                            <m:sub>
                              <m:r>
                                <w:rPr>
                                  <w:rFonts w:ascii="Cambria Math" w:hAnsi="Cambria Math"/>
                                  <w:noProof/>
                                  <w:lang w:val="en-US" w:eastAsia="it-IT"/>
                                </w:rPr>
                                <m:t>10</m:t>
                              </m:r>
                            </m:sub>
                          </m:sSub>
                        </m:fName>
                        <m:e>
                          <m:d>
                            <m:dPr>
                              <m:ctrlPr>
                                <w:rPr>
                                  <w:rFonts w:ascii="Cambria Math" w:hAnsi="Cambria Math"/>
                                  <w:i/>
                                  <w:noProof/>
                                  <w:lang w:val="en-US" w:eastAsia="it-IT"/>
                                </w:rPr>
                              </m:ctrlPr>
                            </m:dPr>
                            <m:e>
                              <m:r>
                                <w:rPr>
                                  <w:rFonts w:ascii="Cambria Math" w:hAnsi="Cambria Math"/>
                                  <w:noProof/>
                                  <w:lang w:val="en-US" w:eastAsia="it-IT"/>
                                </w:rPr>
                                <m:t>P</m:t>
                              </m:r>
                            </m:e>
                          </m:d>
                        </m:e>
                      </m:func>
                    </m:e>
                  </m:d>
                </m:e>
                <m:sup>
                  <m:r>
                    <w:rPr>
                      <w:rFonts w:ascii="Cambria Math" w:hAnsi="Cambria Math"/>
                      <w:noProof/>
                      <w:lang w:val="en-US" w:eastAsia="it-IT"/>
                    </w:rPr>
                    <m:t>2</m:t>
                  </m:r>
                </m:sup>
              </m:sSup>
              <m:r>
                <w:rPr>
                  <w:rFonts w:ascii="Cambria Math" w:hAnsi="Cambria Math"/>
                  <w:noProof/>
                  <w:lang w:val="en-US" w:eastAsia="it-IT"/>
                </w:rPr>
                <m:t xml:space="preserve"> </m:t>
              </m:r>
            </m:oMath>
            <w:r w:rsidR="00FE5A5C">
              <w:rPr>
                <w:noProof/>
                <w:lang w:val="en-US" w:eastAsia="it-IT"/>
              </w:rPr>
              <w:t xml:space="preserve"> </w:t>
            </w:r>
          </w:p>
        </w:tc>
        <w:tc>
          <w:tcPr>
            <w:tcW w:w="801" w:type="dxa"/>
            <w:shd w:val="clear" w:color="auto" w:fill="auto"/>
            <w:vAlign w:val="center"/>
          </w:tcPr>
          <w:p w14:paraId="0329E093" w14:textId="7D51E700" w:rsidR="00FE5A5C" w:rsidRPr="008D0834" w:rsidRDefault="00FE5A5C" w:rsidP="008166B1">
            <w:pPr>
              <w:pStyle w:val="CETEquation"/>
              <w:jc w:val="right"/>
              <w:rPr>
                <w:lang w:val="en-US"/>
              </w:rPr>
            </w:pPr>
            <w:r w:rsidRPr="008D0834">
              <w:rPr>
                <w:lang w:val="en-US"/>
              </w:rPr>
              <w:t>(</w:t>
            </w:r>
            <w:r>
              <w:rPr>
                <w:lang w:val="en-US"/>
              </w:rPr>
              <w:t>2</w:t>
            </w:r>
            <w:r w:rsidRPr="008D0834">
              <w:rPr>
                <w:lang w:val="en-US"/>
              </w:rPr>
              <w:t>)</w:t>
            </w:r>
          </w:p>
        </w:tc>
      </w:tr>
      <w:tr w:rsidR="00FE5A5C" w:rsidRPr="008D0834" w14:paraId="3C6CA5DD" w14:textId="77777777" w:rsidTr="00FE5A5C">
        <w:tc>
          <w:tcPr>
            <w:tcW w:w="7986" w:type="dxa"/>
            <w:shd w:val="clear" w:color="auto" w:fill="auto"/>
            <w:vAlign w:val="center"/>
          </w:tcPr>
          <w:p w14:paraId="319F7913" w14:textId="6A161A6E" w:rsidR="00FE5A5C" w:rsidRPr="00FE5A5C" w:rsidRDefault="00000000" w:rsidP="008166B1">
            <w:pPr>
              <w:pStyle w:val="CETEquation"/>
              <w:rPr>
                <w:rFonts w:ascii="Cambria Math" w:hAnsi="Cambria Math"/>
                <w:noProof/>
                <w:lang w:val="en-US" w:eastAsia="it-IT"/>
                <w:oMath/>
              </w:rPr>
            </w:pPr>
            <m:oMath>
              <m:func>
                <m:funcPr>
                  <m:ctrlPr>
                    <w:rPr>
                      <w:rFonts w:ascii="Cambria Math" w:hAnsi="Cambria Math"/>
                      <w:i/>
                      <w:noProof/>
                      <w:lang w:val="en-US" w:eastAsia="it-IT"/>
                    </w:rPr>
                  </m:ctrlPr>
                </m:funcPr>
                <m:fName>
                  <m:sSub>
                    <m:sSubPr>
                      <m:ctrlPr>
                        <w:rPr>
                          <w:rFonts w:ascii="Cambria Math" w:hAnsi="Cambria Math"/>
                          <w:i/>
                          <w:noProof/>
                          <w:lang w:val="en-US" w:eastAsia="it-IT"/>
                        </w:rPr>
                      </m:ctrlPr>
                    </m:sSubPr>
                    <m:e>
                      <m:r>
                        <m:rPr>
                          <m:sty m:val="p"/>
                        </m:rPr>
                        <w:rPr>
                          <w:rFonts w:ascii="Cambria Math" w:hAnsi="Cambria Math"/>
                          <w:noProof/>
                          <w:lang w:val="en-US" w:eastAsia="it-IT"/>
                        </w:rPr>
                        <m:t>log</m:t>
                      </m:r>
                      <m:ctrlPr>
                        <w:rPr>
                          <w:rFonts w:ascii="Cambria Math" w:hAnsi="Cambria Math"/>
                          <w:noProof/>
                          <w:lang w:val="en-US" w:eastAsia="it-IT"/>
                        </w:rPr>
                      </m:ctrlPr>
                    </m:e>
                    <m:sub>
                      <m:r>
                        <w:rPr>
                          <w:rFonts w:ascii="Cambria Math" w:hAnsi="Cambria Math"/>
                          <w:noProof/>
                          <w:lang w:val="en-US" w:eastAsia="it-IT"/>
                        </w:rPr>
                        <m:t>10</m:t>
                      </m:r>
                      <m:ctrlPr>
                        <w:rPr>
                          <w:rFonts w:ascii="Cambria Math" w:hAnsi="Cambria Math"/>
                          <w:noProof/>
                          <w:lang w:val="en-US" w:eastAsia="it-IT"/>
                        </w:rPr>
                      </m:ctrlPr>
                    </m:sub>
                  </m:sSub>
                </m:fName>
                <m:e>
                  <m:r>
                    <w:rPr>
                      <w:rFonts w:ascii="Cambria Math" w:hAnsi="Cambria Math"/>
                      <w:noProof/>
                      <w:lang w:val="en-US" w:eastAsia="it-IT"/>
                    </w:rPr>
                    <m:t>(</m:t>
                  </m:r>
                  <m:sSubSup>
                    <m:sSubSupPr>
                      <m:ctrlPr>
                        <w:rPr>
                          <w:rFonts w:ascii="Cambria Math" w:hAnsi="Cambria Math"/>
                          <w:i/>
                          <w:noProof/>
                          <w:lang w:val="en-US" w:eastAsia="it-IT"/>
                        </w:rPr>
                      </m:ctrlPr>
                    </m:sSubSupPr>
                    <m:e>
                      <m:r>
                        <w:rPr>
                          <w:rFonts w:ascii="Cambria Math" w:hAnsi="Cambria Math"/>
                          <w:noProof/>
                          <w:lang w:val="en-US" w:eastAsia="it-IT"/>
                        </w:rPr>
                        <m:t>C</m:t>
                      </m:r>
                    </m:e>
                    <m:sub>
                      <m:r>
                        <w:rPr>
                          <w:rFonts w:ascii="Cambria Math" w:hAnsi="Cambria Math"/>
                          <w:noProof/>
                          <w:lang w:val="en-US" w:eastAsia="it-IT"/>
                        </w:rPr>
                        <m:t>p</m:t>
                      </m:r>
                    </m:sub>
                    <m:sup>
                      <m:r>
                        <w:rPr>
                          <w:rFonts w:ascii="Cambria Math" w:hAnsi="Cambria Math"/>
                          <w:noProof/>
                          <w:lang w:val="en-US" w:eastAsia="it-IT"/>
                        </w:rPr>
                        <m:t>0</m:t>
                      </m:r>
                    </m:sup>
                  </m:sSubSup>
                  <m:r>
                    <w:rPr>
                      <w:rFonts w:ascii="Cambria Math" w:hAnsi="Cambria Math"/>
                      <w:noProof/>
                      <w:lang w:val="en-US" w:eastAsia="it-IT"/>
                    </w:rPr>
                    <m:t>)</m:t>
                  </m:r>
                </m:e>
              </m:func>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K</m:t>
                  </m:r>
                </m:e>
                <m:sub>
                  <m:r>
                    <w:rPr>
                      <w:rFonts w:ascii="Cambria Math" w:hAnsi="Cambria Math"/>
                      <w:noProof/>
                      <w:lang w:val="en-US" w:eastAsia="it-IT"/>
                    </w:rPr>
                    <m:t>1</m:t>
                  </m:r>
                </m:sub>
              </m:sSub>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K</m:t>
                  </m:r>
                </m:e>
                <m:sub>
                  <m:r>
                    <w:rPr>
                      <w:rFonts w:ascii="Cambria Math" w:hAnsi="Cambria Math"/>
                      <w:noProof/>
                      <w:lang w:val="en-US" w:eastAsia="it-IT"/>
                    </w:rPr>
                    <m:t>2</m:t>
                  </m:r>
                </m:sub>
              </m:sSub>
              <m:func>
                <m:funcPr>
                  <m:ctrlPr>
                    <w:rPr>
                      <w:rFonts w:ascii="Cambria Math" w:hAnsi="Cambria Math"/>
                      <w:i/>
                      <w:noProof/>
                      <w:lang w:val="en-US" w:eastAsia="it-IT"/>
                    </w:rPr>
                  </m:ctrlPr>
                </m:funcPr>
                <m:fName>
                  <m:sSub>
                    <m:sSubPr>
                      <m:ctrlPr>
                        <w:rPr>
                          <w:rFonts w:ascii="Cambria Math" w:hAnsi="Cambria Math"/>
                          <w:noProof/>
                          <w:lang w:val="en-US" w:eastAsia="it-IT"/>
                        </w:rPr>
                      </m:ctrlPr>
                    </m:sSubPr>
                    <m:e>
                      <m:r>
                        <m:rPr>
                          <m:sty m:val="p"/>
                        </m:rPr>
                        <w:rPr>
                          <w:rFonts w:ascii="Cambria Math" w:hAnsi="Cambria Math"/>
                          <w:noProof/>
                          <w:lang w:val="en-US" w:eastAsia="it-IT"/>
                        </w:rPr>
                        <m:t>log</m:t>
                      </m:r>
                    </m:e>
                    <m:sub>
                      <m:r>
                        <m:rPr>
                          <m:sty m:val="p"/>
                        </m:rPr>
                        <w:rPr>
                          <w:rFonts w:ascii="Cambria Math" w:hAnsi="Cambria Math"/>
                          <w:noProof/>
                          <w:lang w:val="en-US" w:eastAsia="it-IT"/>
                        </w:rPr>
                        <m:t>10</m:t>
                      </m:r>
                    </m:sub>
                  </m:sSub>
                </m:fName>
                <m:e>
                  <m:r>
                    <w:rPr>
                      <w:rFonts w:ascii="Cambria Math" w:hAnsi="Cambria Math"/>
                      <w:noProof/>
                      <w:lang w:val="en-US" w:eastAsia="it-IT"/>
                    </w:rPr>
                    <m:t>(A)</m:t>
                  </m:r>
                </m:e>
              </m:func>
              <m:r>
                <w:rPr>
                  <w:rFonts w:ascii="Cambria Math" w:hAnsi="Cambria Math"/>
                  <w:noProof/>
                  <w:lang w:val="en-US" w:eastAsia="it-IT"/>
                </w:rPr>
                <m:t>+</m:t>
              </m:r>
              <m:sSub>
                <m:sSubPr>
                  <m:ctrlPr>
                    <w:rPr>
                      <w:rFonts w:ascii="Cambria Math" w:hAnsi="Cambria Math"/>
                      <w:i/>
                      <w:noProof/>
                      <w:lang w:val="en-US" w:eastAsia="it-IT"/>
                    </w:rPr>
                  </m:ctrlPr>
                </m:sSubPr>
                <m:e>
                  <m:r>
                    <w:rPr>
                      <w:rFonts w:ascii="Cambria Math" w:hAnsi="Cambria Math"/>
                      <w:noProof/>
                      <w:lang w:val="en-US" w:eastAsia="it-IT"/>
                    </w:rPr>
                    <m:t>K</m:t>
                  </m:r>
                </m:e>
                <m:sub>
                  <m:r>
                    <w:rPr>
                      <w:rFonts w:ascii="Cambria Math" w:hAnsi="Cambria Math"/>
                      <w:noProof/>
                      <w:lang w:val="en-US" w:eastAsia="it-IT"/>
                    </w:rPr>
                    <m:t>3</m:t>
                  </m:r>
                </m:sub>
              </m:sSub>
              <m:sSup>
                <m:sSupPr>
                  <m:ctrlPr>
                    <w:rPr>
                      <w:rFonts w:ascii="Cambria Math" w:hAnsi="Cambria Math"/>
                      <w:i/>
                      <w:noProof/>
                      <w:lang w:val="en-US" w:eastAsia="it-IT"/>
                    </w:rPr>
                  </m:ctrlPr>
                </m:sSupPr>
                <m:e>
                  <m:d>
                    <m:dPr>
                      <m:ctrlPr>
                        <w:rPr>
                          <w:rFonts w:ascii="Cambria Math" w:hAnsi="Cambria Math"/>
                          <w:i/>
                          <w:noProof/>
                          <w:lang w:val="en-US" w:eastAsia="it-IT"/>
                        </w:rPr>
                      </m:ctrlPr>
                    </m:dPr>
                    <m:e>
                      <m:func>
                        <m:funcPr>
                          <m:ctrlPr>
                            <w:rPr>
                              <w:rFonts w:ascii="Cambria Math" w:hAnsi="Cambria Math"/>
                              <w:i/>
                              <w:noProof/>
                              <w:lang w:val="en-US" w:eastAsia="it-IT"/>
                            </w:rPr>
                          </m:ctrlPr>
                        </m:funcPr>
                        <m:fName>
                          <m:sSub>
                            <m:sSubPr>
                              <m:ctrlPr>
                                <w:rPr>
                                  <w:rFonts w:ascii="Cambria Math" w:hAnsi="Cambria Math"/>
                                  <w:noProof/>
                                  <w:lang w:val="en-US" w:eastAsia="it-IT"/>
                                </w:rPr>
                              </m:ctrlPr>
                            </m:sSubPr>
                            <m:e>
                              <m:r>
                                <m:rPr>
                                  <m:sty m:val="p"/>
                                </m:rPr>
                                <w:rPr>
                                  <w:rFonts w:ascii="Cambria Math" w:hAnsi="Cambria Math"/>
                                  <w:noProof/>
                                  <w:lang w:val="en-US" w:eastAsia="it-IT"/>
                                </w:rPr>
                                <m:t>log</m:t>
                              </m:r>
                            </m:e>
                            <m:sub>
                              <m:r>
                                <m:rPr>
                                  <m:sty m:val="p"/>
                                </m:rPr>
                                <w:rPr>
                                  <w:rFonts w:ascii="Cambria Math" w:hAnsi="Cambria Math"/>
                                  <w:noProof/>
                                  <w:lang w:val="en-US" w:eastAsia="it-IT"/>
                                </w:rPr>
                                <m:t>10</m:t>
                              </m:r>
                            </m:sub>
                          </m:sSub>
                        </m:fName>
                        <m:e>
                          <m:d>
                            <m:dPr>
                              <m:ctrlPr>
                                <w:rPr>
                                  <w:rFonts w:ascii="Cambria Math" w:hAnsi="Cambria Math"/>
                                  <w:i/>
                                  <w:noProof/>
                                  <w:lang w:val="en-US" w:eastAsia="it-IT"/>
                                </w:rPr>
                              </m:ctrlPr>
                            </m:dPr>
                            <m:e>
                              <m:r>
                                <w:rPr>
                                  <w:rFonts w:ascii="Cambria Math" w:hAnsi="Cambria Math"/>
                                  <w:noProof/>
                                  <w:lang w:val="en-US" w:eastAsia="it-IT"/>
                                </w:rPr>
                                <m:t>A</m:t>
                              </m:r>
                            </m:e>
                          </m:d>
                        </m:e>
                      </m:func>
                    </m:e>
                  </m:d>
                </m:e>
                <m:sup>
                  <m:r>
                    <w:rPr>
                      <w:rFonts w:ascii="Cambria Math" w:hAnsi="Cambria Math"/>
                      <w:noProof/>
                      <w:lang w:val="en-US" w:eastAsia="it-IT"/>
                    </w:rPr>
                    <m:t>2</m:t>
                  </m:r>
                </m:sup>
              </m:sSup>
            </m:oMath>
            <w:r w:rsidR="00FE5A5C">
              <w:rPr>
                <w:noProof/>
                <w:lang w:val="en-US" w:eastAsia="it-IT"/>
              </w:rPr>
              <w:t xml:space="preserve"> </w:t>
            </w:r>
          </w:p>
        </w:tc>
        <w:tc>
          <w:tcPr>
            <w:tcW w:w="801" w:type="dxa"/>
            <w:shd w:val="clear" w:color="auto" w:fill="auto"/>
            <w:vAlign w:val="center"/>
          </w:tcPr>
          <w:p w14:paraId="4DF49E60" w14:textId="27D00887" w:rsidR="00FE5A5C" w:rsidRPr="008D0834" w:rsidRDefault="00FE5A5C" w:rsidP="008166B1">
            <w:pPr>
              <w:pStyle w:val="CETEquation"/>
              <w:jc w:val="right"/>
              <w:rPr>
                <w:lang w:val="en-US"/>
              </w:rPr>
            </w:pPr>
            <w:r w:rsidRPr="008D0834">
              <w:rPr>
                <w:lang w:val="en-US"/>
              </w:rPr>
              <w:t>(</w:t>
            </w:r>
            <w:r>
              <w:rPr>
                <w:lang w:val="en-US"/>
              </w:rPr>
              <w:t>3</w:t>
            </w:r>
            <w:r w:rsidRPr="008D0834">
              <w:rPr>
                <w:lang w:val="en-US"/>
              </w:rPr>
              <w:t>)</w:t>
            </w:r>
          </w:p>
        </w:tc>
      </w:tr>
    </w:tbl>
    <w:p w14:paraId="5E1A4129" w14:textId="2B902E71" w:rsidR="00CD3AD3" w:rsidRDefault="00D07A7D" w:rsidP="00600535">
      <w:pPr>
        <w:pStyle w:val="CETBodytext"/>
      </w:pPr>
      <w:r>
        <w:t>The CapEx</w:t>
      </w:r>
      <w:r w:rsidR="002E6BCA">
        <w:t xml:space="preserve"> of the sugarcane ethanol plant </w:t>
      </w:r>
      <w:r>
        <w:t xml:space="preserve">and </w:t>
      </w:r>
      <w:r w:rsidR="002E6BCA">
        <w:t>the utilit</w:t>
      </w:r>
      <w:r w:rsidR="00CC7DC7">
        <w:t>y</w:t>
      </w:r>
      <w:r w:rsidR="002E6BCA">
        <w:t xml:space="preserve"> section</w:t>
      </w:r>
      <w:r>
        <w:t xml:space="preserve"> (cogeneration of heat and power based on biomass</w:t>
      </w:r>
      <w:r w:rsidR="005E09EF">
        <w:t xml:space="preserve"> and cooling water section</w:t>
      </w:r>
      <w:r>
        <w:t>)</w:t>
      </w:r>
      <w:r w:rsidR="002E6BCA">
        <w:t xml:space="preserve"> of the </w:t>
      </w:r>
      <w:r>
        <w:t>biorefinery</w:t>
      </w:r>
      <w:r w:rsidR="002E6BCA">
        <w:t xml:space="preserve"> were estimated based on results from the literature </w:t>
      </w:r>
      <w:r w:rsidR="002E6BCA">
        <w:fldChar w:fldCharType="begin" w:fldLock="1"/>
      </w:r>
      <w:r w:rsidR="00082234">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Strategies","type":"chapter"},"uris":["http://www.mendeley.com/documents/?uuid=3822c37a-5055-30b4-9e49-1849f37c8aa7"]},{"id":"ITEM-2","itemData":{"DOI":"https://doi.org/10.1016/j.indcrop.2022.115788","author":[{"dropping-particle":"","family":"Leal Silva","given":"Jean Felipe","non-dropping-particle":"","parse-names":false,"suffix":""},{"dropping-particle":"","family":"Nakasu","given":"Pedro Y. S.","non-dropping-particle":"","parse-names":false,"suffix":""},{"dropping-particle":"da","family":"Costa","given":"Aline C.","non-dropping-particle":"","parse-names":false,"suffix":""},{"dropping-particle":"","family":"Maciel Filho","given":"Rubens","non-dropping-particle":"","parse-names":false,"suffix":""},{"dropping-particle":"","family":"Rabelo","given":"Sarita C.","non-dropping-particle":"","parse-names":false,"suffix":""}],"container-title":"Industrial Crops and Products","id":"ITEM-2","issue":"December 2022","issued":{"date-parts":[["2022"]]},"page":"115788","title":"Techno-economic Analysis of the Production of 2G Ethanol and Technical Lignin via a Protic Ionic Liquid Pretreatment of Sugarcane Bagasse","type":"article-journal","volume":"189"},"uris":["http://www.mendeley.com/documents/?uuid=bc02f8ac-adfa-4e46-b5f4-396de2483016"]}],"mendeley":{"formattedCitation":"(Dias et al., 2016; Leal Silva et al., 2022)","plainTextFormattedCitation":"(Dias et al., 2016; Leal Silva et al., 2022)","previouslyFormattedCitation":"(Dias et al., 2016; Leal Silva et al., 2022)"},"properties":{"noteIndex":0},"schema":"https://github.com/citation-style-language/schema/raw/master/csl-citation.json"}</w:instrText>
      </w:r>
      <w:r w:rsidR="002E6BCA">
        <w:fldChar w:fldCharType="separate"/>
      </w:r>
      <w:r w:rsidR="00A82EE2" w:rsidRPr="00A82EE2">
        <w:rPr>
          <w:noProof/>
        </w:rPr>
        <w:t>(Dias et al., 2016; Leal Silva et al., 2022)</w:t>
      </w:r>
      <w:r w:rsidR="002E6BCA">
        <w:fldChar w:fldCharType="end"/>
      </w:r>
      <w:r w:rsidR="002E6BCA">
        <w:t>.</w:t>
      </w:r>
      <w:r>
        <w:t xml:space="preserve"> Operational expenditure (OpEx) included </w:t>
      </w:r>
      <w:r w:rsidR="00AB3328">
        <w:t>cost with sugarcane ($21.0/t), straw ($28.9/t)</w:t>
      </w:r>
      <w:r w:rsidR="009B1301">
        <w:t>, additional inputs for ethanol production ($0.066/L</w:t>
      </w:r>
      <w:r w:rsidR="009B1301" w:rsidRPr="009B1301">
        <w:rPr>
          <w:vertAlign w:val="subscript"/>
        </w:rPr>
        <w:t>ethanol</w:t>
      </w:r>
      <w:r w:rsidR="009B1301">
        <w:t>), wastewater treatment ($0.222/m³</w:t>
      </w:r>
      <w:r w:rsidR="009B1301" w:rsidRPr="009B1301">
        <w:rPr>
          <w:vertAlign w:val="subscript"/>
        </w:rPr>
        <w:t>wastewater</w:t>
      </w:r>
      <w:r w:rsidR="009B1301">
        <w:t>), labor cost (average monthly wage of $1280), maintenance (3% of CapEx), and taxes (34% of net income according to Brazilian law)</w:t>
      </w:r>
      <w:r w:rsidR="00A82EE2">
        <w:t xml:space="preserve"> </w:t>
      </w:r>
      <w:r w:rsidR="00A82EE2">
        <w:fldChar w:fldCharType="begin" w:fldLock="1"/>
      </w:r>
      <w:r w:rsidR="003E6D05">
        <w:instrText>ADDIN CSL_CITATION {"citationItems":[{"id":"ITEM-1","itemData":{"URL":"http://comexstat.mdic.gov.br/en/home","accessed":{"date-parts":[["2023","2","16"]]},"author":[{"dropping-particle":"","family":"Brazilian Ministry of Economy","given":"","non-dropping-particle":"","parse-names":false,"suffix":""}],"container-title":"General Imports and Exports","id":"ITEM-1","issued":{"date-parts":[["2023","2","16"]]},"title":"Comex Stat","type":"webpage"},"uris":["http://www.mendeley.com/documents/?uuid=8d9bb6ca-cf6d-3e55-968f-3eadd201ca75"]},{"id":"ITEM-2","itemData":{"DOI":"10.1007/978-3-319-26045-7_7","author":[{"dropping-particle":"","family":"Dias","given":"Marina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-2","issued":{"date-parts":[["2016"]]},"page":"189-256","publisher":"Springer, Cham","title":"Use of the VSB to Assess Biorefinery Strategies","type":"chapter"},"uris":["http://www.mendeley.com/documents/?uuid=3822c37a-5055-30b4-9e49-1849f37c8aa7"]},{"id":"ITEM-3","itemData":{"abstract":"Utility estimates are often complicated because they depend on both inflation and energy costs. This simplified approach offers a two-factor utility cost equation and the relevant coefficients for a number of utilities.","author":[{"dropping-particle":"","family":"Ulrich","given":"Gael D.","non-dropping-particle":"","parse-names":false,"suffix":""},{"dropping-particle":"","family":"Vasudevan","given":"Palligarnai T.","non-dropping-particle":"","parse-names":false,"suffix":""}],"container-title":"Chemical Engineering","id":"ITEM-3","issued":{"date-parts":[["2006"]]},"page":"66-69","title":"How to Estimate Utility Costs","type":"article-journal","volume":"April"},"uris":["http://www.mendeley.com/documents/?uuid=5e0727df-34dc-3117-80bd-ae32fef63864"]},{"id":"ITEM-4","itemData":{"DOI":"10.3303/CET1869064","author":[{"dropping-particle":"","family":"Leal Silva","given":"J. F.","non-dropping-particle":"","parse-names":false,"suffix":""},{"dropping-particle":"","family":"Wolf Maciel","given":"Maria Regina","non-dropping-particle":"","parse-names":false,"suffix":""},{"dropping-particle":"","family":"Maciel Filho","given":"Rubens","non-dropping-particle":"","parse-names":false,"suffix":""}],"container-title":"Chemical Engineering transactions2","id":"ITEM-4","issued":{"date-parts":[["2018"]]},"page":"379-384","title":"Optimization of High Temperature Reactive Distillation for Production of Ethyl Levulinate","type":"article-journal","volume":"69"},"uris":["http://www.mendeley.com/documents/?uuid=3f2a8208-5272-4c1c-86c4-5260d7f1dc19"]},{"id":"ITEM-5","itemData":{"DOI":"10.1016/J.SPC.2022.05.013","ISSN":"2352-5509","abstract":"Bioenergy-livestock integrated systems (BLI) are a promising land-based option to meet future agricultural demands, while also alleviating pressure on land use and mitigating greenhouse gas (GHG) emission. However, their techno-economic feasibility and environmental implications are still unclear. This study performs a life cycle assessment and techno-economic assessment of key BLI systems in Brazil from a land management perspective. We considered pasture intensification options and use of biofuels by-products as animal feed supplement to release pasture area for additional crop production. BLI presents higher techno-economic feasibility compared to conventional systems, reducing payback time by almost half, and resulting in a five-fold increased net present value to initial investment ratio. The potential to avoid GHG emissions per hectare (replacing fossil fuels) is about two times higher in BLI than conventional system, mostly due to the possibility of producing more outputs using less area. Sugarcane ethanol produced under BLI scenarios outperformed conventional systems in eight out of nine addressed Sustainable Development Goals (SDGs), mainly because of the use of manure on sugarcane fields and use of bagasse as animal feed. Crops production to feed cattle in feedlots can increase acidification and eutrophication impacts, negatively influencing the meat production scores on SDG 2: Zero Hunger, 6: Clean Water and Sanitation, and 14: Life Below Water, for example. Conversely, meat produced in feedlots resulted in lower impacts on air quality and increased GHG mitigation, mostly due to shorter cycle duration, with better scores in SDG 11: Sustainable Cities and Communities and 13: Climate Action. These results might help to guide an enhanced integration of biofuels and livestock sectors in Brazil. BLI systems are expected to contribute to the achievement of climate mitigation targets while also reaching many of the SDGs and remaining techno-economically feasible.","author":[{"dropping-particle":"de","family":"Souza","given":"Nariê Rinke Dias","non-dropping-particle":"","parse-names":false,"suffix":""},{"dropping-particle":"","family":"Cavalett","given":"Otávio","non-dropping-particle":"","parse-names":false,"suffix":""},{"dropping-particle":"","family":"Junqueira","given":"Tassia Lopes","non-dropping-particle":"","parse-names":false,"suffix":""}],"container-title":"Sustainable Production and Consumption","id":"ITEM-5","issued":{"date-parts":[["2022","7","1"]]},"page":"580-592","publisher":"Elsevier","title":"Techno-economic and environmental assessment of bioenergy and livestock integrated systems in Brazil","type":"article-journal","volume":"32"},"uris":["http://www.mendeley.com/documents/?uuid=b7a5b180-24bc-320c-84b4-3353ab382890"]}],"mendeley":{"formattedCitation":"(Brazilian Ministry of Economy, 2023; Dias et al., 2016; Leal Silva et al., 2018; Souza et al., 2022; Ulrich and Vasudevan, 2006)","plainTextFormattedCitation":"(Brazilian Ministry of Economy, 2023; Dias et al., 2016; Leal Silva et al., 2018; Souza et al., 2022; Ulrich and Vasudevan, 2006)","previouslyFormattedCitation":"(Brazilian Ministry of Economy, 2023; Dias et al., 2016; Leal Silva et al., 2018; Souza et al., 2022; Ulrich and Vasudevan, 2006)"},"properties":{"noteIndex":0},"schema":"https://github.com/citation-style-language/schema/raw/master/csl-citation.json"}</w:instrText>
      </w:r>
      <w:r w:rsidR="00A82EE2">
        <w:fldChar w:fldCharType="separate"/>
      </w:r>
      <w:r w:rsidR="003E6D05" w:rsidRPr="003E6D05">
        <w:rPr>
          <w:noProof/>
        </w:rPr>
        <w:t>(Brazilian Ministry of Economy, 2023; Dias et al., 2016; Leal Silva et al., 2018; Souza et al., 2022; Ulrich and Vasudevan, 2006)</w:t>
      </w:r>
      <w:r w:rsidR="00A82EE2">
        <w:fldChar w:fldCharType="end"/>
      </w:r>
      <w:r w:rsidR="009B1301">
        <w:t xml:space="preserve">. Revenue </w:t>
      </w:r>
      <w:r w:rsidR="00A82EE2">
        <w:t>was</w:t>
      </w:r>
      <w:r w:rsidR="009B1301">
        <w:t xml:space="preserve"> obtained by selling </w:t>
      </w:r>
      <w:r w:rsidR="00A82EE2">
        <w:t>ethanol (</w:t>
      </w:r>
      <w:r w:rsidR="005E09EF">
        <w:t xml:space="preserve">in </w:t>
      </w:r>
      <w:r w:rsidR="00A82EE2">
        <w:t>scenario ET-0, $810/t), acetaldehyde (</w:t>
      </w:r>
      <w:r w:rsidR="005E09EF">
        <w:t xml:space="preserve">in all </w:t>
      </w:r>
      <w:r w:rsidR="00A82EE2">
        <w:t>other scenarios, $</w:t>
      </w:r>
      <w:r w:rsidR="00110015">
        <w:t>1010</w:t>
      </w:r>
      <w:r w:rsidR="00A82EE2">
        <w:t>/t), and electricity (</w:t>
      </w:r>
      <w:r w:rsidR="005E09EF">
        <w:t xml:space="preserve">in all scenarios, </w:t>
      </w:r>
      <w:r w:rsidR="00A82EE2">
        <w:t xml:space="preserve">$48.1/MWh). Linear depreciation was assumed, and a project lifetime of 30 years was chosen, with </w:t>
      </w:r>
      <w:r w:rsidR="00CC7DC7">
        <w:t xml:space="preserve">a </w:t>
      </w:r>
      <w:r w:rsidR="00A82EE2">
        <w:t xml:space="preserve">catalyst service time of 10 years. Economic parameters suitable for the sugarcane sector in Brazil were based on previous literature </w:t>
      </w:r>
      <w:r w:rsidR="00A82EE2">
        <w:fldChar w:fldCharType="begin" w:fldLock="1"/>
      </w:r>
      <w:r w:rsidR="00082234">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Strategies","type":"chapter"},"uris":["http://www.mendeley.com/documents/?uuid=3822c37a-5055-30b4-9e49-1849f37c8aa7"]}],"mendeley":{"formattedCitation":"(Dias et al., 2016)","plainTextFormattedCitation":"(Dias et al., 2016)","previouslyFormattedCitation":"(Dias et al., 2016)"},"properties":{"noteIndex":0},"schema":"https://github.com/citation-style-language/schema/raw/master/csl-citation.json"}</w:instrText>
      </w:r>
      <w:r w:rsidR="00A82EE2">
        <w:fldChar w:fldCharType="separate"/>
      </w:r>
      <w:r w:rsidR="00A82EE2" w:rsidRPr="00A82EE2">
        <w:rPr>
          <w:noProof/>
        </w:rPr>
        <w:t>(Dias et al., 2016)</w:t>
      </w:r>
      <w:r w:rsidR="00A82EE2">
        <w:fldChar w:fldCharType="end"/>
      </w:r>
      <w:r w:rsidR="00A82EE2">
        <w:t>. The results of CapEx and OpEx were then combined in a cash</w:t>
      </w:r>
      <w:r w:rsidR="00CC7DC7">
        <w:t xml:space="preserve"> </w:t>
      </w:r>
      <w:r w:rsidR="00A82EE2">
        <w:t xml:space="preserve">flow analysis to calculate the internal rate of return of </w:t>
      </w:r>
      <w:r w:rsidR="005E09EF">
        <w:t>each</w:t>
      </w:r>
      <w:r w:rsidR="00A82EE2">
        <w:t xml:space="preserve"> biorefinery </w:t>
      </w:r>
      <w:r w:rsidR="005E09EF">
        <w:t>scenario</w:t>
      </w:r>
      <w:r w:rsidR="00A82EE2">
        <w:t>.</w:t>
      </w:r>
    </w:p>
    <w:p w14:paraId="20ABC5AF" w14:textId="6AC58071" w:rsidR="00A82EE2" w:rsidRDefault="00A82EE2" w:rsidP="00600535">
      <w:pPr>
        <w:pStyle w:val="CETBodytext"/>
      </w:pPr>
      <w:r>
        <w:t xml:space="preserve">Life cycle assessment </w:t>
      </w:r>
      <w:r w:rsidR="00082234">
        <w:t xml:space="preserve">(LCA) </w:t>
      </w:r>
      <w:r>
        <w:t xml:space="preserve">was performed for the scenario </w:t>
      </w:r>
      <w:r w:rsidR="005E09EF">
        <w:t xml:space="preserve">producing acetaldehyde </w:t>
      </w:r>
      <w:r>
        <w:t xml:space="preserve">with the best internal rate of return. </w:t>
      </w:r>
      <w:r w:rsidR="00082234">
        <w:t>The study considered a cradle-to-gate attributional LCA</w:t>
      </w:r>
      <w:r w:rsidR="006E2582">
        <w:t xml:space="preserve"> with </w:t>
      </w:r>
      <w:r w:rsidR="005E09EF">
        <w:t xml:space="preserve">the </w:t>
      </w:r>
      <w:r w:rsidR="006E2582">
        <w:t>system boundary defined in Figure 2.</w:t>
      </w:r>
      <w:r w:rsidR="00082234">
        <w:t xml:space="preserve"> </w:t>
      </w:r>
      <w:r w:rsidR="006E2582">
        <w:t>T</w:t>
      </w:r>
      <w:r w:rsidR="00082234">
        <w:t xml:space="preserve">he goal </w:t>
      </w:r>
      <w:r w:rsidR="006E2582">
        <w:t>was</w:t>
      </w:r>
      <w:r w:rsidR="00082234">
        <w:t xml:space="preserve"> to determine the carbon footprint of 1 kg of acetaldehyde as the functional unit. Emissions were allocated based on the revenues of the biorefinery</w:t>
      </w:r>
      <w:r w:rsidR="005E09EF">
        <w:t xml:space="preserve"> because electricity is a product as well and it is incompatible with the functional unit of mass</w:t>
      </w:r>
      <w:r w:rsidR="00082234">
        <w:t>. Feedstock was assumed to be sugarcane produced in the state of São Paulo, Brazil, according to data available in the Ecoinvent database 3.8 (Ecoinvent</w:t>
      </w:r>
      <w:r w:rsidR="003D648C">
        <w:t xml:space="preserve"> </w:t>
      </w:r>
      <w:r w:rsidR="003D648C" w:rsidRPr="003D648C">
        <w:t>Associa</w:t>
      </w:r>
      <w:r w:rsidR="0069574D">
        <w:t>ti</w:t>
      </w:r>
      <w:r w:rsidR="003D648C" w:rsidRPr="003D648C">
        <w:t>on</w:t>
      </w:r>
      <w:r w:rsidR="00082234">
        <w:t xml:space="preserve">, </w:t>
      </w:r>
      <w:r w:rsidR="003D648C">
        <w:t>2021, Zurich, Switzerland</w:t>
      </w:r>
      <w:r w:rsidR="00082234">
        <w:t xml:space="preserve">). Additional process inputs were included as well </w:t>
      </w:r>
      <w:r w:rsidR="00082234">
        <w:fldChar w:fldCharType="begin" w:fldLock="1"/>
      </w:r>
      <w:r w:rsidR="00020FC7">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Strategies","type":"chapter"},"uris":["http://www.mendeley.com/documents/?uuid=3822c37a-5055-30b4-9e49-1849f37c8aa7"]},{"id":"ITEM-2","itemData":{"DOI":"10.1016/J.SPC.2022.05.013","ISSN":"2352-5509","abstract":"Bioenergy-livestock integrated systems (BLI) are a promising land-based option to meet future agricultural demands, while also alleviating pressure on land use and mitigating greenhouse gas (GHG) emission. However, their techno-economic feasibility and environmental implications are still unclear. This study performs a life cycle assessment and techno-economic assessment of key BLI systems in Brazil from a land management perspective. We considered pasture intensification options and use of biofuels by-products as animal feed supplement to release pasture area for additional crop production. BLI presents higher techno-economic feasibility compared to conventional systems, reducing payback time by almost half, and resulting in a five-fold increased net present value to initial investment ratio. The potential to avoid GHG emissions per hectare (replacing fossil fuels) is about two times higher in BLI than conventional system, mostly due to the possibility of producing more outputs using less area. Sugarcane ethanol produced under BLI scenarios outperformed conventional systems in eight out of nine addressed Sustainable Development Goals (SDGs), mainly because of the use of manure on sugarcane fields and use of bagasse as animal feed. Crops production to feed cattle in feedlots can increase acidification and eutrophication impacts, negatively influencing the meat production scores on SDG 2: Zero Hunger, 6: Clean Water and Sanitation, and 14: Life Below Water, for example. Conversely, meat produced in feedlots resulted in lower impacts on air quality and increased GHG mitigation, mostly due to shorter cycle duration, with better scores in SDG 11: Sustainable Cities and Communities and 13: Climate Action. These results might help to guide an enhanced integration of biofuels and livestock sectors in Brazil. BLI systems are expected to contribute to the achievement of climate mitigation targets while also reaching many of the SDGs and remaining techno-economically feasible.","author":[{"dropping-particle":"de","family":"Souza","given":"Nariê Rinke Dias","non-dropping-particle":"","parse-names":false,"suffix":""},{"dropping-particle":"","family":"Cavalett","given":"Otávio","non-dropping-particle":"","parse-names":false,"suffix":""},{"dropping-particle":"","family":"Junqueira","given":"Tassia Lopes","non-dropping-particle":"","parse-names":false,"suffix":""}],"container-title":"Sustainable Production and Consumption","id":"ITEM-2","issued":{"date-parts":[["2022","7","1"]]},"page":"580-592","publisher":"Elsevier","title":"Techno-economic and environmental assessment of bioenergy and livestock integrated systems in Brazil","type":"article-journal","volume":"32"},"uris":["http://www.mendeley.com/documents/?uuid=b7a5b180-24bc-320c-84b4-3353ab382890"]}],"mendeley":{"formattedCitation":"(Dias et al., 2016; Souza et al., 2022)","plainTextFormattedCitation":"(Dias et al., 2016; Souza et al., 2022)","previouslyFormattedCitation":"(Dias et al., 2016)"},"properties":{"noteIndex":0},"schema":"https://github.com/citation-style-language/schema/raw/master/csl-citation.json"}</w:instrText>
      </w:r>
      <w:r w:rsidR="00082234">
        <w:fldChar w:fldCharType="separate"/>
      </w:r>
      <w:r w:rsidR="00020FC7" w:rsidRPr="00020FC7">
        <w:rPr>
          <w:noProof/>
        </w:rPr>
        <w:t>(Dias et al., 2016; Souza et al., 2022)</w:t>
      </w:r>
      <w:r w:rsidR="00082234">
        <w:fldChar w:fldCharType="end"/>
      </w:r>
      <w:r w:rsidR="00082234">
        <w:t xml:space="preserve">. </w:t>
      </w:r>
      <w:r w:rsidR="00CC7DC7">
        <w:t>The a</w:t>
      </w:r>
      <w:r w:rsidR="00082234">
        <w:t xml:space="preserve">ssessment was </w:t>
      </w:r>
      <w:r w:rsidR="006D77DF">
        <w:t>conducted</w:t>
      </w:r>
      <w:r w:rsidR="00082234">
        <w:t xml:space="preserve"> using the </w:t>
      </w:r>
      <w:r w:rsidR="00082234" w:rsidRPr="00082234">
        <w:t>ReCiPe 2016 midpoint hierarchist method</w:t>
      </w:r>
      <w:r w:rsidR="00082234">
        <w:t xml:space="preserve"> implemented on openLCA 1.11.0 (GreenDelta</w:t>
      </w:r>
      <w:r w:rsidR="003D648C">
        <w:t xml:space="preserve"> </w:t>
      </w:r>
      <w:r w:rsidR="003D648C" w:rsidRPr="003D648C">
        <w:t>GmbH</w:t>
      </w:r>
      <w:r w:rsidR="00082234">
        <w:t>, 2022</w:t>
      </w:r>
      <w:r w:rsidR="003D648C">
        <w:t>,</w:t>
      </w:r>
      <w:r w:rsidR="003D648C" w:rsidRPr="003D648C">
        <w:t xml:space="preserve"> </w:t>
      </w:r>
      <w:r w:rsidR="003D648C">
        <w:t>Berlin, Germany</w:t>
      </w:r>
      <w:r w:rsidR="00082234">
        <w:t>).</w:t>
      </w:r>
    </w:p>
    <w:p w14:paraId="616318C6" w14:textId="77777777" w:rsidR="006E2582" w:rsidRDefault="006E2582" w:rsidP="00600535">
      <w:pPr>
        <w:pStyle w:val="CETBodytext"/>
      </w:pPr>
    </w:p>
    <w:p w14:paraId="45A5423F" w14:textId="326B5DAA" w:rsidR="006E2582" w:rsidRDefault="006E2582" w:rsidP="00600535">
      <w:pPr>
        <w:pStyle w:val="CETBodytext"/>
      </w:pPr>
      <w:r>
        <w:rPr>
          <w:noProof/>
        </w:rPr>
        <w:drawing>
          <wp:inline distT="0" distB="0" distL="0" distR="0" wp14:anchorId="502FF218" wp14:editId="551E82E9">
            <wp:extent cx="5401831" cy="1350458"/>
            <wp:effectExtent l="0" t="0" r="0" b="2540"/>
            <wp:docPr id="1184483973" name="Picture 10"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83973" name="Picture 10" descr="A green square with whit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891" cy="1353723"/>
                    </a:xfrm>
                    <a:prstGeom prst="rect">
                      <a:avLst/>
                    </a:prstGeom>
                    <a:noFill/>
                    <a:ln>
                      <a:noFill/>
                    </a:ln>
                  </pic:spPr>
                </pic:pic>
              </a:graphicData>
            </a:graphic>
          </wp:inline>
        </w:drawing>
      </w:r>
    </w:p>
    <w:p w14:paraId="58F3ECF7" w14:textId="5E23CF07" w:rsidR="006E2582" w:rsidRPr="008D0834" w:rsidRDefault="006E2582" w:rsidP="006E2582">
      <w:pPr>
        <w:pStyle w:val="CETCaption"/>
        <w:rPr>
          <w:lang w:val="en-US"/>
        </w:rPr>
      </w:pPr>
      <w:r w:rsidRPr="008D0834">
        <w:rPr>
          <w:rStyle w:val="CETCaptionCarattere"/>
          <w:i/>
          <w:lang w:val="en-US"/>
        </w:rPr>
        <w:t xml:space="preserve">Figure </w:t>
      </w:r>
      <w:r>
        <w:rPr>
          <w:rStyle w:val="CETCaptionCarattere"/>
          <w:i/>
          <w:lang w:val="en-US"/>
        </w:rPr>
        <w:t>2</w:t>
      </w:r>
      <w:r w:rsidRPr="008D0834">
        <w:rPr>
          <w:rStyle w:val="CETCaptionCarattere"/>
          <w:i/>
          <w:lang w:val="en-US"/>
        </w:rPr>
        <w:t xml:space="preserve">: </w:t>
      </w:r>
      <w:r w:rsidR="003D648C">
        <w:rPr>
          <w:rStyle w:val="CETCaptionCarattere"/>
          <w:i/>
          <w:lang w:val="en-US"/>
        </w:rPr>
        <w:t>S</w:t>
      </w:r>
      <w:r>
        <w:rPr>
          <w:rStyle w:val="CETCaptionCarattere"/>
          <w:i/>
          <w:lang w:val="en-US"/>
        </w:rPr>
        <w:t>ystem boundary considered in the life cycle assessment of the biorefinery.</w:t>
      </w:r>
    </w:p>
    <w:p w14:paraId="17690116" w14:textId="66A1C464" w:rsidR="007A1EA3" w:rsidRPr="008D0834" w:rsidRDefault="007A1EA3" w:rsidP="007A1EA3">
      <w:pPr>
        <w:pStyle w:val="CETHeading1"/>
      </w:pPr>
      <w:r w:rsidRPr="008D0834">
        <w:lastRenderedPageBreak/>
        <w:t>Results and Discussion</w:t>
      </w:r>
    </w:p>
    <w:p w14:paraId="5603D5C6" w14:textId="69084AA7" w:rsidR="007A1EA3" w:rsidRDefault="00887901" w:rsidP="00600535">
      <w:pPr>
        <w:pStyle w:val="CETBodytext"/>
      </w:pPr>
      <w:r>
        <w:t xml:space="preserve">Figure </w:t>
      </w:r>
      <w:r w:rsidR="006E2582">
        <w:t>3</w:t>
      </w:r>
      <w:r w:rsidR="00110015">
        <w:t>a</w:t>
      </w:r>
      <w:r>
        <w:t xml:space="preserve"> show</w:t>
      </w:r>
      <w:r w:rsidR="00A86AD8">
        <w:t>s</w:t>
      </w:r>
      <w:r>
        <w:t xml:space="preserve"> the composition of the CapEx of each biorefinery scenario. Cogeneration of heat and power is the biggest contributor </w:t>
      </w:r>
      <w:r w:rsidR="00110015">
        <w:t xml:space="preserve">to the total CapEx of the biorefinery </w:t>
      </w:r>
      <w:r>
        <w:t xml:space="preserve">because </w:t>
      </w:r>
      <w:r w:rsidR="00A86AD8">
        <w:t xml:space="preserve">no other use was given to </w:t>
      </w:r>
      <w:r w:rsidR="00110015">
        <w:t xml:space="preserve">the sugarcane </w:t>
      </w:r>
      <w:r w:rsidR="00A86AD8">
        <w:t xml:space="preserve">bagasse except for burning to produce steam and electricity. As such, it represents </w:t>
      </w:r>
      <w:r w:rsidR="00110015">
        <w:t>48%</w:t>
      </w:r>
      <w:r w:rsidR="00760D23">
        <w:t xml:space="preserve"> to </w:t>
      </w:r>
      <w:r w:rsidR="000A41FC">
        <w:t>49</w:t>
      </w:r>
      <w:r w:rsidR="00A86AD8">
        <w:t>% of the total CapEx of each scenario</w:t>
      </w:r>
      <w:r w:rsidR="00760D23">
        <w:t xml:space="preserve"> producing acetaldehyde</w:t>
      </w:r>
      <w:r w:rsidR="00A86AD8">
        <w:t>. Electricity is a biorefinery product of low value</w:t>
      </w:r>
      <w:r w:rsidR="00B036CF">
        <w:t>-</w:t>
      </w:r>
      <w:r w:rsidR="00A86AD8">
        <w:t>added. In this case, condensing turbines are employed to maximize electricity production, which is then sold to the grid</w:t>
      </w:r>
      <w:r w:rsidR="00760D23">
        <w:t>, and these turbines are costlier than backpressure turbines</w:t>
      </w:r>
      <w:r w:rsidR="00110015">
        <w:t xml:space="preserve"> that could be used otherwise</w:t>
      </w:r>
      <w:r w:rsidR="00020FC7">
        <w:t xml:space="preserve"> if no excess steam was produced</w:t>
      </w:r>
      <w:r w:rsidR="00A86AD8">
        <w:t>.</w:t>
      </w:r>
      <w:r w:rsidR="00C34C00">
        <w:t xml:space="preserve"> </w:t>
      </w:r>
      <w:r w:rsidR="00A86AD8">
        <w:t xml:space="preserve">The acetaldehyde process has a large electricity demand because of the </w:t>
      </w:r>
      <w:r w:rsidR="00760D23">
        <w:t xml:space="preserve">compressors employed in the recovery process: the electricity demand of the total process (sugarcane extraction, ethanol production, and acetaldehyde production) increases </w:t>
      </w:r>
      <w:r w:rsidR="00020FC7">
        <w:t>sharply depending on recovery conditions, from +</w:t>
      </w:r>
      <w:r w:rsidR="00760D23">
        <w:t xml:space="preserve">57% to </w:t>
      </w:r>
      <w:r w:rsidR="00020FC7">
        <w:t>+</w:t>
      </w:r>
      <w:r w:rsidR="00760D23">
        <w:t>154% compared to the base scenario (0-ET).</w:t>
      </w:r>
      <w:r w:rsidR="00110015">
        <w:t xml:space="preserve"> The integration </w:t>
      </w:r>
      <w:r w:rsidR="00CC7DC7">
        <w:t>in</w:t>
      </w:r>
      <w:r w:rsidR="00110015">
        <w:t>to the biorefinery means that electricity is produced onsite at a reduced cost, which is fundamental to ensur</w:t>
      </w:r>
      <w:r w:rsidR="00CC7DC7">
        <w:t>ing</w:t>
      </w:r>
      <w:r w:rsidR="00110015">
        <w:t xml:space="preserve"> the economic feasibility of the process.</w:t>
      </w:r>
    </w:p>
    <w:p w14:paraId="603B8B76" w14:textId="77777777" w:rsidR="00082234" w:rsidRDefault="00082234" w:rsidP="00600535">
      <w:pPr>
        <w:pStyle w:val="CETBodytext"/>
      </w:pPr>
    </w:p>
    <w:p w14:paraId="1BB39324" w14:textId="2EC19C4D" w:rsidR="00082234" w:rsidRDefault="006E2582" w:rsidP="00600535">
      <w:pPr>
        <w:pStyle w:val="CETBodytext"/>
      </w:pPr>
      <w:r>
        <w:rPr>
          <w:noProof/>
        </w:rPr>
        <w:drawing>
          <wp:inline distT="0" distB="0" distL="0" distR="0" wp14:anchorId="5B931632" wp14:editId="3407EAA5">
            <wp:extent cx="5486400" cy="4114800"/>
            <wp:effectExtent l="0" t="0" r="0" b="0"/>
            <wp:docPr id="271279973" name="Picture 1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79973" name="Picture 11" descr="A graph of different colored bar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1DC0376" w14:textId="618F8EDA" w:rsidR="00082234" w:rsidRPr="008D0834" w:rsidRDefault="00082234" w:rsidP="00082234">
      <w:pPr>
        <w:pStyle w:val="CETCaption"/>
        <w:rPr>
          <w:lang w:val="en-US"/>
        </w:rPr>
      </w:pPr>
      <w:r w:rsidRPr="008D0834">
        <w:rPr>
          <w:rStyle w:val="CETCaptionCarattere"/>
          <w:i/>
          <w:lang w:val="en-US"/>
        </w:rPr>
        <w:t xml:space="preserve">Figure </w:t>
      </w:r>
      <w:r w:rsidR="006E2582">
        <w:rPr>
          <w:rStyle w:val="CETCaptionCarattere"/>
          <w:i/>
          <w:lang w:val="en-US"/>
        </w:rPr>
        <w:t>3</w:t>
      </w:r>
      <w:r w:rsidRPr="008D0834">
        <w:rPr>
          <w:rStyle w:val="CETCaptionCarattere"/>
          <w:i/>
          <w:lang w:val="en-US"/>
        </w:rPr>
        <w:t xml:space="preserve">: </w:t>
      </w:r>
      <w:r>
        <w:rPr>
          <w:rStyle w:val="CETCaptionCarattere"/>
          <w:i/>
          <w:lang w:val="en-US"/>
        </w:rPr>
        <w:t>a) CapEx composition of each biorefinery scenario</w:t>
      </w:r>
      <w:r w:rsidR="00534B61">
        <w:rPr>
          <w:rStyle w:val="CETCaptionCarattere"/>
          <w:i/>
          <w:lang w:val="en-US"/>
        </w:rPr>
        <w:t>, including the base case ET-0</w:t>
      </w:r>
      <w:r w:rsidR="00CC7DC7">
        <w:rPr>
          <w:rStyle w:val="CETCaptionCarattere"/>
          <w:i/>
          <w:lang w:val="en-US"/>
        </w:rPr>
        <w:t>,</w:t>
      </w:r>
      <w:r>
        <w:rPr>
          <w:rStyle w:val="CETCaptionCarattere"/>
          <w:i/>
          <w:lang w:val="en-US"/>
        </w:rPr>
        <w:t xml:space="preserve"> and b) CapEx composition of the acetaldehyde plant.</w:t>
      </w:r>
    </w:p>
    <w:p w14:paraId="5565E5E6" w14:textId="2CB1080C" w:rsidR="006E2582" w:rsidRDefault="006E2582" w:rsidP="006E2582">
      <w:pPr>
        <w:pStyle w:val="CETBodytext"/>
      </w:pPr>
      <w:r>
        <w:t xml:space="preserve">The acetaldehyde plant is fairly inexpensive compared to the total CapEx of the biorefinery, ranging from 8% to 10%. The major contributor to the CapEx of the acetaldehyde plant is the absorption step, mainly because of the compressors required to deliver the gas stream at the pressure required by the absorber. Figure </w:t>
      </w:r>
      <w:r w:rsidR="00480874">
        <w:t>3</w:t>
      </w:r>
      <w:r>
        <w:t>b shows the composition of the CapEx of the acetaldehyde plant, and it is possible to observe that the share of the absorption step increases as the amount of excess air being used increases (higher O</w:t>
      </w:r>
      <w:r w:rsidRPr="00110015">
        <w:rPr>
          <w:vertAlign w:val="subscript"/>
        </w:rPr>
        <w:t>2</w:t>
      </w:r>
      <w:r>
        <w:t xml:space="preserve"> to ethanol molar ratio, scenarios A3-x </w:t>
      </w:r>
      <w:r w:rsidRPr="00110015">
        <w:rPr>
          <w:i/>
          <w:iCs/>
        </w:rPr>
        <w:t>vs.</w:t>
      </w:r>
      <w:r>
        <w:t xml:space="preserve"> A6-x </w:t>
      </w:r>
      <w:r w:rsidRPr="00110015">
        <w:rPr>
          <w:i/>
          <w:iCs/>
        </w:rPr>
        <w:t>vs.</w:t>
      </w:r>
      <w:r>
        <w:t xml:space="preserve"> A9-x) or as the operating pressure of the absorber increases for each given O</w:t>
      </w:r>
      <w:r w:rsidRPr="00110015">
        <w:rPr>
          <w:vertAlign w:val="subscript"/>
        </w:rPr>
        <w:t>2</w:t>
      </w:r>
      <w:r>
        <w:t xml:space="preserve"> to ethanol molar ratio (variations -1, -2, -3, or -4 for each A3-x, A6-x, or A9-x). Additionally, as the excess gas increases, conversion increases, and less ethanol is recycled. Therefore, the capital cost associated with ethanol distillation decreases as the ratio of O</w:t>
      </w:r>
      <w:r w:rsidRPr="00534B61">
        <w:rPr>
          <w:vertAlign w:val="subscript"/>
        </w:rPr>
        <w:t>2</w:t>
      </w:r>
      <w:r>
        <w:t xml:space="preserve"> to ethanol increases. Also, as the pressure increases, the amount of water required in the </w:t>
      </w:r>
      <w:r w:rsidR="00020FC7">
        <w:t xml:space="preserve">gas </w:t>
      </w:r>
      <w:r>
        <w:t>absorber decreases, which decreases the capital cost associated with water recycling inside the acetaldehyde plant. Therefore, in the graph of Figure 3b, the capital cost of the distillation section of the acetaldehyde plant gradually decreases</w:t>
      </w:r>
      <w:r w:rsidR="00020FC7">
        <w:t xml:space="preserve"> from left to right</w:t>
      </w:r>
      <w:r>
        <w:t>.</w:t>
      </w:r>
    </w:p>
    <w:p w14:paraId="34BEA314" w14:textId="1BEBDFC6" w:rsidR="00534B61" w:rsidRDefault="00534B61" w:rsidP="00534B61">
      <w:pPr>
        <w:pStyle w:val="CETBodytext"/>
        <w:rPr>
          <w:rStyle w:val="CETCaptionCarattere"/>
          <w:i w:val="0"/>
          <w:lang w:val="en-US"/>
        </w:rPr>
      </w:pPr>
      <w:r>
        <w:lastRenderedPageBreak/>
        <w:t xml:space="preserve">Figure </w:t>
      </w:r>
      <w:r w:rsidR="006E2582">
        <w:t>4</w:t>
      </w:r>
      <w:r>
        <w:t xml:space="preserve">a shows the calculated internal rate of return of </w:t>
      </w:r>
      <w:r w:rsidR="006E2582">
        <w:t>all</w:t>
      </w:r>
      <w:r>
        <w:t xml:space="preserve"> scenarios producing acetaldehyde. The results indicate that the best scenario is the one with an </w:t>
      </w:r>
      <w:r>
        <w:rPr>
          <w:rStyle w:val="CETCaptionCarattere"/>
          <w:i w:val="0"/>
          <w:lang w:val="en-US"/>
        </w:rPr>
        <w:t>O</w:t>
      </w:r>
      <w:r w:rsidRPr="00534B61">
        <w:rPr>
          <w:rStyle w:val="CETCaptionCarattere"/>
          <w:i w:val="0"/>
          <w:vertAlign w:val="subscript"/>
          <w:lang w:val="en-US"/>
        </w:rPr>
        <w:t>2</w:t>
      </w:r>
      <w:r>
        <w:rPr>
          <w:rStyle w:val="CETCaptionCarattere"/>
          <w:i w:val="0"/>
          <w:lang w:val="en-US"/>
        </w:rPr>
        <w:t xml:space="preserve"> to ethanol molar ratio of 6.</w:t>
      </w:r>
      <w:r w:rsidR="00035C10">
        <w:rPr>
          <w:rStyle w:val="CETCaptionCarattere"/>
          <w:i w:val="0"/>
          <w:lang w:val="en-US"/>
        </w:rPr>
        <w:t>1</w:t>
      </w:r>
      <w:r>
        <w:rPr>
          <w:rStyle w:val="CETCaptionCarattere"/>
          <w:i w:val="0"/>
          <w:lang w:val="en-US"/>
        </w:rPr>
        <w:t xml:space="preserve"> whose acetaldehyde is recovered on a</w:t>
      </w:r>
      <w:r w:rsidR="00020FC7">
        <w:rPr>
          <w:rStyle w:val="CETCaptionCarattere"/>
          <w:i w:val="0"/>
          <w:lang w:val="en-US"/>
        </w:rPr>
        <w:t xml:space="preserve"> gas</w:t>
      </w:r>
      <w:r>
        <w:rPr>
          <w:rStyle w:val="CETCaptionCarattere"/>
          <w:i w:val="0"/>
          <w:lang w:val="en-US"/>
        </w:rPr>
        <w:t xml:space="preserve"> absorber working at 5.0 bar</w:t>
      </w:r>
      <w:r w:rsidR="000A41FC">
        <w:rPr>
          <w:rStyle w:val="CETCaptionCarattere"/>
          <w:i w:val="0"/>
          <w:lang w:val="en-US"/>
        </w:rPr>
        <w:t xml:space="preserve"> (scenario A6-2)</w:t>
      </w:r>
      <w:r>
        <w:rPr>
          <w:rStyle w:val="CETCaptionCarattere"/>
          <w:i w:val="0"/>
          <w:lang w:val="en-US"/>
        </w:rPr>
        <w:t xml:space="preserve">. In this scenario, single pass conversion </w:t>
      </w:r>
      <w:r w:rsidR="00C7142F">
        <w:rPr>
          <w:rStyle w:val="CETCaptionCarattere"/>
          <w:i w:val="0"/>
          <w:lang w:val="en-US"/>
        </w:rPr>
        <w:t xml:space="preserve">is only 62.78%. However, </w:t>
      </w:r>
      <w:r w:rsidR="00020FC7">
        <w:rPr>
          <w:rStyle w:val="CETCaptionCarattere"/>
          <w:i w:val="0"/>
          <w:lang w:val="en-US"/>
        </w:rPr>
        <w:t xml:space="preserve">the additional </w:t>
      </w:r>
      <w:r w:rsidR="00C7142F">
        <w:rPr>
          <w:rStyle w:val="CETCaptionCarattere"/>
          <w:i w:val="0"/>
          <w:lang w:val="en-US"/>
        </w:rPr>
        <w:t xml:space="preserve">recycling </w:t>
      </w:r>
      <w:r w:rsidR="0069574D">
        <w:rPr>
          <w:rStyle w:val="CETCaptionCarattere"/>
          <w:i w:val="0"/>
          <w:lang w:val="en-US"/>
        </w:rPr>
        <w:t xml:space="preserve">of </w:t>
      </w:r>
      <w:r w:rsidR="00C7142F">
        <w:rPr>
          <w:rStyle w:val="CETCaptionCarattere"/>
          <w:i w:val="0"/>
          <w:lang w:val="en-US"/>
        </w:rPr>
        <w:t xml:space="preserve">ethanol is more economically </w:t>
      </w:r>
      <w:r w:rsidR="00020FC7">
        <w:rPr>
          <w:rStyle w:val="CETCaptionCarattere"/>
          <w:i w:val="0"/>
          <w:lang w:val="en-US"/>
        </w:rPr>
        <w:t>attractive</w:t>
      </w:r>
      <w:r w:rsidR="00C7142F">
        <w:rPr>
          <w:rStyle w:val="CETCaptionCarattere"/>
          <w:i w:val="0"/>
          <w:lang w:val="en-US"/>
        </w:rPr>
        <w:t xml:space="preserve"> than working with a larger excess of O</w:t>
      </w:r>
      <w:r w:rsidR="00C7142F" w:rsidRPr="00C7142F">
        <w:rPr>
          <w:rStyle w:val="CETCaptionCarattere"/>
          <w:i w:val="0"/>
          <w:vertAlign w:val="subscript"/>
          <w:lang w:val="en-US"/>
        </w:rPr>
        <w:t>2</w:t>
      </w:r>
      <w:r w:rsidR="00C7142F">
        <w:rPr>
          <w:rStyle w:val="CETCaptionCarattere"/>
          <w:i w:val="0"/>
          <w:lang w:val="en-US"/>
        </w:rPr>
        <w:t xml:space="preserve"> or a greater pressure in the </w:t>
      </w:r>
      <w:r w:rsidR="00020FC7">
        <w:rPr>
          <w:rStyle w:val="CETCaptionCarattere"/>
          <w:i w:val="0"/>
          <w:lang w:val="en-US"/>
        </w:rPr>
        <w:t xml:space="preserve">gas </w:t>
      </w:r>
      <w:r w:rsidR="00C7142F">
        <w:rPr>
          <w:rStyle w:val="CETCaptionCarattere"/>
          <w:i w:val="0"/>
          <w:lang w:val="en-US"/>
        </w:rPr>
        <w:t>absorber, both factors that increase expenses related to gas compression.</w:t>
      </w:r>
      <w:r w:rsidR="00035C10">
        <w:rPr>
          <w:rStyle w:val="CETCaptionCarattere"/>
          <w:i w:val="0"/>
          <w:lang w:val="en-US"/>
        </w:rPr>
        <w:t xml:space="preserve"> Scenarios using an O</w:t>
      </w:r>
      <w:r w:rsidR="00035C10" w:rsidRPr="00035C10">
        <w:rPr>
          <w:rStyle w:val="CETCaptionCarattere"/>
          <w:i w:val="0"/>
          <w:vertAlign w:val="subscript"/>
          <w:lang w:val="en-US"/>
        </w:rPr>
        <w:t>2</w:t>
      </w:r>
      <w:r w:rsidR="00035C10">
        <w:rPr>
          <w:rStyle w:val="CETCaptionCarattere"/>
          <w:i w:val="0"/>
          <w:lang w:val="en-US"/>
        </w:rPr>
        <w:t xml:space="preserve"> to ethanol molar ratio of 9.0 present </w:t>
      </w:r>
      <w:r w:rsidR="006D77DF">
        <w:rPr>
          <w:rStyle w:val="CETCaptionCarattere"/>
          <w:i w:val="0"/>
          <w:lang w:val="en-US"/>
        </w:rPr>
        <w:t>comparable results</w:t>
      </w:r>
      <w:r w:rsidR="006E2582">
        <w:rPr>
          <w:rStyle w:val="CETCaptionCarattere"/>
          <w:i w:val="0"/>
          <w:lang w:val="en-US"/>
        </w:rPr>
        <w:t xml:space="preserve"> as the ones using an O</w:t>
      </w:r>
      <w:r w:rsidR="006E2582" w:rsidRPr="00035C10">
        <w:rPr>
          <w:rStyle w:val="CETCaptionCarattere"/>
          <w:i w:val="0"/>
          <w:vertAlign w:val="subscript"/>
          <w:lang w:val="en-US"/>
        </w:rPr>
        <w:t>2</w:t>
      </w:r>
      <w:r w:rsidR="006E2582">
        <w:rPr>
          <w:rStyle w:val="CETCaptionCarattere"/>
          <w:i w:val="0"/>
          <w:lang w:val="en-US"/>
        </w:rPr>
        <w:t xml:space="preserve"> to ethanol molar ratio of 6.1</w:t>
      </w:r>
      <w:r w:rsidR="00035C10">
        <w:rPr>
          <w:rStyle w:val="CETCaptionCarattere"/>
          <w:i w:val="0"/>
          <w:lang w:val="en-US"/>
        </w:rPr>
        <w:t xml:space="preserve">, </w:t>
      </w:r>
      <w:r w:rsidR="00CC7DC7">
        <w:rPr>
          <w:rStyle w:val="CETCaptionCarattere"/>
          <w:i w:val="0"/>
          <w:lang w:val="en-US"/>
        </w:rPr>
        <w:t>with</w:t>
      </w:r>
      <w:r w:rsidR="00035C10">
        <w:rPr>
          <w:rStyle w:val="CETCaptionCarattere"/>
          <w:i w:val="0"/>
          <w:lang w:val="en-US"/>
        </w:rPr>
        <w:t xml:space="preserve"> the pressure of 5.0 bar </w:t>
      </w:r>
      <w:r w:rsidR="00CC7DC7">
        <w:rPr>
          <w:rStyle w:val="CETCaptionCarattere"/>
          <w:i w:val="0"/>
          <w:lang w:val="en-US"/>
        </w:rPr>
        <w:t xml:space="preserve">being </w:t>
      </w:r>
      <w:r w:rsidR="00035C10">
        <w:rPr>
          <w:rStyle w:val="CETCaptionCarattere"/>
          <w:i w:val="0"/>
          <w:lang w:val="en-US"/>
        </w:rPr>
        <w:t>the best one. In the case of an O</w:t>
      </w:r>
      <w:r w:rsidR="00035C10" w:rsidRPr="00035C10">
        <w:rPr>
          <w:rStyle w:val="CETCaptionCarattere"/>
          <w:i w:val="0"/>
          <w:vertAlign w:val="subscript"/>
          <w:lang w:val="en-US"/>
        </w:rPr>
        <w:t>2</w:t>
      </w:r>
      <w:r w:rsidR="00035C10">
        <w:rPr>
          <w:rStyle w:val="CETCaptionCarattere"/>
          <w:i w:val="0"/>
          <w:lang w:val="en-US"/>
        </w:rPr>
        <w:t xml:space="preserve"> to ethanol molar ratio of 3.2, the optimal pressure is not clear, but the trend of the results indicates that if low pressures are required to work in this process, </w:t>
      </w:r>
      <w:r w:rsidR="00CC7DC7">
        <w:rPr>
          <w:rStyle w:val="CETCaptionCarattere"/>
          <w:i w:val="0"/>
          <w:lang w:val="en-US"/>
        </w:rPr>
        <w:t xml:space="preserve">a </w:t>
      </w:r>
      <w:r w:rsidR="00035C10">
        <w:rPr>
          <w:rStyle w:val="CETCaptionCarattere"/>
          <w:i w:val="0"/>
          <w:lang w:val="en-US"/>
        </w:rPr>
        <w:t>lower excess of air might be desired.</w:t>
      </w:r>
      <w:r w:rsidR="006E2582">
        <w:rPr>
          <w:rStyle w:val="CETCaptionCarattere"/>
          <w:i w:val="0"/>
          <w:lang w:val="en-US"/>
        </w:rPr>
        <w:t xml:space="preserve"> Nevertheless, the internal rate of return for </w:t>
      </w:r>
      <w:r w:rsidR="00CC7DC7">
        <w:rPr>
          <w:rStyle w:val="CETCaptionCarattere"/>
          <w:i w:val="0"/>
          <w:lang w:val="en-US"/>
        </w:rPr>
        <w:t xml:space="preserve">a </w:t>
      </w:r>
      <w:r w:rsidR="006E2582">
        <w:rPr>
          <w:rStyle w:val="CETCaptionCarattere"/>
          <w:i w:val="0"/>
          <w:lang w:val="en-US"/>
        </w:rPr>
        <w:t>higher excess of O</w:t>
      </w:r>
      <w:r w:rsidR="006E2582" w:rsidRPr="006E2582">
        <w:rPr>
          <w:rStyle w:val="CETCaptionCarattere"/>
          <w:i w:val="0"/>
          <w:vertAlign w:val="subscript"/>
          <w:lang w:val="en-US"/>
        </w:rPr>
        <w:t>2</w:t>
      </w:r>
      <w:r w:rsidR="006E2582">
        <w:rPr>
          <w:rStyle w:val="CETCaptionCarattere"/>
          <w:i w:val="0"/>
          <w:lang w:val="en-US"/>
        </w:rPr>
        <w:t xml:space="preserve"> is preferable.</w:t>
      </w:r>
    </w:p>
    <w:p w14:paraId="2AD1F46E" w14:textId="77777777" w:rsidR="00035C10" w:rsidRPr="00534B61" w:rsidRDefault="00035C10" w:rsidP="00534B61">
      <w:pPr>
        <w:pStyle w:val="CETBodytext"/>
      </w:pPr>
    </w:p>
    <w:p w14:paraId="3BA284D1" w14:textId="1B19E8FB" w:rsidR="00082234" w:rsidRDefault="003E6D05" w:rsidP="00600535">
      <w:pPr>
        <w:pStyle w:val="CETBodytext"/>
      </w:pPr>
      <w:r>
        <w:rPr>
          <w:noProof/>
        </w:rPr>
        <w:drawing>
          <wp:inline distT="0" distB="0" distL="0" distR="0" wp14:anchorId="77906B19" wp14:editId="2640B2D9">
            <wp:extent cx="5486400" cy="2286000"/>
            <wp:effectExtent l="0" t="0" r="0" b="0"/>
            <wp:docPr id="1575705167" name="Picture 12"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5167" name="Picture 12" descr="A graph of a graph of a graph&#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4F700888" w14:textId="0FE150ED" w:rsidR="00082234" w:rsidRPr="008D0834" w:rsidRDefault="00082234" w:rsidP="00082234">
      <w:pPr>
        <w:pStyle w:val="CETCaption"/>
        <w:rPr>
          <w:lang w:val="en-US"/>
        </w:rPr>
      </w:pPr>
      <w:r w:rsidRPr="008D0834">
        <w:rPr>
          <w:rStyle w:val="CETCaptionCarattere"/>
          <w:i/>
          <w:lang w:val="en-US"/>
        </w:rPr>
        <w:t xml:space="preserve">Figure </w:t>
      </w:r>
      <w:r w:rsidR="006E2582">
        <w:rPr>
          <w:rStyle w:val="CETCaptionCarattere"/>
          <w:i/>
          <w:lang w:val="en-US"/>
        </w:rPr>
        <w:t>4</w:t>
      </w:r>
      <w:r w:rsidRPr="008D0834">
        <w:rPr>
          <w:rStyle w:val="CETCaptionCarattere"/>
          <w:i/>
          <w:lang w:val="en-US"/>
        </w:rPr>
        <w:t xml:space="preserve">: </w:t>
      </w:r>
      <w:r w:rsidR="00534B61">
        <w:rPr>
          <w:rStyle w:val="CETCaptionCarattere"/>
          <w:i/>
          <w:lang w:val="en-US"/>
        </w:rPr>
        <w:t xml:space="preserve">a) internal rate of return of the biorefinery for each </w:t>
      </w:r>
      <w:bookmarkStart w:id="0" w:name="_Hlk156160541"/>
      <w:r w:rsidR="00534B61">
        <w:rPr>
          <w:rStyle w:val="CETCaptionCarattere"/>
          <w:i/>
          <w:lang w:val="en-US"/>
        </w:rPr>
        <w:t>O</w:t>
      </w:r>
      <w:r w:rsidR="00534B61" w:rsidRPr="00534B61">
        <w:rPr>
          <w:rStyle w:val="CETCaptionCarattere"/>
          <w:i/>
          <w:vertAlign w:val="subscript"/>
          <w:lang w:val="en-US"/>
        </w:rPr>
        <w:t>2</w:t>
      </w:r>
      <w:r w:rsidR="00534B61">
        <w:rPr>
          <w:rStyle w:val="CETCaptionCarattere"/>
          <w:i/>
          <w:lang w:val="en-US"/>
        </w:rPr>
        <w:t xml:space="preserve"> to ethanol molar ratio</w:t>
      </w:r>
      <w:bookmarkEnd w:id="0"/>
      <w:r w:rsidR="00534B61">
        <w:rPr>
          <w:rStyle w:val="CETCaptionCarattere"/>
          <w:i/>
          <w:lang w:val="en-US"/>
        </w:rPr>
        <w:t xml:space="preserve"> (3.2, 6.1, and 9.0) for the four </w:t>
      </w:r>
      <w:r w:rsidR="00020FC7">
        <w:rPr>
          <w:rStyle w:val="CETCaptionCarattere"/>
          <w:i/>
          <w:lang w:val="en-US"/>
        </w:rPr>
        <w:t xml:space="preserve">gas </w:t>
      </w:r>
      <w:r w:rsidR="00534B61">
        <w:rPr>
          <w:rStyle w:val="CETCaptionCarattere"/>
          <w:i/>
          <w:lang w:val="en-US"/>
        </w:rPr>
        <w:t>absorber pressures and b) sensitivity analysis of the CapEx and prices of acetaldehyde and electricity</w:t>
      </w:r>
      <w:r w:rsidR="000A41FC">
        <w:rPr>
          <w:rStyle w:val="CETCaptionCarattere"/>
          <w:i/>
          <w:lang w:val="en-US"/>
        </w:rPr>
        <w:t xml:space="preserve"> for scenario A6-2 (O</w:t>
      </w:r>
      <w:r w:rsidR="000A41FC" w:rsidRPr="00035C10">
        <w:rPr>
          <w:rStyle w:val="CETCaptionCarattere"/>
          <w:i/>
          <w:vertAlign w:val="subscript"/>
          <w:lang w:val="en-US"/>
        </w:rPr>
        <w:t>2</w:t>
      </w:r>
      <w:r w:rsidR="000A41FC">
        <w:rPr>
          <w:rStyle w:val="CETCaptionCarattere"/>
          <w:i/>
          <w:lang w:val="en-US"/>
        </w:rPr>
        <w:t xml:space="preserve"> to ethanol molar ratio of 6.</w:t>
      </w:r>
      <w:r w:rsidR="00035C10">
        <w:rPr>
          <w:rStyle w:val="CETCaptionCarattere"/>
          <w:i/>
          <w:lang w:val="en-US"/>
        </w:rPr>
        <w:t>1</w:t>
      </w:r>
      <w:r w:rsidR="000A41FC">
        <w:rPr>
          <w:rStyle w:val="CETCaptionCarattere"/>
          <w:i/>
          <w:lang w:val="en-US"/>
        </w:rPr>
        <w:t xml:space="preserve"> and </w:t>
      </w:r>
      <w:r w:rsidR="00020FC7">
        <w:rPr>
          <w:rStyle w:val="CETCaptionCarattere"/>
          <w:i/>
          <w:lang w:val="en-US"/>
        </w:rPr>
        <w:t xml:space="preserve">gas </w:t>
      </w:r>
      <w:r w:rsidR="000A41FC">
        <w:rPr>
          <w:rStyle w:val="CETCaptionCarattere"/>
          <w:i/>
          <w:lang w:val="en-US"/>
        </w:rPr>
        <w:t>absorber pressure of 5 bar)</w:t>
      </w:r>
      <w:r w:rsidR="00534B61">
        <w:rPr>
          <w:rStyle w:val="CETCaptionCarattere"/>
          <w:i/>
          <w:lang w:val="en-US"/>
        </w:rPr>
        <w:t>.</w:t>
      </w:r>
    </w:p>
    <w:p w14:paraId="4D9E5D59" w14:textId="189B9F81" w:rsidR="00082234" w:rsidRDefault="00035C10" w:rsidP="00600535">
      <w:pPr>
        <w:pStyle w:val="CETBodytext"/>
      </w:pPr>
      <w:r>
        <w:t xml:space="preserve">Figure </w:t>
      </w:r>
      <w:r w:rsidR="00480874">
        <w:t>4</w:t>
      </w:r>
      <w:r>
        <w:t xml:space="preserve">b shows the sensitivity analysis for </w:t>
      </w:r>
      <w:r w:rsidR="00020FC7">
        <w:t xml:space="preserve">the </w:t>
      </w:r>
      <w:r>
        <w:t xml:space="preserve">CapEx and prices of electricity and acetaldehyde. Changes of </w:t>
      </w:r>
      <w:r w:rsidRPr="00035C10">
        <w:t>±</w:t>
      </w:r>
      <w:r>
        <w:t xml:space="preserve">20% in electricity price have </w:t>
      </w:r>
      <w:r w:rsidR="006D77DF">
        <w:t>a minimal impact</w:t>
      </w:r>
      <w:r>
        <w:t xml:space="preserve"> on the internal rate of return because</w:t>
      </w:r>
      <w:r w:rsidR="00CC7DC7">
        <w:t>,</w:t>
      </w:r>
      <w:r>
        <w:t xml:space="preserve"> in general</w:t>
      </w:r>
      <w:r w:rsidR="00CC7DC7">
        <w:t>,</w:t>
      </w:r>
      <w:r>
        <w:t xml:space="preserve"> </w:t>
      </w:r>
      <w:r w:rsidR="00CC7DC7">
        <w:t>electricity</w:t>
      </w:r>
      <w:r>
        <w:t xml:space="preserve"> ha</w:t>
      </w:r>
      <w:r w:rsidR="00CC7DC7">
        <w:t>s</w:t>
      </w:r>
      <w:r>
        <w:t xml:space="preserve"> low participation </w:t>
      </w:r>
      <w:r w:rsidR="00CC7DC7">
        <w:t>i</w:t>
      </w:r>
      <w:r>
        <w:t xml:space="preserve">n the revenues, ranging from 10.1% (in scenario A9-4) to 11.5% (in scenario A3-1). In contrast, changes of </w:t>
      </w:r>
      <w:r w:rsidRPr="00035C10">
        <w:t>±</w:t>
      </w:r>
      <w:r>
        <w:t xml:space="preserve">20% </w:t>
      </w:r>
      <w:r w:rsidR="00CC7DC7">
        <w:t>i</w:t>
      </w:r>
      <w:r>
        <w:t>n acetaldehyde price can make the internal rate of return range from 15.9% to 26.1%. Therefore, the process can be deemed economically viable because</w:t>
      </w:r>
      <w:r w:rsidR="00CC7DC7">
        <w:t>,</w:t>
      </w:r>
      <w:r>
        <w:t xml:space="preserve"> despite fluctuations in </w:t>
      </w:r>
      <w:r w:rsidR="0069574D">
        <w:t xml:space="preserve">acetaldehyde </w:t>
      </w:r>
      <w:r>
        <w:t>price</w:t>
      </w:r>
      <w:r w:rsidR="00592053">
        <w:t xml:space="preserve"> of </w:t>
      </w:r>
      <w:r w:rsidR="00592053" w:rsidRPr="00035C10">
        <w:t>±</w:t>
      </w:r>
      <w:r w:rsidR="00592053">
        <w:t>20%</w:t>
      </w:r>
      <w:r>
        <w:t xml:space="preserve">, the internal rate of return of the biorefinery is, in general, greater than a minimum </w:t>
      </w:r>
      <w:r w:rsidR="00F327E9">
        <w:t>acceptable</w:t>
      </w:r>
      <w:r>
        <w:t xml:space="preserve"> rate of</w:t>
      </w:r>
      <w:r w:rsidR="00F327E9">
        <w:t xml:space="preserve"> return of</w:t>
      </w:r>
      <w:r>
        <w:t xml:space="preserve"> 12%</w:t>
      </w:r>
      <w:r w:rsidR="00F327E9">
        <w:t xml:space="preserve">, </w:t>
      </w:r>
      <w:r w:rsidR="00592053">
        <w:t xml:space="preserve">which is </w:t>
      </w:r>
      <w:r w:rsidR="00F327E9">
        <w:t xml:space="preserve">generally required for sugarcane biorefineries in Brazil </w:t>
      </w:r>
      <w:r w:rsidR="00F327E9">
        <w:fldChar w:fldCharType="begin" w:fldLock="1"/>
      </w:r>
      <w:r w:rsidR="00F327E9">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Strategies","type":"chapter"},"uris":["http://www.mendeley.com/documents/?uuid=3822c37a-5055-30b4-9e49-1849f37c8aa7"]}],"mendeley":{"formattedCitation":"(Dias et al., 2016)","plainTextFormattedCitation":"(Dias et al., 2016)","previouslyFormattedCitation":"(Dias et al., 2016)"},"properties":{"noteIndex":0},"schema":"https://github.com/citation-style-language/schema/raw/master/csl-citation.json"}</w:instrText>
      </w:r>
      <w:r w:rsidR="00F327E9">
        <w:fldChar w:fldCharType="separate"/>
      </w:r>
      <w:r w:rsidR="00F327E9" w:rsidRPr="00F327E9">
        <w:rPr>
          <w:noProof/>
        </w:rPr>
        <w:t>(Dias et al., 2016)</w:t>
      </w:r>
      <w:r w:rsidR="00F327E9">
        <w:fldChar w:fldCharType="end"/>
      </w:r>
      <w:r>
        <w:t>.</w:t>
      </w:r>
      <w:r w:rsidR="00F327E9">
        <w:t xml:space="preserve"> Sensitivity analysis was performed on the CapEx related to the cogeneration of heat and power</w:t>
      </w:r>
      <w:r w:rsidR="00592053">
        <w:t>, cooling utilities,</w:t>
      </w:r>
      <w:r w:rsidR="00F327E9">
        <w:t xml:space="preserve"> and the acetaldehyde plant, which are the primary sources of uncertainty in capital cost estimation since the capital cost of the other section</w:t>
      </w:r>
      <w:r w:rsidR="00CC7DC7">
        <w:t>s</w:t>
      </w:r>
      <w:r w:rsidR="00F327E9">
        <w:t xml:space="preserve"> </w:t>
      </w:r>
      <w:r w:rsidR="00CC7DC7">
        <w:t>was</w:t>
      </w:r>
      <w:r w:rsidR="00F327E9">
        <w:t xml:space="preserve"> based on data validated </w:t>
      </w:r>
      <w:r w:rsidR="00CC7DC7">
        <w:t>with</w:t>
      </w:r>
      <w:r w:rsidR="00F327E9">
        <w:t xml:space="preserve"> industrial data </w:t>
      </w:r>
      <w:r w:rsidR="00F327E9">
        <w:fldChar w:fldCharType="begin" w:fldLock="1"/>
      </w:r>
      <w:r w:rsidR="003E6D05">
        <w:instrText>ADDIN CSL_CITATION {"citationItems":[{"id":"ITEM-1","itemData":{"DOI":"10.1007/978-3-319-26045-7_7","author":[{"dropping-particle":"","family":"Dias","given":"Marina O. S.","non-dropping-particle":"","parse-names":false,"suffix":""},{"dropping-particle":"","family":"Junqueira","given":"Tassia L.","non-dropping-particle":"","parse-names":false,"suffix":""},{"dropping-particle":"","family":"Sampaio","given":"Isabelle L. M.","non-dropping-particle":"","parse-names":false,"suffix":""},{"dropping-particle":"","family":"Chagas","given":"Mateus F.","non-dropping-particle":"","parse-names":false,"suffix":""},{"dropping-particle":"","family":"Watanabe","given":"Marcos D. B.","non-dropping-particle":"","parse-names":false,"suffix":""},{"dropping-particle":"","family":"Morais","given":"Edvaldo R.","non-dropping-particle":"","parse-names":false,"suffix":""},{"dropping-particle":"","family":"Gouveia","given":"Vera L. R.","non-dropping-particle":"","parse-names":false,"suffix":""},{"dropping-particle":"","family":"Klein","given":"Bruno C.","non-dropping-particle":"","parse-names":false,"suffix":""},{"dropping-particle":"","family":"Rezende","given":"Mylene C. A. F.","non-dropping-particle":"","parse-names":false,"suffix":""},{"dropping-particle":"","family":"Cardoso","given":"Terezinha F.","non-dropping-particle":"","parse-names":false,"suffix":""},{"dropping-particle":"","family":"Souza","given":"Alexandre","non-dropping-particle":"","parse-names":false,"suffix":""},{"dropping-particle":"","family":"Jesus","given":"Charles D. F.","non-dropping-particle":"","parse-names":false,"suffix":""},{"dropping-particle":"","family":"Pereira","given":"Lucas G.","non-dropping-particle":"","parse-names":false,"suffix":""},{"dropping-particle":"","family":"Rivera","given":"Elmer C.","non-dropping-particle":"","parse-names":false,"suffix":""},{"dropping-particle":"","family":"Maciel Filho","given":"R","non-dropping-particle":"","parse-names":false,"suffix":""},{"dropping-particle":"","family":"Bonomi","given":"Antonio","non-dropping-particle":"","parse-names":false,"suffix":""}],"id":"ITEM-1","issued":{"date-parts":[["2016"]]},"page":"189-256","publisher":"Springer, Cham","title":"Use of the VSB to Assess Biorefinery Strategies","type":"chapter"},"uris":["http://www.mendeley.com/documents/?uuid=3822c37a-5055-30b4-9e49-1849f37c8aa7"]}],"mendeley":{"formattedCitation":"(Dias et al., 2016)","plainTextFormattedCitation":"(Dias et al., 2016)","previouslyFormattedCitation":"(Dias et al., 2016)"},"properties":{"noteIndex":0},"schema":"https://github.com/citation-style-language/schema/raw/master/csl-citation.json"}</w:instrText>
      </w:r>
      <w:r w:rsidR="00F327E9">
        <w:fldChar w:fldCharType="separate"/>
      </w:r>
      <w:r w:rsidR="00F327E9" w:rsidRPr="00F327E9">
        <w:rPr>
          <w:noProof/>
        </w:rPr>
        <w:t>(Dias et al., 2016)</w:t>
      </w:r>
      <w:r w:rsidR="00F327E9">
        <w:fldChar w:fldCharType="end"/>
      </w:r>
      <w:r w:rsidR="00F327E9">
        <w:t xml:space="preserve">. According to these results, errors of </w:t>
      </w:r>
      <w:r w:rsidR="00F327E9" w:rsidRPr="00035C10">
        <w:t>±</w:t>
      </w:r>
      <w:r w:rsidR="00F327E9">
        <w:t>20% in the CapEx of these sections, which represent 57% to 58% of the total CapEx, can yield an internal rate of return in the range of 19.4% to 23.5%. For comparison, the internal rate of return of scenario ET-0, producing only ethanol and electricity, was 20.0%</w:t>
      </w:r>
      <w:r w:rsidR="00D856E1">
        <w:t>, thus indicating that this additional option for</w:t>
      </w:r>
      <w:r w:rsidR="0069574D">
        <w:t xml:space="preserve"> the</w:t>
      </w:r>
      <w:r w:rsidR="00D856E1">
        <w:t xml:space="preserve"> sugarcane</w:t>
      </w:r>
      <w:r w:rsidR="00592053">
        <w:t xml:space="preserve"> </w:t>
      </w:r>
      <w:r w:rsidR="0069574D">
        <w:t>industry</w:t>
      </w:r>
      <w:r w:rsidR="00D856E1">
        <w:t xml:space="preserve"> is competitive with ethanol</w:t>
      </w:r>
      <w:r w:rsidR="00F327E9">
        <w:t>.</w:t>
      </w:r>
    </w:p>
    <w:p w14:paraId="517A8153" w14:textId="11C3BF14" w:rsidR="00082234" w:rsidRPr="008D0834" w:rsidRDefault="00D856E1" w:rsidP="00600535">
      <w:pPr>
        <w:pStyle w:val="CETBodytext"/>
      </w:pPr>
      <w:r>
        <w:t>The calculated carbon footprint of acetaldehyde produced via the Wacker process, according to the Ecoinvent database, is 1.5437 kgCO</w:t>
      </w:r>
      <w:r w:rsidRPr="00D856E1">
        <w:rPr>
          <w:vertAlign w:val="subscript"/>
        </w:rPr>
        <w:t>2</w:t>
      </w:r>
      <w:r>
        <w:t xml:space="preserve">e/kg, whereas the carbon footprint of the acetaldehyde produced </w:t>
      </w:r>
      <w:r w:rsidR="00687CF7">
        <w:t xml:space="preserve">from sugarcane ethanol </w:t>
      </w:r>
      <w:r>
        <w:t>via the process of scenario A6-2 is 0.2247 kgCO</w:t>
      </w:r>
      <w:r w:rsidRPr="00D856E1">
        <w:rPr>
          <w:vertAlign w:val="subscript"/>
        </w:rPr>
        <w:t>2</w:t>
      </w:r>
      <w:r>
        <w:t>e/kg.</w:t>
      </w:r>
      <w:r w:rsidR="00687CF7">
        <w:t xml:space="preserve"> This 85% reduction is attributed to the avoided use of fossil fuels in the processing of raw materials into acetaldehyde, which was accomplished </w:t>
      </w:r>
      <w:r w:rsidR="00592053">
        <w:t xml:space="preserve">by </w:t>
      </w:r>
      <w:r w:rsidR="00687CF7">
        <w:t>using sugarcane bagasse to produce steam and electricity in the integrated biorefinery. As this is a cradle-to-gate LCA, this analysis does not consider the final use of acetaldehyde. In the case of renewable acetaldehyde, if this molecule were to be used in the synthesis of fuels, the greenhouse gases produced during its combustion would be considered biogenic carbon, thus not contributing to the total emissions</w:t>
      </w:r>
      <w:r w:rsidR="00592053">
        <w:t xml:space="preserve"> of the fuel</w:t>
      </w:r>
      <w:r w:rsidR="00687CF7">
        <w:t>.</w:t>
      </w:r>
    </w:p>
    <w:p w14:paraId="122D9EC6" w14:textId="579AE6F3" w:rsidR="007A1EA3" w:rsidRPr="008D0834" w:rsidRDefault="007A1EA3" w:rsidP="007A1EA3">
      <w:pPr>
        <w:pStyle w:val="CETHeading1"/>
      </w:pPr>
      <w:r w:rsidRPr="008D0834">
        <w:t>Conclusion</w:t>
      </w:r>
    </w:p>
    <w:p w14:paraId="0E69AD4F" w14:textId="6B1A691F" w:rsidR="007A1EA3" w:rsidRPr="008D0834" w:rsidRDefault="00687CF7" w:rsidP="00600535">
      <w:pPr>
        <w:pStyle w:val="CETBodytext"/>
      </w:pPr>
      <w:r>
        <w:t>This work analyzed</w:t>
      </w:r>
      <w:r w:rsidR="00C34C00">
        <w:t xml:space="preserve"> the production of acetaldehyde from sugarcane via oxidation of ethanol. A total of twelve scenarios were analyzed, consisting of a combination of different reaction and recovery conditions. Capital </w:t>
      </w:r>
      <w:r w:rsidR="00C34C00">
        <w:lastRenderedPageBreak/>
        <w:t xml:space="preserve">expenditures of each biorefinery scenario were calculated, indicating that the use of higher pressure in the </w:t>
      </w:r>
      <w:r w:rsidR="00592053">
        <w:t>gas absorber</w:t>
      </w:r>
      <w:r w:rsidR="00C34C00">
        <w:t xml:space="preserve"> ha</w:t>
      </w:r>
      <w:r w:rsidR="00592053">
        <w:t>d</w:t>
      </w:r>
      <w:r w:rsidR="00C34C00">
        <w:t xml:space="preserve"> a significant impact </w:t>
      </w:r>
      <w:r w:rsidR="00CC7DC7">
        <w:t>o</w:t>
      </w:r>
      <w:r w:rsidR="00C34C00">
        <w:t>n the capital cost of this section of the plant. Considering the integrated biorefinery, the scenario with the best internal rate of return was the one using an O</w:t>
      </w:r>
      <w:r w:rsidR="00C34C00" w:rsidRPr="00C34C00">
        <w:rPr>
          <w:vertAlign w:val="subscript"/>
        </w:rPr>
        <w:t>2</w:t>
      </w:r>
      <w:r w:rsidR="00C34C00">
        <w:t xml:space="preserve"> to ethanol molar ratio of 6.1 combined with a </w:t>
      </w:r>
      <w:r w:rsidR="00592053">
        <w:t xml:space="preserve">gas </w:t>
      </w:r>
      <w:r w:rsidR="00C34C00">
        <w:t>absorber working at 5.0 bar. This was the combined result of reduced energy spending with power to compress gas and reduced energy spending in the distillation of acetaldehyde, unconverted ethanol, and water to be recycled to the gas absorber. These conditions led to an internal rate of return of 21.2%, greater than the base scenario in which the biorefinery produces ethanol and electricity (20.0%). Life cycle assessment was used to determine the carbon footprint of acetaldehyde produce</w:t>
      </w:r>
      <w:r w:rsidR="00CC7DC7">
        <w:t>d</w:t>
      </w:r>
      <w:r w:rsidR="00C34C00">
        <w:t xml:space="preserve"> from sugarcane, which based on the best process conditions w</w:t>
      </w:r>
      <w:r w:rsidR="00CC7DC7">
        <w:t>as</w:t>
      </w:r>
      <w:r w:rsidR="00C34C00">
        <w:t xml:space="preserve"> 0.2247 kgCO</w:t>
      </w:r>
      <w:r w:rsidR="00C34C00" w:rsidRPr="00D856E1">
        <w:rPr>
          <w:vertAlign w:val="subscript"/>
        </w:rPr>
        <w:t>2</w:t>
      </w:r>
      <w:r w:rsidR="00C34C00">
        <w:t>e/kg</w:t>
      </w:r>
      <w:r w:rsidR="00592053">
        <w:t>. This value is</w:t>
      </w:r>
      <w:r w:rsidR="00C34C00">
        <w:t xml:space="preserve"> 85% lower than the emissions related to </w:t>
      </w:r>
      <w:r w:rsidR="00CC7DC7">
        <w:t xml:space="preserve">the </w:t>
      </w:r>
      <w:r w:rsidR="00C34C00">
        <w:t xml:space="preserve">production of acetaldehyde via the Wacker process. Overall, these results indicate that </w:t>
      </w:r>
      <w:r w:rsidR="00CC7DC7">
        <w:t xml:space="preserve">the </w:t>
      </w:r>
      <w:r w:rsidR="00C34C00">
        <w:t xml:space="preserve">production of acetaldehyde from sugarcane is a techno-economically feasible process, with </w:t>
      </w:r>
      <w:r w:rsidR="00CC7DC7">
        <w:t xml:space="preserve">the </w:t>
      </w:r>
      <w:r w:rsidR="00C34C00">
        <w:t>potential to replace fossil-derived acetaldehyde produced via the Wacker process.</w:t>
      </w:r>
    </w:p>
    <w:p w14:paraId="026A6D29" w14:textId="3F8A2F15" w:rsidR="007A1EA3" w:rsidRPr="008D0834" w:rsidRDefault="007A1EA3" w:rsidP="007A1EA3">
      <w:pPr>
        <w:pStyle w:val="CETHeadingxx"/>
      </w:pPr>
      <w:r w:rsidRPr="008D0834">
        <w:t>Acknowledgments</w:t>
      </w:r>
    </w:p>
    <w:p w14:paraId="7BF496B3" w14:textId="605E04F6" w:rsidR="007A1EA3" w:rsidRPr="008D0834" w:rsidRDefault="007A1EA3" w:rsidP="00600535">
      <w:pPr>
        <w:pStyle w:val="CETBodytext"/>
      </w:pPr>
      <w:r w:rsidRPr="008D0834">
        <w:t>The authors acknowledge the support from FAPESP (the Sao Paulo Research Foundation, #2022/16379-8 and #2015/20630-4) and the Coordenação de Aperfeiçoamento de Pessoal de Nível Superior - Brasil (CAPES) - Finance Code 001.</w:t>
      </w:r>
    </w:p>
    <w:p w14:paraId="28850AEF" w14:textId="79D587C0" w:rsidR="007A1EA3" w:rsidRDefault="007A1EA3" w:rsidP="007A1EA3">
      <w:pPr>
        <w:pStyle w:val="CETReference"/>
        <w:rPr>
          <w:lang w:val="en-US"/>
        </w:rPr>
      </w:pPr>
      <w:r w:rsidRPr="008D0834">
        <w:rPr>
          <w:lang w:val="en-US"/>
        </w:rPr>
        <w:t>References</w:t>
      </w:r>
    </w:p>
    <w:p w14:paraId="245F4836" w14:textId="5307ED83" w:rsidR="002D32FC" w:rsidRPr="002D32FC" w:rsidRDefault="002D32FC" w:rsidP="002D32FC">
      <w:pPr>
        <w:pStyle w:val="CETReferencetext"/>
        <w:rPr>
          <w:lang w:val="en-US"/>
        </w:rPr>
      </w:pPr>
      <w:r w:rsidRPr="002D32FC">
        <w:rPr>
          <w:lang w:val="en-US"/>
        </w:rPr>
        <w:t>Brazilian Ministry of Economy, 2023</w:t>
      </w:r>
      <w:r w:rsidR="005E1618">
        <w:rPr>
          <w:lang w:val="en-US"/>
        </w:rPr>
        <w:t>,</w:t>
      </w:r>
      <w:r w:rsidRPr="002D32FC">
        <w:rPr>
          <w:lang w:val="en-US"/>
        </w:rPr>
        <w:t xml:space="preserve"> Comex Stat</w:t>
      </w:r>
      <w:r w:rsidR="005E1618">
        <w:rPr>
          <w:lang w:val="en-US"/>
        </w:rPr>
        <w:t xml:space="preserve"> &lt;</w:t>
      </w:r>
      <w:r w:rsidRPr="002D32FC">
        <w:rPr>
          <w:lang w:val="en-US"/>
        </w:rPr>
        <w:t>http://comexstat.mdic.gov.br/en</w:t>
      </w:r>
      <w:r w:rsidR="005E1618">
        <w:rPr>
          <w:lang w:val="en-US"/>
        </w:rPr>
        <w:t>&gt;</w:t>
      </w:r>
      <w:r w:rsidRPr="002D32FC">
        <w:rPr>
          <w:lang w:val="en-US"/>
        </w:rPr>
        <w:t xml:space="preserve"> accessed </w:t>
      </w:r>
      <w:r w:rsidR="005E1618">
        <w:rPr>
          <w:lang w:val="en-US"/>
        </w:rPr>
        <w:t>16</w:t>
      </w:r>
      <w:r w:rsidRPr="002D32FC">
        <w:rPr>
          <w:lang w:val="en-US"/>
        </w:rPr>
        <w:t>.</w:t>
      </w:r>
      <w:r w:rsidR="005E1618">
        <w:rPr>
          <w:lang w:val="en-US"/>
        </w:rPr>
        <w:t>02</w:t>
      </w:r>
      <w:r w:rsidRPr="002D32FC">
        <w:rPr>
          <w:lang w:val="en-US"/>
        </w:rPr>
        <w:t>.</w:t>
      </w:r>
      <w:r w:rsidR="005E1618">
        <w:rPr>
          <w:lang w:val="en-US"/>
        </w:rPr>
        <w:t>20</w:t>
      </w:r>
      <w:r w:rsidRPr="002D32FC">
        <w:rPr>
          <w:lang w:val="en-US"/>
        </w:rPr>
        <w:t>23.</w:t>
      </w:r>
    </w:p>
    <w:p w14:paraId="7661FFD4" w14:textId="461FDB84" w:rsidR="002D32FC" w:rsidRPr="002D32FC" w:rsidRDefault="002D32FC" w:rsidP="002D32FC">
      <w:pPr>
        <w:pStyle w:val="CETReferencetext"/>
        <w:rPr>
          <w:lang w:val="en-US"/>
        </w:rPr>
      </w:pPr>
      <w:r w:rsidRPr="005E1618">
        <w:rPr>
          <w:lang w:val="en-US"/>
        </w:rPr>
        <w:t>Cantarella H., Leal Silva J.F., Nogueira L.A.H., Maciel Filh</w:t>
      </w:r>
      <w:r w:rsidR="003B6106">
        <w:rPr>
          <w:lang w:val="en-US"/>
        </w:rPr>
        <w:t>o</w:t>
      </w:r>
      <w:r w:rsidRPr="005E1618">
        <w:rPr>
          <w:lang w:val="en-US"/>
        </w:rPr>
        <w:t xml:space="preserve"> R., Rossetto R., Ekbom T., Souza G.M., Mueller-Langer F., 2023</w:t>
      </w:r>
      <w:r w:rsidR="005E1618" w:rsidRPr="005E1618">
        <w:rPr>
          <w:lang w:val="en-US"/>
        </w:rPr>
        <w:t>,</w:t>
      </w:r>
      <w:r w:rsidRPr="005E1618">
        <w:rPr>
          <w:lang w:val="en-US"/>
        </w:rPr>
        <w:t xml:space="preserve"> </w:t>
      </w:r>
      <w:r w:rsidRPr="002D32FC">
        <w:rPr>
          <w:lang w:val="en-US"/>
        </w:rPr>
        <w:t>Biofuel technologies: Lessons learned and pathways to decarbonization</w:t>
      </w:r>
      <w:r w:rsidR="005E1618">
        <w:rPr>
          <w:lang w:val="en-US"/>
        </w:rPr>
        <w:t>,</w:t>
      </w:r>
      <w:r w:rsidRPr="002D32FC">
        <w:rPr>
          <w:lang w:val="en-US"/>
        </w:rPr>
        <w:t xml:space="preserve"> GCB Bioenergy</w:t>
      </w:r>
      <w:r w:rsidR="005E1618">
        <w:rPr>
          <w:lang w:val="en-US"/>
        </w:rPr>
        <w:t>,</w:t>
      </w:r>
      <w:r w:rsidRPr="002D32FC">
        <w:rPr>
          <w:lang w:val="en-US"/>
        </w:rPr>
        <w:t xml:space="preserve"> </w:t>
      </w:r>
      <w:r w:rsidR="005E1618">
        <w:rPr>
          <w:lang w:val="en-US"/>
        </w:rPr>
        <w:t>15 (10)</w:t>
      </w:r>
      <w:r w:rsidRPr="002D32FC">
        <w:rPr>
          <w:lang w:val="en-US"/>
        </w:rPr>
        <w:t xml:space="preserve">, </w:t>
      </w:r>
      <w:r w:rsidR="005E1618">
        <w:rPr>
          <w:lang w:val="en-US"/>
        </w:rPr>
        <w:t>1190</w:t>
      </w:r>
      <w:r w:rsidRPr="002D32FC">
        <w:rPr>
          <w:lang w:val="en-US"/>
        </w:rPr>
        <w:t>–</w:t>
      </w:r>
      <w:r w:rsidR="005E1618">
        <w:rPr>
          <w:lang w:val="en-US"/>
        </w:rPr>
        <w:t>1203.</w:t>
      </w:r>
    </w:p>
    <w:p w14:paraId="28A05B68" w14:textId="27AA7A00" w:rsidR="002D32FC" w:rsidRPr="002D32FC" w:rsidRDefault="002D32FC" w:rsidP="002D32FC">
      <w:pPr>
        <w:pStyle w:val="CETReferencetext"/>
        <w:rPr>
          <w:lang w:val="en-US"/>
        </w:rPr>
      </w:pPr>
      <w:r w:rsidRPr="002D32FC">
        <w:rPr>
          <w:lang w:val="en-US"/>
        </w:rPr>
        <w:t>Dias M.O.S., Junqueira T.L., Sampaio I.L.M., Chagas M.F., Watanabe M.D.B., Morais E.R., Gouveia V.L.R., Klein B.C., Rezende M.C.A.F., Cardoso T.F., Souza A., Jesus C.D.F., Pereira L.G., Rivera E.C., Maciel Filho R., Bonom</w:t>
      </w:r>
      <w:r w:rsidR="003B6106">
        <w:rPr>
          <w:lang w:val="en-US"/>
        </w:rPr>
        <w:t>i</w:t>
      </w:r>
      <w:r w:rsidRPr="002D32FC">
        <w:rPr>
          <w:lang w:val="en-US"/>
        </w:rPr>
        <w:t xml:space="preserve"> A., 2016</w:t>
      </w:r>
      <w:r w:rsidR="005E1618">
        <w:rPr>
          <w:lang w:val="en-US"/>
        </w:rPr>
        <w:t>,</w:t>
      </w:r>
      <w:r w:rsidRPr="002D32FC">
        <w:rPr>
          <w:lang w:val="en-US"/>
        </w:rPr>
        <w:t xml:space="preserve"> Use of the VSB to Assess Biorefinery Strategies. Springer, Cham, pp. 189–256. </w:t>
      </w:r>
    </w:p>
    <w:p w14:paraId="2ADF7422" w14:textId="563F64A0" w:rsidR="002D32FC" w:rsidRPr="002D32FC" w:rsidRDefault="002D32FC" w:rsidP="002D32FC">
      <w:pPr>
        <w:pStyle w:val="CETReferencetext"/>
        <w:rPr>
          <w:lang w:val="en-US"/>
        </w:rPr>
      </w:pPr>
      <w:r w:rsidRPr="002D32FC">
        <w:rPr>
          <w:lang w:val="en-US"/>
        </w:rPr>
        <w:t>European Union, 1999</w:t>
      </w:r>
      <w:r w:rsidR="005E1618">
        <w:rPr>
          <w:lang w:val="en-US"/>
        </w:rPr>
        <w:t>,</w:t>
      </w:r>
      <w:r w:rsidRPr="002D32FC">
        <w:rPr>
          <w:lang w:val="en-US"/>
        </w:rPr>
        <w:t xml:space="preserve"> Council Directive 1999/13/EC, on the limitation of emissions of volatile organic compounds due to the use of organic solvents in certain activities and installations. Brussels.</w:t>
      </w:r>
    </w:p>
    <w:p w14:paraId="5976FD8A" w14:textId="52172731" w:rsidR="002D32FC" w:rsidRPr="002D32FC" w:rsidRDefault="002D32FC" w:rsidP="002D32FC">
      <w:pPr>
        <w:pStyle w:val="CETReferencetext"/>
        <w:rPr>
          <w:lang w:val="en-US"/>
        </w:rPr>
      </w:pPr>
      <w:r w:rsidRPr="002D32FC">
        <w:rPr>
          <w:lang w:val="en-US"/>
        </w:rPr>
        <w:t>Hagemeyer H.J., 20</w:t>
      </w:r>
      <w:r w:rsidR="005E1618">
        <w:rPr>
          <w:lang w:val="en-US"/>
        </w:rPr>
        <w:t>14,</w:t>
      </w:r>
      <w:r w:rsidRPr="002D32FC">
        <w:rPr>
          <w:lang w:val="en-US"/>
        </w:rPr>
        <w:t xml:space="preserve"> Acetaldehyde</w:t>
      </w:r>
      <w:r w:rsidR="003B6106">
        <w:rPr>
          <w:lang w:val="en-US"/>
        </w:rPr>
        <w:t>,</w:t>
      </w:r>
      <w:r w:rsidRPr="002D32FC">
        <w:rPr>
          <w:lang w:val="en-US"/>
        </w:rPr>
        <w:t xml:space="preserve"> </w:t>
      </w:r>
      <w:r w:rsidR="005E1618" w:rsidRPr="005E1618">
        <w:rPr>
          <w:lang w:val="en-US"/>
        </w:rPr>
        <w:t>Kirk-Othmer Encyclopedia of Chemical Technology, John Wiley &amp; Sons.</w:t>
      </w:r>
    </w:p>
    <w:p w14:paraId="44E97205" w14:textId="5D4770CB" w:rsidR="002D32FC" w:rsidRPr="002D32FC" w:rsidRDefault="002D32FC" w:rsidP="002D32FC">
      <w:pPr>
        <w:pStyle w:val="CETReferencetext"/>
        <w:rPr>
          <w:lang w:val="en-US"/>
        </w:rPr>
      </w:pPr>
      <w:r w:rsidRPr="002D32FC">
        <w:rPr>
          <w:lang w:val="en-US"/>
        </w:rPr>
        <w:t>Jira R., 2009</w:t>
      </w:r>
      <w:r w:rsidR="005E1618">
        <w:rPr>
          <w:lang w:val="en-US"/>
        </w:rPr>
        <w:t>,</w:t>
      </w:r>
      <w:r w:rsidRPr="002D32FC">
        <w:rPr>
          <w:lang w:val="en-US"/>
        </w:rPr>
        <w:t xml:space="preserve"> Acetaldehyde from Ethylene—A Retrospective on the Discovery of the Wacker Process</w:t>
      </w:r>
      <w:r w:rsidR="003B6106">
        <w:rPr>
          <w:lang w:val="en-US"/>
        </w:rPr>
        <w:t>,</w:t>
      </w:r>
      <w:r w:rsidRPr="002D32FC">
        <w:rPr>
          <w:lang w:val="en-US"/>
        </w:rPr>
        <w:t xml:space="preserve"> </w:t>
      </w:r>
      <w:r w:rsidR="003B6106" w:rsidRPr="003B6106">
        <w:rPr>
          <w:lang w:val="en-US"/>
        </w:rPr>
        <w:t>Angewandte Chemie International Edition</w:t>
      </w:r>
      <w:r w:rsidR="005E1618">
        <w:rPr>
          <w:lang w:val="en-US"/>
        </w:rPr>
        <w:t>,</w:t>
      </w:r>
      <w:r w:rsidRPr="002D32FC">
        <w:rPr>
          <w:lang w:val="en-US"/>
        </w:rPr>
        <w:t xml:space="preserve"> 48, 9034–9037.</w:t>
      </w:r>
    </w:p>
    <w:p w14:paraId="4AC81051" w14:textId="749AA23A" w:rsidR="002D32FC" w:rsidRPr="005E1618" w:rsidRDefault="002D32FC" w:rsidP="002D32FC">
      <w:pPr>
        <w:pStyle w:val="CETReferencetext"/>
        <w:rPr>
          <w:lang w:val="en-US"/>
        </w:rPr>
      </w:pPr>
      <w:r w:rsidRPr="003B6106">
        <w:rPr>
          <w:lang w:val="en-US"/>
        </w:rPr>
        <w:t>Leal Silva J.F., Maciel Filho R., 2024</w:t>
      </w:r>
      <w:r w:rsidR="003B6106" w:rsidRPr="003B6106">
        <w:rPr>
          <w:lang w:val="en-US"/>
        </w:rPr>
        <w:t>,</w:t>
      </w:r>
      <w:r w:rsidRPr="003B6106">
        <w:rPr>
          <w:lang w:val="en-US"/>
        </w:rPr>
        <w:t xml:space="preserve"> </w:t>
      </w:r>
      <w:r w:rsidRPr="002D32FC">
        <w:rPr>
          <w:lang w:val="en-US"/>
        </w:rPr>
        <w:t>Sustainable Acetaldehyde Synthesis from Renewable Ethanol: Analysis of Reaction and Separation Processes, in: Manenti, F., Reklaitis, G.V. (Eds.), 34</w:t>
      </w:r>
      <w:r w:rsidR="003B6106">
        <w:rPr>
          <w:lang w:val="en-US"/>
        </w:rPr>
        <w:t>th</w:t>
      </w:r>
      <w:r w:rsidRPr="002D32FC">
        <w:rPr>
          <w:lang w:val="en-US"/>
        </w:rPr>
        <w:t xml:space="preserve"> European Symposium on Computer Aided Process Engineering</w:t>
      </w:r>
      <w:r w:rsidR="005E1618">
        <w:rPr>
          <w:lang w:val="en-US"/>
        </w:rPr>
        <w:t>,</w:t>
      </w:r>
      <w:r w:rsidRPr="002D32FC">
        <w:rPr>
          <w:lang w:val="en-US"/>
        </w:rPr>
        <w:t xml:space="preserve"> </w:t>
      </w:r>
      <w:r w:rsidRPr="005E1618">
        <w:rPr>
          <w:lang w:val="en-US"/>
        </w:rPr>
        <w:t>Elsevier.</w:t>
      </w:r>
    </w:p>
    <w:p w14:paraId="7826DFD8" w14:textId="6D6CD144" w:rsidR="002D32FC" w:rsidRPr="002D32FC" w:rsidRDefault="002D32FC" w:rsidP="002D32FC">
      <w:pPr>
        <w:pStyle w:val="CETReferencetext"/>
        <w:rPr>
          <w:lang w:val="en-US"/>
        </w:rPr>
      </w:pPr>
      <w:r w:rsidRPr="003B6106">
        <w:rPr>
          <w:lang w:val="en-US"/>
        </w:rPr>
        <w:t>Leal Silva J.F., Nakasu P.Y.S., Costa A.C. da, Maciel Filho R., Rabelo S.C., 2022</w:t>
      </w:r>
      <w:r w:rsidR="003B6106" w:rsidRPr="003B6106">
        <w:rPr>
          <w:lang w:val="en-US"/>
        </w:rPr>
        <w:t>,</w:t>
      </w:r>
      <w:r w:rsidRPr="003B6106">
        <w:rPr>
          <w:lang w:val="en-US"/>
        </w:rPr>
        <w:t xml:space="preserve"> </w:t>
      </w:r>
      <w:r w:rsidRPr="002D32FC">
        <w:rPr>
          <w:lang w:val="en-US"/>
        </w:rPr>
        <w:t>Techno-economic Analysis of the Production of 2G Ethanol and Technical Lignin via a Protic Ionic Liquid Pretreatment of Sugarcane Bagasse</w:t>
      </w:r>
      <w:r w:rsidR="003B6106">
        <w:rPr>
          <w:lang w:val="en-US"/>
        </w:rPr>
        <w:t>,</w:t>
      </w:r>
      <w:r w:rsidRPr="002D32FC">
        <w:rPr>
          <w:lang w:val="en-US"/>
        </w:rPr>
        <w:t xml:space="preserve"> Ind</w:t>
      </w:r>
      <w:r w:rsidR="003B6106">
        <w:rPr>
          <w:lang w:val="en-US"/>
        </w:rPr>
        <w:t>ustrial Crops and Products,</w:t>
      </w:r>
      <w:r w:rsidRPr="002D32FC">
        <w:rPr>
          <w:lang w:val="en-US"/>
        </w:rPr>
        <w:t xml:space="preserve"> 189, 115788.</w:t>
      </w:r>
    </w:p>
    <w:p w14:paraId="06665B4E" w14:textId="331134CA" w:rsidR="002D32FC" w:rsidRPr="003B6106" w:rsidRDefault="002D32FC" w:rsidP="002D32FC">
      <w:pPr>
        <w:pStyle w:val="CETReferencetext"/>
        <w:rPr>
          <w:lang w:val="en-US"/>
        </w:rPr>
      </w:pPr>
      <w:r w:rsidRPr="003B6106">
        <w:rPr>
          <w:lang w:val="en-US"/>
        </w:rPr>
        <w:t>Leal Silva J.F., Wolf Macie</w:t>
      </w:r>
      <w:r w:rsidR="003B6106">
        <w:rPr>
          <w:lang w:val="en-US"/>
        </w:rPr>
        <w:t>l</w:t>
      </w:r>
      <w:r w:rsidRPr="003B6106">
        <w:rPr>
          <w:lang w:val="en-US"/>
        </w:rPr>
        <w:t xml:space="preserve"> M.R., Maciel Filho R., 2018</w:t>
      </w:r>
      <w:r w:rsidR="003B6106" w:rsidRPr="003B6106">
        <w:rPr>
          <w:lang w:val="en-US"/>
        </w:rPr>
        <w:t>,</w:t>
      </w:r>
      <w:r w:rsidRPr="003B6106">
        <w:rPr>
          <w:lang w:val="en-US"/>
        </w:rPr>
        <w:t xml:space="preserve"> </w:t>
      </w:r>
      <w:r w:rsidRPr="002D32FC">
        <w:rPr>
          <w:lang w:val="en-US"/>
        </w:rPr>
        <w:t>Optimization of High Temperature Reactive Distillation for Production of Ethyl Levulinate</w:t>
      </w:r>
      <w:r w:rsidR="003B6106">
        <w:rPr>
          <w:lang w:val="en-US"/>
        </w:rPr>
        <w:t>, Chemical Engineering Transactions,</w:t>
      </w:r>
      <w:r w:rsidRPr="003B6106">
        <w:rPr>
          <w:lang w:val="en-US"/>
        </w:rPr>
        <w:t xml:space="preserve"> 69, 379–384. </w:t>
      </w:r>
    </w:p>
    <w:p w14:paraId="1FC9804D" w14:textId="38FAD85E" w:rsidR="002D32FC" w:rsidRPr="002D32FC" w:rsidRDefault="002D32FC" w:rsidP="002D32FC">
      <w:pPr>
        <w:pStyle w:val="CETReferencetext"/>
        <w:rPr>
          <w:lang w:val="en-US"/>
        </w:rPr>
      </w:pPr>
      <w:r w:rsidRPr="003B6106">
        <w:rPr>
          <w:lang w:val="en-US"/>
        </w:rPr>
        <w:t xml:space="preserve">Lopes E.S., </w:t>
      </w:r>
      <w:r w:rsidR="003B6106" w:rsidRPr="003B6106">
        <w:rPr>
          <w:lang w:val="en-US"/>
        </w:rPr>
        <w:t xml:space="preserve">Leal </w:t>
      </w:r>
      <w:r w:rsidRPr="003B6106">
        <w:rPr>
          <w:lang w:val="en-US"/>
        </w:rPr>
        <w:t xml:space="preserve">Silva J.F., Nascimento L.A., Bohórquez J.F.C., Lopes M.S., Tovar L.P., </w:t>
      </w:r>
      <w:r w:rsidR="003B6106" w:rsidRPr="003B6106">
        <w:rPr>
          <w:lang w:val="en-US"/>
        </w:rPr>
        <w:t xml:space="preserve">Maciel </w:t>
      </w:r>
      <w:r w:rsidRPr="003B6106">
        <w:rPr>
          <w:lang w:val="en-US"/>
        </w:rPr>
        <w:t>Filho, R., 2021</w:t>
      </w:r>
      <w:r w:rsidR="003B6106" w:rsidRPr="003B6106">
        <w:rPr>
          <w:lang w:val="en-US"/>
        </w:rPr>
        <w:t>,</w:t>
      </w:r>
      <w:r w:rsidRPr="003B6106">
        <w:rPr>
          <w:lang w:val="en-US"/>
        </w:rPr>
        <w:t xml:space="preserve"> </w:t>
      </w:r>
      <w:r w:rsidRPr="002D32FC">
        <w:rPr>
          <w:lang w:val="en-US"/>
        </w:rPr>
        <w:t>Feasibility of the conversion of sugarcane molasses to levulinic acid: Reaction optimization and techno-economic analysis</w:t>
      </w:r>
      <w:r w:rsidR="003B6106">
        <w:rPr>
          <w:lang w:val="en-US"/>
        </w:rPr>
        <w:t>,</w:t>
      </w:r>
      <w:r w:rsidRPr="002D32FC">
        <w:rPr>
          <w:lang w:val="en-US"/>
        </w:rPr>
        <w:t xml:space="preserve"> </w:t>
      </w:r>
      <w:r w:rsidR="003B6106" w:rsidRPr="003B6106">
        <w:rPr>
          <w:lang w:val="en-US"/>
        </w:rPr>
        <w:t>Industrial &amp; Engineering Chemistry Research</w:t>
      </w:r>
      <w:r w:rsidR="003B6106">
        <w:rPr>
          <w:lang w:val="en-US"/>
        </w:rPr>
        <w:t xml:space="preserve">, </w:t>
      </w:r>
      <w:r w:rsidRPr="002D32FC">
        <w:rPr>
          <w:lang w:val="en-US"/>
        </w:rPr>
        <w:t>60, 15646–15657.</w:t>
      </w:r>
    </w:p>
    <w:p w14:paraId="104BCFF5" w14:textId="32B9D1EF" w:rsidR="002D32FC" w:rsidRPr="002D32FC" w:rsidRDefault="002D32FC" w:rsidP="002D32FC">
      <w:pPr>
        <w:pStyle w:val="CETReferencetext"/>
        <w:rPr>
          <w:lang w:val="en-US"/>
        </w:rPr>
      </w:pPr>
      <w:r w:rsidRPr="002D32FC">
        <w:rPr>
          <w:lang w:val="en-US"/>
        </w:rPr>
        <w:t>Maciel Filho R., Wolf Maciel M.R., Domingues A., Stinghen A.O., 1996</w:t>
      </w:r>
      <w:r w:rsidR="003B6106">
        <w:rPr>
          <w:lang w:val="en-US"/>
        </w:rPr>
        <w:t>,</w:t>
      </w:r>
      <w:r w:rsidRPr="002D32FC">
        <w:rPr>
          <w:lang w:val="en-US"/>
        </w:rPr>
        <w:t xml:space="preserve"> Computer aided design of acetaldehyde plant with zero avoidable pollution</w:t>
      </w:r>
      <w:r w:rsidR="003B6106">
        <w:rPr>
          <w:lang w:val="en-US"/>
        </w:rPr>
        <w:t>,</w:t>
      </w:r>
      <w:r w:rsidRPr="002D32FC">
        <w:rPr>
          <w:lang w:val="en-US"/>
        </w:rPr>
        <w:t xml:space="preserve"> </w:t>
      </w:r>
      <w:r w:rsidR="003B6106" w:rsidRPr="003B6106">
        <w:rPr>
          <w:lang w:val="en-US"/>
        </w:rPr>
        <w:t>Computers &amp; Chemical Engineering</w:t>
      </w:r>
      <w:r w:rsidR="003B6106">
        <w:rPr>
          <w:lang w:val="en-US"/>
        </w:rPr>
        <w:t xml:space="preserve">, </w:t>
      </w:r>
      <w:r w:rsidRPr="002D32FC">
        <w:rPr>
          <w:lang w:val="en-US"/>
        </w:rPr>
        <w:t>20, S1389–S1393.</w:t>
      </w:r>
    </w:p>
    <w:p w14:paraId="4775B681" w14:textId="74D1D90D" w:rsidR="002D32FC" w:rsidRPr="002D32FC" w:rsidRDefault="002D32FC" w:rsidP="002D32FC">
      <w:pPr>
        <w:pStyle w:val="CETReferencetext"/>
        <w:rPr>
          <w:lang w:val="en-US"/>
        </w:rPr>
      </w:pPr>
      <w:r w:rsidRPr="002D32FC">
        <w:rPr>
          <w:lang w:val="en-US"/>
        </w:rPr>
        <w:t>Moulijn J.A., Makkee M.</w:t>
      </w:r>
      <w:r w:rsidR="003B6106">
        <w:rPr>
          <w:lang w:val="en-US"/>
        </w:rPr>
        <w:t>,</w:t>
      </w:r>
      <w:r w:rsidRPr="002D32FC">
        <w:rPr>
          <w:lang w:val="en-US"/>
        </w:rPr>
        <w:t xml:space="preserve"> Diepen A. van, 2013</w:t>
      </w:r>
      <w:r w:rsidR="003B6106">
        <w:rPr>
          <w:lang w:val="en-US"/>
        </w:rPr>
        <w:t>,</w:t>
      </w:r>
      <w:r w:rsidRPr="002D32FC">
        <w:rPr>
          <w:lang w:val="en-US"/>
        </w:rPr>
        <w:t xml:space="preserve"> Chemical process technology. John Wiley &amp; Sons.</w:t>
      </w:r>
    </w:p>
    <w:p w14:paraId="09E75E2A" w14:textId="07CC9F78" w:rsidR="002D32FC" w:rsidRPr="003B6106" w:rsidRDefault="002D32FC" w:rsidP="002D32FC">
      <w:pPr>
        <w:pStyle w:val="CETReferencetext"/>
        <w:rPr>
          <w:lang w:val="en-US"/>
        </w:rPr>
      </w:pPr>
      <w:r w:rsidRPr="003B6106">
        <w:rPr>
          <w:lang w:val="en-US"/>
        </w:rPr>
        <w:t>Ncube A., Mtetwa S., Bukhari M., Fiorentino G., Passaro R., 2023</w:t>
      </w:r>
      <w:r w:rsidR="003B6106" w:rsidRPr="003B6106">
        <w:rPr>
          <w:lang w:val="en-US"/>
        </w:rPr>
        <w:t>,</w:t>
      </w:r>
      <w:r w:rsidRPr="003B6106">
        <w:rPr>
          <w:lang w:val="en-US"/>
        </w:rPr>
        <w:t xml:space="preserve"> </w:t>
      </w:r>
      <w:r w:rsidRPr="002D32FC">
        <w:rPr>
          <w:lang w:val="en-US"/>
        </w:rPr>
        <w:t>Circular Economy and Green Chemistry: The Need for Radical Innovative Approaches in the Design for New Products</w:t>
      </w:r>
      <w:r w:rsidR="003B6106">
        <w:rPr>
          <w:lang w:val="en-US"/>
        </w:rPr>
        <w:t>,</w:t>
      </w:r>
      <w:r w:rsidRPr="002D32FC">
        <w:rPr>
          <w:lang w:val="en-US"/>
        </w:rPr>
        <w:t xml:space="preserve"> </w:t>
      </w:r>
      <w:r w:rsidRPr="003B6106">
        <w:rPr>
          <w:lang w:val="en-US"/>
        </w:rPr>
        <w:t xml:space="preserve">Energies, </w:t>
      </w:r>
      <w:r w:rsidR="003B6106">
        <w:rPr>
          <w:lang w:val="en-US"/>
        </w:rPr>
        <w:t>16(4)</w:t>
      </w:r>
      <w:r w:rsidRPr="003B6106">
        <w:rPr>
          <w:lang w:val="en-US"/>
        </w:rPr>
        <w:t xml:space="preserve">, 1752. </w:t>
      </w:r>
    </w:p>
    <w:p w14:paraId="0C1428EF" w14:textId="5C7B8D63" w:rsidR="002D32FC" w:rsidRPr="002D32FC" w:rsidRDefault="002D32FC" w:rsidP="002D32FC">
      <w:pPr>
        <w:pStyle w:val="CETReferencetext"/>
        <w:rPr>
          <w:lang w:val="en-US"/>
        </w:rPr>
      </w:pPr>
      <w:r w:rsidRPr="00480874">
        <w:rPr>
          <w:lang w:val="en-US"/>
        </w:rPr>
        <w:t>Solarte-Toro J.C., Cardona Alzate C.A., 2021</w:t>
      </w:r>
      <w:r w:rsidR="00480874" w:rsidRPr="00480874">
        <w:rPr>
          <w:lang w:val="en-US"/>
        </w:rPr>
        <w:t>,</w:t>
      </w:r>
      <w:r w:rsidRPr="00480874">
        <w:rPr>
          <w:lang w:val="en-US"/>
        </w:rPr>
        <w:t xml:space="preserve"> </w:t>
      </w:r>
      <w:r w:rsidRPr="002D32FC">
        <w:rPr>
          <w:lang w:val="en-US"/>
        </w:rPr>
        <w:t xml:space="preserve">Perspectives of the Sustainability Assessment of Biorefineries. </w:t>
      </w:r>
      <w:r w:rsidR="00480874">
        <w:rPr>
          <w:lang w:val="en-US"/>
        </w:rPr>
        <w:t>Chemical Engineering Transactions,</w:t>
      </w:r>
      <w:r w:rsidRPr="002D32FC">
        <w:rPr>
          <w:lang w:val="en-US"/>
        </w:rPr>
        <w:t xml:space="preserve"> 83, 307–312.</w:t>
      </w:r>
    </w:p>
    <w:p w14:paraId="7C730AB9" w14:textId="01FE5C7D" w:rsidR="002D32FC" w:rsidRPr="002D32FC" w:rsidRDefault="002D32FC" w:rsidP="002D32FC">
      <w:pPr>
        <w:pStyle w:val="CETReferencetext"/>
        <w:rPr>
          <w:lang w:val="en-US"/>
        </w:rPr>
      </w:pPr>
      <w:r w:rsidRPr="0069574D">
        <w:rPr>
          <w:lang w:val="en-US"/>
        </w:rPr>
        <w:t>Souza N.R.D. Cavalett O., Junqueir</w:t>
      </w:r>
      <w:r w:rsidR="00480874" w:rsidRPr="0069574D">
        <w:rPr>
          <w:lang w:val="en-US"/>
        </w:rPr>
        <w:t>a</w:t>
      </w:r>
      <w:r w:rsidRPr="0069574D">
        <w:rPr>
          <w:lang w:val="en-US"/>
        </w:rPr>
        <w:t xml:space="preserve"> T.L., 2022. </w:t>
      </w:r>
      <w:r w:rsidRPr="002D32FC">
        <w:rPr>
          <w:lang w:val="en-US"/>
        </w:rPr>
        <w:t>Techno-economic and environmental assessment of bioenergy and livestock integrated systems in Brazil</w:t>
      </w:r>
      <w:r w:rsidR="00480874">
        <w:rPr>
          <w:lang w:val="en-US"/>
        </w:rPr>
        <w:t>,</w:t>
      </w:r>
      <w:r w:rsidRPr="002D32FC">
        <w:rPr>
          <w:lang w:val="en-US"/>
        </w:rPr>
        <w:t xml:space="preserve"> </w:t>
      </w:r>
      <w:r w:rsidR="00480874" w:rsidRPr="00480874">
        <w:rPr>
          <w:lang w:val="en-US"/>
        </w:rPr>
        <w:t>Sustainable Production and Consumption</w:t>
      </w:r>
      <w:r w:rsidR="00480874">
        <w:rPr>
          <w:lang w:val="en-US"/>
        </w:rPr>
        <w:t xml:space="preserve">, </w:t>
      </w:r>
      <w:r w:rsidRPr="002D32FC">
        <w:rPr>
          <w:lang w:val="en-US"/>
        </w:rPr>
        <w:t xml:space="preserve">32, 580–592. </w:t>
      </w:r>
    </w:p>
    <w:p w14:paraId="646F5A5C" w14:textId="657CC438" w:rsidR="002D32FC" w:rsidRPr="002D32FC" w:rsidRDefault="002D32FC" w:rsidP="002D32FC">
      <w:pPr>
        <w:pStyle w:val="CETReferencetext"/>
        <w:rPr>
          <w:lang w:val="en-US"/>
        </w:rPr>
      </w:pPr>
      <w:r w:rsidRPr="002D32FC">
        <w:rPr>
          <w:lang w:val="en-US"/>
        </w:rPr>
        <w:t>Turton R., Shaeiwitz J.A., Bhattacharyya D., Whiting W.B., 2018</w:t>
      </w:r>
      <w:r w:rsidR="00480874">
        <w:rPr>
          <w:lang w:val="en-US"/>
        </w:rPr>
        <w:t>,</w:t>
      </w:r>
      <w:r w:rsidRPr="002D32FC">
        <w:rPr>
          <w:lang w:val="en-US"/>
        </w:rPr>
        <w:t xml:space="preserve"> Analysis, Synthesis, and Design of Chemical Processes, 5</w:t>
      </w:r>
      <w:r w:rsidRPr="00480874">
        <w:rPr>
          <w:vertAlign w:val="superscript"/>
          <w:lang w:val="en-US"/>
        </w:rPr>
        <w:t>th</w:t>
      </w:r>
      <w:r w:rsidRPr="002D32FC">
        <w:rPr>
          <w:lang w:val="en-US"/>
        </w:rPr>
        <w:t xml:space="preserve"> ed.</w:t>
      </w:r>
      <w:r w:rsidR="00480874">
        <w:rPr>
          <w:lang w:val="en-US"/>
        </w:rPr>
        <w:t>,</w:t>
      </w:r>
      <w:r w:rsidRPr="002D32FC">
        <w:rPr>
          <w:lang w:val="en-US"/>
        </w:rPr>
        <w:t xml:space="preserve"> Pearson Education, New Jersey, USA.</w:t>
      </w:r>
    </w:p>
    <w:p w14:paraId="1EEA5EB4" w14:textId="2CC2B77F" w:rsidR="002D32FC" w:rsidRPr="002D32FC" w:rsidRDefault="002D32FC" w:rsidP="002D32FC">
      <w:pPr>
        <w:pStyle w:val="CETReferencetext"/>
        <w:rPr>
          <w:lang w:val="en-US"/>
        </w:rPr>
      </w:pPr>
      <w:r w:rsidRPr="002D32FC">
        <w:rPr>
          <w:lang w:val="en-US"/>
        </w:rPr>
        <w:t>Ulrich G.D., Vasudevan P.T., 2006</w:t>
      </w:r>
      <w:r w:rsidR="00480874">
        <w:rPr>
          <w:lang w:val="en-US"/>
        </w:rPr>
        <w:t>,</w:t>
      </w:r>
      <w:r w:rsidRPr="002D32FC">
        <w:rPr>
          <w:lang w:val="en-US"/>
        </w:rPr>
        <w:t xml:space="preserve"> How to Estimate Utility Costs</w:t>
      </w:r>
      <w:r w:rsidR="00480874">
        <w:rPr>
          <w:lang w:val="en-US"/>
        </w:rPr>
        <w:t>,</w:t>
      </w:r>
      <w:r w:rsidRPr="002D32FC">
        <w:rPr>
          <w:lang w:val="en-US"/>
        </w:rPr>
        <w:t xml:space="preserve"> Chem</w:t>
      </w:r>
      <w:r w:rsidR="00480874">
        <w:rPr>
          <w:lang w:val="en-US"/>
        </w:rPr>
        <w:t>ical</w:t>
      </w:r>
      <w:r w:rsidRPr="002D32FC">
        <w:rPr>
          <w:lang w:val="en-US"/>
        </w:rPr>
        <w:t xml:space="preserve"> Eng</w:t>
      </w:r>
      <w:r w:rsidR="00480874">
        <w:rPr>
          <w:lang w:val="en-US"/>
        </w:rPr>
        <w:t>ineering,</w:t>
      </w:r>
      <w:r w:rsidRPr="002D32FC">
        <w:rPr>
          <w:lang w:val="en-US"/>
        </w:rPr>
        <w:t xml:space="preserve"> April, 66–69.</w:t>
      </w:r>
    </w:p>
    <w:p w14:paraId="26971547" w14:textId="77777777" w:rsidR="002D32FC" w:rsidRDefault="002D32FC" w:rsidP="007A1EA3">
      <w:pPr>
        <w:pStyle w:val="CETReference"/>
        <w:rPr>
          <w:lang w:val="en-US"/>
        </w:rPr>
      </w:pPr>
    </w:p>
    <w:p w14:paraId="301F52B8" w14:textId="5FC88EB1" w:rsidR="007A1EA3" w:rsidRDefault="007A1EA3" w:rsidP="00600535">
      <w:pPr>
        <w:pStyle w:val="CETBodytext"/>
      </w:pPr>
    </w:p>
    <w:sectPr w:rsidR="007A1EA3" w:rsidSect="00780694">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1BF102" w14:textId="77777777" w:rsidR="00780694" w:rsidRDefault="00780694" w:rsidP="004F5E36">
      <w:r>
        <w:separator/>
      </w:r>
    </w:p>
  </w:endnote>
  <w:endnote w:type="continuationSeparator" w:id="0">
    <w:p w14:paraId="7417B9A0" w14:textId="77777777" w:rsidR="00780694" w:rsidRDefault="0078069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5D805" w14:textId="77777777" w:rsidR="00780694" w:rsidRDefault="00780694" w:rsidP="004F5E36">
      <w:r>
        <w:separator/>
      </w:r>
    </w:p>
  </w:footnote>
  <w:footnote w:type="continuationSeparator" w:id="0">
    <w:p w14:paraId="55ACC1F2" w14:textId="77777777" w:rsidR="00780694" w:rsidRDefault="0078069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8FAK35pNMtAAAA"/>
  </w:docVars>
  <w:rsids>
    <w:rsidRoot w:val="000E414A"/>
    <w:rsid w:val="000027C0"/>
    <w:rsid w:val="000052FB"/>
    <w:rsid w:val="000117CB"/>
    <w:rsid w:val="00020FC7"/>
    <w:rsid w:val="0003148D"/>
    <w:rsid w:val="00031EEC"/>
    <w:rsid w:val="00035C10"/>
    <w:rsid w:val="00051566"/>
    <w:rsid w:val="000562A9"/>
    <w:rsid w:val="00062A9A"/>
    <w:rsid w:val="00065058"/>
    <w:rsid w:val="00082234"/>
    <w:rsid w:val="00086C39"/>
    <w:rsid w:val="000A03B2"/>
    <w:rsid w:val="000A41FC"/>
    <w:rsid w:val="000D0268"/>
    <w:rsid w:val="000D34BE"/>
    <w:rsid w:val="000E102F"/>
    <w:rsid w:val="000E2B92"/>
    <w:rsid w:val="000E36F1"/>
    <w:rsid w:val="000E3A73"/>
    <w:rsid w:val="000E414A"/>
    <w:rsid w:val="000F093C"/>
    <w:rsid w:val="000F787B"/>
    <w:rsid w:val="00110015"/>
    <w:rsid w:val="0012091F"/>
    <w:rsid w:val="00126BC2"/>
    <w:rsid w:val="001308B6"/>
    <w:rsid w:val="0013121F"/>
    <w:rsid w:val="00131FE6"/>
    <w:rsid w:val="0013263F"/>
    <w:rsid w:val="001331DF"/>
    <w:rsid w:val="00134DE4"/>
    <w:rsid w:val="0014034D"/>
    <w:rsid w:val="00144D16"/>
    <w:rsid w:val="00150E59"/>
    <w:rsid w:val="00152DE3"/>
    <w:rsid w:val="00156F74"/>
    <w:rsid w:val="0016396F"/>
    <w:rsid w:val="00164CF9"/>
    <w:rsid w:val="001667A6"/>
    <w:rsid w:val="00184AD6"/>
    <w:rsid w:val="001A4AF7"/>
    <w:rsid w:val="001B0349"/>
    <w:rsid w:val="001B1E93"/>
    <w:rsid w:val="001B65C1"/>
    <w:rsid w:val="001C4DDA"/>
    <w:rsid w:val="001C684B"/>
    <w:rsid w:val="001D0CFB"/>
    <w:rsid w:val="001D21AF"/>
    <w:rsid w:val="001D53FC"/>
    <w:rsid w:val="001F42A5"/>
    <w:rsid w:val="001F7B9D"/>
    <w:rsid w:val="00201C93"/>
    <w:rsid w:val="002224B4"/>
    <w:rsid w:val="00231A76"/>
    <w:rsid w:val="002447EF"/>
    <w:rsid w:val="00251550"/>
    <w:rsid w:val="00263B05"/>
    <w:rsid w:val="0027221A"/>
    <w:rsid w:val="00275B61"/>
    <w:rsid w:val="00280FAF"/>
    <w:rsid w:val="00282656"/>
    <w:rsid w:val="00296B83"/>
    <w:rsid w:val="002B4015"/>
    <w:rsid w:val="002B78CE"/>
    <w:rsid w:val="002C2FB6"/>
    <w:rsid w:val="002C329D"/>
    <w:rsid w:val="002D32FC"/>
    <w:rsid w:val="002E5FA7"/>
    <w:rsid w:val="002E6BCA"/>
    <w:rsid w:val="002F3309"/>
    <w:rsid w:val="003008CE"/>
    <w:rsid w:val="003009B7"/>
    <w:rsid w:val="00300E56"/>
    <w:rsid w:val="0030152C"/>
    <w:rsid w:val="0030469C"/>
    <w:rsid w:val="00317C8A"/>
    <w:rsid w:val="00321CA6"/>
    <w:rsid w:val="00323763"/>
    <w:rsid w:val="00323C5F"/>
    <w:rsid w:val="00334C09"/>
    <w:rsid w:val="00371E81"/>
    <w:rsid w:val="003723D4"/>
    <w:rsid w:val="00377025"/>
    <w:rsid w:val="00381905"/>
    <w:rsid w:val="00384CC8"/>
    <w:rsid w:val="003871FD"/>
    <w:rsid w:val="00393D6F"/>
    <w:rsid w:val="003A1E30"/>
    <w:rsid w:val="003A2829"/>
    <w:rsid w:val="003A6FC6"/>
    <w:rsid w:val="003A7D1C"/>
    <w:rsid w:val="003B304B"/>
    <w:rsid w:val="003B3146"/>
    <w:rsid w:val="003B6106"/>
    <w:rsid w:val="003D27AE"/>
    <w:rsid w:val="003D648C"/>
    <w:rsid w:val="003E6D05"/>
    <w:rsid w:val="003F015E"/>
    <w:rsid w:val="00400414"/>
    <w:rsid w:val="00410D5D"/>
    <w:rsid w:val="004112F2"/>
    <w:rsid w:val="0041446B"/>
    <w:rsid w:val="0044071E"/>
    <w:rsid w:val="0044329C"/>
    <w:rsid w:val="0045054D"/>
    <w:rsid w:val="00453E24"/>
    <w:rsid w:val="00457456"/>
    <w:rsid w:val="004577FE"/>
    <w:rsid w:val="00457B9C"/>
    <w:rsid w:val="0046164A"/>
    <w:rsid w:val="004628D2"/>
    <w:rsid w:val="00462DCD"/>
    <w:rsid w:val="004648AD"/>
    <w:rsid w:val="004703A9"/>
    <w:rsid w:val="00475A34"/>
    <w:rsid w:val="004760DE"/>
    <w:rsid w:val="004761E9"/>
    <w:rsid w:val="004763D7"/>
    <w:rsid w:val="00480874"/>
    <w:rsid w:val="00484C82"/>
    <w:rsid w:val="004A004E"/>
    <w:rsid w:val="004A24CF"/>
    <w:rsid w:val="004C3D1D"/>
    <w:rsid w:val="004C3D84"/>
    <w:rsid w:val="004C7913"/>
    <w:rsid w:val="004E4DD6"/>
    <w:rsid w:val="004F5E36"/>
    <w:rsid w:val="00507B47"/>
    <w:rsid w:val="00507BEF"/>
    <w:rsid w:val="00507CC9"/>
    <w:rsid w:val="005119A5"/>
    <w:rsid w:val="00516AAC"/>
    <w:rsid w:val="005278B7"/>
    <w:rsid w:val="00532016"/>
    <w:rsid w:val="005346C8"/>
    <w:rsid w:val="00534B61"/>
    <w:rsid w:val="00543E7D"/>
    <w:rsid w:val="00547A68"/>
    <w:rsid w:val="005531C9"/>
    <w:rsid w:val="00570C43"/>
    <w:rsid w:val="00585767"/>
    <w:rsid w:val="00592053"/>
    <w:rsid w:val="005A33A9"/>
    <w:rsid w:val="005B2110"/>
    <w:rsid w:val="005B61E6"/>
    <w:rsid w:val="005C77E1"/>
    <w:rsid w:val="005D668A"/>
    <w:rsid w:val="005D6A2F"/>
    <w:rsid w:val="005E09EF"/>
    <w:rsid w:val="005E1618"/>
    <w:rsid w:val="005E1A82"/>
    <w:rsid w:val="005E794C"/>
    <w:rsid w:val="005F0A28"/>
    <w:rsid w:val="005F0E5E"/>
    <w:rsid w:val="00600535"/>
    <w:rsid w:val="006033C5"/>
    <w:rsid w:val="00610CD6"/>
    <w:rsid w:val="00620DEE"/>
    <w:rsid w:val="00621F92"/>
    <w:rsid w:val="0062280A"/>
    <w:rsid w:val="00625639"/>
    <w:rsid w:val="00631B33"/>
    <w:rsid w:val="006339ED"/>
    <w:rsid w:val="0064184D"/>
    <w:rsid w:val="006422CC"/>
    <w:rsid w:val="00660E3E"/>
    <w:rsid w:val="00662E74"/>
    <w:rsid w:val="00680C23"/>
    <w:rsid w:val="00687CF7"/>
    <w:rsid w:val="00693766"/>
    <w:rsid w:val="0069574D"/>
    <w:rsid w:val="006A23E9"/>
    <w:rsid w:val="006A3281"/>
    <w:rsid w:val="006B4888"/>
    <w:rsid w:val="006C2E45"/>
    <w:rsid w:val="006C359C"/>
    <w:rsid w:val="006C5579"/>
    <w:rsid w:val="006D6E8B"/>
    <w:rsid w:val="006D77DF"/>
    <w:rsid w:val="006E2582"/>
    <w:rsid w:val="006E737D"/>
    <w:rsid w:val="006F5048"/>
    <w:rsid w:val="00713973"/>
    <w:rsid w:val="00720A24"/>
    <w:rsid w:val="007235C8"/>
    <w:rsid w:val="00732386"/>
    <w:rsid w:val="0073403F"/>
    <w:rsid w:val="0073514D"/>
    <w:rsid w:val="007447F3"/>
    <w:rsid w:val="0075499F"/>
    <w:rsid w:val="00760D23"/>
    <w:rsid w:val="007661C8"/>
    <w:rsid w:val="0077098D"/>
    <w:rsid w:val="00780694"/>
    <w:rsid w:val="007931FA"/>
    <w:rsid w:val="00797C5E"/>
    <w:rsid w:val="007A1EA3"/>
    <w:rsid w:val="007A4861"/>
    <w:rsid w:val="007A7BBA"/>
    <w:rsid w:val="007B0C50"/>
    <w:rsid w:val="007B48F9"/>
    <w:rsid w:val="007C1A43"/>
    <w:rsid w:val="007C4BB0"/>
    <w:rsid w:val="007D0951"/>
    <w:rsid w:val="0080013E"/>
    <w:rsid w:val="00813288"/>
    <w:rsid w:val="008168FC"/>
    <w:rsid w:val="00830996"/>
    <w:rsid w:val="008345F1"/>
    <w:rsid w:val="00843EAC"/>
    <w:rsid w:val="00865B07"/>
    <w:rsid w:val="008667EA"/>
    <w:rsid w:val="0087637F"/>
    <w:rsid w:val="00887901"/>
    <w:rsid w:val="00892AD5"/>
    <w:rsid w:val="008A1512"/>
    <w:rsid w:val="008B7C03"/>
    <w:rsid w:val="008D0834"/>
    <w:rsid w:val="008D32B9"/>
    <w:rsid w:val="008D433B"/>
    <w:rsid w:val="008D4A16"/>
    <w:rsid w:val="008E566E"/>
    <w:rsid w:val="0090161A"/>
    <w:rsid w:val="00901EB6"/>
    <w:rsid w:val="00902EDA"/>
    <w:rsid w:val="00904C62"/>
    <w:rsid w:val="00922BA8"/>
    <w:rsid w:val="00924DAC"/>
    <w:rsid w:val="00927058"/>
    <w:rsid w:val="00942750"/>
    <w:rsid w:val="009450CE"/>
    <w:rsid w:val="009459BB"/>
    <w:rsid w:val="00947179"/>
    <w:rsid w:val="0095164B"/>
    <w:rsid w:val="00954090"/>
    <w:rsid w:val="009573E7"/>
    <w:rsid w:val="0096178A"/>
    <w:rsid w:val="00963E05"/>
    <w:rsid w:val="00964A45"/>
    <w:rsid w:val="00967843"/>
    <w:rsid w:val="00967D54"/>
    <w:rsid w:val="00971028"/>
    <w:rsid w:val="00993B84"/>
    <w:rsid w:val="00996483"/>
    <w:rsid w:val="00996F5A"/>
    <w:rsid w:val="009B041A"/>
    <w:rsid w:val="009B1301"/>
    <w:rsid w:val="009C37C3"/>
    <w:rsid w:val="009C7C86"/>
    <w:rsid w:val="009D2FF7"/>
    <w:rsid w:val="009E7884"/>
    <w:rsid w:val="009E788A"/>
    <w:rsid w:val="009F0E08"/>
    <w:rsid w:val="00A1763D"/>
    <w:rsid w:val="00A17CEC"/>
    <w:rsid w:val="00A21AD2"/>
    <w:rsid w:val="00A27EF0"/>
    <w:rsid w:val="00A42361"/>
    <w:rsid w:val="00A50B20"/>
    <w:rsid w:val="00A51390"/>
    <w:rsid w:val="00A60701"/>
    <w:rsid w:val="00A60D13"/>
    <w:rsid w:val="00A7223D"/>
    <w:rsid w:val="00A72745"/>
    <w:rsid w:val="00A76EFC"/>
    <w:rsid w:val="00A777CB"/>
    <w:rsid w:val="00A82EE2"/>
    <w:rsid w:val="00A86AD8"/>
    <w:rsid w:val="00A87D50"/>
    <w:rsid w:val="00A91010"/>
    <w:rsid w:val="00A97F29"/>
    <w:rsid w:val="00AA702E"/>
    <w:rsid w:val="00AA7D26"/>
    <w:rsid w:val="00AB0964"/>
    <w:rsid w:val="00AB3328"/>
    <w:rsid w:val="00AB5011"/>
    <w:rsid w:val="00AC7368"/>
    <w:rsid w:val="00AD16B9"/>
    <w:rsid w:val="00AE377D"/>
    <w:rsid w:val="00AF0EBA"/>
    <w:rsid w:val="00B02C8A"/>
    <w:rsid w:val="00B036CF"/>
    <w:rsid w:val="00B15EBF"/>
    <w:rsid w:val="00B17FBD"/>
    <w:rsid w:val="00B315A6"/>
    <w:rsid w:val="00B31813"/>
    <w:rsid w:val="00B33365"/>
    <w:rsid w:val="00B57B36"/>
    <w:rsid w:val="00B57E6F"/>
    <w:rsid w:val="00B8686D"/>
    <w:rsid w:val="00B93F69"/>
    <w:rsid w:val="00BA45C6"/>
    <w:rsid w:val="00BB1DDC"/>
    <w:rsid w:val="00BC30C9"/>
    <w:rsid w:val="00BD077D"/>
    <w:rsid w:val="00BE3E58"/>
    <w:rsid w:val="00C01616"/>
    <w:rsid w:val="00C0162B"/>
    <w:rsid w:val="00C03D7C"/>
    <w:rsid w:val="00C05CEE"/>
    <w:rsid w:val="00C068ED"/>
    <w:rsid w:val="00C22E0C"/>
    <w:rsid w:val="00C345B1"/>
    <w:rsid w:val="00C34C00"/>
    <w:rsid w:val="00C40142"/>
    <w:rsid w:val="00C4165A"/>
    <w:rsid w:val="00C451DF"/>
    <w:rsid w:val="00C52C3C"/>
    <w:rsid w:val="00C57182"/>
    <w:rsid w:val="00C57863"/>
    <w:rsid w:val="00C640AF"/>
    <w:rsid w:val="00C655FD"/>
    <w:rsid w:val="00C7142F"/>
    <w:rsid w:val="00C75407"/>
    <w:rsid w:val="00C847C2"/>
    <w:rsid w:val="00C870A8"/>
    <w:rsid w:val="00C94434"/>
    <w:rsid w:val="00C97968"/>
    <w:rsid w:val="00CA0D4A"/>
    <w:rsid w:val="00CA0D75"/>
    <w:rsid w:val="00CA1C95"/>
    <w:rsid w:val="00CA5A9C"/>
    <w:rsid w:val="00CC4C20"/>
    <w:rsid w:val="00CC7DC7"/>
    <w:rsid w:val="00CD3517"/>
    <w:rsid w:val="00CD3AD3"/>
    <w:rsid w:val="00CD5FE2"/>
    <w:rsid w:val="00CE4D6D"/>
    <w:rsid w:val="00CE7C68"/>
    <w:rsid w:val="00CF1DA6"/>
    <w:rsid w:val="00D02B4C"/>
    <w:rsid w:val="00D040C4"/>
    <w:rsid w:val="00D07A7D"/>
    <w:rsid w:val="00D20AD1"/>
    <w:rsid w:val="00D3748D"/>
    <w:rsid w:val="00D41D90"/>
    <w:rsid w:val="00D46B7E"/>
    <w:rsid w:val="00D57C84"/>
    <w:rsid w:val="00D6057D"/>
    <w:rsid w:val="00D648EC"/>
    <w:rsid w:val="00D65477"/>
    <w:rsid w:val="00D71640"/>
    <w:rsid w:val="00D836C5"/>
    <w:rsid w:val="00D84576"/>
    <w:rsid w:val="00D856E1"/>
    <w:rsid w:val="00DA1399"/>
    <w:rsid w:val="00DA24C6"/>
    <w:rsid w:val="00DA4D7B"/>
    <w:rsid w:val="00DB3233"/>
    <w:rsid w:val="00DB5902"/>
    <w:rsid w:val="00DD271C"/>
    <w:rsid w:val="00DE264A"/>
    <w:rsid w:val="00DE6638"/>
    <w:rsid w:val="00DF5072"/>
    <w:rsid w:val="00E02D18"/>
    <w:rsid w:val="00E041E7"/>
    <w:rsid w:val="00E23CA1"/>
    <w:rsid w:val="00E33DD7"/>
    <w:rsid w:val="00E409A8"/>
    <w:rsid w:val="00E50C12"/>
    <w:rsid w:val="00E65B91"/>
    <w:rsid w:val="00E70327"/>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49E"/>
    <w:rsid w:val="00F30C64"/>
    <w:rsid w:val="00F327E9"/>
    <w:rsid w:val="00F32BA2"/>
    <w:rsid w:val="00F32CDB"/>
    <w:rsid w:val="00F565FE"/>
    <w:rsid w:val="00F6223A"/>
    <w:rsid w:val="00F63A70"/>
    <w:rsid w:val="00F63D8C"/>
    <w:rsid w:val="00F7534E"/>
    <w:rsid w:val="00F93EDF"/>
    <w:rsid w:val="00FA1802"/>
    <w:rsid w:val="00FA21D0"/>
    <w:rsid w:val="00FA5F5F"/>
    <w:rsid w:val="00FB730C"/>
    <w:rsid w:val="00FC2695"/>
    <w:rsid w:val="00FC3E03"/>
    <w:rsid w:val="00FC3FC1"/>
    <w:rsid w:val="00FE5A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PlaceholderText">
    <w:name w:val="Placeholder Text"/>
    <w:basedOn w:val="DefaultParagraphFont"/>
    <w:uiPriority w:val="99"/>
    <w:semiHidden/>
    <w:rsid w:val="00FE5A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6</Pages>
  <Words>12995</Words>
  <Characters>74076</Characters>
  <Application>Microsoft Office Word</Application>
  <DocSecurity>0</DocSecurity>
  <Lines>617</Lines>
  <Paragraphs>173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86898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Jean Felipe Leal Silva</cp:lastModifiedBy>
  <cp:revision>38</cp:revision>
  <cp:lastPrinted>2015-05-12T18:31:00Z</cp:lastPrinted>
  <dcterms:created xsi:type="dcterms:W3CDTF">2022-09-21T08:52:00Z</dcterms:created>
  <dcterms:modified xsi:type="dcterms:W3CDTF">2024-03-23T11:50:00Z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Citation Style_1">
    <vt:lpwstr>http://www.zotero.org/styles/bioresource-technology</vt:lpwstr>
  </property>
  <property fmtid="{D5CDD505-2E9C-101B-9397-08002B2CF9AE}" pid="6" name="Mendeley Unique User Id_1">
    <vt:lpwstr>609e71e0-d672-3206-afb8-b7f5fba57d34</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http://www.zotero.org/styles/bioresource-technology</vt:lpwstr>
  </property>
  <property fmtid="{D5CDD505-2E9C-101B-9397-08002B2CF9AE}" pid="12" name="Mendeley Recent Style Name 2_1">
    <vt:lpwstr>Bioresource Technology</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http://www.zotero.org/styles/fuel</vt:lpwstr>
  </property>
  <property fmtid="{D5CDD505-2E9C-101B-9397-08002B2CF9AE}" pid="16" name="Mendeley Recent Style Name 4_1">
    <vt:lpwstr>Fuel</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http://www.zotero.org/styles/journal-of-industrial-and-engineering-chemistry</vt:lpwstr>
  </property>
  <property fmtid="{D5CDD505-2E9C-101B-9397-08002B2CF9AE}" pid="20" name="Mendeley Recent Style Name 6_1">
    <vt:lpwstr>Journal of Industrial and Engineering Chemistry</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http://www.zotero.org/styles/associacao-brasileira-de-normas-tecnicas-ufpr</vt:lpwstr>
  </property>
  <property fmtid="{D5CDD505-2E9C-101B-9397-08002B2CF9AE}" pid="24" name="Mendeley Recent Style Name 8_1">
    <vt:lpwstr>Universidade Federal do Paraná - ABNT (Português - Brasil)</vt:lpwstr>
  </property>
  <property fmtid="{D5CDD505-2E9C-101B-9397-08002B2CF9AE}" pid="25" name="Mendeley Recent Style Id 9_1">
    <vt:lpwstr>http://www.zotero.org/styles/associacao-brasileira-de-normas-tecnicas-ufrgs</vt:lpwstr>
  </property>
  <property fmtid="{D5CDD505-2E9C-101B-9397-08002B2CF9AE}" pid="26" name="Mendeley Recent Style Name 9_1">
    <vt:lpwstr>Universidade Federal do Rio Grande do Sul - ABNT (autoria completa) (Português - Brasil)</vt:lpwstr>
  </property>
</Properties>
</file>