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FA86A6A" w:rsidR="00E978D0" w:rsidRPr="00B57B36" w:rsidRDefault="00C368EB" w:rsidP="00E978D0">
      <w:pPr>
        <w:pStyle w:val="CETTitle"/>
      </w:pPr>
      <w:r>
        <w:t>E</w:t>
      </w:r>
      <w:r w:rsidRPr="00C368EB">
        <w:t>valuation of lignocellulosic material composting accelerator bacteria</w:t>
      </w:r>
    </w:p>
    <w:p w14:paraId="0488FED2" w14:textId="5F340A8B" w:rsidR="00B57E6F" w:rsidRPr="00DF0FC5" w:rsidRDefault="009F57E3" w:rsidP="00B57E6F">
      <w:pPr>
        <w:pStyle w:val="CETAuthors"/>
        <w:rPr>
          <w:vertAlign w:val="superscript"/>
          <w:lang w:val="es-CO"/>
        </w:rPr>
      </w:pPr>
      <w:r w:rsidRPr="00DF0FC5">
        <w:rPr>
          <w:lang w:val="es-CO"/>
        </w:rPr>
        <w:t>Arley A. Reales</w:t>
      </w:r>
      <w:r w:rsidR="00B57E6F" w:rsidRPr="00DF0FC5">
        <w:rPr>
          <w:lang w:val="es-CO"/>
        </w:rPr>
        <w:t xml:space="preserve">, </w:t>
      </w:r>
      <w:r w:rsidRPr="00DF0FC5">
        <w:rPr>
          <w:lang w:val="es-CO"/>
        </w:rPr>
        <w:t>Jorge A. Castell</w:t>
      </w:r>
      <w:r>
        <w:rPr>
          <w:lang w:val="es-CO"/>
        </w:rPr>
        <w:t>ón</w:t>
      </w:r>
      <w:r w:rsidR="00B57E6F" w:rsidRPr="00DF0FC5">
        <w:rPr>
          <w:lang w:val="es-CO"/>
        </w:rPr>
        <w:t xml:space="preserve">, </w:t>
      </w:r>
      <w:r w:rsidRPr="00DF0FC5">
        <w:rPr>
          <w:lang w:val="es-CO"/>
        </w:rPr>
        <w:t>Edison A. Zuluaga</w:t>
      </w:r>
      <w:r w:rsidR="00DF0FC5">
        <w:rPr>
          <w:lang w:val="es-CO"/>
        </w:rPr>
        <w:t>,</w:t>
      </w:r>
      <w:r w:rsidR="00DF0FC5" w:rsidRPr="00DF0FC5">
        <w:rPr>
          <w:lang w:val="es-CO"/>
        </w:rPr>
        <w:t xml:space="preserve"> Laura S. Ramírez</w:t>
      </w:r>
      <w:r w:rsidR="00DF0FC5" w:rsidRPr="00DF0FC5">
        <w:rPr>
          <w:vertAlign w:val="superscript"/>
          <w:lang w:val="es-CO"/>
        </w:rPr>
        <w:t>*</w:t>
      </w:r>
    </w:p>
    <w:p w14:paraId="6B2D21B3" w14:textId="4352D715" w:rsidR="00B57E6F" w:rsidRPr="00B57B36" w:rsidRDefault="00CB40EA" w:rsidP="00B57E6F">
      <w:pPr>
        <w:pStyle w:val="CETAddress"/>
      </w:pPr>
      <w:r>
        <w:t>Faculty of Engineering, University of San Buenaventura, Cartagena de Indias, Colombia</w:t>
      </w:r>
      <w:r w:rsidR="00B57E6F" w:rsidRPr="00B57B36">
        <w:t xml:space="preserve"> </w:t>
      </w:r>
    </w:p>
    <w:p w14:paraId="73F1267A" w14:textId="1AA457B6" w:rsidR="00B57E6F" w:rsidRPr="00B57B36" w:rsidRDefault="00CB40EA" w:rsidP="00B57E6F">
      <w:pPr>
        <w:pStyle w:val="CETemail"/>
      </w:pPr>
      <w:r>
        <w:t>laura.ramirez</w:t>
      </w:r>
      <w:r w:rsidR="00B57E6F" w:rsidRPr="00B57B36">
        <w:t>@</w:t>
      </w:r>
      <w:r>
        <w:t>usbctg.edu</w:t>
      </w:r>
      <w:r w:rsidR="00B57E6F" w:rsidRPr="00B57B36">
        <w:t>.co</w:t>
      </w:r>
    </w:p>
    <w:p w14:paraId="768B3E9D" w14:textId="77777777" w:rsidR="009011F6" w:rsidRPr="009011F6" w:rsidRDefault="009011F6" w:rsidP="009011F6">
      <w:pPr>
        <w:pStyle w:val="CETBodytext"/>
        <w:rPr>
          <w:lang w:val="en-GB"/>
        </w:rPr>
      </w:pPr>
    </w:p>
    <w:p w14:paraId="3297526F" w14:textId="6829D1C3" w:rsidR="00CB40EA" w:rsidRDefault="009011F6" w:rsidP="009011F6">
      <w:pPr>
        <w:pStyle w:val="CETBodytext"/>
        <w:rPr>
          <w:lang w:val="en-GB"/>
        </w:rPr>
      </w:pPr>
      <w:r w:rsidRPr="009011F6">
        <w:rPr>
          <w:lang w:val="en-GB"/>
        </w:rPr>
        <w:t xml:space="preserve">Composting is a biotechnological process that decomposes plant waste into soil-enriching products through microbial activity. Control of </w:t>
      </w:r>
      <w:r>
        <w:rPr>
          <w:lang w:val="en-GB"/>
        </w:rPr>
        <w:t>parameters</w:t>
      </w:r>
      <w:r w:rsidRPr="009011F6">
        <w:rPr>
          <w:lang w:val="en-GB"/>
        </w:rPr>
        <w:t xml:space="preserve"> </w:t>
      </w:r>
      <w:r>
        <w:rPr>
          <w:lang w:val="en-GB"/>
        </w:rPr>
        <w:t>such as</w:t>
      </w:r>
      <w:r w:rsidRPr="009011F6">
        <w:rPr>
          <w:lang w:val="en-GB"/>
        </w:rPr>
        <w:t xml:space="preserve"> temperature</w:t>
      </w:r>
      <w:r>
        <w:rPr>
          <w:lang w:val="en-GB"/>
        </w:rPr>
        <w:t xml:space="preserve">, humidity and </w:t>
      </w:r>
      <w:r w:rsidRPr="009011F6">
        <w:rPr>
          <w:lang w:val="en-GB"/>
        </w:rPr>
        <w:t xml:space="preserve">aeration is crucial for </w:t>
      </w:r>
      <w:r>
        <w:rPr>
          <w:lang w:val="en-GB"/>
        </w:rPr>
        <w:t xml:space="preserve">an </w:t>
      </w:r>
      <w:r w:rsidRPr="009011F6">
        <w:rPr>
          <w:lang w:val="en-GB"/>
        </w:rPr>
        <w:t xml:space="preserve">optimal </w:t>
      </w:r>
      <w:r>
        <w:rPr>
          <w:lang w:val="en-GB"/>
        </w:rPr>
        <w:t>process</w:t>
      </w:r>
      <w:r w:rsidRPr="009011F6">
        <w:rPr>
          <w:lang w:val="en-GB"/>
        </w:rPr>
        <w:t xml:space="preserve">, which typically takes months. To </w:t>
      </w:r>
      <w:r>
        <w:rPr>
          <w:lang w:val="en-GB"/>
        </w:rPr>
        <w:t>optimize</w:t>
      </w:r>
      <w:r w:rsidRPr="009011F6">
        <w:rPr>
          <w:lang w:val="en-GB"/>
        </w:rPr>
        <w:t xml:space="preserve"> this, beneficial microorganisms are </w:t>
      </w:r>
      <w:r>
        <w:rPr>
          <w:lang w:val="en-GB"/>
        </w:rPr>
        <w:t>employed</w:t>
      </w:r>
      <w:r w:rsidRPr="009011F6">
        <w:rPr>
          <w:lang w:val="en-GB"/>
        </w:rPr>
        <w:t xml:space="preserve"> (bioaugmentation). Two compost setups were conducted using lignocellulosic material: one open to the outdoors and the other closed. Both comprised</w:t>
      </w:r>
      <w:r>
        <w:rPr>
          <w:lang w:val="en-GB"/>
        </w:rPr>
        <w:t xml:space="preserve"> of</w:t>
      </w:r>
      <w:r w:rsidRPr="009011F6">
        <w:rPr>
          <w:lang w:val="en-GB"/>
        </w:rPr>
        <w:t xml:space="preserve"> dry leaves (58</w:t>
      </w:r>
      <w:r w:rsidR="004B382A">
        <w:rPr>
          <w:lang w:val="en-GB"/>
        </w:rPr>
        <w:t xml:space="preserve"> </w:t>
      </w:r>
      <w:r w:rsidRPr="009011F6">
        <w:rPr>
          <w:lang w:val="en-GB"/>
        </w:rPr>
        <w:t>%), fruit peels (12</w:t>
      </w:r>
      <w:r w:rsidR="004B382A">
        <w:rPr>
          <w:lang w:val="en-GB"/>
        </w:rPr>
        <w:t xml:space="preserve"> </w:t>
      </w:r>
      <w:r w:rsidRPr="009011F6">
        <w:rPr>
          <w:lang w:val="en-GB"/>
        </w:rPr>
        <w:t>% banana and papaya), and water (30</w:t>
      </w:r>
      <w:r w:rsidR="004B382A">
        <w:rPr>
          <w:lang w:val="en-GB"/>
        </w:rPr>
        <w:t xml:space="preserve"> </w:t>
      </w:r>
      <w:r w:rsidRPr="009011F6">
        <w:rPr>
          <w:lang w:val="en-GB"/>
        </w:rPr>
        <w:t xml:space="preserve">%). Parameters were monitored </w:t>
      </w:r>
      <w:r>
        <w:rPr>
          <w:lang w:val="en-GB"/>
        </w:rPr>
        <w:t>every 2 days</w:t>
      </w:r>
      <w:r w:rsidRPr="009011F6">
        <w:rPr>
          <w:lang w:val="en-GB"/>
        </w:rPr>
        <w:t xml:space="preserve"> for </w:t>
      </w:r>
      <w:r>
        <w:rPr>
          <w:lang w:val="en-GB"/>
        </w:rPr>
        <w:t>2</w:t>
      </w:r>
      <w:r w:rsidRPr="009011F6">
        <w:rPr>
          <w:lang w:val="en-GB"/>
        </w:rPr>
        <w:t xml:space="preserve"> months, and samples </w:t>
      </w:r>
      <w:r>
        <w:rPr>
          <w:lang w:val="en-GB"/>
        </w:rPr>
        <w:t xml:space="preserve">were </w:t>
      </w:r>
      <w:r w:rsidRPr="009011F6">
        <w:rPr>
          <w:lang w:val="en-GB"/>
        </w:rPr>
        <w:t>analy</w:t>
      </w:r>
      <w:r>
        <w:rPr>
          <w:lang w:val="en-GB"/>
        </w:rPr>
        <w:t>z</w:t>
      </w:r>
      <w:r w:rsidRPr="009011F6">
        <w:rPr>
          <w:lang w:val="en-GB"/>
        </w:rPr>
        <w:t>ed after seven</w:t>
      </w:r>
      <w:r>
        <w:rPr>
          <w:lang w:val="en-GB"/>
        </w:rPr>
        <w:t xml:space="preserve"> months</w:t>
      </w:r>
      <w:r w:rsidRPr="009011F6">
        <w:rPr>
          <w:lang w:val="en-GB"/>
        </w:rPr>
        <w:t>. Microorganisms were characterized</w:t>
      </w:r>
      <w:r w:rsidR="00F03002">
        <w:rPr>
          <w:lang w:val="en-GB"/>
        </w:rPr>
        <w:t xml:space="preserve"> in</w:t>
      </w:r>
      <w:r w:rsidRPr="009011F6">
        <w:rPr>
          <w:lang w:val="en-GB"/>
        </w:rPr>
        <w:t xml:space="preserve"> Gram-positive and Gram-negative strains</w:t>
      </w:r>
      <w:r w:rsidR="00F03002">
        <w:rPr>
          <w:lang w:val="en-GB"/>
        </w:rPr>
        <w:t>. Subsequently, API tests were employed for identification</w:t>
      </w:r>
      <w:r w:rsidRPr="009011F6">
        <w:rPr>
          <w:lang w:val="en-GB"/>
        </w:rPr>
        <w:t xml:space="preserve">. </w:t>
      </w:r>
      <w:r w:rsidR="00F03002">
        <w:rPr>
          <w:lang w:val="en-GB"/>
        </w:rPr>
        <w:t xml:space="preserve">Four different microorganisms were inoculated individually in other previous described open setups. </w:t>
      </w:r>
      <w:r w:rsidRPr="009011F6">
        <w:rPr>
          <w:lang w:val="en-GB"/>
        </w:rPr>
        <w:t xml:space="preserve">Physiochemical analysis revealed a final C/N ratio of 45 for uninoculated compost. Inoculated compost, particularly with </w:t>
      </w:r>
      <w:r w:rsidRPr="00F03002">
        <w:rPr>
          <w:i/>
          <w:iCs/>
          <w:lang w:val="en-GB"/>
        </w:rPr>
        <w:t>Chromobacterium violaceum</w:t>
      </w:r>
      <w:r w:rsidRPr="009011F6">
        <w:rPr>
          <w:lang w:val="en-GB"/>
        </w:rPr>
        <w:t xml:space="preserve"> and </w:t>
      </w:r>
      <w:r w:rsidRPr="00F03002">
        <w:rPr>
          <w:i/>
          <w:iCs/>
          <w:lang w:val="en-GB"/>
        </w:rPr>
        <w:t>Pseudomonas luteola</w:t>
      </w:r>
      <w:r w:rsidRPr="009011F6">
        <w:rPr>
          <w:lang w:val="en-GB"/>
        </w:rPr>
        <w:t>, showed</w:t>
      </w:r>
      <w:r w:rsidR="00F03002">
        <w:rPr>
          <w:lang w:val="en-GB"/>
        </w:rPr>
        <w:t xml:space="preserve"> a</w:t>
      </w:r>
      <w:r w:rsidRPr="009011F6">
        <w:rPr>
          <w:lang w:val="en-GB"/>
        </w:rPr>
        <w:t xml:space="preserve"> reduced C/N due to their growth, while </w:t>
      </w:r>
      <w:r w:rsidRPr="00F03002">
        <w:rPr>
          <w:i/>
          <w:iCs/>
          <w:lang w:val="en-GB"/>
        </w:rPr>
        <w:t>Paenibacillus alvei</w:t>
      </w:r>
      <w:r w:rsidRPr="009011F6">
        <w:rPr>
          <w:lang w:val="en-GB"/>
        </w:rPr>
        <w:t xml:space="preserve"> and </w:t>
      </w:r>
      <w:r w:rsidRPr="00F03002">
        <w:rPr>
          <w:i/>
          <w:iCs/>
          <w:lang w:val="en-GB"/>
        </w:rPr>
        <w:t>Lactobacillus collinoide</w:t>
      </w:r>
      <w:r w:rsidRPr="009011F6">
        <w:rPr>
          <w:lang w:val="en-GB"/>
        </w:rPr>
        <w:t>s improved phosphorus solubilization and reduced soluble organic carbon</w:t>
      </w:r>
      <w:r w:rsidR="00F03002">
        <w:rPr>
          <w:lang w:val="en-GB"/>
        </w:rPr>
        <w:t>, respectively</w:t>
      </w:r>
      <w:r w:rsidRPr="009011F6">
        <w:rPr>
          <w:lang w:val="en-GB"/>
        </w:rPr>
        <w:t xml:space="preserve">. </w:t>
      </w:r>
      <w:r w:rsidR="00F03002">
        <w:rPr>
          <w:lang w:val="en-GB"/>
        </w:rPr>
        <w:t xml:space="preserve">Additionally, </w:t>
      </w:r>
      <w:r w:rsidRPr="00F03002">
        <w:rPr>
          <w:i/>
          <w:iCs/>
          <w:lang w:val="en-GB"/>
        </w:rPr>
        <w:t>C</w:t>
      </w:r>
      <w:r w:rsidR="00F03002" w:rsidRPr="00F03002">
        <w:rPr>
          <w:i/>
          <w:iCs/>
          <w:lang w:val="en-GB"/>
        </w:rPr>
        <w:t>.</w:t>
      </w:r>
      <w:r w:rsidRPr="00F03002">
        <w:rPr>
          <w:i/>
          <w:iCs/>
          <w:lang w:val="en-GB"/>
        </w:rPr>
        <w:t xml:space="preserve"> violaceum</w:t>
      </w:r>
      <w:r w:rsidRPr="009011F6">
        <w:rPr>
          <w:lang w:val="en-GB"/>
        </w:rPr>
        <w:t xml:space="preserve"> showed the highest growth rate and substrate consumption. Inoculants decreased the C/N ratio by up to 60</w:t>
      </w:r>
      <w:r w:rsidR="004B382A">
        <w:rPr>
          <w:lang w:val="en-GB"/>
        </w:rPr>
        <w:t xml:space="preserve"> </w:t>
      </w:r>
      <w:r w:rsidRPr="009011F6">
        <w:rPr>
          <w:lang w:val="en-GB"/>
        </w:rPr>
        <w:t xml:space="preserve">% in 45 days, compared to 170 without. This </w:t>
      </w:r>
      <w:r w:rsidR="00AB015A">
        <w:rPr>
          <w:lang w:val="en-GB"/>
        </w:rPr>
        <w:t>shows</w:t>
      </w:r>
      <w:r w:rsidRPr="009011F6">
        <w:rPr>
          <w:lang w:val="en-GB"/>
        </w:rPr>
        <w:t xml:space="preserve"> the acceleration of </w:t>
      </w:r>
      <w:r w:rsidR="00AB015A">
        <w:rPr>
          <w:lang w:val="en-GB"/>
        </w:rPr>
        <w:t>lignocellulosic-based compost</w:t>
      </w:r>
      <w:r w:rsidRPr="009011F6">
        <w:rPr>
          <w:lang w:val="en-GB"/>
        </w:rPr>
        <w:t xml:space="preserve"> by </w:t>
      </w:r>
      <w:r w:rsidR="00AB015A">
        <w:rPr>
          <w:lang w:val="en-GB"/>
        </w:rPr>
        <w:t>the tested bacteria</w:t>
      </w:r>
      <w:r w:rsidRPr="009011F6">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08C9B071" w14:textId="27610992" w:rsidR="00A54D97" w:rsidRPr="00A54D97" w:rsidRDefault="00A54D97" w:rsidP="00A54D97">
      <w:pPr>
        <w:pStyle w:val="CETBodytext"/>
        <w:rPr>
          <w:lang w:val="en-GB"/>
        </w:rPr>
      </w:pPr>
      <w:r w:rsidRPr="00A54D97">
        <w:rPr>
          <w:lang w:val="en-GB"/>
        </w:rPr>
        <w:t>Each year, 14</w:t>
      </w:r>
      <w:r w:rsidR="004B382A">
        <w:rPr>
          <w:lang w:val="en-GB"/>
        </w:rPr>
        <w:t xml:space="preserve"> </w:t>
      </w:r>
      <w:r w:rsidRPr="00A54D97">
        <w:rPr>
          <w:lang w:val="en-GB"/>
        </w:rPr>
        <w:t xml:space="preserve">% of the world's food production is wasted, either post-harvest or before reaching the market </w:t>
      </w:r>
      <w:r w:rsidR="00CB2838">
        <w:rPr>
          <w:lang w:val="en-GB"/>
        </w:rPr>
        <w:t>(FAO, 2022)</w:t>
      </w:r>
      <w:r w:rsidRPr="00A54D97">
        <w:rPr>
          <w:lang w:val="en-GB"/>
        </w:rPr>
        <w:t>. Improper disposal of these wastes, mainly composed of lignocellulosic plant matter, leads to environmental pollution through phenomena such as pollution, eutrophication, and even health issues</w:t>
      </w:r>
      <w:r w:rsidR="00CB2838">
        <w:rPr>
          <w:lang w:val="en-GB"/>
        </w:rPr>
        <w:t xml:space="preserve"> (Liu et al., 2022; Ávila Avelar, 2019; Sharma et al., 2019; Xu et al., 2018)</w:t>
      </w:r>
      <w:r w:rsidRPr="00A54D97">
        <w:rPr>
          <w:lang w:val="en-GB"/>
        </w:rPr>
        <w:t xml:space="preserve">. These organic wastes can be treated through composting to stabilize them and minimize their environmental impact </w:t>
      </w:r>
      <w:r w:rsidR="00CB2838">
        <w:rPr>
          <w:lang w:val="en-GB"/>
        </w:rPr>
        <w:t>(Azim et al., 2018).</w:t>
      </w:r>
      <w:r w:rsidRPr="00A54D97">
        <w:rPr>
          <w:lang w:val="en-GB"/>
        </w:rPr>
        <w:t xml:space="preserve"> Composting is a technique for producing organic fertilizers or compost, involving the degradation of organic waste by various bacteria and fungi. </w:t>
      </w:r>
      <w:r>
        <w:rPr>
          <w:lang w:val="en-GB"/>
        </w:rPr>
        <w:t>Although</w:t>
      </w:r>
      <w:r w:rsidRPr="00A54D97">
        <w:rPr>
          <w:lang w:val="en-GB"/>
        </w:rPr>
        <w:t xml:space="preserve"> generally </w:t>
      </w:r>
      <w:r>
        <w:rPr>
          <w:lang w:val="en-GB"/>
        </w:rPr>
        <w:t xml:space="preserve">is </w:t>
      </w:r>
      <w:r w:rsidRPr="00A54D97">
        <w:rPr>
          <w:lang w:val="en-GB"/>
        </w:rPr>
        <w:t xml:space="preserve">simple and economically accessible, this process typically takes several months to complete </w:t>
      </w:r>
      <w:r w:rsidR="00CB2838">
        <w:rPr>
          <w:lang w:val="en-GB"/>
        </w:rPr>
        <w:t>(</w:t>
      </w:r>
      <w:r w:rsidR="00CB2838" w:rsidRPr="00CB2838">
        <w:rPr>
          <w:lang w:val="en-GB"/>
        </w:rPr>
        <w:t>Campitelli</w:t>
      </w:r>
      <w:r w:rsidR="00CB2838">
        <w:rPr>
          <w:lang w:val="en-GB"/>
        </w:rPr>
        <w:t xml:space="preserve"> et al., 2014)</w:t>
      </w:r>
      <w:r w:rsidRPr="00A54D97">
        <w:rPr>
          <w:lang w:val="en-GB"/>
        </w:rPr>
        <w:t>.</w:t>
      </w:r>
    </w:p>
    <w:p w14:paraId="3C828D48" w14:textId="77777777" w:rsidR="00A54D97" w:rsidRPr="00A54D97" w:rsidRDefault="00A54D97" w:rsidP="00A54D97">
      <w:pPr>
        <w:pStyle w:val="CETBodytext"/>
        <w:rPr>
          <w:lang w:val="en-GB"/>
        </w:rPr>
      </w:pPr>
    </w:p>
    <w:p w14:paraId="7772DFC4" w14:textId="62E15C0F" w:rsidR="00A54D97" w:rsidRDefault="00A54D97" w:rsidP="00A54D97">
      <w:pPr>
        <w:pStyle w:val="CETBodytext"/>
        <w:rPr>
          <w:lang w:val="en-GB"/>
        </w:rPr>
      </w:pPr>
      <w:r w:rsidRPr="00A54D97">
        <w:rPr>
          <w:lang w:val="en-GB"/>
        </w:rPr>
        <w:t>Physiochemically, the composting process consists of four stages necessary for obtaining compost: First, during the mesophilic phase, soluble compounds are degraded at 40</w:t>
      </w:r>
      <w:r w:rsidR="004B382A">
        <w:rPr>
          <w:lang w:val="en-GB"/>
        </w:rPr>
        <w:t xml:space="preserve"> </w:t>
      </w:r>
      <w:r w:rsidRPr="00A54D97">
        <w:rPr>
          <w:lang w:val="en-GB"/>
        </w:rPr>
        <w:t>°C, lowering the pH due to acid generation. Then, in the thermophilic phase, temperatures peak at 80</w:t>
      </w:r>
      <w:r w:rsidR="004B382A">
        <w:rPr>
          <w:lang w:val="en-GB"/>
        </w:rPr>
        <w:t xml:space="preserve"> </w:t>
      </w:r>
      <w:r w:rsidRPr="00A54D97">
        <w:rPr>
          <w:lang w:val="en-GB"/>
        </w:rPr>
        <w:t xml:space="preserve">°C, degrading resistant compounds such as hemicellulose, and pH increases due to ammonia production. In the final cooling and maturation phases, temperature and pH stabilize as substrate </w:t>
      </w:r>
      <w:r>
        <w:rPr>
          <w:lang w:val="en-GB"/>
        </w:rPr>
        <w:t>reduction</w:t>
      </w:r>
      <w:r w:rsidRPr="00A54D97">
        <w:rPr>
          <w:lang w:val="en-GB"/>
        </w:rPr>
        <w:t xml:space="preserve"> occurs, initiating humus formation through polymerization and condensation reactions, respectively </w:t>
      </w:r>
      <w:r w:rsidR="00CB2838">
        <w:rPr>
          <w:lang w:val="en-GB"/>
        </w:rPr>
        <w:t>(</w:t>
      </w:r>
      <w:r w:rsidR="00CB2838" w:rsidRPr="00CB2838">
        <w:rPr>
          <w:lang w:val="en-GB"/>
        </w:rPr>
        <w:t>Campitelli</w:t>
      </w:r>
      <w:r w:rsidR="00CB2838">
        <w:rPr>
          <w:lang w:val="en-GB"/>
        </w:rPr>
        <w:t xml:space="preserve"> et al., 2014; Bohórquez Santana, 2018; Saldarriaga et al, 2019)</w:t>
      </w:r>
      <w:r w:rsidRPr="00A54D97">
        <w:rPr>
          <w:lang w:val="en-GB"/>
        </w:rPr>
        <w:t>.</w:t>
      </w:r>
    </w:p>
    <w:p w14:paraId="6970AD18" w14:textId="77777777" w:rsidR="00A42D91" w:rsidRDefault="00A42D91" w:rsidP="00A54D97">
      <w:pPr>
        <w:pStyle w:val="CETBodytext"/>
        <w:rPr>
          <w:lang w:val="en-GB"/>
        </w:rPr>
      </w:pPr>
    </w:p>
    <w:p w14:paraId="2D18BB40" w14:textId="74FE0398" w:rsidR="00A42D91" w:rsidRPr="00A42D91" w:rsidRDefault="00A42D91" w:rsidP="00A42D91">
      <w:pPr>
        <w:pStyle w:val="CETBodytext"/>
        <w:rPr>
          <w:lang w:val="en-GB"/>
        </w:rPr>
      </w:pPr>
      <w:r w:rsidRPr="00A42D91">
        <w:rPr>
          <w:lang w:val="en-GB"/>
        </w:rPr>
        <w:t xml:space="preserve">The microorganisms involved in the process typically consist of bacteria and fungi that carry out their feeding, growth, and reproduction processes using the waste materials </w:t>
      </w:r>
      <w:r w:rsidR="00CB2838">
        <w:rPr>
          <w:lang w:val="en-GB"/>
        </w:rPr>
        <w:t>(Amigos de la tierra, 2004)</w:t>
      </w:r>
      <w:r w:rsidRPr="00A42D91">
        <w:rPr>
          <w:lang w:val="en-GB"/>
        </w:rPr>
        <w:t xml:space="preserve">. The role of these microscopic beings is indispensable in compost elaboration, as their metabolism beneficially converts lipids, carbohydrates, and proteins into a nutritious amendment for soils and plants. The types of microorganisms participating in the process largely depend on the aerobic or anaerobic atmosphere in which degradation occurs, </w:t>
      </w:r>
      <w:r w:rsidRPr="00A42D91">
        <w:rPr>
          <w:lang w:val="en-GB"/>
        </w:rPr>
        <w:lastRenderedPageBreak/>
        <w:t xml:space="preserve">commonly found are </w:t>
      </w:r>
      <w:r w:rsidRPr="00A42D91">
        <w:rPr>
          <w:i/>
          <w:iCs/>
          <w:lang w:val="en-GB"/>
        </w:rPr>
        <w:t>Psudomonas, Bacillus</w:t>
      </w:r>
      <w:r w:rsidRPr="00A42D91">
        <w:rPr>
          <w:lang w:val="en-GB"/>
        </w:rPr>
        <w:t xml:space="preserve">, and </w:t>
      </w:r>
      <w:r w:rsidRPr="00A42D91">
        <w:rPr>
          <w:i/>
          <w:iCs/>
          <w:lang w:val="en-GB"/>
        </w:rPr>
        <w:t>Streptomyces</w:t>
      </w:r>
      <w:r w:rsidRPr="00A42D91">
        <w:rPr>
          <w:lang w:val="en-GB"/>
        </w:rPr>
        <w:t xml:space="preserve"> in the former, and </w:t>
      </w:r>
      <w:r w:rsidRPr="00A42D91">
        <w:rPr>
          <w:i/>
          <w:iCs/>
          <w:lang w:val="en-GB"/>
        </w:rPr>
        <w:t>Clostridium aceticum</w:t>
      </w:r>
      <w:r w:rsidRPr="00A42D91">
        <w:rPr>
          <w:lang w:val="en-GB"/>
        </w:rPr>
        <w:t xml:space="preserve"> and Acetobacter woodii in the latter </w:t>
      </w:r>
      <w:r w:rsidR="00CB2838">
        <w:rPr>
          <w:lang w:val="en-GB"/>
        </w:rPr>
        <w:t>(Mheta and Sirari, 2018)</w:t>
      </w:r>
      <w:r w:rsidRPr="00A42D91">
        <w:rPr>
          <w:lang w:val="en-GB"/>
        </w:rPr>
        <w:t xml:space="preserve">. Generally, in aerobic compost, oxidation reactions predominate, while in anaerobic compost, typical reactions include hydrolysis, acidgenesis, acetogenesis, and methanogenesis </w:t>
      </w:r>
      <w:r w:rsidR="00CB2838">
        <w:rPr>
          <w:lang w:val="en-GB"/>
        </w:rPr>
        <w:t>(Meegoda, Patel and Wang, 2018)</w:t>
      </w:r>
      <w:r w:rsidRPr="00A42D91">
        <w:rPr>
          <w:lang w:val="en-GB"/>
        </w:rPr>
        <w:t>.</w:t>
      </w:r>
    </w:p>
    <w:p w14:paraId="28D44C89" w14:textId="77777777" w:rsidR="00A42D91" w:rsidRPr="00A42D91" w:rsidRDefault="00A42D91" w:rsidP="00A42D91">
      <w:pPr>
        <w:pStyle w:val="CETBodytext"/>
        <w:rPr>
          <w:lang w:val="en-GB"/>
        </w:rPr>
      </w:pPr>
    </w:p>
    <w:p w14:paraId="7388E5C7" w14:textId="3F44AC96" w:rsidR="00A42D91" w:rsidRPr="00A42D91" w:rsidRDefault="00A42D91" w:rsidP="00A42D91">
      <w:pPr>
        <w:pStyle w:val="CETBodytext"/>
        <w:rPr>
          <w:lang w:val="en-GB"/>
        </w:rPr>
      </w:pPr>
      <w:r w:rsidRPr="00A42D91">
        <w:rPr>
          <w:lang w:val="en-GB"/>
        </w:rPr>
        <w:t xml:space="preserve">The composting process typically takes 6 months in an aerobic environment, and </w:t>
      </w:r>
      <w:r>
        <w:rPr>
          <w:lang w:val="en-GB"/>
        </w:rPr>
        <w:t>despite</w:t>
      </w:r>
      <w:r w:rsidRPr="00A42D91">
        <w:rPr>
          <w:lang w:val="en-GB"/>
        </w:rPr>
        <w:t xml:space="preserve"> it can be carried out in the absence of oxygen, this is not usually done as it can take twice as long. Additionally, the lack of oxygen prevents reaching high temperatures during the thermophilic phase, which mitigates the safety of the final product </w:t>
      </w:r>
      <w:r w:rsidR="00CB2838">
        <w:rPr>
          <w:lang w:val="en-GB"/>
        </w:rPr>
        <w:t>(Mheta and Sirari, 2018)</w:t>
      </w:r>
      <w:r w:rsidRPr="00A42D91">
        <w:rPr>
          <w:lang w:val="en-GB"/>
        </w:rPr>
        <w:t xml:space="preserve">. This latter aspect is especially important </w:t>
      </w:r>
      <w:r>
        <w:rPr>
          <w:lang w:val="en-GB"/>
        </w:rPr>
        <w:t>cause</w:t>
      </w:r>
      <w:r w:rsidRPr="00A42D91">
        <w:rPr>
          <w:lang w:val="en-GB"/>
        </w:rPr>
        <w:t xml:space="preserve"> the addition of immature compost to the soil can lead to plant death due to the high microbial load depleting the available oxygen for them </w:t>
      </w:r>
      <w:r w:rsidR="00CB2838">
        <w:rPr>
          <w:lang w:val="en-GB"/>
        </w:rPr>
        <w:t>(FAO, 2013)</w:t>
      </w:r>
      <w:r w:rsidRPr="00A42D91">
        <w:rPr>
          <w:lang w:val="en-GB"/>
        </w:rPr>
        <w:t>. Furthermore, compost in an aerobic atmosphere mainly releases carbon dioxide (CO</w:t>
      </w:r>
      <w:r>
        <w:rPr>
          <w:vertAlign w:val="subscript"/>
          <w:lang w:val="en-GB"/>
        </w:rPr>
        <w:t>2</w:t>
      </w:r>
      <w:r w:rsidRPr="00A42D91">
        <w:rPr>
          <w:lang w:val="en-GB"/>
        </w:rPr>
        <w:t>), while in an anaerobic atmosphere, it mainly releases methane (CH</w:t>
      </w:r>
      <w:r>
        <w:rPr>
          <w:vertAlign w:val="subscript"/>
          <w:lang w:val="en-GB"/>
        </w:rPr>
        <w:t>4</w:t>
      </w:r>
      <w:r w:rsidRPr="00A42D91">
        <w:rPr>
          <w:lang w:val="en-GB"/>
        </w:rPr>
        <w:t xml:space="preserve">) </w:t>
      </w:r>
      <w:r w:rsidR="00CB2838">
        <w:rPr>
          <w:lang w:val="en-GB"/>
        </w:rPr>
        <w:t>(Mheta and Sirari, 2018).</w:t>
      </w:r>
    </w:p>
    <w:p w14:paraId="65E40478" w14:textId="77777777" w:rsidR="00A42D91" w:rsidRPr="00A42D91" w:rsidRDefault="00A42D91" w:rsidP="00A42D91">
      <w:pPr>
        <w:pStyle w:val="CETBodytext"/>
        <w:rPr>
          <w:lang w:val="en-GB"/>
        </w:rPr>
      </w:pPr>
    </w:p>
    <w:p w14:paraId="779018AB" w14:textId="4D827CA6" w:rsidR="00A42D91" w:rsidRPr="00A42D91" w:rsidRDefault="00A42D91" w:rsidP="00A42D91">
      <w:pPr>
        <w:pStyle w:val="CETBodytext"/>
        <w:rPr>
          <w:lang w:val="en-GB"/>
        </w:rPr>
      </w:pPr>
      <w:r w:rsidRPr="00A42D91">
        <w:rPr>
          <w:lang w:val="en-GB"/>
        </w:rPr>
        <w:t>The speed at which the complete process occurs depends on the total initial carbon/nitrogen (C/N) ratio of all materials, as well as the control of independent parameters such as moisture and aeration. The ideal value for C/N is 25; if it is much lower, excessive ammonia will be released, and if it is much higher, microorganisms will require more time to degrade the matter</w:t>
      </w:r>
      <w:r w:rsidR="00CB2838">
        <w:rPr>
          <w:lang w:val="en-GB"/>
        </w:rPr>
        <w:t xml:space="preserve"> (Azim et al., 2018)</w:t>
      </w:r>
      <w:r w:rsidRPr="00A42D91">
        <w:rPr>
          <w:lang w:val="en-GB"/>
        </w:rPr>
        <w:t xml:space="preserve">. Additionally, compost tends to stabilize near this ideal C/N value </w:t>
      </w:r>
      <w:r w:rsidR="00CB2838">
        <w:rPr>
          <w:lang w:val="en-GB"/>
        </w:rPr>
        <w:t>(</w:t>
      </w:r>
      <w:r w:rsidR="00CB2838" w:rsidRPr="00CB2838">
        <w:rPr>
          <w:lang w:val="en-GB"/>
        </w:rPr>
        <w:t>Campitelli</w:t>
      </w:r>
      <w:r w:rsidR="00CB2838">
        <w:rPr>
          <w:lang w:val="en-GB"/>
        </w:rPr>
        <w:t xml:space="preserve"> et al., 2014)</w:t>
      </w:r>
      <w:r w:rsidRPr="00A42D91">
        <w:rPr>
          <w:lang w:val="en-GB"/>
        </w:rPr>
        <w:t xml:space="preserve">, </w:t>
      </w:r>
      <w:r w:rsidR="001270C9">
        <w:rPr>
          <w:lang w:val="en-GB"/>
        </w:rPr>
        <w:t>with some independence</w:t>
      </w:r>
      <w:r w:rsidRPr="00A42D91">
        <w:rPr>
          <w:lang w:val="en-GB"/>
        </w:rPr>
        <w:t xml:space="preserve"> of its initial value, making this parameter useful for determining the level of maturation. On the other hand, the microorganisms involved are essential in the process kinetics, and therefore, inducing a direct relationship between the concentration of these populations and the maturation time is a valid premise that has already been successfully tested in various studies </w:t>
      </w:r>
      <w:r w:rsidR="00CB2838">
        <w:rPr>
          <w:lang w:val="en-GB"/>
        </w:rPr>
        <w:t>(</w:t>
      </w:r>
      <w:r w:rsidR="003A4BA7" w:rsidRPr="003A4BA7">
        <w:rPr>
          <w:lang w:val="en-GB"/>
        </w:rPr>
        <w:t>Méndez-Matías</w:t>
      </w:r>
      <w:r w:rsidR="003A4BA7">
        <w:rPr>
          <w:lang w:val="en-GB"/>
        </w:rPr>
        <w:t xml:space="preserve"> et al., 2018; García-Ramos et al., 2019; Carlos Raffo, 2021; Constante Ibarra, 2021</w:t>
      </w:r>
      <w:r w:rsidR="00CB2838">
        <w:rPr>
          <w:lang w:val="en-GB"/>
        </w:rPr>
        <w:t>)</w:t>
      </w:r>
      <w:r w:rsidRPr="00A42D91">
        <w:rPr>
          <w:lang w:val="en-GB"/>
        </w:rPr>
        <w:t>.</w:t>
      </w:r>
    </w:p>
    <w:p w14:paraId="6E0F492F" w14:textId="77777777" w:rsidR="00A42D91" w:rsidRPr="00A42D91" w:rsidRDefault="00A42D91" w:rsidP="00A42D91">
      <w:pPr>
        <w:pStyle w:val="CETBodytext"/>
        <w:rPr>
          <w:lang w:val="en-GB"/>
        </w:rPr>
      </w:pPr>
    </w:p>
    <w:p w14:paraId="5B779406" w14:textId="45E93B86" w:rsidR="00A42D91" w:rsidRPr="00A42D91" w:rsidRDefault="00A42D91" w:rsidP="00A42D91">
      <w:pPr>
        <w:pStyle w:val="CETBodytext"/>
        <w:rPr>
          <w:lang w:val="en-GB"/>
        </w:rPr>
      </w:pPr>
      <w:r w:rsidRPr="00A42D91">
        <w:rPr>
          <w:lang w:val="en-GB"/>
        </w:rPr>
        <w:t xml:space="preserve">This article aims to evaluate the impact of potential endogenous catalytic microorganisms on the final physiochemical properties of compost that influence </w:t>
      </w:r>
      <w:r w:rsidR="00EA1803">
        <w:rPr>
          <w:lang w:val="en-GB"/>
        </w:rPr>
        <w:t xml:space="preserve">in the </w:t>
      </w:r>
      <w:r w:rsidRPr="00A42D91">
        <w:rPr>
          <w:lang w:val="en-GB"/>
        </w:rPr>
        <w:t>quality and maturation time.</w:t>
      </w:r>
    </w:p>
    <w:p w14:paraId="15767F14" w14:textId="77777777" w:rsidR="00A42D91" w:rsidRDefault="00A42D91" w:rsidP="00A42D91">
      <w:pPr>
        <w:pStyle w:val="CETBodytext"/>
        <w:rPr>
          <w:lang w:val="en-GB"/>
        </w:rPr>
      </w:pPr>
    </w:p>
    <w:p w14:paraId="069A01C7" w14:textId="05285CC8" w:rsidR="00EA1803" w:rsidRDefault="00EA1803" w:rsidP="00EA1803">
      <w:pPr>
        <w:pStyle w:val="CETHeading1"/>
      </w:pPr>
      <w:r>
        <w:t>Materials and methods</w:t>
      </w:r>
    </w:p>
    <w:p w14:paraId="7DF5CE05" w14:textId="7A9584C3" w:rsidR="00A42D91" w:rsidRDefault="005A6AD9" w:rsidP="00A42D91">
      <w:pPr>
        <w:pStyle w:val="CETBodytext"/>
      </w:pPr>
      <w:r w:rsidRPr="005A6AD9">
        <w:t>Figure 1</w:t>
      </w:r>
      <w:r>
        <w:t xml:space="preserve"> shows </w:t>
      </w:r>
      <w:r w:rsidRPr="005A6AD9">
        <w:t xml:space="preserve">the methodology scheme. Initially, </w:t>
      </w:r>
      <w:r>
        <w:t xml:space="preserve">the </w:t>
      </w:r>
      <w:r w:rsidRPr="005A6AD9">
        <w:t>setups were prepared using lignocellulosic material and fruit peels. The composition of all composts consisted of 1</w:t>
      </w:r>
      <w:r>
        <w:t>,</w:t>
      </w:r>
      <w:r w:rsidRPr="005A6AD9">
        <w:t>000 g of dried leaves, 200 g of banana and papaya peels in a 5:1 ratio, and 500 m</w:t>
      </w:r>
      <w:r>
        <w:t>L</w:t>
      </w:r>
      <w:r w:rsidRPr="005A6AD9">
        <w:t xml:space="preserve"> of initial potable water, mixed in a clean bucket and stored in a closed place at room temperature. One open setup and one closed setup were prepared. Every 2 days, for 2 months, temperature (measured with a Punzon model TP101)</w:t>
      </w:r>
      <w:r>
        <w:t xml:space="preserve">, </w:t>
      </w:r>
      <w:r w:rsidRPr="005A6AD9">
        <w:t>pH (measured with an H&amp;Co model PHMETRO PH-009), and moisture (10 g of sample dried for 15 minutes in an oven heated to 100</w:t>
      </w:r>
      <w:r w:rsidR="004B382A">
        <w:t xml:space="preserve"> </w:t>
      </w:r>
      <w:r w:rsidRPr="005A6AD9">
        <w:t xml:space="preserve">ºC) of the </w:t>
      </w:r>
      <w:r>
        <w:t>compost</w:t>
      </w:r>
      <w:r w:rsidRPr="005A6AD9">
        <w:t xml:space="preserve"> were measured, ensuring proper control of the leachate and discarding it at appropriate times. Samples for analysis were taken after a total time of </w:t>
      </w:r>
      <w:r>
        <w:t>7</w:t>
      </w:r>
      <w:r w:rsidRPr="005A6AD9">
        <w:t xml:space="preserve"> months.</w:t>
      </w:r>
    </w:p>
    <w:p w14:paraId="3EE09D7C" w14:textId="77777777" w:rsidR="005A6AD9" w:rsidRDefault="005A6AD9" w:rsidP="00A42D91">
      <w:pPr>
        <w:pStyle w:val="CETBodytext"/>
      </w:pPr>
    </w:p>
    <w:p w14:paraId="5FE0028D" w14:textId="10D955F1" w:rsidR="005A6AD9" w:rsidRPr="005A6AD9" w:rsidRDefault="005A6AD9" w:rsidP="005A6AD9">
      <w:pPr>
        <w:pStyle w:val="CETBodytext"/>
        <w:rPr>
          <w:lang w:val="en-GB"/>
        </w:rPr>
      </w:pPr>
      <w:r w:rsidRPr="005A6AD9">
        <w:rPr>
          <w:lang w:val="en-GB"/>
        </w:rPr>
        <w:t>For the identification of microorganisms</w:t>
      </w:r>
      <w:r>
        <w:rPr>
          <w:lang w:val="en-GB"/>
        </w:rPr>
        <w:t xml:space="preserve"> was employed</w:t>
      </w:r>
      <w:r w:rsidRPr="005A6AD9">
        <w:rPr>
          <w:lang w:val="en-GB"/>
        </w:rPr>
        <w:t xml:space="preserve"> the technique of serial dilutions up to 10</w:t>
      </w:r>
      <w:r>
        <w:rPr>
          <w:vertAlign w:val="superscript"/>
          <w:lang w:val="en-GB"/>
        </w:rPr>
        <w:t>-5</w:t>
      </w:r>
      <w:r w:rsidRPr="005A6AD9">
        <w:rPr>
          <w:lang w:val="en-GB"/>
        </w:rPr>
        <w:t xml:space="preserve">. Once cultured on nutrient agar plates, they were visually </w:t>
      </w:r>
      <w:r>
        <w:rPr>
          <w:lang w:val="en-GB"/>
        </w:rPr>
        <w:t>sorted</w:t>
      </w:r>
      <w:r w:rsidRPr="005A6AD9">
        <w:rPr>
          <w:lang w:val="en-GB"/>
        </w:rPr>
        <w:t xml:space="preserve"> and isolated based on their color and appearance. After Gram staining, samples with mixed populations were inoculated </w:t>
      </w:r>
      <w:r w:rsidR="00556B54">
        <w:rPr>
          <w:lang w:val="en-GB"/>
        </w:rPr>
        <w:t>in</w:t>
      </w:r>
      <w:r w:rsidRPr="005A6AD9">
        <w:rPr>
          <w:lang w:val="en-GB"/>
        </w:rPr>
        <w:t xml:space="preserve"> selective EMB and Mannitol agars, and the most persistent ones were isolated using a </w:t>
      </w:r>
      <w:r w:rsidR="00556B54">
        <w:rPr>
          <w:lang w:val="en-GB"/>
        </w:rPr>
        <w:t>loop</w:t>
      </w:r>
      <w:r w:rsidRPr="005A6AD9">
        <w:rPr>
          <w:lang w:val="en-GB"/>
        </w:rPr>
        <w:t xml:space="preserve"> with a pointed tip. For the identification of Gram-negative bacteria, the API 20 E test was used, and for Gram-positive bacteria, the API STAPH test, supported by API CHB 50 for Bacillus and API CHL 50 for Lactobacillus</w:t>
      </w:r>
      <w:r w:rsidR="00556B54">
        <w:rPr>
          <w:lang w:val="en-GB"/>
        </w:rPr>
        <w:t xml:space="preserve"> was used</w:t>
      </w:r>
      <w:r w:rsidRPr="005A6AD9">
        <w:rPr>
          <w:lang w:val="en-GB"/>
        </w:rPr>
        <w:t>.</w:t>
      </w:r>
    </w:p>
    <w:p w14:paraId="2FCED701" w14:textId="77777777" w:rsidR="005A6AD9" w:rsidRPr="005A6AD9" w:rsidRDefault="005A6AD9" w:rsidP="005A6AD9">
      <w:pPr>
        <w:pStyle w:val="CETBodytext"/>
        <w:rPr>
          <w:lang w:val="en-GB"/>
        </w:rPr>
      </w:pPr>
    </w:p>
    <w:p w14:paraId="2D1B1DE7" w14:textId="55131A75" w:rsidR="005A6AD9" w:rsidRPr="005A6AD9" w:rsidRDefault="005A6AD9" w:rsidP="005A6AD9">
      <w:pPr>
        <w:pStyle w:val="CETBodytext"/>
        <w:rPr>
          <w:lang w:val="en-GB"/>
        </w:rPr>
      </w:pPr>
      <w:r w:rsidRPr="005A6AD9">
        <w:rPr>
          <w:lang w:val="en-GB"/>
        </w:rPr>
        <w:t xml:space="preserve">From the </w:t>
      </w:r>
      <w:r w:rsidR="00556B54">
        <w:rPr>
          <w:lang w:val="en-GB"/>
        </w:rPr>
        <w:t>identified microorganisms</w:t>
      </w:r>
      <w:r w:rsidRPr="005A6AD9">
        <w:rPr>
          <w:lang w:val="en-GB"/>
        </w:rPr>
        <w:t xml:space="preserve">, 2 Gram-negative and 2 Gram-positive strains were used </w:t>
      </w:r>
      <w:r w:rsidR="00556B54">
        <w:rPr>
          <w:lang w:val="en-GB"/>
        </w:rPr>
        <w:t xml:space="preserve">individually </w:t>
      </w:r>
      <w:r w:rsidRPr="005A6AD9">
        <w:rPr>
          <w:lang w:val="en-GB"/>
        </w:rPr>
        <w:t xml:space="preserve">as catalysts, </w:t>
      </w:r>
      <w:r w:rsidR="00556B54">
        <w:rPr>
          <w:lang w:val="en-GB"/>
        </w:rPr>
        <w:t xml:space="preserve">in </w:t>
      </w:r>
      <w:r w:rsidRPr="005A6AD9">
        <w:rPr>
          <w:lang w:val="en-GB"/>
        </w:rPr>
        <w:t>duplicated open setups with the same ratio and type of materials used previously. For inoculation, these strains were individually incubated in BHI broth for 24 to 48 hours, and then each was diluted in the 500 m</w:t>
      </w:r>
      <w:r w:rsidR="00556B54">
        <w:rPr>
          <w:lang w:val="en-GB"/>
        </w:rPr>
        <w:t>L</w:t>
      </w:r>
      <w:r w:rsidRPr="005A6AD9">
        <w:rPr>
          <w:lang w:val="en-GB"/>
        </w:rPr>
        <w:t xml:space="preserve"> of water initially added to each compost. Sampling and data collection were performed identically, and samples for testing were taken after 2 months. Physicochemical analyses were carried out following NTC 5176 and its respective subdivisions for each parameter, as well as other studies. For all methods, the sample was dried at 70</w:t>
      </w:r>
      <w:r w:rsidR="004B382A">
        <w:rPr>
          <w:lang w:val="en-GB"/>
        </w:rPr>
        <w:t xml:space="preserve"> </w:t>
      </w:r>
      <w:r w:rsidRPr="005A6AD9">
        <w:rPr>
          <w:lang w:val="en-GB"/>
        </w:rPr>
        <w:t xml:space="preserve">°C for 24 hours and sieved to a size of 2 mm or less </w:t>
      </w:r>
      <w:r w:rsidR="003A4BA7">
        <w:rPr>
          <w:lang w:val="en-GB"/>
        </w:rPr>
        <w:t>(ICONTEC, 2011)</w:t>
      </w:r>
      <w:r w:rsidRPr="005A6AD9">
        <w:rPr>
          <w:lang w:val="en-GB"/>
        </w:rPr>
        <w:t>. The physicochemical parameters and the respective method employed or adapted are as follows: Total Nitrogen</w:t>
      </w:r>
      <w:r w:rsidR="00B56728">
        <w:rPr>
          <w:lang w:val="en-GB"/>
        </w:rPr>
        <w:t xml:space="preserve"> (TN)</w:t>
      </w:r>
      <w:r w:rsidRPr="005A6AD9">
        <w:rPr>
          <w:lang w:val="en-GB"/>
        </w:rPr>
        <w:t xml:space="preserve"> using the Kjeldahl method</w:t>
      </w:r>
      <w:r w:rsidR="003A4BA7">
        <w:rPr>
          <w:lang w:val="en-GB"/>
        </w:rPr>
        <w:t xml:space="preserve"> (Puentes Contreras and Coronado Rojas, 2014; ICONTEC, 2011; UPV, 2017)</w:t>
      </w:r>
      <w:r w:rsidRPr="005A6AD9">
        <w:rPr>
          <w:lang w:val="en-GB"/>
        </w:rPr>
        <w:t>, Total Carbon</w:t>
      </w:r>
      <w:r w:rsidR="00B56728">
        <w:rPr>
          <w:lang w:val="en-GB"/>
        </w:rPr>
        <w:t xml:space="preserve"> (TC)</w:t>
      </w:r>
      <w:r w:rsidRPr="005A6AD9">
        <w:rPr>
          <w:lang w:val="en-GB"/>
        </w:rPr>
        <w:t xml:space="preserve"> by calcination </w:t>
      </w:r>
      <w:r w:rsidR="003A4BA7">
        <w:rPr>
          <w:lang w:val="en-GB"/>
        </w:rPr>
        <w:t>(Bautista and Hernández, 2021)</w:t>
      </w:r>
      <w:r w:rsidRPr="005A6AD9">
        <w:rPr>
          <w:lang w:val="en-GB"/>
        </w:rPr>
        <w:t>, Water-soluble Carbon</w:t>
      </w:r>
      <w:r w:rsidR="00B56728">
        <w:rPr>
          <w:lang w:val="en-GB"/>
        </w:rPr>
        <w:t xml:space="preserve"> (WSC)</w:t>
      </w:r>
      <w:r w:rsidRPr="005A6AD9">
        <w:rPr>
          <w:lang w:val="en-GB"/>
        </w:rPr>
        <w:t xml:space="preserve"> through wet digestion and spectrophotometry</w:t>
      </w:r>
      <w:r w:rsidR="003A4BA7">
        <w:rPr>
          <w:lang w:val="en-GB"/>
        </w:rPr>
        <w:t xml:space="preserve"> (UPV, 2016)</w:t>
      </w:r>
      <w:r w:rsidRPr="005A6AD9">
        <w:rPr>
          <w:lang w:val="en-GB"/>
        </w:rPr>
        <w:t xml:space="preserve">, and </w:t>
      </w:r>
      <w:r w:rsidR="00B56728">
        <w:rPr>
          <w:lang w:val="en-GB"/>
        </w:rPr>
        <w:t xml:space="preserve">Total </w:t>
      </w:r>
      <w:r w:rsidRPr="005A6AD9">
        <w:rPr>
          <w:lang w:val="en-GB"/>
        </w:rPr>
        <w:t xml:space="preserve">Phosphorus </w:t>
      </w:r>
      <w:r w:rsidR="00B56728">
        <w:rPr>
          <w:lang w:val="en-GB"/>
        </w:rPr>
        <w:t>(P</w:t>
      </w:r>
      <w:r w:rsidR="00B56728">
        <w:rPr>
          <w:vertAlign w:val="subscript"/>
          <w:lang w:val="en-GB"/>
        </w:rPr>
        <w:t>2</w:t>
      </w:r>
      <w:r w:rsidR="00B56728">
        <w:rPr>
          <w:lang w:val="en-GB"/>
        </w:rPr>
        <w:t>O</w:t>
      </w:r>
      <w:r w:rsidR="00B56728">
        <w:rPr>
          <w:vertAlign w:val="subscript"/>
          <w:lang w:val="en-GB"/>
        </w:rPr>
        <w:t>5</w:t>
      </w:r>
      <w:r w:rsidR="00B56728">
        <w:rPr>
          <w:lang w:val="en-GB"/>
        </w:rPr>
        <w:t xml:space="preserve">) </w:t>
      </w:r>
      <w:r w:rsidRPr="005A6AD9">
        <w:rPr>
          <w:lang w:val="en-GB"/>
        </w:rPr>
        <w:t xml:space="preserve">by vanado-molybdate and spectrophotometry </w:t>
      </w:r>
      <w:r w:rsidR="003A4BA7">
        <w:rPr>
          <w:lang w:val="en-GB"/>
        </w:rPr>
        <w:t>(Puentes Contreras and Coronado Rojas, 2014; ICONTEC, 1996)</w:t>
      </w:r>
      <w:r w:rsidRPr="005A6AD9">
        <w:rPr>
          <w:lang w:val="en-GB"/>
        </w:rPr>
        <w:t>.</w:t>
      </w:r>
    </w:p>
    <w:p w14:paraId="0456E6E9" w14:textId="77777777" w:rsidR="005A6AD9" w:rsidRPr="005A6AD9" w:rsidRDefault="005A6AD9" w:rsidP="005A6AD9">
      <w:pPr>
        <w:pStyle w:val="CETBodytext"/>
        <w:rPr>
          <w:lang w:val="en-GB"/>
        </w:rPr>
      </w:pPr>
    </w:p>
    <w:p w14:paraId="14E530C5" w14:textId="77777777" w:rsidR="005A6AD9" w:rsidRPr="005A6AD9" w:rsidRDefault="005A6AD9" w:rsidP="005A6AD9">
      <w:pPr>
        <w:pStyle w:val="CETBodytext"/>
        <w:rPr>
          <w:lang w:val="en-GB"/>
        </w:rPr>
      </w:pPr>
    </w:p>
    <w:p w14:paraId="6F54E64E" w14:textId="04346475" w:rsidR="00A42D91" w:rsidRDefault="00A27724" w:rsidP="00A54D97">
      <w:pPr>
        <w:pStyle w:val="CETBodytext"/>
        <w:rPr>
          <w:lang w:val="en-GB"/>
        </w:rPr>
      </w:pPr>
      <w:r w:rsidRPr="00A27724">
        <w:rPr>
          <w:noProof/>
          <w:lang w:val="es-CO" w:eastAsia="es-CO"/>
        </w:rPr>
        <w:lastRenderedPageBreak/>
        <w:drawing>
          <wp:inline distT="0" distB="0" distL="0" distR="0" wp14:anchorId="5632A4A7" wp14:editId="2C0373DA">
            <wp:extent cx="3998259" cy="4743714"/>
            <wp:effectExtent l="0" t="0" r="2540" b="0"/>
            <wp:docPr id="18781991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0926" t="3915" r="4486" b="199"/>
                    <a:stretch/>
                  </pic:blipFill>
                  <pic:spPr bwMode="auto">
                    <a:xfrm>
                      <a:off x="0" y="0"/>
                      <a:ext cx="4008691" cy="4756091"/>
                    </a:xfrm>
                    <a:prstGeom prst="rect">
                      <a:avLst/>
                    </a:prstGeom>
                    <a:noFill/>
                    <a:ln>
                      <a:noFill/>
                    </a:ln>
                    <a:extLst>
                      <a:ext uri="{53640926-AAD7-44D8-BBD7-CCE9431645EC}">
                        <a14:shadowObscured xmlns:a14="http://schemas.microsoft.com/office/drawing/2010/main"/>
                      </a:ext>
                    </a:extLst>
                  </pic:spPr>
                </pic:pic>
              </a:graphicData>
            </a:graphic>
          </wp:inline>
        </w:drawing>
      </w:r>
    </w:p>
    <w:p w14:paraId="0CFF4F87" w14:textId="23F53B19" w:rsidR="00A54D97" w:rsidRPr="00A54D97" w:rsidRDefault="008E72EF" w:rsidP="00A54D97">
      <w:pPr>
        <w:pStyle w:val="CETBodytext"/>
        <w:rPr>
          <w:lang w:val="en-GB"/>
        </w:rPr>
      </w:pPr>
      <w:r w:rsidRPr="00BD077D">
        <w:rPr>
          <w:rStyle w:val="CETCaptionCarattere"/>
        </w:rPr>
        <w:t xml:space="preserve">Figure 1: </w:t>
      </w:r>
      <w:r>
        <w:rPr>
          <w:rStyle w:val="CETCaptionCarattere"/>
        </w:rPr>
        <w:t>Scheme of the methodology.</w:t>
      </w:r>
    </w:p>
    <w:p w14:paraId="399AA21E" w14:textId="1740F96C" w:rsidR="00A54D97" w:rsidRPr="001F6F63" w:rsidRDefault="001F6F63" w:rsidP="00A54D97">
      <w:pPr>
        <w:pStyle w:val="CETHeading1"/>
        <w:rPr>
          <w:lang w:val="en-GB"/>
        </w:rPr>
      </w:pPr>
      <w:r>
        <w:rPr>
          <w:lang w:val="en-GB"/>
        </w:rPr>
        <w:t>Results and discussion</w:t>
      </w:r>
    </w:p>
    <w:p w14:paraId="7C4A3BF3" w14:textId="2296DD36" w:rsidR="00A54D97" w:rsidRPr="00A54D97" w:rsidRDefault="001F6F63" w:rsidP="00A54D97">
      <w:pPr>
        <w:pStyle w:val="CETBodytext"/>
        <w:rPr>
          <w:lang w:val="en-GB"/>
        </w:rPr>
      </w:pPr>
      <w:r w:rsidRPr="001F6F63">
        <w:rPr>
          <w:lang w:val="en-GB"/>
        </w:rPr>
        <w:t xml:space="preserve">The identified Gram-negative microorganisms were as follows: </w:t>
      </w:r>
      <w:r w:rsidRPr="001F6F63">
        <w:rPr>
          <w:i/>
          <w:iCs/>
          <w:lang w:val="en-GB"/>
        </w:rPr>
        <w:t>Pseudomonas aeruginosa</w:t>
      </w:r>
      <w:r w:rsidRPr="001F6F63">
        <w:rPr>
          <w:lang w:val="en-GB"/>
        </w:rPr>
        <w:t xml:space="preserve">, </w:t>
      </w:r>
      <w:r w:rsidRPr="001F6F63">
        <w:rPr>
          <w:i/>
          <w:iCs/>
          <w:lang w:val="en-GB"/>
        </w:rPr>
        <w:t>Pseudomonas luteola</w:t>
      </w:r>
      <w:r w:rsidRPr="001F6F63">
        <w:rPr>
          <w:lang w:val="en-GB"/>
        </w:rPr>
        <w:t xml:space="preserve">, and </w:t>
      </w:r>
      <w:r w:rsidRPr="001F6F63">
        <w:rPr>
          <w:i/>
          <w:iCs/>
          <w:lang w:val="en-GB"/>
        </w:rPr>
        <w:t>Chromobacterium violaceum</w:t>
      </w:r>
      <w:r w:rsidRPr="001F6F63">
        <w:rPr>
          <w:lang w:val="en-GB"/>
        </w:rPr>
        <w:t>. In the same order, the codes generated by the API 20 E kit and the matching percentages provided by APIWEB were 2202002 with 56.8</w:t>
      </w:r>
      <w:r w:rsidR="004B382A">
        <w:rPr>
          <w:lang w:val="en-GB"/>
        </w:rPr>
        <w:t xml:space="preserve"> </w:t>
      </w:r>
      <w:r w:rsidRPr="001F6F63">
        <w:rPr>
          <w:lang w:val="en-GB"/>
        </w:rPr>
        <w:t>%, 2206002 with 74.2</w:t>
      </w:r>
      <w:r w:rsidR="004B382A">
        <w:rPr>
          <w:lang w:val="en-GB"/>
        </w:rPr>
        <w:t xml:space="preserve"> </w:t>
      </w:r>
      <w:r w:rsidRPr="001F6F63">
        <w:rPr>
          <w:lang w:val="en-GB"/>
        </w:rPr>
        <w:t>%, and 2206000 with 60.1</w:t>
      </w:r>
      <w:r w:rsidR="004B382A">
        <w:rPr>
          <w:lang w:val="en-GB"/>
        </w:rPr>
        <w:t xml:space="preserve"> </w:t>
      </w:r>
      <w:r w:rsidRPr="001F6F63">
        <w:rPr>
          <w:lang w:val="en-GB"/>
        </w:rPr>
        <w:t xml:space="preserve">%, respectively. Regarding Gram-positive microorganisms, the following were identified: </w:t>
      </w:r>
      <w:r w:rsidRPr="001F6F63">
        <w:rPr>
          <w:i/>
          <w:iCs/>
          <w:lang w:val="en-GB"/>
        </w:rPr>
        <w:t>Bacillus mycoides</w:t>
      </w:r>
      <w:r w:rsidRPr="001F6F63">
        <w:rPr>
          <w:lang w:val="en-GB"/>
        </w:rPr>
        <w:t xml:space="preserve">, </w:t>
      </w:r>
      <w:r w:rsidRPr="001F6F63">
        <w:rPr>
          <w:i/>
          <w:iCs/>
          <w:lang w:val="en-GB"/>
        </w:rPr>
        <w:t>Brevibacillus laterosporus</w:t>
      </w:r>
      <w:r w:rsidRPr="001F6F63">
        <w:rPr>
          <w:lang w:val="en-GB"/>
        </w:rPr>
        <w:t xml:space="preserve">, </w:t>
      </w:r>
      <w:r w:rsidRPr="001F6F63">
        <w:rPr>
          <w:i/>
          <w:iCs/>
          <w:lang w:val="en-GB"/>
        </w:rPr>
        <w:t>Lactobacillus collinoides</w:t>
      </w:r>
      <w:r w:rsidRPr="001F6F63">
        <w:rPr>
          <w:lang w:val="en-GB"/>
        </w:rPr>
        <w:t xml:space="preserve">, </w:t>
      </w:r>
      <w:r w:rsidRPr="001F6F63">
        <w:rPr>
          <w:i/>
          <w:iCs/>
          <w:lang w:val="en-GB"/>
        </w:rPr>
        <w:t>Paenibacillus alvei</w:t>
      </w:r>
      <w:r w:rsidRPr="001F6F63">
        <w:rPr>
          <w:lang w:val="en-GB"/>
        </w:rPr>
        <w:t xml:space="preserve">, and </w:t>
      </w:r>
      <w:r w:rsidRPr="001F6F63">
        <w:rPr>
          <w:i/>
          <w:iCs/>
          <w:lang w:val="en-GB"/>
        </w:rPr>
        <w:t>Bacillus firmus</w:t>
      </w:r>
      <w:r w:rsidRPr="001F6F63">
        <w:rPr>
          <w:lang w:val="en-GB"/>
        </w:rPr>
        <w:t xml:space="preserve">. The </w:t>
      </w:r>
      <w:r w:rsidR="009E4BB7">
        <w:rPr>
          <w:lang w:val="en-GB"/>
        </w:rPr>
        <w:t>four</w:t>
      </w:r>
      <w:r w:rsidRPr="001F6F63">
        <w:rPr>
          <w:lang w:val="en-GB"/>
        </w:rPr>
        <w:t xml:space="preserve"> randomly selected strains and their respective labels are as follows: </w:t>
      </w:r>
      <w:r w:rsidRPr="009E4BB7">
        <w:rPr>
          <w:i/>
          <w:iCs/>
          <w:lang w:val="en-GB"/>
        </w:rPr>
        <w:t>C</w:t>
      </w:r>
      <w:r w:rsidR="009E4BB7">
        <w:rPr>
          <w:i/>
          <w:iCs/>
          <w:lang w:val="en-GB"/>
        </w:rPr>
        <w:t>.</w:t>
      </w:r>
      <w:r w:rsidRPr="009E4BB7">
        <w:rPr>
          <w:i/>
          <w:iCs/>
          <w:lang w:val="en-GB"/>
        </w:rPr>
        <w:t xml:space="preserve"> violaceum</w:t>
      </w:r>
      <w:r w:rsidRPr="001F6F63">
        <w:rPr>
          <w:lang w:val="en-GB"/>
        </w:rPr>
        <w:t xml:space="preserve">, </w:t>
      </w:r>
      <w:r w:rsidRPr="009E4BB7">
        <w:rPr>
          <w:i/>
          <w:iCs/>
          <w:lang w:val="en-GB"/>
        </w:rPr>
        <w:t>P</w:t>
      </w:r>
      <w:r w:rsidR="009E4BB7">
        <w:rPr>
          <w:i/>
          <w:iCs/>
          <w:lang w:val="en-GB"/>
        </w:rPr>
        <w:t>.</w:t>
      </w:r>
      <w:r w:rsidRPr="009E4BB7">
        <w:rPr>
          <w:i/>
          <w:iCs/>
          <w:lang w:val="en-GB"/>
        </w:rPr>
        <w:t xml:space="preserve"> luteola</w:t>
      </w:r>
      <w:r w:rsidRPr="001F6F63">
        <w:rPr>
          <w:lang w:val="en-GB"/>
        </w:rPr>
        <w:t xml:space="preserve">, </w:t>
      </w:r>
      <w:r w:rsidRPr="009E4BB7">
        <w:rPr>
          <w:i/>
          <w:iCs/>
          <w:lang w:val="en-GB"/>
        </w:rPr>
        <w:t>L</w:t>
      </w:r>
      <w:r w:rsidR="009E4BB7">
        <w:rPr>
          <w:i/>
          <w:iCs/>
          <w:lang w:val="en-GB"/>
        </w:rPr>
        <w:t>.</w:t>
      </w:r>
      <w:r w:rsidRPr="009E4BB7">
        <w:rPr>
          <w:i/>
          <w:iCs/>
          <w:lang w:val="en-GB"/>
        </w:rPr>
        <w:t xml:space="preserve"> collinoides</w:t>
      </w:r>
      <w:r w:rsidRPr="001F6F63">
        <w:rPr>
          <w:lang w:val="en-GB"/>
        </w:rPr>
        <w:t xml:space="preserve">, and </w:t>
      </w:r>
      <w:r w:rsidRPr="009E4BB7">
        <w:rPr>
          <w:i/>
          <w:iCs/>
          <w:lang w:val="en-GB"/>
        </w:rPr>
        <w:t>P</w:t>
      </w:r>
      <w:r w:rsidR="009E4BB7">
        <w:rPr>
          <w:i/>
          <w:iCs/>
          <w:lang w:val="en-GB"/>
        </w:rPr>
        <w:t>.</w:t>
      </w:r>
      <w:r w:rsidRPr="009E4BB7">
        <w:rPr>
          <w:i/>
          <w:iCs/>
          <w:lang w:val="en-GB"/>
        </w:rPr>
        <w:t xml:space="preserve"> alvei</w:t>
      </w:r>
      <w:r w:rsidR="00BA2C1F">
        <w:rPr>
          <w:i/>
          <w:iCs/>
          <w:lang w:val="en-GB"/>
        </w:rPr>
        <w:t>.</w:t>
      </w:r>
    </w:p>
    <w:p w14:paraId="4E1D940E" w14:textId="77777777" w:rsidR="00A54D97" w:rsidRDefault="00A54D97" w:rsidP="00600535">
      <w:pPr>
        <w:pStyle w:val="CETBodytext"/>
        <w:rPr>
          <w:lang w:val="en-GB"/>
        </w:rPr>
      </w:pPr>
    </w:p>
    <w:p w14:paraId="0C6C7632" w14:textId="6533C19F" w:rsidR="009E4BB7" w:rsidRDefault="009E4BB7" w:rsidP="009E4BB7">
      <w:pPr>
        <w:pStyle w:val="CETBodytext"/>
        <w:rPr>
          <w:lang w:val="en-GB"/>
        </w:rPr>
      </w:pPr>
      <w:r>
        <w:rPr>
          <w:lang w:val="en-GB"/>
        </w:rPr>
        <w:t xml:space="preserve">In </w:t>
      </w:r>
      <w:r w:rsidRPr="009E4BB7">
        <w:rPr>
          <w:lang w:val="en-GB"/>
        </w:rPr>
        <w:t xml:space="preserve">Figure 2, the temperature and </w:t>
      </w:r>
      <w:r>
        <w:rPr>
          <w:lang w:val="en-GB"/>
        </w:rPr>
        <w:t>pH</w:t>
      </w:r>
      <w:r w:rsidRPr="009E4BB7">
        <w:rPr>
          <w:lang w:val="en-GB"/>
        </w:rPr>
        <w:t xml:space="preserve"> data taken from the composts can be observed. It is</w:t>
      </w:r>
      <w:r>
        <w:rPr>
          <w:lang w:val="en-GB"/>
        </w:rPr>
        <w:t xml:space="preserve"> noted </w:t>
      </w:r>
      <w:r w:rsidRPr="009E4BB7">
        <w:rPr>
          <w:lang w:val="en-GB"/>
        </w:rPr>
        <w:t xml:space="preserve">that the open compost without inoculum functions as a </w:t>
      </w:r>
      <w:r w:rsidR="00B15F63">
        <w:rPr>
          <w:lang w:val="en-GB"/>
        </w:rPr>
        <w:t>blank</w:t>
      </w:r>
      <w:r w:rsidRPr="009E4BB7">
        <w:rPr>
          <w:lang w:val="en-GB"/>
        </w:rPr>
        <w:t>. Primarily, it</w:t>
      </w:r>
      <w:r>
        <w:rPr>
          <w:lang w:val="en-GB"/>
        </w:rPr>
        <w:t>’</w:t>
      </w:r>
      <w:r w:rsidRPr="009E4BB7">
        <w:rPr>
          <w:lang w:val="en-GB"/>
        </w:rPr>
        <w:t xml:space="preserve">s highlighted that the temperature peak of the inoculated composts occurs 2 days earlier than the control, indicating process optimization. However, this curve does not reach the high values normally expected </w:t>
      </w:r>
      <w:r w:rsidR="003A4BA7">
        <w:rPr>
          <w:lang w:val="en-GB"/>
        </w:rPr>
        <w:t>(</w:t>
      </w:r>
      <w:r w:rsidR="003A4BA7" w:rsidRPr="00CB2838">
        <w:rPr>
          <w:lang w:val="en-GB"/>
        </w:rPr>
        <w:t>Campitelli</w:t>
      </w:r>
      <w:r w:rsidR="003A4BA7">
        <w:rPr>
          <w:lang w:val="en-GB"/>
        </w:rPr>
        <w:t xml:space="preserve"> et al., 2014)</w:t>
      </w:r>
      <w:r w:rsidRPr="009E4BB7">
        <w:rPr>
          <w:lang w:val="en-GB"/>
        </w:rPr>
        <w:t>. Additionally, the average temperatures of Gram-positive microorganisms (30.96</w:t>
      </w:r>
      <w:r>
        <w:rPr>
          <w:lang w:val="en-GB"/>
        </w:rPr>
        <w:t xml:space="preserve"> </w:t>
      </w:r>
      <w:r w:rsidRPr="009E4BB7">
        <w:rPr>
          <w:lang w:val="en-GB"/>
        </w:rPr>
        <w:t>°C) are slightly higher than those of Gram-negative ones (30.73</w:t>
      </w:r>
      <w:r>
        <w:rPr>
          <w:lang w:val="en-GB"/>
        </w:rPr>
        <w:t xml:space="preserve"> </w:t>
      </w:r>
      <w:r w:rsidRPr="009E4BB7">
        <w:rPr>
          <w:lang w:val="en-GB"/>
        </w:rPr>
        <w:t xml:space="preserve">°C). </w:t>
      </w:r>
      <w:r w:rsidRPr="009E4BB7">
        <w:rPr>
          <w:i/>
          <w:iCs/>
          <w:lang w:val="en-GB"/>
        </w:rPr>
        <w:t>P. alvei</w:t>
      </w:r>
      <w:r w:rsidRPr="009E4BB7">
        <w:rPr>
          <w:lang w:val="en-GB"/>
        </w:rPr>
        <w:t xml:space="preserve"> stands out from all other setups with a peak of 34.4</w:t>
      </w:r>
      <w:r>
        <w:rPr>
          <w:lang w:val="en-GB"/>
        </w:rPr>
        <w:t xml:space="preserve"> </w:t>
      </w:r>
      <w:r w:rsidRPr="009E4BB7">
        <w:rPr>
          <w:lang w:val="en-GB"/>
        </w:rPr>
        <w:t>°C.</w:t>
      </w:r>
    </w:p>
    <w:p w14:paraId="2DEB06A7" w14:textId="77777777" w:rsidR="004B382A" w:rsidRPr="009E4BB7" w:rsidRDefault="004B382A" w:rsidP="009E4BB7">
      <w:pPr>
        <w:pStyle w:val="CETBodytext"/>
        <w:rPr>
          <w:lang w:val="en-GB"/>
        </w:rPr>
      </w:pPr>
    </w:p>
    <w:p w14:paraId="37FF151C" w14:textId="7077C563" w:rsidR="009E4BB7" w:rsidRPr="009E4BB7" w:rsidRDefault="009E4BB7" w:rsidP="009E4BB7">
      <w:pPr>
        <w:pStyle w:val="CETBodytext"/>
        <w:rPr>
          <w:lang w:val="en-GB"/>
        </w:rPr>
      </w:pPr>
      <w:r w:rsidRPr="009E4BB7">
        <w:rPr>
          <w:lang w:val="en-GB"/>
        </w:rPr>
        <w:t>On the other hand, it is observed that the values of the non-inoculated setups are much lower than the others, mainly due to the temperature of the medium in which they are located</w:t>
      </w:r>
      <w:r>
        <w:rPr>
          <w:lang w:val="en-GB"/>
        </w:rPr>
        <w:t xml:space="preserve"> cause</w:t>
      </w:r>
      <w:r w:rsidRPr="009E4BB7">
        <w:rPr>
          <w:lang w:val="en-GB"/>
        </w:rPr>
        <w:t xml:space="preserve"> the relatively small volume of material for each setup leads to a greater dependence on the effects of the surrounding environment. This, in addition to the high initial C/N ratios of the composts (shown later), also justifies the fact that the temperature peaks reported in the literature were not reached. </w:t>
      </w:r>
      <w:r>
        <w:rPr>
          <w:lang w:val="en-GB"/>
        </w:rPr>
        <w:t>Despite</w:t>
      </w:r>
      <w:r w:rsidRPr="009E4BB7">
        <w:rPr>
          <w:lang w:val="en-GB"/>
        </w:rPr>
        <w:t xml:space="preserve"> studies with similar temperature values in the thermophilic phase have been reported </w:t>
      </w:r>
      <w:r w:rsidR="003A4BA7">
        <w:rPr>
          <w:lang w:val="en-GB"/>
        </w:rPr>
        <w:t>(</w:t>
      </w:r>
      <w:r w:rsidR="003A4BA7" w:rsidRPr="003A4BA7">
        <w:rPr>
          <w:lang w:val="en-GB"/>
        </w:rPr>
        <w:t>Sánchez-Bernal</w:t>
      </w:r>
      <w:r w:rsidR="003A4BA7">
        <w:rPr>
          <w:lang w:val="en-GB"/>
        </w:rPr>
        <w:t xml:space="preserve"> et al., 2019)</w:t>
      </w:r>
      <w:r w:rsidRPr="009E4BB7">
        <w:rPr>
          <w:lang w:val="en-GB"/>
        </w:rPr>
        <w:t>, it is necessary to determine the impact of this parameter on the safety of the final product.</w:t>
      </w:r>
    </w:p>
    <w:p w14:paraId="75AD3589" w14:textId="13C60F7C" w:rsidR="001F6F63" w:rsidRDefault="009E4BB7" w:rsidP="00600535">
      <w:pPr>
        <w:pStyle w:val="CETBodytext"/>
        <w:rPr>
          <w:lang w:val="en-GB"/>
        </w:rPr>
      </w:pPr>
      <w:r w:rsidRPr="009E4BB7">
        <w:rPr>
          <w:lang w:val="en-GB"/>
        </w:rPr>
        <w:lastRenderedPageBreak/>
        <w:t>Regarding</w:t>
      </w:r>
      <w:r>
        <w:rPr>
          <w:lang w:val="en-GB"/>
        </w:rPr>
        <w:t xml:space="preserve"> the</w:t>
      </w:r>
      <w:r w:rsidRPr="009E4BB7">
        <w:rPr>
          <w:lang w:val="en-GB"/>
        </w:rPr>
        <w:t xml:space="preserve"> pH, it is noted that it slightly increases from an initial acidic value to a basic value, ranging between 7 and 8, which corresponds to what is suggested in the literature</w:t>
      </w:r>
      <w:r w:rsidR="003A4BA7">
        <w:rPr>
          <w:lang w:val="en-GB"/>
        </w:rPr>
        <w:t xml:space="preserve"> (Azim et al., 2018; Mehta and Sirari, 2018)</w:t>
      </w:r>
      <w:r w:rsidRPr="009E4BB7">
        <w:rPr>
          <w:lang w:val="en-GB"/>
        </w:rPr>
        <w:t xml:space="preserve">, and reported by another study </w:t>
      </w:r>
      <w:r w:rsidR="003A4BA7">
        <w:rPr>
          <w:lang w:val="en-GB"/>
        </w:rPr>
        <w:t>(</w:t>
      </w:r>
      <w:r w:rsidR="003A4BA7" w:rsidRPr="003A4BA7">
        <w:rPr>
          <w:lang w:val="en-GB"/>
        </w:rPr>
        <w:t>Méndez-Matías</w:t>
      </w:r>
      <w:r w:rsidR="003A4BA7">
        <w:rPr>
          <w:lang w:val="en-GB"/>
        </w:rPr>
        <w:t xml:space="preserve"> et al, 2018)</w:t>
      </w:r>
      <w:r w:rsidRPr="009E4BB7">
        <w:rPr>
          <w:lang w:val="en-GB"/>
        </w:rPr>
        <w:t xml:space="preserve">. It is highlighted that </w:t>
      </w:r>
      <w:r w:rsidRPr="009E4BB7">
        <w:rPr>
          <w:i/>
          <w:iCs/>
          <w:lang w:val="en-GB"/>
        </w:rPr>
        <w:t>L. collinoides</w:t>
      </w:r>
      <w:r w:rsidRPr="009E4BB7">
        <w:rPr>
          <w:lang w:val="en-GB"/>
        </w:rPr>
        <w:t xml:space="preserve"> is slightly above the other setups, with an average value of 7.1. As for the discrepancies with the control, which is notably higher, it is inferred that this is essentially due to microbial action.</w:t>
      </w:r>
      <w:r w:rsidR="003A4BA7">
        <w:rPr>
          <w:lang w:val="en-GB"/>
        </w:rPr>
        <w:t xml:space="preserve"> </w:t>
      </w:r>
      <w:r w:rsidRPr="009E4BB7">
        <w:rPr>
          <w:lang w:val="en-GB"/>
        </w:rPr>
        <w:t>Finally, the humidity data directly depend on the amount of added water, aeration, and the frequency of leachate extraction. This parameter ranged between 60 and 80</w:t>
      </w:r>
      <w:r w:rsidR="006275BD">
        <w:rPr>
          <w:lang w:val="en-GB"/>
        </w:rPr>
        <w:t xml:space="preserve"> </w:t>
      </w:r>
      <w:r w:rsidRPr="009E4BB7">
        <w:rPr>
          <w:lang w:val="en-GB"/>
        </w:rPr>
        <w:t xml:space="preserve">%, which is higher than the normal range established of 40 to 60% </w:t>
      </w:r>
      <w:r w:rsidR="003A4BA7">
        <w:rPr>
          <w:lang w:val="en-GB"/>
        </w:rPr>
        <w:t>(Azim et al., 2018; Campitelli et al., 2014; Mehta and Sirari, 2018)</w:t>
      </w:r>
      <w:r w:rsidRPr="009E4BB7">
        <w:rPr>
          <w:lang w:val="en-GB"/>
        </w:rPr>
        <w:t>. It is inferred that this is mainly due to the lignocellulosic material having good properties for retaining moisture.</w:t>
      </w:r>
    </w:p>
    <w:p w14:paraId="3F7B965C" w14:textId="49F06F43" w:rsidR="001F6F63" w:rsidRDefault="00BA2C1F" w:rsidP="00600535">
      <w:pPr>
        <w:pStyle w:val="CETBodytext"/>
        <w:rPr>
          <w:lang w:val="en-GB"/>
        </w:rPr>
      </w:pPr>
      <w:r w:rsidRPr="00BA2C1F">
        <w:rPr>
          <w:noProof/>
          <w:lang w:val="es-CO" w:eastAsia="es-CO"/>
        </w:rPr>
        <w:drawing>
          <wp:inline distT="0" distB="0" distL="0" distR="0" wp14:anchorId="27E9480A" wp14:editId="417DD7A1">
            <wp:extent cx="2719070" cy="1327868"/>
            <wp:effectExtent l="0" t="0" r="5080" b="5715"/>
            <wp:docPr id="334396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96491" name=""/>
                    <pic:cNvPicPr/>
                  </pic:nvPicPr>
                  <pic:blipFill>
                    <a:blip r:embed="rId11"/>
                    <a:stretch>
                      <a:fillRect/>
                    </a:stretch>
                  </pic:blipFill>
                  <pic:spPr>
                    <a:xfrm>
                      <a:off x="0" y="0"/>
                      <a:ext cx="2737728" cy="1336980"/>
                    </a:xfrm>
                    <a:prstGeom prst="rect">
                      <a:avLst/>
                    </a:prstGeom>
                  </pic:spPr>
                </pic:pic>
              </a:graphicData>
            </a:graphic>
          </wp:inline>
        </w:drawing>
      </w:r>
      <w:r w:rsidR="00FE5BE1">
        <w:rPr>
          <w:noProof/>
        </w:rPr>
        <w:t xml:space="preserve">   </w:t>
      </w:r>
      <w:r w:rsidRPr="00BA2C1F">
        <w:rPr>
          <w:noProof/>
          <w:lang w:val="es-CO" w:eastAsia="es-CO"/>
        </w:rPr>
        <w:drawing>
          <wp:inline distT="0" distB="0" distL="0" distR="0" wp14:anchorId="022B0D97" wp14:editId="0C67F12E">
            <wp:extent cx="2766633" cy="1351722"/>
            <wp:effectExtent l="0" t="0" r="0" b="1270"/>
            <wp:docPr id="1440668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68267" name=""/>
                    <pic:cNvPicPr/>
                  </pic:nvPicPr>
                  <pic:blipFill>
                    <a:blip r:embed="rId12"/>
                    <a:stretch>
                      <a:fillRect/>
                    </a:stretch>
                  </pic:blipFill>
                  <pic:spPr>
                    <a:xfrm>
                      <a:off x="0" y="0"/>
                      <a:ext cx="2785946" cy="1361158"/>
                    </a:xfrm>
                    <a:prstGeom prst="rect">
                      <a:avLst/>
                    </a:prstGeom>
                  </pic:spPr>
                </pic:pic>
              </a:graphicData>
            </a:graphic>
          </wp:inline>
        </w:drawing>
      </w:r>
    </w:p>
    <w:p w14:paraId="67E4F422" w14:textId="031FAE73" w:rsidR="006275BD" w:rsidRPr="00FE5BE1" w:rsidRDefault="00FE5BE1" w:rsidP="00600535">
      <w:pPr>
        <w:pStyle w:val="CETBodytext"/>
        <w:rPr>
          <w:rStyle w:val="CETCaptionCarattere"/>
        </w:rPr>
      </w:pPr>
      <w:r w:rsidRPr="00FE5BE1">
        <w:rPr>
          <w:rStyle w:val="CETCaptionCarattere"/>
        </w:rPr>
        <w:t xml:space="preserve">Figure 2. </w:t>
      </w:r>
      <w:r w:rsidR="000364C3">
        <w:rPr>
          <w:rStyle w:val="CETCaptionCarattere"/>
        </w:rPr>
        <w:t xml:space="preserve">a. </w:t>
      </w:r>
      <w:r w:rsidRPr="00FE5BE1">
        <w:rPr>
          <w:rStyle w:val="CETCaptionCarattere"/>
        </w:rPr>
        <w:t>Temperature Curve.</w:t>
      </w:r>
      <w:r w:rsidR="000364C3">
        <w:rPr>
          <w:rStyle w:val="CETCaptionCarattere"/>
        </w:rPr>
        <w:t xml:space="preserve"> b.</w:t>
      </w:r>
      <w:r w:rsidR="000364C3" w:rsidRPr="000364C3">
        <w:rPr>
          <w:rStyle w:val="CETCaptionCarattere"/>
        </w:rPr>
        <w:t xml:space="preserve"> </w:t>
      </w:r>
      <w:r w:rsidR="000364C3" w:rsidRPr="00FE5BE1">
        <w:rPr>
          <w:rStyle w:val="CETCaptionCarattere"/>
        </w:rPr>
        <w:t>pH curve.</w:t>
      </w:r>
      <w:r w:rsidR="000364C3">
        <w:rPr>
          <w:rStyle w:val="CETCaptionCarattere"/>
        </w:rPr>
        <w:t xml:space="preserve"> </w:t>
      </w:r>
      <w:r w:rsidRPr="00FE5BE1">
        <w:rPr>
          <w:rStyle w:val="CETCaptionCarattere"/>
        </w:rPr>
        <w:t xml:space="preserve">                                       </w:t>
      </w:r>
    </w:p>
    <w:p w14:paraId="6946A74B" w14:textId="77777777" w:rsidR="001F6F63" w:rsidRDefault="001F6F63" w:rsidP="00600535">
      <w:pPr>
        <w:pStyle w:val="CETBodytext"/>
        <w:rPr>
          <w:lang w:val="en-GB"/>
        </w:rPr>
      </w:pPr>
    </w:p>
    <w:p w14:paraId="24EE4A27" w14:textId="75DDDD0F" w:rsidR="00FE5BE1" w:rsidRPr="00FE5BE1" w:rsidRDefault="00FE5BE1" w:rsidP="00FE5BE1">
      <w:pPr>
        <w:pStyle w:val="CETBodytext"/>
        <w:rPr>
          <w:lang w:val="en-GB"/>
        </w:rPr>
      </w:pPr>
      <w:r w:rsidRPr="00FE5BE1">
        <w:rPr>
          <w:lang w:val="en-GB"/>
        </w:rPr>
        <w:t xml:space="preserve">In Table 1, the types of samples chosen for chemical assays are presented, while Table 2 displays the results. As expected, the C/N ratio decreased over the maturation period, consistent with literature reports </w:t>
      </w:r>
      <w:r w:rsidR="00495710">
        <w:rPr>
          <w:lang w:val="en-GB"/>
        </w:rPr>
        <w:t xml:space="preserve">(Azim et al., 2018; Campitelli et al., 2014; Amigos de la tierra, 2004; </w:t>
      </w:r>
      <w:r w:rsidR="003A4BA7">
        <w:rPr>
          <w:lang w:val="en-GB"/>
        </w:rPr>
        <w:t xml:space="preserve">Mehta and Sirari, 2018; </w:t>
      </w:r>
      <w:r w:rsidR="003A4BA7" w:rsidRPr="003A4BA7">
        <w:rPr>
          <w:lang w:val="en-GB"/>
        </w:rPr>
        <w:t>Méndez-Matías</w:t>
      </w:r>
      <w:r w:rsidR="003A4BA7">
        <w:rPr>
          <w:lang w:val="en-GB"/>
        </w:rPr>
        <w:t xml:space="preserve"> et al, 2018; </w:t>
      </w:r>
      <w:r w:rsidR="003A4BA7" w:rsidRPr="003A4BA7">
        <w:rPr>
          <w:lang w:val="en-GB"/>
        </w:rPr>
        <w:t>Montoya, Ospina</w:t>
      </w:r>
      <w:r w:rsidR="003A4BA7">
        <w:rPr>
          <w:lang w:val="en-GB"/>
        </w:rPr>
        <w:t xml:space="preserve"> and</w:t>
      </w:r>
      <w:r w:rsidR="003A4BA7" w:rsidRPr="003A4BA7">
        <w:rPr>
          <w:lang w:val="en-GB"/>
        </w:rPr>
        <w:t xml:space="preserve"> Sánche</w:t>
      </w:r>
      <w:r w:rsidR="003A4BA7">
        <w:rPr>
          <w:lang w:val="en-GB"/>
        </w:rPr>
        <w:t>z, 2020)</w:t>
      </w:r>
      <w:r w:rsidRPr="00FE5BE1">
        <w:rPr>
          <w:lang w:val="en-GB"/>
        </w:rPr>
        <w:t xml:space="preserve">. The blank sample taken at 7 months has the lowest C/N value, which is higher than the closed setup without inoculum. Additionally, the sample from the </w:t>
      </w:r>
      <w:r w:rsidRPr="00FE5BE1">
        <w:rPr>
          <w:i/>
          <w:iCs/>
          <w:lang w:val="en-GB"/>
        </w:rPr>
        <w:t>C. violaceum</w:t>
      </w:r>
      <w:r w:rsidRPr="00FE5BE1">
        <w:rPr>
          <w:lang w:val="en-GB"/>
        </w:rPr>
        <w:t xml:space="preserve"> </w:t>
      </w:r>
      <w:r>
        <w:rPr>
          <w:lang w:val="en-GB"/>
        </w:rPr>
        <w:t xml:space="preserve">inoculated </w:t>
      </w:r>
      <w:r w:rsidRPr="00FE5BE1">
        <w:rPr>
          <w:lang w:val="en-GB"/>
        </w:rPr>
        <w:t>compost taken at 1.5 months has the best C/N value compared to all strains used. Knowing that the initial C/N of all setups corresponds to 137, this strain reduced it by 60.74</w:t>
      </w:r>
      <w:r w:rsidR="004B382A">
        <w:rPr>
          <w:lang w:val="en-GB"/>
        </w:rPr>
        <w:t xml:space="preserve"> </w:t>
      </w:r>
      <w:r w:rsidRPr="00FE5BE1">
        <w:rPr>
          <w:lang w:val="en-GB"/>
        </w:rPr>
        <w:t xml:space="preserve">% in just 1.5 months, followed by </w:t>
      </w:r>
      <w:r w:rsidRPr="00FE5BE1">
        <w:rPr>
          <w:i/>
          <w:iCs/>
          <w:lang w:val="en-GB"/>
        </w:rPr>
        <w:t>P. luteola</w:t>
      </w:r>
      <w:r w:rsidRPr="00FE5BE1">
        <w:rPr>
          <w:lang w:val="en-GB"/>
        </w:rPr>
        <w:t xml:space="preserve"> with 54.65</w:t>
      </w:r>
      <w:r w:rsidR="004B382A">
        <w:rPr>
          <w:lang w:val="en-GB"/>
        </w:rPr>
        <w:t xml:space="preserve"> </w:t>
      </w:r>
      <w:r w:rsidRPr="00FE5BE1">
        <w:rPr>
          <w:lang w:val="en-GB"/>
        </w:rPr>
        <w:t xml:space="preserve">%. Since the C/N of </w:t>
      </w:r>
      <w:r>
        <w:rPr>
          <w:lang w:val="en-GB"/>
        </w:rPr>
        <w:t xml:space="preserve">the </w:t>
      </w:r>
      <w:r w:rsidRPr="00FE5BE1">
        <w:rPr>
          <w:i/>
          <w:iCs/>
          <w:lang w:val="en-GB"/>
        </w:rPr>
        <w:t>C. violaceum</w:t>
      </w:r>
      <w:r w:rsidRPr="00FE5BE1">
        <w:rPr>
          <w:lang w:val="en-GB"/>
        </w:rPr>
        <w:t xml:space="preserve"> </w:t>
      </w:r>
      <w:r>
        <w:rPr>
          <w:lang w:val="en-GB"/>
        </w:rPr>
        <w:t xml:space="preserve">inoculated compost </w:t>
      </w:r>
      <w:r w:rsidRPr="00FE5BE1">
        <w:rPr>
          <w:lang w:val="en-GB"/>
        </w:rPr>
        <w:t xml:space="preserve">is very close </w:t>
      </w:r>
      <w:r>
        <w:rPr>
          <w:lang w:val="en-GB"/>
        </w:rPr>
        <w:t xml:space="preserve">to </w:t>
      </w:r>
      <w:r w:rsidRPr="00FE5BE1">
        <w:rPr>
          <w:lang w:val="en-GB"/>
        </w:rPr>
        <w:t>the blank, and considering the significant difference in maturation times (1.5 months and 7 months), a good understanding of the catalytic impact of this microorganism can be established.</w:t>
      </w:r>
    </w:p>
    <w:p w14:paraId="649F8DC9" w14:textId="77777777" w:rsidR="00FE5BE1" w:rsidRPr="00FE5BE1" w:rsidRDefault="00FE5BE1" w:rsidP="00FE5BE1">
      <w:pPr>
        <w:pStyle w:val="CETBodytext"/>
        <w:rPr>
          <w:lang w:val="en-GB"/>
        </w:rPr>
      </w:pPr>
    </w:p>
    <w:p w14:paraId="30AC6EC6" w14:textId="5B767911" w:rsidR="006275BD" w:rsidRDefault="00FE5BE1" w:rsidP="00600535">
      <w:pPr>
        <w:pStyle w:val="CETBodytext"/>
        <w:rPr>
          <w:lang w:val="en-GB"/>
        </w:rPr>
      </w:pPr>
      <w:r w:rsidRPr="00FE5BE1">
        <w:rPr>
          <w:lang w:val="en-GB"/>
        </w:rPr>
        <w:t xml:space="preserve">Regarding the </w:t>
      </w:r>
      <w:r w:rsidR="00B56728">
        <w:rPr>
          <w:lang w:val="en-GB"/>
        </w:rPr>
        <w:t>Water-Soluble Carbon</w:t>
      </w:r>
      <w:r w:rsidRPr="00FE5BE1">
        <w:rPr>
          <w:lang w:val="en-GB"/>
        </w:rPr>
        <w:t xml:space="preserve"> (</w:t>
      </w:r>
      <w:r w:rsidR="00B56728">
        <w:rPr>
          <w:lang w:val="en-GB"/>
        </w:rPr>
        <w:t>WSC</w:t>
      </w:r>
      <w:r w:rsidRPr="00FE5BE1">
        <w:rPr>
          <w:lang w:val="en-GB"/>
        </w:rPr>
        <w:t xml:space="preserve">), it represents the organic matter available for degradation, so it is reasonable to think that this is inversely proportional to the degradation time, except for the value obtained for the blank at 7 months, which does not follow this pattern. The bacterium that most reduced this parameter was </w:t>
      </w:r>
      <w:r w:rsidRPr="00B15F63">
        <w:rPr>
          <w:i/>
          <w:iCs/>
          <w:lang w:val="en-GB"/>
        </w:rPr>
        <w:t>L. collinodies</w:t>
      </w:r>
      <w:r w:rsidRPr="00FE5BE1">
        <w:rPr>
          <w:lang w:val="en-GB"/>
        </w:rPr>
        <w:t>. As for the phosphorus content, it is higher at the beginning of composting and is eliminated through leachate due to its high solubility in water</w:t>
      </w:r>
      <w:r w:rsidR="00495710">
        <w:rPr>
          <w:lang w:val="en-GB"/>
        </w:rPr>
        <w:t xml:space="preserve"> (Meegoda et al., 2018)</w:t>
      </w:r>
      <w:r w:rsidRPr="00FE5BE1">
        <w:rPr>
          <w:lang w:val="en-GB"/>
        </w:rPr>
        <w:t xml:space="preserve">, so it is logical that composts with longer maturation times have lost the most phosphorus. Additionally, phosphorus solubilization also depends on microbial action, with </w:t>
      </w:r>
      <w:r w:rsidRPr="00B15F63">
        <w:rPr>
          <w:i/>
          <w:iCs/>
          <w:lang w:val="en-GB"/>
        </w:rPr>
        <w:t>P. alvei</w:t>
      </w:r>
      <w:r w:rsidRPr="00FE5BE1">
        <w:rPr>
          <w:lang w:val="en-GB"/>
        </w:rPr>
        <w:t xml:space="preserve"> achieving the highest yield, which is 50</w:t>
      </w:r>
      <w:r w:rsidR="004B382A">
        <w:rPr>
          <w:lang w:val="en-GB"/>
        </w:rPr>
        <w:t xml:space="preserve"> </w:t>
      </w:r>
      <w:r w:rsidRPr="00FE5BE1">
        <w:rPr>
          <w:lang w:val="en-GB"/>
        </w:rPr>
        <w:t xml:space="preserve">% higher than the other strains. In general, the inoculated setups obtained greater phosphorus solubilization, although it has been reported that some of the microorganisms used have a greater ability to perform this action, such as </w:t>
      </w:r>
      <w:r w:rsidRPr="00B15F63">
        <w:rPr>
          <w:i/>
          <w:iCs/>
          <w:lang w:val="en-GB"/>
        </w:rPr>
        <w:t>P. aeruginosa</w:t>
      </w:r>
      <w:r w:rsidRPr="00FE5BE1">
        <w:rPr>
          <w:lang w:val="en-GB"/>
        </w:rPr>
        <w:t xml:space="preserve"> and </w:t>
      </w:r>
      <w:r w:rsidRPr="00B15F63">
        <w:rPr>
          <w:i/>
          <w:iCs/>
          <w:lang w:val="en-GB"/>
        </w:rPr>
        <w:t>P. luteola</w:t>
      </w:r>
      <w:r w:rsidRPr="00FE5BE1">
        <w:rPr>
          <w:lang w:val="en-GB"/>
        </w:rPr>
        <w:t xml:space="preserve"> </w:t>
      </w:r>
      <w:r w:rsidR="00495710">
        <w:rPr>
          <w:lang w:val="en-GB"/>
        </w:rPr>
        <w:t>(</w:t>
      </w:r>
      <w:r w:rsidR="00495710" w:rsidRPr="00495710">
        <w:rPr>
          <w:lang w:val="en-GB"/>
        </w:rPr>
        <w:t>Montoya, Ospina</w:t>
      </w:r>
      <w:r w:rsidR="00495710">
        <w:rPr>
          <w:lang w:val="en-GB"/>
        </w:rPr>
        <w:t xml:space="preserve"> and </w:t>
      </w:r>
      <w:r w:rsidR="00495710" w:rsidRPr="00495710">
        <w:rPr>
          <w:lang w:val="en-GB"/>
        </w:rPr>
        <w:t>Sánchez</w:t>
      </w:r>
      <w:r w:rsidR="00495710">
        <w:rPr>
          <w:lang w:val="en-GB"/>
        </w:rPr>
        <w:t>, 2020;</w:t>
      </w:r>
      <w:r w:rsidR="00495710" w:rsidRPr="00495710">
        <w:rPr>
          <w:lang w:val="en-GB"/>
        </w:rPr>
        <w:t xml:space="preserve"> </w:t>
      </w:r>
      <w:r w:rsidR="00495710">
        <w:rPr>
          <w:lang w:val="en-GB"/>
        </w:rPr>
        <w:t xml:space="preserve">Ahmad et al., 2022; </w:t>
      </w:r>
      <w:r w:rsidR="00495710" w:rsidRPr="00495710">
        <w:rPr>
          <w:lang w:val="en-GB"/>
        </w:rPr>
        <w:t>Setiyo,</w:t>
      </w:r>
      <w:r w:rsidR="00495710">
        <w:rPr>
          <w:lang w:val="en-GB"/>
        </w:rPr>
        <w:t xml:space="preserve"> </w:t>
      </w:r>
      <w:r w:rsidR="00495710" w:rsidRPr="00495710">
        <w:rPr>
          <w:lang w:val="en-GB"/>
        </w:rPr>
        <w:t>Harsojuwono</w:t>
      </w:r>
      <w:r w:rsidR="00495710">
        <w:rPr>
          <w:lang w:val="en-GB"/>
        </w:rPr>
        <w:t xml:space="preserve"> and </w:t>
      </w:r>
      <w:r w:rsidR="00495710" w:rsidRPr="00495710">
        <w:rPr>
          <w:lang w:val="en-GB"/>
        </w:rPr>
        <w:t>Gunam</w:t>
      </w:r>
      <w:r w:rsidR="00495710">
        <w:rPr>
          <w:lang w:val="en-GB"/>
        </w:rPr>
        <w:t>; 2020)</w:t>
      </w:r>
      <w:r w:rsidRPr="00FE5BE1">
        <w:rPr>
          <w:lang w:val="en-GB"/>
        </w:rPr>
        <w:t>, in this case, different results were observed.</w:t>
      </w:r>
    </w:p>
    <w:p w14:paraId="69ADCA66" w14:textId="733D90F7" w:rsidR="00B15F63" w:rsidRPr="00B57B36" w:rsidRDefault="00B15F63" w:rsidP="00B15F63">
      <w:pPr>
        <w:pStyle w:val="CETTabletitle"/>
      </w:pPr>
      <w:r w:rsidRPr="00B57B36">
        <w:t xml:space="preserve">Table 1: </w:t>
      </w:r>
      <w:r>
        <w:t>Physiochemical parameters of the compost samples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552"/>
        <w:gridCol w:w="709"/>
        <w:gridCol w:w="850"/>
        <w:gridCol w:w="709"/>
        <w:gridCol w:w="709"/>
        <w:gridCol w:w="567"/>
      </w:tblGrid>
      <w:tr w:rsidR="00636555" w:rsidRPr="00B57B36" w14:paraId="7AFEF992" w14:textId="4D304850" w:rsidTr="00636555">
        <w:tc>
          <w:tcPr>
            <w:tcW w:w="2552" w:type="dxa"/>
            <w:tcBorders>
              <w:top w:val="single" w:sz="12" w:space="0" w:color="008000"/>
              <w:bottom w:val="single" w:sz="6" w:space="0" w:color="008000"/>
            </w:tcBorders>
            <w:shd w:val="clear" w:color="auto" w:fill="FFFFFF"/>
          </w:tcPr>
          <w:p w14:paraId="4B3A9E12" w14:textId="502F7909" w:rsidR="00636555" w:rsidRPr="00B57B36" w:rsidRDefault="00636555" w:rsidP="00636555">
            <w:pPr>
              <w:pStyle w:val="CETBodytext"/>
              <w:rPr>
                <w:lang w:val="en-GB"/>
              </w:rPr>
            </w:pPr>
            <w:r>
              <w:rPr>
                <w:lang w:val="en-GB"/>
              </w:rPr>
              <w:t>Compost Sample</w:t>
            </w:r>
          </w:p>
        </w:tc>
        <w:tc>
          <w:tcPr>
            <w:tcW w:w="709" w:type="dxa"/>
            <w:tcBorders>
              <w:top w:val="single" w:sz="12" w:space="0" w:color="008000"/>
              <w:bottom w:val="single" w:sz="6" w:space="0" w:color="008000"/>
            </w:tcBorders>
            <w:shd w:val="clear" w:color="auto" w:fill="FFFFFF"/>
          </w:tcPr>
          <w:p w14:paraId="22CEEB69" w14:textId="20C3F3C8" w:rsidR="00636555" w:rsidRPr="00B57B36" w:rsidRDefault="00B56728" w:rsidP="00636555">
            <w:pPr>
              <w:pStyle w:val="CETBodytext"/>
              <w:jc w:val="left"/>
              <w:rPr>
                <w:lang w:val="en-GB"/>
              </w:rPr>
            </w:pPr>
            <w:r>
              <w:rPr>
                <w:lang w:val="en-GB"/>
              </w:rPr>
              <w:t>TN</w:t>
            </w:r>
          </w:p>
        </w:tc>
        <w:tc>
          <w:tcPr>
            <w:tcW w:w="850" w:type="dxa"/>
            <w:tcBorders>
              <w:top w:val="single" w:sz="12" w:space="0" w:color="008000"/>
              <w:bottom w:val="single" w:sz="6" w:space="0" w:color="008000"/>
            </w:tcBorders>
            <w:shd w:val="clear" w:color="auto" w:fill="FFFFFF"/>
          </w:tcPr>
          <w:p w14:paraId="7729F0EF" w14:textId="3EAF1F27" w:rsidR="00636555" w:rsidRPr="00B57B36" w:rsidRDefault="00B56728" w:rsidP="00636555">
            <w:pPr>
              <w:pStyle w:val="CETBodytext"/>
              <w:jc w:val="left"/>
              <w:rPr>
                <w:lang w:val="en-GB"/>
              </w:rPr>
            </w:pPr>
            <w:r>
              <w:rPr>
                <w:lang w:val="en-GB"/>
              </w:rPr>
              <w:t>TC</w:t>
            </w:r>
          </w:p>
        </w:tc>
        <w:tc>
          <w:tcPr>
            <w:tcW w:w="709" w:type="dxa"/>
            <w:tcBorders>
              <w:top w:val="single" w:sz="12" w:space="0" w:color="008000"/>
              <w:bottom w:val="single" w:sz="6" w:space="0" w:color="008000"/>
            </w:tcBorders>
            <w:shd w:val="clear" w:color="auto" w:fill="FFFFFF"/>
          </w:tcPr>
          <w:p w14:paraId="1F0D0034" w14:textId="173D2873" w:rsidR="00636555" w:rsidRPr="00B57B36" w:rsidRDefault="00B56728" w:rsidP="00636555">
            <w:pPr>
              <w:pStyle w:val="CETBodytext"/>
              <w:ind w:right="-1"/>
              <w:jc w:val="left"/>
              <w:rPr>
                <w:rFonts w:cs="Arial"/>
                <w:szCs w:val="18"/>
                <w:lang w:val="en-GB"/>
              </w:rPr>
            </w:pPr>
            <w:r>
              <w:rPr>
                <w:rFonts w:cs="Arial"/>
                <w:szCs w:val="18"/>
                <w:lang w:val="en-GB"/>
              </w:rPr>
              <w:t>WSC</w:t>
            </w:r>
          </w:p>
        </w:tc>
        <w:tc>
          <w:tcPr>
            <w:tcW w:w="709" w:type="dxa"/>
            <w:tcBorders>
              <w:top w:val="single" w:sz="12" w:space="0" w:color="008000"/>
              <w:bottom w:val="single" w:sz="6" w:space="0" w:color="008000"/>
            </w:tcBorders>
            <w:shd w:val="clear" w:color="auto" w:fill="FFFFFF"/>
          </w:tcPr>
          <w:p w14:paraId="50CD9CA3" w14:textId="11DDCDFE" w:rsidR="00636555" w:rsidRPr="00B56728" w:rsidRDefault="00636555" w:rsidP="00636555">
            <w:pPr>
              <w:pStyle w:val="CETBodytext"/>
              <w:ind w:right="-1"/>
              <w:jc w:val="left"/>
              <w:rPr>
                <w:rFonts w:cs="Arial"/>
                <w:szCs w:val="18"/>
                <w:lang w:val="en-GB"/>
              </w:rPr>
            </w:pPr>
            <w:r>
              <w:rPr>
                <w:rFonts w:cs="Arial"/>
                <w:szCs w:val="18"/>
                <w:lang w:val="en-GB"/>
              </w:rPr>
              <w:t>P</w:t>
            </w:r>
            <w:r w:rsidR="00B56728">
              <w:rPr>
                <w:rFonts w:cs="Arial"/>
                <w:szCs w:val="18"/>
                <w:vertAlign w:val="subscript"/>
                <w:lang w:val="en-GB"/>
              </w:rPr>
              <w:t>2</w:t>
            </w:r>
            <w:r w:rsidR="00B56728">
              <w:rPr>
                <w:rFonts w:cs="Arial"/>
                <w:szCs w:val="18"/>
                <w:lang w:val="en-GB"/>
              </w:rPr>
              <w:t>O</w:t>
            </w:r>
            <w:r w:rsidR="00B56728">
              <w:rPr>
                <w:rFonts w:cs="Arial"/>
                <w:szCs w:val="18"/>
                <w:vertAlign w:val="subscript"/>
                <w:lang w:val="en-GB"/>
              </w:rPr>
              <w:t>5</w:t>
            </w:r>
          </w:p>
        </w:tc>
        <w:tc>
          <w:tcPr>
            <w:tcW w:w="567" w:type="dxa"/>
            <w:tcBorders>
              <w:top w:val="single" w:sz="12" w:space="0" w:color="008000"/>
              <w:bottom w:val="single" w:sz="6" w:space="0" w:color="008000"/>
            </w:tcBorders>
            <w:shd w:val="clear" w:color="auto" w:fill="FFFFFF"/>
          </w:tcPr>
          <w:p w14:paraId="50531647" w14:textId="0A9B86D8" w:rsidR="00636555" w:rsidRDefault="00636555" w:rsidP="00636555">
            <w:pPr>
              <w:pStyle w:val="CETBodytext"/>
              <w:ind w:right="-1"/>
              <w:jc w:val="left"/>
              <w:rPr>
                <w:rFonts w:cs="Arial"/>
                <w:szCs w:val="18"/>
                <w:lang w:val="en-GB"/>
              </w:rPr>
            </w:pPr>
            <w:r>
              <w:rPr>
                <w:rFonts w:cs="Arial"/>
                <w:szCs w:val="18"/>
                <w:lang w:val="en-GB"/>
              </w:rPr>
              <w:t>C/N</w:t>
            </w:r>
          </w:p>
        </w:tc>
      </w:tr>
      <w:tr w:rsidR="00636555" w:rsidRPr="00B57B36" w14:paraId="1D28496C" w14:textId="4B60E2D9" w:rsidTr="00636555">
        <w:tc>
          <w:tcPr>
            <w:tcW w:w="2552" w:type="dxa"/>
            <w:shd w:val="clear" w:color="auto" w:fill="FFFFFF"/>
          </w:tcPr>
          <w:p w14:paraId="22B94682" w14:textId="45F5538F" w:rsidR="00636555" w:rsidRPr="00B57B36" w:rsidRDefault="00636555" w:rsidP="00636555">
            <w:pPr>
              <w:pStyle w:val="CETBodytext"/>
              <w:rPr>
                <w:lang w:val="en-GB"/>
              </w:rPr>
            </w:pPr>
            <w:r>
              <w:rPr>
                <w:rFonts w:cs="Arial"/>
              </w:rPr>
              <w:t>Open Compost</w:t>
            </w:r>
            <w:r w:rsidRPr="0030092F">
              <w:rPr>
                <w:rFonts w:cs="Arial"/>
              </w:rPr>
              <w:t xml:space="preserve"> (7 m</w:t>
            </w:r>
            <w:r>
              <w:rPr>
                <w:rFonts w:cs="Arial"/>
              </w:rPr>
              <w:t>onths</w:t>
            </w:r>
            <w:r w:rsidRPr="0030092F">
              <w:rPr>
                <w:rFonts w:cs="Arial"/>
              </w:rPr>
              <w:t>)</w:t>
            </w:r>
          </w:p>
        </w:tc>
        <w:tc>
          <w:tcPr>
            <w:tcW w:w="709" w:type="dxa"/>
            <w:shd w:val="clear" w:color="auto" w:fill="FFFFFF"/>
          </w:tcPr>
          <w:p w14:paraId="38D2B56E" w14:textId="12433CAD" w:rsidR="00636555" w:rsidRPr="00B57B36" w:rsidRDefault="00636555" w:rsidP="00636555">
            <w:pPr>
              <w:pStyle w:val="CETBodytext"/>
              <w:rPr>
                <w:lang w:val="en-GB"/>
              </w:rPr>
            </w:pPr>
            <w:r w:rsidRPr="0030092F">
              <w:rPr>
                <w:rFonts w:cs="Arial"/>
              </w:rPr>
              <w:t>0.99 %</w:t>
            </w:r>
          </w:p>
        </w:tc>
        <w:tc>
          <w:tcPr>
            <w:tcW w:w="850" w:type="dxa"/>
            <w:shd w:val="clear" w:color="auto" w:fill="FFFFFF"/>
          </w:tcPr>
          <w:p w14:paraId="06870C64" w14:textId="387B81C1" w:rsidR="00636555" w:rsidRPr="00B57B36" w:rsidRDefault="00636555" w:rsidP="00636555">
            <w:pPr>
              <w:pStyle w:val="CETBodytext"/>
              <w:rPr>
                <w:lang w:val="en-GB"/>
              </w:rPr>
            </w:pPr>
            <w:r w:rsidRPr="0030092F">
              <w:rPr>
                <w:rFonts w:cs="Arial"/>
              </w:rPr>
              <w:t>42.51 %</w:t>
            </w:r>
          </w:p>
        </w:tc>
        <w:tc>
          <w:tcPr>
            <w:tcW w:w="709" w:type="dxa"/>
            <w:shd w:val="clear" w:color="auto" w:fill="FFFFFF"/>
          </w:tcPr>
          <w:p w14:paraId="05F2FA20" w14:textId="752D98D6" w:rsidR="00636555" w:rsidRPr="00B57B36" w:rsidRDefault="00636555" w:rsidP="00636555">
            <w:pPr>
              <w:pStyle w:val="CETBodytext"/>
              <w:ind w:right="-1"/>
              <w:rPr>
                <w:rFonts w:cs="Arial"/>
                <w:szCs w:val="18"/>
                <w:lang w:val="en-GB"/>
              </w:rPr>
            </w:pPr>
            <w:r w:rsidRPr="0030092F">
              <w:rPr>
                <w:rFonts w:cs="Arial"/>
              </w:rPr>
              <w:t>1.75 %</w:t>
            </w:r>
          </w:p>
        </w:tc>
        <w:tc>
          <w:tcPr>
            <w:tcW w:w="709" w:type="dxa"/>
            <w:shd w:val="clear" w:color="auto" w:fill="FFFFFF"/>
          </w:tcPr>
          <w:p w14:paraId="55724E07" w14:textId="714D2DC5" w:rsidR="00636555" w:rsidRPr="00B57B36" w:rsidRDefault="00636555" w:rsidP="00636555">
            <w:pPr>
              <w:pStyle w:val="CETBodytext"/>
              <w:ind w:right="-1"/>
              <w:rPr>
                <w:rFonts w:cs="Arial"/>
                <w:szCs w:val="18"/>
                <w:lang w:val="en-GB"/>
              </w:rPr>
            </w:pPr>
            <w:r w:rsidRPr="0030092F">
              <w:rPr>
                <w:rFonts w:cs="Arial"/>
              </w:rPr>
              <w:t>0.12 %</w:t>
            </w:r>
          </w:p>
        </w:tc>
        <w:tc>
          <w:tcPr>
            <w:tcW w:w="567" w:type="dxa"/>
            <w:tcBorders>
              <w:top w:val="single" w:sz="4" w:space="0" w:color="auto"/>
            </w:tcBorders>
          </w:tcPr>
          <w:p w14:paraId="30576D60" w14:textId="6AEE4F86" w:rsidR="00636555" w:rsidRPr="0030092F" w:rsidRDefault="00636555" w:rsidP="00636555">
            <w:pPr>
              <w:tabs>
                <w:tab w:val="clear" w:pos="7100"/>
              </w:tabs>
              <w:spacing w:line="276" w:lineRule="auto"/>
              <w:jc w:val="left"/>
              <w:rPr>
                <w:rFonts w:cs="Arial"/>
              </w:rPr>
            </w:pPr>
            <w:r w:rsidRPr="0030092F">
              <w:rPr>
                <w:rFonts w:cs="Arial"/>
              </w:rPr>
              <w:t>42.77</w:t>
            </w:r>
          </w:p>
        </w:tc>
      </w:tr>
      <w:tr w:rsidR="00636555" w:rsidRPr="00B57B36" w14:paraId="54D80890" w14:textId="49409EF0" w:rsidTr="00636555">
        <w:tc>
          <w:tcPr>
            <w:tcW w:w="2552" w:type="dxa"/>
            <w:shd w:val="clear" w:color="auto" w:fill="FFFFFF"/>
          </w:tcPr>
          <w:p w14:paraId="2D9576C6" w14:textId="6A0015AB" w:rsidR="00636555" w:rsidRPr="00B57B36" w:rsidRDefault="00636555" w:rsidP="00636555">
            <w:pPr>
              <w:pStyle w:val="CETBodytext"/>
              <w:ind w:right="-1"/>
              <w:rPr>
                <w:rFonts w:cs="Arial"/>
                <w:szCs w:val="18"/>
                <w:lang w:val="en-GB"/>
              </w:rPr>
            </w:pPr>
            <w:r w:rsidRPr="0030092F">
              <w:rPr>
                <w:rFonts w:cs="Arial"/>
              </w:rPr>
              <w:t>C</w:t>
            </w:r>
            <w:r>
              <w:rPr>
                <w:rFonts w:cs="Arial"/>
              </w:rPr>
              <w:t>losed C</w:t>
            </w:r>
            <w:r w:rsidRPr="0030092F">
              <w:rPr>
                <w:rFonts w:cs="Arial"/>
              </w:rPr>
              <w:t>ompost (7 m</w:t>
            </w:r>
            <w:r>
              <w:rPr>
                <w:rFonts w:cs="Arial"/>
              </w:rPr>
              <w:t>onths</w:t>
            </w:r>
            <w:r w:rsidRPr="0030092F">
              <w:rPr>
                <w:rFonts w:cs="Arial"/>
              </w:rPr>
              <w:t>)</w:t>
            </w:r>
          </w:p>
        </w:tc>
        <w:tc>
          <w:tcPr>
            <w:tcW w:w="709" w:type="dxa"/>
            <w:shd w:val="clear" w:color="auto" w:fill="FFFFFF"/>
          </w:tcPr>
          <w:p w14:paraId="59FA48CB" w14:textId="6C6E04CB" w:rsidR="00636555" w:rsidRPr="00B57B36" w:rsidRDefault="00636555" w:rsidP="00636555">
            <w:pPr>
              <w:pStyle w:val="CETBodytext"/>
              <w:ind w:right="-1"/>
              <w:rPr>
                <w:rFonts w:cs="Arial"/>
                <w:szCs w:val="18"/>
                <w:lang w:val="en-GB"/>
              </w:rPr>
            </w:pPr>
            <w:r w:rsidRPr="0030092F">
              <w:rPr>
                <w:rFonts w:cs="Arial"/>
              </w:rPr>
              <w:t>0.90 %</w:t>
            </w:r>
          </w:p>
        </w:tc>
        <w:tc>
          <w:tcPr>
            <w:tcW w:w="850" w:type="dxa"/>
            <w:shd w:val="clear" w:color="auto" w:fill="FFFFFF"/>
          </w:tcPr>
          <w:p w14:paraId="71C77CCB" w14:textId="53BAC114" w:rsidR="00636555" w:rsidRPr="00B57B36" w:rsidRDefault="00636555" w:rsidP="00636555">
            <w:pPr>
              <w:pStyle w:val="CETBodytext"/>
              <w:ind w:right="-1"/>
              <w:rPr>
                <w:rFonts w:cs="Arial"/>
                <w:szCs w:val="18"/>
                <w:lang w:val="en-GB"/>
              </w:rPr>
            </w:pPr>
            <w:r w:rsidRPr="0030092F">
              <w:rPr>
                <w:rFonts w:cs="Arial"/>
              </w:rPr>
              <w:t>43.89 %</w:t>
            </w:r>
          </w:p>
        </w:tc>
        <w:tc>
          <w:tcPr>
            <w:tcW w:w="709" w:type="dxa"/>
            <w:shd w:val="clear" w:color="auto" w:fill="FFFFFF"/>
          </w:tcPr>
          <w:p w14:paraId="0D0B6AEA" w14:textId="3E8DF44F" w:rsidR="00636555" w:rsidRPr="00B57B36" w:rsidRDefault="00636555" w:rsidP="00636555">
            <w:pPr>
              <w:pStyle w:val="CETBodytext"/>
              <w:ind w:right="-1"/>
              <w:rPr>
                <w:rFonts w:cs="Arial"/>
                <w:szCs w:val="18"/>
                <w:lang w:val="en-GB"/>
              </w:rPr>
            </w:pPr>
            <w:r w:rsidRPr="0030092F">
              <w:rPr>
                <w:rFonts w:cs="Arial"/>
              </w:rPr>
              <w:t>0.37 %</w:t>
            </w:r>
          </w:p>
        </w:tc>
        <w:tc>
          <w:tcPr>
            <w:tcW w:w="709" w:type="dxa"/>
            <w:shd w:val="clear" w:color="auto" w:fill="FFFFFF"/>
          </w:tcPr>
          <w:p w14:paraId="0A114D88" w14:textId="66E23E95" w:rsidR="00636555" w:rsidRPr="00B57B36" w:rsidRDefault="00636555" w:rsidP="00636555">
            <w:pPr>
              <w:pStyle w:val="CETBodytext"/>
              <w:ind w:right="-1"/>
              <w:rPr>
                <w:rFonts w:cs="Arial"/>
                <w:szCs w:val="18"/>
                <w:lang w:val="en-GB"/>
              </w:rPr>
            </w:pPr>
            <w:r w:rsidRPr="0030092F">
              <w:rPr>
                <w:rFonts w:cs="Arial"/>
              </w:rPr>
              <w:t>0.11 %</w:t>
            </w:r>
          </w:p>
        </w:tc>
        <w:tc>
          <w:tcPr>
            <w:tcW w:w="567" w:type="dxa"/>
          </w:tcPr>
          <w:p w14:paraId="7656CCFE" w14:textId="33F36DC9" w:rsidR="00636555" w:rsidRPr="0030092F" w:rsidRDefault="00636555" w:rsidP="00636555">
            <w:pPr>
              <w:tabs>
                <w:tab w:val="clear" w:pos="7100"/>
              </w:tabs>
              <w:spacing w:line="276" w:lineRule="auto"/>
              <w:jc w:val="left"/>
              <w:rPr>
                <w:rFonts w:cs="Arial"/>
              </w:rPr>
            </w:pPr>
            <w:r w:rsidRPr="0030092F">
              <w:rPr>
                <w:rFonts w:cs="Arial"/>
              </w:rPr>
              <w:t>48.98</w:t>
            </w:r>
          </w:p>
        </w:tc>
      </w:tr>
      <w:tr w:rsidR="00636555" w:rsidRPr="00B57B36" w14:paraId="5924B617" w14:textId="77777777" w:rsidTr="00636555">
        <w:tc>
          <w:tcPr>
            <w:tcW w:w="2552" w:type="dxa"/>
            <w:shd w:val="clear" w:color="auto" w:fill="FFFFFF"/>
          </w:tcPr>
          <w:p w14:paraId="515D5C73" w14:textId="1182D7E8" w:rsidR="00636555" w:rsidRPr="0030092F" w:rsidRDefault="00636555" w:rsidP="00636555">
            <w:pPr>
              <w:pStyle w:val="CETBodytext"/>
              <w:ind w:right="-1"/>
              <w:rPr>
                <w:rFonts w:cs="Arial"/>
              </w:rPr>
            </w:pPr>
            <w:r>
              <w:rPr>
                <w:rFonts w:cs="Arial"/>
              </w:rPr>
              <w:t>Closed Compost</w:t>
            </w:r>
            <w:r w:rsidRPr="0030092F">
              <w:rPr>
                <w:rFonts w:cs="Arial"/>
              </w:rPr>
              <w:t xml:space="preserve"> (</w:t>
            </w:r>
            <w:r>
              <w:rPr>
                <w:rFonts w:cs="Arial"/>
              </w:rPr>
              <w:t>5</w:t>
            </w:r>
            <w:r w:rsidRPr="0030092F">
              <w:rPr>
                <w:rFonts w:cs="Arial"/>
              </w:rPr>
              <w:t xml:space="preserve"> m</w:t>
            </w:r>
            <w:r>
              <w:rPr>
                <w:rFonts w:cs="Arial"/>
              </w:rPr>
              <w:t>onths</w:t>
            </w:r>
            <w:r w:rsidRPr="0030092F">
              <w:rPr>
                <w:rFonts w:cs="Arial"/>
              </w:rPr>
              <w:t>)</w:t>
            </w:r>
          </w:p>
        </w:tc>
        <w:tc>
          <w:tcPr>
            <w:tcW w:w="709" w:type="dxa"/>
            <w:shd w:val="clear" w:color="auto" w:fill="FFFFFF"/>
          </w:tcPr>
          <w:p w14:paraId="05B084C4" w14:textId="3D95908B" w:rsidR="00636555" w:rsidRPr="0030092F" w:rsidRDefault="00636555" w:rsidP="00636555">
            <w:pPr>
              <w:pStyle w:val="CETBodytext"/>
              <w:ind w:right="-1"/>
              <w:rPr>
                <w:rFonts w:cs="Arial"/>
              </w:rPr>
            </w:pPr>
            <w:r w:rsidRPr="0030092F">
              <w:rPr>
                <w:rFonts w:cs="Arial"/>
              </w:rPr>
              <w:t>0.91 %</w:t>
            </w:r>
          </w:p>
        </w:tc>
        <w:tc>
          <w:tcPr>
            <w:tcW w:w="850" w:type="dxa"/>
            <w:shd w:val="clear" w:color="auto" w:fill="FFFFFF"/>
          </w:tcPr>
          <w:p w14:paraId="5FE216A3" w14:textId="2DD6FB0A" w:rsidR="00636555" w:rsidRPr="0030092F" w:rsidRDefault="00636555" w:rsidP="00636555">
            <w:pPr>
              <w:pStyle w:val="CETBodytext"/>
              <w:ind w:right="-1"/>
              <w:rPr>
                <w:rFonts w:cs="Arial"/>
              </w:rPr>
            </w:pPr>
            <w:r w:rsidRPr="0030092F">
              <w:rPr>
                <w:rFonts w:cs="Arial"/>
              </w:rPr>
              <w:t>39.17 %</w:t>
            </w:r>
          </w:p>
        </w:tc>
        <w:tc>
          <w:tcPr>
            <w:tcW w:w="709" w:type="dxa"/>
            <w:shd w:val="clear" w:color="auto" w:fill="FFFFFF"/>
          </w:tcPr>
          <w:p w14:paraId="7F8B5755" w14:textId="2B69809B" w:rsidR="00636555" w:rsidRPr="0030092F" w:rsidRDefault="00636555" w:rsidP="00636555">
            <w:pPr>
              <w:pStyle w:val="CETBodytext"/>
              <w:ind w:right="-1"/>
              <w:rPr>
                <w:rFonts w:cs="Arial"/>
              </w:rPr>
            </w:pPr>
            <w:r w:rsidRPr="0030092F">
              <w:rPr>
                <w:rFonts w:cs="Arial"/>
              </w:rPr>
              <w:t>0.94 %</w:t>
            </w:r>
          </w:p>
        </w:tc>
        <w:tc>
          <w:tcPr>
            <w:tcW w:w="709" w:type="dxa"/>
            <w:shd w:val="clear" w:color="auto" w:fill="FFFFFF"/>
          </w:tcPr>
          <w:p w14:paraId="1FA25C34" w14:textId="09778936" w:rsidR="00636555" w:rsidRPr="0030092F" w:rsidRDefault="00636555" w:rsidP="00636555">
            <w:pPr>
              <w:pStyle w:val="CETBodytext"/>
              <w:ind w:right="-1"/>
              <w:rPr>
                <w:rFonts w:cs="Arial"/>
              </w:rPr>
            </w:pPr>
            <w:r w:rsidRPr="0030092F">
              <w:rPr>
                <w:rFonts w:cs="Arial"/>
              </w:rPr>
              <w:t>0.12 %</w:t>
            </w:r>
          </w:p>
        </w:tc>
        <w:tc>
          <w:tcPr>
            <w:tcW w:w="567" w:type="dxa"/>
          </w:tcPr>
          <w:p w14:paraId="720C27DE" w14:textId="2DEEA535" w:rsidR="00636555" w:rsidRPr="0030092F" w:rsidRDefault="00636555" w:rsidP="00636555">
            <w:pPr>
              <w:tabs>
                <w:tab w:val="clear" w:pos="7100"/>
              </w:tabs>
              <w:spacing w:line="276" w:lineRule="auto"/>
              <w:jc w:val="left"/>
              <w:rPr>
                <w:rFonts w:cs="Arial"/>
              </w:rPr>
            </w:pPr>
            <w:r w:rsidRPr="0030092F">
              <w:rPr>
                <w:rFonts w:cs="Arial"/>
              </w:rPr>
              <w:t>43.05</w:t>
            </w:r>
          </w:p>
        </w:tc>
      </w:tr>
      <w:tr w:rsidR="00636555" w:rsidRPr="00B57B36" w14:paraId="17DBBFC9" w14:textId="77777777" w:rsidTr="00636555">
        <w:tc>
          <w:tcPr>
            <w:tcW w:w="2552" w:type="dxa"/>
            <w:shd w:val="clear" w:color="auto" w:fill="FFFFFF"/>
          </w:tcPr>
          <w:p w14:paraId="0E0DB086" w14:textId="182147A1" w:rsidR="00636555" w:rsidRPr="0030092F" w:rsidRDefault="00636555" w:rsidP="00636555">
            <w:pPr>
              <w:pStyle w:val="CETBodytext"/>
              <w:ind w:right="-1"/>
              <w:rPr>
                <w:rFonts w:cs="Arial"/>
              </w:rPr>
            </w:pPr>
            <w:r w:rsidRPr="0030092F">
              <w:rPr>
                <w:rFonts w:cs="Arial"/>
                <w:bCs/>
                <w:i/>
                <w:iCs/>
              </w:rPr>
              <w:t xml:space="preserve">C. violaceum </w:t>
            </w:r>
            <w:r w:rsidRPr="0030092F">
              <w:rPr>
                <w:rFonts w:cs="Arial"/>
                <w:bCs/>
              </w:rPr>
              <w:t xml:space="preserve">(1.5 </w:t>
            </w:r>
            <w:r w:rsidR="000364C3" w:rsidRPr="0030092F">
              <w:rPr>
                <w:rFonts w:cs="Arial"/>
              </w:rPr>
              <w:t>m</w:t>
            </w:r>
            <w:r w:rsidR="000364C3">
              <w:rPr>
                <w:rFonts w:cs="Arial"/>
              </w:rPr>
              <w:t>onths</w:t>
            </w:r>
            <w:r w:rsidRPr="0030092F">
              <w:rPr>
                <w:rFonts w:cs="Arial"/>
                <w:bCs/>
              </w:rPr>
              <w:t>)</w:t>
            </w:r>
          </w:p>
        </w:tc>
        <w:tc>
          <w:tcPr>
            <w:tcW w:w="709" w:type="dxa"/>
            <w:shd w:val="clear" w:color="auto" w:fill="FFFFFF"/>
          </w:tcPr>
          <w:p w14:paraId="3E39CEC9" w14:textId="4CFE9F77" w:rsidR="00636555" w:rsidRPr="0030092F" w:rsidRDefault="00636555" w:rsidP="00636555">
            <w:pPr>
              <w:pStyle w:val="CETBodytext"/>
              <w:ind w:right="-1"/>
              <w:rPr>
                <w:rFonts w:cs="Arial"/>
              </w:rPr>
            </w:pPr>
            <w:r w:rsidRPr="0030092F">
              <w:rPr>
                <w:rFonts w:cs="Arial"/>
              </w:rPr>
              <w:t>0.70 %</w:t>
            </w:r>
          </w:p>
        </w:tc>
        <w:tc>
          <w:tcPr>
            <w:tcW w:w="850" w:type="dxa"/>
            <w:shd w:val="clear" w:color="auto" w:fill="FFFFFF"/>
          </w:tcPr>
          <w:p w14:paraId="4ABEC125" w14:textId="5F386C86" w:rsidR="00636555" w:rsidRPr="0030092F" w:rsidRDefault="00636555" w:rsidP="00636555">
            <w:pPr>
              <w:pStyle w:val="CETBodytext"/>
              <w:ind w:right="-1"/>
              <w:rPr>
                <w:rFonts w:cs="Arial"/>
              </w:rPr>
            </w:pPr>
            <w:r w:rsidRPr="0030092F">
              <w:rPr>
                <w:rFonts w:cs="Arial"/>
              </w:rPr>
              <w:t>37.54 %</w:t>
            </w:r>
          </w:p>
        </w:tc>
        <w:tc>
          <w:tcPr>
            <w:tcW w:w="709" w:type="dxa"/>
            <w:shd w:val="clear" w:color="auto" w:fill="FFFFFF"/>
          </w:tcPr>
          <w:p w14:paraId="13049743" w14:textId="12A837C9" w:rsidR="00636555" w:rsidRPr="0030092F" w:rsidRDefault="00636555" w:rsidP="00636555">
            <w:pPr>
              <w:pStyle w:val="CETBodytext"/>
              <w:ind w:right="-1"/>
              <w:rPr>
                <w:rFonts w:cs="Arial"/>
              </w:rPr>
            </w:pPr>
            <w:r w:rsidRPr="0030092F">
              <w:rPr>
                <w:rFonts w:cs="Arial"/>
              </w:rPr>
              <w:t>0.56 %</w:t>
            </w:r>
          </w:p>
        </w:tc>
        <w:tc>
          <w:tcPr>
            <w:tcW w:w="709" w:type="dxa"/>
            <w:shd w:val="clear" w:color="auto" w:fill="FFFFFF"/>
          </w:tcPr>
          <w:p w14:paraId="322BB19E" w14:textId="5A70CB19" w:rsidR="00636555" w:rsidRPr="0030092F" w:rsidRDefault="00636555" w:rsidP="00636555">
            <w:pPr>
              <w:pStyle w:val="CETBodytext"/>
              <w:ind w:right="-1"/>
              <w:rPr>
                <w:rFonts w:cs="Arial"/>
              </w:rPr>
            </w:pPr>
            <w:r w:rsidRPr="0030092F">
              <w:rPr>
                <w:rFonts w:cs="Arial"/>
              </w:rPr>
              <w:t>0.18 %</w:t>
            </w:r>
          </w:p>
        </w:tc>
        <w:tc>
          <w:tcPr>
            <w:tcW w:w="567" w:type="dxa"/>
          </w:tcPr>
          <w:p w14:paraId="4E4C0D44" w14:textId="63AB8DFC" w:rsidR="00636555" w:rsidRPr="0030092F" w:rsidRDefault="00636555" w:rsidP="00636555">
            <w:pPr>
              <w:tabs>
                <w:tab w:val="clear" w:pos="7100"/>
              </w:tabs>
              <w:spacing w:line="276" w:lineRule="auto"/>
              <w:jc w:val="left"/>
              <w:rPr>
                <w:rFonts w:cs="Arial"/>
              </w:rPr>
            </w:pPr>
            <w:r w:rsidRPr="0030092F">
              <w:rPr>
                <w:rFonts w:cs="Arial"/>
              </w:rPr>
              <w:t>53.63</w:t>
            </w:r>
          </w:p>
        </w:tc>
      </w:tr>
      <w:tr w:rsidR="00636555" w:rsidRPr="00B57B36" w14:paraId="637449A3" w14:textId="77777777" w:rsidTr="00636555">
        <w:tc>
          <w:tcPr>
            <w:tcW w:w="2552" w:type="dxa"/>
            <w:shd w:val="clear" w:color="auto" w:fill="FFFFFF"/>
          </w:tcPr>
          <w:p w14:paraId="42E96FC4" w14:textId="6D3F0694" w:rsidR="00636555" w:rsidRPr="0030092F" w:rsidRDefault="00636555" w:rsidP="00636555">
            <w:pPr>
              <w:pStyle w:val="CETBodytext"/>
              <w:ind w:right="-1"/>
              <w:rPr>
                <w:rFonts w:cs="Arial"/>
                <w:bCs/>
              </w:rPr>
            </w:pPr>
            <w:r w:rsidRPr="0030092F">
              <w:rPr>
                <w:rFonts w:cs="Arial"/>
                <w:bCs/>
                <w:i/>
                <w:iCs/>
              </w:rPr>
              <w:t xml:space="preserve">P. luteola </w:t>
            </w:r>
            <w:r w:rsidRPr="0030092F">
              <w:rPr>
                <w:rFonts w:cs="Arial"/>
                <w:bCs/>
              </w:rPr>
              <w:t xml:space="preserve">(1.5 </w:t>
            </w:r>
            <w:r w:rsidR="000364C3" w:rsidRPr="0030092F">
              <w:rPr>
                <w:rFonts w:cs="Arial"/>
              </w:rPr>
              <w:t>m</w:t>
            </w:r>
            <w:r w:rsidR="000364C3">
              <w:rPr>
                <w:rFonts w:cs="Arial"/>
              </w:rPr>
              <w:t>onths</w:t>
            </w:r>
            <w:r w:rsidRPr="0030092F">
              <w:rPr>
                <w:rFonts w:cs="Arial"/>
                <w:bCs/>
              </w:rPr>
              <w:t>)</w:t>
            </w:r>
          </w:p>
        </w:tc>
        <w:tc>
          <w:tcPr>
            <w:tcW w:w="709" w:type="dxa"/>
            <w:shd w:val="clear" w:color="auto" w:fill="FFFFFF"/>
          </w:tcPr>
          <w:p w14:paraId="1071847A" w14:textId="6C3B4E5F" w:rsidR="00636555" w:rsidRPr="0030092F" w:rsidRDefault="00636555" w:rsidP="00636555">
            <w:pPr>
              <w:pStyle w:val="CETBodytext"/>
              <w:ind w:right="-1"/>
              <w:rPr>
                <w:rFonts w:cs="Arial"/>
              </w:rPr>
            </w:pPr>
            <w:r w:rsidRPr="0030092F">
              <w:rPr>
                <w:rFonts w:cs="Arial"/>
              </w:rPr>
              <w:t>0.74 %</w:t>
            </w:r>
          </w:p>
        </w:tc>
        <w:tc>
          <w:tcPr>
            <w:tcW w:w="850" w:type="dxa"/>
            <w:shd w:val="clear" w:color="auto" w:fill="FFFFFF"/>
          </w:tcPr>
          <w:p w14:paraId="6DF400BA" w14:textId="3A3A7258" w:rsidR="00636555" w:rsidRPr="0030092F" w:rsidRDefault="00636555" w:rsidP="00636555">
            <w:pPr>
              <w:pStyle w:val="CETBodytext"/>
              <w:ind w:right="-1"/>
              <w:rPr>
                <w:rFonts w:cs="Arial"/>
              </w:rPr>
            </w:pPr>
            <w:r w:rsidRPr="0030092F">
              <w:rPr>
                <w:rFonts w:cs="Arial"/>
              </w:rPr>
              <w:t>45.97 %</w:t>
            </w:r>
          </w:p>
        </w:tc>
        <w:tc>
          <w:tcPr>
            <w:tcW w:w="709" w:type="dxa"/>
            <w:shd w:val="clear" w:color="auto" w:fill="FFFFFF"/>
          </w:tcPr>
          <w:p w14:paraId="44CCD98E" w14:textId="6F418018" w:rsidR="00636555" w:rsidRPr="0030092F" w:rsidRDefault="00636555" w:rsidP="00636555">
            <w:pPr>
              <w:pStyle w:val="CETBodytext"/>
              <w:ind w:right="-1"/>
              <w:rPr>
                <w:rFonts w:cs="Arial"/>
              </w:rPr>
            </w:pPr>
            <w:r w:rsidRPr="0030092F">
              <w:rPr>
                <w:rFonts w:cs="Arial"/>
              </w:rPr>
              <w:t>0.43 %</w:t>
            </w:r>
          </w:p>
        </w:tc>
        <w:tc>
          <w:tcPr>
            <w:tcW w:w="709" w:type="dxa"/>
            <w:shd w:val="clear" w:color="auto" w:fill="FFFFFF"/>
          </w:tcPr>
          <w:p w14:paraId="01C2EB57" w14:textId="3EDC08A9" w:rsidR="00636555" w:rsidRPr="0030092F" w:rsidRDefault="00636555" w:rsidP="00636555">
            <w:pPr>
              <w:pStyle w:val="CETBodytext"/>
              <w:ind w:right="-1"/>
              <w:rPr>
                <w:rFonts w:cs="Arial"/>
              </w:rPr>
            </w:pPr>
            <w:r w:rsidRPr="0030092F">
              <w:rPr>
                <w:rFonts w:cs="Arial"/>
              </w:rPr>
              <w:t>0.21 %</w:t>
            </w:r>
          </w:p>
        </w:tc>
        <w:tc>
          <w:tcPr>
            <w:tcW w:w="567" w:type="dxa"/>
          </w:tcPr>
          <w:p w14:paraId="725CD934" w14:textId="1BA00540" w:rsidR="00636555" w:rsidRPr="0030092F" w:rsidRDefault="00636555" w:rsidP="00636555">
            <w:pPr>
              <w:tabs>
                <w:tab w:val="clear" w:pos="7100"/>
              </w:tabs>
              <w:spacing w:line="276" w:lineRule="auto"/>
              <w:jc w:val="left"/>
              <w:rPr>
                <w:rFonts w:cs="Arial"/>
              </w:rPr>
            </w:pPr>
            <w:r w:rsidRPr="0030092F">
              <w:rPr>
                <w:rFonts w:cs="Arial"/>
              </w:rPr>
              <w:t>61.95</w:t>
            </w:r>
          </w:p>
        </w:tc>
      </w:tr>
      <w:tr w:rsidR="00636555" w:rsidRPr="00B57B36" w14:paraId="09D33E77" w14:textId="77777777" w:rsidTr="00636555">
        <w:tc>
          <w:tcPr>
            <w:tcW w:w="2552" w:type="dxa"/>
            <w:shd w:val="clear" w:color="auto" w:fill="FFFFFF"/>
          </w:tcPr>
          <w:p w14:paraId="58EA2090" w14:textId="60467774" w:rsidR="00636555" w:rsidRPr="0030092F" w:rsidRDefault="00636555" w:rsidP="00636555">
            <w:pPr>
              <w:pStyle w:val="CETBodytext"/>
              <w:ind w:right="-1"/>
              <w:rPr>
                <w:rFonts w:cs="Arial"/>
                <w:bCs/>
              </w:rPr>
            </w:pPr>
            <w:r w:rsidRPr="0030092F">
              <w:rPr>
                <w:rFonts w:cs="Arial"/>
                <w:bCs/>
                <w:i/>
                <w:iCs/>
              </w:rPr>
              <w:t xml:space="preserve">L. collinoides </w:t>
            </w:r>
            <w:r w:rsidRPr="0030092F">
              <w:rPr>
                <w:rFonts w:cs="Arial"/>
                <w:bCs/>
              </w:rPr>
              <w:t xml:space="preserve">(1.5 </w:t>
            </w:r>
            <w:r w:rsidR="000364C3" w:rsidRPr="0030092F">
              <w:rPr>
                <w:rFonts w:cs="Arial"/>
              </w:rPr>
              <w:t>m</w:t>
            </w:r>
            <w:r w:rsidR="000364C3">
              <w:rPr>
                <w:rFonts w:cs="Arial"/>
              </w:rPr>
              <w:t>onths</w:t>
            </w:r>
            <w:r w:rsidRPr="0030092F">
              <w:rPr>
                <w:rFonts w:cs="Arial"/>
                <w:bCs/>
              </w:rPr>
              <w:t>)</w:t>
            </w:r>
          </w:p>
        </w:tc>
        <w:tc>
          <w:tcPr>
            <w:tcW w:w="709" w:type="dxa"/>
            <w:shd w:val="clear" w:color="auto" w:fill="FFFFFF"/>
          </w:tcPr>
          <w:p w14:paraId="28F01858" w14:textId="6B19A709" w:rsidR="00636555" w:rsidRPr="0030092F" w:rsidRDefault="00636555" w:rsidP="00636555">
            <w:pPr>
              <w:pStyle w:val="CETBodytext"/>
              <w:ind w:right="-1"/>
              <w:rPr>
                <w:rFonts w:cs="Arial"/>
              </w:rPr>
            </w:pPr>
            <w:r w:rsidRPr="0030092F">
              <w:rPr>
                <w:rFonts w:cs="Arial"/>
              </w:rPr>
              <w:t>0.67 %</w:t>
            </w:r>
          </w:p>
        </w:tc>
        <w:tc>
          <w:tcPr>
            <w:tcW w:w="850" w:type="dxa"/>
            <w:shd w:val="clear" w:color="auto" w:fill="FFFFFF"/>
          </w:tcPr>
          <w:p w14:paraId="1DE2AE41" w14:textId="5229F7A9" w:rsidR="00636555" w:rsidRPr="0030092F" w:rsidRDefault="00636555" w:rsidP="00636555">
            <w:pPr>
              <w:pStyle w:val="CETBodytext"/>
              <w:ind w:right="-1"/>
              <w:rPr>
                <w:rFonts w:cs="Arial"/>
              </w:rPr>
            </w:pPr>
            <w:r w:rsidRPr="0030092F">
              <w:rPr>
                <w:rFonts w:cs="Arial"/>
              </w:rPr>
              <w:t>45.78 %</w:t>
            </w:r>
          </w:p>
        </w:tc>
        <w:tc>
          <w:tcPr>
            <w:tcW w:w="709" w:type="dxa"/>
            <w:shd w:val="clear" w:color="auto" w:fill="FFFFFF"/>
          </w:tcPr>
          <w:p w14:paraId="1C43B5A1" w14:textId="2F0EDDBF" w:rsidR="00636555" w:rsidRPr="0030092F" w:rsidRDefault="00636555" w:rsidP="00636555">
            <w:pPr>
              <w:pStyle w:val="CETBodytext"/>
              <w:ind w:right="-1"/>
              <w:rPr>
                <w:rFonts w:cs="Arial"/>
              </w:rPr>
            </w:pPr>
            <w:r w:rsidRPr="0030092F">
              <w:rPr>
                <w:rFonts w:cs="Arial"/>
              </w:rPr>
              <w:t>0.38 %</w:t>
            </w:r>
          </w:p>
        </w:tc>
        <w:tc>
          <w:tcPr>
            <w:tcW w:w="709" w:type="dxa"/>
            <w:shd w:val="clear" w:color="auto" w:fill="FFFFFF"/>
          </w:tcPr>
          <w:p w14:paraId="6C9B95F0" w14:textId="685DA992" w:rsidR="00636555" w:rsidRPr="0030092F" w:rsidRDefault="00636555" w:rsidP="00636555">
            <w:pPr>
              <w:pStyle w:val="CETBodytext"/>
              <w:ind w:right="-1"/>
              <w:rPr>
                <w:rFonts w:cs="Arial"/>
              </w:rPr>
            </w:pPr>
            <w:r w:rsidRPr="0030092F">
              <w:rPr>
                <w:rFonts w:cs="Arial"/>
              </w:rPr>
              <w:t>0.21 %</w:t>
            </w:r>
          </w:p>
        </w:tc>
        <w:tc>
          <w:tcPr>
            <w:tcW w:w="567" w:type="dxa"/>
          </w:tcPr>
          <w:p w14:paraId="289B04AC" w14:textId="5466B424" w:rsidR="00636555" w:rsidRPr="0030092F" w:rsidRDefault="00636555" w:rsidP="00636555">
            <w:pPr>
              <w:tabs>
                <w:tab w:val="clear" w:pos="7100"/>
              </w:tabs>
              <w:spacing w:line="276" w:lineRule="auto"/>
              <w:jc w:val="left"/>
              <w:rPr>
                <w:rFonts w:cs="Arial"/>
              </w:rPr>
            </w:pPr>
            <w:r w:rsidRPr="0030092F">
              <w:rPr>
                <w:rFonts w:cs="Arial"/>
              </w:rPr>
              <w:t>68.12</w:t>
            </w:r>
          </w:p>
        </w:tc>
      </w:tr>
      <w:tr w:rsidR="00636555" w:rsidRPr="00B57B36" w14:paraId="4A2B3B36" w14:textId="77777777" w:rsidTr="00636555">
        <w:tc>
          <w:tcPr>
            <w:tcW w:w="2552" w:type="dxa"/>
            <w:shd w:val="clear" w:color="auto" w:fill="FFFFFF"/>
          </w:tcPr>
          <w:p w14:paraId="69A9877D" w14:textId="5C6E1B31" w:rsidR="00636555" w:rsidRPr="0030092F" w:rsidRDefault="00636555" w:rsidP="00636555">
            <w:pPr>
              <w:pStyle w:val="CETBodytext"/>
              <w:ind w:right="-1"/>
              <w:rPr>
                <w:rFonts w:cs="Arial"/>
                <w:bCs/>
              </w:rPr>
            </w:pPr>
            <w:r w:rsidRPr="0030092F">
              <w:rPr>
                <w:rFonts w:cs="Arial"/>
                <w:bCs/>
                <w:i/>
                <w:iCs/>
              </w:rPr>
              <w:t xml:space="preserve">P. alvei </w:t>
            </w:r>
            <w:r w:rsidRPr="0030092F">
              <w:rPr>
                <w:rFonts w:cs="Arial"/>
                <w:bCs/>
              </w:rPr>
              <w:t xml:space="preserve">(1.5 </w:t>
            </w:r>
            <w:r w:rsidR="000364C3" w:rsidRPr="0030092F">
              <w:rPr>
                <w:rFonts w:cs="Arial"/>
              </w:rPr>
              <w:t>m</w:t>
            </w:r>
            <w:r w:rsidR="000364C3">
              <w:rPr>
                <w:rFonts w:cs="Arial"/>
              </w:rPr>
              <w:t>onths</w:t>
            </w:r>
            <w:r w:rsidRPr="0030092F">
              <w:rPr>
                <w:rFonts w:cs="Arial"/>
                <w:bCs/>
              </w:rPr>
              <w:t>)</w:t>
            </w:r>
          </w:p>
        </w:tc>
        <w:tc>
          <w:tcPr>
            <w:tcW w:w="709" w:type="dxa"/>
            <w:shd w:val="clear" w:color="auto" w:fill="FFFFFF"/>
          </w:tcPr>
          <w:p w14:paraId="27BFB275" w14:textId="37EF2676" w:rsidR="00636555" w:rsidRPr="0030092F" w:rsidRDefault="00636555" w:rsidP="00636555">
            <w:pPr>
              <w:pStyle w:val="CETBodytext"/>
              <w:ind w:right="-1"/>
              <w:rPr>
                <w:rFonts w:cs="Arial"/>
              </w:rPr>
            </w:pPr>
            <w:r w:rsidRPr="0030092F">
              <w:rPr>
                <w:rFonts w:cs="Arial"/>
              </w:rPr>
              <w:t>0.55 %</w:t>
            </w:r>
          </w:p>
        </w:tc>
        <w:tc>
          <w:tcPr>
            <w:tcW w:w="850" w:type="dxa"/>
            <w:shd w:val="clear" w:color="auto" w:fill="FFFFFF"/>
          </w:tcPr>
          <w:p w14:paraId="002E0980" w14:textId="6CA35E32" w:rsidR="00636555" w:rsidRPr="0030092F" w:rsidRDefault="00636555" w:rsidP="00636555">
            <w:pPr>
              <w:pStyle w:val="CETBodytext"/>
              <w:ind w:right="-1"/>
              <w:rPr>
                <w:rFonts w:cs="Arial"/>
              </w:rPr>
            </w:pPr>
            <w:r w:rsidRPr="0030092F">
              <w:rPr>
                <w:rFonts w:cs="Arial"/>
              </w:rPr>
              <w:t>46.35 %</w:t>
            </w:r>
          </w:p>
        </w:tc>
        <w:tc>
          <w:tcPr>
            <w:tcW w:w="709" w:type="dxa"/>
            <w:shd w:val="clear" w:color="auto" w:fill="FFFFFF"/>
          </w:tcPr>
          <w:p w14:paraId="012F228F" w14:textId="5261A27E" w:rsidR="00636555" w:rsidRPr="0030092F" w:rsidRDefault="00636555" w:rsidP="00636555">
            <w:pPr>
              <w:pStyle w:val="CETBodytext"/>
              <w:ind w:right="-1"/>
              <w:rPr>
                <w:rFonts w:cs="Arial"/>
              </w:rPr>
            </w:pPr>
            <w:r w:rsidRPr="0030092F">
              <w:rPr>
                <w:rFonts w:cs="Arial"/>
              </w:rPr>
              <w:t>0.50 %</w:t>
            </w:r>
          </w:p>
        </w:tc>
        <w:tc>
          <w:tcPr>
            <w:tcW w:w="709" w:type="dxa"/>
            <w:shd w:val="clear" w:color="auto" w:fill="FFFFFF"/>
          </w:tcPr>
          <w:p w14:paraId="084D7E21" w14:textId="06A39F35" w:rsidR="00636555" w:rsidRPr="0030092F" w:rsidRDefault="00636555" w:rsidP="00636555">
            <w:pPr>
              <w:pStyle w:val="CETBodytext"/>
              <w:ind w:right="-1"/>
              <w:rPr>
                <w:rFonts w:cs="Arial"/>
              </w:rPr>
            </w:pPr>
            <w:r w:rsidRPr="0030092F">
              <w:rPr>
                <w:rFonts w:cs="Arial"/>
              </w:rPr>
              <w:t>0.29 %</w:t>
            </w:r>
          </w:p>
        </w:tc>
        <w:tc>
          <w:tcPr>
            <w:tcW w:w="567" w:type="dxa"/>
          </w:tcPr>
          <w:p w14:paraId="7B51BC45" w14:textId="0B99EB61" w:rsidR="00636555" w:rsidRPr="0030092F" w:rsidRDefault="00636555" w:rsidP="00636555">
            <w:pPr>
              <w:tabs>
                <w:tab w:val="clear" w:pos="7100"/>
              </w:tabs>
              <w:spacing w:line="276" w:lineRule="auto"/>
              <w:jc w:val="left"/>
              <w:rPr>
                <w:rFonts w:cs="Arial"/>
              </w:rPr>
            </w:pPr>
            <w:r w:rsidRPr="0030092F">
              <w:rPr>
                <w:rFonts w:cs="Arial"/>
              </w:rPr>
              <w:t>84.90</w:t>
            </w:r>
          </w:p>
        </w:tc>
      </w:tr>
      <w:tr w:rsidR="00636555" w:rsidRPr="00B57B36" w14:paraId="09CB7DA3" w14:textId="77777777" w:rsidTr="00636555">
        <w:tc>
          <w:tcPr>
            <w:tcW w:w="2552" w:type="dxa"/>
            <w:shd w:val="clear" w:color="auto" w:fill="FFFFFF"/>
          </w:tcPr>
          <w:p w14:paraId="56303A49" w14:textId="7B83AABA" w:rsidR="00636555" w:rsidRPr="0030092F" w:rsidRDefault="00636555" w:rsidP="00636555">
            <w:pPr>
              <w:pStyle w:val="CETBodytext"/>
              <w:ind w:right="-1"/>
              <w:rPr>
                <w:rFonts w:cs="Arial"/>
                <w:bCs/>
              </w:rPr>
            </w:pPr>
            <w:r>
              <w:rPr>
                <w:rFonts w:cs="Arial"/>
              </w:rPr>
              <w:t>Dry leaves without degradation</w:t>
            </w:r>
          </w:p>
        </w:tc>
        <w:tc>
          <w:tcPr>
            <w:tcW w:w="709" w:type="dxa"/>
            <w:shd w:val="clear" w:color="auto" w:fill="FFFFFF"/>
          </w:tcPr>
          <w:p w14:paraId="1338D731" w14:textId="28610943" w:rsidR="00636555" w:rsidRPr="0030092F" w:rsidRDefault="00636555" w:rsidP="00636555">
            <w:pPr>
              <w:pStyle w:val="CETBodytext"/>
              <w:ind w:right="-1"/>
              <w:rPr>
                <w:rFonts w:cs="Arial"/>
              </w:rPr>
            </w:pPr>
            <w:r w:rsidRPr="0030092F">
              <w:rPr>
                <w:rFonts w:cs="Arial"/>
              </w:rPr>
              <w:t>0.38 %</w:t>
            </w:r>
          </w:p>
        </w:tc>
        <w:tc>
          <w:tcPr>
            <w:tcW w:w="850" w:type="dxa"/>
            <w:shd w:val="clear" w:color="auto" w:fill="FFFFFF"/>
          </w:tcPr>
          <w:p w14:paraId="06A43005" w14:textId="2DAD0A3C" w:rsidR="00636555" w:rsidRPr="0030092F" w:rsidRDefault="00636555" w:rsidP="00636555">
            <w:pPr>
              <w:pStyle w:val="CETBodytext"/>
              <w:ind w:right="-1"/>
              <w:rPr>
                <w:rFonts w:cs="Arial"/>
              </w:rPr>
            </w:pPr>
            <w:r w:rsidRPr="0030092F">
              <w:rPr>
                <w:rFonts w:cs="Arial"/>
              </w:rPr>
              <w:t>48.65 %</w:t>
            </w:r>
          </w:p>
        </w:tc>
        <w:tc>
          <w:tcPr>
            <w:tcW w:w="709" w:type="dxa"/>
            <w:shd w:val="clear" w:color="auto" w:fill="FFFFFF"/>
          </w:tcPr>
          <w:p w14:paraId="63D2F2A7" w14:textId="626E70CB" w:rsidR="00636555" w:rsidRPr="0030092F" w:rsidRDefault="00636555" w:rsidP="00636555">
            <w:pPr>
              <w:pStyle w:val="CETBodytext"/>
              <w:ind w:right="-1"/>
              <w:rPr>
                <w:rFonts w:cs="Arial"/>
              </w:rPr>
            </w:pPr>
            <w:r w:rsidRPr="0030092F">
              <w:rPr>
                <w:rFonts w:cs="Arial"/>
              </w:rPr>
              <w:t>2.55 %</w:t>
            </w:r>
          </w:p>
        </w:tc>
        <w:tc>
          <w:tcPr>
            <w:tcW w:w="709" w:type="dxa"/>
            <w:shd w:val="clear" w:color="auto" w:fill="FFFFFF"/>
          </w:tcPr>
          <w:p w14:paraId="2EB3CB68" w14:textId="41EA0326" w:rsidR="00636555" w:rsidRPr="0030092F" w:rsidRDefault="00636555" w:rsidP="00636555">
            <w:pPr>
              <w:pStyle w:val="CETBodytext"/>
              <w:ind w:right="-1"/>
              <w:rPr>
                <w:rFonts w:cs="Arial"/>
              </w:rPr>
            </w:pPr>
            <w:r w:rsidRPr="0030092F">
              <w:rPr>
                <w:rFonts w:cs="Arial"/>
              </w:rPr>
              <w:t>0.32 %</w:t>
            </w:r>
          </w:p>
        </w:tc>
        <w:tc>
          <w:tcPr>
            <w:tcW w:w="567" w:type="dxa"/>
          </w:tcPr>
          <w:p w14:paraId="32C59277" w14:textId="14336E4B" w:rsidR="00636555" w:rsidRPr="0030092F" w:rsidRDefault="00636555" w:rsidP="00636555">
            <w:pPr>
              <w:tabs>
                <w:tab w:val="clear" w:pos="7100"/>
              </w:tabs>
              <w:spacing w:line="276" w:lineRule="auto"/>
              <w:jc w:val="left"/>
              <w:rPr>
                <w:rFonts w:cs="Arial"/>
              </w:rPr>
            </w:pPr>
            <w:r w:rsidRPr="0030092F">
              <w:rPr>
                <w:rFonts w:cs="Arial"/>
              </w:rPr>
              <w:t>128.71</w:t>
            </w:r>
          </w:p>
        </w:tc>
      </w:tr>
      <w:tr w:rsidR="00636555" w:rsidRPr="00B57B36" w14:paraId="6680089B" w14:textId="77777777" w:rsidTr="00636555">
        <w:tc>
          <w:tcPr>
            <w:tcW w:w="2552" w:type="dxa"/>
            <w:shd w:val="clear" w:color="auto" w:fill="FFFFFF"/>
          </w:tcPr>
          <w:p w14:paraId="14DA188A" w14:textId="608F38BB" w:rsidR="00636555" w:rsidRPr="0030092F" w:rsidRDefault="00636555" w:rsidP="00636555">
            <w:pPr>
              <w:pStyle w:val="CETBodytext"/>
              <w:ind w:right="-1"/>
              <w:rPr>
                <w:rFonts w:cs="Arial"/>
              </w:rPr>
            </w:pPr>
            <w:r>
              <w:rPr>
                <w:rFonts w:cs="Arial"/>
              </w:rPr>
              <w:t>Dry papaya peels</w:t>
            </w:r>
          </w:p>
        </w:tc>
        <w:tc>
          <w:tcPr>
            <w:tcW w:w="709" w:type="dxa"/>
            <w:shd w:val="clear" w:color="auto" w:fill="FFFFFF"/>
          </w:tcPr>
          <w:p w14:paraId="0DEC23E1" w14:textId="4F98F5AB" w:rsidR="00636555" w:rsidRPr="0030092F" w:rsidRDefault="00636555" w:rsidP="00636555">
            <w:pPr>
              <w:pStyle w:val="CETBodytext"/>
              <w:ind w:right="-1"/>
              <w:rPr>
                <w:rFonts w:cs="Arial"/>
              </w:rPr>
            </w:pPr>
            <w:r w:rsidRPr="0030092F">
              <w:rPr>
                <w:rFonts w:cs="Arial"/>
              </w:rPr>
              <w:t>0.25 %</w:t>
            </w:r>
          </w:p>
        </w:tc>
        <w:tc>
          <w:tcPr>
            <w:tcW w:w="850" w:type="dxa"/>
            <w:shd w:val="clear" w:color="auto" w:fill="FFFFFF"/>
          </w:tcPr>
          <w:p w14:paraId="372915A0" w14:textId="3A1579D6" w:rsidR="00636555" w:rsidRPr="0030092F" w:rsidRDefault="00636555" w:rsidP="00636555">
            <w:pPr>
              <w:pStyle w:val="CETBodytext"/>
              <w:ind w:right="-1"/>
              <w:rPr>
                <w:rFonts w:cs="Arial"/>
              </w:rPr>
            </w:pPr>
            <w:r w:rsidRPr="0030092F">
              <w:rPr>
                <w:rFonts w:cs="Arial"/>
              </w:rPr>
              <w:t>50.25 %</w:t>
            </w:r>
          </w:p>
        </w:tc>
        <w:tc>
          <w:tcPr>
            <w:tcW w:w="709" w:type="dxa"/>
            <w:shd w:val="clear" w:color="auto" w:fill="FFFFFF"/>
          </w:tcPr>
          <w:p w14:paraId="3E2F7F61" w14:textId="64EFE2FA" w:rsidR="00636555" w:rsidRPr="0030092F" w:rsidRDefault="00636555" w:rsidP="00636555">
            <w:pPr>
              <w:pStyle w:val="CETBodytext"/>
              <w:ind w:right="-1"/>
              <w:rPr>
                <w:rFonts w:cs="Arial"/>
              </w:rPr>
            </w:pPr>
            <w:r w:rsidRPr="0030092F">
              <w:rPr>
                <w:rFonts w:cs="Arial"/>
              </w:rPr>
              <w:t>5.16 %</w:t>
            </w:r>
          </w:p>
        </w:tc>
        <w:tc>
          <w:tcPr>
            <w:tcW w:w="709" w:type="dxa"/>
            <w:shd w:val="clear" w:color="auto" w:fill="FFFFFF"/>
          </w:tcPr>
          <w:p w14:paraId="3F36876D" w14:textId="61E381A9" w:rsidR="00636555" w:rsidRPr="0030092F" w:rsidRDefault="00636555" w:rsidP="00636555">
            <w:pPr>
              <w:pStyle w:val="CETBodytext"/>
              <w:ind w:right="-1"/>
              <w:rPr>
                <w:rFonts w:cs="Arial"/>
              </w:rPr>
            </w:pPr>
            <w:r w:rsidRPr="0030092F">
              <w:rPr>
                <w:rFonts w:cs="Arial"/>
              </w:rPr>
              <w:t>0.10 %</w:t>
            </w:r>
          </w:p>
        </w:tc>
        <w:tc>
          <w:tcPr>
            <w:tcW w:w="567" w:type="dxa"/>
          </w:tcPr>
          <w:p w14:paraId="5B813D5E" w14:textId="6838BB9F" w:rsidR="00636555" w:rsidRPr="0030092F" w:rsidRDefault="00636555" w:rsidP="00636555">
            <w:pPr>
              <w:tabs>
                <w:tab w:val="clear" w:pos="7100"/>
              </w:tabs>
              <w:spacing w:line="276" w:lineRule="auto"/>
              <w:jc w:val="left"/>
              <w:rPr>
                <w:rFonts w:cs="Arial"/>
              </w:rPr>
            </w:pPr>
            <w:r w:rsidRPr="0030092F">
              <w:rPr>
                <w:rFonts w:cs="Arial"/>
              </w:rPr>
              <w:t>199.42</w:t>
            </w:r>
          </w:p>
        </w:tc>
      </w:tr>
      <w:tr w:rsidR="00636555" w:rsidRPr="00B57B36" w14:paraId="716A2CA2" w14:textId="77777777" w:rsidTr="00636555">
        <w:tc>
          <w:tcPr>
            <w:tcW w:w="2552" w:type="dxa"/>
            <w:shd w:val="clear" w:color="auto" w:fill="FFFFFF"/>
          </w:tcPr>
          <w:p w14:paraId="117E6E89" w14:textId="032716B2" w:rsidR="00636555" w:rsidRPr="0030092F" w:rsidRDefault="00636555" w:rsidP="00636555">
            <w:pPr>
              <w:pStyle w:val="CETBodytext"/>
              <w:ind w:right="-1"/>
              <w:rPr>
                <w:rFonts w:cs="Arial"/>
              </w:rPr>
            </w:pPr>
            <w:r>
              <w:rPr>
                <w:rFonts w:cs="Arial"/>
              </w:rPr>
              <w:t>Dry banana peels</w:t>
            </w:r>
          </w:p>
        </w:tc>
        <w:tc>
          <w:tcPr>
            <w:tcW w:w="709" w:type="dxa"/>
            <w:shd w:val="clear" w:color="auto" w:fill="FFFFFF"/>
          </w:tcPr>
          <w:p w14:paraId="3A63476D" w14:textId="40E599E3" w:rsidR="00636555" w:rsidRPr="0030092F" w:rsidRDefault="00636555" w:rsidP="00636555">
            <w:pPr>
              <w:pStyle w:val="CETBodytext"/>
              <w:ind w:right="-1"/>
              <w:rPr>
                <w:rFonts w:cs="Arial"/>
              </w:rPr>
            </w:pPr>
            <w:r w:rsidRPr="0030092F">
              <w:rPr>
                <w:rFonts w:cs="Arial"/>
              </w:rPr>
              <w:t>0.31 %</w:t>
            </w:r>
          </w:p>
        </w:tc>
        <w:tc>
          <w:tcPr>
            <w:tcW w:w="850" w:type="dxa"/>
            <w:shd w:val="clear" w:color="auto" w:fill="FFFFFF"/>
          </w:tcPr>
          <w:p w14:paraId="0DB7E948" w14:textId="434D7913" w:rsidR="00636555" w:rsidRPr="0030092F" w:rsidRDefault="00636555" w:rsidP="00636555">
            <w:pPr>
              <w:pStyle w:val="CETBodytext"/>
              <w:ind w:right="-1"/>
              <w:rPr>
                <w:rFonts w:cs="Arial"/>
              </w:rPr>
            </w:pPr>
            <w:r w:rsidRPr="0030092F">
              <w:rPr>
                <w:rFonts w:cs="Arial"/>
              </w:rPr>
              <w:t>52.52 %</w:t>
            </w:r>
          </w:p>
        </w:tc>
        <w:tc>
          <w:tcPr>
            <w:tcW w:w="709" w:type="dxa"/>
            <w:shd w:val="clear" w:color="auto" w:fill="FFFFFF"/>
          </w:tcPr>
          <w:p w14:paraId="637D29F9" w14:textId="0E2A9F0E" w:rsidR="00636555" w:rsidRPr="0030092F" w:rsidRDefault="00636555" w:rsidP="00636555">
            <w:pPr>
              <w:pStyle w:val="CETBodytext"/>
              <w:ind w:right="-1"/>
              <w:rPr>
                <w:rFonts w:cs="Arial"/>
              </w:rPr>
            </w:pPr>
            <w:r w:rsidRPr="0030092F">
              <w:rPr>
                <w:rFonts w:cs="Arial"/>
              </w:rPr>
              <w:t>7.39 %</w:t>
            </w:r>
          </w:p>
        </w:tc>
        <w:tc>
          <w:tcPr>
            <w:tcW w:w="709" w:type="dxa"/>
            <w:shd w:val="clear" w:color="auto" w:fill="FFFFFF"/>
          </w:tcPr>
          <w:p w14:paraId="53C025D9" w14:textId="142484B3" w:rsidR="00636555" w:rsidRPr="0030092F" w:rsidRDefault="00636555" w:rsidP="00636555">
            <w:pPr>
              <w:pStyle w:val="CETBodytext"/>
              <w:ind w:right="-1"/>
              <w:rPr>
                <w:rFonts w:cs="Arial"/>
              </w:rPr>
            </w:pPr>
            <w:r w:rsidRPr="0030092F">
              <w:rPr>
                <w:rFonts w:cs="Arial"/>
              </w:rPr>
              <w:t>0.36 %</w:t>
            </w:r>
          </w:p>
        </w:tc>
        <w:tc>
          <w:tcPr>
            <w:tcW w:w="567" w:type="dxa"/>
          </w:tcPr>
          <w:p w14:paraId="17AE6C5A" w14:textId="277D61F6" w:rsidR="00636555" w:rsidRPr="0030092F" w:rsidRDefault="00636555" w:rsidP="00636555">
            <w:pPr>
              <w:tabs>
                <w:tab w:val="clear" w:pos="7100"/>
              </w:tabs>
              <w:spacing w:line="276" w:lineRule="auto"/>
              <w:jc w:val="left"/>
              <w:rPr>
                <w:rFonts w:cs="Arial"/>
              </w:rPr>
            </w:pPr>
            <w:r w:rsidRPr="0030092F">
              <w:rPr>
                <w:rFonts w:cs="Arial"/>
              </w:rPr>
              <w:t>170.52</w:t>
            </w:r>
          </w:p>
        </w:tc>
      </w:tr>
    </w:tbl>
    <w:p w14:paraId="5EC29038" w14:textId="0A563714" w:rsidR="00B56728" w:rsidRDefault="00636555" w:rsidP="00B56728">
      <w:pPr>
        <w:pStyle w:val="CETBodytext"/>
        <w:rPr>
          <w:lang w:val="en-GB"/>
        </w:rPr>
      </w:pPr>
      <w:r w:rsidRPr="00636555">
        <w:rPr>
          <w:lang w:val="en-GB"/>
        </w:rPr>
        <w:t>T</w:t>
      </w:r>
      <w:r w:rsidR="00B56728">
        <w:rPr>
          <w:lang w:val="en-GB"/>
        </w:rPr>
        <w:t>N</w:t>
      </w:r>
      <w:r w:rsidRPr="00636555">
        <w:rPr>
          <w:lang w:val="en-GB"/>
        </w:rPr>
        <w:t xml:space="preserve">: </w:t>
      </w:r>
      <w:r w:rsidR="00B56728">
        <w:rPr>
          <w:lang w:val="en-GB"/>
        </w:rPr>
        <w:t>Total Nitrogen</w:t>
      </w:r>
      <w:r w:rsidRPr="00636555">
        <w:rPr>
          <w:lang w:val="en-GB"/>
        </w:rPr>
        <w:t xml:space="preserve">, </w:t>
      </w:r>
      <w:r w:rsidR="00B56728">
        <w:rPr>
          <w:lang w:val="en-GB"/>
        </w:rPr>
        <w:t>T</w:t>
      </w:r>
      <w:r w:rsidRPr="00636555">
        <w:rPr>
          <w:lang w:val="en-GB"/>
        </w:rPr>
        <w:t xml:space="preserve">C: </w:t>
      </w:r>
      <w:r w:rsidR="00B56728">
        <w:rPr>
          <w:lang w:val="en-GB"/>
        </w:rPr>
        <w:t>Total Carbon</w:t>
      </w:r>
      <w:r w:rsidRPr="00636555">
        <w:rPr>
          <w:lang w:val="en-GB"/>
        </w:rPr>
        <w:t xml:space="preserve">, </w:t>
      </w:r>
      <w:r w:rsidR="00B56728">
        <w:rPr>
          <w:lang w:val="en-GB"/>
        </w:rPr>
        <w:t>WSC</w:t>
      </w:r>
      <w:r w:rsidRPr="00636555">
        <w:rPr>
          <w:lang w:val="en-GB"/>
        </w:rPr>
        <w:t xml:space="preserve">: </w:t>
      </w:r>
      <w:r w:rsidR="00B56728">
        <w:rPr>
          <w:lang w:val="en-GB"/>
        </w:rPr>
        <w:t xml:space="preserve">Water-Soluble Carbon, </w:t>
      </w:r>
      <w:r w:rsidRPr="00636555">
        <w:rPr>
          <w:lang w:val="en-GB"/>
        </w:rPr>
        <w:t>P</w:t>
      </w:r>
      <w:r w:rsidR="00B56728">
        <w:rPr>
          <w:vertAlign w:val="subscript"/>
          <w:lang w:val="en-GB"/>
        </w:rPr>
        <w:t>2</w:t>
      </w:r>
      <w:r w:rsidR="00B56728">
        <w:rPr>
          <w:lang w:val="en-GB"/>
        </w:rPr>
        <w:t>O</w:t>
      </w:r>
      <w:r w:rsidR="00B56728">
        <w:rPr>
          <w:vertAlign w:val="subscript"/>
          <w:lang w:val="en-GB"/>
        </w:rPr>
        <w:t>5</w:t>
      </w:r>
      <w:r w:rsidRPr="00636555">
        <w:rPr>
          <w:lang w:val="en-GB"/>
        </w:rPr>
        <w:t xml:space="preserve">: </w:t>
      </w:r>
      <w:r w:rsidR="00B56728">
        <w:rPr>
          <w:lang w:val="en-GB"/>
        </w:rPr>
        <w:t>Total Phosphorus</w:t>
      </w:r>
      <w:r w:rsidRPr="00636555">
        <w:rPr>
          <w:lang w:val="en-GB"/>
        </w:rPr>
        <w:t xml:space="preserve"> </w:t>
      </w:r>
      <w:r w:rsidR="00B56728">
        <w:rPr>
          <w:lang w:val="en-GB"/>
        </w:rPr>
        <w:t>and</w:t>
      </w:r>
      <w:r w:rsidRPr="00636555">
        <w:rPr>
          <w:lang w:val="en-GB"/>
        </w:rPr>
        <w:t xml:space="preserve"> C/N </w:t>
      </w:r>
      <w:r w:rsidR="00B56728">
        <w:rPr>
          <w:lang w:val="en-GB"/>
        </w:rPr>
        <w:t>calculated as TC</w:t>
      </w:r>
      <w:r w:rsidRPr="00636555">
        <w:rPr>
          <w:lang w:val="en-GB"/>
        </w:rPr>
        <w:t>/</w:t>
      </w:r>
      <w:r w:rsidR="00B56728">
        <w:rPr>
          <w:lang w:val="en-GB"/>
        </w:rPr>
        <w:t>TN</w:t>
      </w:r>
      <w:r w:rsidRPr="00636555">
        <w:rPr>
          <w:lang w:val="en-GB"/>
        </w:rPr>
        <w:t>.</w:t>
      </w:r>
    </w:p>
    <w:p w14:paraId="533724DC" w14:textId="73A32DEE" w:rsidR="00B6145B" w:rsidRDefault="00B56728" w:rsidP="00B56728">
      <w:pPr>
        <w:pStyle w:val="CETBodytext"/>
        <w:rPr>
          <w:lang w:val="en-GB"/>
        </w:rPr>
      </w:pPr>
      <w:r>
        <w:rPr>
          <w:lang w:val="en-GB"/>
        </w:rPr>
        <w:lastRenderedPageBreak/>
        <w:t>Since Water-Soluble Carbon</w:t>
      </w:r>
      <w:r w:rsidRPr="00B56728">
        <w:rPr>
          <w:lang w:val="en-GB"/>
        </w:rPr>
        <w:t xml:space="preserve"> (</w:t>
      </w:r>
      <w:r>
        <w:rPr>
          <w:lang w:val="en-GB"/>
        </w:rPr>
        <w:t>WSC</w:t>
      </w:r>
      <w:r w:rsidRPr="00B56728">
        <w:rPr>
          <w:lang w:val="en-GB"/>
        </w:rPr>
        <w:t xml:space="preserve">) also indicates substrate in the form of microbial organic matter, it can be used as an indicator of microbial growth. In Table 2, the kinetic reaction balances are shown for the control at 5 months and for the inoculated setups at 1.5 months, and in Figure </w:t>
      </w:r>
      <w:r w:rsidR="000364C3">
        <w:rPr>
          <w:lang w:val="en-GB"/>
        </w:rPr>
        <w:t>3</w:t>
      </w:r>
      <w:r w:rsidRPr="00B56728">
        <w:rPr>
          <w:lang w:val="en-GB"/>
        </w:rPr>
        <w:t xml:space="preserve">, the corresponding graph of substrate consumption for each strain is </w:t>
      </w:r>
      <w:r w:rsidR="00B6145B">
        <w:rPr>
          <w:lang w:val="en-GB"/>
        </w:rPr>
        <w:t>shown</w:t>
      </w:r>
      <w:r w:rsidRPr="00B56728">
        <w:rPr>
          <w:lang w:val="en-GB"/>
        </w:rPr>
        <w:t xml:space="preserve">. </w:t>
      </w:r>
      <w:r w:rsidR="00B6145B">
        <w:rPr>
          <w:lang w:val="en-GB"/>
        </w:rPr>
        <w:t>It</w:t>
      </w:r>
      <w:r w:rsidRPr="00B56728">
        <w:rPr>
          <w:lang w:val="en-GB"/>
        </w:rPr>
        <w:t xml:space="preserve"> is observed that </w:t>
      </w:r>
      <w:r w:rsidRPr="00B6145B">
        <w:rPr>
          <w:i/>
          <w:iCs/>
          <w:lang w:val="en-GB"/>
        </w:rPr>
        <w:t>C. violaceum</w:t>
      </w:r>
      <w:r w:rsidRPr="00B56728">
        <w:rPr>
          <w:lang w:val="en-GB"/>
        </w:rPr>
        <w:t xml:space="preserve"> exhibits the highest carbon degradation (26.73</w:t>
      </w:r>
      <w:r w:rsidR="00B6145B">
        <w:rPr>
          <w:lang w:val="en-GB"/>
        </w:rPr>
        <w:t xml:space="preserve"> </w:t>
      </w:r>
      <w:r w:rsidRPr="00B56728">
        <w:rPr>
          <w:lang w:val="en-GB"/>
        </w:rPr>
        <w:t>%) and the highest growth rate (0.034)</w:t>
      </w:r>
      <w:r w:rsidR="00B6145B">
        <w:rPr>
          <w:lang w:val="en-GB"/>
        </w:rPr>
        <w:t xml:space="preserve">. Despite </w:t>
      </w:r>
      <w:r w:rsidRPr="00B6145B">
        <w:rPr>
          <w:i/>
          <w:iCs/>
          <w:lang w:val="en-GB"/>
        </w:rPr>
        <w:t>P. alvei</w:t>
      </w:r>
      <w:r w:rsidRPr="00B56728">
        <w:rPr>
          <w:lang w:val="en-GB"/>
        </w:rPr>
        <w:t xml:space="preserve"> has a similar growth rate (0.032), its carbon degradation is much lower (9.11</w:t>
      </w:r>
      <w:r w:rsidR="00B6145B">
        <w:rPr>
          <w:lang w:val="en-GB"/>
        </w:rPr>
        <w:t xml:space="preserve"> </w:t>
      </w:r>
      <w:r w:rsidRPr="00B56728">
        <w:rPr>
          <w:lang w:val="en-GB"/>
        </w:rPr>
        <w:t>%), and therefore, its yield as well.</w:t>
      </w:r>
    </w:p>
    <w:p w14:paraId="2D14E2B0" w14:textId="10C2704D" w:rsidR="00B6145B" w:rsidRPr="00B57B36" w:rsidRDefault="00B6145B" w:rsidP="00B6145B">
      <w:pPr>
        <w:pStyle w:val="CETTabletitle"/>
      </w:pPr>
      <w:r w:rsidRPr="00B57B36">
        <w:t xml:space="preserve">Table </w:t>
      </w:r>
      <w:r>
        <w:t>2</w:t>
      </w:r>
      <w:r w:rsidRPr="00B57B36">
        <w:t xml:space="preserve">: </w:t>
      </w:r>
      <w:r>
        <w:t>Reaction kinetic balances.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567"/>
        <w:gridCol w:w="567"/>
        <w:gridCol w:w="850"/>
        <w:gridCol w:w="709"/>
        <w:gridCol w:w="709"/>
        <w:gridCol w:w="709"/>
        <w:gridCol w:w="567"/>
        <w:gridCol w:w="708"/>
      </w:tblGrid>
      <w:tr w:rsidR="00B6145B" w:rsidRPr="00B57B36" w14:paraId="1604CD59" w14:textId="102CD178" w:rsidTr="00CD772D">
        <w:tc>
          <w:tcPr>
            <w:tcW w:w="1985" w:type="dxa"/>
            <w:tcBorders>
              <w:top w:val="single" w:sz="12" w:space="0" w:color="008000"/>
              <w:bottom w:val="single" w:sz="6" w:space="0" w:color="008000"/>
            </w:tcBorders>
            <w:shd w:val="clear" w:color="auto" w:fill="FFFFFF"/>
          </w:tcPr>
          <w:p w14:paraId="15495714" w14:textId="61AB4D3C" w:rsidR="00B6145B" w:rsidRPr="00B57B36" w:rsidRDefault="00B6145B" w:rsidP="004165A1">
            <w:pPr>
              <w:pStyle w:val="CETBodytext"/>
              <w:rPr>
                <w:lang w:val="en-GB"/>
              </w:rPr>
            </w:pPr>
            <w:r>
              <w:rPr>
                <w:lang w:val="en-GB"/>
              </w:rPr>
              <w:t>Sample</w:t>
            </w:r>
          </w:p>
        </w:tc>
        <w:tc>
          <w:tcPr>
            <w:tcW w:w="567" w:type="dxa"/>
            <w:tcBorders>
              <w:top w:val="single" w:sz="12" w:space="0" w:color="008000"/>
              <w:bottom w:val="single" w:sz="6" w:space="0" w:color="008000"/>
            </w:tcBorders>
            <w:shd w:val="clear" w:color="auto" w:fill="FFFFFF"/>
          </w:tcPr>
          <w:p w14:paraId="399E4546" w14:textId="6909A6F9" w:rsidR="00B6145B" w:rsidRPr="00B6145B" w:rsidRDefault="00B6145B" w:rsidP="004165A1">
            <w:pPr>
              <w:pStyle w:val="CETBodytext"/>
              <w:jc w:val="left"/>
              <w:rPr>
                <w:lang w:val="en-GB"/>
              </w:rPr>
            </w:pPr>
            <w:r>
              <w:rPr>
                <w:lang w:val="en-GB"/>
              </w:rPr>
              <w:t>S</w:t>
            </w:r>
            <w:r>
              <w:rPr>
                <w:vertAlign w:val="subscript"/>
                <w:lang w:val="en-GB"/>
              </w:rPr>
              <w:t>0</w:t>
            </w:r>
          </w:p>
        </w:tc>
        <w:tc>
          <w:tcPr>
            <w:tcW w:w="567" w:type="dxa"/>
            <w:tcBorders>
              <w:top w:val="single" w:sz="12" w:space="0" w:color="008000"/>
              <w:bottom w:val="single" w:sz="6" w:space="0" w:color="008000"/>
            </w:tcBorders>
            <w:shd w:val="clear" w:color="auto" w:fill="FFFFFF"/>
          </w:tcPr>
          <w:p w14:paraId="07D47250" w14:textId="228BB32E" w:rsidR="00B6145B" w:rsidRPr="00B6145B" w:rsidRDefault="00B6145B" w:rsidP="004165A1">
            <w:pPr>
              <w:pStyle w:val="CETBodytext"/>
              <w:jc w:val="left"/>
              <w:rPr>
                <w:vertAlign w:val="subscript"/>
                <w:lang w:val="en-GB"/>
              </w:rPr>
            </w:pPr>
            <w:r>
              <w:rPr>
                <w:lang w:val="en-GB"/>
              </w:rPr>
              <w:t>S</w:t>
            </w:r>
            <w:r>
              <w:rPr>
                <w:vertAlign w:val="subscript"/>
                <w:lang w:val="en-GB"/>
              </w:rPr>
              <w:t>f</w:t>
            </w:r>
          </w:p>
        </w:tc>
        <w:tc>
          <w:tcPr>
            <w:tcW w:w="850" w:type="dxa"/>
            <w:tcBorders>
              <w:top w:val="single" w:sz="12" w:space="0" w:color="008000"/>
              <w:bottom w:val="single" w:sz="6" w:space="0" w:color="008000"/>
            </w:tcBorders>
            <w:shd w:val="clear" w:color="auto" w:fill="FFFFFF"/>
          </w:tcPr>
          <w:p w14:paraId="7C321F68" w14:textId="51035413" w:rsidR="00B6145B" w:rsidRPr="00B57B36" w:rsidRDefault="00B6145B" w:rsidP="004165A1">
            <w:pPr>
              <w:pStyle w:val="CETBodytext"/>
              <w:ind w:right="-1"/>
              <w:jc w:val="left"/>
              <w:rPr>
                <w:rFonts w:cs="Arial"/>
                <w:szCs w:val="18"/>
                <w:lang w:val="en-GB"/>
              </w:rPr>
            </w:pPr>
            <w:r>
              <w:rPr>
                <w:rFonts w:cs="Arial"/>
                <w:szCs w:val="18"/>
                <w:lang w:val="en-GB"/>
              </w:rPr>
              <w:t>%S</w:t>
            </w:r>
          </w:p>
        </w:tc>
        <w:tc>
          <w:tcPr>
            <w:tcW w:w="709" w:type="dxa"/>
            <w:tcBorders>
              <w:top w:val="single" w:sz="12" w:space="0" w:color="008000"/>
              <w:bottom w:val="single" w:sz="6" w:space="0" w:color="008000"/>
            </w:tcBorders>
            <w:shd w:val="clear" w:color="auto" w:fill="FFFFFF"/>
          </w:tcPr>
          <w:p w14:paraId="29EBC966" w14:textId="4B5D19CA" w:rsidR="00B6145B" w:rsidRPr="00B6145B" w:rsidRDefault="00B6145B" w:rsidP="004165A1">
            <w:pPr>
              <w:pStyle w:val="CETBodytext"/>
              <w:ind w:right="-1"/>
              <w:jc w:val="left"/>
              <w:rPr>
                <w:rFonts w:cs="Arial"/>
                <w:szCs w:val="18"/>
                <w:lang w:val="en-GB"/>
              </w:rPr>
            </w:pPr>
            <w:r>
              <w:rPr>
                <w:rFonts w:cs="Arial"/>
                <w:szCs w:val="18"/>
                <w:lang w:val="en-GB"/>
              </w:rPr>
              <w:t>X</w:t>
            </w:r>
            <w:r>
              <w:rPr>
                <w:rFonts w:cs="Arial"/>
                <w:szCs w:val="18"/>
                <w:vertAlign w:val="subscript"/>
                <w:lang w:val="en-GB"/>
              </w:rPr>
              <w:t>0</w:t>
            </w:r>
          </w:p>
        </w:tc>
        <w:tc>
          <w:tcPr>
            <w:tcW w:w="709" w:type="dxa"/>
            <w:tcBorders>
              <w:top w:val="single" w:sz="12" w:space="0" w:color="008000"/>
              <w:bottom w:val="single" w:sz="6" w:space="0" w:color="008000"/>
            </w:tcBorders>
            <w:shd w:val="clear" w:color="auto" w:fill="FFFFFF"/>
          </w:tcPr>
          <w:p w14:paraId="559A2831" w14:textId="5823E99C" w:rsidR="00B6145B" w:rsidRPr="00B6145B" w:rsidRDefault="00B6145B" w:rsidP="004165A1">
            <w:pPr>
              <w:pStyle w:val="CETBodytext"/>
              <w:ind w:right="-1"/>
              <w:jc w:val="left"/>
              <w:rPr>
                <w:rFonts w:cs="Arial"/>
                <w:szCs w:val="18"/>
                <w:lang w:val="en-GB"/>
              </w:rPr>
            </w:pPr>
            <w:r>
              <w:rPr>
                <w:rFonts w:cs="Arial"/>
                <w:szCs w:val="18"/>
                <w:lang w:val="en-GB"/>
              </w:rPr>
              <w:t>X</w:t>
            </w:r>
            <w:r>
              <w:rPr>
                <w:rFonts w:cs="Arial"/>
                <w:szCs w:val="18"/>
                <w:vertAlign w:val="subscript"/>
                <w:lang w:val="en-GB"/>
              </w:rPr>
              <w:t>f</w:t>
            </w:r>
          </w:p>
        </w:tc>
        <w:tc>
          <w:tcPr>
            <w:tcW w:w="709" w:type="dxa"/>
            <w:tcBorders>
              <w:top w:val="single" w:sz="12" w:space="0" w:color="008000"/>
              <w:bottom w:val="single" w:sz="6" w:space="0" w:color="008000"/>
            </w:tcBorders>
            <w:shd w:val="clear" w:color="auto" w:fill="FFFFFF"/>
          </w:tcPr>
          <w:p w14:paraId="6A5B2AF7" w14:textId="0D54C1A4" w:rsidR="00B6145B" w:rsidRPr="00B6145B" w:rsidRDefault="00B6145B" w:rsidP="004165A1">
            <w:pPr>
              <w:pStyle w:val="CETBodytext"/>
              <w:ind w:right="-1"/>
              <w:jc w:val="left"/>
              <w:rPr>
                <w:rFonts w:cs="Arial"/>
                <w:szCs w:val="18"/>
                <w:lang w:val="en-GB"/>
              </w:rPr>
            </w:pPr>
            <w:r>
              <w:rPr>
                <w:rFonts w:cs="Arial"/>
                <w:szCs w:val="18"/>
                <w:lang w:val="en-GB"/>
              </w:rPr>
              <w:t>Y</w:t>
            </w:r>
            <w:r>
              <w:rPr>
                <w:rFonts w:cs="Arial"/>
                <w:szCs w:val="18"/>
                <w:vertAlign w:val="subscript"/>
                <w:lang w:val="en-GB"/>
              </w:rPr>
              <w:t>X/S</w:t>
            </w:r>
          </w:p>
        </w:tc>
        <w:tc>
          <w:tcPr>
            <w:tcW w:w="567" w:type="dxa"/>
            <w:tcBorders>
              <w:top w:val="single" w:sz="12" w:space="0" w:color="008000"/>
              <w:bottom w:val="single" w:sz="6" w:space="0" w:color="008000"/>
            </w:tcBorders>
            <w:shd w:val="clear" w:color="auto" w:fill="FFFFFF"/>
          </w:tcPr>
          <w:p w14:paraId="29A74402" w14:textId="3A531A6A" w:rsidR="00B6145B" w:rsidRDefault="00B6145B" w:rsidP="004165A1">
            <w:pPr>
              <w:pStyle w:val="CETBodytext"/>
              <w:ind w:right="-1"/>
              <w:jc w:val="left"/>
              <w:rPr>
                <w:rFonts w:cs="Arial"/>
                <w:szCs w:val="18"/>
                <w:lang w:val="en-GB"/>
              </w:rPr>
            </w:pPr>
            <w:r>
              <w:rPr>
                <w:rFonts w:cs="Arial"/>
                <w:szCs w:val="18"/>
                <w:lang w:val="en-GB"/>
              </w:rPr>
              <w:t>t</w:t>
            </w:r>
          </w:p>
        </w:tc>
        <w:tc>
          <w:tcPr>
            <w:tcW w:w="708" w:type="dxa"/>
            <w:tcBorders>
              <w:top w:val="single" w:sz="12" w:space="0" w:color="008000"/>
              <w:bottom w:val="single" w:sz="6" w:space="0" w:color="008000"/>
            </w:tcBorders>
            <w:shd w:val="clear" w:color="auto" w:fill="FFFFFF"/>
          </w:tcPr>
          <w:p w14:paraId="226CB09A" w14:textId="5063BC10" w:rsidR="00B6145B" w:rsidRPr="00B6145B" w:rsidRDefault="00B6145B" w:rsidP="004165A1">
            <w:pPr>
              <w:pStyle w:val="CETBodytext"/>
              <w:ind w:right="-1"/>
              <w:jc w:val="left"/>
              <w:rPr>
                <w:rFonts w:cs="Arial"/>
                <w:szCs w:val="18"/>
                <w:vertAlign w:val="subscript"/>
                <w:lang w:val="en-GB"/>
              </w:rPr>
            </w:pPr>
            <w:r w:rsidRPr="00B6145B">
              <w:rPr>
                <w:rFonts w:cs="Arial"/>
                <w:szCs w:val="18"/>
                <w:lang w:val="en-GB"/>
              </w:rPr>
              <w:t>μ</w:t>
            </w:r>
            <w:r>
              <w:rPr>
                <w:rFonts w:cs="Arial"/>
                <w:szCs w:val="18"/>
                <w:vertAlign w:val="subscript"/>
                <w:lang w:val="en-GB"/>
              </w:rPr>
              <w:t>m</w:t>
            </w:r>
          </w:p>
        </w:tc>
      </w:tr>
      <w:tr w:rsidR="00B6145B" w:rsidRPr="00B57B36" w14:paraId="50B7AAA2" w14:textId="3EBFCCC7" w:rsidTr="00CD772D">
        <w:tc>
          <w:tcPr>
            <w:tcW w:w="1985" w:type="dxa"/>
            <w:shd w:val="clear" w:color="auto" w:fill="FFFFFF"/>
          </w:tcPr>
          <w:p w14:paraId="5146983D" w14:textId="2413A430" w:rsidR="00B6145B" w:rsidRPr="00B57B36" w:rsidRDefault="00B6145B" w:rsidP="00B6145B">
            <w:pPr>
              <w:pStyle w:val="CETBodytext"/>
              <w:rPr>
                <w:lang w:val="en-GB"/>
              </w:rPr>
            </w:pPr>
            <w:r>
              <w:t>Open Compost</w:t>
            </w:r>
          </w:p>
        </w:tc>
        <w:tc>
          <w:tcPr>
            <w:tcW w:w="567" w:type="dxa"/>
            <w:shd w:val="clear" w:color="auto" w:fill="FFFFFF"/>
          </w:tcPr>
          <w:p w14:paraId="1C4B2BE3" w14:textId="098BC772" w:rsidR="00B6145B" w:rsidRPr="00B57B36" w:rsidRDefault="00B6145B" w:rsidP="00B6145B">
            <w:pPr>
              <w:pStyle w:val="CETBodytext"/>
              <w:rPr>
                <w:lang w:val="en-GB"/>
              </w:rPr>
            </w:pPr>
            <w:r w:rsidRPr="00967D54">
              <w:t>0.505</w:t>
            </w:r>
          </w:p>
        </w:tc>
        <w:tc>
          <w:tcPr>
            <w:tcW w:w="567" w:type="dxa"/>
            <w:shd w:val="clear" w:color="auto" w:fill="FFFFFF"/>
          </w:tcPr>
          <w:p w14:paraId="0ADF6122" w14:textId="526F19A9" w:rsidR="00B6145B" w:rsidRPr="00B57B36" w:rsidRDefault="00B6145B" w:rsidP="00B6145B">
            <w:pPr>
              <w:pStyle w:val="CETBodytext"/>
              <w:rPr>
                <w:lang w:val="en-GB"/>
              </w:rPr>
            </w:pPr>
            <w:r w:rsidRPr="00967D54">
              <w:t>0.382</w:t>
            </w:r>
          </w:p>
        </w:tc>
        <w:tc>
          <w:tcPr>
            <w:tcW w:w="850" w:type="dxa"/>
            <w:shd w:val="clear" w:color="auto" w:fill="FFFFFF"/>
          </w:tcPr>
          <w:p w14:paraId="369E1BA3" w14:textId="0B38398C" w:rsidR="00B6145B" w:rsidRPr="00B57B36" w:rsidRDefault="00B6145B" w:rsidP="00B6145B">
            <w:pPr>
              <w:pStyle w:val="CETBodytext"/>
              <w:ind w:right="-1"/>
              <w:rPr>
                <w:rFonts w:cs="Arial"/>
                <w:szCs w:val="18"/>
                <w:lang w:val="en-GB"/>
              </w:rPr>
            </w:pPr>
            <w:r w:rsidRPr="00967D54">
              <w:t>24.26 %</w:t>
            </w:r>
          </w:p>
        </w:tc>
        <w:tc>
          <w:tcPr>
            <w:tcW w:w="709" w:type="dxa"/>
            <w:shd w:val="clear" w:color="auto" w:fill="FFFFFF"/>
          </w:tcPr>
          <w:p w14:paraId="6A96FE39" w14:textId="07045879" w:rsidR="00B6145B" w:rsidRPr="00B57B36" w:rsidRDefault="00B6145B" w:rsidP="00B6145B">
            <w:pPr>
              <w:pStyle w:val="CETBodytext"/>
              <w:ind w:right="-1"/>
              <w:rPr>
                <w:rFonts w:cs="Arial"/>
                <w:szCs w:val="18"/>
                <w:lang w:val="en-GB"/>
              </w:rPr>
            </w:pPr>
            <w:r w:rsidRPr="00967D54">
              <w:t>0.00015</w:t>
            </w:r>
          </w:p>
        </w:tc>
        <w:tc>
          <w:tcPr>
            <w:tcW w:w="709" w:type="dxa"/>
            <w:tcBorders>
              <w:top w:val="single" w:sz="4" w:space="0" w:color="auto"/>
            </w:tcBorders>
          </w:tcPr>
          <w:p w14:paraId="3DA3D1E2" w14:textId="4CC2DEAA" w:rsidR="00B6145B" w:rsidRPr="0030092F" w:rsidRDefault="00B6145B" w:rsidP="00B6145B">
            <w:pPr>
              <w:tabs>
                <w:tab w:val="clear" w:pos="7100"/>
              </w:tabs>
              <w:spacing w:line="276" w:lineRule="auto"/>
              <w:jc w:val="left"/>
              <w:rPr>
                <w:rFonts w:cs="Arial"/>
              </w:rPr>
            </w:pPr>
            <w:r w:rsidRPr="00967D54">
              <w:t>0.0094</w:t>
            </w:r>
          </w:p>
        </w:tc>
        <w:tc>
          <w:tcPr>
            <w:tcW w:w="709" w:type="dxa"/>
            <w:tcBorders>
              <w:top w:val="single" w:sz="4" w:space="0" w:color="auto"/>
            </w:tcBorders>
          </w:tcPr>
          <w:p w14:paraId="0BFF6F0C" w14:textId="6AE50F40" w:rsidR="00B6145B" w:rsidRPr="0030092F" w:rsidRDefault="00B6145B" w:rsidP="00B6145B">
            <w:pPr>
              <w:tabs>
                <w:tab w:val="clear" w:pos="7100"/>
              </w:tabs>
              <w:spacing w:line="276" w:lineRule="auto"/>
              <w:jc w:val="left"/>
              <w:rPr>
                <w:rFonts w:cs="Arial"/>
              </w:rPr>
            </w:pPr>
            <w:r w:rsidRPr="00967D54">
              <w:t>0.077</w:t>
            </w:r>
          </w:p>
        </w:tc>
        <w:tc>
          <w:tcPr>
            <w:tcW w:w="567" w:type="dxa"/>
            <w:tcBorders>
              <w:top w:val="single" w:sz="4" w:space="0" w:color="auto"/>
            </w:tcBorders>
          </w:tcPr>
          <w:p w14:paraId="4B1697E6" w14:textId="7086EEE0" w:rsidR="00B6145B" w:rsidRPr="0030092F" w:rsidRDefault="00B6145B" w:rsidP="00B6145B">
            <w:pPr>
              <w:tabs>
                <w:tab w:val="clear" w:pos="7100"/>
              </w:tabs>
              <w:spacing w:line="276" w:lineRule="auto"/>
              <w:jc w:val="left"/>
              <w:rPr>
                <w:rFonts w:cs="Arial"/>
              </w:rPr>
            </w:pPr>
            <w:r w:rsidRPr="00967D54">
              <w:t>150</w:t>
            </w:r>
          </w:p>
        </w:tc>
        <w:tc>
          <w:tcPr>
            <w:tcW w:w="708" w:type="dxa"/>
            <w:tcBorders>
              <w:top w:val="single" w:sz="4" w:space="0" w:color="auto"/>
            </w:tcBorders>
          </w:tcPr>
          <w:p w14:paraId="5F1FB70C" w14:textId="0387057C" w:rsidR="00B6145B" w:rsidRPr="0030092F" w:rsidRDefault="00B6145B" w:rsidP="00B6145B">
            <w:pPr>
              <w:tabs>
                <w:tab w:val="clear" w:pos="7100"/>
              </w:tabs>
              <w:spacing w:line="276" w:lineRule="auto"/>
              <w:jc w:val="left"/>
              <w:rPr>
                <w:rFonts w:cs="Arial"/>
              </w:rPr>
            </w:pPr>
            <w:r w:rsidRPr="00967D54">
              <w:t>0.027</w:t>
            </w:r>
          </w:p>
        </w:tc>
      </w:tr>
      <w:tr w:rsidR="00B6145B" w:rsidRPr="00B57B36" w14:paraId="7F0E6A54" w14:textId="5EBE2F82" w:rsidTr="00CD772D">
        <w:tc>
          <w:tcPr>
            <w:tcW w:w="1985" w:type="dxa"/>
            <w:shd w:val="clear" w:color="auto" w:fill="FFFFFF"/>
          </w:tcPr>
          <w:p w14:paraId="3119F965" w14:textId="5E3ED13D" w:rsidR="00B6145B" w:rsidRPr="00B57B36" w:rsidRDefault="00B6145B" w:rsidP="00B6145B">
            <w:pPr>
              <w:pStyle w:val="CETBodytext"/>
              <w:ind w:right="-1"/>
              <w:rPr>
                <w:rFonts w:cs="Arial"/>
                <w:szCs w:val="18"/>
                <w:lang w:val="en-GB"/>
              </w:rPr>
            </w:pPr>
            <w:r w:rsidRPr="00B6145B">
              <w:rPr>
                <w:i/>
                <w:iCs/>
              </w:rPr>
              <w:t>C. violaceum</w:t>
            </w:r>
            <w:r>
              <w:t xml:space="preserve"> Compost</w:t>
            </w:r>
          </w:p>
        </w:tc>
        <w:tc>
          <w:tcPr>
            <w:tcW w:w="567" w:type="dxa"/>
            <w:shd w:val="clear" w:color="auto" w:fill="FFFFFF"/>
          </w:tcPr>
          <w:p w14:paraId="4C816AC9" w14:textId="472D0F02" w:rsidR="00B6145B" w:rsidRPr="00B57B36" w:rsidRDefault="00B6145B" w:rsidP="00B6145B">
            <w:pPr>
              <w:pStyle w:val="CETBodytext"/>
              <w:ind w:right="-1"/>
              <w:rPr>
                <w:rFonts w:cs="Arial"/>
                <w:szCs w:val="18"/>
                <w:lang w:val="en-GB"/>
              </w:rPr>
            </w:pPr>
            <w:r w:rsidRPr="00967D54">
              <w:t>0.505</w:t>
            </w:r>
          </w:p>
        </w:tc>
        <w:tc>
          <w:tcPr>
            <w:tcW w:w="567" w:type="dxa"/>
            <w:shd w:val="clear" w:color="auto" w:fill="FFFFFF"/>
          </w:tcPr>
          <w:p w14:paraId="1BEA8BB8" w14:textId="26A5A5DB" w:rsidR="00B6145B" w:rsidRPr="00B57B36" w:rsidRDefault="00B6145B" w:rsidP="00B6145B">
            <w:pPr>
              <w:pStyle w:val="CETBodytext"/>
              <w:ind w:right="-1"/>
              <w:rPr>
                <w:rFonts w:cs="Arial"/>
                <w:szCs w:val="18"/>
                <w:lang w:val="en-GB"/>
              </w:rPr>
            </w:pPr>
            <w:r w:rsidRPr="00967D54">
              <w:t>0.370</w:t>
            </w:r>
          </w:p>
        </w:tc>
        <w:tc>
          <w:tcPr>
            <w:tcW w:w="850" w:type="dxa"/>
            <w:shd w:val="clear" w:color="auto" w:fill="FFFFFF"/>
          </w:tcPr>
          <w:p w14:paraId="0FFEDE80" w14:textId="3BD88C24" w:rsidR="00B6145B" w:rsidRPr="00B57B36" w:rsidRDefault="00B6145B" w:rsidP="00B6145B">
            <w:pPr>
              <w:pStyle w:val="CETBodytext"/>
              <w:ind w:right="-1"/>
              <w:rPr>
                <w:rFonts w:cs="Arial"/>
                <w:szCs w:val="18"/>
                <w:lang w:val="en-GB"/>
              </w:rPr>
            </w:pPr>
            <w:r w:rsidRPr="00967D54">
              <w:t>26.73 %</w:t>
            </w:r>
          </w:p>
        </w:tc>
        <w:tc>
          <w:tcPr>
            <w:tcW w:w="709" w:type="dxa"/>
            <w:shd w:val="clear" w:color="auto" w:fill="FFFFFF"/>
          </w:tcPr>
          <w:p w14:paraId="3FAA8102" w14:textId="7D8502C9" w:rsidR="00B6145B" w:rsidRPr="00B57B36" w:rsidRDefault="00B6145B" w:rsidP="00B6145B">
            <w:pPr>
              <w:pStyle w:val="CETBodytext"/>
              <w:ind w:right="-1"/>
              <w:rPr>
                <w:rFonts w:cs="Arial"/>
                <w:szCs w:val="18"/>
                <w:lang w:val="en-GB"/>
              </w:rPr>
            </w:pPr>
            <w:r w:rsidRPr="00967D54">
              <w:t>0.0012</w:t>
            </w:r>
          </w:p>
        </w:tc>
        <w:tc>
          <w:tcPr>
            <w:tcW w:w="709" w:type="dxa"/>
          </w:tcPr>
          <w:p w14:paraId="0B23FF86" w14:textId="72C8E4AF" w:rsidR="00B6145B" w:rsidRPr="0030092F" w:rsidRDefault="00B6145B" w:rsidP="00B6145B">
            <w:pPr>
              <w:tabs>
                <w:tab w:val="clear" w:pos="7100"/>
              </w:tabs>
              <w:spacing w:line="276" w:lineRule="auto"/>
              <w:jc w:val="left"/>
              <w:rPr>
                <w:rFonts w:cs="Arial"/>
              </w:rPr>
            </w:pPr>
            <w:r w:rsidRPr="00967D54">
              <w:t>0.0056</w:t>
            </w:r>
          </w:p>
        </w:tc>
        <w:tc>
          <w:tcPr>
            <w:tcW w:w="709" w:type="dxa"/>
          </w:tcPr>
          <w:p w14:paraId="670B9614" w14:textId="1FF9FD98" w:rsidR="00B6145B" w:rsidRPr="0030092F" w:rsidRDefault="00B6145B" w:rsidP="00B6145B">
            <w:pPr>
              <w:tabs>
                <w:tab w:val="clear" w:pos="7100"/>
              </w:tabs>
              <w:spacing w:line="276" w:lineRule="auto"/>
              <w:jc w:val="left"/>
              <w:rPr>
                <w:rFonts w:cs="Arial"/>
              </w:rPr>
            </w:pPr>
            <w:r w:rsidRPr="00967D54">
              <w:t>0.042</w:t>
            </w:r>
          </w:p>
        </w:tc>
        <w:tc>
          <w:tcPr>
            <w:tcW w:w="567" w:type="dxa"/>
          </w:tcPr>
          <w:p w14:paraId="4B565E33" w14:textId="548278F9" w:rsidR="00B6145B" w:rsidRPr="0030092F" w:rsidRDefault="00B6145B" w:rsidP="00B6145B">
            <w:pPr>
              <w:tabs>
                <w:tab w:val="clear" w:pos="7100"/>
              </w:tabs>
              <w:spacing w:line="276" w:lineRule="auto"/>
              <w:jc w:val="left"/>
              <w:rPr>
                <w:rFonts w:cs="Arial"/>
              </w:rPr>
            </w:pPr>
            <w:r w:rsidRPr="00967D54">
              <w:t>45</w:t>
            </w:r>
          </w:p>
        </w:tc>
        <w:tc>
          <w:tcPr>
            <w:tcW w:w="708" w:type="dxa"/>
          </w:tcPr>
          <w:p w14:paraId="41317A80" w14:textId="2C67D09C" w:rsidR="00B6145B" w:rsidRPr="0030092F" w:rsidRDefault="00B6145B" w:rsidP="00B6145B">
            <w:pPr>
              <w:tabs>
                <w:tab w:val="clear" w:pos="7100"/>
              </w:tabs>
              <w:spacing w:line="276" w:lineRule="auto"/>
              <w:jc w:val="left"/>
              <w:rPr>
                <w:rFonts w:cs="Arial"/>
              </w:rPr>
            </w:pPr>
            <w:r w:rsidRPr="00967D54">
              <w:t>0.034</w:t>
            </w:r>
          </w:p>
        </w:tc>
      </w:tr>
      <w:tr w:rsidR="00B6145B" w:rsidRPr="00B57B36" w14:paraId="43EA2484" w14:textId="22354609" w:rsidTr="00CD772D">
        <w:tc>
          <w:tcPr>
            <w:tcW w:w="1985" w:type="dxa"/>
            <w:shd w:val="clear" w:color="auto" w:fill="FFFFFF"/>
          </w:tcPr>
          <w:p w14:paraId="671210A0" w14:textId="4F604D4B" w:rsidR="00B6145B" w:rsidRPr="0030092F" w:rsidRDefault="00B6145B" w:rsidP="00B6145B">
            <w:pPr>
              <w:pStyle w:val="CETBodytext"/>
              <w:ind w:right="-1"/>
              <w:rPr>
                <w:rFonts w:cs="Arial"/>
              </w:rPr>
            </w:pPr>
            <w:r w:rsidRPr="00B6145B">
              <w:rPr>
                <w:i/>
                <w:iCs/>
              </w:rPr>
              <w:t>P. luteola</w:t>
            </w:r>
            <w:r>
              <w:t xml:space="preserve"> Compost</w:t>
            </w:r>
          </w:p>
        </w:tc>
        <w:tc>
          <w:tcPr>
            <w:tcW w:w="567" w:type="dxa"/>
            <w:shd w:val="clear" w:color="auto" w:fill="FFFFFF"/>
          </w:tcPr>
          <w:p w14:paraId="3B14AA8F" w14:textId="06FB37AB" w:rsidR="00B6145B" w:rsidRPr="0030092F" w:rsidRDefault="00B6145B" w:rsidP="00B6145B">
            <w:pPr>
              <w:pStyle w:val="CETBodytext"/>
              <w:ind w:right="-1"/>
              <w:rPr>
                <w:rFonts w:cs="Arial"/>
              </w:rPr>
            </w:pPr>
            <w:r w:rsidRPr="00967D54">
              <w:t>0.505</w:t>
            </w:r>
          </w:p>
        </w:tc>
        <w:tc>
          <w:tcPr>
            <w:tcW w:w="567" w:type="dxa"/>
            <w:shd w:val="clear" w:color="auto" w:fill="FFFFFF"/>
          </w:tcPr>
          <w:p w14:paraId="22E00106" w14:textId="6E933DCF" w:rsidR="00B6145B" w:rsidRPr="0030092F" w:rsidRDefault="00B6145B" w:rsidP="00B6145B">
            <w:pPr>
              <w:pStyle w:val="CETBodytext"/>
              <w:ind w:right="-1"/>
              <w:rPr>
                <w:rFonts w:cs="Arial"/>
              </w:rPr>
            </w:pPr>
            <w:r w:rsidRPr="00967D54">
              <w:t>0.455</w:t>
            </w:r>
          </w:p>
        </w:tc>
        <w:tc>
          <w:tcPr>
            <w:tcW w:w="850" w:type="dxa"/>
            <w:shd w:val="clear" w:color="auto" w:fill="FFFFFF"/>
          </w:tcPr>
          <w:p w14:paraId="06940B31" w14:textId="21B7323A" w:rsidR="00B6145B" w:rsidRPr="0030092F" w:rsidRDefault="00B6145B" w:rsidP="00B6145B">
            <w:pPr>
              <w:pStyle w:val="CETBodytext"/>
              <w:ind w:right="-1"/>
              <w:rPr>
                <w:rFonts w:cs="Arial"/>
              </w:rPr>
            </w:pPr>
            <w:r w:rsidRPr="00967D54">
              <w:t>9.90 %</w:t>
            </w:r>
          </w:p>
        </w:tc>
        <w:tc>
          <w:tcPr>
            <w:tcW w:w="709" w:type="dxa"/>
            <w:shd w:val="clear" w:color="auto" w:fill="FFFFFF"/>
          </w:tcPr>
          <w:p w14:paraId="787DF944" w14:textId="0C0E90A6" w:rsidR="00B6145B" w:rsidRPr="0030092F" w:rsidRDefault="00B6145B" w:rsidP="00B6145B">
            <w:pPr>
              <w:pStyle w:val="CETBodytext"/>
              <w:ind w:right="-1"/>
              <w:rPr>
                <w:rFonts w:cs="Arial"/>
              </w:rPr>
            </w:pPr>
            <w:r w:rsidRPr="00967D54">
              <w:t>0.0012</w:t>
            </w:r>
          </w:p>
        </w:tc>
        <w:tc>
          <w:tcPr>
            <w:tcW w:w="709" w:type="dxa"/>
          </w:tcPr>
          <w:p w14:paraId="13D094D3" w14:textId="25CFDEE9" w:rsidR="00B6145B" w:rsidRPr="0030092F" w:rsidRDefault="00B6145B" w:rsidP="00B6145B">
            <w:pPr>
              <w:tabs>
                <w:tab w:val="clear" w:pos="7100"/>
              </w:tabs>
              <w:spacing w:line="276" w:lineRule="auto"/>
              <w:jc w:val="left"/>
              <w:rPr>
                <w:rFonts w:cs="Arial"/>
              </w:rPr>
            </w:pPr>
            <w:r w:rsidRPr="00967D54">
              <w:t>0.0043</w:t>
            </w:r>
          </w:p>
        </w:tc>
        <w:tc>
          <w:tcPr>
            <w:tcW w:w="709" w:type="dxa"/>
          </w:tcPr>
          <w:p w14:paraId="2AF08C32" w14:textId="32A769BC" w:rsidR="00B6145B" w:rsidRPr="0030092F" w:rsidRDefault="00B6145B" w:rsidP="00B6145B">
            <w:pPr>
              <w:tabs>
                <w:tab w:val="clear" w:pos="7100"/>
              </w:tabs>
              <w:spacing w:line="276" w:lineRule="auto"/>
              <w:jc w:val="left"/>
              <w:rPr>
                <w:rFonts w:cs="Arial"/>
              </w:rPr>
            </w:pPr>
            <w:r w:rsidRPr="00967D54">
              <w:t>0.087</w:t>
            </w:r>
          </w:p>
        </w:tc>
        <w:tc>
          <w:tcPr>
            <w:tcW w:w="567" w:type="dxa"/>
          </w:tcPr>
          <w:p w14:paraId="0B3C7BE1" w14:textId="5B902A03" w:rsidR="00B6145B" w:rsidRPr="0030092F" w:rsidRDefault="00B6145B" w:rsidP="00B6145B">
            <w:pPr>
              <w:tabs>
                <w:tab w:val="clear" w:pos="7100"/>
              </w:tabs>
              <w:spacing w:line="276" w:lineRule="auto"/>
              <w:jc w:val="left"/>
              <w:rPr>
                <w:rFonts w:cs="Arial"/>
              </w:rPr>
            </w:pPr>
            <w:r w:rsidRPr="00967D54">
              <w:t>45</w:t>
            </w:r>
          </w:p>
        </w:tc>
        <w:tc>
          <w:tcPr>
            <w:tcW w:w="708" w:type="dxa"/>
          </w:tcPr>
          <w:p w14:paraId="70CC9052" w14:textId="44A89154" w:rsidR="00B6145B" w:rsidRPr="0030092F" w:rsidRDefault="00B6145B" w:rsidP="00B6145B">
            <w:pPr>
              <w:tabs>
                <w:tab w:val="clear" w:pos="7100"/>
              </w:tabs>
              <w:spacing w:line="276" w:lineRule="auto"/>
              <w:jc w:val="left"/>
              <w:rPr>
                <w:rFonts w:cs="Arial"/>
              </w:rPr>
            </w:pPr>
            <w:r w:rsidRPr="00967D54">
              <w:t>0.028</w:t>
            </w:r>
          </w:p>
        </w:tc>
      </w:tr>
      <w:tr w:rsidR="00B6145B" w:rsidRPr="00B57B36" w14:paraId="4E39DE59" w14:textId="72C99DCF" w:rsidTr="00CD772D">
        <w:tc>
          <w:tcPr>
            <w:tcW w:w="1985" w:type="dxa"/>
            <w:shd w:val="clear" w:color="auto" w:fill="FFFFFF"/>
          </w:tcPr>
          <w:p w14:paraId="0887A8D5" w14:textId="2CFCDA3B" w:rsidR="00B6145B" w:rsidRPr="0030092F" w:rsidRDefault="00B6145B" w:rsidP="00B6145B">
            <w:pPr>
              <w:pStyle w:val="CETBodytext"/>
              <w:ind w:right="-1"/>
              <w:rPr>
                <w:rFonts w:cs="Arial"/>
              </w:rPr>
            </w:pPr>
            <w:r w:rsidRPr="00B6145B">
              <w:rPr>
                <w:i/>
                <w:iCs/>
              </w:rPr>
              <w:t>L. collinoides</w:t>
            </w:r>
            <w:r>
              <w:t xml:space="preserve"> Compost</w:t>
            </w:r>
          </w:p>
        </w:tc>
        <w:tc>
          <w:tcPr>
            <w:tcW w:w="567" w:type="dxa"/>
            <w:shd w:val="clear" w:color="auto" w:fill="FFFFFF"/>
          </w:tcPr>
          <w:p w14:paraId="5764B4CA" w14:textId="4211B83E" w:rsidR="00B6145B" w:rsidRPr="0030092F" w:rsidRDefault="00B6145B" w:rsidP="00B6145B">
            <w:pPr>
              <w:pStyle w:val="CETBodytext"/>
              <w:ind w:right="-1"/>
              <w:rPr>
                <w:rFonts w:cs="Arial"/>
              </w:rPr>
            </w:pPr>
            <w:r w:rsidRPr="00967D54">
              <w:t>0.505</w:t>
            </w:r>
          </w:p>
        </w:tc>
        <w:tc>
          <w:tcPr>
            <w:tcW w:w="567" w:type="dxa"/>
            <w:shd w:val="clear" w:color="auto" w:fill="FFFFFF"/>
          </w:tcPr>
          <w:p w14:paraId="4D78992D" w14:textId="3CD5FCBD" w:rsidR="00B6145B" w:rsidRPr="0030092F" w:rsidRDefault="00B6145B" w:rsidP="00B6145B">
            <w:pPr>
              <w:pStyle w:val="CETBodytext"/>
              <w:ind w:right="-1"/>
              <w:rPr>
                <w:rFonts w:cs="Arial"/>
              </w:rPr>
            </w:pPr>
            <w:r w:rsidRPr="00967D54">
              <w:t>0.454</w:t>
            </w:r>
          </w:p>
        </w:tc>
        <w:tc>
          <w:tcPr>
            <w:tcW w:w="850" w:type="dxa"/>
            <w:shd w:val="clear" w:color="auto" w:fill="FFFFFF"/>
          </w:tcPr>
          <w:p w14:paraId="26992D7D" w14:textId="784DACCF" w:rsidR="00B6145B" w:rsidRPr="0030092F" w:rsidRDefault="00B6145B" w:rsidP="00B6145B">
            <w:pPr>
              <w:pStyle w:val="CETBodytext"/>
              <w:ind w:right="-1"/>
              <w:rPr>
                <w:rFonts w:cs="Arial"/>
              </w:rPr>
            </w:pPr>
            <w:r w:rsidRPr="00967D54">
              <w:t>10.10 %</w:t>
            </w:r>
          </w:p>
        </w:tc>
        <w:tc>
          <w:tcPr>
            <w:tcW w:w="709" w:type="dxa"/>
            <w:shd w:val="clear" w:color="auto" w:fill="FFFFFF"/>
          </w:tcPr>
          <w:p w14:paraId="5D72DB97" w14:textId="56EB6C58" w:rsidR="00B6145B" w:rsidRPr="0030092F" w:rsidRDefault="00B6145B" w:rsidP="00B6145B">
            <w:pPr>
              <w:pStyle w:val="CETBodytext"/>
              <w:ind w:right="-1"/>
              <w:rPr>
                <w:rFonts w:cs="Arial"/>
              </w:rPr>
            </w:pPr>
            <w:r w:rsidRPr="00967D54">
              <w:t>0.0012</w:t>
            </w:r>
          </w:p>
        </w:tc>
        <w:tc>
          <w:tcPr>
            <w:tcW w:w="709" w:type="dxa"/>
          </w:tcPr>
          <w:p w14:paraId="1A5F1F20" w14:textId="20A86295" w:rsidR="00B6145B" w:rsidRPr="0030092F" w:rsidRDefault="00B6145B" w:rsidP="00B6145B">
            <w:pPr>
              <w:tabs>
                <w:tab w:val="clear" w:pos="7100"/>
              </w:tabs>
              <w:spacing w:line="276" w:lineRule="auto"/>
              <w:jc w:val="left"/>
              <w:rPr>
                <w:rFonts w:cs="Arial"/>
              </w:rPr>
            </w:pPr>
            <w:r w:rsidRPr="00967D54">
              <w:t>0.0038</w:t>
            </w:r>
          </w:p>
        </w:tc>
        <w:tc>
          <w:tcPr>
            <w:tcW w:w="709" w:type="dxa"/>
          </w:tcPr>
          <w:p w14:paraId="377BCA64" w14:textId="76DAB635" w:rsidR="00B6145B" w:rsidRPr="0030092F" w:rsidRDefault="00B6145B" w:rsidP="00B6145B">
            <w:pPr>
              <w:tabs>
                <w:tab w:val="clear" w:pos="7100"/>
              </w:tabs>
              <w:spacing w:line="276" w:lineRule="auto"/>
              <w:jc w:val="left"/>
              <w:rPr>
                <w:rFonts w:cs="Arial"/>
              </w:rPr>
            </w:pPr>
            <w:r w:rsidRPr="00967D54">
              <w:t>0.075</w:t>
            </w:r>
          </w:p>
        </w:tc>
        <w:tc>
          <w:tcPr>
            <w:tcW w:w="567" w:type="dxa"/>
          </w:tcPr>
          <w:p w14:paraId="1FBD4386" w14:textId="3F8D056B" w:rsidR="00B6145B" w:rsidRPr="0030092F" w:rsidRDefault="00B6145B" w:rsidP="00B6145B">
            <w:pPr>
              <w:tabs>
                <w:tab w:val="clear" w:pos="7100"/>
              </w:tabs>
              <w:spacing w:line="276" w:lineRule="auto"/>
              <w:jc w:val="left"/>
              <w:rPr>
                <w:rFonts w:cs="Arial"/>
              </w:rPr>
            </w:pPr>
            <w:r w:rsidRPr="00967D54">
              <w:t>45</w:t>
            </w:r>
          </w:p>
        </w:tc>
        <w:tc>
          <w:tcPr>
            <w:tcW w:w="708" w:type="dxa"/>
          </w:tcPr>
          <w:p w14:paraId="3BB81080" w14:textId="20159E95" w:rsidR="00B6145B" w:rsidRPr="0030092F" w:rsidRDefault="00B6145B" w:rsidP="00B6145B">
            <w:pPr>
              <w:tabs>
                <w:tab w:val="clear" w:pos="7100"/>
              </w:tabs>
              <w:spacing w:line="276" w:lineRule="auto"/>
              <w:jc w:val="left"/>
              <w:rPr>
                <w:rFonts w:cs="Arial"/>
              </w:rPr>
            </w:pPr>
            <w:r w:rsidRPr="00967D54">
              <w:t>0.026</w:t>
            </w:r>
          </w:p>
        </w:tc>
      </w:tr>
      <w:tr w:rsidR="00B6145B" w:rsidRPr="00B57B36" w14:paraId="58A8C78C" w14:textId="1F5DD38C" w:rsidTr="00CD772D">
        <w:tc>
          <w:tcPr>
            <w:tcW w:w="1985" w:type="dxa"/>
            <w:shd w:val="clear" w:color="auto" w:fill="FFFFFF"/>
          </w:tcPr>
          <w:p w14:paraId="1D13E05D" w14:textId="7C109A0B" w:rsidR="00B6145B" w:rsidRPr="0030092F" w:rsidRDefault="00B6145B" w:rsidP="00B6145B">
            <w:pPr>
              <w:pStyle w:val="CETBodytext"/>
              <w:ind w:right="-1"/>
              <w:rPr>
                <w:rFonts w:cs="Arial"/>
                <w:bCs/>
              </w:rPr>
            </w:pPr>
            <w:r w:rsidRPr="00B6145B">
              <w:rPr>
                <w:i/>
                <w:iCs/>
              </w:rPr>
              <w:t>P.alvei</w:t>
            </w:r>
            <w:r>
              <w:t xml:space="preserve"> Compost</w:t>
            </w:r>
          </w:p>
        </w:tc>
        <w:tc>
          <w:tcPr>
            <w:tcW w:w="567" w:type="dxa"/>
            <w:shd w:val="clear" w:color="auto" w:fill="FFFFFF"/>
          </w:tcPr>
          <w:p w14:paraId="1E931612" w14:textId="35C55F9B" w:rsidR="00B6145B" w:rsidRPr="0030092F" w:rsidRDefault="00B6145B" w:rsidP="00B6145B">
            <w:pPr>
              <w:pStyle w:val="CETBodytext"/>
              <w:ind w:right="-1"/>
              <w:rPr>
                <w:rFonts w:cs="Arial"/>
              </w:rPr>
            </w:pPr>
            <w:r w:rsidRPr="00967D54">
              <w:t>0.505</w:t>
            </w:r>
          </w:p>
        </w:tc>
        <w:tc>
          <w:tcPr>
            <w:tcW w:w="567" w:type="dxa"/>
            <w:shd w:val="clear" w:color="auto" w:fill="FFFFFF"/>
          </w:tcPr>
          <w:p w14:paraId="0BC2728E" w14:textId="6FF1950C" w:rsidR="00B6145B" w:rsidRPr="0030092F" w:rsidRDefault="00B6145B" w:rsidP="00B6145B">
            <w:pPr>
              <w:pStyle w:val="CETBodytext"/>
              <w:ind w:right="-1"/>
              <w:rPr>
                <w:rFonts w:cs="Arial"/>
              </w:rPr>
            </w:pPr>
            <w:r w:rsidRPr="00967D54">
              <w:t>0.459</w:t>
            </w:r>
          </w:p>
        </w:tc>
        <w:tc>
          <w:tcPr>
            <w:tcW w:w="850" w:type="dxa"/>
            <w:shd w:val="clear" w:color="auto" w:fill="FFFFFF"/>
          </w:tcPr>
          <w:p w14:paraId="3DB16609" w14:textId="21EFE21A" w:rsidR="00B6145B" w:rsidRPr="0030092F" w:rsidRDefault="00B6145B" w:rsidP="00B6145B">
            <w:pPr>
              <w:pStyle w:val="CETBodytext"/>
              <w:ind w:right="-1"/>
              <w:rPr>
                <w:rFonts w:cs="Arial"/>
              </w:rPr>
            </w:pPr>
            <w:r w:rsidRPr="00967D54">
              <w:t>9.11 %</w:t>
            </w:r>
          </w:p>
        </w:tc>
        <w:tc>
          <w:tcPr>
            <w:tcW w:w="709" w:type="dxa"/>
            <w:shd w:val="clear" w:color="auto" w:fill="FFFFFF"/>
          </w:tcPr>
          <w:p w14:paraId="59A446CD" w14:textId="0AC1B2ED" w:rsidR="00B6145B" w:rsidRPr="0030092F" w:rsidRDefault="00B6145B" w:rsidP="00B6145B">
            <w:pPr>
              <w:pStyle w:val="CETBodytext"/>
              <w:ind w:right="-1"/>
              <w:rPr>
                <w:rFonts w:cs="Arial"/>
              </w:rPr>
            </w:pPr>
            <w:r w:rsidRPr="00967D54">
              <w:t>0.0012</w:t>
            </w:r>
          </w:p>
        </w:tc>
        <w:tc>
          <w:tcPr>
            <w:tcW w:w="709" w:type="dxa"/>
          </w:tcPr>
          <w:p w14:paraId="0E3D1705" w14:textId="43F9D968" w:rsidR="00B6145B" w:rsidRPr="0030092F" w:rsidRDefault="00B6145B" w:rsidP="00B6145B">
            <w:pPr>
              <w:tabs>
                <w:tab w:val="clear" w:pos="7100"/>
              </w:tabs>
              <w:spacing w:line="276" w:lineRule="auto"/>
              <w:jc w:val="left"/>
              <w:rPr>
                <w:rFonts w:cs="Arial"/>
              </w:rPr>
            </w:pPr>
            <w:r w:rsidRPr="00967D54">
              <w:t>0.0050</w:t>
            </w:r>
          </w:p>
        </w:tc>
        <w:tc>
          <w:tcPr>
            <w:tcW w:w="709" w:type="dxa"/>
          </w:tcPr>
          <w:p w14:paraId="3FC6411D" w14:textId="6316442B" w:rsidR="00B6145B" w:rsidRPr="0030092F" w:rsidRDefault="00B6145B" w:rsidP="00B6145B">
            <w:pPr>
              <w:tabs>
                <w:tab w:val="clear" w:pos="7100"/>
              </w:tabs>
              <w:spacing w:line="276" w:lineRule="auto"/>
              <w:jc w:val="left"/>
              <w:rPr>
                <w:rFonts w:cs="Arial"/>
              </w:rPr>
            </w:pPr>
            <w:r w:rsidRPr="00967D54">
              <w:t>0.108</w:t>
            </w:r>
          </w:p>
        </w:tc>
        <w:tc>
          <w:tcPr>
            <w:tcW w:w="567" w:type="dxa"/>
          </w:tcPr>
          <w:p w14:paraId="767FB5EA" w14:textId="68421A35" w:rsidR="00B6145B" w:rsidRPr="0030092F" w:rsidRDefault="00B6145B" w:rsidP="00B6145B">
            <w:pPr>
              <w:tabs>
                <w:tab w:val="clear" w:pos="7100"/>
              </w:tabs>
              <w:spacing w:line="276" w:lineRule="auto"/>
              <w:jc w:val="left"/>
              <w:rPr>
                <w:rFonts w:cs="Arial"/>
              </w:rPr>
            </w:pPr>
            <w:r w:rsidRPr="00967D54">
              <w:t>45</w:t>
            </w:r>
          </w:p>
        </w:tc>
        <w:tc>
          <w:tcPr>
            <w:tcW w:w="708" w:type="dxa"/>
          </w:tcPr>
          <w:p w14:paraId="6D895B8D" w14:textId="4AF4555F" w:rsidR="00B6145B" w:rsidRPr="0030092F" w:rsidRDefault="00B6145B" w:rsidP="00B6145B">
            <w:pPr>
              <w:tabs>
                <w:tab w:val="clear" w:pos="7100"/>
              </w:tabs>
              <w:spacing w:line="276" w:lineRule="auto"/>
              <w:jc w:val="left"/>
              <w:rPr>
                <w:rFonts w:cs="Arial"/>
              </w:rPr>
            </w:pPr>
            <w:r w:rsidRPr="00967D54">
              <w:t>0.032</w:t>
            </w:r>
          </w:p>
        </w:tc>
      </w:tr>
    </w:tbl>
    <w:p w14:paraId="2EEB0491" w14:textId="751D02CF" w:rsidR="00B6145B" w:rsidRDefault="00CD772D" w:rsidP="00B56728">
      <w:pPr>
        <w:pStyle w:val="CETBodytext"/>
        <w:rPr>
          <w:lang w:val="en-GB"/>
        </w:rPr>
      </w:pPr>
      <w:r w:rsidRPr="00CD772D">
        <w:rPr>
          <w:lang w:val="en-GB"/>
        </w:rPr>
        <w:t>S: Carbon mass</w:t>
      </w:r>
      <w:r>
        <w:rPr>
          <w:lang w:val="en-GB"/>
        </w:rPr>
        <w:t xml:space="preserve"> </w:t>
      </w:r>
      <w:r w:rsidRPr="00CD772D">
        <w:rPr>
          <w:lang w:val="en-GB"/>
        </w:rPr>
        <w:t>/</w:t>
      </w:r>
      <w:r>
        <w:rPr>
          <w:lang w:val="en-GB"/>
        </w:rPr>
        <w:t xml:space="preserve"> </w:t>
      </w:r>
      <w:r w:rsidRPr="00CD772D">
        <w:rPr>
          <w:lang w:val="en-GB"/>
        </w:rPr>
        <w:t>Substrate mass, %S = (S</w:t>
      </w:r>
      <w:r>
        <w:rPr>
          <w:vertAlign w:val="subscript"/>
          <w:lang w:val="en-GB"/>
        </w:rPr>
        <w:t>0</w:t>
      </w:r>
      <w:r w:rsidRPr="00CD772D">
        <w:rPr>
          <w:lang w:val="en-GB"/>
        </w:rPr>
        <w:t xml:space="preserve"> </w:t>
      </w:r>
      <w:r>
        <w:rPr>
          <w:lang w:val="en-GB"/>
        </w:rPr>
        <w:t>–</w:t>
      </w:r>
      <w:r w:rsidRPr="00CD772D">
        <w:rPr>
          <w:lang w:val="en-GB"/>
        </w:rPr>
        <w:t xml:space="preserve"> S</w:t>
      </w:r>
      <w:r>
        <w:rPr>
          <w:vertAlign w:val="subscript"/>
          <w:lang w:val="en-GB"/>
        </w:rPr>
        <w:t>f</w:t>
      </w:r>
      <w:r w:rsidRPr="00CD772D">
        <w:rPr>
          <w:lang w:val="en-GB"/>
        </w:rPr>
        <w:t>) / S</w:t>
      </w:r>
      <w:r>
        <w:rPr>
          <w:vertAlign w:val="subscript"/>
          <w:lang w:val="en-GB"/>
        </w:rPr>
        <w:t>0</w:t>
      </w:r>
      <w:r w:rsidRPr="00CD772D">
        <w:rPr>
          <w:lang w:val="en-GB"/>
        </w:rPr>
        <w:t>, X: Biomass (kg), Y</w:t>
      </w:r>
      <w:r w:rsidRPr="00CD772D">
        <w:rPr>
          <w:vertAlign w:val="subscript"/>
          <w:lang w:val="en-GB"/>
        </w:rPr>
        <w:t>X/S</w:t>
      </w:r>
      <w:r w:rsidRPr="00CD772D">
        <w:rPr>
          <w:lang w:val="en-GB"/>
        </w:rPr>
        <w:t>: Biomass production / Substrate consumption, t: Time (days), μ</w:t>
      </w:r>
      <w:r w:rsidRPr="00CD772D">
        <w:rPr>
          <w:vertAlign w:val="subscript"/>
          <w:lang w:val="en-GB"/>
        </w:rPr>
        <w:t>m</w:t>
      </w:r>
      <w:r w:rsidRPr="00CD772D">
        <w:rPr>
          <w:lang w:val="en-GB"/>
        </w:rPr>
        <w:t xml:space="preserve">: Growth rate (kg of biomass / Day) </w:t>
      </w:r>
      <w:r w:rsidR="00495710">
        <w:rPr>
          <w:lang w:val="en-GB"/>
        </w:rPr>
        <w:t>(Díaz Fernández, 2021; Doran, 1998)</w:t>
      </w:r>
      <w:r w:rsidRPr="00CD772D">
        <w:rPr>
          <w:lang w:val="en-GB"/>
        </w:rPr>
        <w:t>.</w:t>
      </w:r>
    </w:p>
    <w:p w14:paraId="276E5150" w14:textId="77777777" w:rsidR="00CD772D" w:rsidRDefault="00CD772D" w:rsidP="00B56728">
      <w:pPr>
        <w:pStyle w:val="CETBodytext"/>
        <w:rPr>
          <w:lang w:val="en-GB"/>
        </w:rPr>
      </w:pPr>
    </w:p>
    <w:p w14:paraId="571DCB80" w14:textId="290D3E36" w:rsidR="00B6145B" w:rsidRDefault="00D834A8" w:rsidP="00B56728">
      <w:pPr>
        <w:pStyle w:val="CETBodytext"/>
        <w:rPr>
          <w:lang w:val="en-GB"/>
        </w:rPr>
      </w:pPr>
      <w:r>
        <w:rPr>
          <w:noProof/>
          <w:lang w:val="es-CO" w:eastAsia="es-CO"/>
        </w:rPr>
        <w:drawing>
          <wp:inline distT="0" distB="0" distL="0" distR="0" wp14:anchorId="43BDD1D5" wp14:editId="37CAB51D">
            <wp:extent cx="3746476" cy="2234316"/>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883" cy="2271534"/>
                    </a:xfrm>
                    <a:prstGeom prst="rect">
                      <a:avLst/>
                    </a:prstGeom>
                    <a:noFill/>
                  </pic:spPr>
                </pic:pic>
              </a:graphicData>
            </a:graphic>
          </wp:inline>
        </w:drawing>
      </w:r>
    </w:p>
    <w:p w14:paraId="765AB928" w14:textId="16D4EE99" w:rsidR="00CD772D" w:rsidRDefault="00F50E2C" w:rsidP="00600535">
      <w:pPr>
        <w:pStyle w:val="CETBodytext"/>
        <w:rPr>
          <w:lang w:val="en-GB"/>
        </w:rPr>
      </w:pPr>
      <w:r w:rsidRPr="00FE5BE1">
        <w:rPr>
          <w:rStyle w:val="CETCaptionCarattere"/>
        </w:rPr>
        <w:t xml:space="preserve">Figure </w:t>
      </w:r>
      <w:r w:rsidR="000364C3">
        <w:rPr>
          <w:rStyle w:val="CETCaptionCarattere"/>
        </w:rPr>
        <w:t>3</w:t>
      </w:r>
      <w:r w:rsidRPr="00FE5BE1">
        <w:rPr>
          <w:rStyle w:val="CETCaptionCarattere"/>
        </w:rPr>
        <w:t xml:space="preserve">. </w:t>
      </w:r>
      <w:r>
        <w:rPr>
          <w:rStyle w:val="CETCaptionCarattere"/>
        </w:rPr>
        <w:t>Carbon degradation curve in composts</w:t>
      </w:r>
      <w:r w:rsidRPr="00FE5BE1">
        <w:rPr>
          <w:rStyle w:val="CETCaptionCarattere"/>
        </w:rPr>
        <w:t xml:space="preserve">.                                        </w:t>
      </w:r>
      <w:r>
        <w:rPr>
          <w:rStyle w:val="CETCaptionCarattere"/>
        </w:rPr>
        <w:t xml:space="preserve"> </w:t>
      </w:r>
    </w:p>
    <w:p w14:paraId="0483AF0D" w14:textId="56E8DCA6" w:rsidR="00BA2C1F" w:rsidRDefault="00BA2C1F" w:rsidP="00BA2C1F">
      <w:pPr>
        <w:pStyle w:val="CETHeading1"/>
        <w:tabs>
          <w:tab w:val="num" w:pos="360"/>
        </w:tabs>
        <w:rPr>
          <w:lang w:val="en-GB"/>
        </w:rPr>
      </w:pPr>
      <w:r>
        <w:rPr>
          <w:lang w:val="en-GB"/>
        </w:rPr>
        <w:t>Conclusion</w:t>
      </w:r>
    </w:p>
    <w:p w14:paraId="096F1EB3" w14:textId="4145B6C1" w:rsidR="00BA2C1F" w:rsidRDefault="00BA2C1F" w:rsidP="00600535">
      <w:pPr>
        <w:pStyle w:val="CETBodytext"/>
        <w:rPr>
          <w:lang w:val="en-GB"/>
        </w:rPr>
      </w:pPr>
      <w:r w:rsidRPr="00BA2C1F">
        <w:rPr>
          <w:lang w:val="en-GB"/>
        </w:rPr>
        <w:t xml:space="preserve">The use of catalytic bacteria in compost composed of lignocellulosic material and fruit peels can expedite the maturation process and enhance the final physiochemical properties. Among these, </w:t>
      </w:r>
      <w:r w:rsidRPr="00BA2C1F">
        <w:rPr>
          <w:i/>
          <w:iCs/>
          <w:lang w:val="en-GB"/>
        </w:rPr>
        <w:t>C. violaceum</w:t>
      </w:r>
      <w:r w:rsidRPr="00BA2C1F">
        <w:rPr>
          <w:lang w:val="en-GB"/>
        </w:rPr>
        <w:t xml:space="preserve"> is the most effective strain, reducing the initial C/N ratio by 60.74</w:t>
      </w:r>
      <w:r>
        <w:rPr>
          <w:lang w:val="en-GB"/>
        </w:rPr>
        <w:t xml:space="preserve"> </w:t>
      </w:r>
      <w:r w:rsidRPr="00BA2C1F">
        <w:rPr>
          <w:lang w:val="en-GB"/>
        </w:rPr>
        <w:t>%, as well as the substrate carbon content by 26.73</w:t>
      </w:r>
      <w:r>
        <w:rPr>
          <w:lang w:val="en-GB"/>
        </w:rPr>
        <w:t xml:space="preserve"> </w:t>
      </w:r>
      <w:r w:rsidRPr="00BA2C1F">
        <w:rPr>
          <w:lang w:val="en-GB"/>
        </w:rPr>
        <w:t xml:space="preserve">%, followed in performance by </w:t>
      </w:r>
      <w:r w:rsidRPr="00BA2C1F">
        <w:rPr>
          <w:i/>
          <w:iCs/>
          <w:lang w:val="en-GB"/>
        </w:rPr>
        <w:t>P. luteola</w:t>
      </w:r>
      <w:r w:rsidRPr="00BA2C1F">
        <w:rPr>
          <w:lang w:val="en-GB"/>
        </w:rPr>
        <w:t>, which decreased the C/N ratio by 54.65</w:t>
      </w:r>
      <w:r>
        <w:rPr>
          <w:lang w:val="en-GB"/>
        </w:rPr>
        <w:t xml:space="preserve"> </w:t>
      </w:r>
      <w:r w:rsidRPr="00BA2C1F">
        <w:rPr>
          <w:lang w:val="en-GB"/>
        </w:rPr>
        <w:t xml:space="preserve">%. Regarding </w:t>
      </w:r>
      <w:r w:rsidRPr="00BA2C1F">
        <w:rPr>
          <w:i/>
          <w:iCs/>
          <w:lang w:val="en-GB"/>
        </w:rPr>
        <w:t>P. alvei</w:t>
      </w:r>
      <w:r w:rsidRPr="00BA2C1F">
        <w:rPr>
          <w:lang w:val="en-GB"/>
        </w:rPr>
        <w:t>, its high growth rate, contrasted with its deficiency in carbon degradation (9.11</w:t>
      </w:r>
      <w:r>
        <w:rPr>
          <w:lang w:val="en-GB"/>
        </w:rPr>
        <w:t xml:space="preserve"> </w:t>
      </w:r>
      <w:r w:rsidRPr="00BA2C1F">
        <w:rPr>
          <w:lang w:val="en-GB"/>
        </w:rPr>
        <w:t xml:space="preserve">%), diminishes its catalytic efficiency. </w:t>
      </w:r>
      <w:r>
        <w:rPr>
          <w:lang w:val="en-GB"/>
        </w:rPr>
        <w:t>Nevertheless</w:t>
      </w:r>
      <w:r w:rsidRPr="00BA2C1F">
        <w:rPr>
          <w:lang w:val="en-GB"/>
        </w:rPr>
        <w:t xml:space="preserve">, it showed the best results in improving the thermophilic phase of the compost by reaching the highest temperature peak. Finally, </w:t>
      </w:r>
      <w:r w:rsidRPr="00BA2C1F">
        <w:rPr>
          <w:i/>
          <w:iCs/>
          <w:lang w:val="en-GB"/>
        </w:rPr>
        <w:t>L. collinoides</w:t>
      </w:r>
      <w:r w:rsidRPr="00BA2C1F">
        <w:rPr>
          <w:lang w:val="en-GB"/>
        </w:rPr>
        <w:t xml:space="preserve"> exhibited the highest average pH value and the highest degradation of </w:t>
      </w:r>
      <w:r w:rsidR="00E033A5">
        <w:rPr>
          <w:lang w:val="en-GB"/>
        </w:rPr>
        <w:t>Water-Soluble Carbon. According to these results, the employment of bacteria found out in lignocellulosic-based compost can optimize the time maturation of the composting process and the final values of some physiochemical parameters such as C/N, Water-Soluble Carbon and Total Phosphorus.</w:t>
      </w:r>
      <w:r w:rsidR="00C068C0">
        <w:rPr>
          <w:lang w:val="en-GB"/>
        </w:rPr>
        <w:t xml:space="preserve"> </w:t>
      </w:r>
      <w:r w:rsidR="00C068C0" w:rsidRPr="00C068C0">
        <w:rPr>
          <w:lang w:val="en-GB"/>
        </w:rPr>
        <w:t>Thus, the use of these microorganisms in a catalyst product for the composting process becomes interesting as a topic for future development due to the potential they have.</w:t>
      </w:r>
    </w:p>
    <w:p w14:paraId="69079525" w14:textId="7A13C07A" w:rsidR="004514E9" w:rsidRDefault="00600535" w:rsidP="002B0641">
      <w:pPr>
        <w:pStyle w:val="CETReference"/>
      </w:pPr>
      <w:r w:rsidRPr="00B57B36">
        <w:t>References</w:t>
      </w:r>
    </w:p>
    <w:p w14:paraId="268D7FB2" w14:textId="77777777" w:rsidR="0028289F" w:rsidRDefault="0028289F" w:rsidP="004514E9">
      <w:pPr>
        <w:pStyle w:val="CETReferencetext"/>
      </w:pPr>
      <w:r>
        <w:t>A</w:t>
      </w:r>
      <w:r w:rsidRPr="002B0641">
        <w:t>hmad A., Zafar U., Khan A., Haq T., Mujahid T., Wali M., 2022, Effectiveness of compost inoculated with phosphate solubilizing bacteria, Journal of Applied Microbiology, 133(2), 1115-1129.</w:t>
      </w:r>
    </w:p>
    <w:p w14:paraId="1D68A7C8" w14:textId="77777777" w:rsidR="0028289F" w:rsidRDefault="0028289F" w:rsidP="002B0641">
      <w:pPr>
        <w:pStyle w:val="CETReferencetext"/>
      </w:pPr>
      <w:r>
        <w:t xml:space="preserve">Amigos de La Tierra, 2004, </w:t>
      </w:r>
      <w:r w:rsidRPr="0021025A">
        <w:t>Basic Manual for making compost: Home composting pilot project</w:t>
      </w:r>
      <w:r>
        <w:t xml:space="preserve"> (In Spanish).</w:t>
      </w:r>
    </w:p>
    <w:p w14:paraId="52F96E82" w14:textId="77777777" w:rsidR="0028289F" w:rsidRDefault="0028289F" w:rsidP="00BF375A">
      <w:pPr>
        <w:pStyle w:val="CETReferencetext"/>
      </w:pPr>
      <w:r>
        <w:t xml:space="preserve">Ávila Avelar J., 2019, (In Spanish) </w:t>
      </w:r>
      <w:r w:rsidRPr="00BF375A">
        <w:t xml:space="preserve">Efficient Use of Organic and Inorganic Fertilizers in Wheat Production: Towards Environmental Sustainability </w:t>
      </w:r>
      <w:r>
        <w:t xml:space="preserve">(In Spanish), Undergraduate Thesis, Universidad Autónoma de Baja California, </w:t>
      </w:r>
      <w:r w:rsidRPr="00BF375A">
        <w:t>Mexicali Baja California</w:t>
      </w:r>
      <w:r>
        <w:t xml:space="preserve">, </w:t>
      </w:r>
      <w:r w:rsidRPr="00BF375A">
        <w:t>México</w:t>
      </w:r>
      <w:r>
        <w:t>).</w:t>
      </w:r>
    </w:p>
    <w:p w14:paraId="46115CAC" w14:textId="77777777" w:rsidR="0028289F" w:rsidRDefault="0028289F" w:rsidP="0021025A">
      <w:pPr>
        <w:pStyle w:val="CETReferencetext"/>
      </w:pPr>
      <w:r w:rsidRPr="0021025A">
        <w:lastRenderedPageBreak/>
        <w:t>Azim K., Soudi B., Boukhari S., Périssol C., Roussos S., Alami I. T., 2018, Composting parameters and compost quality: a literature review, Organic Agriculture, 8(2), 141-158.</w:t>
      </w:r>
    </w:p>
    <w:p w14:paraId="231D1E75" w14:textId="77777777" w:rsidR="0028289F" w:rsidRDefault="0028289F" w:rsidP="004514E9">
      <w:pPr>
        <w:pStyle w:val="CETReferencetext"/>
      </w:pPr>
      <w:r w:rsidRPr="002B0641">
        <w:t>Bautista J. I., Hernández J. J. A., 2021, Determination of organic carbon by the chemical method and by calcination, Engineering and Region</w:t>
      </w:r>
      <w:r>
        <w:t xml:space="preserve"> (In Spanish)</w:t>
      </w:r>
      <w:r w:rsidRPr="002B0641">
        <w:t xml:space="preserve">, 26, 20-28. </w:t>
      </w:r>
    </w:p>
    <w:p w14:paraId="2F263E87" w14:textId="77777777" w:rsidR="0028289F" w:rsidRDefault="0028289F" w:rsidP="00C0330D">
      <w:pPr>
        <w:pStyle w:val="CETReferencetext"/>
      </w:pPr>
      <w:r>
        <w:t>Bohórquez Santana W., 2019, The composting process (In Spanish), 1</w:t>
      </w:r>
      <w:r w:rsidRPr="0021025A">
        <w:rPr>
          <w:vertAlign w:val="superscript"/>
        </w:rPr>
        <w:t>st</w:t>
      </w:r>
      <w:r>
        <w:t xml:space="preserve"> ed, Ediciones Unisalle, Colombia.</w:t>
      </w:r>
    </w:p>
    <w:p w14:paraId="69399A95" w14:textId="77777777" w:rsidR="0028289F" w:rsidRDefault="0028289F" w:rsidP="0021025A">
      <w:pPr>
        <w:pStyle w:val="CETReferencetext"/>
      </w:pPr>
      <w:r>
        <w:t xml:space="preserve">Campitelli P., Ceppi S., Velasco M., Rubenacker A., 2014, </w:t>
      </w:r>
      <w:r w:rsidRPr="0021025A">
        <w:t>Obtaining quality fertilizers for plants</w:t>
      </w:r>
      <w:r>
        <w:t xml:space="preserve"> (In Spanish), 1</w:t>
      </w:r>
      <w:r w:rsidRPr="0021025A">
        <w:rPr>
          <w:vertAlign w:val="superscript"/>
        </w:rPr>
        <w:t>st</w:t>
      </w:r>
      <w:r>
        <w:t xml:space="preserve"> ed, Editorial Brujas, Argentina.</w:t>
      </w:r>
    </w:p>
    <w:p w14:paraId="61EC224A" w14:textId="77777777" w:rsidR="0028289F" w:rsidRDefault="0028289F" w:rsidP="004514E9">
      <w:pPr>
        <w:pStyle w:val="CETReferencetext"/>
      </w:pPr>
      <w:r>
        <w:t xml:space="preserve">Carlos Raffo F., 2021, </w:t>
      </w:r>
      <w:r w:rsidRPr="0064752E">
        <w:t xml:space="preserve">Improvement of composting of organic waste from poultry farming through the use of effective microorganisms </w:t>
      </w:r>
      <w:r>
        <w:t>(In Spanish), Master Thesis, Universidad Tecnológica Nacional, Concepción del Uruguay, Argentina.</w:t>
      </w:r>
    </w:p>
    <w:p w14:paraId="3AEC5AC2" w14:textId="77777777" w:rsidR="0028289F" w:rsidRDefault="0028289F" w:rsidP="004514E9">
      <w:pPr>
        <w:pStyle w:val="CETReferencetext"/>
      </w:pPr>
      <w:r>
        <w:t xml:space="preserve">Constante Ibarra T. G., 2021, </w:t>
      </w:r>
      <w:r w:rsidRPr="0064752E">
        <w:t>Inoculation of microorganisms in the composting process</w:t>
      </w:r>
      <w:r>
        <w:t xml:space="preserve"> (In Spanish), Undergraduate Thesis, Universidad Técnica de Ambato, Cevallos, Ecuador.</w:t>
      </w:r>
    </w:p>
    <w:p w14:paraId="18629135" w14:textId="77777777" w:rsidR="0028289F" w:rsidRDefault="0028289F" w:rsidP="004514E9">
      <w:pPr>
        <w:pStyle w:val="CETReferencetext"/>
      </w:pPr>
      <w:r>
        <w:t>Díaz Fernández M., 2021, Process Engineering, 3</w:t>
      </w:r>
      <w:r w:rsidRPr="002B0641">
        <w:rPr>
          <w:vertAlign w:val="superscript"/>
        </w:rPr>
        <w:t>rd</w:t>
      </w:r>
      <w:r>
        <w:t xml:space="preserve"> edition, Ediciones Paraninfo,</w:t>
      </w:r>
      <w:r w:rsidRPr="002B0641">
        <w:t xml:space="preserve"> </w:t>
      </w:r>
      <w:r>
        <w:t>S.A., Madrid.</w:t>
      </w:r>
    </w:p>
    <w:p w14:paraId="186951BB" w14:textId="77777777" w:rsidR="0028289F" w:rsidRDefault="0028289F" w:rsidP="002B0641">
      <w:pPr>
        <w:pStyle w:val="CETReferencetext"/>
      </w:pPr>
      <w:r>
        <w:t>Doran P. M., 1998, Bioprocess Engineering Principles.</w:t>
      </w:r>
    </w:p>
    <w:p w14:paraId="1B71449C" w14:textId="77777777" w:rsidR="0028289F" w:rsidRDefault="0028289F" w:rsidP="004514E9">
      <w:pPr>
        <w:pStyle w:val="CETReferencetext"/>
      </w:pPr>
      <w:r>
        <w:t xml:space="preserve">FAO, 2013, </w:t>
      </w:r>
      <w:r w:rsidRPr="0064752E">
        <w:t>farmer's composting manua</w:t>
      </w:r>
      <w:r>
        <w:t>l (In Spanish).</w:t>
      </w:r>
    </w:p>
    <w:p w14:paraId="6361C7B2" w14:textId="77777777" w:rsidR="0028289F" w:rsidRDefault="0028289F" w:rsidP="004514E9">
      <w:pPr>
        <w:pStyle w:val="CETReferencetext"/>
      </w:pPr>
      <w:r>
        <w:t xml:space="preserve">FAO, 2022, </w:t>
      </w:r>
      <w:r w:rsidRPr="004514E9">
        <w:t>Addressing Food Loss and Waste: A Triple-Win Opportunity</w:t>
      </w:r>
      <w:r>
        <w:t xml:space="preserve"> (In Spanish), </w:t>
      </w:r>
      <w:r w:rsidRPr="006B4888">
        <w:t>&lt;</w:t>
      </w:r>
      <w:r>
        <w:t>www.fao.org/newsroom/detail/FAO-UNEP-agriculture-environment-food-loss-waste-day-2022/es</w:t>
      </w:r>
      <w:r w:rsidRPr="006B4888">
        <w:t>&gt;</w:t>
      </w:r>
      <w:r>
        <w:t>.</w:t>
      </w:r>
    </w:p>
    <w:p w14:paraId="3936EC41" w14:textId="77777777" w:rsidR="0028289F" w:rsidRDefault="0028289F" w:rsidP="004514E9">
      <w:pPr>
        <w:pStyle w:val="CETReferencetext"/>
      </w:pPr>
      <w:r w:rsidRPr="0064752E">
        <w:t xml:space="preserve">García-Ramos C., Arozarena-Daza N. J., Martínez-Rodríguez F., Hernández-Guillén M., Pascual-Amaro J. Á., Santana-Gato D., 2019, Obtaining compost through the biotransformation of waste from agricultural markets, Cultivos Tropicales, 40(2). </w:t>
      </w:r>
    </w:p>
    <w:p w14:paraId="0B12455F" w14:textId="77777777" w:rsidR="0028289F" w:rsidRDefault="0028289F" w:rsidP="004514E9">
      <w:pPr>
        <w:pStyle w:val="CETReferencetext"/>
      </w:pPr>
      <w:r>
        <w:t xml:space="preserve">ICONTEC, 1996, NTC 234 – </w:t>
      </w:r>
      <w:r w:rsidRPr="002B0641">
        <w:t>Fertilizers or fertilizers. Test method for the quantitative determination of phosphorus</w:t>
      </w:r>
      <w:r>
        <w:t xml:space="preserve"> (In Spanish).</w:t>
      </w:r>
    </w:p>
    <w:p w14:paraId="56FBF320" w14:textId="77777777" w:rsidR="0028289F" w:rsidRDefault="0028289F" w:rsidP="004514E9">
      <w:pPr>
        <w:pStyle w:val="CETReferencetext"/>
      </w:pPr>
      <w:r>
        <w:t xml:space="preserve">ICONTEC, 2011, NTC 370 – </w:t>
      </w:r>
      <w:r w:rsidRPr="0064752E">
        <w:t>Fertilizers or fertilizers. Determination of total nitrogen</w:t>
      </w:r>
      <w:r>
        <w:t xml:space="preserve"> (In Spanish).</w:t>
      </w:r>
    </w:p>
    <w:p w14:paraId="1AAAF383" w14:textId="77777777" w:rsidR="0028289F" w:rsidRDefault="0028289F" w:rsidP="004514E9">
      <w:pPr>
        <w:pStyle w:val="CETReferencetext"/>
      </w:pPr>
      <w:r>
        <w:t xml:space="preserve">ICONTEC, 2011, NTC 5167 - </w:t>
      </w:r>
      <w:r w:rsidRPr="0064752E">
        <w:t>Products for the agricultural industry. Organic products used as compost or fertilizers and soil amendments or conditioners</w:t>
      </w:r>
      <w:r>
        <w:t xml:space="preserve"> (In Spanish).</w:t>
      </w:r>
    </w:p>
    <w:p w14:paraId="2B4C96BF" w14:textId="77777777" w:rsidR="0028289F" w:rsidRDefault="0028289F" w:rsidP="004514E9">
      <w:pPr>
        <w:pStyle w:val="CETReferencetext"/>
      </w:pPr>
      <w:r w:rsidRPr="00495710">
        <w:t>Liu Q., He X., Luo G., Wang K., Li D</w:t>
      </w:r>
      <w:r>
        <w:t>., 2022, Deciphering the dominant components and functions of bacterial communities for lignocellulose degradation at the composting thermophilic phase, Bioresource Technology, 348, 126808.</w:t>
      </w:r>
    </w:p>
    <w:p w14:paraId="343FF308" w14:textId="77777777" w:rsidR="0028289F" w:rsidRDefault="0028289F" w:rsidP="004514E9">
      <w:pPr>
        <w:pStyle w:val="CETReferencetext"/>
      </w:pPr>
      <w:r w:rsidRPr="0064752E">
        <w:t>Meegoda J. N., Li B., Patel K., Wang L. B., 2018, A review of the processes, parameters, and optimization of anaerobic digestion, International Journal of Environmental Research and Public Health, 15(10), 2224.</w:t>
      </w:r>
    </w:p>
    <w:p w14:paraId="145B44FD" w14:textId="77777777" w:rsidR="0028289F" w:rsidRDefault="0028289F" w:rsidP="004514E9">
      <w:pPr>
        <w:pStyle w:val="CETReferencetext"/>
      </w:pPr>
      <w:r w:rsidRPr="0021025A">
        <w:t xml:space="preserve">Mehta C. M., Sirari K., 2018, Comparative study of aerobic and anaerobic composting for better understanding of organic waste management: A mini review, Plant Archives, 18(1), 44-48. </w:t>
      </w:r>
    </w:p>
    <w:p w14:paraId="0C72518A" w14:textId="77777777" w:rsidR="0028289F" w:rsidRDefault="0028289F" w:rsidP="004514E9">
      <w:pPr>
        <w:pStyle w:val="CETReferencetext"/>
      </w:pPr>
      <w:r w:rsidRPr="0064752E">
        <w:t>Méndez-Matías A., Robles C., Ruiz-Vega J., Castañeda-Hidalgo E., 2018, Composting of agroindustrial waste inoculated with lignocellulosic fungi and modification of the C/N ratio, Revista Mexicana de Ciencias Agrícolas, 9(2), 271-280</w:t>
      </w:r>
      <w:r>
        <w:t>.</w:t>
      </w:r>
    </w:p>
    <w:p w14:paraId="18AED461" w14:textId="77777777" w:rsidR="0028289F" w:rsidRDefault="0028289F" w:rsidP="004514E9">
      <w:pPr>
        <w:pStyle w:val="CETReferencetext"/>
      </w:pPr>
      <w:r w:rsidRPr="002B0641">
        <w:t>Montoya S., Ospina D. A., Sánchez Ó. J., 2020, Evaluation of the Physical–Chemical and Microbiological Characteristics of the Phospho-Compost Produced Under Forced Aeration System at the Industrial Scale, Waste and Biomass Valorization, 11, 5977-5990.</w:t>
      </w:r>
    </w:p>
    <w:p w14:paraId="06165E64" w14:textId="77777777" w:rsidR="0028289F" w:rsidRDefault="0028289F" w:rsidP="0064752E">
      <w:pPr>
        <w:pStyle w:val="CETReferencetext"/>
      </w:pPr>
      <w:r>
        <w:t xml:space="preserve">Puentes Contreras P. A., Coronado Rojas A. J., 2014, </w:t>
      </w:r>
      <w:r w:rsidRPr="0064752E">
        <w:t>Determination of Nitrogen, Phosphorus and Potassium present in the pruning of the Proteas Leucadendron crop, for future reuse in the production of compost</w:t>
      </w:r>
      <w:r>
        <w:t xml:space="preserve"> (In Spanish), Degree Work for Technologist, Corporación Tecnológica de Bogotá, Bogotá D. C., Colombia.</w:t>
      </w:r>
    </w:p>
    <w:p w14:paraId="232FCAF1" w14:textId="77777777" w:rsidR="0028289F" w:rsidRDefault="0028289F" w:rsidP="0021025A">
      <w:pPr>
        <w:pStyle w:val="CETReferencetext"/>
      </w:pPr>
      <w:r w:rsidRPr="0021025A">
        <w:t>Saldarriaga J. F., Gallego J. L., López J. E., Aguado R., Olazar M., 2019, Selecting monitoring variables in the manual composting of municipal solid waste based on principal component analysis, Waste and Biomass Valorization, 10, 1811-1819</w:t>
      </w:r>
    </w:p>
    <w:p w14:paraId="7B894442" w14:textId="77777777" w:rsidR="0028289F" w:rsidRDefault="0028289F" w:rsidP="004514E9">
      <w:pPr>
        <w:pStyle w:val="CETReferencetext"/>
      </w:pPr>
      <w:r>
        <w:t>S</w:t>
      </w:r>
      <w:r w:rsidRPr="002B0641">
        <w:t>ánchez-Bernal R., Pita-Castañeda D. J., González-Velandia K. D., Hormaza-Verdugo J. A., 2019, Analysis of mixtures of organic solid waste used in the manufacture of non-structural ecological bricks</w:t>
      </w:r>
      <w:r>
        <w:t xml:space="preserve"> (In Spanish)</w:t>
      </w:r>
      <w:r w:rsidRPr="002B0641">
        <w:t>, Revista de Ciencias Ambientales, 53(1), 23-44.</w:t>
      </w:r>
    </w:p>
    <w:p w14:paraId="5C0C8778" w14:textId="77777777" w:rsidR="0028289F" w:rsidRDefault="0028289F" w:rsidP="004514E9">
      <w:pPr>
        <w:pStyle w:val="CETReferencetext"/>
      </w:pPr>
      <w:r w:rsidRPr="002B0641">
        <w:t xml:space="preserve">Setiyo Y., Harsojuwono B. A., Gunam I. B. W., 2020, The concentration of heavy metals in the potato tubers of the basic seed groups examined by the variation of fertilizers, pesticides and the period of cultivation, AIMS Agriculture and Food, 5(4), 882-895. </w:t>
      </w:r>
    </w:p>
    <w:p w14:paraId="67B5EB38" w14:textId="77777777" w:rsidR="0028289F" w:rsidRDefault="0028289F" w:rsidP="0021025A">
      <w:pPr>
        <w:pStyle w:val="CETReferencetext"/>
      </w:pPr>
      <w:r w:rsidRPr="00BF375A">
        <w:t>Sharma B., Vaish B., Monika, Singh U., Singh P., Singh, R.</w:t>
      </w:r>
      <w:r>
        <w:t xml:space="preserve">, </w:t>
      </w:r>
      <w:r w:rsidRPr="00BF375A">
        <w:t>2019</w:t>
      </w:r>
      <w:r>
        <w:t>,</w:t>
      </w:r>
      <w:r w:rsidRPr="00BF375A">
        <w:t xml:space="preserve"> Recycling of Organic Wastes in Agriculture: An Environmental Perspective</w:t>
      </w:r>
      <w:r>
        <w:t>,</w:t>
      </w:r>
      <w:r w:rsidRPr="00BF375A">
        <w:t xml:space="preserve"> International Journal of Environmental Research, 13(2), 409-429.</w:t>
      </w:r>
    </w:p>
    <w:p w14:paraId="490DC15F" w14:textId="77777777" w:rsidR="0028289F" w:rsidRDefault="0028289F" w:rsidP="004514E9">
      <w:pPr>
        <w:pStyle w:val="CETReferencetext"/>
      </w:pPr>
      <w:r>
        <w:t xml:space="preserve">UPV, 2016, </w:t>
      </w:r>
      <w:r w:rsidRPr="002B0641">
        <w:t xml:space="preserve">Determination of soil water-soluble organic carbon </w:t>
      </w:r>
      <w:r>
        <w:t xml:space="preserve">| | UPV (In Spanish), 2016, </w:t>
      </w:r>
      <w:r w:rsidRPr="002B0641">
        <w:t>&lt;</w:t>
      </w:r>
      <w:r>
        <w:t>www.youtube.com/watch?v=0Wh2eBUOSpo</w:t>
      </w:r>
      <w:r w:rsidRPr="006B4888">
        <w:t>&gt;</w:t>
      </w:r>
      <w:r>
        <w:t>.</w:t>
      </w:r>
    </w:p>
    <w:p w14:paraId="2FC04748" w14:textId="77777777" w:rsidR="0028289F" w:rsidRDefault="0028289F" w:rsidP="004514E9">
      <w:pPr>
        <w:pStyle w:val="CETReferencetext"/>
      </w:pPr>
      <w:r>
        <w:t xml:space="preserve">UPV, 2017, </w:t>
      </w:r>
      <w:r w:rsidRPr="002B0641">
        <w:t xml:space="preserve">Determination of total nitrogen in soils by Kjeldahl </w:t>
      </w:r>
      <w:r>
        <w:t xml:space="preserve">| | UPV (In Spanish), </w:t>
      </w:r>
      <w:r w:rsidRPr="002B0641">
        <w:t>&lt;</w:t>
      </w:r>
      <w:r>
        <w:t>www.youtube.com/watch?v=uhnOjvFJDN0</w:t>
      </w:r>
      <w:r w:rsidRPr="006B4888">
        <w:t>&gt;</w:t>
      </w:r>
      <w:r>
        <w:t>.</w:t>
      </w:r>
    </w:p>
    <w:p w14:paraId="7E7B72F7" w14:textId="77777777" w:rsidR="0028289F" w:rsidRDefault="0028289F" w:rsidP="0021025A">
      <w:pPr>
        <w:pStyle w:val="CETReferencetext"/>
      </w:pPr>
      <w:r w:rsidRPr="00BF375A">
        <w:t>Xu X., Nie S., Ding H., Hou F. F</w:t>
      </w:r>
      <w:r>
        <w:t>.,</w:t>
      </w:r>
      <w:r w:rsidRPr="00BF375A">
        <w:t xml:space="preserve"> 2018</w:t>
      </w:r>
      <w:r>
        <w:t>,</w:t>
      </w:r>
      <w:r w:rsidRPr="00BF375A">
        <w:t xml:space="preserve"> Environmental pollution and kidney diseases</w:t>
      </w:r>
      <w:r>
        <w:t>,</w:t>
      </w:r>
      <w:r w:rsidRPr="00BF375A">
        <w:t xml:space="preserve"> Nature Reviews Nephrology, 14(5), 313-324.</w:t>
      </w:r>
    </w:p>
    <w:sectPr w:rsidR="0028289F" w:rsidSect="005231F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7041" w14:textId="77777777" w:rsidR="002D19D9" w:rsidRDefault="002D19D9" w:rsidP="004F5E36">
      <w:r>
        <w:separator/>
      </w:r>
    </w:p>
  </w:endnote>
  <w:endnote w:type="continuationSeparator" w:id="0">
    <w:p w14:paraId="0C516EAB" w14:textId="77777777" w:rsidR="002D19D9" w:rsidRDefault="002D19D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A758" w14:textId="77777777" w:rsidR="002D19D9" w:rsidRDefault="002D19D9" w:rsidP="004F5E36">
      <w:r>
        <w:separator/>
      </w:r>
    </w:p>
  </w:footnote>
  <w:footnote w:type="continuationSeparator" w:id="0">
    <w:p w14:paraId="5E0E168C" w14:textId="77777777" w:rsidR="002D19D9" w:rsidRDefault="002D19D9"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4C3"/>
    <w:rsid w:val="00051566"/>
    <w:rsid w:val="000562A9"/>
    <w:rsid w:val="00062A9A"/>
    <w:rsid w:val="00065058"/>
    <w:rsid w:val="00086C39"/>
    <w:rsid w:val="000A03B2"/>
    <w:rsid w:val="000D0268"/>
    <w:rsid w:val="000D34BE"/>
    <w:rsid w:val="000E102F"/>
    <w:rsid w:val="000E2514"/>
    <w:rsid w:val="000E36F1"/>
    <w:rsid w:val="000E3A73"/>
    <w:rsid w:val="000E414A"/>
    <w:rsid w:val="000F093C"/>
    <w:rsid w:val="000F787B"/>
    <w:rsid w:val="00100B37"/>
    <w:rsid w:val="0012091F"/>
    <w:rsid w:val="00126BC2"/>
    <w:rsid w:val="001270C9"/>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65C1"/>
    <w:rsid w:val="001C684B"/>
    <w:rsid w:val="001D0CFB"/>
    <w:rsid w:val="001D21AF"/>
    <w:rsid w:val="001D53FC"/>
    <w:rsid w:val="001F42A5"/>
    <w:rsid w:val="001F6F63"/>
    <w:rsid w:val="001F7B9D"/>
    <w:rsid w:val="00201C93"/>
    <w:rsid w:val="0021025A"/>
    <w:rsid w:val="002224B4"/>
    <w:rsid w:val="002447EF"/>
    <w:rsid w:val="00247FBB"/>
    <w:rsid w:val="00251550"/>
    <w:rsid w:val="00263B05"/>
    <w:rsid w:val="0027221A"/>
    <w:rsid w:val="00275B61"/>
    <w:rsid w:val="00280FAF"/>
    <w:rsid w:val="00282656"/>
    <w:rsid w:val="0028289F"/>
    <w:rsid w:val="00296B83"/>
    <w:rsid w:val="002B0641"/>
    <w:rsid w:val="002B4015"/>
    <w:rsid w:val="002B78CE"/>
    <w:rsid w:val="002C2FB6"/>
    <w:rsid w:val="002D19D9"/>
    <w:rsid w:val="002E5FA7"/>
    <w:rsid w:val="002F3309"/>
    <w:rsid w:val="003008CE"/>
    <w:rsid w:val="003009B7"/>
    <w:rsid w:val="00300E56"/>
    <w:rsid w:val="0030152C"/>
    <w:rsid w:val="0030469C"/>
    <w:rsid w:val="00313697"/>
    <w:rsid w:val="00321CA6"/>
    <w:rsid w:val="00323763"/>
    <w:rsid w:val="00323C5F"/>
    <w:rsid w:val="00334C09"/>
    <w:rsid w:val="003723D4"/>
    <w:rsid w:val="00381905"/>
    <w:rsid w:val="00384CC8"/>
    <w:rsid w:val="003871FD"/>
    <w:rsid w:val="003A1E30"/>
    <w:rsid w:val="003A2829"/>
    <w:rsid w:val="003A4BA7"/>
    <w:rsid w:val="003A6FC6"/>
    <w:rsid w:val="003A7D1C"/>
    <w:rsid w:val="003B304B"/>
    <w:rsid w:val="003B3146"/>
    <w:rsid w:val="003F015E"/>
    <w:rsid w:val="00400414"/>
    <w:rsid w:val="0041446B"/>
    <w:rsid w:val="0044071E"/>
    <w:rsid w:val="0044329C"/>
    <w:rsid w:val="004514E9"/>
    <w:rsid w:val="00453E24"/>
    <w:rsid w:val="00457456"/>
    <w:rsid w:val="004577FE"/>
    <w:rsid w:val="00457B9C"/>
    <w:rsid w:val="0046164A"/>
    <w:rsid w:val="00462825"/>
    <w:rsid w:val="004628D2"/>
    <w:rsid w:val="00462DCD"/>
    <w:rsid w:val="004648AD"/>
    <w:rsid w:val="004703A9"/>
    <w:rsid w:val="004760DE"/>
    <w:rsid w:val="004761E9"/>
    <w:rsid w:val="004763D7"/>
    <w:rsid w:val="00495710"/>
    <w:rsid w:val="004A004E"/>
    <w:rsid w:val="004A24CF"/>
    <w:rsid w:val="004B382A"/>
    <w:rsid w:val="004C3D1D"/>
    <w:rsid w:val="004C3D84"/>
    <w:rsid w:val="004C7913"/>
    <w:rsid w:val="004E4DD6"/>
    <w:rsid w:val="004F5E36"/>
    <w:rsid w:val="00507ACF"/>
    <w:rsid w:val="00507B47"/>
    <w:rsid w:val="00507BEF"/>
    <w:rsid w:val="00507CC9"/>
    <w:rsid w:val="005119A5"/>
    <w:rsid w:val="00516AAC"/>
    <w:rsid w:val="005231FF"/>
    <w:rsid w:val="005278B7"/>
    <w:rsid w:val="00532016"/>
    <w:rsid w:val="005346C8"/>
    <w:rsid w:val="00543E7D"/>
    <w:rsid w:val="00547A68"/>
    <w:rsid w:val="005531C9"/>
    <w:rsid w:val="00556B54"/>
    <w:rsid w:val="00570C43"/>
    <w:rsid w:val="005A6AD9"/>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275BD"/>
    <w:rsid w:val="00631B33"/>
    <w:rsid w:val="00636555"/>
    <w:rsid w:val="0064184D"/>
    <w:rsid w:val="006422CC"/>
    <w:rsid w:val="0064752E"/>
    <w:rsid w:val="00660E3E"/>
    <w:rsid w:val="00662E74"/>
    <w:rsid w:val="00674F96"/>
    <w:rsid w:val="00680C23"/>
    <w:rsid w:val="00693766"/>
    <w:rsid w:val="006A23E9"/>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97C5E"/>
    <w:rsid w:val="007A4861"/>
    <w:rsid w:val="007A7BBA"/>
    <w:rsid w:val="007B0C50"/>
    <w:rsid w:val="007B48F9"/>
    <w:rsid w:val="007C1A43"/>
    <w:rsid w:val="007D0951"/>
    <w:rsid w:val="0080013E"/>
    <w:rsid w:val="00813288"/>
    <w:rsid w:val="008168FC"/>
    <w:rsid w:val="00830996"/>
    <w:rsid w:val="008345F1"/>
    <w:rsid w:val="00843EAC"/>
    <w:rsid w:val="00865B07"/>
    <w:rsid w:val="008667EA"/>
    <w:rsid w:val="0087637F"/>
    <w:rsid w:val="00892AD5"/>
    <w:rsid w:val="00895C32"/>
    <w:rsid w:val="008A1512"/>
    <w:rsid w:val="008B4A37"/>
    <w:rsid w:val="008B7A73"/>
    <w:rsid w:val="008B7C03"/>
    <w:rsid w:val="008D32B9"/>
    <w:rsid w:val="008D433B"/>
    <w:rsid w:val="008D4A16"/>
    <w:rsid w:val="008E566E"/>
    <w:rsid w:val="008E72EF"/>
    <w:rsid w:val="008F717A"/>
    <w:rsid w:val="009011F6"/>
    <w:rsid w:val="0090161A"/>
    <w:rsid w:val="00901EB6"/>
    <w:rsid w:val="00902EDA"/>
    <w:rsid w:val="00904C62"/>
    <w:rsid w:val="0092125B"/>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93B84"/>
    <w:rsid w:val="00996483"/>
    <w:rsid w:val="00996F5A"/>
    <w:rsid w:val="009B041A"/>
    <w:rsid w:val="009C37C3"/>
    <w:rsid w:val="009C7C86"/>
    <w:rsid w:val="009D2FF7"/>
    <w:rsid w:val="009E4BB7"/>
    <w:rsid w:val="009E7884"/>
    <w:rsid w:val="009E788A"/>
    <w:rsid w:val="009F0E08"/>
    <w:rsid w:val="009F57E3"/>
    <w:rsid w:val="00A1763D"/>
    <w:rsid w:val="00A17CEC"/>
    <w:rsid w:val="00A27724"/>
    <w:rsid w:val="00A27EF0"/>
    <w:rsid w:val="00A42361"/>
    <w:rsid w:val="00A42D91"/>
    <w:rsid w:val="00A50B20"/>
    <w:rsid w:val="00A51390"/>
    <w:rsid w:val="00A54D97"/>
    <w:rsid w:val="00A60D13"/>
    <w:rsid w:val="00A7223D"/>
    <w:rsid w:val="00A72745"/>
    <w:rsid w:val="00A76EFC"/>
    <w:rsid w:val="00A87D50"/>
    <w:rsid w:val="00A91010"/>
    <w:rsid w:val="00A97F29"/>
    <w:rsid w:val="00AA702E"/>
    <w:rsid w:val="00AA7D26"/>
    <w:rsid w:val="00AB015A"/>
    <w:rsid w:val="00AB0964"/>
    <w:rsid w:val="00AB5011"/>
    <w:rsid w:val="00AC7368"/>
    <w:rsid w:val="00AD16B9"/>
    <w:rsid w:val="00AE377D"/>
    <w:rsid w:val="00AF0EBA"/>
    <w:rsid w:val="00B02C8A"/>
    <w:rsid w:val="00B15EBF"/>
    <w:rsid w:val="00B15F63"/>
    <w:rsid w:val="00B17FBD"/>
    <w:rsid w:val="00B315A6"/>
    <w:rsid w:val="00B31813"/>
    <w:rsid w:val="00B33365"/>
    <w:rsid w:val="00B56728"/>
    <w:rsid w:val="00B57B36"/>
    <w:rsid w:val="00B57E6F"/>
    <w:rsid w:val="00B6145B"/>
    <w:rsid w:val="00B858C1"/>
    <w:rsid w:val="00B8686D"/>
    <w:rsid w:val="00B93F69"/>
    <w:rsid w:val="00BA2C1F"/>
    <w:rsid w:val="00BB1DDC"/>
    <w:rsid w:val="00BC30C9"/>
    <w:rsid w:val="00BC599E"/>
    <w:rsid w:val="00BD077D"/>
    <w:rsid w:val="00BE3E58"/>
    <w:rsid w:val="00BF375A"/>
    <w:rsid w:val="00C01616"/>
    <w:rsid w:val="00C0162B"/>
    <w:rsid w:val="00C0330D"/>
    <w:rsid w:val="00C068C0"/>
    <w:rsid w:val="00C068ED"/>
    <w:rsid w:val="00C22E0C"/>
    <w:rsid w:val="00C345B1"/>
    <w:rsid w:val="00C368EB"/>
    <w:rsid w:val="00C40142"/>
    <w:rsid w:val="00C4165A"/>
    <w:rsid w:val="00C52C3C"/>
    <w:rsid w:val="00C57182"/>
    <w:rsid w:val="00C57863"/>
    <w:rsid w:val="00C640AF"/>
    <w:rsid w:val="00C655FD"/>
    <w:rsid w:val="00C75407"/>
    <w:rsid w:val="00C870A8"/>
    <w:rsid w:val="00C94434"/>
    <w:rsid w:val="00CA0D4A"/>
    <w:rsid w:val="00CA0D75"/>
    <w:rsid w:val="00CA1C95"/>
    <w:rsid w:val="00CA5A9C"/>
    <w:rsid w:val="00CB2838"/>
    <w:rsid w:val="00CB40EA"/>
    <w:rsid w:val="00CC4C20"/>
    <w:rsid w:val="00CD3517"/>
    <w:rsid w:val="00CD5FE2"/>
    <w:rsid w:val="00CD772D"/>
    <w:rsid w:val="00CE7C68"/>
    <w:rsid w:val="00D02B4C"/>
    <w:rsid w:val="00D040C4"/>
    <w:rsid w:val="00D20AD1"/>
    <w:rsid w:val="00D454A4"/>
    <w:rsid w:val="00D46B7E"/>
    <w:rsid w:val="00D57C84"/>
    <w:rsid w:val="00D6057D"/>
    <w:rsid w:val="00D648EC"/>
    <w:rsid w:val="00D71640"/>
    <w:rsid w:val="00D834A8"/>
    <w:rsid w:val="00D836C5"/>
    <w:rsid w:val="00D84576"/>
    <w:rsid w:val="00DA1399"/>
    <w:rsid w:val="00DA24C6"/>
    <w:rsid w:val="00DA4D7B"/>
    <w:rsid w:val="00DB3233"/>
    <w:rsid w:val="00DC3C0C"/>
    <w:rsid w:val="00DD271C"/>
    <w:rsid w:val="00DE264A"/>
    <w:rsid w:val="00DF0FC5"/>
    <w:rsid w:val="00DF5072"/>
    <w:rsid w:val="00E02D18"/>
    <w:rsid w:val="00E033A5"/>
    <w:rsid w:val="00E041E7"/>
    <w:rsid w:val="00E23CA1"/>
    <w:rsid w:val="00E33DD7"/>
    <w:rsid w:val="00E409A8"/>
    <w:rsid w:val="00E50C12"/>
    <w:rsid w:val="00E65B91"/>
    <w:rsid w:val="00E7209D"/>
    <w:rsid w:val="00E72EAD"/>
    <w:rsid w:val="00E77223"/>
    <w:rsid w:val="00E8528B"/>
    <w:rsid w:val="00E85B94"/>
    <w:rsid w:val="00E92CC6"/>
    <w:rsid w:val="00E978D0"/>
    <w:rsid w:val="00EA1803"/>
    <w:rsid w:val="00EA4613"/>
    <w:rsid w:val="00EA7F91"/>
    <w:rsid w:val="00EB1523"/>
    <w:rsid w:val="00EC0E49"/>
    <w:rsid w:val="00EC101F"/>
    <w:rsid w:val="00EC1D9F"/>
    <w:rsid w:val="00EE0131"/>
    <w:rsid w:val="00EE17B0"/>
    <w:rsid w:val="00EF06D9"/>
    <w:rsid w:val="00F03002"/>
    <w:rsid w:val="00F3049E"/>
    <w:rsid w:val="00F30C64"/>
    <w:rsid w:val="00F32BA2"/>
    <w:rsid w:val="00F32CDB"/>
    <w:rsid w:val="00F50E2C"/>
    <w:rsid w:val="00F565FE"/>
    <w:rsid w:val="00F63A70"/>
    <w:rsid w:val="00F63D8C"/>
    <w:rsid w:val="00F7534E"/>
    <w:rsid w:val="00F9034A"/>
    <w:rsid w:val="00F93EDF"/>
    <w:rsid w:val="00FA1802"/>
    <w:rsid w:val="00FA21D0"/>
    <w:rsid w:val="00FA5F5F"/>
    <w:rsid w:val="00FB730C"/>
    <w:rsid w:val="00FC2695"/>
    <w:rsid w:val="00FC3E03"/>
    <w:rsid w:val="00FC3FC1"/>
    <w:rsid w:val="00FE5B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6145B"/>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Nmerodelnea">
    <w:name w:val="line number"/>
    <w:basedOn w:val="Fuentedeprrafopredeter"/>
    <w:uiPriority w:val="99"/>
    <w:semiHidden/>
    <w:unhideWhenUsed/>
    <w:rsid w:val="00313697"/>
  </w:style>
  <w:style w:type="character" w:customStyle="1" w:styleId="Mencinsinresolver1">
    <w:name w:val="Mención sin resolver1"/>
    <w:basedOn w:val="Fuentedeprrafopredeter"/>
    <w:uiPriority w:val="99"/>
    <w:semiHidden/>
    <w:unhideWhenUsed/>
    <w:rsid w:val="0045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8AE6-D951-4FB7-99E7-D3BEE500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3541</Words>
  <Characters>19478</Characters>
  <Application>Microsoft Office Word</Application>
  <DocSecurity>0</DocSecurity>
  <Lines>162</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Laura Sofia Ramirez Wilches</cp:lastModifiedBy>
  <cp:revision>2</cp:revision>
  <cp:lastPrinted>2015-05-12T18:31:00Z</cp:lastPrinted>
  <dcterms:created xsi:type="dcterms:W3CDTF">2024-04-03T13:02:00Z</dcterms:created>
  <dcterms:modified xsi:type="dcterms:W3CDTF">2024-04-03T13:02:00Z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