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88311A">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hu-HU" w:eastAsia="hu-HU"/>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hu-HU" w:eastAsia="hu-HU"/>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88311A">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88311A">
        <w:trPr>
          <w:trHeight w:val="68"/>
          <w:jc w:val="center"/>
        </w:trPr>
        <w:tc>
          <w:tcPr>
            <w:tcW w:w="8782" w:type="dxa"/>
            <w:gridSpan w:val="2"/>
          </w:tcPr>
          <w:p w14:paraId="1D8DD3C9" w14:textId="086598E2"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p>
          <w:p w14:paraId="1B0F1814" w14:textId="1CDEFB2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D2582C" w:rsidRPr="000562A9">
              <w:rPr>
                <w:rFonts w:ascii="Tahoma" w:hAnsi="Tahoma" w:cs="Tahoma"/>
                <w:sz w:val="14"/>
                <w:szCs w:val="14"/>
              </w:rPr>
              <w:t>97</w:t>
            </w:r>
            <w:r w:rsidR="00D2582C">
              <w:rPr>
                <w:rFonts w:ascii="Tahoma" w:hAnsi="Tahoma" w:cs="Tahoma"/>
                <w:sz w:val="14"/>
                <w:szCs w:val="14"/>
              </w:rPr>
              <w:t>9</w:t>
            </w:r>
            <w:r w:rsidR="00D2582C" w:rsidRPr="000562A9">
              <w:rPr>
                <w:rFonts w:ascii="Tahoma" w:hAnsi="Tahoma" w:cs="Tahoma"/>
                <w:sz w:val="14"/>
                <w:szCs w:val="14"/>
              </w:rPr>
              <w:t>-</w:t>
            </w:r>
            <w:r w:rsidR="00D2582C">
              <w:rPr>
                <w:rFonts w:ascii="Tahoma" w:hAnsi="Tahoma" w:cs="Tahoma"/>
                <w:sz w:val="14"/>
                <w:szCs w:val="14"/>
              </w:rPr>
              <w:t>12</w:t>
            </w:r>
            <w:r w:rsidR="00D2582C" w:rsidRPr="000562A9">
              <w:rPr>
                <w:rFonts w:ascii="Tahoma" w:hAnsi="Tahoma" w:cs="Tahoma"/>
                <w:sz w:val="14"/>
                <w:szCs w:val="14"/>
              </w:rPr>
              <w:t>-</w:t>
            </w:r>
            <w:r w:rsidR="00D2582C">
              <w:rPr>
                <w:rFonts w:ascii="Tahoma" w:hAnsi="Tahoma" w:cs="Tahoma"/>
                <w:sz w:val="14"/>
                <w:szCs w:val="14"/>
              </w:rPr>
              <w:t>81206-</w:t>
            </w:r>
            <w:r w:rsidR="00557E00">
              <w:rPr>
                <w:rFonts w:ascii="Tahoma" w:hAnsi="Tahoma" w:cs="Tahoma"/>
                <w:sz w:val="14"/>
                <w:szCs w:val="14"/>
              </w:rPr>
              <w:t>XX</w:t>
            </w:r>
            <w:r w:rsidR="00D2582C">
              <w:rPr>
                <w:rFonts w:ascii="Tahoma" w:hAnsi="Tahoma" w:cs="Tahoma"/>
                <w:sz w:val="14"/>
                <w:szCs w:val="14"/>
              </w:rPr>
              <w:t>-</w:t>
            </w:r>
            <w:r w:rsidR="00557E00">
              <w:rPr>
                <w:rFonts w:ascii="Tahoma" w:hAnsi="Tahoma" w:cs="Tahoma"/>
                <w:sz w:val="14"/>
                <w:szCs w:val="14"/>
              </w:rPr>
              <w:t>X</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352FE471" w:rsidR="00E978D0" w:rsidRPr="00B57B36" w:rsidRDefault="0088311A" w:rsidP="00E978D0">
      <w:pPr>
        <w:pStyle w:val="CETTitle"/>
      </w:pPr>
      <w:r w:rsidRPr="0088311A">
        <w:t xml:space="preserve">Investigation of vegetable oil-based </w:t>
      </w:r>
      <w:proofErr w:type="spellStart"/>
      <w:r w:rsidRPr="0088311A">
        <w:t>nonionic</w:t>
      </w:r>
      <w:proofErr w:type="spellEnd"/>
      <w:r w:rsidRPr="0088311A">
        <w:t xml:space="preserve"> surfactants for the petroleum industry</w:t>
      </w:r>
    </w:p>
    <w:p w14:paraId="67F91FB4" w14:textId="77777777" w:rsidR="0088311A" w:rsidRPr="00472B1A" w:rsidRDefault="0088311A" w:rsidP="0088311A">
      <w:pPr>
        <w:pStyle w:val="CETAuthors"/>
      </w:pPr>
      <w:r>
        <w:t>Máté Hartyányi</w:t>
      </w:r>
      <w:r w:rsidRPr="00B57B36">
        <w:rPr>
          <w:vertAlign w:val="superscript"/>
        </w:rPr>
        <w:t>a</w:t>
      </w:r>
      <w:r>
        <w:rPr>
          <w:vertAlign w:val="superscript"/>
        </w:rPr>
        <w:t>,</w:t>
      </w:r>
      <w:r>
        <w:t>*</w:t>
      </w:r>
      <w:r w:rsidRPr="00B57B36">
        <w:t xml:space="preserve">, </w:t>
      </w:r>
      <w:r>
        <w:t>Roland Nagy</w:t>
      </w:r>
      <w:r>
        <w:rPr>
          <w:vertAlign w:val="superscript"/>
        </w:rPr>
        <w:t>a</w:t>
      </w:r>
      <w:r w:rsidRPr="00B57B36">
        <w:t xml:space="preserve">, </w:t>
      </w:r>
      <w:r>
        <w:t>László Bartha</w:t>
      </w:r>
      <w:r>
        <w:rPr>
          <w:vertAlign w:val="superscript"/>
        </w:rPr>
        <w:t>a</w:t>
      </w:r>
      <w:r>
        <w:t>, Sándor Puskás</w:t>
      </w:r>
      <w:r>
        <w:rPr>
          <w:vertAlign w:val="superscript"/>
        </w:rPr>
        <w:t>b</w:t>
      </w:r>
    </w:p>
    <w:p w14:paraId="5B4219C0" w14:textId="77777777" w:rsidR="0088311A" w:rsidRPr="00B57B36" w:rsidRDefault="0088311A" w:rsidP="0088311A">
      <w:pPr>
        <w:pStyle w:val="CETAddress"/>
      </w:pPr>
      <w:r w:rsidRPr="00B57B36">
        <w:rPr>
          <w:vertAlign w:val="superscript"/>
        </w:rPr>
        <w:t>a</w:t>
      </w:r>
      <w:r w:rsidRPr="00472B1A">
        <w:t>Department of MOL Hydrocarbon and Coal Processing, University of Pannonia, H-8200 Veszprém, Hungary</w:t>
      </w:r>
    </w:p>
    <w:p w14:paraId="11E2C108" w14:textId="77777777" w:rsidR="0088311A" w:rsidRPr="00B57B36" w:rsidRDefault="0088311A" w:rsidP="0088311A">
      <w:pPr>
        <w:pStyle w:val="CETAddress"/>
      </w:pPr>
      <w:r w:rsidRPr="00B57B36">
        <w:rPr>
          <w:vertAlign w:val="superscript"/>
        </w:rPr>
        <w:t>b</w:t>
      </w:r>
      <w:r w:rsidRPr="00472B1A">
        <w:t>Oilfield Chemicals and Technologies, MOL Plc, H-6701 Szeged, Hungary</w:t>
      </w:r>
    </w:p>
    <w:p w14:paraId="4314010F" w14:textId="77777777" w:rsidR="0088311A" w:rsidRPr="00B57B36" w:rsidRDefault="0088311A" w:rsidP="0088311A">
      <w:pPr>
        <w:pStyle w:val="CETemail"/>
      </w:pPr>
      <w:r>
        <w:t>*hartyanyi.mate@mk.uni-pannon.hu</w:t>
      </w:r>
    </w:p>
    <w:p w14:paraId="258BAADF" w14:textId="25EEA0CA" w:rsidR="00EE7D22" w:rsidRPr="00EE7D22" w:rsidRDefault="00EE7D22" w:rsidP="00EE7D22">
      <w:pPr>
        <w:pStyle w:val="CETBodytext"/>
        <w:rPr>
          <w:lang w:val="en-GB"/>
        </w:rPr>
      </w:pPr>
      <w:r w:rsidRPr="00EE7D22">
        <w:rPr>
          <w:lang w:val="en-GB"/>
        </w:rPr>
        <w:t xml:space="preserve">Nowadays, surfactants find extensive use across various industries owing to their versatile and beneficial characteristics, serving as detergents, wetting agents, emulsifiers, foaming or dispersing agents, spanning from the food and cosmetics industries to heavy industry. </w:t>
      </w:r>
      <w:r w:rsidR="000A7242" w:rsidRPr="00EE7D22">
        <w:rPr>
          <w:lang w:val="en-GB"/>
        </w:rPr>
        <w:t>Non-ionic</w:t>
      </w:r>
      <w:r w:rsidRPr="00EE7D22">
        <w:rPr>
          <w:lang w:val="en-GB"/>
        </w:rPr>
        <w:t xml:space="preserve"> surfactants constitute one of the most diverse groups within this domain. Within the realm of surfactants, factors such as application efficiency, environmental friendliness, and sustainability are increasingly significant. To enhance these properties, utilizing natural and recycled raw materials presents a viable solution, particularly surfactants derived from vegetable and animal oils and fats or their derivatives, which constitute a significant portion of the market.</w:t>
      </w:r>
    </w:p>
    <w:p w14:paraId="44618BD6" w14:textId="08678B8E" w:rsidR="00EE7D22" w:rsidRPr="00EE7D22" w:rsidRDefault="00EE7D22" w:rsidP="00EE7D22">
      <w:pPr>
        <w:pStyle w:val="CETBodytext"/>
        <w:rPr>
          <w:lang w:val="en-GB"/>
        </w:rPr>
      </w:pPr>
      <w:r w:rsidRPr="00EE7D22">
        <w:rPr>
          <w:lang w:val="en-GB"/>
        </w:rPr>
        <w:t xml:space="preserve">The primary objective was to synthesize </w:t>
      </w:r>
      <w:r w:rsidR="000A7242" w:rsidRPr="00EE7D22">
        <w:rPr>
          <w:lang w:val="en-GB"/>
        </w:rPr>
        <w:t>non-ionic</w:t>
      </w:r>
      <w:r w:rsidRPr="00EE7D22">
        <w:rPr>
          <w:lang w:val="en-GB"/>
        </w:rPr>
        <w:t xml:space="preserve"> surfactants using natural vegetable oil and recycled vegetable oil. The physicochemical properties of the produced nonionic surfactants were determined through analytical testing, along with assessing their applicability using impact assessment methods. The study compared results and drew conclusions regarding the correlation between the properties of the raw materials and those of the final products.</w:t>
      </w:r>
    </w:p>
    <w:p w14:paraId="476B2F2E" w14:textId="1A716D54" w:rsidR="00600535" w:rsidRDefault="00600535" w:rsidP="00600535">
      <w:pPr>
        <w:pStyle w:val="CETHeading1"/>
        <w:rPr>
          <w:lang w:val="en-GB"/>
        </w:rPr>
      </w:pPr>
      <w:r w:rsidRPr="00B57B36">
        <w:rPr>
          <w:lang w:val="en-GB"/>
        </w:rPr>
        <w:t>Introduction</w:t>
      </w:r>
    </w:p>
    <w:p w14:paraId="2572B0FC" w14:textId="77777777" w:rsidR="008E060F" w:rsidRPr="008E060F" w:rsidRDefault="008E060F" w:rsidP="008E060F">
      <w:pPr>
        <w:pStyle w:val="CETBodytext"/>
        <w:rPr>
          <w:lang w:val="en-GB"/>
        </w:rPr>
      </w:pPr>
      <w:r w:rsidRPr="008E060F">
        <w:rPr>
          <w:lang w:val="en-GB"/>
        </w:rPr>
        <w:t>Surfactants, also known as surface-active agents, are substances added to liquids to enhance their dispersal properties by lowering the liquid's surface tension. Their capacity to reduce tension arises from their amphipathic molecular structure, characterized by a hydrophilic group and a hydrophobic group (</w:t>
      </w:r>
      <w:proofErr w:type="spellStart"/>
      <w:r w:rsidRPr="008E060F">
        <w:rPr>
          <w:lang w:val="en-GB"/>
        </w:rPr>
        <w:t>Aryanti</w:t>
      </w:r>
      <w:proofErr w:type="spellEnd"/>
      <w:r w:rsidRPr="008E060F">
        <w:rPr>
          <w:lang w:val="en-GB"/>
        </w:rPr>
        <w:t xml:space="preserve"> et al., 2021). Surfactants create stable emulsions and are found in formulations for food, pharmaceuticals, petroleum compounds, cosmetics, water and soil remediation, textiles, and various other processes (</w:t>
      </w:r>
      <w:proofErr w:type="spellStart"/>
      <w:r w:rsidRPr="008E060F">
        <w:rPr>
          <w:lang w:val="en-GB"/>
        </w:rPr>
        <w:t>Secato</w:t>
      </w:r>
      <w:proofErr w:type="spellEnd"/>
      <w:r w:rsidRPr="008E060F">
        <w:rPr>
          <w:lang w:val="en-GB"/>
        </w:rPr>
        <w:t xml:space="preserve"> et al., 2016).</w:t>
      </w:r>
    </w:p>
    <w:p w14:paraId="6213C8C8" w14:textId="3741CD0A" w:rsidR="008E060F" w:rsidRPr="008E060F" w:rsidRDefault="008E060F" w:rsidP="008E060F">
      <w:pPr>
        <w:pStyle w:val="CETBodytext"/>
        <w:rPr>
          <w:lang w:val="en-GB"/>
        </w:rPr>
      </w:pPr>
      <w:r w:rsidRPr="008E060F">
        <w:rPr>
          <w:lang w:val="en-GB"/>
        </w:rPr>
        <w:t xml:space="preserve">These molecules are classified based on the nature of the hydrophilic head group, including </w:t>
      </w:r>
      <w:r w:rsidRPr="008E060F">
        <w:rPr>
          <w:lang w:val="en-GB"/>
        </w:rPr>
        <w:t>anionic</w:t>
      </w:r>
      <w:r w:rsidRPr="008E060F">
        <w:rPr>
          <w:lang w:val="en-GB"/>
        </w:rPr>
        <w:t xml:space="preserve"> (negative charge), </w:t>
      </w:r>
      <w:r w:rsidRPr="008E060F">
        <w:rPr>
          <w:lang w:val="en-GB"/>
        </w:rPr>
        <w:t>cationic</w:t>
      </w:r>
      <w:r w:rsidRPr="008E060F">
        <w:rPr>
          <w:lang w:val="en-GB"/>
        </w:rPr>
        <w:t xml:space="preserve"> (positive charge), </w:t>
      </w:r>
      <w:r w:rsidRPr="008E060F">
        <w:rPr>
          <w:lang w:val="en-GB"/>
        </w:rPr>
        <w:t>non-ionic</w:t>
      </w:r>
      <w:r w:rsidRPr="008E060F">
        <w:rPr>
          <w:lang w:val="en-GB"/>
        </w:rPr>
        <w:t xml:space="preserve"> (no charge), and </w:t>
      </w:r>
      <w:proofErr w:type="spellStart"/>
      <w:r w:rsidRPr="008E060F">
        <w:rPr>
          <w:lang w:val="en-GB"/>
        </w:rPr>
        <w:t>zwitterionics</w:t>
      </w:r>
      <w:proofErr w:type="spellEnd"/>
      <w:r w:rsidRPr="008E060F">
        <w:rPr>
          <w:lang w:val="en-GB"/>
        </w:rPr>
        <w:t xml:space="preserve"> (both negative and positive charge) (</w:t>
      </w:r>
      <w:proofErr w:type="spellStart"/>
      <w:r w:rsidRPr="008E060F">
        <w:rPr>
          <w:lang w:val="en-GB"/>
        </w:rPr>
        <w:t>Belhaj</w:t>
      </w:r>
      <w:proofErr w:type="spellEnd"/>
      <w:r w:rsidRPr="008E060F">
        <w:rPr>
          <w:lang w:val="en-GB"/>
        </w:rPr>
        <w:t xml:space="preserve"> et al., 2020).</w:t>
      </w:r>
    </w:p>
    <w:p w14:paraId="2D6299C3" w14:textId="5A14163C" w:rsidR="008E060F" w:rsidRPr="008E060F" w:rsidRDefault="008E060F" w:rsidP="008E060F">
      <w:pPr>
        <w:pStyle w:val="CETBodytext"/>
        <w:rPr>
          <w:lang w:val="en-GB"/>
        </w:rPr>
      </w:pPr>
      <w:proofErr w:type="spellStart"/>
      <w:r w:rsidRPr="008E060F">
        <w:rPr>
          <w:lang w:val="en-GB"/>
        </w:rPr>
        <w:t>Ethanolamides</w:t>
      </w:r>
      <w:proofErr w:type="spellEnd"/>
      <w:r w:rsidRPr="008E060F">
        <w:rPr>
          <w:lang w:val="en-GB"/>
        </w:rPr>
        <w:t xml:space="preserve"> of fatty acids (FA) represent a significant category of nitrogen-containing </w:t>
      </w:r>
      <w:r w:rsidRPr="008E060F">
        <w:rPr>
          <w:lang w:val="en-GB"/>
        </w:rPr>
        <w:t>non-ionic</w:t>
      </w:r>
      <w:r w:rsidRPr="008E060F">
        <w:rPr>
          <w:lang w:val="en-GB"/>
        </w:rPr>
        <w:t xml:space="preserve"> surfactants. They find extensive use in detergents, cosmetics, wetting agents, dispersants, and more (</w:t>
      </w:r>
      <w:proofErr w:type="spellStart"/>
      <w:r w:rsidRPr="008E060F">
        <w:rPr>
          <w:lang w:val="en-GB"/>
        </w:rPr>
        <w:t>Mäki-Arvela</w:t>
      </w:r>
      <w:proofErr w:type="spellEnd"/>
      <w:r w:rsidRPr="008E060F">
        <w:rPr>
          <w:lang w:val="en-GB"/>
        </w:rPr>
        <w:t xml:space="preserve"> et al., 2016). Additionally, </w:t>
      </w:r>
      <w:proofErr w:type="spellStart"/>
      <w:r w:rsidRPr="008E060F">
        <w:rPr>
          <w:lang w:val="en-GB"/>
        </w:rPr>
        <w:t>ethanolamides</w:t>
      </w:r>
      <w:proofErr w:type="spellEnd"/>
      <w:r w:rsidRPr="008E060F">
        <w:rPr>
          <w:lang w:val="en-GB"/>
        </w:rPr>
        <w:t xml:space="preserve"> serve as raw materials for other surfactant classes, such as </w:t>
      </w:r>
      <w:proofErr w:type="spellStart"/>
      <w:r w:rsidRPr="008E060F">
        <w:rPr>
          <w:lang w:val="en-GB"/>
        </w:rPr>
        <w:t>oxyethylated</w:t>
      </w:r>
      <w:proofErr w:type="spellEnd"/>
      <w:r w:rsidRPr="008E060F">
        <w:rPr>
          <w:lang w:val="en-GB"/>
        </w:rPr>
        <w:t xml:space="preserve"> </w:t>
      </w:r>
      <w:proofErr w:type="spellStart"/>
      <w:r w:rsidRPr="008E060F">
        <w:rPr>
          <w:lang w:val="en-GB"/>
        </w:rPr>
        <w:t>ethanolamides</w:t>
      </w:r>
      <w:proofErr w:type="spellEnd"/>
      <w:r w:rsidRPr="008E060F">
        <w:rPr>
          <w:lang w:val="en-GB"/>
        </w:rPr>
        <w:t xml:space="preserve"> (Ahmad, 2017).</w:t>
      </w:r>
    </w:p>
    <w:p w14:paraId="491F168D" w14:textId="77777777" w:rsidR="008E060F" w:rsidRPr="008E060F" w:rsidRDefault="008E060F" w:rsidP="008E060F">
      <w:pPr>
        <w:pStyle w:val="CETBodytext"/>
        <w:rPr>
          <w:lang w:val="en-GB"/>
        </w:rPr>
      </w:pPr>
      <w:r w:rsidRPr="008E060F">
        <w:rPr>
          <w:lang w:val="en-GB"/>
        </w:rPr>
        <w:t xml:space="preserve">There is growing interest in </w:t>
      </w:r>
      <w:proofErr w:type="spellStart"/>
      <w:r w:rsidRPr="008E060F">
        <w:rPr>
          <w:lang w:val="en-GB"/>
        </w:rPr>
        <w:t>ethanolamides</w:t>
      </w:r>
      <w:proofErr w:type="spellEnd"/>
      <w:r w:rsidRPr="008E060F">
        <w:rPr>
          <w:lang w:val="en-GB"/>
        </w:rPr>
        <w:t xml:space="preserve"> of FA containing 16–22 carbon atoms. These products are soluble in oil, possess low Hydrophilic-Lipophilic Balance (HLB) values (2–3 units), and are effective emulsifiers for water-in-oil emulsions, widely used in oil and gas production (</w:t>
      </w:r>
      <w:proofErr w:type="spellStart"/>
      <w:r w:rsidRPr="008E060F">
        <w:rPr>
          <w:lang w:val="en-GB"/>
        </w:rPr>
        <w:t>Ibragimov</w:t>
      </w:r>
      <w:proofErr w:type="spellEnd"/>
      <w:r w:rsidRPr="008E060F">
        <w:rPr>
          <w:lang w:val="en-GB"/>
        </w:rPr>
        <w:t xml:space="preserve"> et al., 2017). The primary methods for preparing </w:t>
      </w:r>
      <w:proofErr w:type="spellStart"/>
      <w:r w:rsidRPr="008E060F">
        <w:rPr>
          <w:lang w:val="en-GB"/>
        </w:rPr>
        <w:t>ethanolamides</w:t>
      </w:r>
      <w:proofErr w:type="spellEnd"/>
      <w:r w:rsidRPr="008E060F">
        <w:rPr>
          <w:lang w:val="en-GB"/>
        </w:rPr>
        <w:t xml:space="preserve"> involve </w:t>
      </w:r>
      <w:proofErr w:type="spellStart"/>
      <w:r w:rsidRPr="008E060F">
        <w:rPr>
          <w:lang w:val="en-GB"/>
        </w:rPr>
        <w:t>aminolysis</w:t>
      </w:r>
      <w:proofErr w:type="spellEnd"/>
      <w:r w:rsidRPr="008E060F">
        <w:rPr>
          <w:lang w:val="en-GB"/>
        </w:rPr>
        <w:t xml:space="preserve"> of FA esters and direct </w:t>
      </w:r>
      <w:proofErr w:type="spellStart"/>
      <w:r w:rsidRPr="008E060F">
        <w:rPr>
          <w:lang w:val="en-GB"/>
        </w:rPr>
        <w:t>amidation</w:t>
      </w:r>
      <w:proofErr w:type="spellEnd"/>
      <w:r w:rsidRPr="008E060F">
        <w:rPr>
          <w:lang w:val="en-GB"/>
        </w:rPr>
        <w:t xml:space="preserve"> of FA with </w:t>
      </w:r>
      <w:proofErr w:type="spellStart"/>
      <w:r w:rsidRPr="008E060F">
        <w:rPr>
          <w:lang w:val="en-GB"/>
        </w:rPr>
        <w:t>ethanolamines</w:t>
      </w:r>
      <w:proofErr w:type="spellEnd"/>
      <w:r w:rsidRPr="008E060F">
        <w:rPr>
          <w:lang w:val="en-GB"/>
        </w:rPr>
        <w:t>.</w:t>
      </w:r>
    </w:p>
    <w:p w14:paraId="48EDC55F" w14:textId="77777777" w:rsidR="008E060F" w:rsidRPr="008E060F" w:rsidRDefault="008E060F" w:rsidP="008E060F">
      <w:pPr>
        <w:pStyle w:val="CETBodytext"/>
        <w:rPr>
          <w:lang w:val="en-GB"/>
        </w:rPr>
      </w:pPr>
      <w:r w:rsidRPr="008E060F">
        <w:rPr>
          <w:lang w:val="en-GB"/>
        </w:rPr>
        <w:t xml:space="preserve">The direct </w:t>
      </w:r>
      <w:proofErr w:type="spellStart"/>
      <w:r w:rsidRPr="008E060F">
        <w:rPr>
          <w:lang w:val="en-GB"/>
        </w:rPr>
        <w:t>amidation</w:t>
      </w:r>
      <w:proofErr w:type="spellEnd"/>
      <w:r w:rsidRPr="008E060F">
        <w:rPr>
          <w:lang w:val="en-GB"/>
        </w:rPr>
        <w:t xml:space="preserve"> of fatty acids (FA) with </w:t>
      </w:r>
      <w:proofErr w:type="spellStart"/>
      <w:r w:rsidRPr="008E060F">
        <w:rPr>
          <w:lang w:val="en-GB"/>
        </w:rPr>
        <w:t>ethanolamines</w:t>
      </w:r>
      <w:proofErr w:type="spellEnd"/>
      <w:r w:rsidRPr="008E060F">
        <w:rPr>
          <w:lang w:val="en-GB"/>
        </w:rPr>
        <w:t xml:space="preserve"> is a crucial industrial method for producing </w:t>
      </w:r>
      <w:proofErr w:type="spellStart"/>
      <w:r w:rsidRPr="008E060F">
        <w:rPr>
          <w:lang w:val="en-GB"/>
        </w:rPr>
        <w:t>ethanolamides</w:t>
      </w:r>
      <w:proofErr w:type="spellEnd"/>
      <w:r w:rsidRPr="008E060F">
        <w:rPr>
          <w:lang w:val="en-GB"/>
        </w:rPr>
        <w:t>. The process involves cyclic heating of a mixture of FA with the corresponding ethanolamine at temperatures ranging from 150 to 180°C. Continuous water removal is essential, achieved through evaporation or by lowering pressure with inert gas bubbling or an azeotropic agent (</w:t>
      </w:r>
      <w:proofErr w:type="spellStart"/>
      <w:r w:rsidRPr="008E060F">
        <w:rPr>
          <w:lang w:val="en-GB"/>
        </w:rPr>
        <w:t>Yanovsky</w:t>
      </w:r>
      <w:proofErr w:type="spellEnd"/>
      <w:r w:rsidRPr="008E060F">
        <w:rPr>
          <w:lang w:val="en-GB"/>
        </w:rPr>
        <w:t xml:space="preserve"> et al., 2013).</w:t>
      </w:r>
    </w:p>
    <w:p w14:paraId="41CBD411" w14:textId="7AC18953" w:rsidR="008E060F" w:rsidRPr="008E060F" w:rsidRDefault="008E060F" w:rsidP="008E060F">
      <w:pPr>
        <w:pStyle w:val="CETBodytext"/>
        <w:rPr>
          <w:lang w:val="en-GB"/>
        </w:rPr>
      </w:pPr>
      <w:r w:rsidRPr="008E060F">
        <w:rPr>
          <w:lang w:val="en-GB"/>
        </w:rPr>
        <w:t xml:space="preserve">Synthesis time selection often lacks rigorous theoretical justification, commonly assessed by residual acid value or water released, particularly for </w:t>
      </w:r>
      <w:proofErr w:type="spellStart"/>
      <w:r w:rsidRPr="008E060F">
        <w:rPr>
          <w:lang w:val="en-GB"/>
        </w:rPr>
        <w:t>diethanolamides</w:t>
      </w:r>
      <w:proofErr w:type="spellEnd"/>
      <w:r w:rsidRPr="008E060F">
        <w:rPr>
          <w:lang w:val="en-GB"/>
        </w:rPr>
        <w:t xml:space="preserve">. The reaction of FA and </w:t>
      </w:r>
      <w:proofErr w:type="spellStart"/>
      <w:r w:rsidRPr="008E060F">
        <w:rPr>
          <w:lang w:val="en-GB"/>
        </w:rPr>
        <w:t>monoethanolamine</w:t>
      </w:r>
      <w:proofErr w:type="spellEnd"/>
      <w:r w:rsidRPr="008E060F">
        <w:rPr>
          <w:lang w:val="en-GB"/>
        </w:rPr>
        <w:t xml:space="preserve"> results in an equilibrium mixture of amide, ester, and </w:t>
      </w:r>
      <w:proofErr w:type="spellStart"/>
      <w:r w:rsidRPr="008E060F">
        <w:rPr>
          <w:lang w:val="en-GB"/>
        </w:rPr>
        <w:t>amido</w:t>
      </w:r>
      <w:proofErr w:type="spellEnd"/>
      <w:r w:rsidRPr="008E060F">
        <w:rPr>
          <w:lang w:val="en-GB"/>
        </w:rPr>
        <w:t xml:space="preserve"> ester. Compared to </w:t>
      </w:r>
      <w:proofErr w:type="spellStart"/>
      <w:r w:rsidRPr="008E060F">
        <w:rPr>
          <w:lang w:val="en-GB"/>
        </w:rPr>
        <w:t>monoethanolamines</w:t>
      </w:r>
      <w:proofErr w:type="spellEnd"/>
      <w:r w:rsidRPr="008E060F">
        <w:rPr>
          <w:lang w:val="en-GB"/>
        </w:rPr>
        <w:t xml:space="preserve">, </w:t>
      </w:r>
      <w:proofErr w:type="spellStart"/>
      <w:r w:rsidRPr="008E060F">
        <w:rPr>
          <w:lang w:val="en-GB"/>
        </w:rPr>
        <w:t>diethanolamine</w:t>
      </w:r>
      <w:proofErr w:type="spellEnd"/>
      <w:r w:rsidRPr="008E060F">
        <w:rPr>
          <w:lang w:val="en-GB"/>
        </w:rPr>
        <w:t xml:space="preserve"> </w:t>
      </w:r>
      <w:proofErr w:type="spellStart"/>
      <w:r w:rsidRPr="008E060F">
        <w:rPr>
          <w:lang w:val="en-GB"/>
        </w:rPr>
        <w:lastRenderedPageBreak/>
        <w:t>amidation</w:t>
      </w:r>
      <w:proofErr w:type="spellEnd"/>
      <w:r w:rsidRPr="008E060F">
        <w:rPr>
          <w:lang w:val="en-GB"/>
        </w:rPr>
        <w:t xml:space="preserve"> (DEA) is a more complex process, involving secondary and tertiary reactions. Certain side reactions are irreversible (</w:t>
      </w:r>
      <w:proofErr w:type="spellStart"/>
      <w:r w:rsidRPr="008E060F">
        <w:rPr>
          <w:lang w:val="en-GB"/>
        </w:rPr>
        <w:t>Yanovsky</w:t>
      </w:r>
      <w:proofErr w:type="spellEnd"/>
      <w:r w:rsidRPr="008E060F">
        <w:rPr>
          <w:lang w:val="en-GB"/>
        </w:rPr>
        <w:t xml:space="preserve"> et al., 2018).</w:t>
      </w:r>
      <w:r>
        <w:rPr>
          <w:lang w:val="en-GB"/>
        </w:rPr>
        <w:t xml:space="preserve"> </w:t>
      </w:r>
      <w:r>
        <w:t xml:space="preserve">The main reactions of fatty acids with </w:t>
      </w:r>
      <w:proofErr w:type="spellStart"/>
      <w:r>
        <w:t>diethanolamie</w:t>
      </w:r>
      <w:proofErr w:type="spellEnd"/>
      <w:r>
        <w:t xml:space="preserve"> shown in Figure 1.</w:t>
      </w:r>
    </w:p>
    <w:p w14:paraId="617EE3B2" w14:textId="57BA7981" w:rsidR="00653900" w:rsidRDefault="00180989" w:rsidP="00EC60B2">
      <w:pPr>
        <w:pStyle w:val="CETBodytext"/>
        <w:rPr>
          <w:lang w:val="en-GB"/>
        </w:rPr>
      </w:pPr>
      <w:r>
        <w:rPr>
          <w:noProof/>
          <w:lang w:val="en-GB"/>
        </w:rPr>
        <w:drawing>
          <wp:inline distT="0" distB="0" distL="0" distR="0" wp14:anchorId="07BD903C" wp14:editId="2FBFDA51">
            <wp:extent cx="5631815" cy="1802579"/>
            <wp:effectExtent l="0" t="0" r="6985" b="762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0652" cy="1834214"/>
                    </a:xfrm>
                    <a:prstGeom prst="rect">
                      <a:avLst/>
                    </a:prstGeom>
                    <a:noFill/>
                  </pic:spPr>
                </pic:pic>
              </a:graphicData>
            </a:graphic>
          </wp:inline>
        </w:drawing>
      </w:r>
    </w:p>
    <w:p w14:paraId="58A006D1" w14:textId="35D80721" w:rsidR="00F31D79" w:rsidRPr="00BD077D" w:rsidRDefault="00F31D79" w:rsidP="00F31D79">
      <w:pPr>
        <w:pStyle w:val="CETCaption"/>
      </w:pPr>
      <w:r w:rsidRPr="00BD077D">
        <w:rPr>
          <w:rStyle w:val="CETCaptionCarattere"/>
          <w:i/>
        </w:rPr>
        <w:t xml:space="preserve">Figure 1: </w:t>
      </w:r>
      <w:r>
        <w:rPr>
          <w:rStyle w:val="CETCaptionCarattere"/>
          <w:i/>
        </w:rPr>
        <w:t>Main reactions of</w:t>
      </w:r>
      <w:r w:rsidRPr="00BD077D">
        <w:t xml:space="preserve"> </w:t>
      </w:r>
      <w:r>
        <w:t xml:space="preserve">fatty acids with </w:t>
      </w:r>
      <w:proofErr w:type="spellStart"/>
      <w:r>
        <w:t>diethanolamie</w:t>
      </w:r>
      <w:proofErr w:type="spellEnd"/>
      <w:r>
        <w:t xml:space="preserve"> </w:t>
      </w:r>
      <w:r w:rsidRPr="009E6F98">
        <w:t>(</w:t>
      </w:r>
      <w:proofErr w:type="spellStart"/>
      <w:r w:rsidRPr="009E6F98">
        <w:t>Yanovsky</w:t>
      </w:r>
      <w:proofErr w:type="spellEnd"/>
      <w:r w:rsidRPr="009E6F98">
        <w:t xml:space="preserve"> et al. 2018)</w:t>
      </w:r>
    </w:p>
    <w:p w14:paraId="2DA71100" w14:textId="77777777" w:rsidR="008E060F" w:rsidRPr="008E060F" w:rsidRDefault="008E060F" w:rsidP="008E060F">
      <w:pPr>
        <w:pStyle w:val="CETBodytext"/>
        <w:rPr>
          <w:lang w:val="en-GB"/>
        </w:rPr>
      </w:pPr>
      <w:r w:rsidRPr="008E060F">
        <w:rPr>
          <w:lang w:val="en-GB"/>
        </w:rPr>
        <w:t xml:space="preserve">In our work, the aim was to synthesize surfactants using five different fatty acids and </w:t>
      </w:r>
      <w:proofErr w:type="spellStart"/>
      <w:r w:rsidRPr="008E060F">
        <w:rPr>
          <w:lang w:val="en-GB"/>
        </w:rPr>
        <w:t>diethanolamine</w:t>
      </w:r>
      <w:proofErr w:type="spellEnd"/>
      <w:r w:rsidRPr="008E060F">
        <w:rPr>
          <w:lang w:val="en-GB"/>
        </w:rPr>
        <w:t xml:space="preserve"> under identical reaction conditions. Another goal was to investigate the physical and physicochemical properties of the synthesized reaction products. Additionally, we aimed to examine the relationship between specific properties and chemical structure.</w:t>
      </w:r>
    </w:p>
    <w:p w14:paraId="5741900F" w14:textId="5D631C74" w:rsidR="00453E24" w:rsidRDefault="0088311A" w:rsidP="00453E24">
      <w:pPr>
        <w:pStyle w:val="CETHeading1"/>
      </w:pPr>
      <w:r>
        <w:t>Materials</w:t>
      </w:r>
    </w:p>
    <w:p w14:paraId="03F33C3D" w14:textId="5CBB062C" w:rsidR="00B17997" w:rsidRDefault="00B17997" w:rsidP="005207B4">
      <w:pPr>
        <w:pStyle w:val="CETBodytext"/>
        <w:rPr>
          <w:lang w:val="en-GB"/>
        </w:rPr>
      </w:pPr>
      <w:r w:rsidRPr="005207B4">
        <w:rPr>
          <w:lang w:val="en-GB"/>
        </w:rPr>
        <w:t xml:space="preserve">Various unique fatty acids were </w:t>
      </w:r>
      <w:r w:rsidR="005207B4">
        <w:rPr>
          <w:lang w:val="en-GB"/>
        </w:rPr>
        <w:t>used</w:t>
      </w:r>
      <w:r w:rsidRPr="005207B4">
        <w:rPr>
          <w:lang w:val="en-GB"/>
        </w:rPr>
        <w:t xml:space="preserve"> for the synthesis of </w:t>
      </w:r>
      <w:r w:rsidR="005207B4">
        <w:rPr>
          <w:lang w:val="en-GB"/>
        </w:rPr>
        <w:t>surfactants</w:t>
      </w:r>
      <w:r w:rsidRPr="005207B4">
        <w:rPr>
          <w:lang w:val="en-GB"/>
        </w:rPr>
        <w:t xml:space="preserve"> to create the hydrophobic tail, while for the </w:t>
      </w:r>
      <w:r w:rsidR="005207B4">
        <w:rPr>
          <w:lang w:val="en-GB"/>
        </w:rPr>
        <w:t>ensure</w:t>
      </w:r>
      <w:r w:rsidRPr="005207B4">
        <w:rPr>
          <w:lang w:val="en-GB"/>
        </w:rPr>
        <w:t xml:space="preserve"> of water-soluble properties, </w:t>
      </w:r>
      <w:proofErr w:type="spellStart"/>
      <w:r w:rsidRPr="005207B4">
        <w:rPr>
          <w:lang w:val="en-GB"/>
        </w:rPr>
        <w:t>dietanolamine</w:t>
      </w:r>
      <w:proofErr w:type="spellEnd"/>
      <w:r w:rsidRPr="005207B4">
        <w:rPr>
          <w:lang w:val="en-GB"/>
        </w:rPr>
        <w:t xml:space="preserve"> was used, providing the hydrophilic </w:t>
      </w:r>
      <w:r w:rsidR="005207B4">
        <w:rPr>
          <w:lang w:val="en-GB"/>
        </w:rPr>
        <w:t>head</w:t>
      </w:r>
      <w:r w:rsidRPr="005207B4">
        <w:rPr>
          <w:lang w:val="en-GB"/>
        </w:rPr>
        <w:t>. The individual fatty acids used in the synthesis had carbon chains ranging from C</w:t>
      </w:r>
      <w:r w:rsidRPr="005207B4">
        <w:rPr>
          <w:vertAlign w:val="subscript"/>
          <w:lang w:val="en-GB"/>
        </w:rPr>
        <w:t>14</w:t>
      </w:r>
      <w:r w:rsidRPr="005207B4">
        <w:rPr>
          <w:lang w:val="en-GB"/>
        </w:rPr>
        <w:t xml:space="preserve"> to C</w:t>
      </w:r>
      <w:r w:rsidRPr="005207B4">
        <w:rPr>
          <w:vertAlign w:val="subscript"/>
          <w:lang w:val="en-GB"/>
        </w:rPr>
        <w:t>18</w:t>
      </w:r>
      <w:r w:rsidRPr="005207B4">
        <w:rPr>
          <w:lang w:val="en-GB"/>
        </w:rPr>
        <w:t>, all of which were saturated. Additionally, in one instance, oleic acid was utilized, with a chain length of 18 carbon atoms, yet it was an unsaturated fatty acid containing a double bond in the carbon chain.</w:t>
      </w:r>
      <w:r w:rsidR="005207B4">
        <w:rPr>
          <w:lang w:val="en-GB"/>
        </w:rPr>
        <w:t xml:space="preserve"> The main properties of used fatty acids are </w:t>
      </w:r>
      <w:r w:rsidR="008E060F">
        <w:rPr>
          <w:lang w:val="en-GB"/>
        </w:rPr>
        <w:t>summarised</w:t>
      </w:r>
      <w:r w:rsidR="005207B4">
        <w:rPr>
          <w:lang w:val="en-GB"/>
        </w:rPr>
        <w:t xml:space="preserve"> in Table 1.</w:t>
      </w:r>
    </w:p>
    <w:p w14:paraId="2A228515" w14:textId="10BF1AEB" w:rsidR="005E7FAB" w:rsidRPr="00B57B36" w:rsidRDefault="005E7FAB" w:rsidP="005E7FAB">
      <w:pPr>
        <w:pStyle w:val="CETTabletitle"/>
      </w:pPr>
      <w:r w:rsidRPr="00B57B36">
        <w:t xml:space="preserve">Table 1: </w:t>
      </w:r>
      <w:r w:rsidR="005207B4">
        <w:t>The main properties of used fatty acids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69"/>
        <w:gridCol w:w="869"/>
        <w:gridCol w:w="869"/>
        <w:gridCol w:w="868"/>
        <w:gridCol w:w="974"/>
        <w:gridCol w:w="868"/>
        <w:gridCol w:w="866"/>
        <w:gridCol w:w="868"/>
        <w:gridCol w:w="868"/>
        <w:gridCol w:w="868"/>
      </w:tblGrid>
      <w:tr w:rsidR="00B50115" w:rsidRPr="00B57B36" w14:paraId="259F9455" w14:textId="2B75986D" w:rsidTr="00B50115">
        <w:tc>
          <w:tcPr>
            <w:tcW w:w="494" w:type="pct"/>
            <w:tcBorders>
              <w:top w:val="single" w:sz="12" w:space="0" w:color="008000"/>
              <w:bottom w:val="single" w:sz="6" w:space="0" w:color="008000"/>
            </w:tcBorders>
            <w:shd w:val="clear" w:color="auto" w:fill="FFFFFF"/>
            <w:vAlign w:val="center"/>
          </w:tcPr>
          <w:p w14:paraId="095849E1" w14:textId="406DC059" w:rsidR="00B50115" w:rsidRPr="00B57B36" w:rsidRDefault="00B50115" w:rsidP="005207B4">
            <w:pPr>
              <w:pStyle w:val="CETBodytext"/>
              <w:jc w:val="left"/>
              <w:rPr>
                <w:lang w:val="en-GB"/>
              </w:rPr>
            </w:pPr>
            <w:r>
              <w:rPr>
                <w:lang w:val="en-GB"/>
              </w:rPr>
              <w:t>Name of fatty acid</w:t>
            </w:r>
            <w:r w:rsidRPr="00B57B36">
              <w:rPr>
                <w:lang w:val="en-GB"/>
              </w:rPr>
              <w:t xml:space="preserve"> </w:t>
            </w:r>
          </w:p>
        </w:tc>
        <w:tc>
          <w:tcPr>
            <w:tcW w:w="494" w:type="pct"/>
            <w:tcBorders>
              <w:top w:val="single" w:sz="12" w:space="0" w:color="008000"/>
              <w:bottom w:val="single" w:sz="6" w:space="0" w:color="008000"/>
            </w:tcBorders>
            <w:shd w:val="clear" w:color="auto" w:fill="FFFFFF"/>
            <w:vAlign w:val="center"/>
          </w:tcPr>
          <w:p w14:paraId="1B16E8A6" w14:textId="3BB4A3BA" w:rsidR="00B50115" w:rsidRPr="00B57B36" w:rsidRDefault="00B50115" w:rsidP="005207B4">
            <w:pPr>
              <w:pStyle w:val="CETBodytext"/>
              <w:jc w:val="center"/>
              <w:rPr>
                <w:lang w:val="en-GB"/>
              </w:rPr>
            </w:pPr>
            <w:r>
              <w:t>Average molecular weight, g/mol</w:t>
            </w:r>
          </w:p>
        </w:tc>
        <w:tc>
          <w:tcPr>
            <w:tcW w:w="494" w:type="pct"/>
            <w:tcBorders>
              <w:top w:val="single" w:sz="12" w:space="0" w:color="008000"/>
              <w:bottom w:val="single" w:sz="6" w:space="0" w:color="008000"/>
            </w:tcBorders>
            <w:shd w:val="clear" w:color="auto" w:fill="FFFFFF"/>
            <w:vAlign w:val="center"/>
          </w:tcPr>
          <w:p w14:paraId="58E7ECB7" w14:textId="51E34552" w:rsidR="00B50115" w:rsidRPr="00B57B36" w:rsidRDefault="00B50115" w:rsidP="005207B4">
            <w:pPr>
              <w:pStyle w:val="CETBodytext"/>
              <w:jc w:val="center"/>
              <w:rPr>
                <w:lang w:val="en-GB"/>
              </w:rPr>
            </w:pPr>
            <w:r>
              <w:rPr>
                <w:lang w:val="en-GB"/>
              </w:rPr>
              <w:t>Producer</w:t>
            </w:r>
          </w:p>
        </w:tc>
        <w:tc>
          <w:tcPr>
            <w:tcW w:w="494" w:type="pct"/>
            <w:tcBorders>
              <w:top w:val="single" w:sz="12" w:space="0" w:color="008000"/>
              <w:bottom w:val="single" w:sz="6" w:space="0" w:color="008000"/>
            </w:tcBorders>
            <w:shd w:val="clear" w:color="auto" w:fill="FFFFFF"/>
            <w:vAlign w:val="center"/>
          </w:tcPr>
          <w:p w14:paraId="5470FC19" w14:textId="381D60ED" w:rsidR="00B50115" w:rsidRPr="00B57B36" w:rsidRDefault="00B50115" w:rsidP="005207B4">
            <w:pPr>
              <w:pStyle w:val="CETBodytext"/>
              <w:ind w:right="-1"/>
              <w:jc w:val="center"/>
              <w:rPr>
                <w:rFonts w:cs="Arial"/>
                <w:szCs w:val="18"/>
                <w:lang w:val="en-GB"/>
              </w:rPr>
            </w:pPr>
            <w:r>
              <w:rPr>
                <w:rFonts w:cs="Arial"/>
                <w:szCs w:val="18"/>
                <w:lang w:val="en-GB"/>
              </w:rPr>
              <w:t>Melting point, °C</w:t>
            </w:r>
          </w:p>
        </w:tc>
        <w:tc>
          <w:tcPr>
            <w:tcW w:w="554" w:type="pct"/>
            <w:tcBorders>
              <w:top w:val="single" w:sz="12" w:space="0" w:color="008000"/>
              <w:bottom w:val="single" w:sz="6" w:space="0" w:color="008000"/>
            </w:tcBorders>
            <w:shd w:val="clear" w:color="auto" w:fill="FFFFFF"/>
            <w:vAlign w:val="center"/>
          </w:tcPr>
          <w:p w14:paraId="0D844033" w14:textId="33538347" w:rsidR="00B50115" w:rsidRPr="00B57B36" w:rsidRDefault="00B50115" w:rsidP="005207B4">
            <w:pPr>
              <w:pStyle w:val="CETBodytext"/>
              <w:ind w:right="-1"/>
              <w:jc w:val="center"/>
              <w:rPr>
                <w:rFonts w:cs="Arial"/>
                <w:szCs w:val="18"/>
                <w:lang w:val="en-GB"/>
              </w:rPr>
            </w:pPr>
            <w:r>
              <w:rPr>
                <w:rFonts w:cs="Arial"/>
                <w:szCs w:val="18"/>
                <w:lang w:val="en-GB"/>
              </w:rPr>
              <w:t>Appearance</w:t>
            </w:r>
          </w:p>
        </w:tc>
        <w:tc>
          <w:tcPr>
            <w:tcW w:w="494" w:type="pct"/>
            <w:tcBorders>
              <w:top w:val="single" w:sz="12" w:space="0" w:color="008000"/>
              <w:bottom w:val="single" w:sz="6" w:space="0" w:color="008000"/>
            </w:tcBorders>
            <w:shd w:val="clear" w:color="auto" w:fill="FFFFFF"/>
            <w:vAlign w:val="center"/>
          </w:tcPr>
          <w:p w14:paraId="53E0E2AC" w14:textId="784B05A1" w:rsidR="00B50115" w:rsidRPr="005207B4" w:rsidRDefault="00B50115" w:rsidP="005207B4">
            <w:pPr>
              <w:pStyle w:val="CETBodytext"/>
              <w:ind w:right="-1"/>
              <w:jc w:val="center"/>
              <w:rPr>
                <w:rFonts w:cs="Arial"/>
                <w:szCs w:val="18"/>
                <w:lang w:val="en-GB"/>
              </w:rPr>
            </w:pPr>
            <w:r>
              <w:rPr>
                <w:rFonts w:cs="Arial"/>
                <w:szCs w:val="18"/>
                <w:lang w:val="en-GB"/>
              </w:rPr>
              <w:t>Density, g/cm</w:t>
            </w:r>
            <w:r>
              <w:rPr>
                <w:rFonts w:cs="Arial"/>
                <w:szCs w:val="18"/>
                <w:vertAlign w:val="superscript"/>
                <w:lang w:val="en-GB"/>
              </w:rPr>
              <w:t>3</w:t>
            </w:r>
          </w:p>
        </w:tc>
        <w:tc>
          <w:tcPr>
            <w:tcW w:w="493" w:type="pct"/>
            <w:tcBorders>
              <w:top w:val="single" w:sz="12" w:space="0" w:color="008000"/>
              <w:bottom w:val="single" w:sz="6" w:space="0" w:color="008000"/>
            </w:tcBorders>
            <w:shd w:val="clear" w:color="auto" w:fill="FFFFFF"/>
            <w:vAlign w:val="center"/>
          </w:tcPr>
          <w:p w14:paraId="7564BE84" w14:textId="746839CB" w:rsidR="00B50115" w:rsidRDefault="00B50115" w:rsidP="005207B4">
            <w:pPr>
              <w:pStyle w:val="CETBodytext"/>
              <w:ind w:right="-1"/>
              <w:jc w:val="center"/>
              <w:rPr>
                <w:rFonts w:cs="Arial"/>
                <w:szCs w:val="18"/>
                <w:lang w:val="en-GB"/>
              </w:rPr>
            </w:pPr>
            <w:r>
              <w:rPr>
                <w:rFonts w:cs="Arial"/>
                <w:szCs w:val="18"/>
                <w:lang w:val="en-GB"/>
              </w:rPr>
              <w:t>Solubility in water at 20°C, mg/l</w:t>
            </w:r>
          </w:p>
        </w:tc>
        <w:tc>
          <w:tcPr>
            <w:tcW w:w="494" w:type="pct"/>
            <w:tcBorders>
              <w:top w:val="single" w:sz="12" w:space="0" w:color="008000"/>
              <w:bottom w:val="single" w:sz="6" w:space="0" w:color="008000"/>
            </w:tcBorders>
            <w:shd w:val="clear" w:color="auto" w:fill="FFFFFF"/>
            <w:vAlign w:val="center"/>
          </w:tcPr>
          <w:p w14:paraId="34EDCC95" w14:textId="73084EA3" w:rsidR="00B50115" w:rsidRDefault="00B50115" w:rsidP="005207B4">
            <w:pPr>
              <w:pStyle w:val="CETBodytext"/>
              <w:ind w:right="-1"/>
              <w:jc w:val="center"/>
              <w:rPr>
                <w:rFonts w:cs="Arial"/>
                <w:szCs w:val="18"/>
                <w:lang w:val="en-GB"/>
              </w:rPr>
            </w:pPr>
            <w:r>
              <w:rPr>
                <w:rFonts w:cs="Arial"/>
                <w:szCs w:val="18"/>
                <w:lang w:val="en-GB"/>
              </w:rPr>
              <w:t>CAS Number</w:t>
            </w:r>
          </w:p>
        </w:tc>
        <w:tc>
          <w:tcPr>
            <w:tcW w:w="494" w:type="pct"/>
            <w:tcBorders>
              <w:top w:val="single" w:sz="12" w:space="0" w:color="008000"/>
              <w:bottom w:val="single" w:sz="6" w:space="0" w:color="008000"/>
            </w:tcBorders>
            <w:shd w:val="clear" w:color="auto" w:fill="FFFFFF"/>
            <w:vAlign w:val="center"/>
          </w:tcPr>
          <w:p w14:paraId="5BCBF1D7" w14:textId="65361B39" w:rsidR="00B50115" w:rsidRDefault="00B50115" w:rsidP="005207B4">
            <w:pPr>
              <w:pStyle w:val="CETBodytext"/>
              <w:ind w:right="-1"/>
              <w:jc w:val="center"/>
              <w:rPr>
                <w:rFonts w:cs="Arial"/>
                <w:szCs w:val="18"/>
                <w:lang w:val="en-GB"/>
              </w:rPr>
            </w:pPr>
            <w:r>
              <w:rPr>
                <w:rFonts w:cs="Arial"/>
                <w:szCs w:val="18"/>
                <w:lang w:val="en-GB"/>
              </w:rPr>
              <w:t>Carbon chain</w:t>
            </w:r>
          </w:p>
        </w:tc>
        <w:tc>
          <w:tcPr>
            <w:tcW w:w="494" w:type="pct"/>
            <w:tcBorders>
              <w:top w:val="single" w:sz="12" w:space="0" w:color="008000"/>
              <w:bottom w:val="single" w:sz="6" w:space="0" w:color="008000"/>
            </w:tcBorders>
            <w:shd w:val="clear" w:color="auto" w:fill="FFFFFF"/>
            <w:vAlign w:val="center"/>
          </w:tcPr>
          <w:p w14:paraId="59655826" w14:textId="023735B1" w:rsidR="00B50115" w:rsidRDefault="00B50115" w:rsidP="00B50115">
            <w:pPr>
              <w:pStyle w:val="CETBodytext"/>
              <w:ind w:right="-1"/>
              <w:jc w:val="center"/>
              <w:rPr>
                <w:rFonts w:cs="Arial"/>
                <w:szCs w:val="18"/>
                <w:lang w:val="en-GB"/>
              </w:rPr>
            </w:pPr>
            <w:r>
              <w:rPr>
                <w:rFonts w:cs="Arial"/>
                <w:szCs w:val="18"/>
                <w:lang w:val="en-GB"/>
              </w:rPr>
              <w:t>Purity, %</w:t>
            </w:r>
          </w:p>
        </w:tc>
      </w:tr>
      <w:tr w:rsidR="00B50115" w:rsidRPr="00B57B36" w14:paraId="397BA884" w14:textId="2E77D76D" w:rsidTr="00B50115">
        <w:tc>
          <w:tcPr>
            <w:tcW w:w="494" w:type="pct"/>
            <w:shd w:val="clear" w:color="auto" w:fill="FFFFFF"/>
            <w:vAlign w:val="center"/>
          </w:tcPr>
          <w:p w14:paraId="760A565E" w14:textId="7895E8B0" w:rsidR="00B50115" w:rsidRPr="00B57B36" w:rsidRDefault="00B50115" w:rsidP="005207B4">
            <w:pPr>
              <w:pStyle w:val="CETBodytext"/>
              <w:jc w:val="left"/>
              <w:rPr>
                <w:lang w:val="en-GB"/>
              </w:rPr>
            </w:pPr>
            <w:r>
              <w:t>Lauric acid</w:t>
            </w:r>
          </w:p>
        </w:tc>
        <w:tc>
          <w:tcPr>
            <w:tcW w:w="494" w:type="pct"/>
            <w:shd w:val="clear" w:color="auto" w:fill="FFFFFF"/>
            <w:vAlign w:val="center"/>
          </w:tcPr>
          <w:p w14:paraId="05A05E05" w14:textId="60ABBC24" w:rsidR="00B50115" w:rsidRPr="00B57B36" w:rsidRDefault="00B50115" w:rsidP="005207B4">
            <w:pPr>
              <w:pStyle w:val="CETBodytext"/>
              <w:jc w:val="center"/>
              <w:rPr>
                <w:lang w:val="en-GB"/>
              </w:rPr>
            </w:pPr>
            <w:r w:rsidRPr="00EB73C3">
              <w:t>200,32</w:t>
            </w:r>
          </w:p>
        </w:tc>
        <w:tc>
          <w:tcPr>
            <w:tcW w:w="494" w:type="pct"/>
            <w:shd w:val="clear" w:color="auto" w:fill="FFFFFF"/>
            <w:vAlign w:val="center"/>
          </w:tcPr>
          <w:p w14:paraId="7443A1AE" w14:textId="72B3B0F0" w:rsidR="00B50115" w:rsidRPr="00B50115" w:rsidRDefault="00B50115" w:rsidP="00B50115">
            <w:pPr>
              <w:pStyle w:val="CETBodytext"/>
              <w:ind w:right="-1"/>
              <w:jc w:val="center"/>
              <w:rPr>
                <w:rFonts w:cs="Arial"/>
                <w:szCs w:val="18"/>
                <w:lang w:val="en-GB"/>
              </w:rPr>
            </w:pPr>
            <w:r w:rsidRPr="00B50115">
              <w:rPr>
                <w:rFonts w:cs="Arial"/>
                <w:szCs w:val="18"/>
                <w:lang w:val="en-GB"/>
              </w:rPr>
              <w:t>Sigma</w:t>
            </w:r>
            <w:r>
              <w:rPr>
                <w:rFonts w:cs="Arial"/>
                <w:szCs w:val="18"/>
                <w:lang w:val="en-GB"/>
              </w:rPr>
              <w:t>-</w:t>
            </w:r>
            <w:r w:rsidRPr="00B50115">
              <w:rPr>
                <w:rFonts w:cs="Arial"/>
                <w:szCs w:val="18"/>
                <w:lang w:val="en-GB"/>
              </w:rPr>
              <w:t>Aldrich</w:t>
            </w:r>
          </w:p>
        </w:tc>
        <w:tc>
          <w:tcPr>
            <w:tcW w:w="494" w:type="pct"/>
            <w:shd w:val="clear" w:color="auto" w:fill="FFFFFF"/>
            <w:vAlign w:val="center"/>
          </w:tcPr>
          <w:p w14:paraId="619E956F" w14:textId="5C6CE21D" w:rsidR="00B50115" w:rsidRPr="00B57B36" w:rsidRDefault="00B50115" w:rsidP="005207B4">
            <w:pPr>
              <w:pStyle w:val="CETBodytext"/>
              <w:ind w:right="-1"/>
              <w:jc w:val="center"/>
              <w:rPr>
                <w:rFonts w:cs="Arial"/>
                <w:szCs w:val="18"/>
                <w:lang w:val="en-GB"/>
              </w:rPr>
            </w:pPr>
            <w:r>
              <w:rPr>
                <w:rFonts w:cs="Arial"/>
                <w:szCs w:val="18"/>
                <w:lang w:val="en-GB"/>
              </w:rPr>
              <w:t>43-45</w:t>
            </w:r>
          </w:p>
        </w:tc>
        <w:tc>
          <w:tcPr>
            <w:tcW w:w="554" w:type="pct"/>
            <w:shd w:val="clear" w:color="auto" w:fill="FFFFFF"/>
            <w:vAlign w:val="center"/>
          </w:tcPr>
          <w:p w14:paraId="1BD79BAB" w14:textId="4013E005" w:rsidR="00B50115" w:rsidRPr="00B57B36" w:rsidRDefault="00B50115" w:rsidP="005207B4">
            <w:pPr>
              <w:pStyle w:val="CETBodytext"/>
              <w:ind w:right="-1"/>
              <w:jc w:val="center"/>
              <w:rPr>
                <w:rFonts w:cs="Arial"/>
                <w:szCs w:val="18"/>
                <w:lang w:val="en-GB"/>
              </w:rPr>
            </w:pPr>
            <w:r>
              <w:rPr>
                <w:rFonts w:cs="Arial"/>
                <w:szCs w:val="18"/>
                <w:lang w:val="en-GB"/>
              </w:rPr>
              <w:t>White, solid</w:t>
            </w:r>
          </w:p>
        </w:tc>
        <w:tc>
          <w:tcPr>
            <w:tcW w:w="494" w:type="pct"/>
            <w:shd w:val="clear" w:color="auto" w:fill="FFFFFF"/>
            <w:vAlign w:val="center"/>
          </w:tcPr>
          <w:p w14:paraId="18D2AB04" w14:textId="0BC1B55F" w:rsidR="00B50115" w:rsidRPr="00B57B36" w:rsidRDefault="00B50115" w:rsidP="00B50115">
            <w:pPr>
              <w:pStyle w:val="CETBodytext"/>
              <w:ind w:right="-1"/>
              <w:jc w:val="center"/>
              <w:rPr>
                <w:rFonts w:cs="Arial"/>
                <w:szCs w:val="18"/>
                <w:lang w:val="en-GB"/>
              </w:rPr>
            </w:pPr>
            <w:r>
              <w:rPr>
                <w:rFonts w:cs="Arial"/>
                <w:szCs w:val="18"/>
                <w:lang w:val="en-GB"/>
              </w:rPr>
              <w:t>0,883 (at 50</w:t>
            </w:r>
            <w:r w:rsidR="00004D50">
              <w:rPr>
                <w:rFonts w:cs="Arial"/>
                <w:szCs w:val="18"/>
                <w:lang w:val="en-GB"/>
              </w:rPr>
              <w:t xml:space="preserve"> </w:t>
            </w:r>
            <w:r>
              <w:rPr>
                <w:rFonts w:cs="Arial"/>
                <w:szCs w:val="18"/>
                <w:lang w:val="en-GB"/>
              </w:rPr>
              <w:t>°C)</w:t>
            </w:r>
          </w:p>
        </w:tc>
        <w:tc>
          <w:tcPr>
            <w:tcW w:w="493" w:type="pct"/>
            <w:shd w:val="clear" w:color="auto" w:fill="FFFFFF"/>
            <w:vAlign w:val="center"/>
          </w:tcPr>
          <w:p w14:paraId="64F778BB" w14:textId="573661D1" w:rsidR="00B50115" w:rsidRPr="00B57B36" w:rsidRDefault="00B50115" w:rsidP="005207B4">
            <w:pPr>
              <w:pStyle w:val="CETBodytext"/>
              <w:ind w:right="-1"/>
              <w:jc w:val="center"/>
              <w:rPr>
                <w:rFonts w:cs="Arial"/>
                <w:szCs w:val="18"/>
                <w:lang w:val="en-GB"/>
              </w:rPr>
            </w:pPr>
            <w:r>
              <w:rPr>
                <w:rFonts w:cs="Arial"/>
                <w:szCs w:val="18"/>
                <w:lang w:val="en-GB"/>
              </w:rPr>
              <w:t>58</w:t>
            </w:r>
          </w:p>
        </w:tc>
        <w:tc>
          <w:tcPr>
            <w:tcW w:w="494" w:type="pct"/>
            <w:shd w:val="clear" w:color="auto" w:fill="FFFFFF"/>
            <w:vAlign w:val="center"/>
          </w:tcPr>
          <w:p w14:paraId="04DF890C" w14:textId="07F6C40A" w:rsidR="00B50115" w:rsidRPr="00B57B36" w:rsidRDefault="00B50115" w:rsidP="005207B4">
            <w:pPr>
              <w:pStyle w:val="CETBodytext"/>
              <w:ind w:right="-1"/>
              <w:jc w:val="center"/>
              <w:rPr>
                <w:rFonts w:cs="Arial"/>
                <w:szCs w:val="18"/>
                <w:lang w:val="en-GB"/>
              </w:rPr>
            </w:pPr>
            <w:r>
              <w:t>143-07-7</w:t>
            </w:r>
          </w:p>
        </w:tc>
        <w:tc>
          <w:tcPr>
            <w:tcW w:w="494" w:type="pct"/>
            <w:shd w:val="clear" w:color="auto" w:fill="FFFFFF"/>
            <w:vAlign w:val="center"/>
          </w:tcPr>
          <w:p w14:paraId="0D1B108B" w14:textId="37DBE39B" w:rsidR="00B50115" w:rsidRDefault="00B50115" w:rsidP="005207B4">
            <w:pPr>
              <w:pStyle w:val="CETBodytext"/>
              <w:ind w:right="-1"/>
              <w:jc w:val="center"/>
            </w:pPr>
            <w:r>
              <w:t>C</w:t>
            </w:r>
            <w:r w:rsidRPr="005207B4">
              <w:rPr>
                <w:vertAlign w:val="subscript"/>
              </w:rPr>
              <w:t>12:0</w:t>
            </w:r>
          </w:p>
        </w:tc>
        <w:tc>
          <w:tcPr>
            <w:tcW w:w="494" w:type="pct"/>
            <w:shd w:val="clear" w:color="auto" w:fill="FFFFFF"/>
            <w:vAlign w:val="center"/>
          </w:tcPr>
          <w:p w14:paraId="469031DC" w14:textId="5EC30E72" w:rsidR="00B50115" w:rsidRDefault="00B50115" w:rsidP="00B50115">
            <w:pPr>
              <w:pStyle w:val="CETBodytext"/>
              <w:ind w:right="-1"/>
              <w:jc w:val="center"/>
            </w:pPr>
            <w:r>
              <w:t>&gt;99</w:t>
            </w:r>
          </w:p>
        </w:tc>
      </w:tr>
      <w:tr w:rsidR="00B50115" w:rsidRPr="00B57B36" w14:paraId="1DE68564" w14:textId="51AF6D48" w:rsidTr="00B50115">
        <w:tc>
          <w:tcPr>
            <w:tcW w:w="494" w:type="pct"/>
            <w:shd w:val="clear" w:color="auto" w:fill="FFFFFF"/>
            <w:vAlign w:val="center"/>
          </w:tcPr>
          <w:p w14:paraId="57FCAF09" w14:textId="7354A368" w:rsidR="00B50115" w:rsidRPr="00B57B36" w:rsidRDefault="00B50115" w:rsidP="00B50115">
            <w:pPr>
              <w:pStyle w:val="CETBodytext"/>
              <w:ind w:right="-1"/>
              <w:jc w:val="left"/>
              <w:rPr>
                <w:rFonts w:cs="Arial"/>
                <w:szCs w:val="18"/>
                <w:lang w:val="en-GB"/>
              </w:rPr>
            </w:pPr>
            <w:r>
              <w:t>Myristic acid</w:t>
            </w:r>
          </w:p>
        </w:tc>
        <w:tc>
          <w:tcPr>
            <w:tcW w:w="494" w:type="pct"/>
            <w:shd w:val="clear" w:color="auto" w:fill="FFFFFF"/>
            <w:vAlign w:val="center"/>
          </w:tcPr>
          <w:p w14:paraId="13D3D95E" w14:textId="375D9C00" w:rsidR="00B50115" w:rsidRPr="00B57B36" w:rsidRDefault="00B50115" w:rsidP="00B50115">
            <w:pPr>
              <w:pStyle w:val="CETBodytext"/>
              <w:ind w:right="-1"/>
              <w:jc w:val="center"/>
              <w:rPr>
                <w:rFonts w:cs="Arial"/>
                <w:szCs w:val="18"/>
                <w:lang w:val="en-GB"/>
              </w:rPr>
            </w:pPr>
            <w:r w:rsidRPr="00EB73C3">
              <w:t>228,38</w:t>
            </w:r>
          </w:p>
        </w:tc>
        <w:tc>
          <w:tcPr>
            <w:tcW w:w="494" w:type="pct"/>
            <w:shd w:val="clear" w:color="auto" w:fill="FFFFFF"/>
            <w:vAlign w:val="center"/>
          </w:tcPr>
          <w:p w14:paraId="4146B09B" w14:textId="31EB0241" w:rsidR="00B50115" w:rsidRPr="00B57B36" w:rsidRDefault="00B50115" w:rsidP="00B50115">
            <w:pPr>
              <w:pStyle w:val="CETBodytext"/>
              <w:ind w:right="-1"/>
              <w:jc w:val="center"/>
              <w:rPr>
                <w:rFonts w:cs="Arial"/>
                <w:szCs w:val="18"/>
                <w:lang w:val="en-GB"/>
              </w:rPr>
            </w:pPr>
            <w:r w:rsidRPr="00B50115">
              <w:rPr>
                <w:rFonts w:cs="Arial"/>
                <w:szCs w:val="18"/>
                <w:lang w:val="en-GB"/>
              </w:rPr>
              <w:t>Sigma</w:t>
            </w:r>
            <w:r>
              <w:rPr>
                <w:rFonts w:cs="Arial"/>
                <w:szCs w:val="18"/>
                <w:lang w:val="en-GB"/>
              </w:rPr>
              <w:t>-</w:t>
            </w:r>
            <w:r w:rsidRPr="00B50115">
              <w:rPr>
                <w:rFonts w:cs="Arial"/>
                <w:szCs w:val="18"/>
                <w:lang w:val="en-GB"/>
              </w:rPr>
              <w:t>Aldrich</w:t>
            </w:r>
          </w:p>
        </w:tc>
        <w:tc>
          <w:tcPr>
            <w:tcW w:w="494" w:type="pct"/>
            <w:shd w:val="clear" w:color="auto" w:fill="FFFFFF"/>
            <w:vAlign w:val="center"/>
          </w:tcPr>
          <w:p w14:paraId="4FF212C2" w14:textId="1ADD3FE4" w:rsidR="00B50115" w:rsidRPr="00B57B36" w:rsidRDefault="00B50115" w:rsidP="00B50115">
            <w:pPr>
              <w:pStyle w:val="CETBodytext"/>
              <w:ind w:right="-1"/>
              <w:jc w:val="center"/>
              <w:rPr>
                <w:rFonts w:cs="Arial"/>
                <w:szCs w:val="18"/>
                <w:lang w:val="en-GB"/>
              </w:rPr>
            </w:pPr>
            <w:r>
              <w:rPr>
                <w:rFonts w:cs="Arial"/>
                <w:szCs w:val="18"/>
                <w:lang w:val="en-GB"/>
              </w:rPr>
              <w:t>57-59</w:t>
            </w:r>
          </w:p>
        </w:tc>
        <w:tc>
          <w:tcPr>
            <w:tcW w:w="554" w:type="pct"/>
            <w:shd w:val="clear" w:color="auto" w:fill="FFFFFF"/>
            <w:vAlign w:val="center"/>
          </w:tcPr>
          <w:p w14:paraId="14C67E43" w14:textId="04927F7F" w:rsidR="00B50115" w:rsidRPr="00B57B36" w:rsidRDefault="00B50115" w:rsidP="00B50115">
            <w:pPr>
              <w:pStyle w:val="CETBodytext"/>
              <w:ind w:right="-1"/>
              <w:jc w:val="center"/>
              <w:rPr>
                <w:rFonts w:cs="Arial"/>
                <w:szCs w:val="18"/>
                <w:lang w:val="en-GB"/>
              </w:rPr>
            </w:pPr>
            <w:r>
              <w:rPr>
                <w:rFonts w:cs="Arial"/>
                <w:szCs w:val="18"/>
                <w:lang w:val="en-GB"/>
              </w:rPr>
              <w:t>White, solid</w:t>
            </w:r>
          </w:p>
        </w:tc>
        <w:tc>
          <w:tcPr>
            <w:tcW w:w="494" w:type="pct"/>
            <w:shd w:val="clear" w:color="auto" w:fill="FFFFFF"/>
            <w:vAlign w:val="center"/>
          </w:tcPr>
          <w:p w14:paraId="25E183CD" w14:textId="31184953" w:rsidR="00B50115" w:rsidRPr="00B57B36" w:rsidRDefault="00B50115" w:rsidP="00B50115">
            <w:pPr>
              <w:pStyle w:val="CETBodytext"/>
              <w:ind w:right="-1"/>
              <w:jc w:val="center"/>
              <w:rPr>
                <w:rFonts w:cs="Arial"/>
                <w:szCs w:val="18"/>
                <w:lang w:val="en-GB"/>
              </w:rPr>
            </w:pPr>
            <w:r>
              <w:rPr>
                <w:rFonts w:cs="Arial"/>
                <w:szCs w:val="18"/>
                <w:lang w:val="en-GB"/>
              </w:rPr>
              <w:t>0,862 (at 63</w:t>
            </w:r>
            <w:r w:rsidR="00004D50">
              <w:rPr>
                <w:rFonts w:cs="Arial"/>
                <w:szCs w:val="18"/>
                <w:lang w:val="en-GB"/>
              </w:rPr>
              <w:t xml:space="preserve"> </w:t>
            </w:r>
            <w:r>
              <w:rPr>
                <w:rFonts w:cs="Arial"/>
                <w:szCs w:val="18"/>
                <w:lang w:val="en-GB"/>
              </w:rPr>
              <w:t>°C)</w:t>
            </w:r>
          </w:p>
        </w:tc>
        <w:tc>
          <w:tcPr>
            <w:tcW w:w="493" w:type="pct"/>
            <w:shd w:val="clear" w:color="auto" w:fill="FFFFFF"/>
            <w:vAlign w:val="center"/>
          </w:tcPr>
          <w:p w14:paraId="578A118F" w14:textId="04CEDBF3" w:rsidR="00B50115" w:rsidRPr="00B57B36" w:rsidRDefault="00B50115" w:rsidP="00B50115">
            <w:pPr>
              <w:pStyle w:val="CETBodytext"/>
              <w:ind w:right="-1"/>
              <w:jc w:val="center"/>
              <w:rPr>
                <w:rFonts w:cs="Arial"/>
                <w:szCs w:val="18"/>
                <w:lang w:val="en-GB"/>
              </w:rPr>
            </w:pPr>
            <w:r>
              <w:rPr>
                <w:rFonts w:cs="Arial"/>
                <w:szCs w:val="18"/>
                <w:lang w:val="en-GB"/>
              </w:rPr>
              <w:t>&lt;0,05</w:t>
            </w:r>
          </w:p>
        </w:tc>
        <w:tc>
          <w:tcPr>
            <w:tcW w:w="494" w:type="pct"/>
            <w:shd w:val="clear" w:color="auto" w:fill="FFFFFF"/>
            <w:vAlign w:val="center"/>
          </w:tcPr>
          <w:p w14:paraId="66D07CBB" w14:textId="53055552" w:rsidR="00B50115" w:rsidRPr="00B57B36" w:rsidRDefault="00B50115" w:rsidP="00B50115">
            <w:pPr>
              <w:pStyle w:val="CETBodytext"/>
              <w:ind w:right="-1"/>
              <w:jc w:val="center"/>
              <w:rPr>
                <w:rFonts w:cs="Arial"/>
                <w:szCs w:val="18"/>
                <w:lang w:val="en-GB"/>
              </w:rPr>
            </w:pPr>
            <w:r>
              <w:t>544-63-8</w:t>
            </w:r>
          </w:p>
        </w:tc>
        <w:tc>
          <w:tcPr>
            <w:tcW w:w="494" w:type="pct"/>
            <w:shd w:val="clear" w:color="auto" w:fill="FFFFFF"/>
            <w:vAlign w:val="center"/>
          </w:tcPr>
          <w:p w14:paraId="26C8BF85" w14:textId="5961E834" w:rsidR="00B50115" w:rsidRDefault="00B50115" w:rsidP="00B50115">
            <w:pPr>
              <w:pStyle w:val="CETBodytext"/>
              <w:ind w:right="-1"/>
              <w:jc w:val="center"/>
            </w:pPr>
            <w:r>
              <w:t>C</w:t>
            </w:r>
            <w:r w:rsidRPr="005207B4">
              <w:rPr>
                <w:vertAlign w:val="subscript"/>
              </w:rPr>
              <w:t>14:0</w:t>
            </w:r>
          </w:p>
        </w:tc>
        <w:tc>
          <w:tcPr>
            <w:tcW w:w="494" w:type="pct"/>
            <w:shd w:val="clear" w:color="auto" w:fill="FFFFFF"/>
            <w:vAlign w:val="center"/>
          </w:tcPr>
          <w:p w14:paraId="5200331B" w14:textId="4F1A9D31" w:rsidR="00B50115" w:rsidRDefault="00B50115" w:rsidP="00B50115">
            <w:pPr>
              <w:pStyle w:val="CETBodytext"/>
              <w:ind w:right="-1"/>
              <w:jc w:val="center"/>
            </w:pPr>
            <w:r>
              <w:t>&gt;99</w:t>
            </w:r>
          </w:p>
        </w:tc>
      </w:tr>
      <w:tr w:rsidR="00B50115" w:rsidRPr="00B57B36" w14:paraId="75F28A30" w14:textId="26A949E4" w:rsidTr="00B50115">
        <w:tc>
          <w:tcPr>
            <w:tcW w:w="494" w:type="pct"/>
            <w:shd w:val="clear" w:color="auto" w:fill="FFFFFF"/>
            <w:vAlign w:val="center"/>
          </w:tcPr>
          <w:p w14:paraId="281A3AB0" w14:textId="1ACA31EF" w:rsidR="00B50115" w:rsidRDefault="00B50115" w:rsidP="00B50115">
            <w:pPr>
              <w:pStyle w:val="CETBodytext"/>
              <w:ind w:right="-1"/>
              <w:jc w:val="left"/>
              <w:rPr>
                <w:lang w:val="en-GB"/>
              </w:rPr>
            </w:pPr>
            <w:r>
              <w:t>Palmitic acid</w:t>
            </w:r>
          </w:p>
        </w:tc>
        <w:tc>
          <w:tcPr>
            <w:tcW w:w="494" w:type="pct"/>
            <w:shd w:val="clear" w:color="auto" w:fill="FFFFFF"/>
            <w:vAlign w:val="center"/>
          </w:tcPr>
          <w:p w14:paraId="114A4855" w14:textId="1D368D8F" w:rsidR="00B50115" w:rsidRPr="00B57B36" w:rsidRDefault="00B50115" w:rsidP="00B50115">
            <w:pPr>
              <w:pStyle w:val="CETBodytext"/>
              <w:ind w:right="-1"/>
              <w:jc w:val="center"/>
              <w:rPr>
                <w:rFonts w:cs="Arial"/>
                <w:szCs w:val="18"/>
                <w:lang w:val="en-GB"/>
              </w:rPr>
            </w:pPr>
            <w:r w:rsidRPr="00EB73C3">
              <w:t>256,38</w:t>
            </w:r>
          </w:p>
        </w:tc>
        <w:tc>
          <w:tcPr>
            <w:tcW w:w="494" w:type="pct"/>
            <w:shd w:val="clear" w:color="auto" w:fill="FFFFFF"/>
            <w:vAlign w:val="center"/>
          </w:tcPr>
          <w:p w14:paraId="69C5A8E9" w14:textId="285B4B55" w:rsidR="00B50115" w:rsidRPr="00B57B36" w:rsidRDefault="00B50115" w:rsidP="00B50115">
            <w:pPr>
              <w:pStyle w:val="CETBodytext"/>
              <w:ind w:right="-1"/>
              <w:jc w:val="center"/>
              <w:rPr>
                <w:rFonts w:cs="Arial"/>
                <w:szCs w:val="18"/>
                <w:lang w:val="en-GB"/>
              </w:rPr>
            </w:pPr>
            <w:r w:rsidRPr="00B50115">
              <w:rPr>
                <w:rFonts w:cs="Arial"/>
                <w:szCs w:val="18"/>
                <w:lang w:val="en-GB"/>
              </w:rPr>
              <w:t>Sigma</w:t>
            </w:r>
            <w:r>
              <w:rPr>
                <w:rFonts w:cs="Arial"/>
                <w:szCs w:val="18"/>
                <w:lang w:val="en-GB"/>
              </w:rPr>
              <w:t>-</w:t>
            </w:r>
            <w:r w:rsidRPr="00B50115">
              <w:rPr>
                <w:rFonts w:cs="Arial"/>
                <w:szCs w:val="18"/>
                <w:lang w:val="en-GB"/>
              </w:rPr>
              <w:t>Aldrich</w:t>
            </w:r>
          </w:p>
        </w:tc>
        <w:tc>
          <w:tcPr>
            <w:tcW w:w="494" w:type="pct"/>
            <w:shd w:val="clear" w:color="auto" w:fill="FFFFFF"/>
            <w:vAlign w:val="center"/>
          </w:tcPr>
          <w:p w14:paraId="5EEDF026" w14:textId="46E52BE4" w:rsidR="00B50115" w:rsidRPr="00B57B36" w:rsidRDefault="00B50115" w:rsidP="00B50115">
            <w:pPr>
              <w:pStyle w:val="CETBodytext"/>
              <w:ind w:right="-1"/>
              <w:jc w:val="center"/>
              <w:rPr>
                <w:rFonts w:cs="Arial"/>
                <w:szCs w:val="18"/>
                <w:lang w:val="en-GB"/>
              </w:rPr>
            </w:pPr>
            <w:r>
              <w:rPr>
                <w:rFonts w:cs="Arial"/>
                <w:szCs w:val="18"/>
                <w:lang w:val="en-GB"/>
              </w:rPr>
              <w:t>59-63</w:t>
            </w:r>
          </w:p>
        </w:tc>
        <w:tc>
          <w:tcPr>
            <w:tcW w:w="554" w:type="pct"/>
            <w:shd w:val="clear" w:color="auto" w:fill="FFFFFF"/>
            <w:vAlign w:val="center"/>
          </w:tcPr>
          <w:p w14:paraId="6922C528" w14:textId="2DFEDEA3" w:rsidR="00B50115" w:rsidRPr="00B57B36" w:rsidRDefault="00B50115" w:rsidP="00B50115">
            <w:pPr>
              <w:pStyle w:val="CETBodytext"/>
              <w:ind w:right="-1"/>
              <w:jc w:val="center"/>
              <w:rPr>
                <w:rFonts w:cs="Arial"/>
                <w:szCs w:val="18"/>
                <w:lang w:val="en-GB"/>
              </w:rPr>
            </w:pPr>
            <w:r>
              <w:rPr>
                <w:rFonts w:cs="Arial"/>
                <w:szCs w:val="18"/>
                <w:lang w:val="en-GB"/>
              </w:rPr>
              <w:t>White, solid</w:t>
            </w:r>
          </w:p>
        </w:tc>
        <w:tc>
          <w:tcPr>
            <w:tcW w:w="494" w:type="pct"/>
            <w:shd w:val="clear" w:color="auto" w:fill="FFFFFF"/>
            <w:vAlign w:val="center"/>
          </w:tcPr>
          <w:p w14:paraId="1C5A1ABA" w14:textId="26FF742A" w:rsidR="00B50115" w:rsidRPr="00B57B36" w:rsidRDefault="00B50115" w:rsidP="00B50115">
            <w:pPr>
              <w:pStyle w:val="CETBodytext"/>
              <w:ind w:right="-1"/>
              <w:jc w:val="center"/>
              <w:rPr>
                <w:rFonts w:cs="Arial"/>
                <w:szCs w:val="18"/>
                <w:lang w:val="en-GB"/>
              </w:rPr>
            </w:pPr>
            <w:r>
              <w:rPr>
                <w:rFonts w:cs="Arial"/>
                <w:szCs w:val="18"/>
                <w:lang w:val="en-GB"/>
              </w:rPr>
              <w:t>0853 (at 62</w:t>
            </w:r>
            <w:r w:rsidR="00004D50">
              <w:rPr>
                <w:rFonts w:cs="Arial"/>
                <w:szCs w:val="18"/>
                <w:lang w:val="en-GB"/>
              </w:rPr>
              <w:t xml:space="preserve"> °</w:t>
            </w:r>
            <w:r>
              <w:rPr>
                <w:rFonts w:cs="Arial"/>
                <w:szCs w:val="18"/>
                <w:lang w:val="en-GB"/>
              </w:rPr>
              <w:t>C)</w:t>
            </w:r>
          </w:p>
        </w:tc>
        <w:tc>
          <w:tcPr>
            <w:tcW w:w="493" w:type="pct"/>
            <w:shd w:val="clear" w:color="auto" w:fill="FFFFFF"/>
            <w:vAlign w:val="center"/>
          </w:tcPr>
          <w:p w14:paraId="47C02018" w14:textId="6FA8851F" w:rsidR="00B50115" w:rsidRPr="00B57B36" w:rsidRDefault="00B50115" w:rsidP="00B50115">
            <w:pPr>
              <w:pStyle w:val="CETBodytext"/>
              <w:ind w:right="-1"/>
              <w:jc w:val="center"/>
              <w:rPr>
                <w:rFonts w:cs="Arial"/>
                <w:szCs w:val="18"/>
                <w:lang w:val="en-GB"/>
              </w:rPr>
            </w:pPr>
            <w:r>
              <w:rPr>
                <w:rFonts w:cs="Arial"/>
                <w:szCs w:val="18"/>
                <w:lang w:val="en-GB"/>
              </w:rPr>
              <w:t>&lt;0,05</w:t>
            </w:r>
          </w:p>
        </w:tc>
        <w:tc>
          <w:tcPr>
            <w:tcW w:w="494" w:type="pct"/>
            <w:shd w:val="clear" w:color="auto" w:fill="FFFFFF"/>
            <w:vAlign w:val="center"/>
          </w:tcPr>
          <w:p w14:paraId="309C2059" w14:textId="0A180552" w:rsidR="00B50115" w:rsidRPr="00B57B36" w:rsidRDefault="00B50115" w:rsidP="00B50115">
            <w:pPr>
              <w:pStyle w:val="CETBodytext"/>
              <w:ind w:right="-1"/>
              <w:jc w:val="center"/>
              <w:rPr>
                <w:rFonts w:cs="Arial"/>
                <w:szCs w:val="18"/>
                <w:lang w:val="en-GB"/>
              </w:rPr>
            </w:pPr>
            <w:r>
              <w:t>57-10-3</w:t>
            </w:r>
          </w:p>
        </w:tc>
        <w:tc>
          <w:tcPr>
            <w:tcW w:w="494" w:type="pct"/>
            <w:shd w:val="clear" w:color="auto" w:fill="FFFFFF"/>
            <w:vAlign w:val="center"/>
          </w:tcPr>
          <w:p w14:paraId="4AEA7E1C" w14:textId="0A207B5D" w:rsidR="00B50115" w:rsidRDefault="00B50115" w:rsidP="00B50115">
            <w:pPr>
              <w:pStyle w:val="CETBodytext"/>
              <w:ind w:right="-1"/>
              <w:jc w:val="center"/>
            </w:pPr>
            <w:r>
              <w:t>C</w:t>
            </w:r>
            <w:r w:rsidRPr="005207B4">
              <w:rPr>
                <w:vertAlign w:val="subscript"/>
              </w:rPr>
              <w:t>16:0</w:t>
            </w:r>
          </w:p>
        </w:tc>
        <w:tc>
          <w:tcPr>
            <w:tcW w:w="494" w:type="pct"/>
            <w:shd w:val="clear" w:color="auto" w:fill="FFFFFF"/>
            <w:vAlign w:val="center"/>
          </w:tcPr>
          <w:p w14:paraId="4784870B" w14:textId="15400048" w:rsidR="00B50115" w:rsidRDefault="00B50115" w:rsidP="00B50115">
            <w:pPr>
              <w:pStyle w:val="CETBodytext"/>
              <w:ind w:right="-1"/>
              <w:jc w:val="center"/>
            </w:pPr>
            <w:r>
              <w:t>&gt;98</w:t>
            </w:r>
          </w:p>
        </w:tc>
      </w:tr>
      <w:tr w:rsidR="00B50115" w:rsidRPr="00B57B36" w14:paraId="726B3226" w14:textId="4FD38CD8" w:rsidTr="00B50115">
        <w:tc>
          <w:tcPr>
            <w:tcW w:w="494" w:type="pct"/>
            <w:shd w:val="clear" w:color="auto" w:fill="FFFFFF"/>
            <w:vAlign w:val="center"/>
          </w:tcPr>
          <w:p w14:paraId="314A561F" w14:textId="09E37764" w:rsidR="00B50115" w:rsidRDefault="00B50115" w:rsidP="00B50115">
            <w:pPr>
              <w:pStyle w:val="CETBodytext"/>
              <w:ind w:right="-1"/>
              <w:jc w:val="left"/>
              <w:rPr>
                <w:lang w:val="en-GB"/>
              </w:rPr>
            </w:pPr>
            <w:r>
              <w:t>Oleic acid</w:t>
            </w:r>
          </w:p>
        </w:tc>
        <w:tc>
          <w:tcPr>
            <w:tcW w:w="494" w:type="pct"/>
            <w:shd w:val="clear" w:color="auto" w:fill="FFFFFF"/>
            <w:vAlign w:val="center"/>
          </w:tcPr>
          <w:p w14:paraId="0BD6AAAC" w14:textId="50E16D75" w:rsidR="00B50115" w:rsidRPr="00B57B36" w:rsidRDefault="00B50115" w:rsidP="00B50115">
            <w:pPr>
              <w:pStyle w:val="CETBodytext"/>
              <w:ind w:right="-1"/>
              <w:jc w:val="center"/>
              <w:rPr>
                <w:rFonts w:cs="Arial"/>
                <w:szCs w:val="18"/>
                <w:lang w:val="en-GB"/>
              </w:rPr>
            </w:pPr>
            <w:r w:rsidRPr="00EB73C3">
              <w:t>282,46</w:t>
            </w:r>
          </w:p>
        </w:tc>
        <w:tc>
          <w:tcPr>
            <w:tcW w:w="494" w:type="pct"/>
            <w:shd w:val="clear" w:color="auto" w:fill="FFFFFF"/>
            <w:vAlign w:val="center"/>
          </w:tcPr>
          <w:p w14:paraId="455E3FEE" w14:textId="5817AA02" w:rsidR="00B50115" w:rsidRPr="00B57B36" w:rsidRDefault="00B50115" w:rsidP="00B50115">
            <w:pPr>
              <w:pStyle w:val="CETBodytext"/>
              <w:ind w:right="-1"/>
              <w:jc w:val="center"/>
              <w:rPr>
                <w:rFonts w:cs="Arial"/>
                <w:szCs w:val="18"/>
                <w:lang w:val="en-GB"/>
              </w:rPr>
            </w:pPr>
            <w:r w:rsidRPr="00B50115">
              <w:rPr>
                <w:rFonts w:cs="Arial"/>
                <w:szCs w:val="18"/>
                <w:lang w:val="en-GB"/>
              </w:rPr>
              <w:t>Thermo Scientific</w:t>
            </w:r>
          </w:p>
        </w:tc>
        <w:tc>
          <w:tcPr>
            <w:tcW w:w="494" w:type="pct"/>
            <w:shd w:val="clear" w:color="auto" w:fill="FFFFFF"/>
            <w:vAlign w:val="center"/>
          </w:tcPr>
          <w:p w14:paraId="4BC7772F" w14:textId="29E90DB9" w:rsidR="00B50115" w:rsidRPr="00B57B36" w:rsidRDefault="00B50115" w:rsidP="00B50115">
            <w:pPr>
              <w:pStyle w:val="CETBodytext"/>
              <w:ind w:right="-1"/>
              <w:jc w:val="center"/>
              <w:rPr>
                <w:rFonts w:cs="Arial"/>
                <w:szCs w:val="18"/>
                <w:lang w:val="en-GB"/>
              </w:rPr>
            </w:pPr>
            <w:r>
              <w:rPr>
                <w:rFonts w:cs="Arial"/>
                <w:szCs w:val="18"/>
                <w:lang w:val="en-GB"/>
              </w:rPr>
              <w:t>13-17</w:t>
            </w:r>
          </w:p>
        </w:tc>
        <w:tc>
          <w:tcPr>
            <w:tcW w:w="554" w:type="pct"/>
            <w:shd w:val="clear" w:color="auto" w:fill="FFFFFF"/>
            <w:vAlign w:val="center"/>
          </w:tcPr>
          <w:p w14:paraId="3E342B3A" w14:textId="364B34F0" w:rsidR="00B50115" w:rsidRPr="00B57B36" w:rsidRDefault="00B50115" w:rsidP="00B50115">
            <w:pPr>
              <w:pStyle w:val="CETBodytext"/>
              <w:ind w:right="-1"/>
              <w:jc w:val="center"/>
              <w:rPr>
                <w:rFonts w:cs="Arial"/>
                <w:szCs w:val="18"/>
                <w:lang w:val="en-GB"/>
              </w:rPr>
            </w:pPr>
            <w:r w:rsidRPr="00B50115">
              <w:rPr>
                <w:rFonts w:cs="Arial"/>
                <w:szCs w:val="18"/>
                <w:lang w:val="en-GB"/>
              </w:rPr>
              <w:t>yellowish/</w:t>
            </w:r>
            <w:r>
              <w:rPr>
                <w:rFonts w:cs="Arial"/>
                <w:szCs w:val="18"/>
                <w:lang w:val="en-GB"/>
              </w:rPr>
              <w:t xml:space="preserve"> </w:t>
            </w:r>
            <w:r w:rsidRPr="00B50115">
              <w:rPr>
                <w:rFonts w:cs="Arial"/>
                <w:szCs w:val="18"/>
                <w:lang w:val="en-GB"/>
              </w:rPr>
              <w:t>brownish liquid</w:t>
            </w:r>
          </w:p>
        </w:tc>
        <w:tc>
          <w:tcPr>
            <w:tcW w:w="494" w:type="pct"/>
            <w:shd w:val="clear" w:color="auto" w:fill="FFFFFF"/>
            <w:vAlign w:val="center"/>
          </w:tcPr>
          <w:p w14:paraId="6034AA35" w14:textId="12C0A405" w:rsidR="00B50115" w:rsidRPr="00B57B36" w:rsidRDefault="00B50115" w:rsidP="00B50115">
            <w:pPr>
              <w:pStyle w:val="CETBodytext"/>
              <w:ind w:right="-1"/>
              <w:jc w:val="center"/>
              <w:rPr>
                <w:rFonts w:cs="Arial"/>
                <w:szCs w:val="18"/>
                <w:lang w:val="en-GB"/>
              </w:rPr>
            </w:pPr>
            <w:r>
              <w:rPr>
                <w:rFonts w:cs="Arial"/>
                <w:szCs w:val="18"/>
                <w:lang w:val="en-GB"/>
              </w:rPr>
              <w:t>0,890 (at 20</w:t>
            </w:r>
            <w:r w:rsidR="00004D50">
              <w:rPr>
                <w:rFonts w:cs="Arial"/>
                <w:szCs w:val="18"/>
                <w:lang w:val="en-GB"/>
              </w:rPr>
              <w:t xml:space="preserve"> </w:t>
            </w:r>
            <w:r>
              <w:rPr>
                <w:rFonts w:cs="Arial"/>
                <w:szCs w:val="18"/>
                <w:lang w:val="en-GB"/>
              </w:rPr>
              <w:t>°C)</w:t>
            </w:r>
          </w:p>
        </w:tc>
        <w:tc>
          <w:tcPr>
            <w:tcW w:w="493" w:type="pct"/>
            <w:shd w:val="clear" w:color="auto" w:fill="FFFFFF"/>
            <w:vAlign w:val="center"/>
          </w:tcPr>
          <w:p w14:paraId="5F72A811" w14:textId="299CFACC" w:rsidR="00B50115" w:rsidRPr="00B57B36" w:rsidRDefault="00B50115" w:rsidP="00B50115">
            <w:pPr>
              <w:pStyle w:val="CETBodytext"/>
              <w:ind w:right="-1"/>
              <w:jc w:val="center"/>
              <w:rPr>
                <w:rFonts w:cs="Arial"/>
                <w:szCs w:val="18"/>
                <w:lang w:val="en-GB"/>
              </w:rPr>
            </w:pPr>
            <w:r>
              <w:rPr>
                <w:rFonts w:cs="Arial"/>
                <w:szCs w:val="18"/>
                <w:lang w:val="en-GB"/>
              </w:rPr>
              <w:t>&lt;0,05</w:t>
            </w:r>
          </w:p>
        </w:tc>
        <w:tc>
          <w:tcPr>
            <w:tcW w:w="494" w:type="pct"/>
            <w:shd w:val="clear" w:color="auto" w:fill="FFFFFF"/>
            <w:vAlign w:val="center"/>
          </w:tcPr>
          <w:p w14:paraId="4CA674D5" w14:textId="67B75E64" w:rsidR="00B50115" w:rsidRPr="00B57B36" w:rsidRDefault="00B50115" w:rsidP="00B50115">
            <w:pPr>
              <w:pStyle w:val="CETBodytext"/>
              <w:ind w:right="-1"/>
              <w:jc w:val="center"/>
              <w:rPr>
                <w:rFonts w:cs="Arial"/>
                <w:szCs w:val="18"/>
                <w:lang w:val="en-GB"/>
              </w:rPr>
            </w:pPr>
            <w:r>
              <w:t>112-80-1</w:t>
            </w:r>
          </w:p>
        </w:tc>
        <w:tc>
          <w:tcPr>
            <w:tcW w:w="494" w:type="pct"/>
            <w:shd w:val="clear" w:color="auto" w:fill="FFFFFF"/>
            <w:vAlign w:val="center"/>
          </w:tcPr>
          <w:p w14:paraId="72DC2CDD" w14:textId="0F6AE34B" w:rsidR="00B50115" w:rsidRDefault="00B50115" w:rsidP="00B50115">
            <w:pPr>
              <w:pStyle w:val="CETBodytext"/>
              <w:ind w:right="-1"/>
              <w:jc w:val="center"/>
            </w:pPr>
            <w:r>
              <w:t>C</w:t>
            </w:r>
            <w:r w:rsidRPr="005207B4">
              <w:rPr>
                <w:vertAlign w:val="subscript"/>
              </w:rPr>
              <w:t>18:1</w:t>
            </w:r>
          </w:p>
        </w:tc>
        <w:tc>
          <w:tcPr>
            <w:tcW w:w="494" w:type="pct"/>
            <w:shd w:val="clear" w:color="auto" w:fill="FFFFFF"/>
            <w:vAlign w:val="center"/>
          </w:tcPr>
          <w:p w14:paraId="01CF0E64" w14:textId="14DBDF13" w:rsidR="00B50115" w:rsidRDefault="00B76446" w:rsidP="00B50115">
            <w:pPr>
              <w:pStyle w:val="CETBodytext"/>
              <w:ind w:right="-1"/>
              <w:jc w:val="center"/>
            </w:pPr>
            <w:r>
              <w:t>&gt;96</w:t>
            </w:r>
          </w:p>
        </w:tc>
      </w:tr>
      <w:tr w:rsidR="00B50115" w:rsidRPr="00B57B36" w14:paraId="1BDBD4C6" w14:textId="13A6B035" w:rsidTr="00B50115">
        <w:tc>
          <w:tcPr>
            <w:tcW w:w="494" w:type="pct"/>
            <w:shd w:val="clear" w:color="auto" w:fill="FFFFFF"/>
            <w:vAlign w:val="center"/>
          </w:tcPr>
          <w:p w14:paraId="156FD318" w14:textId="66A49621" w:rsidR="00B50115" w:rsidRDefault="00B50115" w:rsidP="00B50115">
            <w:pPr>
              <w:pStyle w:val="CETBodytext"/>
              <w:ind w:right="-1"/>
              <w:jc w:val="left"/>
              <w:rPr>
                <w:lang w:val="en-GB"/>
              </w:rPr>
            </w:pPr>
            <w:r>
              <w:t>Stearic acid</w:t>
            </w:r>
          </w:p>
        </w:tc>
        <w:tc>
          <w:tcPr>
            <w:tcW w:w="494" w:type="pct"/>
            <w:shd w:val="clear" w:color="auto" w:fill="FFFFFF"/>
            <w:vAlign w:val="center"/>
          </w:tcPr>
          <w:p w14:paraId="7E01F9C9" w14:textId="7330F86B" w:rsidR="00B50115" w:rsidRPr="00B57B36" w:rsidRDefault="00B50115" w:rsidP="00B50115">
            <w:pPr>
              <w:pStyle w:val="CETBodytext"/>
              <w:ind w:right="-1"/>
              <w:jc w:val="center"/>
              <w:rPr>
                <w:rFonts w:cs="Arial"/>
                <w:szCs w:val="18"/>
                <w:lang w:val="en-GB"/>
              </w:rPr>
            </w:pPr>
            <w:r w:rsidRPr="00EB73C3">
              <w:t>284,48</w:t>
            </w:r>
          </w:p>
        </w:tc>
        <w:tc>
          <w:tcPr>
            <w:tcW w:w="494" w:type="pct"/>
            <w:shd w:val="clear" w:color="auto" w:fill="FFFFFF"/>
            <w:vAlign w:val="center"/>
          </w:tcPr>
          <w:p w14:paraId="2CD88B75" w14:textId="1F7EDB1F" w:rsidR="00B50115" w:rsidRPr="00B57B36" w:rsidRDefault="00B50115" w:rsidP="00B50115">
            <w:pPr>
              <w:pStyle w:val="CETBodytext"/>
              <w:ind w:right="-1"/>
              <w:jc w:val="center"/>
              <w:rPr>
                <w:rFonts w:cs="Arial"/>
                <w:szCs w:val="18"/>
                <w:lang w:val="en-GB"/>
              </w:rPr>
            </w:pPr>
            <w:r w:rsidRPr="00B50115">
              <w:rPr>
                <w:rFonts w:cs="Arial"/>
                <w:szCs w:val="18"/>
                <w:lang w:val="en-GB"/>
              </w:rPr>
              <w:t>Sigma</w:t>
            </w:r>
            <w:r>
              <w:rPr>
                <w:rFonts w:cs="Arial"/>
                <w:szCs w:val="18"/>
                <w:lang w:val="en-GB"/>
              </w:rPr>
              <w:t>-</w:t>
            </w:r>
            <w:r w:rsidRPr="00B50115">
              <w:rPr>
                <w:rFonts w:cs="Arial"/>
                <w:szCs w:val="18"/>
                <w:lang w:val="en-GB"/>
              </w:rPr>
              <w:t>Aldrich</w:t>
            </w:r>
          </w:p>
        </w:tc>
        <w:tc>
          <w:tcPr>
            <w:tcW w:w="494" w:type="pct"/>
            <w:shd w:val="clear" w:color="auto" w:fill="FFFFFF"/>
            <w:vAlign w:val="center"/>
          </w:tcPr>
          <w:p w14:paraId="0A6ACFAA" w14:textId="0B44800D" w:rsidR="00B50115" w:rsidRPr="00B57B36" w:rsidRDefault="00B50115" w:rsidP="00B50115">
            <w:pPr>
              <w:pStyle w:val="CETBodytext"/>
              <w:ind w:right="-1"/>
              <w:jc w:val="center"/>
              <w:rPr>
                <w:rFonts w:cs="Arial"/>
                <w:szCs w:val="18"/>
                <w:lang w:val="en-GB"/>
              </w:rPr>
            </w:pPr>
            <w:r>
              <w:rPr>
                <w:rFonts w:cs="Arial"/>
                <w:szCs w:val="18"/>
                <w:lang w:val="en-GB"/>
              </w:rPr>
              <w:t>68-70</w:t>
            </w:r>
          </w:p>
        </w:tc>
        <w:tc>
          <w:tcPr>
            <w:tcW w:w="554" w:type="pct"/>
            <w:shd w:val="clear" w:color="auto" w:fill="FFFFFF"/>
            <w:vAlign w:val="center"/>
          </w:tcPr>
          <w:p w14:paraId="3EAD5D29" w14:textId="656605F4" w:rsidR="00B50115" w:rsidRPr="00B57B36" w:rsidRDefault="00B50115" w:rsidP="00B50115">
            <w:pPr>
              <w:pStyle w:val="CETBodytext"/>
              <w:ind w:right="-1"/>
              <w:jc w:val="center"/>
              <w:rPr>
                <w:rFonts w:cs="Arial"/>
                <w:szCs w:val="18"/>
                <w:lang w:val="en-GB"/>
              </w:rPr>
            </w:pPr>
            <w:r>
              <w:rPr>
                <w:rFonts w:cs="Arial"/>
                <w:szCs w:val="18"/>
                <w:lang w:val="en-GB"/>
              </w:rPr>
              <w:t>White, solid</w:t>
            </w:r>
          </w:p>
        </w:tc>
        <w:tc>
          <w:tcPr>
            <w:tcW w:w="494" w:type="pct"/>
            <w:shd w:val="clear" w:color="auto" w:fill="FFFFFF"/>
            <w:vAlign w:val="center"/>
          </w:tcPr>
          <w:p w14:paraId="28244A8B" w14:textId="03610A98" w:rsidR="00B50115" w:rsidRPr="00B57B36" w:rsidRDefault="00B50115" w:rsidP="00B50115">
            <w:pPr>
              <w:pStyle w:val="CETBodytext"/>
              <w:ind w:right="-1"/>
              <w:jc w:val="center"/>
              <w:rPr>
                <w:rFonts w:cs="Arial"/>
                <w:szCs w:val="18"/>
                <w:lang w:val="en-GB"/>
              </w:rPr>
            </w:pPr>
            <w:r>
              <w:rPr>
                <w:rFonts w:cs="Arial"/>
                <w:szCs w:val="18"/>
                <w:lang w:val="en-GB"/>
              </w:rPr>
              <w:t>0,845 (at 73</w:t>
            </w:r>
            <w:r w:rsidR="00004D50">
              <w:rPr>
                <w:rFonts w:cs="Arial"/>
                <w:szCs w:val="18"/>
                <w:lang w:val="en-GB"/>
              </w:rPr>
              <w:t xml:space="preserve"> </w:t>
            </w:r>
            <w:r>
              <w:rPr>
                <w:rFonts w:cs="Arial"/>
                <w:szCs w:val="18"/>
                <w:lang w:val="en-GB"/>
              </w:rPr>
              <w:t>°C)</w:t>
            </w:r>
          </w:p>
        </w:tc>
        <w:tc>
          <w:tcPr>
            <w:tcW w:w="493" w:type="pct"/>
            <w:shd w:val="clear" w:color="auto" w:fill="FFFFFF"/>
            <w:vAlign w:val="center"/>
          </w:tcPr>
          <w:p w14:paraId="134C8732" w14:textId="5533E371" w:rsidR="00B50115" w:rsidRPr="00B57B36" w:rsidRDefault="00B50115" w:rsidP="00B50115">
            <w:pPr>
              <w:pStyle w:val="CETBodytext"/>
              <w:ind w:right="-1"/>
              <w:jc w:val="center"/>
              <w:rPr>
                <w:rFonts w:cs="Arial"/>
                <w:szCs w:val="18"/>
                <w:lang w:val="en-GB"/>
              </w:rPr>
            </w:pPr>
            <w:r>
              <w:rPr>
                <w:rFonts w:cs="Arial"/>
                <w:szCs w:val="18"/>
                <w:lang w:val="en-GB"/>
              </w:rPr>
              <w:t>&lt;0,05</w:t>
            </w:r>
          </w:p>
        </w:tc>
        <w:tc>
          <w:tcPr>
            <w:tcW w:w="494" w:type="pct"/>
            <w:shd w:val="clear" w:color="auto" w:fill="FFFFFF"/>
            <w:vAlign w:val="center"/>
          </w:tcPr>
          <w:p w14:paraId="79EB54B0" w14:textId="3DDFDB33" w:rsidR="00B50115" w:rsidRPr="00B57B36" w:rsidRDefault="00B50115" w:rsidP="00B50115">
            <w:pPr>
              <w:pStyle w:val="CETBodytext"/>
              <w:ind w:right="-1"/>
              <w:jc w:val="center"/>
              <w:rPr>
                <w:rFonts w:cs="Arial"/>
                <w:szCs w:val="18"/>
                <w:lang w:val="en-GB"/>
              </w:rPr>
            </w:pPr>
            <w:r>
              <w:t>57-11-4</w:t>
            </w:r>
          </w:p>
        </w:tc>
        <w:tc>
          <w:tcPr>
            <w:tcW w:w="494" w:type="pct"/>
            <w:shd w:val="clear" w:color="auto" w:fill="FFFFFF"/>
            <w:vAlign w:val="center"/>
          </w:tcPr>
          <w:p w14:paraId="41A36436" w14:textId="2A5E56CD" w:rsidR="00B50115" w:rsidRDefault="00B50115" w:rsidP="00B50115">
            <w:pPr>
              <w:pStyle w:val="CETBodytext"/>
              <w:ind w:right="-1"/>
              <w:jc w:val="center"/>
            </w:pPr>
            <w:r>
              <w:t>C</w:t>
            </w:r>
            <w:r w:rsidRPr="005207B4">
              <w:rPr>
                <w:vertAlign w:val="subscript"/>
              </w:rPr>
              <w:t>18:0</w:t>
            </w:r>
          </w:p>
        </w:tc>
        <w:tc>
          <w:tcPr>
            <w:tcW w:w="494" w:type="pct"/>
            <w:shd w:val="clear" w:color="auto" w:fill="FFFFFF"/>
            <w:vAlign w:val="center"/>
          </w:tcPr>
          <w:p w14:paraId="7CC28E35" w14:textId="3DFCCA71" w:rsidR="00B50115" w:rsidRDefault="00B50115" w:rsidP="00B50115">
            <w:pPr>
              <w:pStyle w:val="CETBodytext"/>
              <w:ind w:right="-1"/>
              <w:jc w:val="center"/>
            </w:pPr>
            <w:r>
              <w:t>&gt;97</w:t>
            </w:r>
          </w:p>
        </w:tc>
      </w:tr>
    </w:tbl>
    <w:p w14:paraId="6B53408D" w14:textId="77777777" w:rsidR="006076BC" w:rsidRDefault="006076BC" w:rsidP="00E504BA">
      <w:pPr>
        <w:pStyle w:val="CETBodytext"/>
      </w:pPr>
    </w:p>
    <w:p w14:paraId="4FEA2461" w14:textId="0DE8BFAC" w:rsidR="00E504BA" w:rsidRDefault="00E504BA" w:rsidP="00E504BA">
      <w:pPr>
        <w:pStyle w:val="CETBodytext"/>
      </w:pPr>
      <w:r>
        <w:t xml:space="preserve">Apart from the unique fatty acids, </w:t>
      </w:r>
      <w:proofErr w:type="spellStart"/>
      <w:r>
        <w:t>diet</w:t>
      </w:r>
      <w:r w:rsidR="0029236D">
        <w:t>h</w:t>
      </w:r>
      <w:r>
        <w:t>anolamine</w:t>
      </w:r>
      <w:proofErr w:type="spellEnd"/>
      <w:r>
        <w:t xml:space="preserve"> was utilized as a reagent in the synthesis, along with potassium hydroxide serving as a catalyst. Main properties of these materials are summarized in Table 2.</w:t>
      </w:r>
    </w:p>
    <w:p w14:paraId="350DDC5D" w14:textId="6FCB9C12" w:rsidR="008E060F" w:rsidRDefault="008E060F" w:rsidP="00E504BA">
      <w:pPr>
        <w:pStyle w:val="CETBodytext"/>
      </w:pPr>
    </w:p>
    <w:p w14:paraId="712F58E5" w14:textId="40723ADC" w:rsidR="008E060F" w:rsidRDefault="008E060F" w:rsidP="00E504BA">
      <w:pPr>
        <w:pStyle w:val="CETBodytext"/>
      </w:pPr>
    </w:p>
    <w:p w14:paraId="7948D286" w14:textId="79C15F41" w:rsidR="008E060F" w:rsidRDefault="008E060F" w:rsidP="00E504BA">
      <w:pPr>
        <w:pStyle w:val="CETBodytext"/>
      </w:pPr>
    </w:p>
    <w:p w14:paraId="0A703521" w14:textId="77777777" w:rsidR="008E060F" w:rsidRDefault="008E060F" w:rsidP="00E504BA">
      <w:pPr>
        <w:pStyle w:val="CETBodytext"/>
      </w:pPr>
    </w:p>
    <w:p w14:paraId="6F2EFD28" w14:textId="37EB3CAD" w:rsidR="00E504BA" w:rsidRPr="00B57B36" w:rsidRDefault="00E504BA" w:rsidP="00E504BA">
      <w:pPr>
        <w:pStyle w:val="CETTabletitle"/>
      </w:pPr>
      <w:r w:rsidRPr="00B57B36">
        <w:lastRenderedPageBreak/>
        <w:t xml:space="preserve">Table </w:t>
      </w:r>
      <w:r>
        <w:t>2</w:t>
      </w:r>
      <w:r w:rsidRPr="00B57B36">
        <w:t xml:space="preserve">: </w:t>
      </w:r>
      <w:r>
        <w:t xml:space="preserve">The main properties of used </w:t>
      </w:r>
      <w:proofErr w:type="spellStart"/>
      <w:r w:rsidR="00DA1985">
        <w:t>diethanolamine</w:t>
      </w:r>
      <w:proofErr w:type="spellEnd"/>
      <w:r w:rsidR="00DA1985">
        <w:t xml:space="preserve"> and catalyst</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663"/>
        <w:gridCol w:w="958"/>
        <w:gridCol w:w="1037"/>
        <w:gridCol w:w="970"/>
        <w:gridCol w:w="949"/>
        <w:gridCol w:w="1293"/>
        <w:gridCol w:w="961"/>
        <w:gridCol w:w="956"/>
      </w:tblGrid>
      <w:tr w:rsidR="00DA1985" w:rsidRPr="00B57B36" w14:paraId="19EB29C0" w14:textId="77777777" w:rsidTr="00DA1985">
        <w:tc>
          <w:tcPr>
            <w:tcW w:w="946" w:type="pct"/>
            <w:tcBorders>
              <w:top w:val="single" w:sz="12" w:space="0" w:color="008000"/>
              <w:bottom w:val="single" w:sz="6" w:space="0" w:color="008000"/>
            </w:tcBorders>
            <w:shd w:val="clear" w:color="auto" w:fill="FFFFFF"/>
            <w:vAlign w:val="center"/>
          </w:tcPr>
          <w:p w14:paraId="78B2E495" w14:textId="5C861E00" w:rsidR="00DA1985" w:rsidRPr="00B57B36" w:rsidRDefault="00DA1985" w:rsidP="00F10D6A">
            <w:pPr>
              <w:pStyle w:val="CETBodytext"/>
              <w:jc w:val="left"/>
              <w:rPr>
                <w:lang w:val="en-GB"/>
              </w:rPr>
            </w:pPr>
            <w:r>
              <w:rPr>
                <w:lang w:val="en-GB"/>
              </w:rPr>
              <w:t>Name of material</w:t>
            </w:r>
          </w:p>
        </w:tc>
        <w:tc>
          <w:tcPr>
            <w:tcW w:w="545" w:type="pct"/>
            <w:tcBorders>
              <w:top w:val="single" w:sz="12" w:space="0" w:color="008000"/>
              <w:bottom w:val="single" w:sz="6" w:space="0" w:color="008000"/>
            </w:tcBorders>
            <w:shd w:val="clear" w:color="auto" w:fill="FFFFFF"/>
            <w:vAlign w:val="center"/>
          </w:tcPr>
          <w:p w14:paraId="1C680FAA" w14:textId="4C7A8A22" w:rsidR="00DA1985" w:rsidRDefault="00DA1985" w:rsidP="00DA1985">
            <w:pPr>
              <w:pStyle w:val="CETBodytext"/>
              <w:jc w:val="center"/>
            </w:pPr>
            <w:r>
              <w:t>Short name</w:t>
            </w:r>
          </w:p>
        </w:tc>
        <w:tc>
          <w:tcPr>
            <w:tcW w:w="590" w:type="pct"/>
            <w:tcBorders>
              <w:top w:val="single" w:sz="12" w:space="0" w:color="008000"/>
              <w:bottom w:val="single" w:sz="6" w:space="0" w:color="008000"/>
            </w:tcBorders>
            <w:shd w:val="clear" w:color="auto" w:fill="FFFFFF"/>
            <w:vAlign w:val="center"/>
          </w:tcPr>
          <w:p w14:paraId="01F82E7B" w14:textId="52337DA5" w:rsidR="00DA1985" w:rsidRPr="00B57B36" w:rsidRDefault="00DA1985" w:rsidP="00DA1985">
            <w:pPr>
              <w:pStyle w:val="CETBodytext"/>
              <w:jc w:val="center"/>
              <w:rPr>
                <w:lang w:val="en-GB"/>
              </w:rPr>
            </w:pPr>
            <w:r>
              <w:t>Average molecular weight, g/mol</w:t>
            </w:r>
          </w:p>
        </w:tc>
        <w:tc>
          <w:tcPr>
            <w:tcW w:w="552" w:type="pct"/>
            <w:tcBorders>
              <w:top w:val="single" w:sz="12" w:space="0" w:color="008000"/>
              <w:bottom w:val="single" w:sz="6" w:space="0" w:color="008000"/>
            </w:tcBorders>
            <w:shd w:val="clear" w:color="auto" w:fill="FFFFFF"/>
            <w:vAlign w:val="center"/>
          </w:tcPr>
          <w:p w14:paraId="291BCC06" w14:textId="77777777" w:rsidR="00DA1985" w:rsidRPr="00B57B36" w:rsidRDefault="00DA1985" w:rsidP="00DA1985">
            <w:pPr>
              <w:pStyle w:val="CETBodytext"/>
              <w:jc w:val="center"/>
              <w:rPr>
                <w:lang w:val="en-GB"/>
              </w:rPr>
            </w:pPr>
            <w:r>
              <w:rPr>
                <w:lang w:val="en-GB"/>
              </w:rPr>
              <w:t>Producer</w:t>
            </w:r>
          </w:p>
        </w:tc>
        <w:tc>
          <w:tcPr>
            <w:tcW w:w="540" w:type="pct"/>
            <w:tcBorders>
              <w:top w:val="single" w:sz="12" w:space="0" w:color="008000"/>
              <w:bottom w:val="single" w:sz="6" w:space="0" w:color="008000"/>
            </w:tcBorders>
            <w:shd w:val="clear" w:color="auto" w:fill="FFFFFF"/>
            <w:vAlign w:val="center"/>
          </w:tcPr>
          <w:p w14:paraId="2A6EC385" w14:textId="77777777" w:rsidR="00DA1985" w:rsidRPr="00B57B36" w:rsidRDefault="00DA1985" w:rsidP="00DA1985">
            <w:pPr>
              <w:pStyle w:val="CETBodytext"/>
              <w:ind w:right="-1"/>
              <w:jc w:val="center"/>
              <w:rPr>
                <w:rFonts w:cs="Arial"/>
                <w:szCs w:val="18"/>
                <w:lang w:val="en-GB"/>
              </w:rPr>
            </w:pPr>
            <w:r>
              <w:rPr>
                <w:rFonts w:cs="Arial"/>
                <w:szCs w:val="18"/>
                <w:lang w:val="en-GB"/>
              </w:rPr>
              <w:t>Melting point, °C</w:t>
            </w:r>
          </w:p>
        </w:tc>
        <w:tc>
          <w:tcPr>
            <w:tcW w:w="736" w:type="pct"/>
            <w:tcBorders>
              <w:top w:val="single" w:sz="12" w:space="0" w:color="008000"/>
              <w:bottom w:val="single" w:sz="6" w:space="0" w:color="008000"/>
            </w:tcBorders>
            <w:shd w:val="clear" w:color="auto" w:fill="FFFFFF"/>
            <w:vAlign w:val="center"/>
          </w:tcPr>
          <w:p w14:paraId="764F9EC7" w14:textId="77777777" w:rsidR="00DA1985" w:rsidRPr="00B57B36" w:rsidRDefault="00DA1985" w:rsidP="00DA1985">
            <w:pPr>
              <w:pStyle w:val="CETBodytext"/>
              <w:ind w:right="-1"/>
              <w:jc w:val="center"/>
              <w:rPr>
                <w:rFonts w:cs="Arial"/>
                <w:szCs w:val="18"/>
                <w:lang w:val="en-GB"/>
              </w:rPr>
            </w:pPr>
            <w:r>
              <w:rPr>
                <w:rFonts w:cs="Arial"/>
                <w:szCs w:val="18"/>
                <w:lang w:val="en-GB"/>
              </w:rPr>
              <w:t>Appearance</w:t>
            </w:r>
          </w:p>
        </w:tc>
        <w:tc>
          <w:tcPr>
            <w:tcW w:w="547" w:type="pct"/>
            <w:tcBorders>
              <w:top w:val="single" w:sz="12" w:space="0" w:color="008000"/>
              <w:bottom w:val="single" w:sz="6" w:space="0" w:color="008000"/>
            </w:tcBorders>
            <w:shd w:val="clear" w:color="auto" w:fill="FFFFFF"/>
            <w:vAlign w:val="center"/>
          </w:tcPr>
          <w:p w14:paraId="578FE63D" w14:textId="77777777" w:rsidR="00DA1985" w:rsidRDefault="00DA1985" w:rsidP="00DA1985">
            <w:pPr>
              <w:pStyle w:val="CETBodytext"/>
              <w:ind w:right="-1"/>
              <w:jc w:val="center"/>
              <w:rPr>
                <w:rFonts w:cs="Arial"/>
                <w:szCs w:val="18"/>
                <w:lang w:val="en-GB"/>
              </w:rPr>
            </w:pPr>
            <w:r>
              <w:rPr>
                <w:rFonts w:cs="Arial"/>
                <w:szCs w:val="18"/>
                <w:lang w:val="en-GB"/>
              </w:rPr>
              <w:t>CAS Number</w:t>
            </w:r>
          </w:p>
        </w:tc>
        <w:tc>
          <w:tcPr>
            <w:tcW w:w="544" w:type="pct"/>
            <w:tcBorders>
              <w:top w:val="single" w:sz="12" w:space="0" w:color="008000"/>
              <w:bottom w:val="single" w:sz="6" w:space="0" w:color="008000"/>
            </w:tcBorders>
            <w:shd w:val="clear" w:color="auto" w:fill="FFFFFF"/>
            <w:vAlign w:val="center"/>
          </w:tcPr>
          <w:p w14:paraId="4C70AEB5" w14:textId="77777777" w:rsidR="00DA1985" w:rsidRDefault="00DA1985" w:rsidP="00DA1985">
            <w:pPr>
              <w:pStyle w:val="CETBodytext"/>
              <w:ind w:right="-1"/>
              <w:jc w:val="center"/>
              <w:rPr>
                <w:rFonts w:cs="Arial"/>
                <w:szCs w:val="18"/>
                <w:lang w:val="en-GB"/>
              </w:rPr>
            </w:pPr>
            <w:r>
              <w:rPr>
                <w:rFonts w:cs="Arial"/>
                <w:szCs w:val="18"/>
                <w:lang w:val="en-GB"/>
              </w:rPr>
              <w:t>Purity, %</w:t>
            </w:r>
          </w:p>
        </w:tc>
      </w:tr>
      <w:tr w:rsidR="00DA1985" w:rsidRPr="00B57B36" w14:paraId="6ABBA72E" w14:textId="77777777" w:rsidTr="00DA1985">
        <w:tc>
          <w:tcPr>
            <w:tcW w:w="946" w:type="pct"/>
            <w:shd w:val="clear" w:color="auto" w:fill="FFFFFF"/>
            <w:vAlign w:val="center"/>
          </w:tcPr>
          <w:p w14:paraId="6DAD75FA" w14:textId="26F40559" w:rsidR="00DA1985" w:rsidRPr="00B57B36" w:rsidRDefault="00DA1985" w:rsidP="00F10D6A">
            <w:pPr>
              <w:pStyle w:val="CETBodytext"/>
              <w:jc w:val="left"/>
              <w:rPr>
                <w:lang w:val="en-GB"/>
              </w:rPr>
            </w:pPr>
            <w:proofErr w:type="spellStart"/>
            <w:r>
              <w:t>Diethanolamine</w:t>
            </w:r>
            <w:proofErr w:type="spellEnd"/>
          </w:p>
        </w:tc>
        <w:tc>
          <w:tcPr>
            <w:tcW w:w="545" w:type="pct"/>
            <w:shd w:val="clear" w:color="auto" w:fill="FFFFFF"/>
            <w:vAlign w:val="center"/>
          </w:tcPr>
          <w:p w14:paraId="6B4226F7" w14:textId="7A4B5C79" w:rsidR="00DA1985" w:rsidRPr="00EB73C3" w:rsidRDefault="00DA1985" w:rsidP="00DA1985">
            <w:pPr>
              <w:pStyle w:val="CETBodytext"/>
              <w:jc w:val="center"/>
            </w:pPr>
            <w:r>
              <w:t>DEA</w:t>
            </w:r>
          </w:p>
        </w:tc>
        <w:tc>
          <w:tcPr>
            <w:tcW w:w="590" w:type="pct"/>
            <w:shd w:val="clear" w:color="auto" w:fill="FFFFFF"/>
            <w:vAlign w:val="center"/>
          </w:tcPr>
          <w:p w14:paraId="3293DFBF" w14:textId="203BEA0A" w:rsidR="00DA1985" w:rsidRPr="00B57B36" w:rsidRDefault="00DA1985" w:rsidP="00DA1985">
            <w:pPr>
              <w:pStyle w:val="CETBodytext"/>
              <w:jc w:val="center"/>
              <w:rPr>
                <w:lang w:val="en-GB"/>
              </w:rPr>
            </w:pPr>
            <w:r>
              <w:t>105,14</w:t>
            </w:r>
          </w:p>
        </w:tc>
        <w:tc>
          <w:tcPr>
            <w:tcW w:w="552" w:type="pct"/>
            <w:shd w:val="clear" w:color="auto" w:fill="FFFFFF"/>
            <w:vAlign w:val="center"/>
          </w:tcPr>
          <w:p w14:paraId="6DFB79D3" w14:textId="2A23A448" w:rsidR="00DA1985" w:rsidRPr="00B50115" w:rsidRDefault="00DA1985" w:rsidP="00DA1985">
            <w:pPr>
              <w:pStyle w:val="CETBodytext"/>
              <w:ind w:right="-1"/>
              <w:jc w:val="center"/>
              <w:rPr>
                <w:rFonts w:cs="Arial"/>
                <w:szCs w:val="18"/>
                <w:lang w:val="en-GB"/>
              </w:rPr>
            </w:pPr>
            <w:r w:rsidRPr="00DA1985">
              <w:rPr>
                <w:rFonts w:cs="Arial"/>
                <w:szCs w:val="18"/>
                <w:lang w:val="en-GB"/>
              </w:rPr>
              <w:t>Thermo Scientific</w:t>
            </w:r>
          </w:p>
        </w:tc>
        <w:tc>
          <w:tcPr>
            <w:tcW w:w="540" w:type="pct"/>
            <w:shd w:val="clear" w:color="auto" w:fill="FFFFFF"/>
            <w:vAlign w:val="center"/>
          </w:tcPr>
          <w:p w14:paraId="637D92E1" w14:textId="3FEDB6E0" w:rsidR="00DA1985" w:rsidRPr="00B57B36" w:rsidRDefault="00DA1985" w:rsidP="00DA1985">
            <w:pPr>
              <w:pStyle w:val="CETBodytext"/>
              <w:ind w:right="-1"/>
              <w:jc w:val="center"/>
              <w:rPr>
                <w:rFonts w:cs="Arial"/>
                <w:szCs w:val="18"/>
                <w:lang w:val="en-GB"/>
              </w:rPr>
            </w:pPr>
            <w:r>
              <w:rPr>
                <w:rFonts w:cs="Arial"/>
                <w:szCs w:val="18"/>
                <w:lang w:val="en-GB"/>
              </w:rPr>
              <w:t>26-30</w:t>
            </w:r>
          </w:p>
        </w:tc>
        <w:tc>
          <w:tcPr>
            <w:tcW w:w="736" w:type="pct"/>
            <w:shd w:val="clear" w:color="auto" w:fill="FFFFFF"/>
            <w:vAlign w:val="center"/>
          </w:tcPr>
          <w:p w14:paraId="6378AC0F" w14:textId="78CBB196" w:rsidR="00DA1985" w:rsidRPr="00B57B36" w:rsidRDefault="00DA1985" w:rsidP="00DA1985">
            <w:pPr>
              <w:pStyle w:val="CETBodytext"/>
              <w:ind w:right="-1"/>
              <w:jc w:val="center"/>
              <w:rPr>
                <w:rFonts w:cs="Arial"/>
                <w:szCs w:val="18"/>
                <w:lang w:val="en-GB"/>
              </w:rPr>
            </w:pPr>
            <w:r>
              <w:rPr>
                <w:rFonts w:cs="Arial"/>
                <w:szCs w:val="18"/>
                <w:lang w:val="en-GB"/>
              </w:rPr>
              <w:t>Colourless, solid</w:t>
            </w:r>
          </w:p>
        </w:tc>
        <w:tc>
          <w:tcPr>
            <w:tcW w:w="547" w:type="pct"/>
            <w:shd w:val="clear" w:color="auto" w:fill="FFFFFF"/>
            <w:vAlign w:val="center"/>
          </w:tcPr>
          <w:p w14:paraId="01A4D21A" w14:textId="276660B9" w:rsidR="00DA1985" w:rsidRPr="00B57B36" w:rsidRDefault="00DA1985" w:rsidP="00DA1985">
            <w:pPr>
              <w:pStyle w:val="CETBodytext"/>
              <w:ind w:right="-1"/>
              <w:jc w:val="center"/>
              <w:rPr>
                <w:rFonts w:cs="Arial"/>
                <w:szCs w:val="18"/>
                <w:lang w:val="en-GB"/>
              </w:rPr>
            </w:pPr>
            <w:r>
              <w:t>111-42-2</w:t>
            </w:r>
          </w:p>
        </w:tc>
        <w:tc>
          <w:tcPr>
            <w:tcW w:w="544" w:type="pct"/>
            <w:shd w:val="clear" w:color="auto" w:fill="FFFFFF"/>
            <w:vAlign w:val="center"/>
          </w:tcPr>
          <w:p w14:paraId="10BE2C71" w14:textId="4FC95EEA" w:rsidR="00DA1985" w:rsidRDefault="00DA1985" w:rsidP="00DA1985">
            <w:pPr>
              <w:pStyle w:val="CETBodytext"/>
              <w:ind w:right="-1"/>
              <w:jc w:val="center"/>
            </w:pPr>
            <w:r>
              <w:t>&gt;98,5</w:t>
            </w:r>
          </w:p>
        </w:tc>
      </w:tr>
      <w:tr w:rsidR="00DA1985" w:rsidRPr="00B57B36" w14:paraId="7AA7CC0B" w14:textId="77777777" w:rsidTr="00DA1985">
        <w:tc>
          <w:tcPr>
            <w:tcW w:w="946" w:type="pct"/>
            <w:shd w:val="clear" w:color="auto" w:fill="FFFFFF"/>
            <w:vAlign w:val="center"/>
          </w:tcPr>
          <w:p w14:paraId="3C0973C7" w14:textId="588775FA" w:rsidR="00DA1985" w:rsidRPr="00B57B36" w:rsidRDefault="00DA1985" w:rsidP="00F10D6A">
            <w:pPr>
              <w:pStyle w:val="CETBodytext"/>
              <w:ind w:right="-1"/>
              <w:jc w:val="left"/>
              <w:rPr>
                <w:rFonts w:cs="Arial"/>
                <w:szCs w:val="18"/>
                <w:lang w:val="en-GB"/>
              </w:rPr>
            </w:pPr>
            <w:r w:rsidRPr="00DA1985">
              <w:t>Potassium hydroxide</w:t>
            </w:r>
          </w:p>
        </w:tc>
        <w:tc>
          <w:tcPr>
            <w:tcW w:w="545" w:type="pct"/>
            <w:shd w:val="clear" w:color="auto" w:fill="FFFFFF"/>
            <w:vAlign w:val="center"/>
          </w:tcPr>
          <w:p w14:paraId="7A408709" w14:textId="3FFD73A2" w:rsidR="00DA1985" w:rsidRPr="00EB73C3" w:rsidRDefault="00DA1985" w:rsidP="00DA1985">
            <w:pPr>
              <w:pStyle w:val="CETBodytext"/>
              <w:ind w:right="-1"/>
              <w:jc w:val="center"/>
            </w:pPr>
            <w:r>
              <w:t>KOH</w:t>
            </w:r>
          </w:p>
        </w:tc>
        <w:tc>
          <w:tcPr>
            <w:tcW w:w="590" w:type="pct"/>
            <w:shd w:val="clear" w:color="auto" w:fill="FFFFFF"/>
            <w:vAlign w:val="center"/>
          </w:tcPr>
          <w:p w14:paraId="51AB7634" w14:textId="1A9474C0" w:rsidR="00DA1985" w:rsidRPr="00B57B36" w:rsidRDefault="00DA1985" w:rsidP="00DA1985">
            <w:pPr>
              <w:pStyle w:val="CETBodytext"/>
              <w:ind w:right="-1"/>
              <w:jc w:val="center"/>
              <w:rPr>
                <w:rFonts w:cs="Arial"/>
                <w:szCs w:val="18"/>
                <w:lang w:val="en-GB"/>
              </w:rPr>
            </w:pPr>
            <w:r>
              <w:t>56,11</w:t>
            </w:r>
          </w:p>
        </w:tc>
        <w:tc>
          <w:tcPr>
            <w:tcW w:w="552" w:type="pct"/>
            <w:shd w:val="clear" w:color="auto" w:fill="FFFFFF"/>
            <w:vAlign w:val="center"/>
          </w:tcPr>
          <w:p w14:paraId="39E28BB9" w14:textId="6FD92654" w:rsidR="00DA1985" w:rsidRPr="00B57B36" w:rsidRDefault="00DA1985" w:rsidP="00DA1985">
            <w:pPr>
              <w:pStyle w:val="CETBodytext"/>
              <w:ind w:right="-1"/>
              <w:jc w:val="center"/>
              <w:rPr>
                <w:rFonts w:cs="Arial"/>
                <w:szCs w:val="18"/>
                <w:lang w:val="en-GB"/>
              </w:rPr>
            </w:pPr>
            <w:r w:rsidRPr="00DA1985">
              <w:rPr>
                <w:rFonts w:cs="Arial"/>
                <w:szCs w:val="18"/>
                <w:lang w:val="en-GB"/>
              </w:rPr>
              <w:t>VWR Chemicals</w:t>
            </w:r>
          </w:p>
        </w:tc>
        <w:tc>
          <w:tcPr>
            <w:tcW w:w="540" w:type="pct"/>
            <w:shd w:val="clear" w:color="auto" w:fill="FFFFFF"/>
            <w:vAlign w:val="center"/>
          </w:tcPr>
          <w:p w14:paraId="43170216" w14:textId="482D5CEC" w:rsidR="00DA1985" w:rsidRPr="00B57B36" w:rsidRDefault="00DA1985" w:rsidP="00DA1985">
            <w:pPr>
              <w:pStyle w:val="CETBodytext"/>
              <w:ind w:right="-1"/>
              <w:jc w:val="center"/>
              <w:rPr>
                <w:rFonts w:cs="Arial"/>
                <w:szCs w:val="18"/>
                <w:lang w:val="en-GB"/>
              </w:rPr>
            </w:pPr>
            <w:r>
              <w:rPr>
                <w:rFonts w:cs="Arial"/>
                <w:szCs w:val="18"/>
                <w:lang w:val="en-GB"/>
              </w:rPr>
              <w:t>360</w:t>
            </w:r>
          </w:p>
        </w:tc>
        <w:tc>
          <w:tcPr>
            <w:tcW w:w="736" w:type="pct"/>
            <w:shd w:val="clear" w:color="auto" w:fill="FFFFFF"/>
            <w:vAlign w:val="center"/>
          </w:tcPr>
          <w:p w14:paraId="64B7E393" w14:textId="77777777" w:rsidR="00DA1985" w:rsidRPr="00B57B36" w:rsidRDefault="00DA1985" w:rsidP="00DA1985">
            <w:pPr>
              <w:pStyle w:val="CETBodytext"/>
              <w:ind w:right="-1"/>
              <w:jc w:val="center"/>
              <w:rPr>
                <w:rFonts w:cs="Arial"/>
                <w:szCs w:val="18"/>
                <w:lang w:val="en-GB"/>
              </w:rPr>
            </w:pPr>
            <w:r>
              <w:rPr>
                <w:rFonts w:cs="Arial"/>
                <w:szCs w:val="18"/>
                <w:lang w:val="en-GB"/>
              </w:rPr>
              <w:t>White, solid</w:t>
            </w:r>
          </w:p>
        </w:tc>
        <w:tc>
          <w:tcPr>
            <w:tcW w:w="547" w:type="pct"/>
            <w:shd w:val="clear" w:color="auto" w:fill="FFFFFF"/>
            <w:vAlign w:val="center"/>
          </w:tcPr>
          <w:p w14:paraId="1219ACFA" w14:textId="3E88EEDB" w:rsidR="00DA1985" w:rsidRPr="00B57B36" w:rsidRDefault="00DA1985" w:rsidP="00DA1985">
            <w:pPr>
              <w:pStyle w:val="CETBodytext"/>
              <w:ind w:right="-1"/>
              <w:jc w:val="center"/>
              <w:rPr>
                <w:rFonts w:cs="Arial"/>
                <w:szCs w:val="18"/>
                <w:lang w:val="en-GB"/>
              </w:rPr>
            </w:pPr>
            <w:r w:rsidRPr="00DA1985">
              <w:t>1310-58-3</w:t>
            </w:r>
          </w:p>
        </w:tc>
        <w:tc>
          <w:tcPr>
            <w:tcW w:w="544" w:type="pct"/>
            <w:shd w:val="clear" w:color="auto" w:fill="FFFFFF"/>
            <w:vAlign w:val="center"/>
          </w:tcPr>
          <w:p w14:paraId="6DFC1468" w14:textId="7D5722C6" w:rsidR="00DA1985" w:rsidRDefault="00DA1985" w:rsidP="00DA1985">
            <w:pPr>
              <w:pStyle w:val="CETBodytext"/>
              <w:ind w:right="-1"/>
              <w:jc w:val="center"/>
            </w:pPr>
            <w:r>
              <w:t>&gt;85</w:t>
            </w:r>
          </w:p>
        </w:tc>
      </w:tr>
    </w:tbl>
    <w:p w14:paraId="00099B50" w14:textId="77777777" w:rsidR="006076BC" w:rsidRDefault="006076BC" w:rsidP="00E504BA">
      <w:pPr>
        <w:pStyle w:val="CETBodytext"/>
      </w:pPr>
    </w:p>
    <w:p w14:paraId="71AE7BF8" w14:textId="73E05429" w:rsidR="00E504BA" w:rsidRDefault="00004D50" w:rsidP="00E504BA">
      <w:pPr>
        <w:pStyle w:val="CETBodytext"/>
      </w:pPr>
      <w:r>
        <w:t xml:space="preserve">The fatty acids and </w:t>
      </w:r>
      <w:proofErr w:type="spellStart"/>
      <w:r>
        <w:t>diethanolamine</w:t>
      </w:r>
      <w:proofErr w:type="spellEnd"/>
      <w:r>
        <w:t xml:space="preserve"> were used in liquid form. The solid materials were heated 5 °C</w:t>
      </w:r>
      <w:r w:rsidRPr="00004D50">
        <w:t xml:space="preserve"> </w:t>
      </w:r>
      <w:r>
        <w:t>above the melting point before using, except the potassium hydroxide.</w:t>
      </w:r>
    </w:p>
    <w:p w14:paraId="0B8E5E6C" w14:textId="5E070316" w:rsidR="0088311A" w:rsidRDefault="0088311A" w:rsidP="0088311A">
      <w:pPr>
        <w:pStyle w:val="CETHeading1"/>
      </w:pPr>
      <w:r>
        <w:t>Methods</w:t>
      </w:r>
    </w:p>
    <w:p w14:paraId="78834313" w14:textId="77777777" w:rsidR="00F72377" w:rsidRPr="008C765C" w:rsidRDefault="00F72377" w:rsidP="006076BC">
      <w:pPr>
        <w:pStyle w:val="CETheadingx"/>
      </w:pPr>
      <w:r w:rsidRPr="008C765C">
        <w:t>Synthesis</w:t>
      </w:r>
    </w:p>
    <w:p w14:paraId="4C402F8C" w14:textId="657C9C40" w:rsidR="00F72377" w:rsidRPr="00F72377" w:rsidRDefault="00F72377" w:rsidP="00F72377">
      <w:pPr>
        <w:pStyle w:val="CETBodytext"/>
        <w:rPr>
          <w:lang w:val="en-GB"/>
        </w:rPr>
      </w:pPr>
      <w:r w:rsidRPr="00F72377">
        <w:rPr>
          <w:lang w:val="en-GB"/>
        </w:rPr>
        <w:t xml:space="preserve">The reaction required for surfactant production was carried out in four-necked flasks. The synthesis of surfactants was conducted under </w:t>
      </w:r>
      <w:r>
        <w:rPr>
          <w:lang w:val="en-GB"/>
        </w:rPr>
        <w:t>same</w:t>
      </w:r>
      <w:r w:rsidRPr="00F72377">
        <w:rPr>
          <w:lang w:val="en-GB"/>
        </w:rPr>
        <w:t xml:space="preserve"> manufacturing parameters in each case. The synthesis parameters of the reaction are summarized in Table 3.</w:t>
      </w:r>
    </w:p>
    <w:p w14:paraId="6C18747F" w14:textId="448D3D75" w:rsidR="00145903" w:rsidRPr="00B57B36" w:rsidRDefault="00145903" w:rsidP="00145903">
      <w:pPr>
        <w:pStyle w:val="CETTabletitle"/>
      </w:pPr>
      <w:r w:rsidRPr="00B57B36">
        <w:t xml:space="preserve">Table </w:t>
      </w:r>
      <w:r>
        <w:t>3</w:t>
      </w:r>
      <w:r w:rsidRPr="00B57B36">
        <w:t xml:space="preserve">: </w:t>
      </w:r>
      <w:r>
        <w:t>Main parameters of synthesis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393"/>
        <w:gridCol w:w="4394"/>
      </w:tblGrid>
      <w:tr w:rsidR="00145903" w:rsidRPr="00B57B36" w14:paraId="4B559A72" w14:textId="77777777" w:rsidTr="00145903">
        <w:tc>
          <w:tcPr>
            <w:tcW w:w="2500" w:type="pct"/>
            <w:tcBorders>
              <w:top w:val="single" w:sz="12" w:space="0" w:color="008000"/>
              <w:bottom w:val="single" w:sz="6" w:space="0" w:color="008000"/>
            </w:tcBorders>
            <w:shd w:val="clear" w:color="auto" w:fill="FFFFFF"/>
          </w:tcPr>
          <w:p w14:paraId="013A14D1" w14:textId="57C061FE" w:rsidR="00145903" w:rsidRPr="00B57B36" w:rsidRDefault="00145903" w:rsidP="005A452F">
            <w:pPr>
              <w:pStyle w:val="CETBodytext"/>
              <w:rPr>
                <w:lang w:val="en-GB"/>
              </w:rPr>
            </w:pPr>
            <w:r>
              <w:rPr>
                <w:lang w:val="en-GB"/>
              </w:rPr>
              <w:t>Parameter</w:t>
            </w:r>
          </w:p>
        </w:tc>
        <w:tc>
          <w:tcPr>
            <w:tcW w:w="2500" w:type="pct"/>
            <w:tcBorders>
              <w:top w:val="single" w:sz="12" w:space="0" w:color="008000"/>
              <w:bottom w:val="single" w:sz="6" w:space="0" w:color="008000"/>
            </w:tcBorders>
            <w:shd w:val="clear" w:color="auto" w:fill="FFFFFF"/>
          </w:tcPr>
          <w:p w14:paraId="2C3D3FF6" w14:textId="572C4D6B" w:rsidR="00145903" w:rsidRPr="00B57B36" w:rsidRDefault="00145903" w:rsidP="00145903">
            <w:pPr>
              <w:pStyle w:val="CETBodytext"/>
              <w:jc w:val="center"/>
              <w:rPr>
                <w:lang w:val="en-GB"/>
              </w:rPr>
            </w:pPr>
            <w:r>
              <w:rPr>
                <w:lang w:val="en-GB"/>
              </w:rPr>
              <w:t>Value</w:t>
            </w:r>
          </w:p>
        </w:tc>
      </w:tr>
      <w:tr w:rsidR="00145903" w:rsidRPr="00B57B36" w14:paraId="1A90FCBD" w14:textId="77777777" w:rsidTr="00145903">
        <w:tc>
          <w:tcPr>
            <w:tcW w:w="2500" w:type="pct"/>
            <w:shd w:val="clear" w:color="auto" w:fill="FFFFFF"/>
          </w:tcPr>
          <w:p w14:paraId="2E12EB38" w14:textId="168167A3" w:rsidR="00145903" w:rsidRPr="00B57B36" w:rsidRDefault="00145903" w:rsidP="005A452F">
            <w:pPr>
              <w:pStyle w:val="CETBodytext"/>
              <w:rPr>
                <w:lang w:val="en-GB"/>
              </w:rPr>
            </w:pPr>
            <w:r>
              <w:rPr>
                <w:lang w:val="en-GB"/>
              </w:rPr>
              <w:t>Temperature, °C</w:t>
            </w:r>
          </w:p>
        </w:tc>
        <w:tc>
          <w:tcPr>
            <w:tcW w:w="2500" w:type="pct"/>
            <w:shd w:val="clear" w:color="auto" w:fill="FFFFFF"/>
          </w:tcPr>
          <w:p w14:paraId="26D69B16" w14:textId="1BB66232" w:rsidR="00145903" w:rsidRPr="00B57B36" w:rsidRDefault="00145903" w:rsidP="00145903">
            <w:pPr>
              <w:pStyle w:val="CETBodytext"/>
              <w:jc w:val="center"/>
              <w:rPr>
                <w:lang w:val="en-GB"/>
              </w:rPr>
            </w:pPr>
            <w:r>
              <w:rPr>
                <w:lang w:val="en-GB"/>
              </w:rPr>
              <w:t>160</w:t>
            </w:r>
          </w:p>
        </w:tc>
      </w:tr>
      <w:tr w:rsidR="00145903" w:rsidRPr="00B57B36" w14:paraId="2527A3F2" w14:textId="77777777" w:rsidTr="00145903">
        <w:tc>
          <w:tcPr>
            <w:tcW w:w="2500" w:type="pct"/>
            <w:shd w:val="clear" w:color="auto" w:fill="FFFFFF"/>
          </w:tcPr>
          <w:p w14:paraId="473CAC23" w14:textId="4EAC2F61" w:rsidR="00145903" w:rsidRPr="00B57B36" w:rsidRDefault="00145903" w:rsidP="005A452F">
            <w:pPr>
              <w:pStyle w:val="CETBodytext"/>
              <w:ind w:right="-1"/>
              <w:rPr>
                <w:rFonts w:cs="Arial"/>
                <w:szCs w:val="18"/>
                <w:lang w:val="en-GB"/>
              </w:rPr>
            </w:pPr>
            <w:r>
              <w:rPr>
                <w:rFonts w:cs="Arial"/>
                <w:szCs w:val="18"/>
                <w:lang w:val="en-GB"/>
              </w:rPr>
              <w:t>Pressure, bar</w:t>
            </w:r>
          </w:p>
        </w:tc>
        <w:tc>
          <w:tcPr>
            <w:tcW w:w="2500" w:type="pct"/>
            <w:shd w:val="clear" w:color="auto" w:fill="FFFFFF"/>
          </w:tcPr>
          <w:p w14:paraId="7DA48D82" w14:textId="08EDA2E7" w:rsidR="00145903" w:rsidRPr="00B57B36" w:rsidRDefault="00145903" w:rsidP="00145903">
            <w:pPr>
              <w:pStyle w:val="CETBodytext"/>
              <w:ind w:right="-1"/>
              <w:jc w:val="center"/>
              <w:rPr>
                <w:rFonts w:cs="Arial"/>
                <w:szCs w:val="18"/>
                <w:lang w:val="en-GB"/>
              </w:rPr>
            </w:pPr>
            <w:r>
              <w:rPr>
                <w:rFonts w:cs="Arial"/>
                <w:szCs w:val="18"/>
                <w:lang w:val="en-GB"/>
              </w:rPr>
              <w:t>1</w:t>
            </w:r>
          </w:p>
        </w:tc>
      </w:tr>
      <w:tr w:rsidR="00145903" w:rsidRPr="00B57B36" w14:paraId="7F978DA3" w14:textId="77777777" w:rsidTr="00145903">
        <w:tc>
          <w:tcPr>
            <w:tcW w:w="2500" w:type="pct"/>
            <w:shd w:val="clear" w:color="auto" w:fill="FFFFFF"/>
          </w:tcPr>
          <w:p w14:paraId="088092C4" w14:textId="26559B0C" w:rsidR="00145903" w:rsidRDefault="00145903" w:rsidP="005A452F">
            <w:pPr>
              <w:pStyle w:val="CETBodytext"/>
              <w:ind w:right="-1"/>
              <w:rPr>
                <w:rFonts w:cs="Arial"/>
                <w:szCs w:val="18"/>
                <w:lang w:val="en-GB"/>
              </w:rPr>
            </w:pPr>
            <w:r>
              <w:rPr>
                <w:rFonts w:cs="Arial"/>
                <w:szCs w:val="18"/>
                <w:lang w:val="en-GB"/>
              </w:rPr>
              <w:t>Reaction time, h</w:t>
            </w:r>
          </w:p>
        </w:tc>
        <w:tc>
          <w:tcPr>
            <w:tcW w:w="2500" w:type="pct"/>
            <w:shd w:val="clear" w:color="auto" w:fill="FFFFFF"/>
          </w:tcPr>
          <w:p w14:paraId="478B14BD" w14:textId="5A47A0B8" w:rsidR="00145903" w:rsidRPr="00B57B36" w:rsidRDefault="00145903" w:rsidP="00145903">
            <w:pPr>
              <w:pStyle w:val="CETBodytext"/>
              <w:ind w:right="-1"/>
              <w:jc w:val="center"/>
              <w:rPr>
                <w:rFonts w:cs="Arial"/>
                <w:szCs w:val="18"/>
                <w:lang w:val="en-GB"/>
              </w:rPr>
            </w:pPr>
            <w:r>
              <w:rPr>
                <w:rFonts w:cs="Arial"/>
                <w:szCs w:val="18"/>
                <w:lang w:val="en-GB"/>
              </w:rPr>
              <w:t>4</w:t>
            </w:r>
          </w:p>
        </w:tc>
      </w:tr>
      <w:tr w:rsidR="00145903" w:rsidRPr="00B57B36" w14:paraId="7244ADC1" w14:textId="77777777" w:rsidTr="00145903">
        <w:tc>
          <w:tcPr>
            <w:tcW w:w="2500" w:type="pct"/>
            <w:shd w:val="clear" w:color="auto" w:fill="FFFFFF"/>
          </w:tcPr>
          <w:p w14:paraId="74219601" w14:textId="1CFABD94" w:rsidR="00145903" w:rsidRDefault="00145903" w:rsidP="005A452F">
            <w:pPr>
              <w:pStyle w:val="CETBodytext"/>
              <w:ind w:right="-1"/>
              <w:rPr>
                <w:rFonts w:cs="Arial"/>
                <w:szCs w:val="18"/>
                <w:lang w:val="en-GB"/>
              </w:rPr>
            </w:pPr>
            <w:r>
              <w:rPr>
                <w:rFonts w:cs="Arial"/>
                <w:szCs w:val="18"/>
                <w:lang w:val="en-GB"/>
              </w:rPr>
              <w:t>Ratio of reagents (</w:t>
            </w:r>
            <w:proofErr w:type="gramStart"/>
            <w:r>
              <w:rPr>
                <w:rFonts w:cs="Arial"/>
                <w:szCs w:val="18"/>
                <w:lang w:val="en-GB"/>
              </w:rPr>
              <w:t>DEA:FA</w:t>
            </w:r>
            <w:proofErr w:type="gramEnd"/>
            <w:r>
              <w:rPr>
                <w:rFonts w:cs="Arial"/>
                <w:szCs w:val="18"/>
                <w:lang w:val="en-GB"/>
              </w:rPr>
              <w:t>), mol/mol</w:t>
            </w:r>
          </w:p>
        </w:tc>
        <w:tc>
          <w:tcPr>
            <w:tcW w:w="2500" w:type="pct"/>
            <w:shd w:val="clear" w:color="auto" w:fill="FFFFFF"/>
          </w:tcPr>
          <w:p w14:paraId="4784A4DD" w14:textId="320350FA" w:rsidR="00145903" w:rsidRPr="00B57B36" w:rsidRDefault="00145903" w:rsidP="00145903">
            <w:pPr>
              <w:pStyle w:val="CETBodytext"/>
              <w:ind w:right="-1"/>
              <w:jc w:val="center"/>
              <w:rPr>
                <w:rFonts w:cs="Arial"/>
                <w:szCs w:val="18"/>
                <w:lang w:val="en-GB"/>
              </w:rPr>
            </w:pPr>
            <w:r>
              <w:rPr>
                <w:rFonts w:cs="Arial"/>
                <w:szCs w:val="18"/>
                <w:lang w:val="en-GB"/>
              </w:rPr>
              <w:t>2,25</w:t>
            </w:r>
          </w:p>
        </w:tc>
      </w:tr>
      <w:tr w:rsidR="00145903" w:rsidRPr="00B57B36" w14:paraId="660E16F3" w14:textId="77777777" w:rsidTr="00145903">
        <w:tc>
          <w:tcPr>
            <w:tcW w:w="2500" w:type="pct"/>
            <w:shd w:val="clear" w:color="auto" w:fill="FFFFFF"/>
          </w:tcPr>
          <w:p w14:paraId="019461AF" w14:textId="401A17AB" w:rsidR="00145903" w:rsidRDefault="00F72377" w:rsidP="005A452F">
            <w:pPr>
              <w:pStyle w:val="CETBodytext"/>
              <w:ind w:right="-1"/>
              <w:rPr>
                <w:rFonts w:cs="Arial"/>
                <w:szCs w:val="18"/>
                <w:lang w:val="en-GB"/>
              </w:rPr>
            </w:pPr>
            <w:r>
              <w:rPr>
                <w:rFonts w:cs="Arial"/>
                <w:szCs w:val="18"/>
                <w:lang w:val="en-GB"/>
              </w:rPr>
              <w:t>Catalyst ratio, m/m%</w:t>
            </w:r>
          </w:p>
        </w:tc>
        <w:tc>
          <w:tcPr>
            <w:tcW w:w="2500" w:type="pct"/>
            <w:shd w:val="clear" w:color="auto" w:fill="FFFFFF"/>
          </w:tcPr>
          <w:p w14:paraId="34742076" w14:textId="440ADB67" w:rsidR="00145903" w:rsidRDefault="00F72377" w:rsidP="00145903">
            <w:pPr>
              <w:pStyle w:val="CETBodytext"/>
              <w:ind w:right="-1"/>
              <w:jc w:val="center"/>
              <w:rPr>
                <w:rFonts w:cs="Arial"/>
                <w:szCs w:val="18"/>
                <w:lang w:val="en-GB"/>
              </w:rPr>
            </w:pPr>
            <w:r>
              <w:rPr>
                <w:rFonts w:cs="Arial"/>
                <w:szCs w:val="18"/>
                <w:lang w:val="en-GB"/>
              </w:rPr>
              <w:t>1</w:t>
            </w:r>
          </w:p>
        </w:tc>
      </w:tr>
    </w:tbl>
    <w:p w14:paraId="634F8A7E" w14:textId="77777777" w:rsidR="006076BC" w:rsidRDefault="006076BC" w:rsidP="00F72377">
      <w:pPr>
        <w:pStyle w:val="CETBodytext"/>
        <w:rPr>
          <w:lang w:val="en-GB"/>
        </w:rPr>
      </w:pPr>
    </w:p>
    <w:p w14:paraId="401F4772" w14:textId="0B980DA1" w:rsidR="00F72377" w:rsidRPr="00F72377" w:rsidRDefault="00F72377" w:rsidP="00F72377">
      <w:pPr>
        <w:pStyle w:val="CETBodytext"/>
        <w:rPr>
          <w:lang w:val="en-GB"/>
        </w:rPr>
      </w:pPr>
      <w:r w:rsidRPr="00F72377">
        <w:rPr>
          <w:lang w:val="en-GB"/>
        </w:rPr>
        <w:t>The catalyst was added to the reaction mixture after reaching the reaction temperature.</w:t>
      </w:r>
    </w:p>
    <w:p w14:paraId="2215D7FB" w14:textId="7BC3714F" w:rsidR="00B4186A" w:rsidRPr="008C765C" w:rsidRDefault="00F72377" w:rsidP="006076BC">
      <w:pPr>
        <w:pStyle w:val="CETheadingx"/>
      </w:pPr>
      <w:r w:rsidRPr="008C765C">
        <w:t>Appearance investigation</w:t>
      </w:r>
    </w:p>
    <w:p w14:paraId="16FB0C74" w14:textId="13A3AD78" w:rsidR="000666A3" w:rsidRPr="000666A3" w:rsidRDefault="000666A3" w:rsidP="000666A3">
      <w:pPr>
        <w:pStyle w:val="CETBodytext"/>
        <w:rPr>
          <w:lang w:val="en-GB"/>
        </w:rPr>
      </w:pPr>
      <w:r w:rsidRPr="000666A3">
        <w:rPr>
          <w:lang w:val="en-GB"/>
        </w:rPr>
        <w:t>The examination of the appearance of reaction mixtures produced during the syntheses was done visually. The color of the products and their tendency to separate were assessed after 24 hours of storage at room temperature.</w:t>
      </w:r>
    </w:p>
    <w:p w14:paraId="4E0E5CC0" w14:textId="034602EF" w:rsidR="0088311A" w:rsidRPr="008C765C" w:rsidRDefault="00F72377" w:rsidP="006076BC">
      <w:pPr>
        <w:pStyle w:val="CETheadingx"/>
      </w:pPr>
      <w:r w:rsidRPr="008C765C">
        <w:t>Water number</w:t>
      </w:r>
    </w:p>
    <w:p w14:paraId="30306125" w14:textId="25DB16E7" w:rsidR="00A11535" w:rsidRPr="00A11535" w:rsidRDefault="00A11535" w:rsidP="00A11535">
      <w:pPr>
        <w:pStyle w:val="CETBodytext"/>
        <w:rPr>
          <w:lang w:val="en-GB"/>
        </w:rPr>
      </w:pPr>
      <w:r w:rsidRPr="00A11535">
        <w:rPr>
          <w:lang w:val="en-GB"/>
        </w:rPr>
        <w:t>One gram of the substance under examination is weighed on an analytical balance, and then it is dissolved in 30 cm</w:t>
      </w:r>
      <w:r w:rsidRPr="00A9588E">
        <w:rPr>
          <w:vertAlign w:val="superscript"/>
          <w:lang w:val="en-GB"/>
        </w:rPr>
        <w:t>3</w:t>
      </w:r>
      <w:r w:rsidRPr="00A11535">
        <w:rPr>
          <w:lang w:val="en-GB"/>
        </w:rPr>
        <w:t xml:space="preserve"> of a previously prepared </w:t>
      </w:r>
      <w:r w:rsidR="00A9588E">
        <w:rPr>
          <w:lang w:val="en-GB"/>
        </w:rPr>
        <w:t>cyclohexene</w:t>
      </w:r>
      <w:r w:rsidRPr="00A11535">
        <w:rPr>
          <w:lang w:val="en-GB"/>
        </w:rPr>
        <w:t xml:space="preserve">-dioxane mixture (4% </w:t>
      </w:r>
      <w:r w:rsidR="00A9588E">
        <w:rPr>
          <w:lang w:val="en-GB"/>
        </w:rPr>
        <w:t>cyclohexene</w:t>
      </w:r>
      <w:r w:rsidR="00A9588E" w:rsidRPr="00A11535">
        <w:rPr>
          <w:lang w:val="en-GB"/>
        </w:rPr>
        <w:t xml:space="preserve"> </w:t>
      </w:r>
      <w:r w:rsidRPr="00A11535">
        <w:rPr>
          <w:lang w:val="en-GB"/>
        </w:rPr>
        <w:t xml:space="preserve">content). Following this, the prepared sample is titrated with distilled water until a persistent turbidity is observed. The water number of the substance under examination is derived from the number of cubic </w:t>
      </w:r>
      <w:r w:rsidR="008E060F" w:rsidRPr="00A11535">
        <w:rPr>
          <w:lang w:val="en-GB"/>
        </w:rPr>
        <w:t>centimetres</w:t>
      </w:r>
      <w:r w:rsidRPr="00A11535">
        <w:rPr>
          <w:lang w:val="en-GB"/>
        </w:rPr>
        <w:t xml:space="preserve"> of distilled water required to reach the turbidity indicating the endpoint of titration.</w:t>
      </w:r>
    </w:p>
    <w:p w14:paraId="425A866D" w14:textId="7EE6806A" w:rsidR="00B4186A" w:rsidRPr="008C765C" w:rsidRDefault="00F72377" w:rsidP="006076BC">
      <w:pPr>
        <w:pStyle w:val="CETheadingx"/>
      </w:pPr>
      <w:r w:rsidRPr="008C765C">
        <w:t>Solubility in water</w:t>
      </w:r>
    </w:p>
    <w:p w14:paraId="6EC06005" w14:textId="7CF8E133" w:rsidR="000666A3" w:rsidRPr="00A9588E" w:rsidRDefault="00A9588E" w:rsidP="000666A3">
      <w:pPr>
        <w:pStyle w:val="CETBodytext"/>
        <w:rPr>
          <w:lang w:val="en-GB"/>
        </w:rPr>
      </w:pPr>
      <w:r w:rsidRPr="00A9588E">
        <w:rPr>
          <w:lang w:val="en-GB"/>
        </w:rPr>
        <w:t xml:space="preserve">The samples were assessed for their water solubility by utilizing a 1 </w:t>
      </w:r>
      <w:r w:rsidR="001F1444">
        <w:rPr>
          <w:lang w:val="en-GB"/>
        </w:rPr>
        <w:t>m/m%</w:t>
      </w:r>
      <w:r w:rsidRPr="00A9588E">
        <w:rPr>
          <w:lang w:val="en-GB"/>
        </w:rPr>
        <w:t xml:space="preserve"> solution prepared from the synthesized surfactant in distilled water.</w:t>
      </w:r>
      <w:r>
        <w:rPr>
          <w:lang w:val="en-GB"/>
        </w:rPr>
        <w:t xml:space="preserve"> </w:t>
      </w:r>
      <w:r w:rsidR="000666A3" w:rsidRPr="00A9588E">
        <w:rPr>
          <w:lang w:val="en-GB"/>
        </w:rPr>
        <w:t>Solubility of surfactants was measured by WTW TURB 400IR turbidity meter. The turbidity determination based on nephelometric measurements.</w:t>
      </w:r>
    </w:p>
    <w:p w14:paraId="3D9F9D01" w14:textId="1E55290A" w:rsidR="00B4186A" w:rsidRPr="008C765C" w:rsidRDefault="00F72377" w:rsidP="006076BC">
      <w:pPr>
        <w:pStyle w:val="CETheadingx"/>
      </w:pPr>
      <w:r w:rsidRPr="008C765C">
        <w:t>Solubility in oil</w:t>
      </w:r>
    </w:p>
    <w:p w14:paraId="2E5E5C1C" w14:textId="531EB56E" w:rsidR="00855AAD" w:rsidRDefault="00855AAD" w:rsidP="001F1444">
      <w:pPr>
        <w:pStyle w:val="CETBodytext"/>
      </w:pPr>
      <w:r w:rsidRPr="00A9588E">
        <w:t xml:space="preserve">The samples were assessed for their </w:t>
      </w:r>
      <w:r>
        <w:t>oil</w:t>
      </w:r>
      <w:r w:rsidRPr="00A9588E">
        <w:t xml:space="preserve"> solubility by utilizing a 1 </w:t>
      </w:r>
      <w:r w:rsidR="001F1444">
        <w:t>m/m%</w:t>
      </w:r>
      <w:r w:rsidRPr="00A9588E">
        <w:t xml:space="preserve"> solution prepared from the synthesized surfactant in </w:t>
      </w:r>
      <w:r>
        <w:t>SN-150 base oil</w:t>
      </w:r>
      <w:r w:rsidRPr="00A9588E">
        <w:t>.</w:t>
      </w:r>
      <w:r>
        <w:t xml:space="preserve"> </w:t>
      </w:r>
      <w:r w:rsidRPr="00855AAD">
        <w:t>A prepared surfactant solution was transferred into cuvettes, and the intensity of transmitted light at a wavelength of 500 nm was examined using a spectrophotometer. The turbidity of the sample under examination was compared to that of pure oil (0%) and the light scattering of a reference opal (100%).</w:t>
      </w:r>
      <w:r>
        <w:t xml:space="preserve"> A measured turbidity values are expressed in percentage.</w:t>
      </w:r>
    </w:p>
    <w:p w14:paraId="0EBA29A1" w14:textId="467B8B32" w:rsidR="00B4186A" w:rsidRPr="008C765C" w:rsidRDefault="001F1444" w:rsidP="006076BC">
      <w:pPr>
        <w:pStyle w:val="CETheadingx"/>
      </w:pPr>
      <w:r w:rsidRPr="008C765C">
        <w:t>pH value of surfactant solution</w:t>
      </w:r>
    </w:p>
    <w:p w14:paraId="45AD6D4D" w14:textId="449A1F9E" w:rsidR="00B4186A" w:rsidRPr="00B4186A" w:rsidRDefault="001F1444" w:rsidP="00B4186A">
      <w:pPr>
        <w:pStyle w:val="CETBodytext"/>
        <w:rPr>
          <w:lang w:val="en-GB"/>
        </w:rPr>
      </w:pPr>
      <w:r>
        <w:rPr>
          <w:lang w:val="en-GB"/>
        </w:rPr>
        <w:t>For the pH measurements surfactant solutions were prepared by using the surfactants in 1 m/m% concentration. The measurements were carried out at 25 °C.</w:t>
      </w:r>
    </w:p>
    <w:p w14:paraId="364B811E" w14:textId="086FA9FE" w:rsidR="00B4186A" w:rsidRPr="008C765C" w:rsidRDefault="00F72377" w:rsidP="006076BC">
      <w:pPr>
        <w:pStyle w:val="CETheadingx"/>
      </w:pPr>
      <w:r w:rsidRPr="008C765C">
        <w:lastRenderedPageBreak/>
        <w:t>Measurement of IFT value</w:t>
      </w:r>
    </w:p>
    <w:p w14:paraId="747A9341" w14:textId="1DB6F233" w:rsidR="000666A3" w:rsidRPr="00855AAD" w:rsidRDefault="000666A3" w:rsidP="000666A3">
      <w:pPr>
        <w:pStyle w:val="CETBodytext"/>
        <w:rPr>
          <w:lang w:val="en-GB"/>
        </w:rPr>
      </w:pPr>
      <w:r w:rsidRPr="00855AAD">
        <w:rPr>
          <w:lang w:val="en-GB"/>
        </w:rPr>
        <w:t xml:space="preserve">The interfacial tension between the aqueous phase of the surfactant solution and the </w:t>
      </w:r>
      <w:r w:rsidR="00855AAD" w:rsidRPr="00855AAD">
        <w:rPr>
          <w:lang w:val="en-GB"/>
        </w:rPr>
        <w:t>SN-150 base oil</w:t>
      </w:r>
      <w:r w:rsidRPr="00855AAD">
        <w:rPr>
          <w:lang w:val="en-GB"/>
        </w:rPr>
        <w:t xml:space="preserve"> was measured using the spinning drop method. The measurement was carried out in a </w:t>
      </w:r>
      <w:proofErr w:type="spellStart"/>
      <w:r w:rsidRPr="00855AAD">
        <w:rPr>
          <w:lang w:val="en-GB"/>
        </w:rPr>
        <w:t>Krüss</w:t>
      </w:r>
      <w:proofErr w:type="spellEnd"/>
      <w:r w:rsidRPr="00855AAD">
        <w:rPr>
          <w:lang w:val="en-GB"/>
        </w:rPr>
        <w:t xml:space="preserve"> SDT tensiometer. While the rotation of the cylinder exerts a centrifugal force on its wall, the drops of the lower density fluid are deformed in an elongated form. The interfacial tension between the two fluids can be calculated from the form of the drops using the Young–Laplace-fit method.</w:t>
      </w:r>
      <w:r w:rsidR="00855AAD">
        <w:rPr>
          <w:lang w:val="en-GB"/>
        </w:rPr>
        <w:t xml:space="preserve"> The measurements were carried out at 25 °C temperature </w:t>
      </w:r>
      <w:r w:rsidR="001F1444">
        <w:rPr>
          <w:lang w:val="en-GB"/>
        </w:rPr>
        <w:t>using the surfactants solution in 1 m/m% concentration.</w:t>
      </w:r>
    </w:p>
    <w:p w14:paraId="6C41E7DD" w14:textId="25373868" w:rsidR="00ED3865" w:rsidRPr="008C765C" w:rsidRDefault="00F72377" w:rsidP="006076BC">
      <w:pPr>
        <w:pStyle w:val="CETheadingx"/>
      </w:pPr>
      <w:r w:rsidRPr="008C765C">
        <w:t>Viscosity and density measurements</w:t>
      </w:r>
    </w:p>
    <w:p w14:paraId="68CD334D" w14:textId="4E9E99BA" w:rsidR="00ED3865" w:rsidRDefault="006E516E" w:rsidP="00B4186A">
      <w:pPr>
        <w:pStyle w:val="CETBodytext"/>
        <w:rPr>
          <w:lang w:val="en-GB"/>
        </w:rPr>
      </w:pPr>
      <w:r>
        <w:rPr>
          <w:lang w:val="en-GB"/>
        </w:rPr>
        <w:t>For the viscosity and density</w:t>
      </w:r>
      <w:r w:rsidR="001F1444" w:rsidRPr="001F1444">
        <w:rPr>
          <w:lang w:val="en-GB"/>
        </w:rPr>
        <w:t xml:space="preserve"> </w:t>
      </w:r>
      <w:r>
        <w:rPr>
          <w:lang w:val="en-GB"/>
        </w:rPr>
        <w:t>measurements</w:t>
      </w:r>
      <w:r w:rsidR="001F1444" w:rsidRPr="001F1444">
        <w:rPr>
          <w:lang w:val="en-GB"/>
        </w:rPr>
        <w:t xml:space="preserve"> an automatic viscometer</w:t>
      </w:r>
      <w:r>
        <w:rPr>
          <w:lang w:val="en-GB"/>
        </w:rPr>
        <w:t xml:space="preserve"> (</w:t>
      </w:r>
      <w:r w:rsidRPr="001F1444">
        <w:rPr>
          <w:lang w:val="en-GB"/>
        </w:rPr>
        <w:t xml:space="preserve">SVM 3000 </w:t>
      </w:r>
      <w:proofErr w:type="spellStart"/>
      <w:r w:rsidRPr="001F1444">
        <w:rPr>
          <w:lang w:val="en-GB"/>
        </w:rPr>
        <w:t>Stabinger</w:t>
      </w:r>
      <w:proofErr w:type="spellEnd"/>
      <w:r w:rsidRPr="001F1444">
        <w:rPr>
          <w:lang w:val="en-GB"/>
        </w:rPr>
        <w:t xml:space="preserve"> Viscometer</w:t>
      </w:r>
      <w:r>
        <w:rPr>
          <w:lang w:val="en-GB"/>
        </w:rPr>
        <w:t>) was used</w:t>
      </w:r>
      <w:r w:rsidR="001F1444" w:rsidRPr="001F1444">
        <w:rPr>
          <w:lang w:val="en-GB"/>
        </w:rPr>
        <w:t>. The device performs the tests at a constant shear rate of 100 1/s and determines the viscosity</w:t>
      </w:r>
      <w:r>
        <w:rPr>
          <w:lang w:val="en-GB"/>
        </w:rPr>
        <w:t xml:space="preserve"> and density</w:t>
      </w:r>
      <w:r w:rsidR="001F1444" w:rsidRPr="001F1444">
        <w:rPr>
          <w:lang w:val="en-GB"/>
        </w:rPr>
        <w:t>.</w:t>
      </w:r>
      <w:r w:rsidRPr="006E516E">
        <w:rPr>
          <w:lang w:val="en-GB"/>
        </w:rPr>
        <w:t xml:space="preserve"> </w:t>
      </w:r>
      <w:r>
        <w:rPr>
          <w:lang w:val="en-GB"/>
        </w:rPr>
        <w:t>The measurements were carried out at 100 °C temperature.</w:t>
      </w:r>
    </w:p>
    <w:p w14:paraId="2F02C689" w14:textId="0EFFB022" w:rsidR="0088311A" w:rsidRDefault="0088311A" w:rsidP="0088311A">
      <w:pPr>
        <w:pStyle w:val="CETHeading1"/>
      </w:pPr>
      <w:r>
        <w:t>Results</w:t>
      </w:r>
    </w:p>
    <w:p w14:paraId="05C96664" w14:textId="4C4DC891" w:rsidR="00DE39BD" w:rsidRDefault="00DE39BD" w:rsidP="00DE39BD">
      <w:pPr>
        <w:pStyle w:val="CETBodytext"/>
      </w:pPr>
      <w:r>
        <w:t>The results of the measurements of the appearance and stability of the surfactants synthesized from fatty acids are summarized in Table 4.</w:t>
      </w:r>
    </w:p>
    <w:p w14:paraId="643A9BD4" w14:textId="51348AFA" w:rsidR="00BB6CDE" w:rsidRPr="00B57B36" w:rsidRDefault="00BB6CDE" w:rsidP="00BB6CDE">
      <w:pPr>
        <w:pStyle w:val="CETTabletitle"/>
      </w:pPr>
      <w:r w:rsidRPr="00B57B36">
        <w:t xml:space="preserve">Table </w:t>
      </w:r>
      <w:r>
        <w:t>4</w:t>
      </w:r>
      <w:r w:rsidRPr="00B57B36">
        <w:t xml:space="preserve">: </w:t>
      </w:r>
      <w:r w:rsidR="00D17D96">
        <w:t xml:space="preserve">Appearance and stability </w:t>
      </w:r>
      <w:r>
        <w:t>of reaction products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94"/>
        <w:gridCol w:w="1561"/>
        <w:gridCol w:w="2833"/>
        <w:gridCol w:w="3399"/>
      </w:tblGrid>
      <w:tr w:rsidR="00BB6CDE" w:rsidRPr="00B57B36" w14:paraId="62F004AD" w14:textId="77777777" w:rsidTr="00435698">
        <w:tc>
          <w:tcPr>
            <w:tcW w:w="566" w:type="pct"/>
            <w:tcBorders>
              <w:top w:val="single" w:sz="12" w:space="0" w:color="008000"/>
              <w:bottom w:val="single" w:sz="6" w:space="0" w:color="008000"/>
            </w:tcBorders>
            <w:shd w:val="clear" w:color="auto" w:fill="FFFFFF"/>
            <w:vAlign w:val="center"/>
          </w:tcPr>
          <w:p w14:paraId="37790143" w14:textId="3AD6D91E" w:rsidR="00BB6CDE" w:rsidRPr="00B57B36" w:rsidRDefault="00BB6CDE" w:rsidP="00BB6CDE">
            <w:pPr>
              <w:pStyle w:val="CETBodytext"/>
              <w:jc w:val="left"/>
              <w:rPr>
                <w:lang w:val="en-GB"/>
              </w:rPr>
            </w:pPr>
            <w:r>
              <w:rPr>
                <w:lang w:val="en-GB"/>
              </w:rPr>
              <w:t>Mark of surfactants</w:t>
            </w:r>
            <w:r w:rsidRPr="00B57B36">
              <w:rPr>
                <w:lang w:val="en-GB"/>
              </w:rPr>
              <w:t xml:space="preserve"> </w:t>
            </w:r>
          </w:p>
        </w:tc>
        <w:tc>
          <w:tcPr>
            <w:tcW w:w="888" w:type="pct"/>
            <w:tcBorders>
              <w:top w:val="single" w:sz="12" w:space="0" w:color="008000"/>
              <w:bottom w:val="single" w:sz="6" w:space="0" w:color="008000"/>
            </w:tcBorders>
            <w:shd w:val="clear" w:color="auto" w:fill="FFFFFF"/>
            <w:vAlign w:val="center"/>
          </w:tcPr>
          <w:p w14:paraId="013CC352" w14:textId="40FCC665" w:rsidR="00BB6CDE" w:rsidRDefault="00BB6CDE" w:rsidP="00BB6CDE">
            <w:pPr>
              <w:pStyle w:val="CETBodytext"/>
              <w:jc w:val="center"/>
            </w:pPr>
            <w:r>
              <w:t>Used fatty acid</w:t>
            </w:r>
          </w:p>
        </w:tc>
        <w:tc>
          <w:tcPr>
            <w:tcW w:w="1612" w:type="pct"/>
            <w:tcBorders>
              <w:top w:val="single" w:sz="12" w:space="0" w:color="008000"/>
              <w:bottom w:val="single" w:sz="6" w:space="0" w:color="008000"/>
            </w:tcBorders>
            <w:shd w:val="clear" w:color="auto" w:fill="FFFFFF"/>
            <w:vAlign w:val="center"/>
          </w:tcPr>
          <w:p w14:paraId="38323ABC" w14:textId="39498442" w:rsidR="00BB6CDE" w:rsidRDefault="00BB6CDE" w:rsidP="00BB6CDE">
            <w:pPr>
              <w:pStyle w:val="CETBodytext"/>
              <w:jc w:val="center"/>
            </w:pPr>
            <w:r>
              <w:t>Appearance of surfactants</w:t>
            </w:r>
          </w:p>
        </w:tc>
        <w:tc>
          <w:tcPr>
            <w:tcW w:w="1935" w:type="pct"/>
            <w:tcBorders>
              <w:top w:val="single" w:sz="12" w:space="0" w:color="008000"/>
              <w:bottom w:val="single" w:sz="6" w:space="0" w:color="008000"/>
            </w:tcBorders>
            <w:shd w:val="clear" w:color="auto" w:fill="FFFFFF"/>
            <w:vAlign w:val="center"/>
          </w:tcPr>
          <w:p w14:paraId="2066285A" w14:textId="36F8C2BE" w:rsidR="00BB6CDE" w:rsidRDefault="00BB6CDE" w:rsidP="00BB6CDE">
            <w:pPr>
              <w:pStyle w:val="CETBodytext"/>
              <w:jc w:val="center"/>
            </w:pPr>
            <w:r>
              <w:t>Stability of surfactants</w:t>
            </w:r>
          </w:p>
        </w:tc>
      </w:tr>
      <w:tr w:rsidR="00BB6CDE" w:rsidRPr="00B57B36" w14:paraId="783D1FB2" w14:textId="77777777" w:rsidTr="00435698">
        <w:tc>
          <w:tcPr>
            <w:tcW w:w="566" w:type="pct"/>
            <w:shd w:val="clear" w:color="auto" w:fill="FFFFFF"/>
            <w:vAlign w:val="center"/>
          </w:tcPr>
          <w:p w14:paraId="2CF04866" w14:textId="36DD6084" w:rsidR="00BB6CDE" w:rsidRPr="00B57B36" w:rsidRDefault="00BB6CDE" w:rsidP="00BB6CDE">
            <w:pPr>
              <w:pStyle w:val="CETBodytext"/>
              <w:jc w:val="left"/>
              <w:rPr>
                <w:lang w:val="en-GB"/>
              </w:rPr>
            </w:pPr>
            <w:r>
              <w:rPr>
                <w:lang w:val="en-GB"/>
              </w:rPr>
              <w:t>S-1</w:t>
            </w:r>
          </w:p>
        </w:tc>
        <w:tc>
          <w:tcPr>
            <w:tcW w:w="888" w:type="pct"/>
            <w:shd w:val="clear" w:color="auto" w:fill="FFFFFF"/>
            <w:vAlign w:val="center"/>
          </w:tcPr>
          <w:p w14:paraId="28914C8B" w14:textId="773A9F8E" w:rsidR="00BB6CDE" w:rsidRPr="00220341" w:rsidRDefault="00BB6CDE" w:rsidP="00BB6CDE">
            <w:pPr>
              <w:pStyle w:val="CETBodytext"/>
              <w:jc w:val="center"/>
            </w:pPr>
            <w:r>
              <w:t>Lauric acid</w:t>
            </w:r>
          </w:p>
        </w:tc>
        <w:tc>
          <w:tcPr>
            <w:tcW w:w="1612" w:type="pct"/>
            <w:shd w:val="clear" w:color="auto" w:fill="FFFFFF"/>
            <w:vAlign w:val="center"/>
          </w:tcPr>
          <w:p w14:paraId="19164BF2" w14:textId="7C4982EC" w:rsidR="00BB6CDE" w:rsidRPr="00220341" w:rsidRDefault="00435698" w:rsidP="00BB6CDE">
            <w:pPr>
              <w:pStyle w:val="CETBodytext"/>
              <w:jc w:val="center"/>
            </w:pPr>
            <w:r>
              <w:rPr>
                <w:rFonts w:cs="Arial"/>
                <w:szCs w:val="18"/>
                <w:lang w:val="en-GB"/>
              </w:rPr>
              <w:t>P</w:t>
            </w:r>
            <w:r w:rsidR="00D17D96">
              <w:rPr>
                <w:rFonts w:cs="Arial"/>
                <w:szCs w:val="18"/>
                <w:lang w:val="en-GB"/>
              </w:rPr>
              <w:t xml:space="preserve">ale </w:t>
            </w:r>
            <w:r w:rsidR="004742C6" w:rsidRPr="00B50115">
              <w:rPr>
                <w:rFonts w:cs="Arial"/>
                <w:szCs w:val="18"/>
                <w:lang w:val="en-GB"/>
              </w:rPr>
              <w:t>yellowish/</w:t>
            </w:r>
            <w:r w:rsidR="004742C6">
              <w:rPr>
                <w:rFonts w:cs="Arial"/>
                <w:szCs w:val="18"/>
                <w:lang w:val="en-GB"/>
              </w:rPr>
              <w:t xml:space="preserve"> </w:t>
            </w:r>
            <w:r w:rsidR="004742C6" w:rsidRPr="00B50115">
              <w:rPr>
                <w:rFonts w:cs="Arial"/>
                <w:szCs w:val="18"/>
                <w:lang w:val="en-GB"/>
              </w:rPr>
              <w:t>brownish</w:t>
            </w:r>
            <w:r w:rsidR="00D17D96">
              <w:rPr>
                <w:rFonts w:cs="Arial"/>
                <w:szCs w:val="18"/>
                <w:lang w:val="en-GB"/>
              </w:rPr>
              <w:t>,</w:t>
            </w:r>
            <w:r w:rsidR="004742C6" w:rsidRPr="00B50115">
              <w:rPr>
                <w:rFonts w:cs="Arial"/>
                <w:szCs w:val="18"/>
                <w:lang w:val="en-GB"/>
              </w:rPr>
              <w:t xml:space="preserve"> liquid</w:t>
            </w:r>
          </w:p>
        </w:tc>
        <w:tc>
          <w:tcPr>
            <w:tcW w:w="1935" w:type="pct"/>
            <w:shd w:val="clear" w:color="auto" w:fill="FFFFFF"/>
            <w:vAlign w:val="center"/>
          </w:tcPr>
          <w:p w14:paraId="6072D81C" w14:textId="5329485F" w:rsidR="00BB6CDE" w:rsidRPr="00220341" w:rsidRDefault="00BB6CDE" w:rsidP="00BB6CDE">
            <w:pPr>
              <w:pStyle w:val="CETBodytext"/>
              <w:jc w:val="center"/>
            </w:pPr>
            <w:r>
              <w:t xml:space="preserve">Stable, phase separation was not </w:t>
            </w:r>
            <w:r w:rsidR="00CA01FC" w:rsidRPr="00CA01FC">
              <w:t>observed</w:t>
            </w:r>
          </w:p>
        </w:tc>
      </w:tr>
      <w:tr w:rsidR="00BB6CDE" w:rsidRPr="00B57B36" w14:paraId="16F50D55" w14:textId="77777777" w:rsidTr="00435698">
        <w:tc>
          <w:tcPr>
            <w:tcW w:w="566" w:type="pct"/>
            <w:shd w:val="clear" w:color="auto" w:fill="FFFFFF"/>
            <w:vAlign w:val="center"/>
          </w:tcPr>
          <w:p w14:paraId="5BF5EAC5" w14:textId="3EDCADDF" w:rsidR="00BB6CDE" w:rsidRPr="00B57B36" w:rsidRDefault="00BB6CDE" w:rsidP="00BB6CDE">
            <w:pPr>
              <w:pStyle w:val="CETBodytext"/>
              <w:ind w:right="-1"/>
              <w:jc w:val="left"/>
              <w:rPr>
                <w:rFonts w:cs="Arial"/>
                <w:szCs w:val="18"/>
                <w:lang w:val="en-GB"/>
              </w:rPr>
            </w:pPr>
            <w:r>
              <w:rPr>
                <w:lang w:val="en-GB"/>
              </w:rPr>
              <w:t>S-2</w:t>
            </w:r>
          </w:p>
        </w:tc>
        <w:tc>
          <w:tcPr>
            <w:tcW w:w="888" w:type="pct"/>
            <w:shd w:val="clear" w:color="auto" w:fill="FFFFFF"/>
            <w:vAlign w:val="center"/>
          </w:tcPr>
          <w:p w14:paraId="0502CFE4" w14:textId="1F0800FA" w:rsidR="00BB6CDE" w:rsidRPr="00220341" w:rsidRDefault="00BB6CDE" w:rsidP="00BB6CDE">
            <w:pPr>
              <w:pStyle w:val="CETBodytext"/>
              <w:ind w:right="-1"/>
              <w:jc w:val="center"/>
            </w:pPr>
            <w:r>
              <w:t>Myristic acid</w:t>
            </w:r>
          </w:p>
        </w:tc>
        <w:tc>
          <w:tcPr>
            <w:tcW w:w="1612" w:type="pct"/>
            <w:shd w:val="clear" w:color="auto" w:fill="FFFFFF"/>
            <w:vAlign w:val="center"/>
          </w:tcPr>
          <w:p w14:paraId="043C7231" w14:textId="04162EEF" w:rsidR="00BB6CDE" w:rsidRPr="00220341" w:rsidRDefault="00435698" w:rsidP="00BB6CDE">
            <w:pPr>
              <w:pStyle w:val="CETBodytext"/>
              <w:ind w:right="-1"/>
              <w:jc w:val="center"/>
            </w:pPr>
            <w:r>
              <w:rPr>
                <w:rFonts w:cs="Arial"/>
                <w:szCs w:val="18"/>
                <w:lang w:val="en-GB"/>
              </w:rPr>
              <w:t>P</w:t>
            </w:r>
            <w:r w:rsidR="00D17D96">
              <w:rPr>
                <w:rFonts w:cs="Arial"/>
                <w:szCs w:val="18"/>
                <w:lang w:val="en-GB"/>
              </w:rPr>
              <w:t xml:space="preserve">ale </w:t>
            </w:r>
            <w:r w:rsidR="00D17D96" w:rsidRPr="00B50115">
              <w:rPr>
                <w:rFonts w:cs="Arial"/>
                <w:szCs w:val="18"/>
                <w:lang w:val="en-GB"/>
              </w:rPr>
              <w:t>yellowish/</w:t>
            </w:r>
            <w:r w:rsidR="00D17D96">
              <w:rPr>
                <w:rFonts w:cs="Arial"/>
                <w:szCs w:val="18"/>
                <w:lang w:val="en-GB"/>
              </w:rPr>
              <w:t xml:space="preserve"> </w:t>
            </w:r>
            <w:r w:rsidR="00D17D96" w:rsidRPr="00B50115">
              <w:rPr>
                <w:rFonts w:cs="Arial"/>
                <w:szCs w:val="18"/>
                <w:lang w:val="en-GB"/>
              </w:rPr>
              <w:t>brownish</w:t>
            </w:r>
            <w:r w:rsidR="00D17D96">
              <w:rPr>
                <w:rFonts w:cs="Arial"/>
                <w:szCs w:val="18"/>
                <w:lang w:val="en-GB"/>
              </w:rPr>
              <w:t>,</w:t>
            </w:r>
            <w:r w:rsidR="00D17D96" w:rsidRPr="00B50115">
              <w:rPr>
                <w:rFonts w:cs="Arial"/>
                <w:szCs w:val="18"/>
                <w:lang w:val="en-GB"/>
              </w:rPr>
              <w:t xml:space="preserve"> </w:t>
            </w:r>
            <w:r w:rsidR="00D17D96">
              <w:rPr>
                <w:rFonts w:cs="Arial"/>
                <w:szCs w:val="18"/>
                <w:lang w:val="en-GB"/>
              </w:rPr>
              <w:t>paste</w:t>
            </w:r>
          </w:p>
        </w:tc>
        <w:tc>
          <w:tcPr>
            <w:tcW w:w="1935" w:type="pct"/>
            <w:shd w:val="clear" w:color="auto" w:fill="FFFFFF"/>
            <w:vAlign w:val="center"/>
          </w:tcPr>
          <w:p w14:paraId="0B0D05A2" w14:textId="772B6FD6" w:rsidR="00BB6CDE" w:rsidRPr="00220341" w:rsidRDefault="00BB6CDE" w:rsidP="00BB6CDE">
            <w:pPr>
              <w:pStyle w:val="CETBodytext"/>
              <w:ind w:right="-1"/>
              <w:jc w:val="center"/>
            </w:pPr>
            <w:r>
              <w:t xml:space="preserve">Stable, phase separation was not </w:t>
            </w:r>
            <w:r w:rsidR="00CA01FC" w:rsidRPr="00CA01FC">
              <w:t>observed</w:t>
            </w:r>
          </w:p>
        </w:tc>
      </w:tr>
      <w:tr w:rsidR="00BB6CDE" w:rsidRPr="00B57B36" w14:paraId="30038BB6" w14:textId="77777777" w:rsidTr="00435698">
        <w:tc>
          <w:tcPr>
            <w:tcW w:w="566" w:type="pct"/>
            <w:shd w:val="clear" w:color="auto" w:fill="FFFFFF"/>
            <w:vAlign w:val="center"/>
          </w:tcPr>
          <w:p w14:paraId="520D2E00" w14:textId="072F6D9F" w:rsidR="00BB6CDE" w:rsidRDefault="00BB6CDE" w:rsidP="00BB6CDE">
            <w:pPr>
              <w:pStyle w:val="CETBodytext"/>
              <w:ind w:right="-1"/>
              <w:jc w:val="left"/>
              <w:rPr>
                <w:lang w:val="en-GB"/>
              </w:rPr>
            </w:pPr>
            <w:r>
              <w:rPr>
                <w:lang w:val="en-GB"/>
              </w:rPr>
              <w:t>S-3</w:t>
            </w:r>
          </w:p>
        </w:tc>
        <w:tc>
          <w:tcPr>
            <w:tcW w:w="888" w:type="pct"/>
            <w:shd w:val="clear" w:color="auto" w:fill="FFFFFF"/>
            <w:vAlign w:val="center"/>
          </w:tcPr>
          <w:p w14:paraId="557C276E" w14:textId="111A2A00" w:rsidR="00BB6CDE" w:rsidRPr="00220341" w:rsidRDefault="00BB6CDE" w:rsidP="00BB6CDE">
            <w:pPr>
              <w:pStyle w:val="CETBodytext"/>
              <w:ind w:right="-1"/>
              <w:jc w:val="center"/>
            </w:pPr>
            <w:r>
              <w:t>Palmitic acid</w:t>
            </w:r>
          </w:p>
        </w:tc>
        <w:tc>
          <w:tcPr>
            <w:tcW w:w="1612" w:type="pct"/>
            <w:shd w:val="clear" w:color="auto" w:fill="FFFFFF"/>
            <w:vAlign w:val="center"/>
          </w:tcPr>
          <w:p w14:paraId="5EAA91B6" w14:textId="15C7981F" w:rsidR="00BB6CDE" w:rsidRPr="00220341" w:rsidRDefault="00435698" w:rsidP="00BB6CDE">
            <w:pPr>
              <w:pStyle w:val="CETBodytext"/>
              <w:ind w:right="-1"/>
              <w:jc w:val="center"/>
            </w:pPr>
            <w:r>
              <w:rPr>
                <w:rFonts w:cs="Arial"/>
                <w:szCs w:val="18"/>
                <w:lang w:val="en-GB"/>
              </w:rPr>
              <w:t>P</w:t>
            </w:r>
            <w:r w:rsidR="00D17D96">
              <w:rPr>
                <w:rFonts w:cs="Arial"/>
                <w:szCs w:val="18"/>
                <w:lang w:val="en-GB"/>
              </w:rPr>
              <w:t xml:space="preserve">ale </w:t>
            </w:r>
            <w:r w:rsidR="00D17D96" w:rsidRPr="00B50115">
              <w:rPr>
                <w:rFonts w:cs="Arial"/>
                <w:szCs w:val="18"/>
                <w:lang w:val="en-GB"/>
              </w:rPr>
              <w:t>yellowish/</w:t>
            </w:r>
            <w:r w:rsidR="00D17D96">
              <w:rPr>
                <w:rFonts w:cs="Arial"/>
                <w:szCs w:val="18"/>
                <w:lang w:val="en-GB"/>
              </w:rPr>
              <w:t xml:space="preserve"> </w:t>
            </w:r>
            <w:r w:rsidR="00D17D96" w:rsidRPr="00B50115">
              <w:rPr>
                <w:rFonts w:cs="Arial"/>
                <w:szCs w:val="18"/>
                <w:lang w:val="en-GB"/>
              </w:rPr>
              <w:t>brownish</w:t>
            </w:r>
            <w:r w:rsidR="00D17D96">
              <w:rPr>
                <w:rFonts w:cs="Arial"/>
                <w:szCs w:val="18"/>
                <w:lang w:val="en-GB"/>
              </w:rPr>
              <w:t>,</w:t>
            </w:r>
            <w:r w:rsidR="00D17D96" w:rsidRPr="00B50115">
              <w:rPr>
                <w:rFonts w:cs="Arial"/>
                <w:szCs w:val="18"/>
                <w:lang w:val="en-GB"/>
              </w:rPr>
              <w:t xml:space="preserve"> </w:t>
            </w:r>
            <w:r w:rsidR="00D17D96">
              <w:rPr>
                <w:rFonts w:cs="Arial"/>
                <w:szCs w:val="18"/>
                <w:lang w:val="en-GB"/>
              </w:rPr>
              <w:t>solid</w:t>
            </w:r>
          </w:p>
        </w:tc>
        <w:tc>
          <w:tcPr>
            <w:tcW w:w="1935" w:type="pct"/>
            <w:shd w:val="clear" w:color="auto" w:fill="FFFFFF"/>
            <w:vAlign w:val="center"/>
          </w:tcPr>
          <w:p w14:paraId="09682D80" w14:textId="1F769A67" w:rsidR="00BB6CDE" w:rsidRPr="00220341" w:rsidRDefault="00BB6CDE" w:rsidP="00BB6CDE">
            <w:pPr>
              <w:pStyle w:val="CETBodytext"/>
              <w:ind w:right="-1"/>
              <w:jc w:val="center"/>
            </w:pPr>
            <w:r>
              <w:t xml:space="preserve">Stable, phase separation was not </w:t>
            </w:r>
            <w:r w:rsidR="00CA01FC" w:rsidRPr="00CA01FC">
              <w:t>observed</w:t>
            </w:r>
          </w:p>
        </w:tc>
      </w:tr>
      <w:tr w:rsidR="00BB6CDE" w:rsidRPr="00B57B36" w14:paraId="2774AF10" w14:textId="77777777" w:rsidTr="00435698">
        <w:tc>
          <w:tcPr>
            <w:tcW w:w="566" w:type="pct"/>
            <w:shd w:val="clear" w:color="auto" w:fill="FFFFFF"/>
            <w:vAlign w:val="center"/>
          </w:tcPr>
          <w:p w14:paraId="1313881B" w14:textId="5F81E5AA" w:rsidR="00BB6CDE" w:rsidRDefault="00BB6CDE" w:rsidP="00BB6CDE">
            <w:pPr>
              <w:pStyle w:val="CETBodytext"/>
              <w:ind w:right="-1"/>
              <w:jc w:val="left"/>
              <w:rPr>
                <w:lang w:val="en-GB"/>
              </w:rPr>
            </w:pPr>
            <w:r>
              <w:rPr>
                <w:lang w:val="en-GB"/>
              </w:rPr>
              <w:t>S-4</w:t>
            </w:r>
          </w:p>
        </w:tc>
        <w:tc>
          <w:tcPr>
            <w:tcW w:w="888" w:type="pct"/>
            <w:shd w:val="clear" w:color="auto" w:fill="FFFFFF"/>
            <w:vAlign w:val="center"/>
          </w:tcPr>
          <w:p w14:paraId="2012F4A8" w14:textId="33C9F7CD" w:rsidR="00BB6CDE" w:rsidRPr="00220341" w:rsidRDefault="00BB6CDE" w:rsidP="00BB6CDE">
            <w:pPr>
              <w:pStyle w:val="CETBodytext"/>
              <w:ind w:right="-1"/>
              <w:jc w:val="center"/>
            </w:pPr>
            <w:r>
              <w:t>Oleic acid</w:t>
            </w:r>
          </w:p>
        </w:tc>
        <w:tc>
          <w:tcPr>
            <w:tcW w:w="1612" w:type="pct"/>
            <w:shd w:val="clear" w:color="auto" w:fill="FFFFFF"/>
            <w:vAlign w:val="center"/>
          </w:tcPr>
          <w:p w14:paraId="6F59361E" w14:textId="646B26AE" w:rsidR="00BB6CDE" w:rsidRPr="00220341" w:rsidRDefault="00435698" w:rsidP="00BB6CDE">
            <w:pPr>
              <w:pStyle w:val="CETBodytext"/>
              <w:ind w:right="-1"/>
              <w:jc w:val="center"/>
            </w:pPr>
            <w:r>
              <w:rPr>
                <w:rFonts w:cs="Arial"/>
                <w:szCs w:val="18"/>
                <w:lang w:val="en-GB"/>
              </w:rPr>
              <w:t>D</w:t>
            </w:r>
            <w:r w:rsidR="00D17D96">
              <w:rPr>
                <w:rFonts w:cs="Arial"/>
                <w:szCs w:val="18"/>
                <w:lang w:val="en-GB"/>
              </w:rPr>
              <w:t xml:space="preserve">ark </w:t>
            </w:r>
            <w:r w:rsidR="00D17D96" w:rsidRPr="00B50115">
              <w:rPr>
                <w:rFonts w:cs="Arial"/>
                <w:szCs w:val="18"/>
                <w:lang w:val="en-GB"/>
              </w:rPr>
              <w:t>brown</w:t>
            </w:r>
            <w:r w:rsidR="00D17D96">
              <w:rPr>
                <w:rFonts w:cs="Arial"/>
                <w:szCs w:val="18"/>
                <w:lang w:val="en-GB"/>
              </w:rPr>
              <w:t>,</w:t>
            </w:r>
            <w:r w:rsidR="00D17D96" w:rsidRPr="00B50115">
              <w:rPr>
                <w:rFonts w:cs="Arial"/>
                <w:szCs w:val="18"/>
                <w:lang w:val="en-GB"/>
              </w:rPr>
              <w:t xml:space="preserve"> liquid</w:t>
            </w:r>
          </w:p>
        </w:tc>
        <w:tc>
          <w:tcPr>
            <w:tcW w:w="1935" w:type="pct"/>
            <w:shd w:val="clear" w:color="auto" w:fill="FFFFFF"/>
            <w:vAlign w:val="center"/>
          </w:tcPr>
          <w:p w14:paraId="7D88FAD9" w14:textId="4E1BA625" w:rsidR="00BB6CDE" w:rsidRPr="00220341" w:rsidRDefault="00BB6CDE" w:rsidP="00BB6CDE">
            <w:pPr>
              <w:pStyle w:val="CETBodytext"/>
              <w:ind w:right="-1"/>
              <w:jc w:val="center"/>
            </w:pPr>
            <w:r>
              <w:t xml:space="preserve">Stable, phase separation was not </w:t>
            </w:r>
            <w:r w:rsidR="00CA01FC" w:rsidRPr="00CA01FC">
              <w:t>observed</w:t>
            </w:r>
          </w:p>
        </w:tc>
      </w:tr>
      <w:tr w:rsidR="00BB6CDE" w:rsidRPr="00B57B36" w14:paraId="0E353EF8" w14:textId="77777777" w:rsidTr="00435698">
        <w:tc>
          <w:tcPr>
            <w:tcW w:w="566" w:type="pct"/>
            <w:shd w:val="clear" w:color="auto" w:fill="FFFFFF"/>
            <w:vAlign w:val="center"/>
          </w:tcPr>
          <w:p w14:paraId="426CCCF5" w14:textId="69A8AE23" w:rsidR="00BB6CDE" w:rsidRDefault="00BB6CDE" w:rsidP="00BB6CDE">
            <w:pPr>
              <w:pStyle w:val="CETBodytext"/>
              <w:ind w:right="-1"/>
              <w:jc w:val="left"/>
              <w:rPr>
                <w:lang w:val="en-GB"/>
              </w:rPr>
            </w:pPr>
            <w:r>
              <w:rPr>
                <w:lang w:val="en-GB"/>
              </w:rPr>
              <w:t>S-5</w:t>
            </w:r>
          </w:p>
        </w:tc>
        <w:tc>
          <w:tcPr>
            <w:tcW w:w="888" w:type="pct"/>
            <w:shd w:val="clear" w:color="auto" w:fill="FFFFFF"/>
            <w:vAlign w:val="center"/>
          </w:tcPr>
          <w:p w14:paraId="5A93B000" w14:textId="663436FB" w:rsidR="00BB6CDE" w:rsidRPr="00220341" w:rsidRDefault="00BB6CDE" w:rsidP="00BB6CDE">
            <w:pPr>
              <w:pStyle w:val="CETBodytext"/>
              <w:ind w:right="-1"/>
              <w:jc w:val="center"/>
            </w:pPr>
            <w:r>
              <w:t>Stearic acid</w:t>
            </w:r>
          </w:p>
        </w:tc>
        <w:tc>
          <w:tcPr>
            <w:tcW w:w="1612" w:type="pct"/>
            <w:shd w:val="clear" w:color="auto" w:fill="FFFFFF"/>
            <w:vAlign w:val="center"/>
          </w:tcPr>
          <w:p w14:paraId="62FFAC2B" w14:textId="0CF44EDF" w:rsidR="00BB6CDE" w:rsidRPr="00220341" w:rsidRDefault="00435698" w:rsidP="00BB6CDE">
            <w:pPr>
              <w:pStyle w:val="CETBodytext"/>
              <w:ind w:right="-1"/>
              <w:jc w:val="center"/>
            </w:pPr>
            <w:r>
              <w:rPr>
                <w:rFonts w:cs="Arial"/>
                <w:szCs w:val="18"/>
                <w:lang w:val="en-GB"/>
              </w:rPr>
              <w:t>P</w:t>
            </w:r>
            <w:r w:rsidR="00D17D96">
              <w:rPr>
                <w:rFonts w:cs="Arial"/>
                <w:szCs w:val="18"/>
                <w:lang w:val="en-GB"/>
              </w:rPr>
              <w:t xml:space="preserve">ale </w:t>
            </w:r>
            <w:r w:rsidR="00D17D96" w:rsidRPr="00B50115">
              <w:rPr>
                <w:rFonts w:cs="Arial"/>
                <w:szCs w:val="18"/>
                <w:lang w:val="en-GB"/>
              </w:rPr>
              <w:t>yellowish/</w:t>
            </w:r>
            <w:r w:rsidR="00D17D96">
              <w:rPr>
                <w:rFonts w:cs="Arial"/>
                <w:szCs w:val="18"/>
                <w:lang w:val="en-GB"/>
              </w:rPr>
              <w:t xml:space="preserve"> </w:t>
            </w:r>
            <w:r w:rsidR="00D17D96" w:rsidRPr="00B50115">
              <w:rPr>
                <w:rFonts w:cs="Arial"/>
                <w:szCs w:val="18"/>
                <w:lang w:val="en-GB"/>
              </w:rPr>
              <w:t>brownish</w:t>
            </w:r>
            <w:r w:rsidR="00D17D96">
              <w:rPr>
                <w:rFonts w:cs="Arial"/>
                <w:szCs w:val="18"/>
                <w:lang w:val="en-GB"/>
              </w:rPr>
              <w:t>, solid</w:t>
            </w:r>
          </w:p>
        </w:tc>
        <w:tc>
          <w:tcPr>
            <w:tcW w:w="1935" w:type="pct"/>
            <w:shd w:val="clear" w:color="auto" w:fill="FFFFFF"/>
            <w:vAlign w:val="center"/>
          </w:tcPr>
          <w:p w14:paraId="442ED8B5" w14:textId="41F0CF5F" w:rsidR="00BB6CDE" w:rsidRPr="00220341" w:rsidRDefault="00BB6CDE" w:rsidP="00BB6CDE">
            <w:pPr>
              <w:pStyle w:val="CETBodytext"/>
              <w:ind w:right="-1"/>
              <w:jc w:val="center"/>
            </w:pPr>
            <w:r>
              <w:t xml:space="preserve">Stable, phase separation was not </w:t>
            </w:r>
            <w:r w:rsidR="00CA01FC" w:rsidRPr="00CA01FC">
              <w:t>observed</w:t>
            </w:r>
          </w:p>
        </w:tc>
      </w:tr>
    </w:tbl>
    <w:p w14:paraId="549DCFD4" w14:textId="77777777" w:rsidR="006076BC" w:rsidRDefault="006076BC" w:rsidP="00DE39BD">
      <w:pPr>
        <w:pStyle w:val="CETBodytext"/>
      </w:pPr>
    </w:p>
    <w:p w14:paraId="599391A9" w14:textId="4CF74061" w:rsidR="00DE39BD" w:rsidRDefault="000A7242" w:rsidP="00DE39BD">
      <w:pPr>
        <w:pStyle w:val="CETBodytext"/>
      </w:pPr>
      <w:r w:rsidRPr="00CA01FC">
        <w:t>The products of the reactions were stable in all cases, and phase separation was not observed. Among the produced surfactants, two were liquid, two were solid, and one was pasty. The surfactant synthesized from the smallest molecular weight, the shortest-chain fatty acid (S-1), was liquid, as well as the one synthesized from the fatty acid containing a double bond. With the increase in carbon chain length, the flow properties of the surfactants decreased. An exception to this trend was observed for the surfactant synthesized from the fatty acid containing a double bond.</w:t>
      </w:r>
      <w:r w:rsidR="00DE39BD">
        <w:t xml:space="preserve"> The properties of the surfactants are summarized in Table 5.</w:t>
      </w:r>
    </w:p>
    <w:p w14:paraId="79D044A4" w14:textId="1C3FC29A" w:rsidR="009C6D81" w:rsidRPr="00B57B36" w:rsidRDefault="009C6D81" w:rsidP="009C6D81">
      <w:pPr>
        <w:pStyle w:val="CETTabletitle"/>
      </w:pPr>
      <w:r w:rsidRPr="00B57B36">
        <w:t xml:space="preserve">Table </w:t>
      </w:r>
      <w:r w:rsidR="00BB6CDE">
        <w:t>5</w:t>
      </w:r>
      <w:r w:rsidRPr="00B57B36">
        <w:t xml:space="preserve">: </w:t>
      </w:r>
      <w:r>
        <w:t>Properties of reaction products</w:t>
      </w:r>
    </w:p>
    <w:tbl>
      <w:tblPr>
        <w:tblW w:w="5001"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46"/>
        <w:gridCol w:w="1427"/>
        <w:gridCol w:w="2095"/>
        <w:gridCol w:w="1777"/>
        <w:gridCol w:w="1744"/>
      </w:tblGrid>
      <w:tr w:rsidR="00BB6CDE" w:rsidRPr="00B57B36" w14:paraId="4DAA9D80" w14:textId="77777777" w:rsidTr="00DE39BD">
        <w:tc>
          <w:tcPr>
            <w:tcW w:w="993" w:type="pct"/>
            <w:tcBorders>
              <w:top w:val="single" w:sz="12" w:space="0" w:color="008000"/>
              <w:bottom w:val="single" w:sz="6" w:space="0" w:color="008000"/>
            </w:tcBorders>
            <w:shd w:val="clear" w:color="auto" w:fill="FFFFFF"/>
            <w:vAlign w:val="center"/>
          </w:tcPr>
          <w:p w14:paraId="55E4FCD1" w14:textId="38D1F877" w:rsidR="00BB6CDE" w:rsidRDefault="00BB6CDE" w:rsidP="00BB6CDE">
            <w:pPr>
              <w:pStyle w:val="CETBodytext"/>
              <w:rPr>
                <w:lang w:val="en-GB"/>
              </w:rPr>
            </w:pPr>
            <w:r>
              <w:rPr>
                <w:lang w:val="en-GB"/>
              </w:rPr>
              <w:t>Mark of surfactants</w:t>
            </w:r>
            <w:r w:rsidRPr="00B57B36">
              <w:rPr>
                <w:lang w:val="en-GB"/>
              </w:rPr>
              <w:t xml:space="preserve"> </w:t>
            </w:r>
          </w:p>
        </w:tc>
        <w:tc>
          <w:tcPr>
            <w:tcW w:w="812" w:type="pct"/>
            <w:tcBorders>
              <w:top w:val="single" w:sz="12" w:space="0" w:color="008000"/>
              <w:bottom w:val="single" w:sz="6" w:space="0" w:color="008000"/>
            </w:tcBorders>
            <w:shd w:val="clear" w:color="auto" w:fill="FFFFFF"/>
            <w:vAlign w:val="center"/>
          </w:tcPr>
          <w:p w14:paraId="6B65ABE1" w14:textId="3FEF6E11" w:rsidR="00BB6CDE" w:rsidRPr="00BB6CDE" w:rsidRDefault="00BB6CDE" w:rsidP="00BB6CDE">
            <w:pPr>
              <w:pStyle w:val="CETBodytext"/>
              <w:jc w:val="center"/>
              <w:rPr>
                <w:lang w:val="en-GB"/>
              </w:rPr>
            </w:pPr>
            <w:r>
              <w:t>Water number, cm</w:t>
            </w:r>
            <w:r>
              <w:rPr>
                <w:vertAlign w:val="superscript"/>
              </w:rPr>
              <w:t>3</w:t>
            </w:r>
            <w:r>
              <w:t>/g</w:t>
            </w:r>
          </w:p>
        </w:tc>
        <w:tc>
          <w:tcPr>
            <w:tcW w:w="1192" w:type="pct"/>
            <w:tcBorders>
              <w:top w:val="single" w:sz="12" w:space="0" w:color="008000"/>
              <w:bottom w:val="single" w:sz="6" w:space="0" w:color="008000"/>
            </w:tcBorders>
            <w:shd w:val="clear" w:color="auto" w:fill="FFFFFF"/>
            <w:vAlign w:val="center"/>
          </w:tcPr>
          <w:p w14:paraId="3E98A405" w14:textId="16E9C1D9" w:rsidR="00BB6CDE" w:rsidRPr="00B57B36" w:rsidRDefault="00BB6CDE" w:rsidP="00BB6CDE">
            <w:pPr>
              <w:pStyle w:val="CETBodytext"/>
              <w:jc w:val="center"/>
              <w:rPr>
                <w:lang w:val="en-GB"/>
              </w:rPr>
            </w:pPr>
            <w:r>
              <w:rPr>
                <w:lang w:val="en-GB"/>
              </w:rPr>
              <w:t xml:space="preserve">Dynamic viscosity at 100 °C, </w:t>
            </w:r>
            <w:proofErr w:type="spellStart"/>
            <w:r>
              <w:rPr>
                <w:lang w:val="en-GB"/>
              </w:rPr>
              <w:t>mPas</w:t>
            </w:r>
            <w:proofErr w:type="spellEnd"/>
          </w:p>
        </w:tc>
        <w:tc>
          <w:tcPr>
            <w:tcW w:w="1011" w:type="pct"/>
            <w:tcBorders>
              <w:top w:val="single" w:sz="12" w:space="0" w:color="008000"/>
              <w:bottom w:val="single" w:sz="6" w:space="0" w:color="008000"/>
            </w:tcBorders>
            <w:shd w:val="clear" w:color="auto" w:fill="FFFFFF"/>
            <w:vAlign w:val="center"/>
          </w:tcPr>
          <w:p w14:paraId="00D9269E" w14:textId="40D33083" w:rsidR="00BB6CDE" w:rsidRPr="00BB6CDE" w:rsidRDefault="00BB6CDE" w:rsidP="00BB6CDE">
            <w:pPr>
              <w:pStyle w:val="CETBodytext"/>
              <w:ind w:right="-1"/>
              <w:jc w:val="center"/>
              <w:rPr>
                <w:rFonts w:cs="Arial"/>
                <w:szCs w:val="18"/>
                <w:lang w:val="en-GB"/>
              </w:rPr>
            </w:pPr>
            <w:r>
              <w:rPr>
                <w:lang w:val="en-GB"/>
              </w:rPr>
              <w:t>Kinematic viscosity at 100 °C, mm</w:t>
            </w:r>
            <w:r>
              <w:rPr>
                <w:vertAlign w:val="superscript"/>
                <w:lang w:val="en-GB"/>
              </w:rPr>
              <w:t>2</w:t>
            </w:r>
            <w:r>
              <w:rPr>
                <w:lang w:val="en-GB"/>
              </w:rPr>
              <w:t>/s</w:t>
            </w:r>
          </w:p>
        </w:tc>
        <w:tc>
          <w:tcPr>
            <w:tcW w:w="992" w:type="pct"/>
            <w:tcBorders>
              <w:top w:val="single" w:sz="12" w:space="0" w:color="008000"/>
              <w:bottom w:val="single" w:sz="6" w:space="0" w:color="008000"/>
            </w:tcBorders>
            <w:shd w:val="clear" w:color="auto" w:fill="FFFFFF"/>
            <w:vAlign w:val="center"/>
          </w:tcPr>
          <w:p w14:paraId="318B8C0F" w14:textId="367A7416" w:rsidR="00BB6CDE" w:rsidRPr="00BB6CDE" w:rsidRDefault="00BB6CDE" w:rsidP="00BB6CDE">
            <w:pPr>
              <w:pStyle w:val="CETBodytext"/>
              <w:ind w:right="-1"/>
              <w:jc w:val="center"/>
              <w:rPr>
                <w:rFonts w:cs="Arial"/>
                <w:szCs w:val="18"/>
                <w:lang w:val="en-GB"/>
              </w:rPr>
            </w:pPr>
            <w:r>
              <w:rPr>
                <w:lang w:val="en-GB"/>
              </w:rPr>
              <w:t>Density at 100 °C, g/cm</w:t>
            </w:r>
            <w:r>
              <w:rPr>
                <w:vertAlign w:val="superscript"/>
                <w:lang w:val="en-GB"/>
              </w:rPr>
              <w:t>3</w:t>
            </w:r>
          </w:p>
        </w:tc>
      </w:tr>
      <w:tr w:rsidR="00BB6CDE" w:rsidRPr="00B57B36" w14:paraId="16A78B2B" w14:textId="77777777" w:rsidTr="00DE39BD">
        <w:tc>
          <w:tcPr>
            <w:tcW w:w="993" w:type="pct"/>
            <w:shd w:val="clear" w:color="auto" w:fill="FFFFFF"/>
            <w:vAlign w:val="center"/>
          </w:tcPr>
          <w:p w14:paraId="4C3B5070" w14:textId="6A35BE3A" w:rsidR="00BB6CDE" w:rsidRDefault="00BB6CDE" w:rsidP="00BB6CDE">
            <w:pPr>
              <w:pStyle w:val="CETBodytext"/>
              <w:rPr>
                <w:lang w:val="en-GB"/>
              </w:rPr>
            </w:pPr>
            <w:r>
              <w:rPr>
                <w:lang w:val="en-GB"/>
              </w:rPr>
              <w:t>S-1</w:t>
            </w:r>
          </w:p>
        </w:tc>
        <w:tc>
          <w:tcPr>
            <w:tcW w:w="812" w:type="pct"/>
            <w:shd w:val="clear" w:color="auto" w:fill="FFFFFF"/>
            <w:vAlign w:val="center"/>
          </w:tcPr>
          <w:p w14:paraId="4D09EE69" w14:textId="004F3FFF" w:rsidR="00BB6CDE" w:rsidRPr="00B57B36" w:rsidRDefault="001F63BE" w:rsidP="00BB6CDE">
            <w:pPr>
              <w:pStyle w:val="CETBodytext"/>
              <w:jc w:val="center"/>
              <w:rPr>
                <w:lang w:val="en-GB"/>
              </w:rPr>
            </w:pPr>
            <w:r>
              <w:rPr>
                <w:lang w:val="en-GB"/>
              </w:rPr>
              <w:t>14,10</w:t>
            </w:r>
          </w:p>
        </w:tc>
        <w:tc>
          <w:tcPr>
            <w:tcW w:w="1192" w:type="pct"/>
            <w:shd w:val="clear" w:color="auto" w:fill="FFFFFF"/>
            <w:vAlign w:val="center"/>
          </w:tcPr>
          <w:p w14:paraId="110C1F51" w14:textId="4DB4D9BA" w:rsidR="00BB6CDE" w:rsidRPr="00B57B36" w:rsidRDefault="00BB6CDE" w:rsidP="00BB6CDE">
            <w:pPr>
              <w:pStyle w:val="CETBodytext"/>
              <w:jc w:val="center"/>
              <w:rPr>
                <w:lang w:val="en-GB"/>
              </w:rPr>
            </w:pPr>
            <w:r w:rsidRPr="00D87303">
              <w:t>18,</w:t>
            </w:r>
            <w:r>
              <w:t>9</w:t>
            </w:r>
          </w:p>
        </w:tc>
        <w:tc>
          <w:tcPr>
            <w:tcW w:w="1011" w:type="pct"/>
            <w:shd w:val="clear" w:color="auto" w:fill="FFFFFF"/>
            <w:vAlign w:val="center"/>
          </w:tcPr>
          <w:p w14:paraId="191A32DB" w14:textId="2843BB53" w:rsidR="00BB6CDE" w:rsidRPr="00B57B36" w:rsidRDefault="00BB6CDE" w:rsidP="00BB6CDE">
            <w:pPr>
              <w:pStyle w:val="CETBodytext"/>
              <w:ind w:right="-1"/>
              <w:jc w:val="center"/>
              <w:rPr>
                <w:rFonts w:cs="Arial"/>
                <w:szCs w:val="18"/>
                <w:lang w:val="en-GB"/>
              </w:rPr>
            </w:pPr>
            <w:r w:rsidRPr="00D87303">
              <w:t>19,</w:t>
            </w:r>
            <w:r>
              <w:t>4</w:t>
            </w:r>
          </w:p>
        </w:tc>
        <w:tc>
          <w:tcPr>
            <w:tcW w:w="992" w:type="pct"/>
            <w:shd w:val="clear" w:color="auto" w:fill="FFFFFF"/>
            <w:vAlign w:val="center"/>
          </w:tcPr>
          <w:p w14:paraId="1D1DB987" w14:textId="5F351E6F" w:rsidR="00BB6CDE" w:rsidRPr="00B57B36" w:rsidRDefault="00BB6CDE" w:rsidP="00BB6CDE">
            <w:pPr>
              <w:pStyle w:val="CETBodytext"/>
              <w:ind w:right="-1"/>
              <w:jc w:val="center"/>
              <w:rPr>
                <w:rFonts w:cs="Arial"/>
                <w:szCs w:val="18"/>
                <w:lang w:val="en-GB"/>
              </w:rPr>
            </w:pPr>
            <w:r w:rsidRPr="00D87303">
              <w:t>0,973</w:t>
            </w:r>
            <w:r>
              <w:t>0</w:t>
            </w:r>
          </w:p>
        </w:tc>
      </w:tr>
      <w:tr w:rsidR="00BB6CDE" w:rsidRPr="00B57B36" w14:paraId="27E08A71" w14:textId="77777777" w:rsidTr="00DE39BD">
        <w:tc>
          <w:tcPr>
            <w:tcW w:w="993" w:type="pct"/>
            <w:shd w:val="clear" w:color="auto" w:fill="FFFFFF"/>
            <w:vAlign w:val="center"/>
          </w:tcPr>
          <w:p w14:paraId="36C3B51B" w14:textId="2ACF9E79" w:rsidR="00BB6CDE" w:rsidRDefault="00BB6CDE" w:rsidP="00BB6CDE">
            <w:pPr>
              <w:pStyle w:val="CETBodytext"/>
              <w:ind w:right="-1"/>
              <w:rPr>
                <w:lang w:val="en-GB"/>
              </w:rPr>
            </w:pPr>
            <w:r>
              <w:rPr>
                <w:lang w:val="en-GB"/>
              </w:rPr>
              <w:t>S-2</w:t>
            </w:r>
          </w:p>
        </w:tc>
        <w:tc>
          <w:tcPr>
            <w:tcW w:w="812" w:type="pct"/>
            <w:shd w:val="clear" w:color="auto" w:fill="FFFFFF"/>
            <w:vAlign w:val="center"/>
          </w:tcPr>
          <w:p w14:paraId="776C333C" w14:textId="05923FD7" w:rsidR="00BB6CDE" w:rsidRPr="00B57B36" w:rsidRDefault="001F63BE" w:rsidP="00BB6CDE">
            <w:pPr>
              <w:pStyle w:val="CETBodytext"/>
              <w:ind w:right="-1"/>
              <w:jc w:val="center"/>
              <w:rPr>
                <w:rFonts w:cs="Arial"/>
                <w:szCs w:val="18"/>
                <w:lang w:val="en-GB"/>
              </w:rPr>
            </w:pPr>
            <w:r>
              <w:rPr>
                <w:rFonts w:cs="Arial"/>
                <w:szCs w:val="18"/>
                <w:lang w:val="en-GB"/>
              </w:rPr>
              <w:t>13,15</w:t>
            </w:r>
          </w:p>
        </w:tc>
        <w:tc>
          <w:tcPr>
            <w:tcW w:w="1192" w:type="pct"/>
            <w:shd w:val="clear" w:color="auto" w:fill="FFFFFF"/>
            <w:vAlign w:val="center"/>
          </w:tcPr>
          <w:p w14:paraId="0CF685C0" w14:textId="7CEA7464" w:rsidR="00BB6CDE" w:rsidRPr="00B57B36" w:rsidRDefault="00BB6CDE" w:rsidP="00BB6CDE">
            <w:pPr>
              <w:pStyle w:val="CETBodytext"/>
              <w:ind w:right="-1"/>
              <w:jc w:val="center"/>
              <w:rPr>
                <w:rFonts w:cs="Arial"/>
                <w:szCs w:val="18"/>
                <w:lang w:val="en-GB"/>
              </w:rPr>
            </w:pPr>
            <w:r w:rsidRPr="00D87303">
              <w:t>20,7</w:t>
            </w:r>
          </w:p>
        </w:tc>
        <w:tc>
          <w:tcPr>
            <w:tcW w:w="1011" w:type="pct"/>
            <w:shd w:val="clear" w:color="auto" w:fill="FFFFFF"/>
            <w:vAlign w:val="center"/>
          </w:tcPr>
          <w:p w14:paraId="6875E174" w14:textId="747618B0" w:rsidR="00BB6CDE" w:rsidRPr="00B57B36" w:rsidRDefault="00BB6CDE" w:rsidP="00BB6CDE">
            <w:pPr>
              <w:pStyle w:val="CETBodytext"/>
              <w:ind w:right="-1"/>
              <w:jc w:val="center"/>
              <w:rPr>
                <w:rFonts w:cs="Arial"/>
                <w:szCs w:val="18"/>
                <w:lang w:val="en-GB"/>
              </w:rPr>
            </w:pPr>
            <w:r w:rsidRPr="00D87303">
              <w:t>21,</w:t>
            </w:r>
            <w:r>
              <w:t>1</w:t>
            </w:r>
          </w:p>
        </w:tc>
        <w:tc>
          <w:tcPr>
            <w:tcW w:w="992" w:type="pct"/>
            <w:shd w:val="clear" w:color="auto" w:fill="FFFFFF"/>
            <w:vAlign w:val="center"/>
          </w:tcPr>
          <w:p w14:paraId="0D56FCA8" w14:textId="594097A3" w:rsidR="00BB6CDE" w:rsidRPr="00B57B36" w:rsidRDefault="00BB6CDE" w:rsidP="00BB6CDE">
            <w:pPr>
              <w:pStyle w:val="CETBodytext"/>
              <w:ind w:right="-1"/>
              <w:jc w:val="center"/>
              <w:rPr>
                <w:rFonts w:cs="Arial"/>
                <w:szCs w:val="18"/>
                <w:lang w:val="en-GB"/>
              </w:rPr>
            </w:pPr>
            <w:r w:rsidRPr="00D87303">
              <w:t>0,9805</w:t>
            </w:r>
          </w:p>
        </w:tc>
      </w:tr>
      <w:tr w:rsidR="00BB6CDE" w:rsidRPr="00B57B36" w14:paraId="214CD415" w14:textId="77777777" w:rsidTr="00DE39BD">
        <w:tc>
          <w:tcPr>
            <w:tcW w:w="993" w:type="pct"/>
            <w:shd w:val="clear" w:color="auto" w:fill="FFFFFF"/>
            <w:vAlign w:val="center"/>
          </w:tcPr>
          <w:p w14:paraId="5960FB0E" w14:textId="79FF54E8" w:rsidR="00BB6CDE" w:rsidRDefault="00BB6CDE" w:rsidP="00BB6CDE">
            <w:pPr>
              <w:pStyle w:val="CETBodytext"/>
              <w:ind w:right="-1"/>
              <w:rPr>
                <w:lang w:val="en-GB"/>
              </w:rPr>
            </w:pPr>
            <w:r>
              <w:rPr>
                <w:lang w:val="en-GB"/>
              </w:rPr>
              <w:t>S-3</w:t>
            </w:r>
          </w:p>
        </w:tc>
        <w:tc>
          <w:tcPr>
            <w:tcW w:w="812" w:type="pct"/>
            <w:shd w:val="clear" w:color="auto" w:fill="FFFFFF"/>
            <w:vAlign w:val="center"/>
          </w:tcPr>
          <w:p w14:paraId="66E597CA" w14:textId="7E03636D" w:rsidR="00BB6CDE" w:rsidRPr="00B57B36" w:rsidRDefault="001F63BE" w:rsidP="00BB6CDE">
            <w:pPr>
              <w:pStyle w:val="CETBodytext"/>
              <w:ind w:right="-1"/>
              <w:jc w:val="center"/>
              <w:rPr>
                <w:rFonts w:cs="Arial"/>
                <w:szCs w:val="18"/>
                <w:lang w:val="en-GB"/>
              </w:rPr>
            </w:pPr>
            <w:r>
              <w:rPr>
                <w:rFonts w:cs="Arial"/>
                <w:szCs w:val="18"/>
                <w:lang w:val="en-GB"/>
              </w:rPr>
              <w:t>13,05</w:t>
            </w:r>
          </w:p>
        </w:tc>
        <w:tc>
          <w:tcPr>
            <w:tcW w:w="1192" w:type="pct"/>
            <w:shd w:val="clear" w:color="auto" w:fill="FFFFFF"/>
            <w:vAlign w:val="center"/>
          </w:tcPr>
          <w:p w14:paraId="10FD1067" w14:textId="78D85E6A" w:rsidR="00BB6CDE" w:rsidRPr="00B57B36" w:rsidRDefault="00BB6CDE" w:rsidP="00BB6CDE">
            <w:pPr>
              <w:pStyle w:val="CETBodytext"/>
              <w:ind w:right="-1"/>
              <w:jc w:val="center"/>
              <w:rPr>
                <w:rFonts w:cs="Arial"/>
                <w:szCs w:val="18"/>
                <w:lang w:val="en-GB"/>
              </w:rPr>
            </w:pPr>
            <w:r w:rsidRPr="00D87303">
              <w:t>30,</w:t>
            </w:r>
            <w:r>
              <w:t>1</w:t>
            </w:r>
          </w:p>
        </w:tc>
        <w:tc>
          <w:tcPr>
            <w:tcW w:w="1011" w:type="pct"/>
            <w:shd w:val="clear" w:color="auto" w:fill="FFFFFF"/>
            <w:vAlign w:val="center"/>
          </w:tcPr>
          <w:p w14:paraId="576B0819" w14:textId="2CF25556" w:rsidR="00BB6CDE" w:rsidRPr="00B57B36" w:rsidRDefault="00BB6CDE" w:rsidP="00BB6CDE">
            <w:pPr>
              <w:pStyle w:val="CETBodytext"/>
              <w:ind w:right="-1"/>
              <w:jc w:val="center"/>
              <w:rPr>
                <w:rFonts w:cs="Arial"/>
                <w:szCs w:val="18"/>
                <w:lang w:val="en-GB"/>
              </w:rPr>
            </w:pPr>
            <w:r w:rsidRPr="00D87303">
              <w:t>30,</w:t>
            </w:r>
            <w:r>
              <w:t>6</w:t>
            </w:r>
          </w:p>
        </w:tc>
        <w:tc>
          <w:tcPr>
            <w:tcW w:w="992" w:type="pct"/>
            <w:shd w:val="clear" w:color="auto" w:fill="FFFFFF"/>
            <w:vAlign w:val="center"/>
          </w:tcPr>
          <w:p w14:paraId="40228844" w14:textId="704B0F15" w:rsidR="00BB6CDE" w:rsidRPr="00B57B36" w:rsidRDefault="00BB6CDE" w:rsidP="00BB6CDE">
            <w:pPr>
              <w:pStyle w:val="CETBodytext"/>
              <w:ind w:right="-1"/>
              <w:jc w:val="center"/>
              <w:rPr>
                <w:rFonts w:cs="Arial"/>
                <w:szCs w:val="18"/>
                <w:lang w:val="en-GB"/>
              </w:rPr>
            </w:pPr>
            <w:r w:rsidRPr="00D87303">
              <w:t>0,9877</w:t>
            </w:r>
          </w:p>
        </w:tc>
      </w:tr>
      <w:tr w:rsidR="00BB6CDE" w:rsidRPr="00B57B36" w14:paraId="64E3DAA0" w14:textId="77777777" w:rsidTr="00DE39BD">
        <w:tc>
          <w:tcPr>
            <w:tcW w:w="993" w:type="pct"/>
            <w:shd w:val="clear" w:color="auto" w:fill="FFFFFF"/>
            <w:vAlign w:val="center"/>
          </w:tcPr>
          <w:p w14:paraId="2FC83BB8" w14:textId="53693706" w:rsidR="00BB6CDE" w:rsidRDefault="00BB6CDE" w:rsidP="00BB6CDE">
            <w:pPr>
              <w:pStyle w:val="CETBodytext"/>
              <w:ind w:right="-1"/>
              <w:rPr>
                <w:lang w:val="en-GB"/>
              </w:rPr>
            </w:pPr>
            <w:r>
              <w:rPr>
                <w:lang w:val="en-GB"/>
              </w:rPr>
              <w:t>S-4</w:t>
            </w:r>
          </w:p>
        </w:tc>
        <w:tc>
          <w:tcPr>
            <w:tcW w:w="812" w:type="pct"/>
            <w:shd w:val="clear" w:color="auto" w:fill="FFFFFF"/>
            <w:vAlign w:val="center"/>
          </w:tcPr>
          <w:p w14:paraId="57883C52" w14:textId="32489C2A" w:rsidR="00BB6CDE" w:rsidRPr="00B57B36" w:rsidRDefault="001F63BE" w:rsidP="00BB6CDE">
            <w:pPr>
              <w:pStyle w:val="CETBodytext"/>
              <w:ind w:right="-1"/>
              <w:jc w:val="center"/>
              <w:rPr>
                <w:rFonts w:cs="Arial"/>
                <w:szCs w:val="18"/>
                <w:lang w:val="en-GB"/>
              </w:rPr>
            </w:pPr>
            <w:r>
              <w:rPr>
                <w:rFonts w:cs="Arial"/>
                <w:szCs w:val="18"/>
                <w:lang w:val="en-GB"/>
              </w:rPr>
              <w:t>13,25</w:t>
            </w:r>
          </w:p>
        </w:tc>
        <w:tc>
          <w:tcPr>
            <w:tcW w:w="1192" w:type="pct"/>
            <w:shd w:val="clear" w:color="auto" w:fill="FFFFFF"/>
            <w:vAlign w:val="center"/>
          </w:tcPr>
          <w:p w14:paraId="207EEE6E" w14:textId="5755B368" w:rsidR="00BB6CDE" w:rsidRPr="00B57B36" w:rsidRDefault="00BB6CDE" w:rsidP="00BB6CDE">
            <w:pPr>
              <w:pStyle w:val="CETBodytext"/>
              <w:ind w:right="-1"/>
              <w:jc w:val="center"/>
              <w:rPr>
                <w:rFonts w:cs="Arial"/>
                <w:szCs w:val="18"/>
                <w:lang w:val="en-GB"/>
              </w:rPr>
            </w:pPr>
            <w:r w:rsidRPr="00D87303">
              <w:t>25,</w:t>
            </w:r>
            <w:r>
              <w:t>3</w:t>
            </w:r>
          </w:p>
        </w:tc>
        <w:tc>
          <w:tcPr>
            <w:tcW w:w="1011" w:type="pct"/>
            <w:shd w:val="clear" w:color="auto" w:fill="FFFFFF"/>
            <w:vAlign w:val="center"/>
          </w:tcPr>
          <w:p w14:paraId="408DC73B" w14:textId="61F66EE3" w:rsidR="00BB6CDE" w:rsidRPr="00B57B36" w:rsidRDefault="00BB6CDE" w:rsidP="00BB6CDE">
            <w:pPr>
              <w:pStyle w:val="CETBodytext"/>
              <w:ind w:right="-1"/>
              <w:jc w:val="center"/>
              <w:rPr>
                <w:rFonts w:cs="Arial"/>
                <w:szCs w:val="18"/>
                <w:lang w:val="en-GB"/>
              </w:rPr>
            </w:pPr>
            <w:r w:rsidRPr="00D87303">
              <w:t>26,1</w:t>
            </w:r>
          </w:p>
        </w:tc>
        <w:tc>
          <w:tcPr>
            <w:tcW w:w="992" w:type="pct"/>
            <w:shd w:val="clear" w:color="auto" w:fill="FFFFFF"/>
            <w:vAlign w:val="center"/>
          </w:tcPr>
          <w:p w14:paraId="1A20F109" w14:textId="3BAC4E38" w:rsidR="00BB6CDE" w:rsidRPr="00B57B36" w:rsidRDefault="00BB6CDE" w:rsidP="00BB6CDE">
            <w:pPr>
              <w:pStyle w:val="CETBodytext"/>
              <w:ind w:right="-1"/>
              <w:jc w:val="center"/>
              <w:rPr>
                <w:rFonts w:cs="Arial"/>
                <w:szCs w:val="18"/>
                <w:lang w:val="en-GB"/>
              </w:rPr>
            </w:pPr>
            <w:r w:rsidRPr="00D87303">
              <w:t>0,9671</w:t>
            </w:r>
          </w:p>
        </w:tc>
      </w:tr>
      <w:tr w:rsidR="00BB6CDE" w:rsidRPr="00B57B36" w14:paraId="2469DBAD" w14:textId="77777777" w:rsidTr="00DE39BD">
        <w:tc>
          <w:tcPr>
            <w:tcW w:w="993" w:type="pct"/>
            <w:shd w:val="clear" w:color="auto" w:fill="FFFFFF"/>
            <w:vAlign w:val="center"/>
          </w:tcPr>
          <w:p w14:paraId="760C5B24" w14:textId="0670CD01" w:rsidR="00BB6CDE" w:rsidRDefault="00BB6CDE" w:rsidP="00BB6CDE">
            <w:pPr>
              <w:pStyle w:val="CETBodytext"/>
              <w:ind w:right="-1"/>
              <w:rPr>
                <w:lang w:val="en-GB"/>
              </w:rPr>
            </w:pPr>
            <w:r>
              <w:rPr>
                <w:lang w:val="en-GB"/>
              </w:rPr>
              <w:t>S-5</w:t>
            </w:r>
          </w:p>
        </w:tc>
        <w:tc>
          <w:tcPr>
            <w:tcW w:w="812" w:type="pct"/>
            <w:shd w:val="clear" w:color="auto" w:fill="FFFFFF"/>
            <w:vAlign w:val="center"/>
          </w:tcPr>
          <w:p w14:paraId="07181FBD" w14:textId="10D0FEAC" w:rsidR="00BB6CDE" w:rsidRPr="00B57B36" w:rsidRDefault="001F63BE" w:rsidP="00BB6CDE">
            <w:pPr>
              <w:pStyle w:val="CETBodytext"/>
              <w:ind w:right="-1"/>
              <w:jc w:val="center"/>
              <w:rPr>
                <w:rFonts w:cs="Arial"/>
                <w:szCs w:val="18"/>
                <w:lang w:val="en-GB"/>
              </w:rPr>
            </w:pPr>
            <w:r>
              <w:rPr>
                <w:rFonts w:cs="Arial"/>
                <w:szCs w:val="18"/>
                <w:lang w:val="en-GB"/>
              </w:rPr>
              <w:t>12,40</w:t>
            </w:r>
          </w:p>
        </w:tc>
        <w:tc>
          <w:tcPr>
            <w:tcW w:w="1192" w:type="pct"/>
            <w:shd w:val="clear" w:color="auto" w:fill="FFFFFF"/>
            <w:vAlign w:val="center"/>
          </w:tcPr>
          <w:p w14:paraId="4386441E" w14:textId="12D09303" w:rsidR="00BB6CDE" w:rsidRPr="00B57B36" w:rsidRDefault="00BB6CDE" w:rsidP="00BB6CDE">
            <w:pPr>
              <w:pStyle w:val="CETBodytext"/>
              <w:ind w:right="-1"/>
              <w:jc w:val="center"/>
              <w:rPr>
                <w:rFonts w:cs="Arial"/>
                <w:szCs w:val="18"/>
                <w:lang w:val="en-GB"/>
              </w:rPr>
            </w:pPr>
            <w:r w:rsidRPr="00D87303">
              <w:t>25,9</w:t>
            </w:r>
          </w:p>
        </w:tc>
        <w:tc>
          <w:tcPr>
            <w:tcW w:w="1011" w:type="pct"/>
            <w:shd w:val="clear" w:color="auto" w:fill="FFFFFF"/>
            <w:vAlign w:val="center"/>
          </w:tcPr>
          <w:p w14:paraId="10EFFE0E" w14:textId="4608EB3B" w:rsidR="00BB6CDE" w:rsidRPr="00B57B36" w:rsidRDefault="00BB6CDE" w:rsidP="00BB6CDE">
            <w:pPr>
              <w:pStyle w:val="CETBodytext"/>
              <w:ind w:right="-1"/>
              <w:jc w:val="center"/>
              <w:rPr>
                <w:rFonts w:cs="Arial"/>
                <w:szCs w:val="18"/>
                <w:lang w:val="en-GB"/>
              </w:rPr>
            </w:pPr>
            <w:r w:rsidRPr="00D87303">
              <w:t>26,8</w:t>
            </w:r>
          </w:p>
        </w:tc>
        <w:tc>
          <w:tcPr>
            <w:tcW w:w="992" w:type="pct"/>
            <w:shd w:val="clear" w:color="auto" w:fill="FFFFFF"/>
            <w:vAlign w:val="center"/>
          </w:tcPr>
          <w:p w14:paraId="61F219AE" w14:textId="43F32EB2" w:rsidR="00BB6CDE" w:rsidRPr="00B57B36" w:rsidRDefault="00BB6CDE" w:rsidP="00BB6CDE">
            <w:pPr>
              <w:pStyle w:val="CETBodytext"/>
              <w:ind w:right="-1"/>
              <w:jc w:val="center"/>
              <w:rPr>
                <w:rFonts w:cs="Arial"/>
                <w:szCs w:val="18"/>
                <w:lang w:val="en-GB"/>
              </w:rPr>
            </w:pPr>
            <w:r w:rsidRPr="00D87303">
              <w:t>0,9675</w:t>
            </w:r>
          </w:p>
        </w:tc>
      </w:tr>
    </w:tbl>
    <w:p w14:paraId="7B276086" w14:textId="77777777" w:rsidR="006076BC" w:rsidRDefault="006076BC" w:rsidP="00DE39BD">
      <w:pPr>
        <w:pStyle w:val="CETBodytext"/>
      </w:pPr>
    </w:p>
    <w:p w14:paraId="6C4F7929" w14:textId="75C38E7C" w:rsidR="00DE39BD" w:rsidRDefault="00913CA6" w:rsidP="00DE39BD">
      <w:pPr>
        <w:pStyle w:val="CETBodytext"/>
      </w:pPr>
      <w:r>
        <w:t>The properties of the synthesized surfactants were examined, revealing that an increase in the carbon chain length led to a decrease in the water number of the surfactants.</w:t>
      </w:r>
      <w:r w:rsidRPr="00CA01FC">
        <w:t xml:space="preserve"> Based on this, it can be inferred that surfactants synthesized from longer-chain fatty acids have increased oil solubility and decreased water solubility. The surfactant containing the unsaturated carbon chain exhibited a different trend; its water number was higher than that of the surfactant with the same length but containing a saturated carbon chain. </w:t>
      </w:r>
      <w:r>
        <w:t xml:space="preserve"> S</w:t>
      </w:r>
      <w:r w:rsidRPr="00CA01FC">
        <w:t>ignificant differences or trends</w:t>
      </w:r>
      <w:r>
        <w:t xml:space="preserve"> was not observed</w:t>
      </w:r>
      <w:r w:rsidRPr="00CA01FC">
        <w:t xml:space="preserve"> between the density and viscosity results measured at 100</w:t>
      </w:r>
      <w:r>
        <w:t xml:space="preserve"> </w:t>
      </w:r>
      <w:r w:rsidRPr="00CA01FC">
        <w:t xml:space="preserve">°C for the synthesized surfactants. </w:t>
      </w:r>
      <w:r w:rsidR="00DE39BD">
        <w:t xml:space="preserve"> The results of the studies carried out with the surfactant solutions are summarized in Table 6.</w:t>
      </w:r>
    </w:p>
    <w:p w14:paraId="093EFC77" w14:textId="4565789B" w:rsidR="00B4186A" w:rsidRPr="00B57B36" w:rsidRDefault="00B4186A" w:rsidP="00B4186A">
      <w:pPr>
        <w:pStyle w:val="CETTabletitle"/>
      </w:pPr>
      <w:r w:rsidRPr="00B57B36">
        <w:lastRenderedPageBreak/>
        <w:t xml:space="preserve">Table </w:t>
      </w:r>
      <w:r w:rsidR="00BB6CDE">
        <w:t>6</w:t>
      </w:r>
      <w:r w:rsidRPr="00B57B36">
        <w:t xml:space="preserve">: </w:t>
      </w:r>
      <w:r w:rsidR="009C6D81">
        <w:t>Properties of solutions prepared by using the reaction products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47"/>
        <w:gridCol w:w="1775"/>
        <w:gridCol w:w="1775"/>
        <w:gridCol w:w="1747"/>
        <w:gridCol w:w="1743"/>
      </w:tblGrid>
      <w:tr w:rsidR="00BB6CDE" w:rsidRPr="00B57B36" w14:paraId="5762B57E" w14:textId="1A0F29FB" w:rsidTr="001F63BE">
        <w:tc>
          <w:tcPr>
            <w:tcW w:w="994" w:type="pct"/>
            <w:tcBorders>
              <w:top w:val="single" w:sz="12" w:space="0" w:color="008000"/>
              <w:bottom w:val="single" w:sz="6" w:space="0" w:color="008000"/>
            </w:tcBorders>
            <w:shd w:val="clear" w:color="auto" w:fill="FFFFFF"/>
            <w:vAlign w:val="center"/>
          </w:tcPr>
          <w:p w14:paraId="2E463881" w14:textId="72259BE5" w:rsidR="00BB6CDE" w:rsidRDefault="00BB6CDE" w:rsidP="00BB6CDE">
            <w:pPr>
              <w:pStyle w:val="CETBodytext"/>
              <w:jc w:val="left"/>
              <w:rPr>
                <w:lang w:val="en-GB"/>
              </w:rPr>
            </w:pPr>
            <w:r>
              <w:rPr>
                <w:lang w:val="en-GB"/>
              </w:rPr>
              <w:t>Mark of surfactants</w:t>
            </w:r>
            <w:r w:rsidRPr="00B57B36">
              <w:rPr>
                <w:lang w:val="en-GB"/>
              </w:rPr>
              <w:t xml:space="preserve"> </w:t>
            </w:r>
          </w:p>
        </w:tc>
        <w:tc>
          <w:tcPr>
            <w:tcW w:w="1010" w:type="pct"/>
            <w:tcBorders>
              <w:top w:val="single" w:sz="12" w:space="0" w:color="008000"/>
              <w:bottom w:val="single" w:sz="6" w:space="0" w:color="008000"/>
            </w:tcBorders>
            <w:shd w:val="clear" w:color="auto" w:fill="FFFFFF"/>
            <w:vAlign w:val="center"/>
          </w:tcPr>
          <w:p w14:paraId="02C5D567" w14:textId="750DB9EA" w:rsidR="00BB6CDE" w:rsidRPr="00220341" w:rsidRDefault="001F63BE" w:rsidP="001F63BE">
            <w:pPr>
              <w:pStyle w:val="CETBodytext"/>
              <w:ind w:right="-1"/>
              <w:jc w:val="center"/>
            </w:pPr>
            <w:r>
              <w:t>Turbidity in water, NTU</w:t>
            </w:r>
          </w:p>
        </w:tc>
        <w:tc>
          <w:tcPr>
            <w:tcW w:w="1010" w:type="pct"/>
            <w:tcBorders>
              <w:top w:val="single" w:sz="12" w:space="0" w:color="008000"/>
              <w:bottom w:val="single" w:sz="6" w:space="0" w:color="008000"/>
            </w:tcBorders>
            <w:shd w:val="clear" w:color="auto" w:fill="FFFFFF"/>
            <w:vAlign w:val="center"/>
          </w:tcPr>
          <w:p w14:paraId="5182DC21" w14:textId="62395343" w:rsidR="00BB6CDE" w:rsidRPr="00B57B36" w:rsidRDefault="001F63BE" w:rsidP="001F63BE">
            <w:pPr>
              <w:pStyle w:val="CETBodytext"/>
              <w:ind w:right="-1"/>
              <w:jc w:val="center"/>
              <w:rPr>
                <w:rFonts w:cs="Arial"/>
                <w:szCs w:val="18"/>
                <w:lang w:val="en-GB"/>
              </w:rPr>
            </w:pPr>
            <w:r>
              <w:t>Transmittance in</w:t>
            </w:r>
            <w:r w:rsidR="00BB6CDE" w:rsidRPr="00220341">
              <w:t xml:space="preserve"> SN-150 </w:t>
            </w:r>
            <w:r>
              <w:t xml:space="preserve">base oil, </w:t>
            </w:r>
            <w:r w:rsidR="00BB6CDE" w:rsidRPr="00220341">
              <w:t>%</w:t>
            </w:r>
          </w:p>
        </w:tc>
        <w:tc>
          <w:tcPr>
            <w:tcW w:w="994" w:type="pct"/>
            <w:tcBorders>
              <w:top w:val="single" w:sz="12" w:space="0" w:color="008000"/>
              <w:bottom w:val="single" w:sz="6" w:space="0" w:color="008000"/>
            </w:tcBorders>
            <w:shd w:val="clear" w:color="auto" w:fill="FFFFFF"/>
            <w:vAlign w:val="center"/>
          </w:tcPr>
          <w:p w14:paraId="2443C82A" w14:textId="6A43C6F6" w:rsidR="00BB6CDE" w:rsidRPr="00B57B36" w:rsidRDefault="00BB6CDE" w:rsidP="001F63BE">
            <w:pPr>
              <w:pStyle w:val="CETBodytext"/>
              <w:ind w:right="-1"/>
              <w:jc w:val="center"/>
              <w:rPr>
                <w:rFonts w:cs="Arial"/>
                <w:szCs w:val="18"/>
                <w:lang w:val="en-GB"/>
              </w:rPr>
            </w:pPr>
            <w:r w:rsidRPr="00220341">
              <w:t>pH</w:t>
            </w:r>
            <w:r w:rsidR="001F63BE">
              <w:t xml:space="preserve"> in water</w:t>
            </w:r>
          </w:p>
        </w:tc>
        <w:tc>
          <w:tcPr>
            <w:tcW w:w="992" w:type="pct"/>
            <w:tcBorders>
              <w:top w:val="single" w:sz="12" w:space="0" w:color="008000"/>
              <w:bottom w:val="single" w:sz="6" w:space="0" w:color="008000"/>
            </w:tcBorders>
            <w:shd w:val="clear" w:color="auto" w:fill="FFFFFF"/>
            <w:vAlign w:val="center"/>
          </w:tcPr>
          <w:p w14:paraId="52CA33C9" w14:textId="487E9C6C" w:rsidR="00BB6CDE" w:rsidRPr="001F63BE" w:rsidRDefault="00BB6CDE" w:rsidP="001F63BE">
            <w:pPr>
              <w:pStyle w:val="CETBodytext"/>
              <w:ind w:right="-1"/>
              <w:jc w:val="center"/>
            </w:pPr>
            <w:r w:rsidRPr="00220341">
              <w:t>IFT</w:t>
            </w:r>
            <w:r w:rsidR="001F63BE">
              <w:t xml:space="preserve">, </w:t>
            </w:r>
            <w:proofErr w:type="spellStart"/>
            <w:r w:rsidR="001F63BE">
              <w:t>mN</w:t>
            </w:r>
            <w:proofErr w:type="spellEnd"/>
            <w:r w:rsidR="001F63BE">
              <w:t>/m</w:t>
            </w:r>
          </w:p>
        </w:tc>
      </w:tr>
      <w:tr w:rsidR="00BB6CDE" w:rsidRPr="00B57B36" w14:paraId="6AA7384D" w14:textId="41E37AD5" w:rsidTr="001F63BE">
        <w:tc>
          <w:tcPr>
            <w:tcW w:w="994" w:type="pct"/>
            <w:shd w:val="clear" w:color="auto" w:fill="FFFFFF"/>
            <w:vAlign w:val="center"/>
          </w:tcPr>
          <w:p w14:paraId="0653F5D7" w14:textId="27DAA0EC" w:rsidR="00BB6CDE" w:rsidRDefault="00BB6CDE" w:rsidP="00BB6CDE">
            <w:pPr>
              <w:pStyle w:val="CETBodytext"/>
              <w:jc w:val="left"/>
              <w:rPr>
                <w:lang w:val="en-GB"/>
              </w:rPr>
            </w:pPr>
            <w:r>
              <w:rPr>
                <w:lang w:val="en-GB"/>
              </w:rPr>
              <w:t>S-1</w:t>
            </w:r>
          </w:p>
        </w:tc>
        <w:tc>
          <w:tcPr>
            <w:tcW w:w="1010" w:type="pct"/>
            <w:shd w:val="clear" w:color="auto" w:fill="FFFFFF"/>
            <w:vAlign w:val="center"/>
          </w:tcPr>
          <w:p w14:paraId="4371F55C" w14:textId="0EBF0291" w:rsidR="00BB6CDE" w:rsidRPr="00220341" w:rsidRDefault="00BB6CDE" w:rsidP="001F63BE">
            <w:pPr>
              <w:pStyle w:val="CETBodytext"/>
              <w:ind w:right="-1"/>
              <w:jc w:val="center"/>
            </w:pPr>
            <w:r w:rsidRPr="00220341">
              <w:t>1,39</w:t>
            </w:r>
          </w:p>
        </w:tc>
        <w:tc>
          <w:tcPr>
            <w:tcW w:w="1010" w:type="pct"/>
            <w:shd w:val="clear" w:color="auto" w:fill="FFFFFF"/>
            <w:vAlign w:val="center"/>
          </w:tcPr>
          <w:p w14:paraId="1839D957" w14:textId="73E78969" w:rsidR="00BB6CDE" w:rsidRPr="00B57B36" w:rsidRDefault="001F63BE" w:rsidP="001F63BE">
            <w:pPr>
              <w:pStyle w:val="CETBodytext"/>
              <w:ind w:right="-1"/>
              <w:jc w:val="center"/>
              <w:rPr>
                <w:rFonts w:cs="Arial"/>
                <w:szCs w:val="18"/>
                <w:lang w:val="en-GB"/>
              </w:rPr>
            </w:pPr>
            <w:r>
              <w:t>65</w:t>
            </w:r>
          </w:p>
        </w:tc>
        <w:tc>
          <w:tcPr>
            <w:tcW w:w="994" w:type="pct"/>
            <w:shd w:val="clear" w:color="auto" w:fill="FFFFFF"/>
            <w:vAlign w:val="center"/>
          </w:tcPr>
          <w:p w14:paraId="7E53A9D4" w14:textId="3E034D08" w:rsidR="00BB6CDE" w:rsidRPr="00B57B36" w:rsidRDefault="00BB6CDE" w:rsidP="001F63BE">
            <w:pPr>
              <w:pStyle w:val="CETBodytext"/>
              <w:ind w:right="-1"/>
              <w:jc w:val="center"/>
              <w:rPr>
                <w:rFonts w:cs="Arial"/>
                <w:szCs w:val="18"/>
                <w:lang w:val="en-GB"/>
              </w:rPr>
            </w:pPr>
            <w:r w:rsidRPr="00220341">
              <w:t>10,0</w:t>
            </w:r>
          </w:p>
        </w:tc>
        <w:tc>
          <w:tcPr>
            <w:tcW w:w="992" w:type="pct"/>
            <w:shd w:val="clear" w:color="auto" w:fill="FFFFFF"/>
            <w:vAlign w:val="center"/>
          </w:tcPr>
          <w:p w14:paraId="4EEC1472" w14:textId="66C16202" w:rsidR="00BB6CDE" w:rsidRPr="00B57B36" w:rsidRDefault="00BB6CDE" w:rsidP="001F63BE">
            <w:pPr>
              <w:pStyle w:val="CETBodytext"/>
              <w:ind w:right="-1"/>
              <w:jc w:val="center"/>
              <w:rPr>
                <w:rFonts w:cs="Arial"/>
                <w:szCs w:val="18"/>
                <w:lang w:val="en-GB"/>
              </w:rPr>
            </w:pPr>
            <w:r w:rsidRPr="00220341">
              <w:t>0,</w:t>
            </w:r>
            <w:r w:rsidR="00530F5F" w:rsidRPr="00220341">
              <w:t>4082</w:t>
            </w:r>
          </w:p>
        </w:tc>
      </w:tr>
      <w:tr w:rsidR="00BB6CDE" w:rsidRPr="00B57B36" w14:paraId="232F07BC" w14:textId="1C0DD832" w:rsidTr="001F63BE">
        <w:tc>
          <w:tcPr>
            <w:tcW w:w="994" w:type="pct"/>
            <w:shd w:val="clear" w:color="auto" w:fill="FFFFFF"/>
            <w:vAlign w:val="center"/>
          </w:tcPr>
          <w:p w14:paraId="1D08D1DE" w14:textId="095C339D" w:rsidR="00BB6CDE" w:rsidRDefault="00BB6CDE" w:rsidP="00BB6CDE">
            <w:pPr>
              <w:pStyle w:val="CETBodytext"/>
              <w:ind w:right="-1"/>
              <w:jc w:val="left"/>
              <w:rPr>
                <w:lang w:val="en-GB"/>
              </w:rPr>
            </w:pPr>
            <w:r>
              <w:rPr>
                <w:lang w:val="en-GB"/>
              </w:rPr>
              <w:t>S-2</w:t>
            </w:r>
          </w:p>
        </w:tc>
        <w:tc>
          <w:tcPr>
            <w:tcW w:w="1010" w:type="pct"/>
            <w:shd w:val="clear" w:color="auto" w:fill="FFFFFF"/>
            <w:vAlign w:val="center"/>
          </w:tcPr>
          <w:p w14:paraId="533226EB" w14:textId="50D23D35" w:rsidR="00BB6CDE" w:rsidRPr="00220341" w:rsidRDefault="00BB6CDE" w:rsidP="001F63BE">
            <w:pPr>
              <w:pStyle w:val="CETBodytext"/>
              <w:ind w:right="-1"/>
              <w:jc w:val="center"/>
            </w:pPr>
            <w:r w:rsidRPr="00220341">
              <w:t>4,52</w:t>
            </w:r>
          </w:p>
        </w:tc>
        <w:tc>
          <w:tcPr>
            <w:tcW w:w="1010" w:type="pct"/>
            <w:shd w:val="clear" w:color="auto" w:fill="FFFFFF"/>
            <w:vAlign w:val="center"/>
          </w:tcPr>
          <w:p w14:paraId="7934C7FD" w14:textId="0E906E43" w:rsidR="00BB6CDE" w:rsidRPr="00B57B36" w:rsidRDefault="00BB6CDE" w:rsidP="001F63BE">
            <w:pPr>
              <w:pStyle w:val="CETBodytext"/>
              <w:ind w:right="-1"/>
              <w:jc w:val="center"/>
              <w:rPr>
                <w:rFonts w:cs="Arial"/>
                <w:szCs w:val="18"/>
                <w:lang w:val="en-GB"/>
              </w:rPr>
            </w:pPr>
            <w:r w:rsidRPr="00220341">
              <w:t>68</w:t>
            </w:r>
          </w:p>
        </w:tc>
        <w:tc>
          <w:tcPr>
            <w:tcW w:w="994" w:type="pct"/>
            <w:shd w:val="clear" w:color="auto" w:fill="FFFFFF"/>
            <w:vAlign w:val="center"/>
          </w:tcPr>
          <w:p w14:paraId="78E924A0" w14:textId="15356F80" w:rsidR="00BB6CDE" w:rsidRPr="00B57B36" w:rsidRDefault="00BB6CDE" w:rsidP="001F63BE">
            <w:pPr>
              <w:pStyle w:val="CETBodytext"/>
              <w:ind w:right="-1"/>
              <w:jc w:val="center"/>
              <w:rPr>
                <w:rFonts w:cs="Arial"/>
                <w:szCs w:val="18"/>
                <w:lang w:val="en-GB"/>
              </w:rPr>
            </w:pPr>
            <w:r w:rsidRPr="00220341">
              <w:t>10,0</w:t>
            </w:r>
          </w:p>
        </w:tc>
        <w:tc>
          <w:tcPr>
            <w:tcW w:w="992" w:type="pct"/>
            <w:shd w:val="clear" w:color="auto" w:fill="FFFFFF"/>
            <w:vAlign w:val="center"/>
          </w:tcPr>
          <w:p w14:paraId="5A2BAAC3" w14:textId="7A96E85A" w:rsidR="00BB6CDE" w:rsidRPr="00B57B36" w:rsidRDefault="00BB6CDE" w:rsidP="001F63BE">
            <w:pPr>
              <w:pStyle w:val="CETBodytext"/>
              <w:ind w:right="-1"/>
              <w:jc w:val="center"/>
              <w:rPr>
                <w:rFonts w:cs="Arial"/>
                <w:szCs w:val="18"/>
                <w:lang w:val="en-GB"/>
              </w:rPr>
            </w:pPr>
            <w:r w:rsidRPr="00220341">
              <w:t>0,</w:t>
            </w:r>
            <w:r w:rsidR="00530F5F" w:rsidRPr="00220341">
              <w:t>5715</w:t>
            </w:r>
          </w:p>
        </w:tc>
      </w:tr>
      <w:tr w:rsidR="00BB6CDE" w:rsidRPr="00B57B36" w14:paraId="31F7E3C4" w14:textId="69345ED8" w:rsidTr="001F63BE">
        <w:tc>
          <w:tcPr>
            <w:tcW w:w="994" w:type="pct"/>
            <w:shd w:val="clear" w:color="auto" w:fill="FFFFFF"/>
            <w:vAlign w:val="center"/>
          </w:tcPr>
          <w:p w14:paraId="627EAFE1" w14:textId="3134B227" w:rsidR="00BB6CDE" w:rsidRDefault="00BB6CDE" w:rsidP="00BB6CDE">
            <w:pPr>
              <w:pStyle w:val="CETBodytext"/>
              <w:ind w:right="-1"/>
              <w:jc w:val="left"/>
              <w:rPr>
                <w:lang w:val="en-GB"/>
              </w:rPr>
            </w:pPr>
            <w:r>
              <w:rPr>
                <w:lang w:val="en-GB"/>
              </w:rPr>
              <w:t>S-3</w:t>
            </w:r>
          </w:p>
        </w:tc>
        <w:tc>
          <w:tcPr>
            <w:tcW w:w="1010" w:type="pct"/>
            <w:shd w:val="clear" w:color="auto" w:fill="FFFFFF"/>
            <w:vAlign w:val="center"/>
          </w:tcPr>
          <w:p w14:paraId="4B744C85" w14:textId="2C82ED80" w:rsidR="00BB6CDE" w:rsidRPr="00220341" w:rsidRDefault="00BB6CDE" w:rsidP="001F63BE">
            <w:pPr>
              <w:pStyle w:val="CETBodytext"/>
              <w:ind w:right="-1"/>
              <w:jc w:val="center"/>
            </w:pPr>
            <w:r w:rsidRPr="00220341">
              <w:t>267</w:t>
            </w:r>
          </w:p>
        </w:tc>
        <w:tc>
          <w:tcPr>
            <w:tcW w:w="1010" w:type="pct"/>
            <w:shd w:val="clear" w:color="auto" w:fill="FFFFFF"/>
            <w:vAlign w:val="center"/>
          </w:tcPr>
          <w:p w14:paraId="59051502" w14:textId="5FD13918" w:rsidR="00BB6CDE" w:rsidRPr="00B57B36" w:rsidRDefault="001F63BE" w:rsidP="001F63BE">
            <w:pPr>
              <w:pStyle w:val="CETBodytext"/>
              <w:ind w:right="-1"/>
              <w:jc w:val="center"/>
              <w:rPr>
                <w:rFonts w:cs="Arial"/>
                <w:szCs w:val="18"/>
                <w:lang w:val="en-GB"/>
              </w:rPr>
            </w:pPr>
            <w:r>
              <w:t>70</w:t>
            </w:r>
          </w:p>
        </w:tc>
        <w:tc>
          <w:tcPr>
            <w:tcW w:w="994" w:type="pct"/>
            <w:shd w:val="clear" w:color="auto" w:fill="FFFFFF"/>
            <w:vAlign w:val="center"/>
          </w:tcPr>
          <w:p w14:paraId="3303C060" w14:textId="12B3EA26" w:rsidR="00BB6CDE" w:rsidRPr="00B57B36" w:rsidRDefault="00BB6CDE" w:rsidP="001F63BE">
            <w:pPr>
              <w:pStyle w:val="CETBodytext"/>
              <w:ind w:right="-1"/>
              <w:jc w:val="center"/>
              <w:rPr>
                <w:rFonts w:cs="Arial"/>
                <w:szCs w:val="18"/>
                <w:lang w:val="en-GB"/>
              </w:rPr>
            </w:pPr>
            <w:r w:rsidRPr="00220341">
              <w:t>10,2</w:t>
            </w:r>
          </w:p>
        </w:tc>
        <w:tc>
          <w:tcPr>
            <w:tcW w:w="992" w:type="pct"/>
            <w:shd w:val="clear" w:color="auto" w:fill="FFFFFF"/>
            <w:vAlign w:val="center"/>
          </w:tcPr>
          <w:p w14:paraId="19276820" w14:textId="7BAE58B8" w:rsidR="00BB6CDE" w:rsidRPr="00B57B36" w:rsidRDefault="001B4A6A" w:rsidP="001F63BE">
            <w:pPr>
              <w:pStyle w:val="CETBodytext"/>
              <w:ind w:right="-1"/>
              <w:jc w:val="center"/>
              <w:rPr>
                <w:rFonts w:cs="Arial"/>
                <w:szCs w:val="18"/>
                <w:lang w:val="en-GB"/>
              </w:rPr>
            </w:pPr>
            <w:r w:rsidRPr="00220341">
              <w:t>3,32</w:t>
            </w:r>
            <w:r>
              <w:t>14</w:t>
            </w:r>
          </w:p>
        </w:tc>
      </w:tr>
      <w:tr w:rsidR="00BB6CDE" w:rsidRPr="00B57B36" w14:paraId="0F7472B0" w14:textId="34C9D5B5" w:rsidTr="001F63BE">
        <w:tc>
          <w:tcPr>
            <w:tcW w:w="994" w:type="pct"/>
            <w:shd w:val="clear" w:color="auto" w:fill="FFFFFF"/>
            <w:vAlign w:val="center"/>
          </w:tcPr>
          <w:p w14:paraId="767CA2B6" w14:textId="4DA34AC6" w:rsidR="00BB6CDE" w:rsidRDefault="00BB6CDE" w:rsidP="00BB6CDE">
            <w:pPr>
              <w:pStyle w:val="CETBodytext"/>
              <w:ind w:right="-1"/>
              <w:jc w:val="left"/>
              <w:rPr>
                <w:lang w:val="en-GB"/>
              </w:rPr>
            </w:pPr>
            <w:r>
              <w:rPr>
                <w:lang w:val="en-GB"/>
              </w:rPr>
              <w:t>S-4</w:t>
            </w:r>
          </w:p>
        </w:tc>
        <w:tc>
          <w:tcPr>
            <w:tcW w:w="1010" w:type="pct"/>
            <w:shd w:val="clear" w:color="auto" w:fill="FFFFFF"/>
            <w:vAlign w:val="center"/>
          </w:tcPr>
          <w:p w14:paraId="0D435CFE" w14:textId="35DE19C6" w:rsidR="00BB6CDE" w:rsidRPr="00220341" w:rsidRDefault="00BB6CDE" w:rsidP="001F63BE">
            <w:pPr>
              <w:pStyle w:val="CETBodytext"/>
              <w:ind w:right="-1"/>
              <w:jc w:val="center"/>
            </w:pPr>
            <w:r w:rsidRPr="00220341">
              <w:t>175</w:t>
            </w:r>
          </w:p>
        </w:tc>
        <w:tc>
          <w:tcPr>
            <w:tcW w:w="1010" w:type="pct"/>
            <w:shd w:val="clear" w:color="auto" w:fill="FFFFFF"/>
            <w:vAlign w:val="center"/>
          </w:tcPr>
          <w:p w14:paraId="2D9F1B3A" w14:textId="515B9526" w:rsidR="00BB6CDE" w:rsidRPr="00B57B36" w:rsidRDefault="00BB6CDE" w:rsidP="001F63BE">
            <w:pPr>
              <w:pStyle w:val="CETBodytext"/>
              <w:ind w:right="-1"/>
              <w:jc w:val="center"/>
              <w:rPr>
                <w:rFonts w:cs="Arial"/>
                <w:szCs w:val="18"/>
                <w:lang w:val="en-GB"/>
              </w:rPr>
            </w:pPr>
            <w:r w:rsidRPr="00220341">
              <w:t>22</w:t>
            </w:r>
          </w:p>
        </w:tc>
        <w:tc>
          <w:tcPr>
            <w:tcW w:w="994" w:type="pct"/>
            <w:shd w:val="clear" w:color="auto" w:fill="FFFFFF"/>
            <w:vAlign w:val="center"/>
          </w:tcPr>
          <w:p w14:paraId="4BE44694" w14:textId="1FAEF9FC" w:rsidR="00BB6CDE" w:rsidRPr="00B57B36" w:rsidRDefault="00BB6CDE" w:rsidP="001F63BE">
            <w:pPr>
              <w:pStyle w:val="CETBodytext"/>
              <w:ind w:right="-1"/>
              <w:jc w:val="center"/>
              <w:rPr>
                <w:rFonts w:cs="Arial"/>
                <w:szCs w:val="18"/>
                <w:lang w:val="en-GB"/>
              </w:rPr>
            </w:pPr>
            <w:r w:rsidRPr="00220341">
              <w:t>10,2</w:t>
            </w:r>
          </w:p>
        </w:tc>
        <w:tc>
          <w:tcPr>
            <w:tcW w:w="992" w:type="pct"/>
            <w:shd w:val="clear" w:color="auto" w:fill="FFFFFF"/>
            <w:vAlign w:val="center"/>
          </w:tcPr>
          <w:p w14:paraId="3E184B9C" w14:textId="04F9B8FC" w:rsidR="00BB6CDE" w:rsidRPr="00B57B36" w:rsidRDefault="00BB6CDE" w:rsidP="001F63BE">
            <w:pPr>
              <w:pStyle w:val="CETBodytext"/>
              <w:ind w:right="-1"/>
              <w:jc w:val="center"/>
              <w:rPr>
                <w:rFonts w:cs="Arial"/>
                <w:szCs w:val="18"/>
                <w:lang w:val="en-GB"/>
              </w:rPr>
            </w:pPr>
            <w:r w:rsidRPr="00220341">
              <w:t>0,3182</w:t>
            </w:r>
          </w:p>
        </w:tc>
      </w:tr>
      <w:tr w:rsidR="00BB6CDE" w:rsidRPr="00B57B36" w14:paraId="6FC04B69" w14:textId="4B171804" w:rsidTr="001F63BE">
        <w:tc>
          <w:tcPr>
            <w:tcW w:w="994" w:type="pct"/>
            <w:shd w:val="clear" w:color="auto" w:fill="FFFFFF"/>
            <w:vAlign w:val="center"/>
          </w:tcPr>
          <w:p w14:paraId="012F4D4A" w14:textId="0C786826" w:rsidR="00BB6CDE" w:rsidRDefault="00BB6CDE" w:rsidP="00BB6CDE">
            <w:pPr>
              <w:pStyle w:val="CETBodytext"/>
              <w:ind w:right="-1"/>
              <w:jc w:val="left"/>
              <w:rPr>
                <w:lang w:val="en-GB"/>
              </w:rPr>
            </w:pPr>
            <w:r>
              <w:rPr>
                <w:lang w:val="en-GB"/>
              </w:rPr>
              <w:t>S-5</w:t>
            </w:r>
          </w:p>
        </w:tc>
        <w:tc>
          <w:tcPr>
            <w:tcW w:w="1010" w:type="pct"/>
            <w:shd w:val="clear" w:color="auto" w:fill="FFFFFF"/>
            <w:vAlign w:val="center"/>
          </w:tcPr>
          <w:p w14:paraId="2F271783" w14:textId="248F8557" w:rsidR="00BB6CDE" w:rsidRPr="00220341" w:rsidRDefault="00BB6CDE" w:rsidP="001F63BE">
            <w:pPr>
              <w:pStyle w:val="CETBodytext"/>
              <w:ind w:right="-1"/>
              <w:jc w:val="center"/>
            </w:pPr>
            <w:r w:rsidRPr="00220341">
              <w:t>373</w:t>
            </w:r>
          </w:p>
        </w:tc>
        <w:tc>
          <w:tcPr>
            <w:tcW w:w="1010" w:type="pct"/>
            <w:shd w:val="clear" w:color="auto" w:fill="FFFFFF"/>
            <w:vAlign w:val="center"/>
          </w:tcPr>
          <w:p w14:paraId="2018EB77" w14:textId="0323F332" w:rsidR="00BB6CDE" w:rsidRPr="00B57B36" w:rsidRDefault="001F63BE" w:rsidP="001F63BE">
            <w:pPr>
              <w:pStyle w:val="CETBodytext"/>
              <w:ind w:right="-1"/>
              <w:jc w:val="center"/>
              <w:rPr>
                <w:rFonts w:cs="Arial"/>
                <w:szCs w:val="18"/>
                <w:lang w:val="en-GB"/>
              </w:rPr>
            </w:pPr>
            <w:r>
              <w:t>82</w:t>
            </w:r>
          </w:p>
        </w:tc>
        <w:tc>
          <w:tcPr>
            <w:tcW w:w="994" w:type="pct"/>
            <w:shd w:val="clear" w:color="auto" w:fill="FFFFFF"/>
            <w:vAlign w:val="center"/>
          </w:tcPr>
          <w:p w14:paraId="770E041A" w14:textId="5BB5607F" w:rsidR="00BB6CDE" w:rsidRPr="00B57B36" w:rsidRDefault="00BB6CDE" w:rsidP="001F63BE">
            <w:pPr>
              <w:pStyle w:val="CETBodytext"/>
              <w:ind w:right="-1"/>
              <w:jc w:val="center"/>
              <w:rPr>
                <w:rFonts w:cs="Arial"/>
                <w:szCs w:val="18"/>
                <w:lang w:val="en-GB"/>
              </w:rPr>
            </w:pPr>
            <w:r w:rsidRPr="00220341">
              <w:t>9,</w:t>
            </w:r>
            <w:r w:rsidR="001F63BE">
              <w:t>9</w:t>
            </w:r>
          </w:p>
        </w:tc>
        <w:tc>
          <w:tcPr>
            <w:tcW w:w="992" w:type="pct"/>
            <w:shd w:val="clear" w:color="auto" w:fill="FFFFFF"/>
            <w:vAlign w:val="center"/>
          </w:tcPr>
          <w:p w14:paraId="50012AFE" w14:textId="333CD1B6" w:rsidR="00BB6CDE" w:rsidRPr="00B57B36" w:rsidRDefault="001B4A6A" w:rsidP="001F63BE">
            <w:pPr>
              <w:pStyle w:val="CETBodytext"/>
              <w:ind w:right="-1"/>
              <w:jc w:val="center"/>
              <w:rPr>
                <w:rFonts w:cs="Arial"/>
                <w:szCs w:val="18"/>
                <w:lang w:val="en-GB"/>
              </w:rPr>
            </w:pPr>
            <w:r>
              <w:t>4,1403</w:t>
            </w:r>
          </w:p>
        </w:tc>
      </w:tr>
    </w:tbl>
    <w:p w14:paraId="4037F367" w14:textId="77777777" w:rsidR="006076BC" w:rsidRDefault="006076BC" w:rsidP="00B26C1D">
      <w:pPr>
        <w:pStyle w:val="CETBodytext"/>
      </w:pPr>
    </w:p>
    <w:p w14:paraId="2601FB48" w14:textId="47D0565D" w:rsidR="00AA4724" w:rsidRDefault="00913CA6" w:rsidP="00B26C1D">
      <w:pPr>
        <w:pStyle w:val="CETBodytext"/>
      </w:pPr>
      <w:r w:rsidRPr="00CA01FC">
        <w:t>In the case of turbidity examination of the surfactant's aqueous solution, an increase in carbon chain length resulted in decreased water solubility, as expected from the water number values. However, this trend was not uniform; when increasing the chain from C</w:t>
      </w:r>
      <w:r>
        <w:rPr>
          <w:vertAlign w:val="subscript"/>
        </w:rPr>
        <w:t>14:0</w:t>
      </w:r>
      <w:r w:rsidRPr="00CA01FC">
        <w:t xml:space="preserve"> to C</w:t>
      </w:r>
      <w:r>
        <w:rPr>
          <w:vertAlign w:val="subscript"/>
        </w:rPr>
        <w:t>16:0</w:t>
      </w:r>
      <w:r w:rsidRPr="00CA01FC">
        <w:t>, the turbidity of the solutions increased by two orders of magnitude. For the surfactant containing a double bond</w:t>
      </w:r>
      <w:r>
        <w:t xml:space="preserve"> better </w:t>
      </w:r>
      <w:r w:rsidRPr="00CA01FC">
        <w:t xml:space="preserve">solubility was </w:t>
      </w:r>
      <w:r>
        <w:t>observed</w:t>
      </w:r>
      <w:r w:rsidRPr="00CA01FC">
        <w:t xml:space="preserve"> than the saturated carbon chain of the same length, and the difference in turbidity between the solutions was approximately twofold. Similar trends were observed between the surfactants containing C</w:t>
      </w:r>
      <w:r w:rsidRPr="00774E59">
        <w:rPr>
          <w:vertAlign w:val="subscript"/>
        </w:rPr>
        <w:t>14</w:t>
      </w:r>
      <w:r>
        <w:rPr>
          <w:vertAlign w:val="subscript"/>
        </w:rPr>
        <w:t>:0</w:t>
      </w:r>
      <w:r w:rsidRPr="00CA01FC">
        <w:t xml:space="preserve"> and C</w:t>
      </w:r>
      <w:r w:rsidRPr="00774E59">
        <w:rPr>
          <w:vertAlign w:val="subscript"/>
        </w:rPr>
        <w:t>16</w:t>
      </w:r>
      <w:r>
        <w:rPr>
          <w:vertAlign w:val="subscript"/>
        </w:rPr>
        <w:t>:0</w:t>
      </w:r>
      <w:r w:rsidRPr="00CA01FC">
        <w:t xml:space="preserve"> carbon chains in the interfacial tension measurements. Here, a change of one order of magnitude was detectable between the two surfactants. Increasing the carbon chain length resulted in higher interfacial tension values for the surfactants with saturated carbon chains. </w:t>
      </w:r>
      <w:r w:rsidRPr="00774E59">
        <w:t>The lowest IFT value was determined compared to the other surfactants in case of surfactant synthesized from the fatty acid containing a double bond</w:t>
      </w:r>
      <w:r w:rsidRPr="00CA01FC">
        <w:t>. In the oil solubility test, for saturated fatty acids, the turbidity of the solutions decreased with increasing carbon chain length, as expected from the water number values. For the surfactant containing the unsaturated carbon chain, it had the lowest solution transmittance, i.e., the highest turbidity. The solution of this surfactant allowed 43</w:t>
      </w:r>
      <w:r>
        <w:t xml:space="preserve"> </w:t>
      </w:r>
      <w:r w:rsidRPr="00CA01FC">
        <w:t>% less light to pass than the least oil-soluble saturated carbon chain surfactant (S-1) and 60</w:t>
      </w:r>
      <w:r>
        <w:t xml:space="preserve"> </w:t>
      </w:r>
      <w:r w:rsidRPr="00CA01FC">
        <w:t>% less than the surfactant made from the same chain length but with a saturated carbon chain (S-5).</w:t>
      </w:r>
      <w:r w:rsidR="00570B1E" w:rsidRPr="00570B1E">
        <w:t xml:space="preserve"> </w:t>
      </w:r>
      <w:r w:rsidR="00AA4724">
        <w:t>The t</w:t>
      </w:r>
      <w:r w:rsidR="00AA4724" w:rsidRPr="00AA4724">
        <w:t>ransmittance of surfactants solutions in SN-150 base oil</w:t>
      </w:r>
      <w:r w:rsidR="00AA4724">
        <w:t xml:space="preserve"> shown in Figure 2.</w:t>
      </w:r>
    </w:p>
    <w:p w14:paraId="06293359" w14:textId="0E6D2670" w:rsidR="00AA4724" w:rsidRDefault="00AA4724" w:rsidP="00B26C1D">
      <w:pPr>
        <w:pStyle w:val="CETBodytext"/>
      </w:pPr>
      <w:r>
        <w:rPr>
          <w:noProof/>
        </w:rPr>
        <w:drawing>
          <wp:inline distT="0" distB="0" distL="0" distR="0" wp14:anchorId="701FCFF2" wp14:editId="33A4E126">
            <wp:extent cx="4572635" cy="27432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pic:spPr>
                </pic:pic>
              </a:graphicData>
            </a:graphic>
          </wp:inline>
        </w:drawing>
      </w:r>
    </w:p>
    <w:p w14:paraId="53DFA41A" w14:textId="7A36DE60" w:rsidR="00AA4724" w:rsidRPr="00BD077D" w:rsidRDefault="00AA4724" w:rsidP="00AA4724">
      <w:pPr>
        <w:pStyle w:val="CETCaption"/>
      </w:pPr>
      <w:r w:rsidRPr="00BD077D">
        <w:rPr>
          <w:rStyle w:val="CETCaptionCarattere"/>
          <w:i/>
        </w:rPr>
        <w:t xml:space="preserve">Figure </w:t>
      </w:r>
      <w:r>
        <w:rPr>
          <w:rStyle w:val="CETCaptionCarattere"/>
          <w:i/>
        </w:rPr>
        <w:t>2</w:t>
      </w:r>
      <w:r w:rsidRPr="00BD077D">
        <w:rPr>
          <w:rStyle w:val="CETCaptionCarattere"/>
          <w:i/>
        </w:rPr>
        <w:t xml:space="preserve">: </w:t>
      </w:r>
      <w:r>
        <w:rPr>
          <w:rStyle w:val="CETCaptionCarattere"/>
          <w:i/>
        </w:rPr>
        <w:t>Transmittance of surfactants solutions in SN-150 base oil</w:t>
      </w:r>
    </w:p>
    <w:p w14:paraId="5F28D999" w14:textId="3511C7C2" w:rsidR="00570B1E" w:rsidRPr="00570B1E" w:rsidRDefault="00570B1E" w:rsidP="00B26C1D">
      <w:pPr>
        <w:pStyle w:val="CETBodytext"/>
      </w:pPr>
      <w:r w:rsidRPr="00570B1E">
        <w:t xml:space="preserve">For the surfactant synthesized from the fatty acid containing a double bond, a significant leap was consistently found compared to saturated fatty </w:t>
      </w:r>
      <w:proofErr w:type="gramStart"/>
      <w:r w:rsidRPr="00570B1E">
        <w:t>acids</w:t>
      </w:r>
      <w:r>
        <w:t xml:space="preserve"> based</w:t>
      </w:r>
      <w:proofErr w:type="gramEnd"/>
      <w:r>
        <w:t xml:space="preserve"> ones</w:t>
      </w:r>
      <w:r w:rsidRPr="00570B1E">
        <w:t>.</w:t>
      </w:r>
    </w:p>
    <w:p w14:paraId="763680D9" w14:textId="490F61F8" w:rsidR="0088311A" w:rsidRDefault="0088311A" w:rsidP="0088311A">
      <w:pPr>
        <w:pStyle w:val="CETHeading1"/>
      </w:pPr>
      <w:r>
        <w:t>Conclusion</w:t>
      </w:r>
    </w:p>
    <w:p w14:paraId="55151EFD" w14:textId="77777777" w:rsidR="000A7242" w:rsidRDefault="00CA01FC" w:rsidP="00D17D96">
      <w:pPr>
        <w:pStyle w:val="CETBodytext"/>
      </w:pPr>
      <w:r>
        <w:t>S</w:t>
      </w:r>
      <w:r w:rsidRPr="00CA01FC">
        <w:t xml:space="preserve">urfactants using five different fatty acids and </w:t>
      </w:r>
      <w:proofErr w:type="spellStart"/>
      <w:r w:rsidRPr="00CA01FC">
        <w:t>diethanolamine</w:t>
      </w:r>
      <w:proofErr w:type="spellEnd"/>
      <w:r w:rsidRPr="00CA01FC">
        <w:t xml:space="preserve"> under </w:t>
      </w:r>
      <w:r>
        <w:t>same</w:t>
      </w:r>
      <w:r w:rsidRPr="00CA01FC">
        <w:t xml:space="preserve"> reaction conditions</w:t>
      </w:r>
      <w:r>
        <w:t xml:space="preserve"> were </w:t>
      </w:r>
      <w:r w:rsidRPr="00CA01FC">
        <w:t>synthesized. The utilized fatty acids had saturated chains ranging from C</w:t>
      </w:r>
      <w:r w:rsidRPr="00CA01FC">
        <w:rPr>
          <w:vertAlign w:val="subscript"/>
        </w:rPr>
        <w:t>12:0</w:t>
      </w:r>
      <w:r w:rsidRPr="00CA01FC">
        <w:t xml:space="preserve"> to C</w:t>
      </w:r>
      <w:r w:rsidRPr="00CA01FC">
        <w:rPr>
          <w:vertAlign w:val="subscript"/>
        </w:rPr>
        <w:t>18:0</w:t>
      </w:r>
      <w:r w:rsidRPr="00CA01FC">
        <w:t xml:space="preserve"> and one with a</w:t>
      </w:r>
      <w:r>
        <w:t>n</w:t>
      </w:r>
      <w:r w:rsidRPr="00CA01FC">
        <w:t xml:space="preserve"> </w:t>
      </w:r>
      <w:r>
        <w:t>un</w:t>
      </w:r>
      <w:r w:rsidRPr="00CA01FC">
        <w:t>saturated C</w:t>
      </w:r>
      <w:r w:rsidRPr="00CA01FC">
        <w:rPr>
          <w:vertAlign w:val="subscript"/>
        </w:rPr>
        <w:t>18:1</w:t>
      </w:r>
      <w:r w:rsidRPr="00CA01FC">
        <w:t xml:space="preserve"> chain.</w:t>
      </w:r>
    </w:p>
    <w:p w14:paraId="3470A4C1" w14:textId="1A58A094" w:rsidR="000A7242" w:rsidRDefault="00CA01FC" w:rsidP="00D17D96">
      <w:pPr>
        <w:pStyle w:val="CETBodytext"/>
      </w:pPr>
      <w:r w:rsidRPr="00CA01FC">
        <w:t>Initially, the stability and appearance of the synthesized surfactants</w:t>
      </w:r>
      <w:r>
        <w:t xml:space="preserve"> were </w:t>
      </w:r>
      <w:r w:rsidR="008E060F">
        <w:t>examined</w:t>
      </w:r>
      <w:r w:rsidRPr="00CA01FC">
        <w:t xml:space="preserve">. </w:t>
      </w:r>
      <w:r w:rsidR="000A7242" w:rsidRPr="000A7242">
        <w:t xml:space="preserve">All reaction products remained stable without phase separation; among them, two were liquid, two solid, and one pasty. The surfactant derived from the smallest molecular weight (S-1) and the one from the fatty acid with a double bond </w:t>
      </w:r>
      <w:r w:rsidR="000A7242" w:rsidRPr="000A7242">
        <w:lastRenderedPageBreak/>
        <w:t xml:space="preserve">were both </w:t>
      </w:r>
      <w:proofErr w:type="gramStart"/>
      <w:r w:rsidR="000A7242" w:rsidRPr="000A7242">
        <w:t>liquid</w:t>
      </w:r>
      <w:proofErr w:type="gramEnd"/>
      <w:r w:rsidR="000A7242" w:rsidRPr="000A7242">
        <w:t>, contrary to the general trend of decreasing flow properties with increasing carbon chain length, except for the surfactant synthesized from the fatty acid containing a double bond.</w:t>
      </w:r>
    </w:p>
    <w:p w14:paraId="47058C09" w14:textId="7096C05D" w:rsidR="00913CA6" w:rsidRDefault="00913CA6" w:rsidP="00913CA6">
      <w:pPr>
        <w:pStyle w:val="CETBodytext"/>
      </w:pPr>
      <w:r>
        <w:t>The examination of synthesized surfactants showed that longer carbon chain lengths correlated with decreased water numbers, suggesting higher oil solubility and lower water solubility. However, the surfactant with an unsaturated carbon chain exhibited a different trend, with a higher water number compared to its saturated counterpart of the same length. No significant differences or trends were observed in density and viscosity results measured at 100</w:t>
      </w:r>
      <w:r>
        <w:t xml:space="preserve"> </w:t>
      </w:r>
      <w:r>
        <w:t>°C for the synthesized surfactants.</w:t>
      </w:r>
    </w:p>
    <w:p w14:paraId="1B41DEF9" w14:textId="055FBC68" w:rsidR="00913CA6" w:rsidRDefault="00913CA6" w:rsidP="00913CA6">
      <w:pPr>
        <w:pStyle w:val="CETBodytext"/>
      </w:pPr>
      <w:r>
        <w:t>Longer carbon chain lengths generally resulted in decreased water solubility of surfactant solutions, consistent with water number values. However, this trend varied; increasing the chain from C</w:t>
      </w:r>
      <w:r w:rsidRPr="00913CA6">
        <w:rPr>
          <w:vertAlign w:val="subscript"/>
        </w:rPr>
        <w:t>14:0</w:t>
      </w:r>
      <w:r>
        <w:t xml:space="preserve"> to C</w:t>
      </w:r>
      <w:r w:rsidRPr="00913CA6">
        <w:rPr>
          <w:vertAlign w:val="subscript"/>
        </w:rPr>
        <w:t>16:0</w:t>
      </w:r>
      <w:r>
        <w:t xml:space="preserve"> notably increased solution turbidity by two orders of magnitude.</w:t>
      </w:r>
      <w:r>
        <w:t xml:space="preserve"> </w:t>
      </w:r>
      <w:r>
        <w:t>Surfactants with unsaturated carbon chains exhibited better solubility compared to their saturated counterparts of the same length, with approximately twofold differences in turbidity between the solutions.</w:t>
      </w:r>
      <w:r>
        <w:t xml:space="preserve"> </w:t>
      </w:r>
      <w:r>
        <w:t>Interfacial tension measurements reflected similar trends between surfactants with C</w:t>
      </w:r>
      <w:r w:rsidRPr="00913CA6">
        <w:rPr>
          <w:vertAlign w:val="subscript"/>
        </w:rPr>
        <w:t>14:0</w:t>
      </w:r>
      <w:r>
        <w:t xml:space="preserve"> and C</w:t>
      </w:r>
      <w:r w:rsidRPr="00913CA6">
        <w:rPr>
          <w:vertAlign w:val="subscript"/>
        </w:rPr>
        <w:t>16:0</w:t>
      </w:r>
      <w:r>
        <w:t xml:space="preserve"> carbon chains, showing a one order of magnitude change, with longer chain lengths leading to higher interfacial tension values, except for the surfactant synthesized from fatty acids containing a double bond, which showed the lowest interfacial tension.</w:t>
      </w:r>
    </w:p>
    <w:p w14:paraId="5F36765E" w14:textId="77B90043" w:rsidR="00D17D96" w:rsidRDefault="00D17D96" w:rsidP="00913CA6">
      <w:pPr>
        <w:pStyle w:val="CETBodytext"/>
      </w:pPr>
    </w:p>
    <w:p w14:paraId="07A6D20F" w14:textId="0ECF229E" w:rsidR="00280FAF" w:rsidRPr="00280FAF" w:rsidRDefault="00280FAF" w:rsidP="00280FAF">
      <w:pPr>
        <w:pStyle w:val="CETHeadingxx"/>
        <w:rPr>
          <w:lang w:val="en-GB"/>
        </w:rPr>
        <w:sectPr w:rsidR="00280FAF" w:rsidRPr="00280FAF" w:rsidSect="007D0951">
          <w:type w:val="continuous"/>
          <w:pgSz w:w="11906" w:h="16838" w:code="9"/>
          <w:pgMar w:top="1701" w:right="1418" w:bottom="1701" w:left="1701" w:header="1701" w:footer="0" w:gutter="0"/>
          <w:cols w:space="708"/>
          <w:formProt w:val="0"/>
          <w:titlePg/>
          <w:docGrid w:linePitch="360"/>
        </w:sectPr>
      </w:pPr>
      <w:r>
        <w:t>Nomenclature</w:t>
      </w:r>
    </w:p>
    <w:p w14:paraId="25D52BD8" w14:textId="41B6873E" w:rsidR="00280FAF" w:rsidRPr="00280FAF" w:rsidRDefault="004F509F" w:rsidP="00280FAF">
      <w:pPr>
        <w:pStyle w:val="CETBodytext"/>
        <w:jc w:val="left"/>
        <w:rPr>
          <w:rFonts w:eastAsia="SimSun"/>
        </w:rPr>
      </w:pPr>
      <w:r>
        <w:rPr>
          <w:rFonts w:eastAsia="SimSun"/>
        </w:rPr>
        <w:t>DEA</w:t>
      </w:r>
      <w:r w:rsidR="00280FAF" w:rsidRPr="00280FAF">
        <w:rPr>
          <w:rFonts w:eastAsia="SimSun"/>
        </w:rPr>
        <w:t xml:space="preserve"> – </w:t>
      </w:r>
      <w:proofErr w:type="spellStart"/>
      <w:r>
        <w:rPr>
          <w:rFonts w:eastAsia="SimSun"/>
        </w:rPr>
        <w:t>Diethanolamine</w:t>
      </w:r>
      <w:proofErr w:type="spellEnd"/>
    </w:p>
    <w:p w14:paraId="7DFFBF41" w14:textId="77777777" w:rsidR="00280FAF" w:rsidRPr="00280FAF" w:rsidRDefault="00280FAF" w:rsidP="00280FAF">
      <w:pPr>
        <w:pStyle w:val="CETBodytext"/>
        <w:jc w:val="left"/>
        <w:rPr>
          <w:rFonts w:eastAsia="SimSun"/>
        </w:rPr>
        <w:sectPr w:rsidR="00280FAF" w:rsidRPr="00280FAF" w:rsidSect="0077098D">
          <w:type w:val="continuous"/>
          <w:pgSz w:w="11906" w:h="16838" w:code="9"/>
          <w:pgMar w:top="1701" w:right="1418" w:bottom="1701" w:left="1701" w:header="1701" w:footer="0" w:gutter="0"/>
          <w:cols w:space="708"/>
          <w:formProt w:val="0"/>
          <w:titlePg/>
          <w:docGrid w:linePitch="360"/>
        </w:sectPr>
      </w:pPr>
    </w:p>
    <w:p w14:paraId="57590CE2" w14:textId="129F4A86" w:rsidR="00280FAF" w:rsidRDefault="004F509F" w:rsidP="00280FAF">
      <w:pPr>
        <w:pStyle w:val="CETBodytext"/>
        <w:jc w:val="left"/>
        <w:rPr>
          <w:rFonts w:eastAsia="SimSun"/>
        </w:rPr>
      </w:pPr>
      <w:r>
        <w:rPr>
          <w:rFonts w:eastAsia="SimSun"/>
        </w:rPr>
        <w:t>FA</w:t>
      </w:r>
      <w:r w:rsidR="00280FAF" w:rsidRPr="00280FAF">
        <w:rPr>
          <w:rFonts w:eastAsia="SimSun"/>
        </w:rPr>
        <w:t xml:space="preserve"> – </w:t>
      </w:r>
      <w:r>
        <w:rPr>
          <w:rFonts w:eastAsia="SimSun"/>
        </w:rPr>
        <w:t>Fatty acid</w:t>
      </w:r>
    </w:p>
    <w:p w14:paraId="03FABFF7" w14:textId="52601275" w:rsidR="006E18FC" w:rsidRPr="00280FAF" w:rsidRDefault="006E18FC" w:rsidP="00280FAF">
      <w:pPr>
        <w:pStyle w:val="CETBodytext"/>
        <w:jc w:val="left"/>
        <w:rPr>
          <w:rFonts w:eastAsia="SimSun"/>
        </w:rPr>
      </w:pPr>
      <w:r>
        <w:rPr>
          <w:rFonts w:eastAsia="SimSun"/>
        </w:rPr>
        <w:t>HLB</w:t>
      </w:r>
      <w:r w:rsidRPr="00280FAF">
        <w:rPr>
          <w:rFonts w:eastAsia="SimSun"/>
        </w:rPr>
        <w:t xml:space="preserve"> – </w:t>
      </w:r>
      <w:r w:rsidRPr="000F6C49">
        <w:rPr>
          <w:lang w:val="en-GB"/>
        </w:rPr>
        <w:t>Hydrophilic-Lipophilic Balance</w:t>
      </w:r>
    </w:p>
    <w:p w14:paraId="0E502614" w14:textId="69B00F2A" w:rsidR="00280FAF" w:rsidRPr="00280FAF" w:rsidRDefault="004F509F" w:rsidP="00280FAF">
      <w:pPr>
        <w:pStyle w:val="CETBodytext"/>
        <w:jc w:val="left"/>
        <w:rPr>
          <w:rFonts w:eastAsia="SimSun"/>
        </w:rPr>
      </w:pPr>
      <w:r>
        <w:rPr>
          <w:rFonts w:eastAsia="SimSun"/>
        </w:rPr>
        <w:t>IFT</w:t>
      </w:r>
      <w:r w:rsidR="00280FAF" w:rsidRPr="00280FAF">
        <w:rPr>
          <w:rFonts w:eastAsia="SimSun"/>
        </w:rPr>
        <w:t xml:space="preserve"> – </w:t>
      </w:r>
      <w:r>
        <w:rPr>
          <w:rFonts w:eastAsia="SimSun"/>
        </w:rPr>
        <w:t xml:space="preserve">Interfacial tension, </w:t>
      </w:r>
      <w:proofErr w:type="spellStart"/>
      <w:r>
        <w:rPr>
          <w:rFonts w:eastAsia="SimSun"/>
        </w:rPr>
        <w:t>mN</w:t>
      </w:r>
      <w:proofErr w:type="spellEnd"/>
      <w:r>
        <w:rPr>
          <w:rFonts w:eastAsia="SimSun"/>
        </w:rPr>
        <w:t>/m</w:t>
      </w:r>
    </w:p>
    <w:p w14:paraId="33D176ED" w14:textId="6C3D2852" w:rsidR="00280FAF" w:rsidRPr="00280FAF" w:rsidRDefault="004F509F" w:rsidP="00280FAF">
      <w:pPr>
        <w:pStyle w:val="CETBodytext"/>
        <w:jc w:val="left"/>
        <w:rPr>
          <w:rFonts w:eastAsia="SimSun"/>
        </w:rPr>
      </w:pPr>
      <w:r>
        <w:rPr>
          <w:rFonts w:eastAsia="SimSun"/>
        </w:rPr>
        <w:t>SN</w:t>
      </w:r>
      <w:r w:rsidR="00280FAF" w:rsidRPr="00280FAF">
        <w:rPr>
          <w:rFonts w:eastAsia="SimSun"/>
        </w:rPr>
        <w:t xml:space="preserve"> – </w:t>
      </w:r>
      <w:r>
        <w:rPr>
          <w:rFonts w:eastAsia="SimSun"/>
        </w:rPr>
        <w:t>Solvent Neutral</w:t>
      </w:r>
    </w:p>
    <w:p w14:paraId="38BFE636" w14:textId="1586D707" w:rsidR="00280FAF" w:rsidRPr="00E377D0" w:rsidRDefault="00280FAF" w:rsidP="00280FAF">
      <w:pPr>
        <w:pStyle w:val="CETBodytext"/>
        <w:jc w:val="left"/>
        <w:rPr>
          <w:rFonts w:eastAsia="SimSun"/>
        </w:rPr>
        <w:sectPr w:rsidR="00280FAF" w:rsidRPr="00E377D0" w:rsidSect="00200ECB">
          <w:type w:val="continuous"/>
          <w:pgSz w:w="11906" w:h="16838" w:code="9"/>
          <w:pgMar w:top="1701" w:right="1418" w:bottom="1701" w:left="1701" w:header="1701" w:footer="0" w:gutter="0"/>
          <w:cols w:num="2" w:space="708"/>
          <w:formProt w:val="0"/>
          <w:titlePg/>
          <w:docGrid w:linePitch="360"/>
        </w:sectPr>
      </w:pPr>
    </w:p>
    <w:p w14:paraId="459D05E6" w14:textId="77777777" w:rsidR="00600535" w:rsidRPr="00B57B36" w:rsidRDefault="00600535" w:rsidP="00600535">
      <w:pPr>
        <w:pStyle w:val="CETAcknowledgementstitle"/>
      </w:pPr>
      <w:r w:rsidRPr="00B57B36">
        <w:t>Acknowledgments</w:t>
      </w:r>
    </w:p>
    <w:p w14:paraId="25382D4E" w14:textId="723C85B6" w:rsidR="0088311A" w:rsidRDefault="0088311A" w:rsidP="0088311A">
      <w:pPr>
        <w:pStyle w:val="CETBodytext"/>
        <w:rPr>
          <w:lang w:val="en-GB"/>
        </w:rPr>
      </w:pPr>
      <w:r w:rsidRPr="00B94DAC">
        <w:rPr>
          <w:lang w:val="en-GB"/>
        </w:rPr>
        <w:t>Prepared with the professional support of the Doctoral Student Scholarship Program of the Co-operative Doctoral Program of Ministry of Innovation and Technology financed from the National Research, Development and Innovation Fund. Founding number: KDP-11-3/PALY-2021</w:t>
      </w:r>
    </w:p>
    <w:p w14:paraId="16E28138" w14:textId="36804B34" w:rsidR="00AE47D1" w:rsidRPr="00B57B36" w:rsidRDefault="00AE47D1" w:rsidP="0088311A">
      <w:pPr>
        <w:pStyle w:val="CETBodytext"/>
        <w:rPr>
          <w:lang w:val="en-GB"/>
        </w:rPr>
      </w:pPr>
      <w:r w:rsidRPr="00AE47D1">
        <w:rPr>
          <w:lang w:val="en-GB"/>
        </w:rPr>
        <w:t>Expressing gratitude to MOL Plc for their generous support of the research and providing the opportunity for publication.</w:t>
      </w:r>
    </w:p>
    <w:p w14:paraId="4F1327F8" w14:textId="28D3FC9F" w:rsidR="00600535" w:rsidRPr="00B57B36" w:rsidRDefault="00600535" w:rsidP="00600535">
      <w:pPr>
        <w:pStyle w:val="CETReference"/>
      </w:pPr>
      <w:r w:rsidRPr="00B57B36">
        <w:t>References</w:t>
      </w:r>
    </w:p>
    <w:p w14:paraId="003B88FF" w14:textId="77777777" w:rsidR="00913CA6" w:rsidRDefault="00913CA6" w:rsidP="00913CA6">
      <w:pPr>
        <w:pStyle w:val="CETReferencetext"/>
      </w:pPr>
      <w:r>
        <w:t>Ahmad M. U. (2017) Fatty acids: Chemistry, synthesis, and applications, AOCS Press, London, England.</w:t>
      </w:r>
    </w:p>
    <w:p w14:paraId="07035663" w14:textId="77777777" w:rsidR="00913CA6" w:rsidRDefault="00913CA6" w:rsidP="00913CA6">
      <w:pPr>
        <w:pStyle w:val="CETReferencetext"/>
      </w:pPr>
      <w:proofErr w:type="spellStart"/>
      <w:r>
        <w:t>Aryanti</w:t>
      </w:r>
      <w:proofErr w:type="spellEnd"/>
      <w:r>
        <w:t xml:space="preserve"> N., </w:t>
      </w:r>
      <w:proofErr w:type="spellStart"/>
      <w:r>
        <w:t>Khoiriyah</w:t>
      </w:r>
      <w:proofErr w:type="spellEnd"/>
      <w:r>
        <w:t xml:space="preserve"> L., </w:t>
      </w:r>
      <w:proofErr w:type="spellStart"/>
      <w:r>
        <w:t>Heny</w:t>
      </w:r>
      <w:proofErr w:type="spellEnd"/>
      <w:r>
        <w:t xml:space="preserve"> D.R., </w:t>
      </w:r>
      <w:proofErr w:type="spellStart"/>
      <w:r>
        <w:t>Nafiunisa</w:t>
      </w:r>
      <w:proofErr w:type="spellEnd"/>
      <w:r>
        <w:t xml:space="preserve"> A., </w:t>
      </w:r>
      <w:proofErr w:type="spellStart"/>
      <w:r>
        <w:t>Wardhani</w:t>
      </w:r>
      <w:proofErr w:type="spellEnd"/>
      <w:r>
        <w:t xml:space="preserve"> D.H., 2021, Synthesis Cocamide DEA as Green Surfactant from Virgin Coconut Oil, IOP Conf. Series: Materials Science and Engineering, 1053(1), 012066</w:t>
      </w:r>
    </w:p>
    <w:p w14:paraId="2615CCD7" w14:textId="77777777" w:rsidR="00913CA6" w:rsidRDefault="00913CA6" w:rsidP="00913CA6">
      <w:pPr>
        <w:pStyle w:val="CETReferencetext"/>
      </w:pPr>
      <w:proofErr w:type="spellStart"/>
      <w:r w:rsidRPr="00C135FF">
        <w:t>Belhaj</w:t>
      </w:r>
      <w:proofErr w:type="spellEnd"/>
      <w:r>
        <w:t xml:space="preserve"> A.F., </w:t>
      </w:r>
      <w:proofErr w:type="spellStart"/>
      <w:r w:rsidRPr="00C135FF">
        <w:t>Elraies</w:t>
      </w:r>
      <w:proofErr w:type="spellEnd"/>
      <w:r>
        <w:t xml:space="preserve"> K.A., </w:t>
      </w:r>
      <w:r w:rsidRPr="00C135FF">
        <w:t>Mahmood</w:t>
      </w:r>
      <w:r>
        <w:t xml:space="preserve"> S.M., </w:t>
      </w:r>
      <w:proofErr w:type="spellStart"/>
      <w:r w:rsidRPr="00C135FF">
        <w:t>Zulkifli</w:t>
      </w:r>
      <w:proofErr w:type="spellEnd"/>
      <w:r>
        <w:t xml:space="preserve"> N.N., </w:t>
      </w:r>
      <w:r w:rsidRPr="00C135FF">
        <w:t>Akbari</w:t>
      </w:r>
      <w:r>
        <w:t xml:space="preserve"> S., </w:t>
      </w:r>
      <w:proofErr w:type="spellStart"/>
      <w:r w:rsidRPr="00C135FF">
        <w:t>Hussien</w:t>
      </w:r>
      <w:proofErr w:type="spellEnd"/>
      <w:r>
        <w:t xml:space="preserve"> O.S., 2020, </w:t>
      </w:r>
      <w:r w:rsidRPr="00C135FF">
        <w:t>The effect of surfactant concentration, salinity, temperature, and pH on surfactant adsorption for chemical enhanced oil recovery</w:t>
      </w:r>
      <w:r>
        <w:t>,</w:t>
      </w:r>
      <w:r w:rsidRPr="00C135FF">
        <w:t xml:space="preserve"> Journal of Petroleum Exploration and Production Technology</w:t>
      </w:r>
      <w:r>
        <w:t>, 10(1), 125-137.</w:t>
      </w:r>
    </w:p>
    <w:p w14:paraId="2D6010CA" w14:textId="77777777" w:rsidR="00913CA6" w:rsidRDefault="00913CA6" w:rsidP="00913CA6">
      <w:pPr>
        <w:pStyle w:val="CETReferencetext"/>
      </w:pPr>
      <w:proofErr w:type="spellStart"/>
      <w:r>
        <w:t>Ibragimov</w:t>
      </w:r>
      <w:proofErr w:type="spellEnd"/>
      <w:r>
        <w:t xml:space="preserve"> N. G., </w:t>
      </w:r>
      <w:proofErr w:type="spellStart"/>
      <w:r>
        <w:t>Musabirov</w:t>
      </w:r>
      <w:proofErr w:type="spellEnd"/>
      <w:r>
        <w:t xml:space="preserve"> M. K., </w:t>
      </w:r>
      <w:proofErr w:type="spellStart"/>
      <w:r>
        <w:t>Dmitrieva</w:t>
      </w:r>
      <w:proofErr w:type="spellEnd"/>
      <w:r>
        <w:t xml:space="preserve"> A. Y., 2017, Development of formulation of hydrophobic emulsion for selective acidizing of fractured-cavernous carbonate reservoirs, </w:t>
      </w:r>
      <w:proofErr w:type="spellStart"/>
      <w:r>
        <w:t>Neftyanoe</w:t>
      </w:r>
      <w:proofErr w:type="spellEnd"/>
      <w:r>
        <w:t xml:space="preserve"> </w:t>
      </w:r>
      <w:proofErr w:type="spellStart"/>
      <w:r>
        <w:t>Khozyaystvo</w:t>
      </w:r>
      <w:proofErr w:type="spellEnd"/>
      <w:r>
        <w:t xml:space="preserve"> = Oil Industry, 11, 129–131.</w:t>
      </w:r>
    </w:p>
    <w:p w14:paraId="5970E4EB" w14:textId="77777777" w:rsidR="00913CA6" w:rsidRDefault="00913CA6" w:rsidP="00913CA6">
      <w:pPr>
        <w:pStyle w:val="CETReferencetext"/>
      </w:pPr>
      <w:proofErr w:type="spellStart"/>
      <w:r>
        <w:t>Mäki-Arvela</w:t>
      </w:r>
      <w:proofErr w:type="spellEnd"/>
      <w:r>
        <w:t xml:space="preserve"> P., </w:t>
      </w:r>
      <w:proofErr w:type="spellStart"/>
      <w:r>
        <w:t>Tkacheva</w:t>
      </w:r>
      <w:proofErr w:type="spellEnd"/>
      <w:r>
        <w:t xml:space="preserve"> A., </w:t>
      </w:r>
      <w:proofErr w:type="spellStart"/>
      <w:r>
        <w:t>Dosmagambetova</w:t>
      </w:r>
      <w:proofErr w:type="spellEnd"/>
      <w:r>
        <w:t xml:space="preserve"> I., </w:t>
      </w:r>
      <w:proofErr w:type="spellStart"/>
      <w:r>
        <w:t>Chapelliere</w:t>
      </w:r>
      <w:proofErr w:type="spellEnd"/>
      <w:r>
        <w:t xml:space="preserve"> Y., </w:t>
      </w:r>
      <w:proofErr w:type="spellStart"/>
      <w:r>
        <w:t>Hachemi</w:t>
      </w:r>
      <w:proofErr w:type="spellEnd"/>
      <w:r>
        <w:t xml:space="preserve"> I., Kumar N., </w:t>
      </w:r>
      <w:proofErr w:type="spellStart"/>
      <w:r>
        <w:t>Aho</w:t>
      </w:r>
      <w:proofErr w:type="spellEnd"/>
      <w:r>
        <w:t xml:space="preserve"> A., </w:t>
      </w:r>
      <w:proofErr w:type="spellStart"/>
      <w:r>
        <w:t>Murzin</w:t>
      </w:r>
      <w:proofErr w:type="spellEnd"/>
      <w:r>
        <w:t xml:space="preserve"> D. Y., 2016, Thermal and catalytic </w:t>
      </w:r>
      <w:proofErr w:type="spellStart"/>
      <w:r>
        <w:t>Amidation</w:t>
      </w:r>
      <w:proofErr w:type="spellEnd"/>
      <w:r>
        <w:t xml:space="preserve"> of stearic acid with ethanolamine for production of pharmaceuticals and surfactants, Topics in Catalysis, 59, 1151–1164.</w:t>
      </w:r>
    </w:p>
    <w:p w14:paraId="5B0AF129" w14:textId="77777777" w:rsidR="00913CA6" w:rsidRDefault="00913CA6" w:rsidP="00913CA6">
      <w:pPr>
        <w:pStyle w:val="CETReferencetext"/>
      </w:pPr>
      <w:proofErr w:type="spellStart"/>
      <w:r>
        <w:t>Secato</w:t>
      </w:r>
      <w:proofErr w:type="spellEnd"/>
      <w:r>
        <w:t xml:space="preserve"> J. F. F., Coelho D. F., Rosa N. G. </w:t>
      </w:r>
      <w:proofErr w:type="spellStart"/>
      <w:proofErr w:type="gramStart"/>
      <w:r>
        <w:t>J.,Costa</w:t>
      </w:r>
      <w:proofErr w:type="spellEnd"/>
      <w:proofErr w:type="gramEnd"/>
      <w:r>
        <w:t xml:space="preserve"> L. D. L., </w:t>
      </w:r>
      <w:proofErr w:type="spellStart"/>
      <w:r>
        <w:t>Tambourgi</w:t>
      </w:r>
      <w:proofErr w:type="spellEnd"/>
      <w:r>
        <w:t xml:space="preserve"> E.B., 2016, Biosurfactant Production Using Bacillus Subtilis and Industrial Waste as Substrate, C</w:t>
      </w:r>
      <w:r w:rsidRPr="00446D78">
        <w:t xml:space="preserve">hemical </w:t>
      </w:r>
      <w:r>
        <w:t>E</w:t>
      </w:r>
      <w:r w:rsidRPr="00446D78">
        <w:t xml:space="preserve">ngineering </w:t>
      </w:r>
      <w:r>
        <w:t>T</w:t>
      </w:r>
      <w:r w:rsidRPr="00446D78">
        <w:t>ransactions</w:t>
      </w:r>
      <w:r>
        <w:t>, 49, 103-108.</w:t>
      </w:r>
    </w:p>
    <w:p w14:paraId="4DD295B3" w14:textId="77777777" w:rsidR="00913CA6" w:rsidRDefault="00913CA6" w:rsidP="00913CA6">
      <w:pPr>
        <w:pStyle w:val="CETReferencetext"/>
      </w:pPr>
      <w:proofErr w:type="spellStart"/>
      <w:r>
        <w:t>Yanovsky</w:t>
      </w:r>
      <w:proofErr w:type="spellEnd"/>
      <w:r>
        <w:t xml:space="preserve"> V. A., </w:t>
      </w:r>
      <w:r w:rsidRPr="009E6F98">
        <w:t>Andropov</w:t>
      </w:r>
      <w:r>
        <w:t xml:space="preserve"> M.O., </w:t>
      </w:r>
      <w:proofErr w:type="spellStart"/>
      <w:r w:rsidRPr="009E6F98">
        <w:t>Fakhrislamova</w:t>
      </w:r>
      <w:proofErr w:type="spellEnd"/>
      <w:r>
        <w:t xml:space="preserve"> R.S., </w:t>
      </w:r>
      <w:r w:rsidRPr="009E6F98">
        <w:t>Churkin</w:t>
      </w:r>
      <w:r>
        <w:t xml:space="preserve"> R.A., </w:t>
      </w:r>
      <w:proofErr w:type="spellStart"/>
      <w:r w:rsidRPr="009E6F98">
        <w:t>Minaev</w:t>
      </w:r>
      <w:proofErr w:type="spellEnd"/>
      <w:r>
        <w:t xml:space="preserve"> K.M., </w:t>
      </w:r>
      <w:proofErr w:type="spellStart"/>
      <w:r w:rsidRPr="009E6F98">
        <w:t>Yanovskaya</w:t>
      </w:r>
      <w:proofErr w:type="spellEnd"/>
      <w:r>
        <w:t xml:space="preserve"> E.A., 2018, </w:t>
      </w:r>
      <w:r w:rsidRPr="009E6F98">
        <w:t xml:space="preserve">The Effect of Duration of </w:t>
      </w:r>
      <w:proofErr w:type="spellStart"/>
      <w:r w:rsidRPr="009E6F98">
        <w:t>Amidation</w:t>
      </w:r>
      <w:proofErr w:type="spellEnd"/>
      <w:r w:rsidRPr="009E6F98">
        <w:t xml:space="preserve"> of Fatty Acids with </w:t>
      </w:r>
      <w:proofErr w:type="spellStart"/>
      <w:r w:rsidRPr="009E6F98">
        <w:t>Diethanolamine</w:t>
      </w:r>
      <w:proofErr w:type="spellEnd"/>
      <w:r w:rsidRPr="009E6F98">
        <w:t xml:space="preserve"> on the Surfactant Properties</w:t>
      </w:r>
      <w:r>
        <w:t xml:space="preserve">, </w:t>
      </w:r>
      <w:r w:rsidRPr="009E6F98">
        <w:t>Journal of Surfactants and Detergents</w:t>
      </w:r>
      <w:r>
        <w:t>, 22(3), 641-654.</w:t>
      </w:r>
    </w:p>
    <w:p w14:paraId="22C5CBC5" w14:textId="77777777" w:rsidR="00913CA6" w:rsidRDefault="00913CA6" w:rsidP="00913CA6">
      <w:pPr>
        <w:pStyle w:val="CETReferencetext"/>
      </w:pPr>
      <w:proofErr w:type="spellStart"/>
      <w:r>
        <w:t>Yanovsky</w:t>
      </w:r>
      <w:proofErr w:type="spellEnd"/>
      <w:r>
        <w:t xml:space="preserve"> V. A., Churkin R. A., Andropov M. O., </w:t>
      </w:r>
      <w:proofErr w:type="spellStart"/>
      <w:r>
        <w:t>Kosova</w:t>
      </w:r>
      <w:proofErr w:type="spellEnd"/>
      <w:r>
        <w:t xml:space="preserve"> N. I., 2013, Synthesis and study of properties of emulsifiers for reverse emulsions based on derivatives of acids of tall oil distillate and </w:t>
      </w:r>
      <w:proofErr w:type="spellStart"/>
      <w:r>
        <w:t>ethanolamines</w:t>
      </w:r>
      <w:proofErr w:type="spellEnd"/>
      <w:r>
        <w:t>, Bulletin of the Tomsk State University, 370, 194–199.</w:t>
      </w:r>
      <w:bookmarkStart w:id="0" w:name="_GoBack"/>
      <w:bookmarkEnd w:id="0"/>
    </w:p>
    <w:sectPr w:rsidR="00913CA6"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30106" w14:textId="77777777" w:rsidR="002915F2" w:rsidRDefault="002915F2" w:rsidP="004F5E36">
      <w:r>
        <w:separator/>
      </w:r>
    </w:p>
  </w:endnote>
  <w:endnote w:type="continuationSeparator" w:id="0">
    <w:p w14:paraId="14EDF004" w14:textId="77777777" w:rsidR="002915F2" w:rsidRDefault="002915F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C1E12" w14:textId="77777777" w:rsidR="002915F2" w:rsidRDefault="002915F2" w:rsidP="004F5E36">
      <w:r>
        <w:separator/>
      </w:r>
    </w:p>
  </w:footnote>
  <w:footnote w:type="continuationSeparator" w:id="0">
    <w:p w14:paraId="580A56F5" w14:textId="77777777" w:rsidR="002915F2" w:rsidRDefault="002915F2"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Szmozottlist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Szmozottlist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Szmozottlist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Szmozottlist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Felsorol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Felsorol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Felsorol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Felsorol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Szmozottlist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Felsorol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Egyszertblzat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EE7331A"/>
    <w:multiLevelType w:val="hybridMultilevel"/>
    <w:tmpl w:val="42AC1C74"/>
    <w:lvl w:ilvl="0" w:tplc="040E0001">
      <w:start w:val="1"/>
      <w:numFmt w:val="bullet"/>
      <w:lvlText w:val=""/>
      <w:lvlJc w:val="left"/>
      <w:pPr>
        <w:ind w:left="833" w:hanging="360"/>
      </w:pPr>
      <w:rPr>
        <w:rFonts w:ascii="Symbol" w:hAnsi="Symbol" w:hint="default"/>
      </w:rPr>
    </w:lvl>
    <w:lvl w:ilvl="1" w:tplc="040E0003" w:tentative="1">
      <w:start w:val="1"/>
      <w:numFmt w:val="bullet"/>
      <w:lvlText w:val="o"/>
      <w:lvlJc w:val="left"/>
      <w:pPr>
        <w:ind w:left="1553" w:hanging="360"/>
      </w:pPr>
      <w:rPr>
        <w:rFonts w:ascii="Courier New" w:hAnsi="Courier New" w:cs="Courier New" w:hint="default"/>
      </w:rPr>
    </w:lvl>
    <w:lvl w:ilvl="2" w:tplc="040E0005" w:tentative="1">
      <w:start w:val="1"/>
      <w:numFmt w:val="bullet"/>
      <w:lvlText w:val=""/>
      <w:lvlJc w:val="left"/>
      <w:pPr>
        <w:ind w:left="2273" w:hanging="360"/>
      </w:pPr>
      <w:rPr>
        <w:rFonts w:ascii="Wingdings" w:hAnsi="Wingdings" w:hint="default"/>
      </w:rPr>
    </w:lvl>
    <w:lvl w:ilvl="3" w:tplc="040E0001" w:tentative="1">
      <w:start w:val="1"/>
      <w:numFmt w:val="bullet"/>
      <w:lvlText w:val=""/>
      <w:lvlJc w:val="left"/>
      <w:pPr>
        <w:ind w:left="2993" w:hanging="360"/>
      </w:pPr>
      <w:rPr>
        <w:rFonts w:ascii="Symbol" w:hAnsi="Symbol" w:hint="default"/>
      </w:rPr>
    </w:lvl>
    <w:lvl w:ilvl="4" w:tplc="040E0003" w:tentative="1">
      <w:start w:val="1"/>
      <w:numFmt w:val="bullet"/>
      <w:lvlText w:val="o"/>
      <w:lvlJc w:val="left"/>
      <w:pPr>
        <w:ind w:left="3713" w:hanging="360"/>
      </w:pPr>
      <w:rPr>
        <w:rFonts w:ascii="Courier New" w:hAnsi="Courier New" w:cs="Courier New" w:hint="default"/>
      </w:rPr>
    </w:lvl>
    <w:lvl w:ilvl="5" w:tplc="040E0005" w:tentative="1">
      <w:start w:val="1"/>
      <w:numFmt w:val="bullet"/>
      <w:lvlText w:val=""/>
      <w:lvlJc w:val="left"/>
      <w:pPr>
        <w:ind w:left="4433" w:hanging="360"/>
      </w:pPr>
      <w:rPr>
        <w:rFonts w:ascii="Wingdings" w:hAnsi="Wingdings" w:hint="default"/>
      </w:rPr>
    </w:lvl>
    <w:lvl w:ilvl="6" w:tplc="040E0001" w:tentative="1">
      <w:start w:val="1"/>
      <w:numFmt w:val="bullet"/>
      <w:lvlText w:val=""/>
      <w:lvlJc w:val="left"/>
      <w:pPr>
        <w:ind w:left="5153" w:hanging="360"/>
      </w:pPr>
      <w:rPr>
        <w:rFonts w:ascii="Symbol" w:hAnsi="Symbol" w:hint="default"/>
      </w:rPr>
    </w:lvl>
    <w:lvl w:ilvl="7" w:tplc="040E0003" w:tentative="1">
      <w:start w:val="1"/>
      <w:numFmt w:val="bullet"/>
      <w:lvlText w:val="o"/>
      <w:lvlJc w:val="left"/>
      <w:pPr>
        <w:ind w:left="5873" w:hanging="360"/>
      </w:pPr>
      <w:rPr>
        <w:rFonts w:ascii="Courier New" w:hAnsi="Courier New" w:cs="Courier New" w:hint="default"/>
      </w:rPr>
    </w:lvl>
    <w:lvl w:ilvl="8" w:tplc="040E0005" w:tentative="1">
      <w:start w:val="1"/>
      <w:numFmt w:val="bullet"/>
      <w:lvlText w:val=""/>
      <w:lvlJc w:val="left"/>
      <w:pPr>
        <w:ind w:left="6593" w:hanging="360"/>
      </w:pPr>
      <w:rPr>
        <w:rFonts w:ascii="Wingdings" w:hAnsi="Wingdings" w:hint="default"/>
      </w:r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75D2ED7"/>
    <w:multiLevelType w:val="hybridMultilevel"/>
    <w:tmpl w:val="69AEC0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2"/>
  </w:num>
  <w:num w:numId="14">
    <w:abstractNumId w:val="19"/>
  </w:num>
  <w:num w:numId="15">
    <w:abstractNumId w:val="22"/>
  </w:num>
  <w:num w:numId="16">
    <w:abstractNumId w:val="20"/>
  </w:num>
  <w:num w:numId="17">
    <w:abstractNumId w:val="11"/>
  </w:num>
  <w:num w:numId="18">
    <w:abstractNumId w:val="12"/>
    <w:lvlOverride w:ilvl="0">
      <w:startOverride w:val="1"/>
    </w:lvlOverride>
  </w:num>
  <w:num w:numId="19">
    <w:abstractNumId w:val="17"/>
  </w:num>
  <w:num w:numId="20">
    <w:abstractNumId w:val="16"/>
  </w:num>
  <w:num w:numId="21">
    <w:abstractNumId w:val="14"/>
  </w:num>
  <w:num w:numId="22">
    <w:abstractNumId w:val="13"/>
  </w:num>
  <w:num w:numId="23">
    <w:abstractNumId w:val="2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D50"/>
    <w:rsid w:val="000052FB"/>
    <w:rsid w:val="00005A19"/>
    <w:rsid w:val="000117CB"/>
    <w:rsid w:val="0003148D"/>
    <w:rsid w:val="00031EEC"/>
    <w:rsid w:val="00051566"/>
    <w:rsid w:val="00054288"/>
    <w:rsid w:val="000562A9"/>
    <w:rsid w:val="00062A9A"/>
    <w:rsid w:val="00065058"/>
    <w:rsid w:val="000666A3"/>
    <w:rsid w:val="00086C39"/>
    <w:rsid w:val="000A03B2"/>
    <w:rsid w:val="000A7242"/>
    <w:rsid w:val="000D0268"/>
    <w:rsid w:val="000D34BE"/>
    <w:rsid w:val="000E102F"/>
    <w:rsid w:val="000E36F1"/>
    <w:rsid w:val="000E3A73"/>
    <w:rsid w:val="000E414A"/>
    <w:rsid w:val="000F093C"/>
    <w:rsid w:val="000F6C49"/>
    <w:rsid w:val="000F787B"/>
    <w:rsid w:val="0012091F"/>
    <w:rsid w:val="00126BC2"/>
    <w:rsid w:val="001308B6"/>
    <w:rsid w:val="0013121F"/>
    <w:rsid w:val="00131764"/>
    <w:rsid w:val="00131FE6"/>
    <w:rsid w:val="0013263F"/>
    <w:rsid w:val="001331DF"/>
    <w:rsid w:val="00134DE4"/>
    <w:rsid w:val="0014034D"/>
    <w:rsid w:val="00144D16"/>
    <w:rsid w:val="00145903"/>
    <w:rsid w:val="00146525"/>
    <w:rsid w:val="00150E59"/>
    <w:rsid w:val="00152DE3"/>
    <w:rsid w:val="001555EA"/>
    <w:rsid w:val="001560E8"/>
    <w:rsid w:val="00164CF9"/>
    <w:rsid w:val="001667A6"/>
    <w:rsid w:val="00180989"/>
    <w:rsid w:val="00184AD6"/>
    <w:rsid w:val="001A4AF7"/>
    <w:rsid w:val="001B0349"/>
    <w:rsid w:val="001B1E93"/>
    <w:rsid w:val="001B4A6A"/>
    <w:rsid w:val="001B65C1"/>
    <w:rsid w:val="001C684B"/>
    <w:rsid w:val="001D0CFB"/>
    <w:rsid w:val="001D21AF"/>
    <w:rsid w:val="001D53FC"/>
    <w:rsid w:val="001F1444"/>
    <w:rsid w:val="001F42A5"/>
    <w:rsid w:val="001F63BE"/>
    <w:rsid w:val="001F7B9D"/>
    <w:rsid w:val="00201C93"/>
    <w:rsid w:val="002224B4"/>
    <w:rsid w:val="00225FF5"/>
    <w:rsid w:val="002447EF"/>
    <w:rsid w:val="00251550"/>
    <w:rsid w:val="00263B05"/>
    <w:rsid w:val="0027221A"/>
    <w:rsid w:val="00275B61"/>
    <w:rsid w:val="00280FAF"/>
    <w:rsid w:val="00282656"/>
    <w:rsid w:val="002915F2"/>
    <w:rsid w:val="0029236D"/>
    <w:rsid w:val="00296B83"/>
    <w:rsid w:val="002B4015"/>
    <w:rsid w:val="002B78CE"/>
    <w:rsid w:val="002C2FB6"/>
    <w:rsid w:val="002C7C5F"/>
    <w:rsid w:val="002E5FA7"/>
    <w:rsid w:val="002F3309"/>
    <w:rsid w:val="003008CE"/>
    <w:rsid w:val="003009B7"/>
    <w:rsid w:val="00300E56"/>
    <w:rsid w:val="0030152C"/>
    <w:rsid w:val="0030469C"/>
    <w:rsid w:val="003077DE"/>
    <w:rsid w:val="00321CA6"/>
    <w:rsid w:val="00323763"/>
    <w:rsid w:val="00323C5F"/>
    <w:rsid w:val="003331B1"/>
    <w:rsid w:val="00334C09"/>
    <w:rsid w:val="00355C3D"/>
    <w:rsid w:val="003723D4"/>
    <w:rsid w:val="00381905"/>
    <w:rsid w:val="00384CC8"/>
    <w:rsid w:val="003871FD"/>
    <w:rsid w:val="003A1E30"/>
    <w:rsid w:val="003A2829"/>
    <w:rsid w:val="003A7D1C"/>
    <w:rsid w:val="003B304B"/>
    <w:rsid w:val="003B3146"/>
    <w:rsid w:val="003F015E"/>
    <w:rsid w:val="00400414"/>
    <w:rsid w:val="0041446B"/>
    <w:rsid w:val="00435698"/>
    <w:rsid w:val="0044071E"/>
    <w:rsid w:val="0044329C"/>
    <w:rsid w:val="00446D78"/>
    <w:rsid w:val="00453E24"/>
    <w:rsid w:val="00457456"/>
    <w:rsid w:val="004577FE"/>
    <w:rsid w:val="00457B9C"/>
    <w:rsid w:val="0046164A"/>
    <w:rsid w:val="004628D2"/>
    <w:rsid w:val="00462B79"/>
    <w:rsid w:val="00462DCD"/>
    <w:rsid w:val="004648AD"/>
    <w:rsid w:val="004703A9"/>
    <w:rsid w:val="004742C6"/>
    <w:rsid w:val="004760DE"/>
    <w:rsid w:val="004763D7"/>
    <w:rsid w:val="004838C4"/>
    <w:rsid w:val="004A004E"/>
    <w:rsid w:val="004A24CF"/>
    <w:rsid w:val="004C3D1D"/>
    <w:rsid w:val="004C3D84"/>
    <w:rsid w:val="004C7913"/>
    <w:rsid w:val="004E4DD6"/>
    <w:rsid w:val="004F509F"/>
    <w:rsid w:val="004F5E36"/>
    <w:rsid w:val="00507B47"/>
    <w:rsid w:val="00507BEF"/>
    <w:rsid w:val="00507CC9"/>
    <w:rsid w:val="005119A5"/>
    <w:rsid w:val="005207B4"/>
    <w:rsid w:val="005278B7"/>
    <w:rsid w:val="00530F5F"/>
    <w:rsid w:val="00532016"/>
    <w:rsid w:val="005346C8"/>
    <w:rsid w:val="00543E7D"/>
    <w:rsid w:val="00547A68"/>
    <w:rsid w:val="005531C9"/>
    <w:rsid w:val="00557E00"/>
    <w:rsid w:val="005630D7"/>
    <w:rsid w:val="00570B1E"/>
    <w:rsid w:val="00570C43"/>
    <w:rsid w:val="005B2110"/>
    <w:rsid w:val="005B61E6"/>
    <w:rsid w:val="005C77E1"/>
    <w:rsid w:val="005D668A"/>
    <w:rsid w:val="005D6A2F"/>
    <w:rsid w:val="005E1A82"/>
    <w:rsid w:val="005E794C"/>
    <w:rsid w:val="005E7FAB"/>
    <w:rsid w:val="005F0A28"/>
    <w:rsid w:val="005F0E5E"/>
    <w:rsid w:val="00600535"/>
    <w:rsid w:val="006076BC"/>
    <w:rsid w:val="00610CD6"/>
    <w:rsid w:val="006130E0"/>
    <w:rsid w:val="00620DEE"/>
    <w:rsid w:val="00621F92"/>
    <w:rsid w:val="0062280A"/>
    <w:rsid w:val="00625639"/>
    <w:rsid w:val="00631B33"/>
    <w:rsid w:val="0064184D"/>
    <w:rsid w:val="006422CC"/>
    <w:rsid w:val="00653900"/>
    <w:rsid w:val="00660E3E"/>
    <w:rsid w:val="00662E74"/>
    <w:rsid w:val="00680C23"/>
    <w:rsid w:val="00693766"/>
    <w:rsid w:val="006A3281"/>
    <w:rsid w:val="006B4888"/>
    <w:rsid w:val="006B73D5"/>
    <w:rsid w:val="006C2E45"/>
    <w:rsid w:val="006C359C"/>
    <w:rsid w:val="006C5579"/>
    <w:rsid w:val="006D6E8B"/>
    <w:rsid w:val="006E18FC"/>
    <w:rsid w:val="006E516E"/>
    <w:rsid w:val="006E737D"/>
    <w:rsid w:val="00707DD1"/>
    <w:rsid w:val="00713973"/>
    <w:rsid w:val="00720A24"/>
    <w:rsid w:val="00732386"/>
    <w:rsid w:val="0073514D"/>
    <w:rsid w:val="00736B5D"/>
    <w:rsid w:val="007447F3"/>
    <w:rsid w:val="0075499F"/>
    <w:rsid w:val="007661C8"/>
    <w:rsid w:val="0077098D"/>
    <w:rsid w:val="00774E59"/>
    <w:rsid w:val="007923DF"/>
    <w:rsid w:val="007931FA"/>
    <w:rsid w:val="007A4861"/>
    <w:rsid w:val="007A586E"/>
    <w:rsid w:val="007A7BBA"/>
    <w:rsid w:val="007B0C50"/>
    <w:rsid w:val="007B48F9"/>
    <w:rsid w:val="007C1A43"/>
    <w:rsid w:val="007D0951"/>
    <w:rsid w:val="0080013E"/>
    <w:rsid w:val="00813288"/>
    <w:rsid w:val="008168FC"/>
    <w:rsid w:val="00830996"/>
    <w:rsid w:val="008345F1"/>
    <w:rsid w:val="00836CC4"/>
    <w:rsid w:val="00855AAD"/>
    <w:rsid w:val="00865B07"/>
    <w:rsid w:val="008667EA"/>
    <w:rsid w:val="0087637F"/>
    <w:rsid w:val="0088311A"/>
    <w:rsid w:val="00892AD5"/>
    <w:rsid w:val="008A1512"/>
    <w:rsid w:val="008B6FD4"/>
    <w:rsid w:val="008C765C"/>
    <w:rsid w:val="008D32B9"/>
    <w:rsid w:val="008D433B"/>
    <w:rsid w:val="008D4A16"/>
    <w:rsid w:val="008E060F"/>
    <w:rsid w:val="008E566E"/>
    <w:rsid w:val="0090161A"/>
    <w:rsid w:val="00901EB6"/>
    <w:rsid w:val="0090447E"/>
    <w:rsid w:val="00904C62"/>
    <w:rsid w:val="00913CA6"/>
    <w:rsid w:val="00922BA8"/>
    <w:rsid w:val="00924DAC"/>
    <w:rsid w:val="00927058"/>
    <w:rsid w:val="00942750"/>
    <w:rsid w:val="009450CE"/>
    <w:rsid w:val="009459BB"/>
    <w:rsid w:val="00947179"/>
    <w:rsid w:val="0095164B"/>
    <w:rsid w:val="00954090"/>
    <w:rsid w:val="009573E7"/>
    <w:rsid w:val="00963073"/>
    <w:rsid w:val="00963E05"/>
    <w:rsid w:val="00964A45"/>
    <w:rsid w:val="0096520E"/>
    <w:rsid w:val="00967843"/>
    <w:rsid w:val="00967D54"/>
    <w:rsid w:val="00971028"/>
    <w:rsid w:val="00993B84"/>
    <w:rsid w:val="00996483"/>
    <w:rsid w:val="00996F5A"/>
    <w:rsid w:val="009B041A"/>
    <w:rsid w:val="009B077E"/>
    <w:rsid w:val="009C37C3"/>
    <w:rsid w:val="009C6D81"/>
    <w:rsid w:val="009C7C86"/>
    <w:rsid w:val="009D2FF7"/>
    <w:rsid w:val="009E6F98"/>
    <w:rsid w:val="009E7884"/>
    <w:rsid w:val="009E788A"/>
    <w:rsid w:val="009F0E08"/>
    <w:rsid w:val="00A11535"/>
    <w:rsid w:val="00A17271"/>
    <w:rsid w:val="00A1763D"/>
    <w:rsid w:val="00A17CEC"/>
    <w:rsid w:val="00A207B6"/>
    <w:rsid w:val="00A27EF0"/>
    <w:rsid w:val="00A42361"/>
    <w:rsid w:val="00A50B20"/>
    <w:rsid w:val="00A51390"/>
    <w:rsid w:val="00A60D13"/>
    <w:rsid w:val="00A7223D"/>
    <w:rsid w:val="00A72745"/>
    <w:rsid w:val="00A76EFC"/>
    <w:rsid w:val="00A87D50"/>
    <w:rsid w:val="00A91010"/>
    <w:rsid w:val="00A9588E"/>
    <w:rsid w:val="00A97F29"/>
    <w:rsid w:val="00AA4724"/>
    <w:rsid w:val="00AA702E"/>
    <w:rsid w:val="00AA7D26"/>
    <w:rsid w:val="00AB0964"/>
    <w:rsid w:val="00AB5011"/>
    <w:rsid w:val="00AC7368"/>
    <w:rsid w:val="00AD16B9"/>
    <w:rsid w:val="00AD4DB7"/>
    <w:rsid w:val="00AE377D"/>
    <w:rsid w:val="00AE47D1"/>
    <w:rsid w:val="00AF0EBA"/>
    <w:rsid w:val="00B02C8A"/>
    <w:rsid w:val="00B17997"/>
    <w:rsid w:val="00B17FBD"/>
    <w:rsid w:val="00B26C1D"/>
    <w:rsid w:val="00B315A6"/>
    <w:rsid w:val="00B31813"/>
    <w:rsid w:val="00B33365"/>
    <w:rsid w:val="00B4186A"/>
    <w:rsid w:val="00B50115"/>
    <w:rsid w:val="00B57B36"/>
    <w:rsid w:val="00B57D55"/>
    <w:rsid w:val="00B57E6F"/>
    <w:rsid w:val="00B61564"/>
    <w:rsid w:val="00B619F6"/>
    <w:rsid w:val="00B706E7"/>
    <w:rsid w:val="00B76446"/>
    <w:rsid w:val="00B8686D"/>
    <w:rsid w:val="00B93F69"/>
    <w:rsid w:val="00BB1DDC"/>
    <w:rsid w:val="00BB6CDE"/>
    <w:rsid w:val="00BC30C9"/>
    <w:rsid w:val="00BD077D"/>
    <w:rsid w:val="00BE3E58"/>
    <w:rsid w:val="00C01616"/>
    <w:rsid w:val="00C0162B"/>
    <w:rsid w:val="00C068ED"/>
    <w:rsid w:val="00C135FF"/>
    <w:rsid w:val="00C22E0C"/>
    <w:rsid w:val="00C345B1"/>
    <w:rsid w:val="00C40142"/>
    <w:rsid w:val="00C52C3C"/>
    <w:rsid w:val="00C57182"/>
    <w:rsid w:val="00C57863"/>
    <w:rsid w:val="00C640AF"/>
    <w:rsid w:val="00C655FD"/>
    <w:rsid w:val="00C66AE2"/>
    <w:rsid w:val="00C75407"/>
    <w:rsid w:val="00C7646F"/>
    <w:rsid w:val="00C841C6"/>
    <w:rsid w:val="00C870A8"/>
    <w:rsid w:val="00C94434"/>
    <w:rsid w:val="00C95737"/>
    <w:rsid w:val="00CA01FC"/>
    <w:rsid w:val="00CA0D75"/>
    <w:rsid w:val="00CA1C95"/>
    <w:rsid w:val="00CA5A9C"/>
    <w:rsid w:val="00CC4C20"/>
    <w:rsid w:val="00CD3517"/>
    <w:rsid w:val="00CD5FE2"/>
    <w:rsid w:val="00CE7C68"/>
    <w:rsid w:val="00D02B4C"/>
    <w:rsid w:val="00D040C4"/>
    <w:rsid w:val="00D13302"/>
    <w:rsid w:val="00D17D96"/>
    <w:rsid w:val="00D20AD1"/>
    <w:rsid w:val="00D2582C"/>
    <w:rsid w:val="00D46B7E"/>
    <w:rsid w:val="00D57C84"/>
    <w:rsid w:val="00D6057D"/>
    <w:rsid w:val="00D71640"/>
    <w:rsid w:val="00D76942"/>
    <w:rsid w:val="00D836C5"/>
    <w:rsid w:val="00D84576"/>
    <w:rsid w:val="00DA1399"/>
    <w:rsid w:val="00DA1985"/>
    <w:rsid w:val="00DA24C6"/>
    <w:rsid w:val="00DA4D7B"/>
    <w:rsid w:val="00DD271C"/>
    <w:rsid w:val="00DE264A"/>
    <w:rsid w:val="00DE39BD"/>
    <w:rsid w:val="00DF5072"/>
    <w:rsid w:val="00E02D18"/>
    <w:rsid w:val="00E041E7"/>
    <w:rsid w:val="00E23CA1"/>
    <w:rsid w:val="00E400A8"/>
    <w:rsid w:val="00E409A8"/>
    <w:rsid w:val="00E504BA"/>
    <w:rsid w:val="00E50C12"/>
    <w:rsid w:val="00E65B91"/>
    <w:rsid w:val="00E7209D"/>
    <w:rsid w:val="00E72EAD"/>
    <w:rsid w:val="00E77223"/>
    <w:rsid w:val="00E8528B"/>
    <w:rsid w:val="00E85B94"/>
    <w:rsid w:val="00E978D0"/>
    <w:rsid w:val="00EA4613"/>
    <w:rsid w:val="00EA7F91"/>
    <w:rsid w:val="00EB1523"/>
    <w:rsid w:val="00EC0E49"/>
    <w:rsid w:val="00EC101F"/>
    <w:rsid w:val="00EC1D9F"/>
    <w:rsid w:val="00EC428F"/>
    <w:rsid w:val="00EC60B2"/>
    <w:rsid w:val="00ED3865"/>
    <w:rsid w:val="00EE0131"/>
    <w:rsid w:val="00EE17B0"/>
    <w:rsid w:val="00EE7D22"/>
    <w:rsid w:val="00EF06D9"/>
    <w:rsid w:val="00F1193D"/>
    <w:rsid w:val="00F24682"/>
    <w:rsid w:val="00F3049E"/>
    <w:rsid w:val="00F30C64"/>
    <w:rsid w:val="00F31D79"/>
    <w:rsid w:val="00F32BA2"/>
    <w:rsid w:val="00F32CDB"/>
    <w:rsid w:val="00F54B1E"/>
    <w:rsid w:val="00F565FE"/>
    <w:rsid w:val="00F572D5"/>
    <w:rsid w:val="00F60C8F"/>
    <w:rsid w:val="00F63A70"/>
    <w:rsid w:val="00F63D8C"/>
    <w:rsid w:val="00F72377"/>
    <w:rsid w:val="00F7534E"/>
    <w:rsid w:val="00F93EDF"/>
    <w:rsid w:val="00F97388"/>
    <w:rsid w:val="00FA1802"/>
    <w:rsid w:val="00FA21D0"/>
    <w:rsid w:val="00FA5F5F"/>
    <w:rsid w:val="00FB587B"/>
    <w:rsid w:val="00FB730C"/>
    <w:rsid w:val="00FC2695"/>
    <w:rsid w:val="00FC3E03"/>
    <w:rsid w:val="00FC3FC1"/>
    <w:rsid w:val="00FE54F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Cmsor1">
    <w:name w:val="heading 1"/>
    <w:basedOn w:val="CETHeading1"/>
    <w:next w:val="Norml"/>
    <w:link w:val="Cmsor1Char"/>
    <w:uiPriority w:val="9"/>
    <w:rsid w:val="004F5E36"/>
    <w:pPr>
      <w:tabs>
        <w:tab w:val="clear" w:pos="360"/>
        <w:tab w:val="right" w:pos="7100"/>
      </w:tabs>
      <w:jc w:val="both"/>
      <w:outlineLvl w:val="0"/>
    </w:pPr>
    <w:rPr>
      <w:lang w:val="en-GB"/>
    </w:rPr>
  </w:style>
  <w:style w:type="paragraph" w:styleId="Cmsor2">
    <w:name w:val="heading 2"/>
    <w:basedOn w:val="Norml"/>
    <w:next w:val="Norml"/>
    <w:link w:val="Cmsor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Cmsor9">
    <w:name w:val="heading 9"/>
    <w:basedOn w:val="Norml"/>
    <w:next w:val="Norml"/>
    <w:link w:val="Cmsor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Egyszertblzat1">
    <w:name w:val="Table Simple 1"/>
    <w:basedOn w:val="Normltblzat"/>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Jegyzethivatkozs">
    <w:name w:val="annotation reference"/>
    <w:basedOn w:val="Bekezdsalapbettpusa"/>
    <w:uiPriority w:val="99"/>
    <w:semiHidden/>
    <w:unhideWhenUsed/>
    <w:rsid w:val="004577FE"/>
    <w:rPr>
      <w:sz w:val="16"/>
      <w:szCs w:val="16"/>
    </w:rPr>
  </w:style>
  <w:style w:type="paragraph" w:styleId="Buborkszveg">
    <w:name w:val="Balloon Text"/>
    <w:basedOn w:val="Norml"/>
    <w:link w:val="BuborkszvegChar"/>
    <w:uiPriority w:val="99"/>
    <w:semiHidden/>
    <w:unhideWhenUsed/>
    <w:rsid w:val="000D34BE"/>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D34BE"/>
    <w:rPr>
      <w:rFonts w:ascii="Tahoma" w:hAnsi="Tahoma" w:cs="Tahoma"/>
      <w:sz w:val="16"/>
      <w:szCs w:val="16"/>
    </w:rPr>
  </w:style>
  <w:style w:type="paragraph" w:styleId="Irodalomjegyzk">
    <w:name w:val="Bibliography"/>
    <w:basedOn w:val="CETReferencetext"/>
    <w:uiPriority w:val="37"/>
    <w:unhideWhenUsed/>
    <w:rsid w:val="00631B33"/>
    <w:pPr>
      <w:spacing w:line="240" w:lineRule="auto"/>
      <w:ind w:left="720" w:hanging="720"/>
    </w:pPr>
  </w:style>
  <w:style w:type="paragraph" w:styleId="Szvegtrzs2">
    <w:name w:val="Body Text 2"/>
    <w:basedOn w:val="Norml"/>
    <w:link w:val="Szvegtrzs2Char"/>
    <w:uiPriority w:val="99"/>
    <w:semiHidden/>
    <w:unhideWhenUsed/>
    <w:rsid w:val="0003148D"/>
    <w:pPr>
      <w:spacing w:after="120" w:line="480" w:lineRule="auto"/>
    </w:pPr>
  </w:style>
  <w:style w:type="character" w:customStyle="1" w:styleId="Szvegtrzs2Char">
    <w:name w:val="Szövegtörzs 2 Char"/>
    <w:basedOn w:val="Bekezdsalapbettpusa"/>
    <w:link w:val="Szvegtrzs2"/>
    <w:uiPriority w:val="99"/>
    <w:semiHidden/>
    <w:rsid w:val="0003148D"/>
  </w:style>
  <w:style w:type="paragraph" w:styleId="Szvegtrzs3">
    <w:name w:val="Body Text 3"/>
    <w:basedOn w:val="Norml"/>
    <w:link w:val="Szvegtrzs3Char"/>
    <w:uiPriority w:val="99"/>
    <w:semiHidden/>
    <w:unhideWhenUsed/>
    <w:rsid w:val="0003148D"/>
    <w:pPr>
      <w:spacing w:after="120"/>
    </w:pPr>
    <w:rPr>
      <w:sz w:val="16"/>
      <w:szCs w:val="16"/>
    </w:rPr>
  </w:style>
  <w:style w:type="character" w:customStyle="1" w:styleId="Szvegtrzs3Char">
    <w:name w:val="Szövegtörzs 3 Char"/>
    <w:basedOn w:val="Bekezdsalapbettpusa"/>
    <w:link w:val="Szvegtrzs3"/>
    <w:uiPriority w:val="99"/>
    <w:semiHidden/>
    <w:rsid w:val="0003148D"/>
    <w:rPr>
      <w:sz w:val="16"/>
      <w:szCs w:val="16"/>
    </w:rPr>
  </w:style>
  <w:style w:type="paragraph" w:styleId="Szvegtrzs">
    <w:name w:val="Body Text"/>
    <w:basedOn w:val="Norml"/>
    <w:link w:val="SzvegtrzsChar"/>
    <w:uiPriority w:val="99"/>
    <w:semiHidden/>
    <w:unhideWhenUsed/>
    <w:rsid w:val="0003148D"/>
    <w:pPr>
      <w:spacing w:after="120"/>
    </w:pPr>
  </w:style>
  <w:style w:type="character" w:customStyle="1" w:styleId="SzvegtrzsChar">
    <w:name w:val="Szövegtörzs Char"/>
    <w:basedOn w:val="Bekezdsalapbettpusa"/>
    <w:link w:val="Szvegtrzs"/>
    <w:uiPriority w:val="99"/>
    <w:semiHidden/>
    <w:rsid w:val="0003148D"/>
  </w:style>
  <w:style w:type="paragraph" w:styleId="Dtum">
    <w:name w:val="Date"/>
    <w:basedOn w:val="Norml"/>
    <w:next w:val="Norml"/>
    <w:link w:val="DtumChar"/>
    <w:uiPriority w:val="99"/>
    <w:semiHidden/>
    <w:unhideWhenUsed/>
    <w:rsid w:val="0003148D"/>
  </w:style>
  <w:style w:type="character" w:customStyle="1" w:styleId="DtumChar">
    <w:name w:val="Dátum Char"/>
    <w:basedOn w:val="Bekezdsalapbettpusa"/>
    <w:link w:val="Dtum"/>
    <w:uiPriority w:val="99"/>
    <w:semiHidden/>
    <w:rsid w:val="0003148D"/>
  </w:style>
  <w:style w:type="paragraph" w:styleId="Kpalrs">
    <w:name w:val="caption"/>
    <w:basedOn w:val="Norml"/>
    <w:next w:val="Norml"/>
    <w:uiPriority w:val="35"/>
    <w:semiHidden/>
    <w:unhideWhenUsed/>
    <w:qFormat/>
    <w:rsid w:val="0003148D"/>
    <w:pPr>
      <w:spacing w:line="240" w:lineRule="auto"/>
    </w:pPr>
    <w:rPr>
      <w:b/>
      <w:bCs/>
      <w:color w:val="4F81BD" w:themeColor="accent1"/>
      <w:szCs w:val="18"/>
    </w:rPr>
  </w:style>
  <w:style w:type="paragraph" w:styleId="Lista">
    <w:name w:val="List"/>
    <w:basedOn w:val="Norml"/>
    <w:uiPriority w:val="99"/>
    <w:semiHidden/>
    <w:unhideWhenUsed/>
    <w:rsid w:val="0003148D"/>
    <w:pPr>
      <w:ind w:left="283" w:hanging="283"/>
      <w:contextualSpacing/>
    </w:pPr>
  </w:style>
  <w:style w:type="paragraph" w:styleId="Lista2">
    <w:name w:val="List 2"/>
    <w:basedOn w:val="Norml"/>
    <w:uiPriority w:val="99"/>
    <w:semiHidden/>
    <w:unhideWhenUsed/>
    <w:rsid w:val="0003148D"/>
    <w:pPr>
      <w:ind w:left="566" w:hanging="283"/>
      <w:contextualSpacing/>
    </w:pPr>
  </w:style>
  <w:style w:type="paragraph" w:styleId="Lista3">
    <w:name w:val="List 3"/>
    <w:basedOn w:val="Norml"/>
    <w:uiPriority w:val="99"/>
    <w:semiHidden/>
    <w:unhideWhenUsed/>
    <w:rsid w:val="0003148D"/>
    <w:pPr>
      <w:ind w:left="849" w:hanging="283"/>
      <w:contextualSpacing/>
    </w:pPr>
  </w:style>
  <w:style w:type="paragraph" w:styleId="Lista4">
    <w:name w:val="List 4"/>
    <w:basedOn w:val="Norml"/>
    <w:uiPriority w:val="99"/>
    <w:semiHidden/>
    <w:unhideWhenUsed/>
    <w:rsid w:val="0003148D"/>
    <w:pPr>
      <w:ind w:left="1132" w:hanging="283"/>
      <w:contextualSpacing/>
    </w:pPr>
  </w:style>
  <w:style w:type="paragraph" w:styleId="Lista5">
    <w:name w:val="List 5"/>
    <w:basedOn w:val="Norml"/>
    <w:uiPriority w:val="99"/>
    <w:semiHidden/>
    <w:unhideWhenUsed/>
    <w:rsid w:val="0003148D"/>
    <w:pPr>
      <w:ind w:left="1415" w:hanging="283"/>
      <w:contextualSpacing/>
    </w:pPr>
  </w:style>
  <w:style w:type="paragraph" w:styleId="Listafolytatsa">
    <w:name w:val="List Continue"/>
    <w:basedOn w:val="Norml"/>
    <w:uiPriority w:val="99"/>
    <w:semiHidden/>
    <w:unhideWhenUsed/>
    <w:rsid w:val="0003148D"/>
    <w:pPr>
      <w:spacing w:after="120"/>
      <w:ind w:left="283"/>
      <w:contextualSpacing/>
    </w:pPr>
  </w:style>
  <w:style w:type="paragraph" w:styleId="Listafolytatsa2">
    <w:name w:val="List Continue 2"/>
    <w:basedOn w:val="Norml"/>
    <w:uiPriority w:val="99"/>
    <w:semiHidden/>
    <w:unhideWhenUsed/>
    <w:rsid w:val="0003148D"/>
    <w:pPr>
      <w:spacing w:after="120"/>
      <w:ind w:left="566"/>
      <w:contextualSpacing/>
    </w:pPr>
  </w:style>
  <w:style w:type="paragraph" w:styleId="Listafolytatsa3">
    <w:name w:val="List Continue 3"/>
    <w:basedOn w:val="Norml"/>
    <w:uiPriority w:val="99"/>
    <w:semiHidden/>
    <w:unhideWhenUsed/>
    <w:rsid w:val="0003148D"/>
    <w:pPr>
      <w:spacing w:after="120"/>
      <w:ind w:left="849"/>
      <w:contextualSpacing/>
    </w:pPr>
  </w:style>
  <w:style w:type="paragraph" w:styleId="Listafolytatsa4">
    <w:name w:val="List Continue 4"/>
    <w:basedOn w:val="Norml"/>
    <w:uiPriority w:val="99"/>
    <w:semiHidden/>
    <w:unhideWhenUsed/>
    <w:rsid w:val="0003148D"/>
    <w:pPr>
      <w:spacing w:after="120"/>
      <w:ind w:left="1132"/>
      <w:contextualSpacing/>
    </w:pPr>
  </w:style>
  <w:style w:type="paragraph" w:styleId="Listafolytatsa5">
    <w:name w:val="List Continue 5"/>
    <w:basedOn w:val="Norml"/>
    <w:uiPriority w:val="99"/>
    <w:semiHidden/>
    <w:unhideWhenUsed/>
    <w:rsid w:val="0003148D"/>
    <w:pPr>
      <w:spacing w:after="120"/>
      <w:ind w:left="1415"/>
      <w:contextualSpacing/>
    </w:pPr>
  </w:style>
  <w:style w:type="paragraph" w:styleId="Alrs">
    <w:name w:val="Signature"/>
    <w:basedOn w:val="Norml"/>
    <w:link w:val="AlrsChar"/>
    <w:uiPriority w:val="99"/>
    <w:semiHidden/>
    <w:unhideWhenUsed/>
    <w:rsid w:val="0003148D"/>
    <w:pPr>
      <w:spacing w:line="240" w:lineRule="auto"/>
      <w:ind w:left="4252"/>
    </w:pPr>
  </w:style>
  <w:style w:type="character" w:customStyle="1" w:styleId="AlrsChar">
    <w:name w:val="Aláírás Char"/>
    <w:basedOn w:val="Bekezdsalapbettpusa"/>
    <w:link w:val="Alrs"/>
    <w:uiPriority w:val="99"/>
    <w:semiHidden/>
    <w:rsid w:val="0003148D"/>
  </w:style>
  <w:style w:type="paragraph" w:styleId="E-mail-alrs">
    <w:name w:val="E-mail Signature"/>
    <w:basedOn w:val="Norml"/>
    <w:link w:val="E-mail-alrsChar"/>
    <w:uiPriority w:val="99"/>
    <w:semiHidden/>
    <w:unhideWhenUsed/>
    <w:rsid w:val="0003148D"/>
    <w:pPr>
      <w:spacing w:line="240" w:lineRule="auto"/>
    </w:pPr>
  </w:style>
  <w:style w:type="character" w:customStyle="1" w:styleId="E-mail-alrsChar">
    <w:name w:val="E-mail-aláírás Char"/>
    <w:basedOn w:val="Bekezdsalapbettpusa"/>
    <w:link w:val="E-mail-alrs"/>
    <w:uiPriority w:val="99"/>
    <w:semiHidden/>
    <w:rsid w:val="0003148D"/>
  </w:style>
  <w:style w:type="paragraph" w:styleId="Megszlts">
    <w:name w:val="Salutation"/>
    <w:basedOn w:val="Norml"/>
    <w:next w:val="Norml"/>
    <w:link w:val="MegszltsChar"/>
    <w:uiPriority w:val="99"/>
    <w:semiHidden/>
    <w:unhideWhenUsed/>
    <w:rsid w:val="0003148D"/>
  </w:style>
  <w:style w:type="character" w:customStyle="1" w:styleId="MegszltsChar">
    <w:name w:val="Megszólítás Char"/>
    <w:basedOn w:val="Bekezdsalapbettpusa"/>
    <w:link w:val="Megszlts"/>
    <w:uiPriority w:val="99"/>
    <w:semiHidden/>
    <w:rsid w:val="0003148D"/>
  </w:style>
  <w:style w:type="paragraph" w:styleId="Befejezs">
    <w:name w:val="Closing"/>
    <w:basedOn w:val="Norml"/>
    <w:link w:val="BefejezsChar"/>
    <w:uiPriority w:val="99"/>
    <w:semiHidden/>
    <w:unhideWhenUsed/>
    <w:rsid w:val="0003148D"/>
    <w:pPr>
      <w:spacing w:line="240" w:lineRule="auto"/>
      <w:ind w:left="4252"/>
    </w:pPr>
  </w:style>
  <w:style w:type="character" w:customStyle="1" w:styleId="BefejezsChar">
    <w:name w:val="Befejezés Char"/>
    <w:basedOn w:val="Bekezdsalapbettpusa"/>
    <w:link w:val="Befejezs"/>
    <w:uiPriority w:val="99"/>
    <w:semiHidden/>
    <w:rsid w:val="0003148D"/>
  </w:style>
  <w:style w:type="paragraph" w:styleId="Trgymutat1">
    <w:name w:val="index 1"/>
    <w:basedOn w:val="Norml"/>
    <w:next w:val="Norml"/>
    <w:autoRedefine/>
    <w:uiPriority w:val="99"/>
    <w:semiHidden/>
    <w:unhideWhenUsed/>
    <w:rsid w:val="0003148D"/>
    <w:pPr>
      <w:spacing w:line="240" w:lineRule="auto"/>
      <w:ind w:left="220" w:hanging="220"/>
    </w:pPr>
  </w:style>
  <w:style w:type="paragraph" w:styleId="Trgymutat2">
    <w:name w:val="index 2"/>
    <w:basedOn w:val="Norml"/>
    <w:next w:val="Norml"/>
    <w:autoRedefine/>
    <w:uiPriority w:val="99"/>
    <w:semiHidden/>
    <w:unhideWhenUsed/>
    <w:rsid w:val="0003148D"/>
    <w:pPr>
      <w:spacing w:line="240" w:lineRule="auto"/>
      <w:ind w:left="440" w:hanging="220"/>
    </w:pPr>
  </w:style>
  <w:style w:type="paragraph" w:styleId="Trgymutat3">
    <w:name w:val="index 3"/>
    <w:basedOn w:val="Norml"/>
    <w:next w:val="Norml"/>
    <w:autoRedefine/>
    <w:uiPriority w:val="99"/>
    <w:semiHidden/>
    <w:unhideWhenUsed/>
    <w:rsid w:val="0003148D"/>
    <w:pPr>
      <w:spacing w:line="240" w:lineRule="auto"/>
      <w:ind w:left="660" w:hanging="220"/>
    </w:pPr>
  </w:style>
  <w:style w:type="paragraph" w:styleId="Trgymutat4">
    <w:name w:val="index 4"/>
    <w:basedOn w:val="Norml"/>
    <w:next w:val="Norml"/>
    <w:autoRedefine/>
    <w:uiPriority w:val="99"/>
    <w:semiHidden/>
    <w:unhideWhenUsed/>
    <w:rsid w:val="0003148D"/>
    <w:pPr>
      <w:spacing w:line="240" w:lineRule="auto"/>
      <w:ind w:left="880" w:hanging="220"/>
    </w:pPr>
  </w:style>
  <w:style w:type="paragraph" w:styleId="Trgymutat5">
    <w:name w:val="index 5"/>
    <w:basedOn w:val="Norml"/>
    <w:next w:val="Norml"/>
    <w:autoRedefine/>
    <w:uiPriority w:val="99"/>
    <w:semiHidden/>
    <w:unhideWhenUsed/>
    <w:rsid w:val="0003148D"/>
    <w:pPr>
      <w:spacing w:line="240" w:lineRule="auto"/>
      <w:ind w:left="1100" w:hanging="220"/>
    </w:pPr>
  </w:style>
  <w:style w:type="paragraph" w:styleId="Trgymutat6">
    <w:name w:val="index 6"/>
    <w:basedOn w:val="Norml"/>
    <w:next w:val="Norml"/>
    <w:autoRedefine/>
    <w:uiPriority w:val="99"/>
    <w:semiHidden/>
    <w:unhideWhenUsed/>
    <w:rsid w:val="0003148D"/>
    <w:pPr>
      <w:spacing w:line="240" w:lineRule="auto"/>
      <w:ind w:left="1320" w:hanging="220"/>
    </w:pPr>
  </w:style>
  <w:style w:type="paragraph" w:styleId="Trgymutat7">
    <w:name w:val="index 7"/>
    <w:basedOn w:val="Norml"/>
    <w:next w:val="Norml"/>
    <w:autoRedefine/>
    <w:uiPriority w:val="99"/>
    <w:semiHidden/>
    <w:unhideWhenUsed/>
    <w:rsid w:val="0003148D"/>
    <w:pPr>
      <w:spacing w:line="240" w:lineRule="auto"/>
      <w:ind w:left="1540" w:hanging="220"/>
    </w:pPr>
  </w:style>
  <w:style w:type="paragraph" w:styleId="Trgymutat8">
    <w:name w:val="index 8"/>
    <w:basedOn w:val="Norml"/>
    <w:next w:val="Norml"/>
    <w:autoRedefine/>
    <w:uiPriority w:val="99"/>
    <w:semiHidden/>
    <w:unhideWhenUsed/>
    <w:rsid w:val="0003148D"/>
    <w:pPr>
      <w:spacing w:line="240" w:lineRule="auto"/>
      <w:ind w:left="1760" w:hanging="220"/>
    </w:pPr>
  </w:style>
  <w:style w:type="paragraph" w:styleId="Trgymutat9">
    <w:name w:val="index 9"/>
    <w:basedOn w:val="Norml"/>
    <w:next w:val="Norml"/>
    <w:autoRedefine/>
    <w:uiPriority w:val="99"/>
    <w:semiHidden/>
    <w:unhideWhenUsed/>
    <w:rsid w:val="0003148D"/>
    <w:pPr>
      <w:spacing w:line="240" w:lineRule="auto"/>
      <w:ind w:left="1980" w:hanging="220"/>
    </w:pPr>
  </w:style>
  <w:style w:type="paragraph" w:styleId="brajegyzk">
    <w:name w:val="table of figures"/>
    <w:basedOn w:val="Norml"/>
    <w:next w:val="Norml"/>
    <w:uiPriority w:val="99"/>
    <w:semiHidden/>
    <w:unhideWhenUsed/>
    <w:rsid w:val="0003148D"/>
  </w:style>
  <w:style w:type="paragraph" w:styleId="Hivatkozsjegyzk">
    <w:name w:val="table of authorities"/>
    <w:basedOn w:val="Norml"/>
    <w:next w:val="Norml"/>
    <w:uiPriority w:val="99"/>
    <w:semiHidden/>
    <w:unhideWhenUsed/>
    <w:rsid w:val="0003148D"/>
    <w:pPr>
      <w:ind w:left="220" w:hanging="220"/>
    </w:pPr>
  </w:style>
  <w:style w:type="paragraph" w:styleId="Bortkcm">
    <w:name w:val="envelope address"/>
    <w:basedOn w:val="Norm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cm">
    <w:name w:val="HTML Address"/>
    <w:basedOn w:val="Norml"/>
    <w:link w:val="HTML-cmChar"/>
    <w:uiPriority w:val="99"/>
    <w:semiHidden/>
    <w:unhideWhenUsed/>
    <w:rsid w:val="0003148D"/>
    <w:pPr>
      <w:spacing w:line="240" w:lineRule="auto"/>
    </w:pPr>
    <w:rPr>
      <w:i/>
      <w:iCs/>
    </w:rPr>
  </w:style>
  <w:style w:type="character" w:customStyle="1" w:styleId="HTML-cmChar">
    <w:name w:val="HTML-cím Char"/>
    <w:basedOn w:val="Bekezdsalapbettpusa"/>
    <w:link w:val="HTML-cm"/>
    <w:uiPriority w:val="99"/>
    <w:semiHidden/>
    <w:rsid w:val="0003148D"/>
    <w:rPr>
      <w:i/>
      <w:iCs/>
    </w:rPr>
  </w:style>
  <w:style w:type="paragraph" w:styleId="Feladcmebortkon">
    <w:name w:val="envelope return"/>
    <w:basedOn w:val="Norml"/>
    <w:uiPriority w:val="99"/>
    <w:semiHidden/>
    <w:unhideWhenUsed/>
    <w:rsid w:val="0003148D"/>
    <w:pPr>
      <w:spacing w:line="240" w:lineRule="auto"/>
    </w:pPr>
    <w:rPr>
      <w:rFonts w:asciiTheme="majorHAnsi" w:eastAsiaTheme="majorEastAsia" w:hAnsiTheme="majorHAnsi" w:cstheme="majorBidi"/>
    </w:rPr>
  </w:style>
  <w:style w:type="paragraph" w:styleId="zenetfej">
    <w:name w:val="Message Header"/>
    <w:basedOn w:val="Norml"/>
    <w:link w:val="zenetfej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enetfejChar">
    <w:name w:val="Üzenetfej Char"/>
    <w:basedOn w:val="Bekezdsalapbettpusa"/>
    <w:link w:val="zenetfej"/>
    <w:uiPriority w:val="99"/>
    <w:semiHidden/>
    <w:rsid w:val="0003148D"/>
    <w:rPr>
      <w:rFonts w:asciiTheme="majorHAnsi" w:eastAsiaTheme="majorEastAsia" w:hAnsiTheme="majorHAnsi" w:cstheme="majorBidi"/>
      <w:sz w:val="24"/>
      <w:szCs w:val="24"/>
      <w:shd w:val="pct20" w:color="auto" w:fill="auto"/>
    </w:rPr>
  </w:style>
  <w:style w:type="paragraph" w:styleId="Megjegyzsfej">
    <w:name w:val="Note Heading"/>
    <w:basedOn w:val="Norml"/>
    <w:next w:val="Norml"/>
    <w:link w:val="MegjegyzsfejChar"/>
    <w:uiPriority w:val="99"/>
    <w:semiHidden/>
    <w:unhideWhenUsed/>
    <w:rsid w:val="0003148D"/>
    <w:pPr>
      <w:spacing w:line="240" w:lineRule="auto"/>
    </w:pPr>
  </w:style>
  <w:style w:type="character" w:customStyle="1" w:styleId="MegjegyzsfejChar">
    <w:name w:val="Megjegyzésfej Char"/>
    <w:basedOn w:val="Bekezdsalapbettpusa"/>
    <w:link w:val="Megjegyzsfej"/>
    <w:uiPriority w:val="99"/>
    <w:semiHidden/>
    <w:rsid w:val="0003148D"/>
  </w:style>
  <w:style w:type="paragraph" w:styleId="Dokumentumtrkp">
    <w:name w:val="Document Map"/>
    <w:basedOn w:val="Norml"/>
    <w:link w:val="DokumentumtrkpChar"/>
    <w:uiPriority w:val="99"/>
    <w:semiHidden/>
    <w:unhideWhenUsed/>
    <w:rsid w:val="0003148D"/>
    <w:pPr>
      <w:spacing w:line="240" w:lineRule="auto"/>
    </w:pPr>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03148D"/>
    <w:rPr>
      <w:rFonts w:ascii="Tahoma" w:hAnsi="Tahoma" w:cs="Tahoma"/>
      <w:sz w:val="16"/>
      <w:szCs w:val="16"/>
    </w:rPr>
  </w:style>
  <w:style w:type="paragraph" w:styleId="NormlWeb">
    <w:name w:val="Normal (Web)"/>
    <w:basedOn w:val="Norml"/>
    <w:uiPriority w:val="99"/>
    <w:semiHidden/>
    <w:unhideWhenUsed/>
    <w:rsid w:val="0003148D"/>
    <w:rPr>
      <w:sz w:val="24"/>
      <w:szCs w:val="24"/>
    </w:rPr>
  </w:style>
  <w:style w:type="paragraph" w:styleId="Szmozottlista">
    <w:name w:val="List Number"/>
    <w:basedOn w:val="Norml"/>
    <w:uiPriority w:val="99"/>
    <w:semiHidden/>
    <w:unhideWhenUsed/>
    <w:rsid w:val="0003148D"/>
    <w:pPr>
      <w:numPr>
        <w:numId w:val="2"/>
      </w:numPr>
      <w:contextualSpacing/>
    </w:pPr>
  </w:style>
  <w:style w:type="paragraph" w:styleId="Szmozottlista2">
    <w:name w:val="List Number 2"/>
    <w:basedOn w:val="Norml"/>
    <w:uiPriority w:val="99"/>
    <w:semiHidden/>
    <w:unhideWhenUsed/>
    <w:rsid w:val="0003148D"/>
    <w:pPr>
      <w:numPr>
        <w:numId w:val="3"/>
      </w:numPr>
      <w:contextualSpacing/>
    </w:pPr>
  </w:style>
  <w:style w:type="paragraph" w:styleId="Szmozottlista3">
    <w:name w:val="List Number 3"/>
    <w:basedOn w:val="Norml"/>
    <w:uiPriority w:val="99"/>
    <w:semiHidden/>
    <w:unhideWhenUsed/>
    <w:rsid w:val="0003148D"/>
    <w:pPr>
      <w:numPr>
        <w:numId w:val="4"/>
      </w:numPr>
      <w:contextualSpacing/>
    </w:pPr>
  </w:style>
  <w:style w:type="paragraph" w:styleId="Szmozottlista4">
    <w:name w:val="List Number 4"/>
    <w:basedOn w:val="Norml"/>
    <w:uiPriority w:val="99"/>
    <w:semiHidden/>
    <w:unhideWhenUsed/>
    <w:rsid w:val="0003148D"/>
    <w:pPr>
      <w:numPr>
        <w:numId w:val="5"/>
      </w:numPr>
      <w:contextualSpacing/>
    </w:pPr>
  </w:style>
  <w:style w:type="paragraph" w:styleId="Szmozottlista5">
    <w:name w:val="List Number 5"/>
    <w:basedOn w:val="Norml"/>
    <w:uiPriority w:val="99"/>
    <w:semiHidden/>
    <w:unhideWhenUsed/>
    <w:rsid w:val="0003148D"/>
    <w:pPr>
      <w:numPr>
        <w:numId w:val="6"/>
      </w:numPr>
      <w:contextualSpacing/>
    </w:pPr>
  </w:style>
  <w:style w:type="paragraph" w:styleId="HTML-kntformzott">
    <w:name w:val="HTML Preformatted"/>
    <w:basedOn w:val="Norml"/>
    <w:link w:val="HTML-kntformzottChar"/>
    <w:uiPriority w:val="99"/>
    <w:semiHidden/>
    <w:unhideWhenUsed/>
    <w:rsid w:val="0003148D"/>
    <w:pPr>
      <w:spacing w:line="240" w:lineRule="auto"/>
    </w:pPr>
    <w:rPr>
      <w:rFonts w:ascii="Consolas" w:hAnsi="Consolas" w:cs="Consolas"/>
    </w:rPr>
  </w:style>
  <w:style w:type="character" w:customStyle="1" w:styleId="HTML-kntformzottChar">
    <w:name w:val="HTML-ként formázott Char"/>
    <w:basedOn w:val="Bekezdsalapbettpusa"/>
    <w:link w:val="HTML-kntformzott"/>
    <w:uiPriority w:val="99"/>
    <w:semiHidden/>
    <w:rsid w:val="0003148D"/>
    <w:rPr>
      <w:rFonts w:ascii="Consolas" w:hAnsi="Consolas" w:cs="Consolas"/>
      <w:sz w:val="20"/>
      <w:szCs w:val="20"/>
    </w:rPr>
  </w:style>
  <w:style w:type="paragraph" w:styleId="Szvegtrzselssora">
    <w:name w:val="Body Text First Indent"/>
    <w:basedOn w:val="Szvegtrzs"/>
    <w:link w:val="SzvegtrzselssoraChar"/>
    <w:uiPriority w:val="99"/>
    <w:semiHidden/>
    <w:unhideWhenUsed/>
    <w:rsid w:val="0003148D"/>
    <w:pPr>
      <w:spacing w:after="200"/>
      <w:ind w:firstLine="360"/>
    </w:pPr>
  </w:style>
  <w:style w:type="character" w:customStyle="1" w:styleId="SzvegtrzselssoraChar">
    <w:name w:val="Szövegtörzs első sora Char"/>
    <w:basedOn w:val="SzvegtrzsChar"/>
    <w:link w:val="Szvegtrzselssora"/>
    <w:uiPriority w:val="99"/>
    <w:semiHidden/>
    <w:rsid w:val="0003148D"/>
  </w:style>
  <w:style w:type="paragraph" w:styleId="Szvegtrzsbehzssal">
    <w:name w:val="Body Text Indent"/>
    <w:basedOn w:val="Norml"/>
    <w:link w:val="SzvegtrzsbehzssalChar"/>
    <w:uiPriority w:val="99"/>
    <w:semiHidden/>
    <w:unhideWhenUsed/>
    <w:rsid w:val="0003148D"/>
    <w:pPr>
      <w:spacing w:after="120"/>
      <w:ind w:left="283"/>
    </w:pPr>
  </w:style>
  <w:style w:type="character" w:customStyle="1" w:styleId="SzvegtrzsbehzssalChar">
    <w:name w:val="Szövegtörzs behúzással Char"/>
    <w:basedOn w:val="Bekezdsalapbettpusa"/>
    <w:link w:val="Szvegtrzsbehzssal"/>
    <w:uiPriority w:val="99"/>
    <w:semiHidden/>
    <w:rsid w:val="0003148D"/>
  </w:style>
  <w:style w:type="paragraph" w:styleId="Szvegtrzselssora2">
    <w:name w:val="Body Text First Indent 2"/>
    <w:basedOn w:val="Szvegtrzsbehzssal"/>
    <w:link w:val="Szvegtrzselssora2Char"/>
    <w:uiPriority w:val="99"/>
    <w:semiHidden/>
    <w:unhideWhenUsed/>
    <w:rsid w:val="0003148D"/>
    <w:pPr>
      <w:spacing w:after="200"/>
      <w:ind w:left="360" w:firstLine="360"/>
    </w:pPr>
  </w:style>
  <w:style w:type="character" w:customStyle="1" w:styleId="Szvegtrzselssora2Char">
    <w:name w:val="Szövegtörzs első sora 2 Char"/>
    <w:basedOn w:val="SzvegtrzsbehzssalChar"/>
    <w:link w:val="Szvegtrzselssora2"/>
    <w:uiPriority w:val="99"/>
    <w:semiHidden/>
    <w:rsid w:val="0003148D"/>
  </w:style>
  <w:style w:type="paragraph" w:styleId="Felsorols">
    <w:name w:val="List Bullet"/>
    <w:basedOn w:val="Norml"/>
    <w:uiPriority w:val="99"/>
    <w:semiHidden/>
    <w:unhideWhenUsed/>
    <w:rsid w:val="0003148D"/>
    <w:pPr>
      <w:numPr>
        <w:numId w:val="7"/>
      </w:numPr>
      <w:contextualSpacing/>
    </w:pPr>
  </w:style>
  <w:style w:type="paragraph" w:styleId="Felsorols2">
    <w:name w:val="List Bullet 2"/>
    <w:basedOn w:val="Norml"/>
    <w:uiPriority w:val="99"/>
    <w:semiHidden/>
    <w:unhideWhenUsed/>
    <w:rsid w:val="0003148D"/>
    <w:pPr>
      <w:numPr>
        <w:numId w:val="8"/>
      </w:numPr>
      <w:contextualSpacing/>
    </w:pPr>
  </w:style>
  <w:style w:type="paragraph" w:styleId="Felsorols3">
    <w:name w:val="List Bullet 3"/>
    <w:basedOn w:val="Norml"/>
    <w:uiPriority w:val="99"/>
    <w:semiHidden/>
    <w:unhideWhenUsed/>
    <w:rsid w:val="0003148D"/>
    <w:pPr>
      <w:numPr>
        <w:numId w:val="9"/>
      </w:numPr>
      <w:contextualSpacing/>
    </w:pPr>
  </w:style>
  <w:style w:type="paragraph" w:styleId="Felsorols4">
    <w:name w:val="List Bullet 4"/>
    <w:basedOn w:val="Norml"/>
    <w:uiPriority w:val="99"/>
    <w:semiHidden/>
    <w:unhideWhenUsed/>
    <w:rsid w:val="0003148D"/>
    <w:pPr>
      <w:numPr>
        <w:numId w:val="10"/>
      </w:numPr>
      <w:contextualSpacing/>
    </w:pPr>
  </w:style>
  <w:style w:type="paragraph" w:styleId="Felsorols5">
    <w:name w:val="List Bullet 5"/>
    <w:basedOn w:val="Norml"/>
    <w:uiPriority w:val="99"/>
    <w:semiHidden/>
    <w:unhideWhenUsed/>
    <w:rsid w:val="0003148D"/>
    <w:pPr>
      <w:numPr>
        <w:numId w:val="11"/>
      </w:numPr>
      <w:contextualSpacing/>
    </w:pPr>
  </w:style>
  <w:style w:type="paragraph" w:styleId="Szvegtrzsbehzssal2">
    <w:name w:val="Body Text Indent 2"/>
    <w:basedOn w:val="Norml"/>
    <w:link w:val="Szvegtrzsbehzssal2Char"/>
    <w:uiPriority w:val="99"/>
    <w:semiHidden/>
    <w:unhideWhenUsed/>
    <w:rsid w:val="0003148D"/>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03148D"/>
  </w:style>
  <w:style w:type="paragraph" w:styleId="Szvegtrzsbehzssal3">
    <w:name w:val="Body Text Indent 3"/>
    <w:basedOn w:val="Norml"/>
    <w:link w:val="Szvegtrzsbehzssal3Char"/>
    <w:uiPriority w:val="99"/>
    <w:semiHidden/>
    <w:unhideWhenUsed/>
    <w:rsid w:val="0003148D"/>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03148D"/>
    <w:rPr>
      <w:sz w:val="16"/>
      <w:szCs w:val="16"/>
    </w:rPr>
  </w:style>
  <w:style w:type="paragraph" w:styleId="Normlbehzs">
    <w:name w:val="Normal Indent"/>
    <w:basedOn w:val="Norml"/>
    <w:uiPriority w:val="99"/>
    <w:semiHidden/>
    <w:unhideWhenUsed/>
    <w:rsid w:val="0003148D"/>
    <w:pPr>
      <w:ind w:left="720"/>
    </w:pPr>
  </w:style>
  <w:style w:type="paragraph" w:styleId="Jegyzetszveg">
    <w:name w:val="annotation text"/>
    <w:basedOn w:val="Norml"/>
    <w:link w:val="JegyzetszvegChar"/>
    <w:uiPriority w:val="99"/>
    <w:unhideWhenUsed/>
    <w:rsid w:val="0003148D"/>
    <w:pPr>
      <w:spacing w:line="240" w:lineRule="auto"/>
    </w:pPr>
  </w:style>
  <w:style w:type="character" w:customStyle="1" w:styleId="JegyzetszvegChar">
    <w:name w:val="Jegyzetszöveg Char"/>
    <w:basedOn w:val="Bekezdsalapbettpusa"/>
    <w:link w:val="Jegyzetszveg"/>
    <w:uiPriority w:val="99"/>
    <w:rsid w:val="0003148D"/>
    <w:rPr>
      <w:sz w:val="20"/>
      <w:szCs w:val="20"/>
    </w:rPr>
  </w:style>
  <w:style w:type="paragraph" w:styleId="Megjegyzstrgya">
    <w:name w:val="annotation subject"/>
    <w:basedOn w:val="Jegyzetszveg"/>
    <w:next w:val="Jegyzetszveg"/>
    <w:link w:val="MegjegyzstrgyaChar"/>
    <w:uiPriority w:val="99"/>
    <w:semiHidden/>
    <w:unhideWhenUsed/>
    <w:rsid w:val="0003148D"/>
    <w:rPr>
      <w:b/>
      <w:bCs/>
    </w:rPr>
  </w:style>
  <w:style w:type="character" w:customStyle="1" w:styleId="MegjegyzstrgyaChar">
    <w:name w:val="Megjegyzés tárgya Char"/>
    <w:basedOn w:val="JegyzetszvegChar"/>
    <w:link w:val="Megjegyzstrgya"/>
    <w:uiPriority w:val="99"/>
    <w:semiHidden/>
    <w:rsid w:val="0003148D"/>
    <w:rPr>
      <w:b/>
      <w:bCs/>
      <w:sz w:val="20"/>
      <w:szCs w:val="20"/>
    </w:rPr>
  </w:style>
  <w:style w:type="paragraph" w:styleId="TJ1">
    <w:name w:val="toc 1"/>
    <w:basedOn w:val="Norml"/>
    <w:next w:val="Norml"/>
    <w:autoRedefine/>
    <w:uiPriority w:val="39"/>
    <w:semiHidden/>
    <w:unhideWhenUsed/>
    <w:rsid w:val="0003148D"/>
    <w:pPr>
      <w:spacing w:after="100"/>
    </w:pPr>
  </w:style>
  <w:style w:type="paragraph" w:styleId="TJ2">
    <w:name w:val="toc 2"/>
    <w:basedOn w:val="Norml"/>
    <w:next w:val="Norml"/>
    <w:autoRedefine/>
    <w:uiPriority w:val="39"/>
    <w:semiHidden/>
    <w:unhideWhenUsed/>
    <w:rsid w:val="0003148D"/>
    <w:pPr>
      <w:spacing w:after="100"/>
      <w:ind w:left="220"/>
    </w:pPr>
  </w:style>
  <w:style w:type="paragraph" w:styleId="TJ3">
    <w:name w:val="toc 3"/>
    <w:basedOn w:val="Norml"/>
    <w:next w:val="Norml"/>
    <w:autoRedefine/>
    <w:uiPriority w:val="39"/>
    <w:semiHidden/>
    <w:unhideWhenUsed/>
    <w:rsid w:val="0003148D"/>
    <w:pPr>
      <w:spacing w:after="100"/>
      <w:ind w:left="440"/>
    </w:pPr>
  </w:style>
  <w:style w:type="paragraph" w:styleId="TJ4">
    <w:name w:val="toc 4"/>
    <w:basedOn w:val="Norml"/>
    <w:next w:val="Norml"/>
    <w:autoRedefine/>
    <w:uiPriority w:val="39"/>
    <w:semiHidden/>
    <w:unhideWhenUsed/>
    <w:rsid w:val="0003148D"/>
    <w:pPr>
      <w:spacing w:after="100"/>
      <w:ind w:left="660"/>
    </w:pPr>
  </w:style>
  <w:style w:type="paragraph" w:styleId="TJ5">
    <w:name w:val="toc 5"/>
    <w:basedOn w:val="Norml"/>
    <w:next w:val="Norml"/>
    <w:autoRedefine/>
    <w:uiPriority w:val="39"/>
    <w:semiHidden/>
    <w:unhideWhenUsed/>
    <w:rsid w:val="0003148D"/>
    <w:pPr>
      <w:spacing w:after="100"/>
      <w:ind w:left="880"/>
    </w:pPr>
  </w:style>
  <w:style w:type="paragraph" w:styleId="TJ6">
    <w:name w:val="toc 6"/>
    <w:basedOn w:val="Norml"/>
    <w:next w:val="Norml"/>
    <w:autoRedefine/>
    <w:uiPriority w:val="39"/>
    <w:semiHidden/>
    <w:unhideWhenUsed/>
    <w:rsid w:val="0003148D"/>
    <w:pPr>
      <w:spacing w:after="100"/>
      <w:ind w:left="1100"/>
    </w:pPr>
  </w:style>
  <w:style w:type="paragraph" w:styleId="TJ7">
    <w:name w:val="toc 7"/>
    <w:basedOn w:val="Norml"/>
    <w:next w:val="Norml"/>
    <w:autoRedefine/>
    <w:uiPriority w:val="39"/>
    <w:semiHidden/>
    <w:unhideWhenUsed/>
    <w:rsid w:val="0003148D"/>
    <w:pPr>
      <w:spacing w:after="100"/>
      <w:ind w:left="1320"/>
    </w:pPr>
  </w:style>
  <w:style w:type="paragraph" w:styleId="TJ8">
    <w:name w:val="toc 8"/>
    <w:basedOn w:val="Norml"/>
    <w:next w:val="Norml"/>
    <w:autoRedefine/>
    <w:uiPriority w:val="39"/>
    <w:semiHidden/>
    <w:unhideWhenUsed/>
    <w:rsid w:val="0003148D"/>
    <w:pPr>
      <w:spacing w:after="100"/>
      <w:ind w:left="1540"/>
    </w:pPr>
  </w:style>
  <w:style w:type="paragraph" w:styleId="TJ9">
    <w:name w:val="toc 9"/>
    <w:basedOn w:val="Norml"/>
    <w:next w:val="Norml"/>
    <w:autoRedefine/>
    <w:uiPriority w:val="39"/>
    <w:semiHidden/>
    <w:unhideWhenUsed/>
    <w:rsid w:val="0003148D"/>
    <w:pPr>
      <w:spacing w:after="100"/>
      <w:ind w:left="1760"/>
    </w:pPr>
  </w:style>
  <w:style w:type="paragraph" w:styleId="Szvegblokk">
    <w:name w:val="Block Text"/>
    <w:basedOn w:val="Norm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szvege">
    <w:name w:val="macro"/>
    <w:link w:val="Makrszvege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szvegeChar">
    <w:name w:val="Makró szövege Char"/>
    <w:basedOn w:val="Bekezdsalapbettpusa"/>
    <w:link w:val="Makrszvege"/>
    <w:uiPriority w:val="99"/>
    <w:semiHidden/>
    <w:rsid w:val="0003148D"/>
    <w:rPr>
      <w:rFonts w:ascii="Consolas" w:hAnsi="Consolas" w:cs="Consolas"/>
      <w:sz w:val="20"/>
      <w:szCs w:val="20"/>
    </w:rPr>
  </w:style>
  <w:style w:type="paragraph" w:styleId="Csakszveg">
    <w:name w:val="Plain Text"/>
    <w:basedOn w:val="Norml"/>
    <w:link w:val="CsakszvegChar"/>
    <w:uiPriority w:val="99"/>
    <w:semiHidden/>
    <w:unhideWhenUsed/>
    <w:rsid w:val="0003148D"/>
    <w:pPr>
      <w:spacing w:line="240" w:lineRule="auto"/>
    </w:pPr>
    <w:rPr>
      <w:rFonts w:ascii="Consolas" w:hAnsi="Consolas" w:cs="Consolas"/>
      <w:sz w:val="21"/>
      <w:szCs w:val="21"/>
    </w:rPr>
  </w:style>
  <w:style w:type="character" w:customStyle="1" w:styleId="CsakszvegChar">
    <w:name w:val="Csak szöveg Char"/>
    <w:basedOn w:val="Bekezdsalapbettpusa"/>
    <w:link w:val="Csakszveg"/>
    <w:uiPriority w:val="99"/>
    <w:semiHidden/>
    <w:rsid w:val="0003148D"/>
    <w:rPr>
      <w:rFonts w:ascii="Consolas" w:hAnsi="Consolas" w:cs="Consolas"/>
      <w:sz w:val="21"/>
      <w:szCs w:val="21"/>
    </w:rPr>
  </w:style>
  <w:style w:type="paragraph" w:styleId="Lbjegyzetszveg">
    <w:name w:val="footnote text"/>
    <w:basedOn w:val="Norml"/>
    <w:link w:val="LbjegyzetszvegChar"/>
    <w:uiPriority w:val="99"/>
    <w:semiHidden/>
    <w:unhideWhenUsed/>
    <w:rsid w:val="0003148D"/>
    <w:pPr>
      <w:spacing w:line="240" w:lineRule="auto"/>
    </w:pPr>
  </w:style>
  <w:style w:type="character" w:customStyle="1" w:styleId="LbjegyzetszvegChar">
    <w:name w:val="Lábjegyzetszöveg Char"/>
    <w:basedOn w:val="Bekezdsalapbettpusa"/>
    <w:link w:val="Lbjegyzetszveg"/>
    <w:uiPriority w:val="99"/>
    <w:semiHidden/>
    <w:rsid w:val="0003148D"/>
    <w:rPr>
      <w:sz w:val="20"/>
      <w:szCs w:val="20"/>
    </w:rPr>
  </w:style>
  <w:style w:type="paragraph" w:styleId="Vgjegyzetszvege">
    <w:name w:val="endnote text"/>
    <w:basedOn w:val="Norml"/>
    <w:link w:val="VgjegyzetszvegeChar"/>
    <w:uiPriority w:val="99"/>
    <w:semiHidden/>
    <w:unhideWhenUsed/>
    <w:rsid w:val="0003148D"/>
    <w:pPr>
      <w:spacing w:line="240" w:lineRule="auto"/>
    </w:pPr>
  </w:style>
  <w:style w:type="character" w:customStyle="1" w:styleId="VgjegyzetszvegeChar">
    <w:name w:val="Végjegyzet szövege Char"/>
    <w:basedOn w:val="Bekezdsalapbettpusa"/>
    <w:link w:val="Vgjegyzetszvege"/>
    <w:uiPriority w:val="99"/>
    <w:semiHidden/>
    <w:rsid w:val="0003148D"/>
    <w:rPr>
      <w:sz w:val="20"/>
      <w:szCs w:val="20"/>
    </w:rPr>
  </w:style>
  <w:style w:type="character" w:customStyle="1" w:styleId="Cmsor1Char">
    <w:name w:val="Címsor 1 Char"/>
    <w:basedOn w:val="Bekezdsalapbettpusa"/>
    <w:link w:val="Cmsor1"/>
    <w:uiPriority w:val="9"/>
    <w:rsid w:val="004F5E36"/>
    <w:rPr>
      <w:rFonts w:ascii="Arial" w:eastAsia="Times New Roman" w:hAnsi="Arial" w:cs="Times New Roman"/>
      <w:b/>
      <w:sz w:val="20"/>
      <w:szCs w:val="20"/>
      <w:lang w:val="en-GB"/>
    </w:rPr>
  </w:style>
  <w:style w:type="character" w:customStyle="1" w:styleId="Cmsor2Char">
    <w:name w:val="Címsor 2 Char"/>
    <w:basedOn w:val="Bekezdsalapbettpusa"/>
    <w:link w:val="Cmsor2"/>
    <w:uiPriority w:val="9"/>
    <w:semiHidden/>
    <w:rsid w:val="0003148D"/>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semiHidden/>
    <w:rsid w:val="0003148D"/>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semiHidden/>
    <w:rsid w:val="0003148D"/>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rsid w:val="0003148D"/>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rsid w:val="0003148D"/>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03148D"/>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uiPriority w:val="9"/>
    <w:semiHidden/>
    <w:rsid w:val="0003148D"/>
    <w:rPr>
      <w:rFonts w:asciiTheme="majorHAnsi" w:eastAsiaTheme="majorEastAsia" w:hAnsiTheme="majorHAnsi" w:cstheme="majorBidi"/>
      <w:i/>
      <w:iCs/>
      <w:color w:val="404040" w:themeColor="text1" w:themeTint="BF"/>
      <w:sz w:val="20"/>
      <w:szCs w:val="20"/>
    </w:rPr>
  </w:style>
  <w:style w:type="paragraph" w:styleId="Trgymutatcm">
    <w:name w:val="index heading"/>
    <w:basedOn w:val="Norml"/>
    <w:next w:val="Trgymutat1"/>
    <w:uiPriority w:val="99"/>
    <w:semiHidden/>
    <w:unhideWhenUsed/>
    <w:rsid w:val="0003148D"/>
    <w:rPr>
      <w:rFonts w:asciiTheme="majorHAnsi" w:eastAsiaTheme="majorEastAsia" w:hAnsiTheme="majorHAnsi" w:cstheme="majorBidi"/>
      <w:b/>
      <w:bCs/>
    </w:rPr>
  </w:style>
  <w:style w:type="paragraph" w:styleId="Hivatkozsjegyzk-fej">
    <w:name w:val="toa heading"/>
    <w:basedOn w:val="Norml"/>
    <w:next w:val="Norml"/>
    <w:uiPriority w:val="99"/>
    <w:semiHidden/>
    <w:unhideWhenUsed/>
    <w:rsid w:val="0003148D"/>
    <w:pPr>
      <w:spacing w:before="120"/>
    </w:pPr>
    <w:rPr>
      <w:rFonts w:asciiTheme="majorHAnsi" w:eastAsiaTheme="majorEastAsia" w:hAnsiTheme="majorHAnsi" w:cstheme="majorBidi"/>
      <w:b/>
      <w:bCs/>
      <w:sz w:val="24"/>
      <w:szCs w:val="24"/>
    </w:rPr>
  </w:style>
  <w:style w:type="paragraph" w:styleId="Tartalomjegyzkcmsora">
    <w:name w:val="TOC Heading"/>
    <w:basedOn w:val="Cmsor1"/>
    <w:next w:val="Norm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Bekezdsalapbettpusa"/>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lfej">
    <w:name w:val="header"/>
    <w:basedOn w:val="Norml"/>
    <w:link w:val="lfejChar"/>
    <w:uiPriority w:val="99"/>
    <w:unhideWhenUsed/>
    <w:rsid w:val="005278B7"/>
    <w:pPr>
      <w:tabs>
        <w:tab w:val="clear" w:pos="7100"/>
        <w:tab w:val="center" w:pos="4819"/>
        <w:tab w:val="right" w:pos="9638"/>
      </w:tabs>
      <w:spacing w:line="240" w:lineRule="auto"/>
    </w:pPr>
  </w:style>
  <w:style w:type="character" w:customStyle="1" w:styleId="lfejChar">
    <w:name w:val="Élőfej Char"/>
    <w:basedOn w:val="Bekezdsalapbettpusa"/>
    <w:link w:val="lfej"/>
    <w:uiPriority w:val="99"/>
    <w:rsid w:val="005278B7"/>
    <w:rPr>
      <w:rFonts w:ascii="Arial" w:eastAsia="Times New Roman" w:hAnsi="Arial" w:cs="Times New Roman"/>
      <w:sz w:val="18"/>
      <w:szCs w:val="20"/>
      <w:lang w:val="en-GB"/>
    </w:rPr>
  </w:style>
  <w:style w:type="paragraph" w:styleId="llb">
    <w:name w:val="footer"/>
    <w:basedOn w:val="Norml"/>
    <w:link w:val="llbChar"/>
    <w:uiPriority w:val="99"/>
    <w:unhideWhenUsed/>
    <w:rsid w:val="005278B7"/>
    <w:pPr>
      <w:tabs>
        <w:tab w:val="clear" w:pos="7100"/>
        <w:tab w:val="center" w:pos="4819"/>
        <w:tab w:val="right" w:pos="9638"/>
      </w:tabs>
      <w:spacing w:line="240" w:lineRule="auto"/>
    </w:pPr>
  </w:style>
  <w:style w:type="character" w:customStyle="1" w:styleId="llbChar">
    <w:name w:val="Élőláb Char"/>
    <w:basedOn w:val="Bekezdsalapbettpusa"/>
    <w:link w:val="llb"/>
    <w:uiPriority w:val="99"/>
    <w:rsid w:val="005278B7"/>
    <w:rPr>
      <w:rFonts w:ascii="Arial" w:eastAsia="Times New Roman" w:hAnsi="Arial" w:cs="Times New Roman"/>
      <w:sz w:val="18"/>
      <w:szCs w:val="20"/>
      <w:lang w:val="en-GB"/>
    </w:rPr>
  </w:style>
  <w:style w:type="table" w:styleId="Rcsostblzat">
    <w:name w:val="Table Grid"/>
    <w:basedOn w:val="Normltblzat"/>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904C62"/>
    <w:rPr>
      <w:color w:val="0000FF" w:themeColor="hyperlink"/>
      <w:u w:val="single"/>
    </w:rPr>
  </w:style>
  <w:style w:type="character" w:customStyle="1" w:styleId="eudoraheader">
    <w:name w:val="eudoraheader"/>
    <w:basedOn w:val="Bekezdsalapbettpusa"/>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aszerbekezds">
    <w:name w:val="List Paragraph"/>
    <w:basedOn w:val="Norml"/>
    <w:uiPriority w:val="34"/>
    <w:rsid w:val="00280FAF"/>
    <w:pPr>
      <w:ind w:left="720"/>
      <w:contextualSpacing/>
    </w:pPr>
  </w:style>
  <w:style w:type="character" w:customStyle="1" w:styleId="gmail-apple-converted-space">
    <w:name w:val="gmail-apple-converted-space"/>
    <w:basedOn w:val="Bekezdsalapbettpusa"/>
    <w:rsid w:val="00005A19"/>
  </w:style>
  <w:style w:type="character" w:styleId="Feloldatlanmegemlts">
    <w:name w:val="Unresolved Mention"/>
    <w:basedOn w:val="Bekezdsalapbettpusa"/>
    <w:uiPriority w:val="99"/>
    <w:semiHidden/>
    <w:unhideWhenUsed/>
    <w:rsid w:val="000F6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783482">
      <w:bodyDiv w:val="1"/>
      <w:marLeft w:val="0"/>
      <w:marRight w:val="0"/>
      <w:marTop w:val="0"/>
      <w:marBottom w:val="0"/>
      <w:divBdr>
        <w:top w:val="none" w:sz="0" w:space="0" w:color="auto"/>
        <w:left w:val="none" w:sz="0" w:space="0" w:color="auto"/>
        <w:bottom w:val="none" w:sz="0" w:space="0" w:color="auto"/>
        <w:right w:val="none" w:sz="0" w:space="0" w:color="auto"/>
      </w:divBdr>
      <w:divsChild>
        <w:div w:id="1446120715">
          <w:marLeft w:val="0"/>
          <w:marRight w:val="0"/>
          <w:marTop w:val="0"/>
          <w:marBottom w:val="0"/>
          <w:divBdr>
            <w:top w:val="none" w:sz="0" w:space="0" w:color="auto"/>
            <w:left w:val="none" w:sz="0" w:space="0" w:color="auto"/>
            <w:bottom w:val="none" w:sz="0" w:space="0" w:color="auto"/>
            <w:right w:val="none" w:sz="0" w:space="0" w:color="auto"/>
          </w:divBdr>
          <w:divsChild>
            <w:div w:id="345598222">
              <w:marLeft w:val="0"/>
              <w:marRight w:val="0"/>
              <w:marTop w:val="60"/>
              <w:marBottom w:val="0"/>
              <w:divBdr>
                <w:top w:val="none" w:sz="0" w:space="0" w:color="auto"/>
                <w:left w:val="none" w:sz="0" w:space="0" w:color="auto"/>
                <w:bottom w:val="none" w:sz="0" w:space="0" w:color="auto"/>
                <w:right w:val="none" w:sz="0" w:space="0" w:color="auto"/>
              </w:divBdr>
            </w:div>
          </w:divsChild>
        </w:div>
        <w:div w:id="1719739724">
          <w:marLeft w:val="0"/>
          <w:marRight w:val="0"/>
          <w:marTop w:val="0"/>
          <w:marBottom w:val="0"/>
          <w:divBdr>
            <w:top w:val="none" w:sz="0" w:space="0" w:color="auto"/>
            <w:left w:val="none" w:sz="0" w:space="0" w:color="auto"/>
            <w:bottom w:val="none" w:sz="0" w:space="0" w:color="auto"/>
            <w:right w:val="none" w:sz="0" w:space="0" w:color="auto"/>
          </w:divBdr>
        </w:div>
        <w:div w:id="367337732">
          <w:marLeft w:val="0"/>
          <w:marRight w:val="0"/>
          <w:marTop w:val="0"/>
          <w:marBottom w:val="0"/>
          <w:divBdr>
            <w:top w:val="none" w:sz="0" w:space="0" w:color="auto"/>
            <w:left w:val="none" w:sz="0" w:space="0" w:color="auto"/>
            <w:bottom w:val="none" w:sz="0" w:space="0" w:color="auto"/>
            <w:right w:val="none" w:sz="0" w:space="0" w:color="auto"/>
          </w:divBdr>
          <w:divsChild>
            <w:div w:id="1691025579">
              <w:marLeft w:val="0"/>
              <w:marRight w:val="0"/>
              <w:marTop w:val="0"/>
              <w:marBottom w:val="0"/>
              <w:divBdr>
                <w:top w:val="none" w:sz="0" w:space="0" w:color="auto"/>
                <w:left w:val="none" w:sz="0" w:space="0" w:color="auto"/>
                <w:bottom w:val="none" w:sz="0" w:space="0" w:color="auto"/>
                <w:right w:val="none" w:sz="0" w:space="0" w:color="auto"/>
              </w:divBdr>
              <w:divsChild>
                <w:div w:id="1095636679">
                  <w:marLeft w:val="0"/>
                  <w:marRight w:val="0"/>
                  <w:marTop w:val="0"/>
                  <w:marBottom w:val="0"/>
                  <w:divBdr>
                    <w:top w:val="none" w:sz="0" w:space="0" w:color="auto"/>
                    <w:left w:val="none" w:sz="0" w:space="0" w:color="auto"/>
                    <w:bottom w:val="none" w:sz="0" w:space="0" w:color="auto"/>
                    <w:right w:val="none" w:sz="0" w:space="0" w:color="auto"/>
                  </w:divBdr>
                  <w:divsChild>
                    <w:div w:id="14682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04648">
      <w:bodyDiv w:val="1"/>
      <w:marLeft w:val="0"/>
      <w:marRight w:val="0"/>
      <w:marTop w:val="0"/>
      <w:marBottom w:val="0"/>
      <w:divBdr>
        <w:top w:val="none" w:sz="0" w:space="0" w:color="auto"/>
        <w:left w:val="none" w:sz="0" w:space="0" w:color="auto"/>
        <w:bottom w:val="none" w:sz="0" w:space="0" w:color="auto"/>
        <w:right w:val="none" w:sz="0" w:space="0" w:color="auto"/>
      </w:divBdr>
      <w:divsChild>
        <w:div w:id="369259322">
          <w:marLeft w:val="0"/>
          <w:marRight w:val="0"/>
          <w:marTop w:val="0"/>
          <w:marBottom w:val="0"/>
          <w:divBdr>
            <w:top w:val="single" w:sz="2" w:space="0" w:color="D9D9E3"/>
            <w:left w:val="single" w:sz="2" w:space="0" w:color="D9D9E3"/>
            <w:bottom w:val="single" w:sz="2" w:space="0" w:color="D9D9E3"/>
            <w:right w:val="single" w:sz="2" w:space="0" w:color="D9D9E3"/>
          </w:divBdr>
          <w:divsChild>
            <w:div w:id="1931886220">
              <w:marLeft w:val="0"/>
              <w:marRight w:val="0"/>
              <w:marTop w:val="0"/>
              <w:marBottom w:val="0"/>
              <w:divBdr>
                <w:top w:val="single" w:sz="2" w:space="0" w:color="D9D9E3"/>
                <w:left w:val="single" w:sz="2" w:space="0" w:color="D9D9E3"/>
                <w:bottom w:val="single" w:sz="2" w:space="0" w:color="D9D9E3"/>
                <w:right w:val="single" w:sz="2" w:space="0" w:color="D9D9E3"/>
              </w:divBdr>
              <w:divsChild>
                <w:div w:id="143275468">
                  <w:marLeft w:val="0"/>
                  <w:marRight w:val="0"/>
                  <w:marTop w:val="0"/>
                  <w:marBottom w:val="0"/>
                  <w:divBdr>
                    <w:top w:val="single" w:sz="2" w:space="0" w:color="D9D9E3"/>
                    <w:left w:val="single" w:sz="2" w:space="0" w:color="D9D9E3"/>
                    <w:bottom w:val="single" w:sz="2" w:space="0" w:color="D9D9E3"/>
                    <w:right w:val="single" w:sz="2" w:space="0" w:color="D9D9E3"/>
                  </w:divBdr>
                  <w:divsChild>
                    <w:div w:id="271862599">
                      <w:marLeft w:val="0"/>
                      <w:marRight w:val="0"/>
                      <w:marTop w:val="0"/>
                      <w:marBottom w:val="0"/>
                      <w:divBdr>
                        <w:top w:val="single" w:sz="2" w:space="0" w:color="D9D9E3"/>
                        <w:left w:val="single" w:sz="2" w:space="0" w:color="D9D9E3"/>
                        <w:bottom w:val="single" w:sz="2" w:space="0" w:color="D9D9E3"/>
                        <w:right w:val="single" w:sz="2" w:space="0" w:color="D9D9E3"/>
                      </w:divBdr>
                      <w:divsChild>
                        <w:div w:id="1501844533">
                          <w:marLeft w:val="0"/>
                          <w:marRight w:val="0"/>
                          <w:marTop w:val="0"/>
                          <w:marBottom w:val="0"/>
                          <w:divBdr>
                            <w:top w:val="single" w:sz="2" w:space="0" w:color="D9D9E3"/>
                            <w:left w:val="single" w:sz="2" w:space="0" w:color="D9D9E3"/>
                            <w:bottom w:val="single" w:sz="2" w:space="0" w:color="D9D9E3"/>
                            <w:right w:val="single" w:sz="2" w:space="0" w:color="D9D9E3"/>
                          </w:divBdr>
                          <w:divsChild>
                            <w:div w:id="478815153">
                              <w:marLeft w:val="0"/>
                              <w:marRight w:val="0"/>
                              <w:marTop w:val="100"/>
                              <w:marBottom w:val="100"/>
                              <w:divBdr>
                                <w:top w:val="single" w:sz="2" w:space="0" w:color="D9D9E3"/>
                                <w:left w:val="single" w:sz="2" w:space="0" w:color="D9D9E3"/>
                                <w:bottom w:val="single" w:sz="2" w:space="0" w:color="D9D9E3"/>
                                <w:right w:val="single" w:sz="2" w:space="0" w:color="D9D9E3"/>
                              </w:divBdr>
                              <w:divsChild>
                                <w:div w:id="2047021541">
                                  <w:marLeft w:val="0"/>
                                  <w:marRight w:val="0"/>
                                  <w:marTop w:val="0"/>
                                  <w:marBottom w:val="0"/>
                                  <w:divBdr>
                                    <w:top w:val="single" w:sz="2" w:space="0" w:color="D9D9E3"/>
                                    <w:left w:val="single" w:sz="2" w:space="0" w:color="D9D9E3"/>
                                    <w:bottom w:val="single" w:sz="2" w:space="0" w:color="D9D9E3"/>
                                    <w:right w:val="single" w:sz="2" w:space="0" w:color="D9D9E3"/>
                                  </w:divBdr>
                                  <w:divsChild>
                                    <w:div w:id="1538541192">
                                      <w:marLeft w:val="0"/>
                                      <w:marRight w:val="0"/>
                                      <w:marTop w:val="0"/>
                                      <w:marBottom w:val="0"/>
                                      <w:divBdr>
                                        <w:top w:val="single" w:sz="2" w:space="0" w:color="D9D9E3"/>
                                        <w:left w:val="single" w:sz="2" w:space="0" w:color="D9D9E3"/>
                                        <w:bottom w:val="single" w:sz="2" w:space="0" w:color="D9D9E3"/>
                                        <w:right w:val="single" w:sz="2" w:space="0" w:color="D9D9E3"/>
                                      </w:divBdr>
                                      <w:divsChild>
                                        <w:div w:id="819224395">
                                          <w:marLeft w:val="0"/>
                                          <w:marRight w:val="0"/>
                                          <w:marTop w:val="0"/>
                                          <w:marBottom w:val="0"/>
                                          <w:divBdr>
                                            <w:top w:val="single" w:sz="2" w:space="0" w:color="D9D9E3"/>
                                            <w:left w:val="single" w:sz="2" w:space="0" w:color="D9D9E3"/>
                                            <w:bottom w:val="single" w:sz="2" w:space="0" w:color="D9D9E3"/>
                                            <w:right w:val="single" w:sz="2" w:space="0" w:color="D9D9E3"/>
                                          </w:divBdr>
                                          <w:divsChild>
                                            <w:div w:id="1386635372">
                                              <w:marLeft w:val="0"/>
                                              <w:marRight w:val="0"/>
                                              <w:marTop w:val="0"/>
                                              <w:marBottom w:val="0"/>
                                              <w:divBdr>
                                                <w:top w:val="single" w:sz="2" w:space="0" w:color="D9D9E3"/>
                                                <w:left w:val="single" w:sz="2" w:space="0" w:color="D9D9E3"/>
                                                <w:bottom w:val="single" w:sz="2" w:space="0" w:color="D9D9E3"/>
                                                <w:right w:val="single" w:sz="2" w:space="0" w:color="D9D9E3"/>
                                              </w:divBdr>
                                              <w:divsChild>
                                                <w:div w:id="704212932">
                                                  <w:marLeft w:val="0"/>
                                                  <w:marRight w:val="0"/>
                                                  <w:marTop w:val="0"/>
                                                  <w:marBottom w:val="0"/>
                                                  <w:divBdr>
                                                    <w:top w:val="single" w:sz="2" w:space="0" w:color="D9D9E3"/>
                                                    <w:left w:val="single" w:sz="2" w:space="0" w:color="D9D9E3"/>
                                                    <w:bottom w:val="single" w:sz="2" w:space="0" w:color="D9D9E3"/>
                                                    <w:right w:val="single" w:sz="2" w:space="0" w:color="D9D9E3"/>
                                                  </w:divBdr>
                                                  <w:divsChild>
                                                    <w:div w:id="9619616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68005622">
          <w:marLeft w:val="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2637">
      <w:bodyDiv w:val="1"/>
      <w:marLeft w:val="0"/>
      <w:marRight w:val="0"/>
      <w:marTop w:val="0"/>
      <w:marBottom w:val="0"/>
      <w:divBdr>
        <w:top w:val="none" w:sz="0" w:space="0" w:color="auto"/>
        <w:left w:val="none" w:sz="0" w:space="0" w:color="auto"/>
        <w:bottom w:val="none" w:sz="0" w:space="0" w:color="auto"/>
        <w:right w:val="none" w:sz="0" w:space="0" w:color="auto"/>
      </w:divBdr>
      <w:divsChild>
        <w:div w:id="1514109718">
          <w:marLeft w:val="0"/>
          <w:marRight w:val="0"/>
          <w:marTop w:val="0"/>
          <w:marBottom w:val="0"/>
          <w:divBdr>
            <w:top w:val="single" w:sz="2" w:space="0" w:color="E3E3E3"/>
            <w:left w:val="single" w:sz="2" w:space="0" w:color="E3E3E3"/>
            <w:bottom w:val="single" w:sz="2" w:space="0" w:color="E3E3E3"/>
            <w:right w:val="single" w:sz="2" w:space="0" w:color="E3E3E3"/>
          </w:divBdr>
          <w:divsChild>
            <w:div w:id="1463959469">
              <w:marLeft w:val="0"/>
              <w:marRight w:val="0"/>
              <w:marTop w:val="100"/>
              <w:marBottom w:val="100"/>
              <w:divBdr>
                <w:top w:val="single" w:sz="2" w:space="0" w:color="E3E3E3"/>
                <w:left w:val="single" w:sz="2" w:space="0" w:color="E3E3E3"/>
                <w:bottom w:val="single" w:sz="2" w:space="0" w:color="E3E3E3"/>
                <w:right w:val="single" w:sz="2" w:space="0" w:color="E3E3E3"/>
              </w:divBdr>
              <w:divsChild>
                <w:div w:id="1302274529">
                  <w:marLeft w:val="0"/>
                  <w:marRight w:val="0"/>
                  <w:marTop w:val="0"/>
                  <w:marBottom w:val="0"/>
                  <w:divBdr>
                    <w:top w:val="single" w:sz="2" w:space="0" w:color="E3E3E3"/>
                    <w:left w:val="single" w:sz="2" w:space="0" w:color="E3E3E3"/>
                    <w:bottom w:val="single" w:sz="2" w:space="0" w:color="E3E3E3"/>
                    <w:right w:val="single" w:sz="2" w:space="0" w:color="E3E3E3"/>
                  </w:divBdr>
                  <w:divsChild>
                    <w:div w:id="656610257">
                      <w:marLeft w:val="0"/>
                      <w:marRight w:val="0"/>
                      <w:marTop w:val="0"/>
                      <w:marBottom w:val="0"/>
                      <w:divBdr>
                        <w:top w:val="single" w:sz="2" w:space="0" w:color="E3E3E3"/>
                        <w:left w:val="single" w:sz="2" w:space="0" w:color="E3E3E3"/>
                        <w:bottom w:val="single" w:sz="2" w:space="0" w:color="E3E3E3"/>
                        <w:right w:val="single" w:sz="2" w:space="0" w:color="E3E3E3"/>
                      </w:divBdr>
                      <w:divsChild>
                        <w:div w:id="1663704737">
                          <w:marLeft w:val="0"/>
                          <w:marRight w:val="0"/>
                          <w:marTop w:val="0"/>
                          <w:marBottom w:val="0"/>
                          <w:divBdr>
                            <w:top w:val="single" w:sz="2" w:space="0" w:color="E3E3E3"/>
                            <w:left w:val="single" w:sz="2" w:space="0" w:color="E3E3E3"/>
                            <w:bottom w:val="single" w:sz="2" w:space="0" w:color="E3E3E3"/>
                            <w:right w:val="single" w:sz="2" w:space="0" w:color="E3E3E3"/>
                          </w:divBdr>
                          <w:divsChild>
                            <w:div w:id="708385343">
                              <w:marLeft w:val="0"/>
                              <w:marRight w:val="0"/>
                              <w:marTop w:val="0"/>
                              <w:marBottom w:val="0"/>
                              <w:divBdr>
                                <w:top w:val="single" w:sz="2" w:space="0" w:color="E3E3E3"/>
                                <w:left w:val="single" w:sz="2" w:space="0" w:color="E3E3E3"/>
                                <w:bottom w:val="single" w:sz="2" w:space="0" w:color="E3E3E3"/>
                                <w:right w:val="single" w:sz="2" w:space="0" w:color="E3E3E3"/>
                              </w:divBdr>
                              <w:divsChild>
                                <w:div w:id="467473304">
                                  <w:marLeft w:val="0"/>
                                  <w:marRight w:val="0"/>
                                  <w:marTop w:val="0"/>
                                  <w:marBottom w:val="0"/>
                                  <w:divBdr>
                                    <w:top w:val="single" w:sz="2" w:space="0" w:color="E3E3E3"/>
                                    <w:left w:val="single" w:sz="2" w:space="0" w:color="E3E3E3"/>
                                    <w:bottom w:val="single" w:sz="2" w:space="0" w:color="E3E3E3"/>
                                    <w:right w:val="single" w:sz="2" w:space="0" w:color="E3E3E3"/>
                                  </w:divBdr>
                                  <w:divsChild>
                                    <w:div w:id="6065476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6831288171E1418BBA8476CF306F87" ma:contentTypeVersion="18" ma:contentTypeDescription="Create a new document." ma:contentTypeScope="" ma:versionID="9c4bfa8afbdbc0b018a848880dc10228">
  <xsd:schema xmlns:xsd="http://www.w3.org/2001/XMLSchema" xmlns:xs="http://www.w3.org/2001/XMLSchema" xmlns:p="http://schemas.microsoft.com/office/2006/metadata/properties" xmlns:ns3="cd7ae5c1-9264-4c89-a5a8-01a46081adcc" xmlns:ns4="04a3aaf5-6d6c-4790-9474-80f43a3ac91c" targetNamespace="http://schemas.microsoft.com/office/2006/metadata/properties" ma:root="true" ma:fieldsID="a1e055b6202b7e9231454828ee70d455" ns3:_="" ns4:_="">
    <xsd:import namespace="cd7ae5c1-9264-4c89-a5a8-01a46081adcc"/>
    <xsd:import namespace="04a3aaf5-6d6c-4790-9474-80f43a3ac9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ae5c1-9264-4c89-a5a8-01a46081a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a3aaf5-6d6c-4790-9474-80f43a3ac91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d7ae5c1-9264-4c89-a5a8-01a46081ad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4C7B7-DEB6-431D-9FF0-FA5248847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ae5c1-9264-4c89-a5a8-01a46081adcc"/>
    <ds:schemaRef ds:uri="04a3aaf5-6d6c-4790-9474-80f43a3ac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3B6863-9969-4028-A6AE-B4D5DAB3955C}">
  <ds:schemaRefs>
    <ds:schemaRef ds:uri="http://schemas.microsoft.com/office/2006/documentManagement/types"/>
    <ds:schemaRef ds:uri="cd7ae5c1-9264-4c89-a5a8-01a46081adcc"/>
    <ds:schemaRef ds:uri="http://schemas.microsoft.com/office/2006/metadata/properties"/>
    <ds:schemaRef ds:uri="http://www.w3.org/XML/1998/namespace"/>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04a3aaf5-6d6c-4790-9474-80f43a3ac91c"/>
  </ds:schemaRefs>
</ds:datastoreItem>
</file>

<file path=customXml/itemProps3.xml><?xml version="1.0" encoding="utf-8"?>
<ds:datastoreItem xmlns:ds="http://schemas.openxmlformats.org/officeDocument/2006/customXml" ds:itemID="{D3745BA2-46F4-4BCA-B0CA-D6E1B5735450}">
  <ds:schemaRefs>
    <ds:schemaRef ds:uri="http://schemas.microsoft.com/sharepoint/v3/contenttype/forms"/>
  </ds:schemaRefs>
</ds:datastoreItem>
</file>

<file path=customXml/itemProps4.xml><?xml version="1.0" encoding="utf-8"?>
<ds:datastoreItem xmlns:ds="http://schemas.openxmlformats.org/officeDocument/2006/customXml" ds:itemID="{EC4FE2DA-3B1D-4661-B3F8-0D7E2CEC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2433</Words>
  <Characters>16795</Characters>
  <Application>Microsoft Office Word</Application>
  <DocSecurity>0</DocSecurity>
  <Lines>139</Lines>
  <Paragraphs>38</Paragraphs>
  <ScaleCrop>false</ScaleCrop>
  <HeadingPairs>
    <vt:vector size="6" baseType="variant">
      <vt:variant>
        <vt:lpstr>Cím</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Máté Hartyányi</cp:lastModifiedBy>
  <cp:revision>3</cp:revision>
  <cp:lastPrinted>2015-05-12T18:31:00Z</cp:lastPrinted>
  <dcterms:created xsi:type="dcterms:W3CDTF">2024-02-28T11:44:00Z</dcterms:created>
  <dcterms:modified xsi:type="dcterms:W3CDTF">2024-03-01T09:29:00Z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0x010100376831288171E1418BBA8476CF306F87</vt:lpwstr>
  </property>
</Properties>
</file>