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627538">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proofErr w:type="gramStart"/>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627538">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627538">
        <w:trPr>
          <w:trHeight w:val="68"/>
          <w:jc w:val="center"/>
        </w:trPr>
        <w:tc>
          <w:tcPr>
            <w:tcW w:w="8782"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w:t>
            </w:r>
            <w:proofErr w:type="spellStart"/>
            <w:r w:rsidR="006A23E9" w:rsidRPr="00946B70">
              <w:rPr>
                <w:rFonts w:ascii="Tahoma" w:hAnsi="Tahoma" w:cs="Tahoma"/>
                <w:color w:val="000000"/>
                <w:sz w:val="14"/>
                <w:szCs w:val="14"/>
                <w:shd w:val="clear" w:color="auto" w:fill="FFFFFF"/>
              </w:rPr>
              <w:t>Tognotti</w:t>
            </w:r>
            <w:proofErr w:type="spellEnd"/>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Rubens Maciel Filho</w:t>
            </w:r>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 xml:space="preserve">Viatcheslav </w:t>
            </w:r>
            <w:proofErr w:type="spellStart"/>
            <w:r w:rsidR="006A23E9" w:rsidRPr="00946B70">
              <w:rPr>
                <w:rFonts w:ascii="Tahoma" w:hAnsi="Tahoma" w:cs="Tahoma"/>
                <w:color w:val="000000"/>
                <w:sz w:val="14"/>
                <w:szCs w:val="14"/>
              </w:rPr>
              <w:t>Kafarov</w:t>
            </w:r>
            <w:proofErr w:type="spellEnd"/>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EB896E3" w:rsidR="00E978D0" w:rsidRPr="00B57B36" w:rsidRDefault="00627538" w:rsidP="00E978D0">
      <w:pPr>
        <w:pStyle w:val="CETTitle"/>
      </w:pPr>
      <w:r w:rsidRPr="00627538">
        <w:t>Economic Optimization of Sugarcane</w:t>
      </w:r>
      <w:r w:rsidR="00F8589E">
        <w:t>-</w:t>
      </w:r>
      <w:r w:rsidRPr="00627538">
        <w:t>Livestock Integration for Bioenergy Expansion in Brazil</w:t>
      </w:r>
    </w:p>
    <w:p w14:paraId="0488FED2" w14:textId="3C882986" w:rsidR="00B57E6F" w:rsidRPr="005413B1" w:rsidRDefault="005413B1" w:rsidP="00B57E6F">
      <w:pPr>
        <w:pStyle w:val="CETAuthors"/>
        <w:rPr>
          <w:lang w:val="pt-BR"/>
        </w:rPr>
      </w:pPr>
      <w:r w:rsidRPr="005413B1">
        <w:rPr>
          <w:lang w:val="pt-BR"/>
        </w:rPr>
        <w:t>Igor L. R. Dias</w:t>
      </w:r>
      <w:r w:rsidRPr="005413B1">
        <w:rPr>
          <w:vertAlign w:val="superscript"/>
          <w:lang w:val="pt-BR"/>
        </w:rPr>
        <w:t>a</w:t>
      </w:r>
      <w:r w:rsidR="00A218EF">
        <w:rPr>
          <w:vertAlign w:val="superscript"/>
          <w:lang w:val="pt-BR"/>
        </w:rPr>
        <w:t>*</w:t>
      </w:r>
      <w:r w:rsidRPr="005413B1">
        <w:rPr>
          <w:lang w:val="pt-BR"/>
        </w:rPr>
        <w:t>; Ana C</w:t>
      </w:r>
      <w:r>
        <w:rPr>
          <w:lang w:val="pt-BR"/>
        </w:rPr>
        <w:t>.</w:t>
      </w:r>
      <w:r w:rsidRPr="005413B1">
        <w:rPr>
          <w:lang w:val="pt-BR"/>
        </w:rPr>
        <w:t xml:space="preserve"> M. Jimenez</w:t>
      </w:r>
      <w:r w:rsidRPr="005413B1">
        <w:rPr>
          <w:vertAlign w:val="superscript"/>
          <w:lang w:val="pt-BR"/>
        </w:rPr>
        <w:t>b</w:t>
      </w:r>
      <w:r w:rsidRPr="005413B1">
        <w:rPr>
          <w:lang w:val="pt-BR"/>
        </w:rPr>
        <w:t>; Terezinha F. Cardoso</w:t>
      </w:r>
      <w:r w:rsidRPr="005413B1">
        <w:rPr>
          <w:vertAlign w:val="superscript"/>
          <w:lang w:val="pt-BR"/>
        </w:rPr>
        <w:t>b</w:t>
      </w:r>
      <w:r w:rsidRPr="005413B1">
        <w:rPr>
          <w:lang w:val="pt-BR"/>
        </w:rPr>
        <w:t>; Tassia L. Junqueira</w:t>
      </w:r>
      <w:r w:rsidRPr="005413B1">
        <w:rPr>
          <w:vertAlign w:val="superscript"/>
          <w:lang w:val="pt-BR"/>
        </w:rPr>
        <w:t>b</w:t>
      </w:r>
      <w:r w:rsidRPr="005413B1">
        <w:rPr>
          <w:lang w:val="pt-BR"/>
        </w:rPr>
        <w:t>; Geraldo B. Martha Jr</w:t>
      </w:r>
      <w:r>
        <w:rPr>
          <w:vertAlign w:val="superscript"/>
          <w:lang w:val="pt-BR"/>
        </w:rPr>
        <w:t>c</w:t>
      </w:r>
      <w:r w:rsidRPr="005413B1">
        <w:rPr>
          <w:lang w:val="pt-BR"/>
        </w:rPr>
        <w:t>; Adriano P. Mariano</w:t>
      </w:r>
      <w:r w:rsidR="00403088">
        <w:rPr>
          <w:vertAlign w:val="superscript"/>
          <w:lang w:val="pt-BR"/>
        </w:rPr>
        <w:t>d</w:t>
      </w:r>
      <w:r w:rsidRPr="005413B1">
        <w:rPr>
          <w:lang w:val="pt-BR"/>
        </w:rPr>
        <w:t>; Marcelo P. Cunha</w:t>
      </w:r>
      <w:r w:rsidR="00403088">
        <w:rPr>
          <w:vertAlign w:val="superscript"/>
          <w:lang w:val="pt-BR"/>
        </w:rPr>
        <w:t>d</w:t>
      </w:r>
      <w:r w:rsidRPr="005413B1">
        <w:rPr>
          <w:lang w:val="pt-BR"/>
        </w:rPr>
        <w:t xml:space="preserve">; Antonio </w:t>
      </w:r>
      <w:r w:rsidR="00B13DE8" w:rsidRPr="005413B1">
        <w:rPr>
          <w:lang w:val="pt-BR"/>
        </w:rPr>
        <w:t>Bonomi</w:t>
      </w:r>
      <w:r w:rsidR="00B13DE8">
        <w:rPr>
          <w:vertAlign w:val="superscript"/>
          <w:lang w:val="pt-BR"/>
        </w:rPr>
        <w:t>b</w:t>
      </w:r>
    </w:p>
    <w:p w14:paraId="6B2D21B3" w14:textId="28220FEC" w:rsidR="00B57E6F" w:rsidRPr="008562B2" w:rsidRDefault="00B57E6F" w:rsidP="00783337">
      <w:pPr>
        <w:pStyle w:val="CETAddress"/>
        <w:spacing w:line="264" w:lineRule="auto"/>
        <w:jc w:val="both"/>
        <w:rPr>
          <w:lang w:val="pt-BR"/>
        </w:rPr>
      </w:pPr>
      <w:r w:rsidRPr="008562B2">
        <w:rPr>
          <w:vertAlign w:val="superscript"/>
          <w:lang w:val="pt-BR"/>
        </w:rPr>
        <w:t>a</w:t>
      </w:r>
      <w:r w:rsidR="008562B2" w:rsidRPr="008562B2">
        <w:rPr>
          <w:lang w:val="pt-BR"/>
        </w:rPr>
        <w:t>Faculdade de Engenharia Química (FEQ), Universidade Estadual de Campinas (Unicamp), Av. Albert Einstein, 500, CEP 13083-852, Campinas - SP, Brasil.</w:t>
      </w:r>
      <w:r w:rsidRPr="008562B2">
        <w:rPr>
          <w:lang w:val="pt-BR"/>
        </w:rPr>
        <w:t xml:space="preserve"> </w:t>
      </w:r>
    </w:p>
    <w:p w14:paraId="3D72B0B0" w14:textId="2DE548B4" w:rsidR="00B57E6F" w:rsidRDefault="00B57E6F" w:rsidP="00783337">
      <w:pPr>
        <w:pStyle w:val="CETAddress"/>
        <w:spacing w:line="264" w:lineRule="auto"/>
        <w:jc w:val="both"/>
        <w:rPr>
          <w:lang w:val="pt-BR"/>
        </w:rPr>
      </w:pPr>
      <w:r w:rsidRPr="003C7DAE">
        <w:rPr>
          <w:vertAlign w:val="superscript"/>
          <w:lang w:val="pt-BR"/>
        </w:rPr>
        <w:t>b</w:t>
      </w:r>
      <w:r w:rsidR="003C7DAE" w:rsidRPr="003C7DAE">
        <w:rPr>
          <w:lang w:val="pt-BR"/>
        </w:rPr>
        <w:t>Laboratório Nacional de Biorrenováveis (LNBR), Centro Nacional de Pesquisa em Energia e Materiais (CNPEM), CEP 13083-970, Campinas - SP, Brasil.</w:t>
      </w:r>
    </w:p>
    <w:p w14:paraId="663E386F" w14:textId="009662D8" w:rsidR="00BA5669" w:rsidRDefault="00BA5669" w:rsidP="00783337">
      <w:pPr>
        <w:pStyle w:val="CETAddress"/>
        <w:spacing w:line="264" w:lineRule="auto"/>
        <w:jc w:val="both"/>
        <w:rPr>
          <w:lang w:val="pt-BR"/>
        </w:rPr>
      </w:pPr>
      <w:r>
        <w:rPr>
          <w:vertAlign w:val="superscript"/>
          <w:lang w:val="pt-BR"/>
        </w:rPr>
        <w:t>c</w:t>
      </w:r>
      <w:r w:rsidRPr="00BA5669">
        <w:rPr>
          <w:lang w:val="pt-BR"/>
        </w:rPr>
        <w:t>Embrapa Agricultura Digital, Av. Dr. André Tosello, 209 - Cidade Universitária, 13083-886, Campinas – SP, Brasil.</w:t>
      </w:r>
    </w:p>
    <w:p w14:paraId="667A320E" w14:textId="67CA1D7B" w:rsidR="00BA5669" w:rsidRPr="003C7DAE" w:rsidRDefault="009C4CF0" w:rsidP="00783337">
      <w:pPr>
        <w:pStyle w:val="CETAddress"/>
        <w:spacing w:after="60" w:line="264" w:lineRule="auto"/>
        <w:jc w:val="both"/>
        <w:rPr>
          <w:lang w:val="pt-BR"/>
        </w:rPr>
      </w:pPr>
      <w:r>
        <w:rPr>
          <w:vertAlign w:val="superscript"/>
          <w:lang w:val="pt-BR"/>
        </w:rPr>
        <w:t>d</w:t>
      </w:r>
      <w:r w:rsidR="00DE6F29" w:rsidRPr="00DE6F29">
        <w:rPr>
          <w:lang w:val="pt-BR"/>
        </w:rPr>
        <w:t>Instituto de Economia (IE), Universidade Estadual de Campinas (Unicamp), R. Pitágoras, 353 - Cidade Universitária, 13083-857, Campinas - SP, Brasil.</w:t>
      </w:r>
    </w:p>
    <w:p w14:paraId="73F1267A" w14:textId="44871D98" w:rsidR="00B57E6F" w:rsidRDefault="002354FD" w:rsidP="009F122B">
      <w:pPr>
        <w:pStyle w:val="CETemail"/>
        <w:spacing w:line="264" w:lineRule="auto"/>
      </w:pPr>
      <w:r>
        <w:rPr>
          <w:lang w:val="en-US"/>
        </w:rPr>
        <w:t>i</w:t>
      </w:r>
      <w:r w:rsidRPr="002354FD">
        <w:rPr>
          <w:lang w:val="en-US"/>
        </w:rPr>
        <w:t>261185</w:t>
      </w:r>
      <w:r w:rsidR="00F654C6" w:rsidRPr="002354FD">
        <w:rPr>
          <w:lang w:val="en-US"/>
        </w:rPr>
        <w:t>@dac.unicamp.br</w:t>
      </w:r>
    </w:p>
    <w:p w14:paraId="67DFF2E4" w14:textId="124B23BB" w:rsidR="00D45F92" w:rsidRPr="009F122B" w:rsidRDefault="00D45F92" w:rsidP="009F122B">
      <w:pPr>
        <w:pStyle w:val="CETBodytext"/>
        <w:spacing w:after="120"/>
      </w:pPr>
      <w:r w:rsidRPr="00D45F92">
        <w:t xml:space="preserve">Due to the expansion of ethanol production, debate on conflicting issues regarding land use competition between biofuels and food production is raised. Integrated sugarcane/livestock systems could potentially facilitate the expansion of ethanol production without </w:t>
      </w:r>
      <w:r w:rsidR="00A202AE">
        <w:t xml:space="preserve">putting </w:t>
      </w:r>
      <w:r w:rsidRPr="00D45F92">
        <w:t xml:space="preserve">crop and/or livestock production </w:t>
      </w:r>
      <w:r w:rsidR="00741D9D">
        <w:t xml:space="preserve">at </w:t>
      </w:r>
      <w:r w:rsidR="00741D9D" w:rsidRPr="00A202AE">
        <w:t xml:space="preserve">risk </w:t>
      </w:r>
      <w:r w:rsidRPr="00D45F92">
        <w:t xml:space="preserve">and </w:t>
      </w:r>
      <w:r w:rsidR="00A202AE" w:rsidRPr="00A202AE">
        <w:t xml:space="preserve">displacing </w:t>
      </w:r>
      <w:r w:rsidRPr="00D45F92">
        <w:t>areas covered with natural vegetation. This study compares and analyses the profitability of (</w:t>
      </w:r>
      <w:proofErr w:type="spellStart"/>
      <w:r w:rsidRPr="00D45F92">
        <w:t>i</w:t>
      </w:r>
      <w:proofErr w:type="spellEnd"/>
      <w:r w:rsidRPr="00D45F92">
        <w:t>) a sugarcane ethanol distillery (producing ethanol and bioelectricity)</w:t>
      </w:r>
      <w:r w:rsidR="00BC26A9">
        <w:t xml:space="preserve"> and </w:t>
      </w:r>
      <w:r w:rsidRPr="00D45F92">
        <w:t>a typical livestock system</w:t>
      </w:r>
      <w:r w:rsidR="00BC26A9">
        <w:t xml:space="preserve"> without integration</w:t>
      </w:r>
      <w:r w:rsidRPr="00D45F92">
        <w:t xml:space="preserve"> and (ii) an integrated system producing the same </w:t>
      </w:r>
      <w:r w:rsidR="00A202AE">
        <w:t>output</w:t>
      </w:r>
      <w:r w:rsidRPr="00D45F92">
        <w:t xml:space="preserve"> of ethanol and beef </w:t>
      </w:r>
      <w:r w:rsidR="0027238C">
        <w:t>with half of the area</w:t>
      </w:r>
      <w:r w:rsidR="002354FD">
        <w:t>.</w:t>
      </w:r>
      <w:r w:rsidRPr="00D45F92">
        <w:t xml:space="preserve"> Therefore, this study </w:t>
      </w:r>
      <w:r w:rsidR="002354FD">
        <w:t>developed</w:t>
      </w:r>
      <w:r w:rsidR="002354FD" w:rsidRPr="00D45F92">
        <w:t xml:space="preserve"> </w:t>
      </w:r>
      <w:r w:rsidRPr="00D45F92">
        <w:t>metamodels to evaluate sugarcane/livestock integration from a techno-economic perspective, aiming to maximize the profitability</w:t>
      </w:r>
      <w:r w:rsidR="002354FD">
        <w:t xml:space="preserve"> (</w:t>
      </w:r>
      <w:r w:rsidR="002354FD" w:rsidRPr="00D45F92">
        <w:t>Net Present Value relative to investment</w:t>
      </w:r>
      <w:r w:rsidR="002354FD">
        <w:t>)</w:t>
      </w:r>
      <w:r w:rsidRPr="00D45F92">
        <w:t xml:space="preserve"> of this integrated system. </w:t>
      </w:r>
      <w:r w:rsidR="002354FD" w:rsidRPr="00D45F92">
        <w:t xml:space="preserve">The obtained metamodels adequately represented the proposed systems and proved to be useful tools for simplifying complex models and providing insights into the decision-making process. </w:t>
      </w:r>
      <w:r w:rsidR="002354FD" w:rsidRPr="00F654C6">
        <w:t>Considering the assumptions adopted in this study, it was observed that the system with integration presents better economic results.</w:t>
      </w:r>
      <w:r w:rsidR="002354FD">
        <w:t xml:space="preserve"> </w:t>
      </w:r>
      <w:r w:rsidR="00697546" w:rsidRPr="00697546">
        <w:t xml:space="preserve">Furthermore, sensitivity analysis of land rent revealed that sugarcane and livestock integration </w:t>
      </w:r>
      <w:proofErr w:type="gramStart"/>
      <w:r w:rsidR="00697546" w:rsidRPr="00697546">
        <w:t>becomes</w:t>
      </w:r>
      <w:proofErr w:type="gramEnd"/>
      <w:r w:rsidR="00697546" w:rsidRPr="00697546">
        <w:t xml:space="preserve"> economically attractive and viable under the analyzed conditions for values exceeding 258 US$/ha.</w:t>
      </w:r>
      <w:r w:rsidR="00697546">
        <w:t xml:space="preserve"> </w:t>
      </w:r>
      <w:r w:rsidRPr="00D45F92">
        <w:t xml:space="preserve">The generated metamodels also allow other scenarios to be analyzed to find other economically </w:t>
      </w:r>
      <w:r w:rsidR="00E93AB3">
        <w:t xml:space="preserve">and environmentally </w:t>
      </w:r>
      <w:r w:rsidRPr="00D45F92">
        <w:t>attractive solutions for the expansion of ethanol production in Brazil, utilizing pasture areas.</w:t>
      </w:r>
    </w:p>
    <w:p w14:paraId="2B98FBD7" w14:textId="1EBF4449" w:rsidR="0035271D" w:rsidRPr="007429B3" w:rsidRDefault="007429B3" w:rsidP="009F122B">
      <w:pPr>
        <w:pStyle w:val="Els-body-text"/>
        <w:spacing w:after="120" w:line="264" w:lineRule="auto"/>
        <w:rPr>
          <w:rFonts w:ascii="Arial" w:hAnsi="Arial" w:cs="Arial"/>
          <w:sz w:val="18"/>
          <w:szCs w:val="18"/>
          <w:lang w:val="en-GB"/>
        </w:rPr>
      </w:pPr>
      <w:r w:rsidRPr="007429B3">
        <w:rPr>
          <w:rFonts w:ascii="Arial" w:hAnsi="Arial" w:cs="Arial"/>
          <w:b/>
          <w:bCs/>
          <w:sz w:val="18"/>
          <w:szCs w:val="18"/>
          <w:lang w:val="en-GB"/>
        </w:rPr>
        <w:t>Keywords</w:t>
      </w:r>
      <w:r w:rsidRPr="007429B3">
        <w:rPr>
          <w:rFonts w:ascii="Arial" w:hAnsi="Arial" w:cs="Arial"/>
          <w:sz w:val="18"/>
          <w:szCs w:val="18"/>
          <w:lang w:val="en-GB"/>
        </w:rPr>
        <w:t>: Biorefineries, Beef cattle production, Experimental Design, Optimization metamodels, Food versus biofuels</w:t>
      </w:r>
    </w:p>
    <w:p w14:paraId="476B2F2E" w14:textId="77777777" w:rsidR="00600535" w:rsidRPr="0066110B" w:rsidRDefault="00600535" w:rsidP="009F122B">
      <w:pPr>
        <w:pStyle w:val="CETHeading1"/>
        <w:spacing w:line="264" w:lineRule="auto"/>
        <w:rPr>
          <w:lang w:val="en-GB"/>
        </w:rPr>
      </w:pPr>
      <w:r w:rsidRPr="0066110B">
        <w:rPr>
          <w:lang w:val="en-GB"/>
        </w:rPr>
        <w:t>Introduction</w:t>
      </w:r>
    </w:p>
    <w:p w14:paraId="3F009ACF" w14:textId="1761E67A" w:rsidR="00CA119F" w:rsidRPr="0066110B" w:rsidRDefault="00D45F92" w:rsidP="009F122B">
      <w:pPr>
        <w:pStyle w:val="CETBodytext"/>
        <w:rPr>
          <w:lang w:val="en-GB"/>
        </w:rPr>
      </w:pPr>
      <w:r w:rsidRPr="00D45F92">
        <w:rPr>
          <w:lang w:val="en-GB"/>
        </w:rPr>
        <w:t>The production of biofuels, particularly ethanol, has been encouraged in Brazil since last century (Cortez et al., 2016). Due to the expansion of ethanol production, conflicting issues regarding land use competition between biofuels and food production are raised. Recently, the Brazilian Government launched the Brazilian National Biofuel Policy (</w:t>
      </w:r>
      <w:proofErr w:type="spellStart"/>
      <w:r w:rsidRPr="00D45F92">
        <w:rPr>
          <w:lang w:val="en-GB"/>
        </w:rPr>
        <w:t>RenovaBio</w:t>
      </w:r>
      <w:proofErr w:type="spellEnd"/>
      <w:r w:rsidRPr="00D45F92">
        <w:rPr>
          <w:lang w:val="en-GB"/>
        </w:rPr>
        <w:t>) and the second phase of the Low-Carbon Emission Agriculture Plan (Plano ABC+)</w:t>
      </w:r>
      <w:r w:rsidR="004C3BE9">
        <w:rPr>
          <w:lang w:val="en-GB"/>
        </w:rPr>
        <w:t xml:space="preserve">. </w:t>
      </w:r>
      <w:r w:rsidR="004C3BE9" w:rsidRPr="004C3BE9">
        <w:rPr>
          <w:lang w:val="en-GB"/>
        </w:rPr>
        <w:t>These initiatives aim:</w:t>
      </w:r>
      <w:r w:rsidRPr="00D45F92">
        <w:rPr>
          <w:lang w:val="en-GB"/>
        </w:rPr>
        <w:t xml:space="preserve"> (</w:t>
      </w:r>
      <w:proofErr w:type="spellStart"/>
      <w:r w:rsidRPr="00D45F92">
        <w:rPr>
          <w:lang w:val="en-GB"/>
        </w:rPr>
        <w:t>i</w:t>
      </w:r>
      <w:proofErr w:type="spellEnd"/>
      <w:r w:rsidRPr="00D45F92">
        <w:rPr>
          <w:lang w:val="en-GB"/>
        </w:rPr>
        <w:t xml:space="preserve">) to encourage the increase in production and consumption of biofuels over fossil fuels and (ii) to foster sustainable agricultural intensification practices (such as the recovery of low-productive pastures and </w:t>
      </w:r>
      <w:r w:rsidR="00A202AE">
        <w:rPr>
          <w:lang w:val="en-GB"/>
        </w:rPr>
        <w:t xml:space="preserve">the promotion of </w:t>
      </w:r>
      <w:r w:rsidRPr="00D45F92">
        <w:rPr>
          <w:lang w:val="en-GB"/>
        </w:rPr>
        <w:t>crop-livestock-forestry integration)</w:t>
      </w:r>
      <w:r w:rsidR="00C624C8">
        <w:rPr>
          <w:lang w:val="en-GB"/>
        </w:rPr>
        <w:t>.</w:t>
      </w:r>
      <w:r w:rsidRPr="00D45F92">
        <w:rPr>
          <w:lang w:val="en-GB"/>
        </w:rPr>
        <w:t xml:space="preserve"> </w:t>
      </w:r>
      <w:r w:rsidR="00C624C8" w:rsidRPr="00C624C8">
        <w:rPr>
          <w:lang w:val="en-GB"/>
        </w:rPr>
        <w:t>The goal is to expand agricultural output while simultaneously reducing greenhouse gas (GHG) emissions and lessening pressures to increase cropland</w:t>
      </w:r>
      <w:r w:rsidR="00C624C8">
        <w:rPr>
          <w:lang w:val="en-GB"/>
        </w:rPr>
        <w:t xml:space="preserve"> </w:t>
      </w:r>
      <w:r w:rsidRPr="00D45F92">
        <w:rPr>
          <w:lang w:val="en-GB"/>
        </w:rPr>
        <w:t xml:space="preserve">(ANP, 2020; MAPA, 2021). Integrated sugarcane-livestock systems could potentially facilitate the expansion of </w:t>
      </w:r>
      <w:r w:rsidR="00A202AE" w:rsidRPr="00D45F92">
        <w:t xml:space="preserve">ethanol production without </w:t>
      </w:r>
      <w:r w:rsidR="00A202AE">
        <w:t xml:space="preserve">putting </w:t>
      </w:r>
      <w:r w:rsidR="00A202AE" w:rsidRPr="00D45F92">
        <w:t xml:space="preserve">crop and/or livestock production </w:t>
      </w:r>
      <w:r w:rsidR="00741D9D">
        <w:t xml:space="preserve">at </w:t>
      </w:r>
      <w:r w:rsidR="00741D9D" w:rsidRPr="00A202AE">
        <w:t xml:space="preserve">risk </w:t>
      </w:r>
      <w:r w:rsidR="00A202AE" w:rsidRPr="00D45F92">
        <w:t xml:space="preserve">and </w:t>
      </w:r>
      <w:r w:rsidR="00A202AE" w:rsidRPr="00A202AE">
        <w:t xml:space="preserve">displacing </w:t>
      </w:r>
      <w:r w:rsidR="00A202AE" w:rsidRPr="00D45F92">
        <w:t>areas</w:t>
      </w:r>
      <w:r w:rsidR="00A202AE">
        <w:rPr>
          <w:lang w:val="en-GB"/>
        </w:rPr>
        <w:t xml:space="preserve"> </w:t>
      </w:r>
      <w:r w:rsidRPr="00D45F92">
        <w:rPr>
          <w:lang w:val="en-GB"/>
        </w:rPr>
        <w:t>covered with natural vegetation</w:t>
      </w:r>
      <w:r w:rsidR="00A202AE">
        <w:rPr>
          <w:lang w:val="en-GB"/>
        </w:rPr>
        <w:t xml:space="preserve"> (Souza et al., 2019)</w:t>
      </w:r>
      <w:r w:rsidRPr="00D45F92">
        <w:rPr>
          <w:lang w:val="en-GB"/>
        </w:rPr>
        <w:t xml:space="preserve">. Considering these facts, this study aims to assess whether promoting integration </w:t>
      </w:r>
      <w:r w:rsidRPr="00D45F92">
        <w:rPr>
          <w:lang w:val="en-GB"/>
        </w:rPr>
        <w:lastRenderedPageBreak/>
        <w:t>between the sugarcane and beef cattle systems is economically advantageous. For this purpose, metamodels for sugarcane production, ethanol mill, and beef cattle production were optimized.</w:t>
      </w:r>
      <w:r w:rsidR="00D5781A">
        <w:rPr>
          <w:lang w:val="en-GB"/>
        </w:rPr>
        <w:t xml:space="preserve"> </w:t>
      </w:r>
    </w:p>
    <w:p w14:paraId="5741900F" w14:textId="4742C01E" w:rsidR="00453E24" w:rsidRPr="0066110B" w:rsidRDefault="009E2A08" w:rsidP="009F122B">
      <w:pPr>
        <w:pStyle w:val="CETHeading1"/>
        <w:spacing w:line="264" w:lineRule="auto"/>
      </w:pPr>
      <w:r w:rsidRPr="0066110B">
        <w:t>Methodology</w:t>
      </w:r>
    </w:p>
    <w:p w14:paraId="60A0CA1C" w14:textId="7872139D" w:rsidR="00111158" w:rsidRPr="0066110B" w:rsidRDefault="00111158" w:rsidP="009F122B">
      <w:pPr>
        <w:pStyle w:val="CETheadingx"/>
        <w:spacing w:line="264" w:lineRule="auto"/>
      </w:pPr>
      <w:r w:rsidRPr="0066110B">
        <w:t>System description</w:t>
      </w:r>
    </w:p>
    <w:p w14:paraId="5E00B68F" w14:textId="77777777" w:rsidR="00D45F92" w:rsidRPr="00D45F92" w:rsidRDefault="00D45F92" w:rsidP="009F122B">
      <w:pPr>
        <w:pStyle w:val="CETBodytext"/>
        <w:spacing w:after="120"/>
        <w:rPr>
          <w:lang w:val="en-GB"/>
        </w:rPr>
      </w:pPr>
      <w:r w:rsidRPr="00D45F92">
        <w:rPr>
          <w:lang w:val="en-GB"/>
        </w:rPr>
        <w:t xml:space="preserve">Two systems were compared in this study (Figure 1): </w:t>
      </w:r>
    </w:p>
    <w:p w14:paraId="5C687034" w14:textId="77777777" w:rsidR="00D45F92" w:rsidRPr="009F122B" w:rsidRDefault="00D45F92" w:rsidP="009F122B">
      <w:pPr>
        <w:pStyle w:val="CETBodytext"/>
        <w:spacing w:after="120"/>
        <w:rPr>
          <w:lang w:val="en-GB"/>
        </w:rPr>
      </w:pPr>
      <w:r w:rsidRPr="009F122B">
        <w:rPr>
          <w:lang w:val="en-GB"/>
        </w:rPr>
        <w:t>(A) System without integration, consisting of:</w:t>
      </w:r>
    </w:p>
    <w:p w14:paraId="2DA55614" w14:textId="63A7433E" w:rsidR="00D45F92" w:rsidRPr="009F122B" w:rsidRDefault="00D45F92" w:rsidP="009F122B">
      <w:pPr>
        <w:pStyle w:val="CETBodytext"/>
        <w:spacing w:after="120"/>
        <w:ind w:left="284"/>
        <w:rPr>
          <w:lang w:val="en-GB"/>
        </w:rPr>
      </w:pPr>
      <w:r w:rsidRPr="009F122B">
        <w:rPr>
          <w:lang w:val="en-GB"/>
        </w:rPr>
        <w:t>(A1) Sugarcane ethanol distillery system: This system involves the production and transportation of sugarcane to a first-generation biorefinery and its processing to produce ethanol. The bagasse and sugarcane straw recovered are used in the boiler, generating steam to produce bioelectricity. The ethanol, surplus electricity and part of the excess bagasse produced in the biorefinery are sold. In the sugarcane reform area, soybeans are grown, and their grains are sold, with the revenue added to the system. Additionally, Decarbonization Credits (CBIO</w:t>
      </w:r>
      <w:r w:rsidR="00181AB1" w:rsidRPr="009F122B">
        <w:rPr>
          <w:lang w:val="en-GB"/>
        </w:rPr>
        <w:t>s</w:t>
      </w:r>
      <w:r w:rsidRPr="009F122B">
        <w:rPr>
          <w:lang w:val="en-GB"/>
        </w:rPr>
        <w:t>) are sold, increasing biorefinery revenue. The area allocated for the industrial sector of the biorefinery is negligible.</w:t>
      </w:r>
    </w:p>
    <w:p w14:paraId="3AE41947" w14:textId="600821C7" w:rsidR="00D45F92" w:rsidRPr="009F122B" w:rsidRDefault="00D45F92" w:rsidP="009F122B">
      <w:pPr>
        <w:pStyle w:val="CETBodytext"/>
        <w:spacing w:after="120"/>
        <w:ind w:left="284"/>
        <w:rPr>
          <w:lang w:val="en-GB"/>
        </w:rPr>
      </w:pPr>
      <w:r w:rsidRPr="009F122B">
        <w:rPr>
          <w:lang w:val="en-GB"/>
        </w:rPr>
        <w:t xml:space="preserve">(A2) Beef cattle production on pasture: This </w:t>
      </w:r>
      <w:r w:rsidR="00A202AE" w:rsidRPr="009F122B">
        <w:rPr>
          <w:lang w:val="en-GB"/>
        </w:rPr>
        <w:t xml:space="preserve">typical </w:t>
      </w:r>
      <w:r w:rsidRPr="009F122B">
        <w:rPr>
          <w:lang w:val="en-GB"/>
        </w:rPr>
        <w:t>system exclusively involves fattening beef cattle on pasture without</w:t>
      </w:r>
      <w:r w:rsidR="00C71F16" w:rsidRPr="009F122B">
        <w:rPr>
          <w:lang w:val="en-GB"/>
        </w:rPr>
        <w:t xml:space="preserve"> feed</w:t>
      </w:r>
      <w:r w:rsidRPr="009F122B">
        <w:rPr>
          <w:lang w:val="en-GB"/>
        </w:rPr>
        <w:t xml:space="preserve"> supplementing. Pasture </w:t>
      </w:r>
      <w:r w:rsidR="00C71F16" w:rsidRPr="009F122B">
        <w:rPr>
          <w:lang w:val="en-GB"/>
        </w:rPr>
        <w:t>establishment</w:t>
      </w:r>
      <w:r w:rsidRPr="009F122B">
        <w:rPr>
          <w:lang w:val="en-GB"/>
        </w:rPr>
        <w:t xml:space="preserve"> is </w:t>
      </w:r>
      <w:r w:rsidR="00C71F16" w:rsidRPr="009F122B">
        <w:rPr>
          <w:lang w:val="en-GB"/>
        </w:rPr>
        <w:t xml:space="preserve">considered </w:t>
      </w:r>
      <w:r w:rsidRPr="009F122B">
        <w:rPr>
          <w:lang w:val="en-GB"/>
        </w:rPr>
        <w:t xml:space="preserve">at the </w:t>
      </w:r>
      <w:r w:rsidR="00A11617" w:rsidRPr="009F122B">
        <w:rPr>
          <w:lang w:val="en-GB"/>
        </w:rPr>
        <w:t xml:space="preserve">implementation </w:t>
      </w:r>
      <w:r w:rsidRPr="009F122B">
        <w:rPr>
          <w:lang w:val="en-GB"/>
        </w:rPr>
        <w:t xml:space="preserve">of operations and </w:t>
      </w:r>
      <w:r w:rsidR="00C71F16" w:rsidRPr="009F122B">
        <w:rPr>
          <w:lang w:val="en-GB"/>
        </w:rPr>
        <w:t>pasture maintenance is carried out</w:t>
      </w:r>
      <w:r w:rsidRPr="009F122B">
        <w:rPr>
          <w:lang w:val="en-GB"/>
        </w:rPr>
        <w:t xml:space="preserve"> over subsequent years through fertilization with urea, phosphorus pentoxide (P</w:t>
      </w:r>
      <w:r w:rsidRPr="009F122B">
        <w:rPr>
          <w:vertAlign w:val="subscript"/>
          <w:lang w:val="en-GB"/>
        </w:rPr>
        <w:t>2</w:t>
      </w:r>
      <w:r w:rsidRPr="009F122B">
        <w:rPr>
          <w:lang w:val="en-GB"/>
        </w:rPr>
        <w:t>O</w:t>
      </w:r>
      <w:r w:rsidRPr="009F122B">
        <w:rPr>
          <w:vertAlign w:val="subscript"/>
          <w:lang w:val="en-GB"/>
        </w:rPr>
        <w:t>5</w:t>
      </w:r>
      <w:r w:rsidRPr="009F122B">
        <w:rPr>
          <w:lang w:val="en-GB"/>
        </w:rPr>
        <w:t>), and potassium oxide (K</w:t>
      </w:r>
      <w:r w:rsidRPr="009F122B">
        <w:rPr>
          <w:vertAlign w:val="subscript"/>
          <w:lang w:val="en-GB"/>
        </w:rPr>
        <w:t>2</w:t>
      </w:r>
      <w:r w:rsidRPr="009F122B">
        <w:rPr>
          <w:lang w:val="en-GB"/>
        </w:rPr>
        <w:t xml:space="preserve">O). Cattle </w:t>
      </w:r>
      <w:r w:rsidR="00E93AB3" w:rsidRPr="009F122B">
        <w:rPr>
          <w:lang w:val="en-GB"/>
        </w:rPr>
        <w:t xml:space="preserve">heads </w:t>
      </w:r>
      <w:r w:rsidRPr="009F122B">
        <w:rPr>
          <w:lang w:val="en-GB"/>
        </w:rPr>
        <w:t>are purchased and subsequently resold annually after completing the fattening process, which occurs during the rainy season</w:t>
      </w:r>
      <w:r w:rsidR="00A202AE" w:rsidRPr="009F122B">
        <w:rPr>
          <w:lang w:val="en-GB"/>
        </w:rPr>
        <w:t xml:space="preserve"> in Brazil</w:t>
      </w:r>
      <w:r w:rsidRPr="009F122B">
        <w:rPr>
          <w:lang w:val="en-GB"/>
        </w:rPr>
        <w:t xml:space="preserve"> (between</w:t>
      </w:r>
      <w:r w:rsidR="00666797" w:rsidRPr="009F122B">
        <w:rPr>
          <w:lang w:val="en-GB"/>
        </w:rPr>
        <w:t xml:space="preserve"> </w:t>
      </w:r>
      <w:r w:rsidR="00C71F16" w:rsidRPr="009F122B">
        <w:rPr>
          <w:lang w:val="en-GB"/>
        </w:rPr>
        <w:t xml:space="preserve">September </w:t>
      </w:r>
      <w:r w:rsidRPr="009F122B">
        <w:rPr>
          <w:lang w:val="en-GB"/>
        </w:rPr>
        <w:t>and March). The productive pasture area is considered equivalent to the area allocated for sugarcane production in the biorefinery in A1.</w:t>
      </w:r>
      <w:r w:rsidR="002354FD" w:rsidRPr="009F122B">
        <w:rPr>
          <w:lang w:val="en-GB"/>
        </w:rPr>
        <w:t xml:space="preserve"> </w:t>
      </w:r>
    </w:p>
    <w:p w14:paraId="5BAA94BB" w14:textId="77777777" w:rsidR="00D45F92" w:rsidRPr="009F122B" w:rsidRDefault="00D45F92" w:rsidP="009F122B">
      <w:pPr>
        <w:pStyle w:val="CETBodytext"/>
        <w:spacing w:after="120"/>
        <w:rPr>
          <w:lang w:val="en-GB"/>
        </w:rPr>
      </w:pPr>
      <w:r w:rsidRPr="009F122B">
        <w:rPr>
          <w:lang w:val="en-GB"/>
        </w:rPr>
        <w:t>(B) System with integration, consisting of:</w:t>
      </w:r>
    </w:p>
    <w:p w14:paraId="3A189EE7" w14:textId="77777777" w:rsidR="00D45F92" w:rsidRPr="009F122B" w:rsidRDefault="00D45F92" w:rsidP="009F122B">
      <w:pPr>
        <w:pStyle w:val="CETBodytext"/>
        <w:spacing w:after="120"/>
        <w:ind w:left="284"/>
        <w:rPr>
          <w:lang w:val="en-GB"/>
        </w:rPr>
      </w:pPr>
      <w:r w:rsidRPr="009F122B">
        <w:rPr>
          <w:lang w:val="en-GB"/>
        </w:rPr>
        <w:t>(B1) Sugarcane ethanol distillery system: This system has the same operations and ethanol production as A1. However, in this integrated system, a portion of the bagasse is diverted to produce animal feed for feedlot cattle.</w:t>
      </w:r>
    </w:p>
    <w:p w14:paraId="6D6A4FFD" w14:textId="4817E905" w:rsidR="002E024C" w:rsidRDefault="00D45F92" w:rsidP="009F122B">
      <w:pPr>
        <w:pStyle w:val="CETBodytext"/>
        <w:spacing w:after="120"/>
        <w:ind w:left="284"/>
        <w:rPr>
          <w:lang w:val="en-GB"/>
        </w:rPr>
      </w:pPr>
      <w:r w:rsidRPr="009F122B">
        <w:rPr>
          <w:lang w:val="en-GB"/>
        </w:rPr>
        <w:t>(B2) Beef cattle production on feedlot: This system exclusively focuses on the finishing period, with all cattle confined. The animals receive supplementation</w:t>
      </w:r>
      <w:r w:rsidRPr="00D45F92">
        <w:rPr>
          <w:lang w:val="en-GB"/>
        </w:rPr>
        <w:t xml:space="preserve"> through an optimized feed that meets all nutritional requirements for their fattening. One of the components of this feed is raw bagasse, a co-product of the biorefinery (B1). The equivalent carcass</w:t>
      </w:r>
      <w:r w:rsidR="00C624C8">
        <w:rPr>
          <w:lang w:val="en-GB"/>
        </w:rPr>
        <w:t xml:space="preserve"> </w:t>
      </w:r>
      <w:r w:rsidR="00C624C8" w:rsidRPr="00D45F92">
        <w:rPr>
          <w:lang w:val="en-GB"/>
        </w:rPr>
        <w:t>production</w:t>
      </w:r>
      <w:r w:rsidR="00666797">
        <w:rPr>
          <w:lang w:val="en-GB"/>
        </w:rPr>
        <w:t xml:space="preserve"> </w:t>
      </w:r>
      <w:r w:rsidR="00C624C8" w:rsidRPr="00D45F92">
        <w:rPr>
          <w:lang w:val="en-GB"/>
        </w:rPr>
        <w:t xml:space="preserve">in this system </w:t>
      </w:r>
      <w:r w:rsidR="00C624C8">
        <w:rPr>
          <w:lang w:val="en-GB"/>
        </w:rPr>
        <w:t xml:space="preserve">- </w:t>
      </w:r>
      <w:r w:rsidR="00666797" w:rsidRPr="00666797">
        <w:rPr>
          <w:lang w:val="en-GB"/>
        </w:rPr>
        <w:t xml:space="preserve">portion of </w:t>
      </w:r>
      <w:r w:rsidR="00666797">
        <w:rPr>
          <w:lang w:val="en-GB"/>
        </w:rPr>
        <w:t>the</w:t>
      </w:r>
      <w:r w:rsidR="00666797" w:rsidRPr="00666797">
        <w:rPr>
          <w:lang w:val="en-GB"/>
        </w:rPr>
        <w:t xml:space="preserve"> animal that is used to produce consumable meat</w:t>
      </w:r>
      <w:r w:rsidR="00C624C8">
        <w:rPr>
          <w:lang w:val="en-GB"/>
        </w:rPr>
        <w:t xml:space="preserve"> -</w:t>
      </w:r>
      <w:r w:rsidRPr="00D45F92">
        <w:rPr>
          <w:lang w:val="en-GB"/>
        </w:rPr>
        <w:t xml:space="preserve"> is equal to the production of pasture-fed cattle in A2. The area allocated for confinement is negligible.</w:t>
      </w:r>
      <w:r w:rsidR="00493637">
        <w:rPr>
          <w:lang w:val="en-GB"/>
        </w:rPr>
        <w:t xml:space="preserve"> </w:t>
      </w:r>
      <w:r w:rsidR="00493637" w:rsidRPr="00493637">
        <w:rPr>
          <w:lang w:val="en-GB"/>
        </w:rPr>
        <w:t>Thus, the area of ​​the system</w:t>
      </w:r>
      <w:r w:rsidR="00493637">
        <w:rPr>
          <w:lang w:val="en-GB"/>
        </w:rPr>
        <w:t xml:space="preserve"> </w:t>
      </w:r>
      <w:r w:rsidR="00493637" w:rsidRPr="00493637">
        <w:rPr>
          <w:lang w:val="en-GB"/>
        </w:rPr>
        <w:t>with integration is half the area without integration, maintaining the production</w:t>
      </w:r>
      <w:r w:rsidR="00493637">
        <w:rPr>
          <w:lang w:val="en-GB"/>
        </w:rPr>
        <w:t xml:space="preserve"> (Figure 1)</w:t>
      </w:r>
      <w:r w:rsidR="00493637" w:rsidRPr="00493637">
        <w:rPr>
          <w:lang w:val="en-GB"/>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027E42" w14:paraId="335BBF05" w14:textId="77777777" w:rsidTr="002E024C">
        <w:tc>
          <w:tcPr>
            <w:tcW w:w="8787" w:type="dxa"/>
          </w:tcPr>
          <w:p w14:paraId="012CEBB9" w14:textId="32814B7D" w:rsidR="00027E42" w:rsidRDefault="00C624C8" w:rsidP="009F122B">
            <w:pPr>
              <w:pStyle w:val="CETBodytext"/>
              <w:rPr>
                <w:lang w:val="en-GB"/>
              </w:rPr>
            </w:pPr>
            <w:r w:rsidRPr="00C624C8">
              <w:rPr>
                <w:noProof/>
              </w:rPr>
              <w:drawing>
                <wp:inline distT="0" distB="0" distL="0" distR="0" wp14:anchorId="0D70F548" wp14:editId="07832A8C">
                  <wp:extent cx="5445457" cy="1926377"/>
                  <wp:effectExtent l="0" t="0" r="3175" b="0"/>
                  <wp:docPr id="2033520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4344" cy="1929521"/>
                          </a:xfrm>
                          <a:prstGeom prst="rect">
                            <a:avLst/>
                          </a:prstGeom>
                          <a:noFill/>
                          <a:ln>
                            <a:noFill/>
                          </a:ln>
                        </pic:spPr>
                      </pic:pic>
                    </a:graphicData>
                  </a:graphic>
                </wp:inline>
              </w:drawing>
            </w:r>
          </w:p>
        </w:tc>
      </w:tr>
      <w:tr w:rsidR="00027E42" w:rsidRPr="009F122B" w14:paraId="045CD042" w14:textId="77777777" w:rsidTr="002E024C">
        <w:tc>
          <w:tcPr>
            <w:tcW w:w="8787" w:type="dxa"/>
          </w:tcPr>
          <w:p w14:paraId="61BC001A" w14:textId="698F85E2" w:rsidR="00027E42" w:rsidRPr="009F122B" w:rsidRDefault="00027E42" w:rsidP="009F122B">
            <w:pPr>
              <w:pStyle w:val="CETBodytext"/>
              <w:spacing w:after="120"/>
              <w:rPr>
                <w:i/>
                <w:iCs/>
                <w:lang w:val="en-GB"/>
              </w:rPr>
            </w:pPr>
            <w:r w:rsidRPr="009F122B">
              <w:rPr>
                <w:i/>
                <w:iCs/>
                <w:lang w:val="en-GB"/>
              </w:rPr>
              <w:t>Figure 1.</w:t>
            </w:r>
            <w:r w:rsidRPr="009F122B">
              <w:rPr>
                <w:i/>
                <w:iCs/>
              </w:rPr>
              <w:t xml:space="preserve"> </w:t>
            </w:r>
            <w:r w:rsidRPr="009F122B">
              <w:rPr>
                <w:i/>
                <w:iCs/>
                <w:lang w:val="en-GB"/>
              </w:rPr>
              <w:t>System</w:t>
            </w:r>
            <w:r w:rsidR="00D45F92" w:rsidRPr="009F122B">
              <w:rPr>
                <w:i/>
                <w:iCs/>
                <w:lang w:val="en-GB"/>
              </w:rPr>
              <w:t>s</w:t>
            </w:r>
            <w:r w:rsidRPr="009F122B">
              <w:rPr>
                <w:i/>
                <w:iCs/>
                <w:lang w:val="en-GB"/>
              </w:rPr>
              <w:t xml:space="preserve"> without (A) and with sugarcane-livestock integration (B) considered in this study</w:t>
            </w:r>
          </w:p>
        </w:tc>
      </w:tr>
    </w:tbl>
    <w:p w14:paraId="19498F08" w14:textId="310E4AB1" w:rsidR="0066110B" w:rsidRPr="0066110B" w:rsidRDefault="004B6A05" w:rsidP="009F122B">
      <w:pPr>
        <w:pStyle w:val="CETheadingx"/>
        <w:spacing w:line="264" w:lineRule="auto"/>
      </w:pPr>
      <w:r w:rsidRPr="0066110B">
        <w:t>Metamodels construction</w:t>
      </w:r>
    </w:p>
    <w:p w14:paraId="5441CDC8" w14:textId="3D4E7AF0" w:rsidR="00FD0EA8" w:rsidRPr="009F122B" w:rsidRDefault="00FD0EA8" w:rsidP="009F122B">
      <w:pPr>
        <w:pStyle w:val="CETBodytext"/>
        <w:spacing w:after="120"/>
        <w:rPr>
          <w:lang w:val="en-GB"/>
        </w:rPr>
      </w:pPr>
      <w:r w:rsidRPr="00FD0EA8">
        <w:rPr>
          <w:lang w:val="en-GB"/>
        </w:rPr>
        <w:t>Metamodels were built to describe the main characteristics and elements of the previously mentioned systems</w:t>
      </w:r>
      <w:r w:rsidR="0027032F">
        <w:rPr>
          <w:lang w:val="en-GB"/>
        </w:rPr>
        <w:t xml:space="preserve">, </w:t>
      </w:r>
      <w:r w:rsidR="0027032F" w:rsidRPr="0027032F">
        <w:rPr>
          <w:lang w:val="en-GB"/>
        </w:rPr>
        <w:t xml:space="preserve">using a similar approach to the one used </w:t>
      </w:r>
      <w:r w:rsidR="0027032F" w:rsidRPr="00EF0052">
        <w:t xml:space="preserve">by </w:t>
      </w:r>
      <w:proofErr w:type="spellStart"/>
      <w:r w:rsidR="0027032F" w:rsidRPr="00EF0052">
        <w:t>Bressanin</w:t>
      </w:r>
      <w:proofErr w:type="spellEnd"/>
      <w:r w:rsidR="0027032F" w:rsidRPr="00EF0052">
        <w:t xml:space="preserve"> et al. (2021)</w:t>
      </w:r>
      <w:r w:rsidRPr="00FD0EA8">
        <w:rPr>
          <w:lang w:val="en-GB"/>
        </w:rPr>
        <w:t xml:space="preserve">. Using these metamodels, it is feasible to </w:t>
      </w:r>
      <w:r w:rsidRPr="009F122B">
        <w:rPr>
          <w:lang w:val="en-GB"/>
        </w:rPr>
        <w:t xml:space="preserve">compute economic parameters, including operational costs (OPEX), investment costs (CAPEX), and revenues. From these parameters, it is then possible to calculate profitability indicators such as the net present value relative to investment (NPV/CAPEX) and the internal rate of return (IRR). </w:t>
      </w:r>
    </w:p>
    <w:p w14:paraId="7B804785" w14:textId="77777777" w:rsidR="00FD0EA8" w:rsidRPr="005B5B34" w:rsidRDefault="00FD0EA8" w:rsidP="009F122B">
      <w:pPr>
        <w:pStyle w:val="CETBodytext"/>
        <w:spacing w:after="120"/>
        <w:rPr>
          <w:b/>
          <w:bCs/>
          <w:lang w:val="en-GB"/>
        </w:rPr>
      </w:pPr>
      <w:r w:rsidRPr="005B5B34">
        <w:rPr>
          <w:b/>
          <w:bCs/>
          <w:lang w:val="en-GB"/>
        </w:rPr>
        <w:lastRenderedPageBreak/>
        <w:t>2.2.1 Modelling of sugarcane ethanol distillery system and beef cattle production on pasture</w:t>
      </w:r>
    </w:p>
    <w:p w14:paraId="0344BFAB" w14:textId="00E1DD04" w:rsidR="00FD0EA8" w:rsidRPr="009F122B" w:rsidRDefault="00FD0EA8" w:rsidP="009F122B">
      <w:pPr>
        <w:pStyle w:val="CETBodytext"/>
        <w:spacing w:after="120"/>
        <w:rPr>
          <w:lang w:val="en-GB"/>
        </w:rPr>
      </w:pPr>
      <w:r w:rsidRPr="009F122B">
        <w:rPr>
          <w:lang w:val="en-GB"/>
        </w:rPr>
        <w:t xml:space="preserve">Detailed models were employed to generate the metamodels for the sugarcane ethanol distillery system and beef cattle production on pasture. The Virtual Biorefinery (VB) served as the foundation for modelling the agricultural and industrial phases of the biorefinery (Bonomi et al., 2016). The </w:t>
      </w:r>
      <w:proofErr w:type="spellStart"/>
      <w:r w:rsidRPr="009F122B">
        <w:rPr>
          <w:lang w:val="en-GB"/>
        </w:rPr>
        <w:t>CanaSoft</w:t>
      </w:r>
      <w:proofErr w:type="spellEnd"/>
      <w:r w:rsidRPr="009F122B">
        <w:rPr>
          <w:lang w:val="en-GB"/>
        </w:rPr>
        <w:t xml:space="preserve"> Model </w:t>
      </w:r>
      <w:r w:rsidR="000A45DF" w:rsidRPr="009F122B">
        <w:rPr>
          <w:lang w:val="en-GB"/>
        </w:rPr>
        <w:t xml:space="preserve">(part of the VB platform) </w:t>
      </w:r>
      <w:r w:rsidRPr="009F122B">
        <w:rPr>
          <w:lang w:val="en-GB"/>
        </w:rPr>
        <w:t xml:space="preserve">was employed to calculate the recovery costs for sugarcane, soybean, and sugarcane straw (Bonomi et al., 2016). In the industrial phase, the commercial process simulator Aspen Plus® was utilized as the basis for the modelling process (Junqueira et al., 2017). For economic analysis, it was considered a vertically integrated system, i.e., sugarcane production and sugarcane straw recovery costs – calculated with </w:t>
      </w:r>
      <w:proofErr w:type="spellStart"/>
      <w:r w:rsidR="007E73CA" w:rsidRPr="009F122B">
        <w:rPr>
          <w:lang w:val="en-GB"/>
        </w:rPr>
        <w:t>CanaSoft</w:t>
      </w:r>
      <w:proofErr w:type="spellEnd"/>
      <w:r w:rsidR="007E73CA" w:rsidRPr="009F122B">
        <w:rPr>
          <w:lang w:val="en-GB"/>
        </w:rPr>
        <w:t xml:space="preserve"> </w:t>
      </w:r>
      <w:r w:rsidRPr="009F122B">
        <w:rPr>
          <w:lang w:val="en-GB"/>
        </w:rPr>
        <w:t xml:space="preserve">– were considered operational costs to the industrial phase. Regarding </w:t>
      </w:r>
      <w:r w:rsidR="007E73CA" w:rsidRPr="007E73CA">
        <w:rPr>
          <w:lang w:val="en-GB"/>
        </w:rPr>
        <w:t>the pastoral system</w:t>
      </w:r>
      <w:r w:rsidRPr="009F122B">
        <w:rPr>
          <w:lang w:val="en-GB"/>
        </w:rPr>
        <w:t>, detailed models of beef cattle production developed by the Brazilian Agricultural Research Corporation (</w:t>
      </w:r>
      <w:r w:rsidR="00666797" w:rsidRPr="009F122B">
        <w:rPr>
          <w:lang w:val="en-GB"/>
        </w:rPr>
        <w:t>EMBRAPA)</w:t>
      </w:r>
      <w:r w:rsidRPr="009F122B">
        <w:rPr>
          <w:lang w:val="en-GB"/>
        </w:rPr>
        <w:t xml:space="preserve"> were considered. In this analysis, a prototype farm in São Paulo</w:t>
      </w:r>
      <w:r w:rsidR="000A45DF" w:rsidRPr="009F122B">
        <w:rPr>
          <w:lang w:val="en-GB"/>
        </w:rPr>
        <w:t xml:space="preserve"> state</w:t>
      </w:r>
      <w:r w:rsidRPr="009F122B">
        <w:rPr>
          <w:lang w:val="en-GB"/>
        </w:rPr>
        <w:t>, Brazil, was considered.</w:t>
      </w:r>
    </w:p>
    <w:p w14:paraId="7F79AA74" w14:textId="77777777" w:rsidR="00FD0EA8" w:rsidRPr="009F122B" w:rsidRDefault="00FD0EA8" w:rsidP="009F122B">
      <w:pPr>
        <w:pStyle w:val="CETBodytext"/>
        <w:spacing w:after="120"/>
        <w:rPr>
          <w:lang w:val="en-GB"/>
        </w:rPr>
      </w:pPr>
      <w:r w:rsidRPr="009F122B">
        <w:rPr>
          <w:lang w:val="en-GB"/>
        </w:rPr>
        <w:t>The factorial design of experiment (2</w:t>
      </w:r>
      <w:r w:rsidRPr="009F122B">
        <w:rPr>
          <w:vertAlign w:val="superscript"/>
          <w:lang w:val="en-GB"/>
        </w:rPr>
        <w:t>k</w:t>
      </w:r>
      <w:r w:rsidRPr="009F122B">
        <w:rPr>
          <w:lang w:val="en-GB"/>
        </w:rPr>
        <w:t xml:space="preserve">) with a Central Composite Circumscribed Design (CCC) was applied to develop these metamodels. Second-degree polynomial regression was employed to construct the metamodels tested at a 95% confidence level. The quality of the fit of the statistical metamodels was assessed using the coefficient of determination (R²) and Analysis of Variance (ANOVA). </w:t>
      </w:r>
    </w:p>
    <w:p w14:paraId="798D3234" w14:textId="77777777" w:rsidR="00FD0EA8" w:rsidRPr="005B5B34" w:rsidRDefault="00FD0EA8" w:rsidP="009F122B">
      <w:pPr>
        <w:pStyle w:val="CETBodytext"/>
        <w:spacing w:after="120"/>
        <w:rPr>
          <w:b/>
          <w:bCs/>
          <w:lang w:val="en-GB"/>
        </w:rPr>
      </w:pPr>
      <w:r w:rsidRPr="005B5B34">
        <w:rPr>
          <w:b/>
          <w:bCs/>
          <w:lang w:val="en-GB"/>
        </w:rPr>
        <w:t xml:space="preserve">2.2.2 Modelling of beef cattle production on feedlot </w:t>
      </w:r>
    </w:p>
    <w:p w14:paraId="38CBF4CB" w14:textId="77777777" w:rsidR="00FD0EA8" w:rsidRPr="009F122B" w:rsidRDefault="00FD0EA8" w:rsidP="009F122B">
      <w:pPr>
        <w:pStyle w:val="CETBodytext"/>
        <w:spacing w:after="120"/>
        <w:rPr>
          <w:lang w:val="en-GB"/>
        </w:rPr>
      </w:pPr>
      <w:r w:rsidRPr="009F122B">
        <w:rPr>
          <w:lang w:val="en-GB"/>
        </w:rPr>
        <w:t xml:space="preserve">In feedlot livestock farming, most operational costs are related to the animal purchase and feed ingredients, which were directly calculated in the modelling. Additional operational costs, including </w:t>
      </w:r>
      <w:proofErr w:type="spellStart"/>
      <w:r w:rsidRPr="009F122B">
        <w:rPr>
          <w:lang w:val="en-GB"/>
        </w:rPr>
        <w:t>labor</w:t>
      </w:r>
      <w:proofErr w:type="spellEnd"/>
      <w:r w:rsidRPr="009F122B">
        <w:rPr>
          <w:lang w:val="en-GB"/>
        </w:rPr>
        <w:t xml:space="preserve">, maintenance, and sanitary management, along with investment costs, were estimated utilizing the methodology outlined by </w:t>
      </w:r>
      <w:proofErr w:type="spellStart"/>
      <w:r w:rsidRPr="009F122B">
        <w:rPr>
          <w:lang w:val="en-GB"/>
        </w:rPr>
        <w:t>Sartorello</w:t>
      </w:r>
      <w:proofErr w:type="spellEnd"/>
      <w:r w:rsidRPr="009F122B">
        <w:rPr>
          <w:lang w:val="en-GB"/>
        </w:rPr>
        <w:t xml:space="preserve"> et al. (2018).</w:t>
      </w:r>
    </w:p>
    <w:p w14:paraId="037AEBFD" w14:textId="77777777" w:rsidR="00FD0EA8" w:rsidRPr="005B5B34" w:rsidRDefault="00FD0EA8" w:rsidP="009F122B">
      <w:pPr>
        <w:pStyle w:val="CETBodytext"/>
        <w:spacing w:after="120"/>
        <w:rPr>
          <w:b/>
          <w:bCs/>
          <w:lang w:val="en-GB"/>
        </w:rPr>
      </w:pPr>
      <w:r w:rsidRPr="005B5B34">
        <w:rPr>
          <w:b/>
          <w:bCs/>
          <w:lang w:val="en-GB"/>
        </w:rPr>
        <w:t xml:space="preserve">2.2.3 Modelling of CBIOs </w:t>
      </w:r>
    </w:p>
    <w:p w14:paraId="55E15E36" w14:textId="1DBBED07" w:rsidR="00FD0EA8" w:rsidRPr="00EA05B7" w:rsidRDefault="00FD0EA8" w:rsidP="009F122B">
      <w:pPr>
        <w:pStyle w:val="CETBodytext"/>
        <w:spacing w:after="240"/>
        <w:rPr>
          <w:lang w:val="en-GB"/>
        </w:rPr>
      </w:pPr>
      <w:r w:rsidRPr="00FD0EA8">
        <w:rPr>
          <w:lang w:val="en-GB"/>
        </w:rPr>
        <w:t xml:space="preserve">CBIOs were estimated using the biofuel's energy-environment efficiency score based on the life cycle analysis methodology applied by the </w:t>
      </w:r>
      <w:proofErr w:type="spellStart"/>
      <w:r w:rsidRPr="00FD0EA8">
        <w:rPr>
          <w:lang w:val="en-GB"/>
        </w:rPr>
        <w:t>RenovaBio</w:t>
      </w:r>
      <w:proofErr w:type="spellEnd"/>
      <w:r w:rsidRPr="00FD0EA8">
        <w:rPr>
          <w:lang w:val="en-GB"/>
        </w:rPr>
        <w:t xml:space="preserve"> program. Greenhouse gas (GHG) emissions from each phase (agricultural, industrial, distribution, and use) were estimated using the </w:t>
      </w:r>
      <w:proofErr w:type="spellStart"/>
      <w:r w:rsidRPr="00FD0EA8">
        <w:rPr>
          <w:lang w:val="en-GB"/>
        </w:rPr>
        <w:t>CanaSoft</w:t>
      </w:r>
      <w:proofErr w:type="spellEnd"/>
      <w:r w:rsidRPr="00FD0EA8">
        <w:rPr>
          <w:lang w:val="en-GB"/>
        </w:rPr>
        <w:t xml:space="preserve"> and VB tools, in addition to the </w:t>
      </w:r>
      <w:proofErr w:type="spellStart"/>
      <w:r w:rsidRPr="00FD0EA8">
        <w:rPr>
          <w:lang w:val="en-GB"/>
        </w:rPr>
        <w:t>RenovaCalc</w:t>
      </w:r>
      <w:proofErr w:type="spellEnd"/>
      <w:r w:rsidRPr="00FD0EA8">
        <w:rPr>
          <w:lang w:val="en-GB"/>
        </w:rPr>
        <w:t xml:space="preserve"> methodology and the GHG Protocol emission factors (ANP, 2020).</w:t>
      </w:r>
    </w:p>
    <w:p w14:paraId="27E2B003" w14:textId="0430C359" w:rsidR="00DB0E25" w:rsidRDefault="002E470A" w:rsidP="009F122B">
      <w:pPr>
        <w:pStyle w:val="CETheadingx"/>
        <w:spacing w:line="264" w:lineRule="auto"/>
      </w:pPr>
      <w:r>
        <w:t>Optimization</w:t>
      </w:r>
      <w:r w:rsidR="0035271D">
        <w:t xml:space="preserve"> Methodology</w:t>
      </w:r>
    </w:p>
    <w:p w14:paraId="3E5B25AB" w14:textId="79C096D1" w:rsidR="00027E42" w:rsidRDefault="00F03013" w:rsidP="009F122B">
      <w:pPr>
        <w:pStyle w:val="CETBodytext"/>
        <w:spacing w:after="120"/>
      </w:pPr>
      <w:r w:rsidRPr="00F03013">
        <w:t xml:space="preserve">After obtaining the metamodels (Step 1, Figure 2), the NPV/CAPEX of the sugarcane ethanol distillery system was maximized (Step 2, Figure 2). The decision variables were the </w:t>
      </w:r>
      <w:r>
        <w:t>sugarcane processing capacity</w:t>
      </w:r>
      <w:r w:rsidR="00666797">
        <w:t xml:space="preserve">, 2 to 10 million </w:t>
      </w:r>
      <w:proofErr w:type="spellStart"/>
      <w:r w:rsidR="00666797">
        <w:t>tonne</w:t>
      </w:r>
      <w:r w:rsidR="00741D9D">
        <w:t>s</w:t>
      </w:r>
      <w:proofErr w:type="spellEnd"/>
      <w:r w:rsidR="00666797">
        <w:t xml:space="preserve"> </w:t>
      </w:r>
      <w:r w:rsidR="00666797" w:rsidRPr="00DD4120">
        <w:t>of sugarcane stalk</w:t>
      </w:r>
      <w:r w:rsidR="00666797">
        <w:t xml:space="preserve"> per year</w:t>
      </w:r>
      <w:r w:rsidR="00666797">
        <w:rPr>
          <w:vertAlign w:val="superscript"/>
        </w:rPr>
        <w:t xml:space="preserve"> </w:t>
      </w:r>
      <w:r w:rsidR="00666797" w:rsidRPr="00DD4120">
        <w:t>(MTC</w:t>
      </w:r>
      <w:r w:rsidR="00305BD8">
        <w:t xml:space="preserve"> </w:t>
      </w:r>
      <w:r w:rsidR="00666797" w:rsidRPr="00DD4120">
        <w:t>y</w:t>
      </w:r>
      <w:r w:rsidR="00666797">
        <w:rPr>
          <w:vertAlign w:val="superscript"/>
        </w:rPr>
        <w:t>-1</w:t>
      </w:r>
      <w:r w:rsidR="00666797">
        <w:t xml:space="preserve">), </w:t>
      </w:r>
      <w:r>
        <w:t>and the sugarcane straw recovery</w:t>
      </w:r>
      <w:r w:rsidR="00666797">
        <w:t xml:space="preserve">, 6.74 to 67.4 </w:t>
      </w:r>
      <w:r w:rsidR="005D6B09">
        <w:t>kilogram</w:t>
      </w:r>
      <w:r w:rsidR="00666797" w:rsidRPr="00DD4120">
        <w:t>, in dry basis,</w:t>
      </w:r>
      <w:r w:rsidR="00666797" w:rsidRPr="004651ED">
        <w:rPr>
          <w:vertAlign w:val="subscript"/>
        </w:rPr>
        <w:t xml:space="preserve"> </w:t>
      </w:r>
      <w:r w:rsidR="00666797" w:rsidRPr="00DD4120">
        <w:t xml:space="preserve">per </w:t>
      </w:r>
      <w:proofErr w:type="spellStart"/>
      <w:r w:rsidR="00666797" w:rsidRPr="00DD4120">
        <w:t>tonne</w:t>
      </w:r>
      <w:proofErr w:type="spellEnd"/>
      <w:r w:rsidR="00666797" w:rsidRPr="00DD4120">
        <w:t xml:space="preserve"> of sugarcane stalk</w:t>
      </w:r>
      <w:r w:rsidR="00666797">
        <w:t xml:space="preserve"> (</w:t>
      </w:r>
      <w:proofErr w:type="spellStart"/>
      <w:r w:rsidR="00666797" w:rsidRPr="006840F2">
        <w:t>kg</w:t>
      </w:r>
      <w:r w:rsidR="00666797" w:rsidRPr="006840F2">
        <w:rPr>
          <w:vertAlign w:val="subscript"/>
        </w:rPr>
        <w:t>db</w:t>
      </w:r>
      <w:proofErr w:type="spellEnd"/>
      <w:r w:rsidR="00305BD8">
        <w:t xml:space="preserve"> </w:t>
      </w:r>
      <w:r w:rsidR="00666797">
        <w:t>TC</w:t>
      </w:r>
      <w:r w:rsidR="00666797">
        <w:rPr>
          <w:vertAlign w:val="superscript"/>
        </w:rPr>
        <w:t>-1</w:t>
      </w:r>
      <w:r w:rsidR="00666797">
        <w:t>)</w:t>
      </w:r>
      <w:r w:rsidR="005D6B09">
        <w:t xml:space="preserve">. </w:t>
      </w:r>
      <w:r w:rsidRPr="00F03013">
        <w:t xml:space="preserve">This optimization provided the optimized area for the biorefinery, which served as an input parameter for pasture-fed beef production </w:t>
      </w:r>
      <w:r w:rsidR="00FD0EA8">
        <w:t>and</w:t>
      </w:r>
      <w:r w:rsidRPr="00F03013">
        <w:t xml:space="preserve"> ethanol production, representing an equality constraint in the integrated </w:t>
      </w:r>
      <w:r w:rsidR="007536B5">
        <w:t>system</w:t>
      </w:r>
      <w:r w:rsidRPr="00F03013">
        <w:t xml:space="preserve">. Subsequently, the NPV/CAPEX of pasture-fed beef production was also </w:t>
      </w:r>
      <w:r w:rsidR="00027E42" w:rsidRPr="00F03013">
        <w:t>maximized</w:t>
      </w:r>
      <w:r w:rsidRPr="00F03013">
        <w:t xml:space="preserve"> (Step 3, Figure 2). The decision variable was the stocking rate</w:t>
      </w:r>
      <w:r w:rsidR="00027E42">
        <w:t xml:space="preserve"> (1 to 4 </w:t>
      </w:r>
      <w:r w:rsidR="00666797" w:rsidRPr="00666797">
        <w:t>heads per hectare</w:t>
      </w:r>
      <w:r w:rsidR="00027E42">
        <w:t>)</w:t>
      </w:r>
      <w:r w:rsidRPr="00F03013">
        <w:t xml:space="preserve">. </w:t>
      </w:r>
      <w:r w:rsidR="00FD0EA8" w:rsidRPr="00FD0EA8">
        <w:t>This optimization yielded the carcass equivalent quantity, an equality constraint in the integrated system. With the optimized parameters, it was possible to calculate the systems' NPV/CAPEX and IRR without and with integration (Step 4, Figure 2).</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027E42" w14:paraId="0EA82ED6" w14:textId="77777777" w:rsidTr="00027E42">
        <w:tc>
          <w:tcPr>
            <w:tcW w:w="8787" w:type="dxa"/>
          </w:tcPr>
          <w:p w14:paraId="4775D639" w14:textId="7B4A044A" w:rsidR="00027E42" w:rsidRDefault="00027E42" w:rsidP="009F122B">
            <w:pPr>
              <w:pStyle w:val="CETBodytext"/>
            </w:pPr>
            <w:r>
              <w:rPr>
                <w:noProof/>
              </w:rPr>
              <w:drawing>
                <wp:inline distT="0" distB="0" distL="0" distR="0" wp14:anchorId="61938CA8" wp14:editId="79F9F176">
                  <wp:extent cx="5525532" cy="1509329"/>
                  <wp:effectExtent l="0" t="0" r="0" b="0"/>
                  <wp:docPr id="2922694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269420" name="Picture 3"/>
                          <pic:cNvPicPr/>
                        </pic:nvPicPr>
                        <pic:blipFill>
                          <a:blip r:embed="rId13"/>
                          <a:stretch>
                            <a:fillRect/>
                          </a:stretch>
                        </pic:blipFill>
                        <pic:spPr>
                          <a:xfrm>
                            <a:off x="0" y="0"/>
                            <a:ext cx="5525532" cy="1509329"/>
                          </a:xfrm>
                          <a:prstGeom prst="rect">
                            <a:avLst/>
                          </a:prstGeom>
                        </pic:spPr>
                      </pic:pic>
                    </a:graphicData>
                  </a:graphic>
                </wp:inline>
              </w:drawing>
            </w:r>
          </w:p>
        </w:tc>
      </w:tr>
      <w:tr w:rsidR="00027E42" w:rsidRPr="009F122B" w14:paraId="20E8DEDE" w14:textId="77777777" w:rsidTr="00027E42">
        <w:tc>
          <w:tcPr>
            <w:tcW w:w="8787" w:type="dxa"/>
          </w:tcPr>
          <w:p w14:paraId="65199152" w14:textId="5DD90487" w:rsidR="00027E42" w:rsidRPr="009F122B" w:rsidRDefault="00027E42" w:rsidP="009F122B">
            <w:pPr>
              <w:pStyle w:val="CETBodytext"/>
              <w:rPr>
                <w:i/>
                <w:iCs/>
                <w:lang w:val="en-GB"/>
              </w:rPr>
            </w:pPr>
            <w:r w:rsidRPr="009F122B">
              <w:rPr>
                <w:i/>
                <w:iCs/>
                <w:lang w:val="en-GB"/>
              </w:rPr>
              <w:t>Figure 2.</w:t>
            </w:r>
            <w:r w:rsidRPr="009F122B">
              <w:rPr>
                <w:i/>
                <w:iCs/>
              </w:rPr>
              <w:t xml:space="preserve"> Optimization algorithm</w:t>
            </w:r>
            <w:r w:rsidR="007536B5" w:rsidRPr="009F122B">
              <w:rPr>
                <w:i/>
                <w:iCs/>
              </w:rPr>
              <w:t>, where A = System without integration and B = System with integration</w:t>
            </w:r>
          </w:p>
        </w:tc>
      </w:tr>
    </w:tbl>
    <w:p w14:paraId="6133F1FD" w14:textId="77777777" w:rsidR="002E024C" w:rsidRPr="009F122B" w:rsidRDefault="002E024C" w:rsidP="009F122B">
      <w:pPr>
        <w:pStyle w:val="CETBodytext"/>
        <w:rPr>
          <w:i/>
          <w:iCs/>
          <w:lang w:val="en-GB"/>
        </w:rPr>
      </w:pPr>
    </w:p>
    <w:p w14:paraId="5C160C22" w14:textId="0F207E69" w:rsidR="00A6523D" w:rsidRPr="00595250" w:rsidRDefault="002E024C" w:rsidP="002C75E5">
      <w:pPr>
        <w:pStyle w:val="CETBodytext"/>
      </w:pPr>
      <w:r w:rsidRPr="002E024C">
        <w:t>The optimization problem was addressed using the PYOMO library with the IPOPT (Interior Point Optimizer) solver.</w:t>
      </w:r>
      <w:r w:rsidR="00FD0EA8">
        <w:t xml:space="preserve"> </w:t>
      </w:r>
      <w:r w:rsidRPr="002E024C">
        <w:t xml:space="preserve">The optimization process incorporated input parameter values specific to the </w:t>
      </w:r>
      <w:r w:rsidRPr="00493637">
        <w:t>São Paulo state</w:t>
      </w:r>
      <w:r w:rsidR="00493637" w:rsidRPr="00493637">
        <w:t xml:space="preserve"> </w:t>
      </w:r>
      <w:r w:rsidRPr="00493637">
        <w:t>(Table 1).</w:t>
      </w:r>
      <w:r w:rsidR="00FD0EA8">
        <w:t xml:space="preserve"> </w:t>
      </w:r>
      <w:r>
        <w:t>T</w:t>
      </w:r>
      <w:r w:rsidRPr="002E024C">
        <w:t>he optimal feed formulation considered was</w:t>
      </w:r>
      <w:r>
        <w:t xml:space="preserve"> 18.9% bagasse, 46.5% corn, 30% DDGS (Dried Distillers Grains with </w:t>
      </w:r>
      <w:proofErr w:type="spellStart"/>
      <w:r>
        <w:t>Solubles</w:t>
      </w:r>
      <w:proofErr w:type="spellEnd"/>
      <w:r>
        <w:t xml:space="preserve">), 1.3% vegetable oil, 0.5% potassium chloride, 1% calcite, 0.8% urea, and 1% mineral salt. </w:t>
      </w:r>
      <w:r w:rsidRPr="002E024C">
        <w:t>Furthermore</w:t>
      </w:r>
      <w:r>
        <w:t>, t</w:t>
      </w:r>
      <w:r w:rsidRPr="000F1933">
        <w:t>he profitability analysis</w:t>
      </w:r>
      <w:r>
        <w:t xml:space="preserve"> </w:t>
      </w:r>
      <w:r w:rsidRPr="0066110B">
        <w:rPr>
          <w:lang w:val="en-GB"/>
        </w:rPr>
        <w:t xml:space="preserve">integrated a 30-year cash flow projection, a minimum rate of attractiveness </w:t>
      </w:r>
      <w:r w:rsidRPr="0066110B">
        <w:rPr>
          <w:lang w:val="en-GB"/>
        </w:rPr>
        <w:lastRenderedPageBreak/>
        <w:t>(MRA) set at 12% per year,</w:t>
      </w:r>
      <w:r w:rsidR="005D6B09">
        <w:rPr>
          <w:lang w:val="en-GB"/>
        </w:rPr>
        <w:t xml:space="preserve"> </w:t>
      </w:r>
      <w:r w:rsidR="00B70000" w:rsidRPr="00B70000">
        <w:rPr>
          <w:lang w:val="en-GB"/>
        </w:rPr>
        <w:t xml:space="preserve">straight-line </w:t>
      </w:r>
      <w:r w:rsidRPr="0066110B">
        <w:rPr>
          <w:lang w:val="en-GB"/>
        </w:rPr>
        <w:t>depreciation spanning ten years, a 34% corporate tax rate, and working capital equivalent to 10% of the investment (Bonomi et al., 2016).</w:t>
      </w:r>
      <w:r w:rsidR="00D55F43">
        <w:rPr>
          <w:lang w:val="en-GB"/>
        </w:rPr>
        <w:t xml:space="preserve"> </w:t>
      </w:r>
      <w:r w:rsidR="00D55F43" w:rsidRPr="00D55F43">
        <w:rPr>
          <w:lang w:val="en-GB"/>
        </w:rPr>
        <w:t xml:space="preserve">It was also </w:t>
      </w:r>
      <w:r w:rsidR="005D6B09" w:rsidRPr="00D55F43">
        <w:rPr>
          <w:lang w:val="en-GB"/>
        </w:rPr>
        <w:t>considered</w:t>
      </w:r>
      <w:r w:rsidR="00D55F43" w:rsidRPr="00D55F43">
        <w:rPr>
          <w:lang w:val="en-GB"/>
        </w:rPr>
        <w:t xml:space="preserve"> that 1 U.S. dollar is equivalent to 5 Brazilian reais</w:t>
      </w:r>
      <w:r w:rsidR="00D55F43">
        <w:rPr>
          <w:lang w:val="en-GB"/>
        </w:rPr>
        <w:t xml:space="preserve"> (US$ 1.00 = R$ 5.00).</w:t>
      </w:r>
    </w:p>
    <w:p w14:paraId="230026BB" w14:textId="2FF45550" w:rsidR="002E470A" w:rsidRPr="009F122B" w:rsidRDefault="00D24440" w:rsidP="009B2228">
      <w:pPr>
        <w:pStyle w:val="CETTabletitle"/>
      </w:pPr>
      <w:r w:rsidRPr="009F122B">
        <w:t>Table 1</w:t>
      </w:r>
      <w:r w:rsidR="009B2228">
        <w:t>:</w:t>
      </w:r>
      <w:r w:rsidRPr="009F122B">
        <w:t xml:space="preserve"> </w:t>
      </w:r>
      <w:r w:rsidR="00463E9C" w:rsidRPr="009F122B">
        <w:t xml:space="preserve">Main </w:t>
      </w:r>
      <w:r w:rsidRPr="009F122B">
        <w:t>Input</w:t>
      </w:r>
      <w:r w:rsidR="00463E9C" w:rsidRPr="009F122B">
        <w:t>s</w:t>
      </w:r>
      <w:r w:rsidRPr="009F122B">
        <w:t xml:space="preserve"> parameters considered in the </w:t>
      </w:r>
      <w:r w:rsidR="0027032F" w:rsidRPr="009F122B">
        <w:t xml:space="preserve">Sugarcane-Livestock Integration </w:t>
      </w:r>
      <w:r w:rsidR="00493637" w:rsidRPr="009F122B">
        <w:t xml:space="preserve">– valid for </w:t>
      </w:r>
      <w:proofErr w:type="gramStart"/>
      <w:r w:rsidR="00493637" w:rsidRPr="009F122B">
        <w:t>2019</w:t>
      </w:r>
      <w:proofErr w:type="gramEnd"/>
      <w:r w:rsidR="004651ED" w:rsidRPr="009F122B">
        <w:t xml:space="preserve"> </w:t>
      </w:r>
    </w:p>
    <w:tbl>
      <w:tblPr>
        <w:tblpPr w:leftFromText="180" w:rightFromText="180" w:vertAnchor="text" w:horzAnchor="margin" w:tblpY="98"/>
        <w:tblW w:w="8618" w:type="dxa"/>
        <w:tblLook w:val="04A0" w:firstRow="1" w:lastRow="0" w:firstColumn="1" w:lastColumn="0" w:noHBand="0" w:noVBand="1"/>
      </w:tblPr>
      <w:tblGrid>
        <w:gridCol w:w="3402"/>
        <w:gridCol w:w="907"/>
        <w:gridCol w:w="3402"/>
        <w:gridCol w:w="907"/>
      </w:tblGrid>
      <w:tr w:rsidR="00855677" w:rsidRPr="00D24440" w14:paraId="68DEECFC" w14:textId="77777777" w:rsidTr="00DE71B8">
        <w:trPr>
          <w:trHeight w:val="170"/>
        </w:trPr>
        <w:tc>
          <w:tcPr>
            <w:tcW w:w="3402" w:type="dxa"/>
            <w:tcBorders>
              <w:top w:val="single" w:sz="12" w:space="0" w:color="008000"/>
              <w:left w:val="nil"/>
              <w:bottom w:val="single" w:sz="4" w:space="0" w:color="008000"/>
              <w:right w:val="nil"/>
            </w:tcBorders>
            <w:shd w:val="clear" w:color="auto" w:fill="auto"/>
            <w:noWrap/>
            <w:vAlign w:val="bottom"/>
            <w:hideMark/>
          </w:tcPr>
          <w:p w14:paraId="3B3B792F" w14:textId="7A8ECF2D" w:rsidR="00D24440" w:rsidRPr="009B2228" w:rsidRDefault="00BA0237" w:rsidP="006F2A60">
            <w:pPr>
              <w:rPr>
                <w:sz w:val="16"/>
                <w:szCs w:val="16"/>
                <w:lang w:val="en-US"/>
              </w:rPr>
            </w:pPr>
            <w:r w:rsidRPr="009B2228">
              <w:rPr>
                <w:sz w:val="16"/>
                <w:szCs w:val="16"/>
                <w:lang w:val="en-US"/>
              </w:rPr>
              <w:t>Inputs</w:t>
            </w:r>
          </w:p>
        </w:tc>
        <w:tc>
          <w:tcPr>
            <w:tcW w:w="907" w:type="dxa"/>
            <w:tcBorders>
              <w:top w:val="single" w:sz="12" w:space="0" w:color="008000"/>
              <w:left w:val="nil"/>
              <w:bottom w:val="single" w:sz="4" w:space="0" w:color="008000"/>
              <w:right w:val="single" w:sz="4" w:space="0" w:color="008000"/>
            </w:tcBorders>
            <w:shd w:val="clear" w:color="auto" w:fill="auto"/>
            <w:noWrap/>
            <w:vAlign w:val="bottom"/>
            <w:hideMark/>
          </w:tcPr>
          <w:p w14:paraId="73A4C827" w14:textId="77777777" w:rsidR="00D24440" w:rsidRPr="009B2228" w:rsidRDefault="00D24440" w:rsidP="006F2A60">
            <w:pPr>
              <w:rPr>
                <w:sz w:val="16"/>
                <w:szCs w:val="16"/>
                <w:lang w:val="en-US"/>
              </w:rPr>
            </w:pPr>
            <w:r w:rsidRPr="009B2228">
              <w:rPr>
                <w:sz w:val="16"/>
                <w:szCs w:val="16"/>
                <w:lang w:val="en-US"/>
              </w:rPr>
              <w:t>Value</w:t>
            </w:r>
          </w:p>
        </w:tc>
        <w:tc>
          <w:tcPr>
            <w:tcW w:w="3402" w:type="dxa"/>
            <w:tcBorders>
              <w:top w:val="single" w:sz="12" w:space="0" w:color="008000"/>
              <w:left w:val="single" w:sz="4" w:space="0" w:color="008000"/>
              <w:bottom w:val="single" w:sz="4" w:space="0" w:color="008000"/>
              <w:right w:val="nil"/>
            </w:tcBorders>
            <w:shd w:val="clear" w:color="auto" w:fill="auto"/>
            <w:noWrap/>
            <w:vAlign w:val="bottom"/>
            <w:hideMark/>
          </w:tcPr>
          <w:p w14:paraId="139F7655" w14:textId="08C1C974" w:rsidR="00D24440" w:rsidRPr="009B2228" w:rsidRDefault="00BA0237" w:rsidP="006F2A60">
            <w:pPr>
              <w:rPr>
                <w:sz w:val="16"/>
                <w:szCs w:val="16"/>
                <w:lang w:val="en-US"/>
              </w:rPr>
            </w:pPr>
            <w:r w:rsidRPr="009B2228">
              <w:rPr>
                <w:sz w:val="16"/>
                <w:szCs w:val="16"/>
                <w:lang w:val="en-US"/>
              </w:rPr>
              <w:t>Inputs</w:t>
            </w:r>
          </w:p>
        </w:tc>
        <w:tc>
          <w:tcPr>
            <w:tcW w:w="907" w:type="dxa"/>
            <w:tcBorders>
              <w:top w:val="single" w:sz="12" w:space="0" w:color="008000"/>
              <w:left w:val="nil"/>
              <w:bottom w:val="single" w:sz="4" w:space="0" w:color="008000"/>
              <w:right w:val="nil"/>
            </w:tcBorders>
            <w:shd w:val="clear" w:color="auto" w:fill="auto"/>
            <w:noWrap/>
            <w:vAlign w:val="bottom"/>
            <w:hideMark/>
          </w:tcPr>
          <w:p w14:paraId="678B5F96" w14:textId="77777777" w:rsidR="00D24440" w:rsidRPr="009B2228" w:rsidRDefault="00D24440" w:rsidP="006F2A60">
            <w:pPr>
              <w:rPr>
                <w:sz w:val="16"/>
                <w:szCs w:val="16"/>
                <w:lang w:val="en-US"/>
              </w:rPr>
            </w:pPr>
            <w:r w:rsidRPr="009B2228">
              <w:rPr>
                <w:sz w:val="16"/>
                <w:szCs w:val="16"/>
                <w:lang w:val="en-US"/>
              </w:rPr>
              <w:t>Value</w:t>
            </w:r>
          </w:p>
        </w:tc>
      </w:tr>
      <w:tr w:rsidR="00D55F43" w:rsidRPr="00D24440" w14:paraId="46034E29" w14:textId="77777777" w:rsidTr="00DE71B8">
        <w:trPr>
          <w:trHeight w:val="170"/>
        </w:trPr>
        <w:tc>
          <w:tcPr>
            <w:tcW w:w="3402" w:type="dxa"/>
            <w:tcBorders>
              <w:top w:val="single" w:sz="4" w:space="0" w:color="008000"/>
              <w:left w:val="nil"/>
              <w:bottom w:val="nil"/>
              <w:right w:val="nil"/>
            </w:tcBorders>
            <w:shd w:val="clear" w:color="auto" w:fill="auto"/>
            <w:noWrap/>
            <w:vAlign w:val="center"/>
          </w:tcPr>
          <w:p w14:paraId="4B36642D" w14:textId="78F1D122" w:rsidR="00D55F43" w:rsidRPr="009B2228" w:rsidRDefault="00D55F43" w:rsidP="006F2A60">
            <w:pPr>
              <w:rPr>
                <w:color w:val="000000"/>
                <w:sz w:val="16"/>
                <w:szCs w:val="16"/>
                <w:lang w:val="en-US"/>
              </w:rPr>
            </w:pPr>
            <w:r w:rsidRPr="009B2228">
              <w:rPr>
                <w:color w:val="000000"/>
                <w:sz w:val="16"/>
                <w:szCs w:val="16"/>
                <w:lang w:val="en-US"/>
              </w:rPr>
              <w:t xml:space="preserve">Sugarcane agricultural yield (t </w:t>
            </w:r>
            <w:proofErr w:type="gramStart"/>
            <w:r w:rsidRPr="009B2228">
              <w:rPr>
                <w:color w:val="000000"/>
                <w:sz w:val="16"/>
                <w:szCs w:val="16"/>
                <w:lang w:val="en-US"/>
              </w:rPr>
              <w:t>ha</w:t>
            </w:r>
            <w:r w:rsidRPr="009B2228">
              <w:rPr>
                <w:color w:val="000000"/>
                <w:sz w:val="16"/>
                <w:szCs w:val="16"/>
                <w:vertAlign w:val="superscript"/>
                <w:lang w:val="en-US"/>
              </w:rPr>
              <w:t>-1</w:t>
            </w:r>
            <w:proofErr w:type="gramEnd"/>
            <w:r w:rsidRPr="009B2228">
              <w:rPr>
                <w:color w:val="000000"/>
                <w:sz w:val="16"/>
                <w:szCs w:val="16"/>
                <w:lang w:val="en-US"/>
              </w:rPr>
              <w:t>)</w:t>
            </w:r>
          </w:p>
        </w:tc>
        <w:tc>
          <w:tcPr>
            <w:tcW w:w="907" w:type="dxa"/>
            <w:tcBorders>
              <w:top w:val="single" w:sz="4" w:space="0" w:color="008000"/>
              <w:left w:val="nil"/>
              <w:bottom w:val="nil"/>
              <w:right w:val="single" w:sz="4" w:space="0" w:color="008000"/>
            </w:tcBorders>
            <w:shd w:val="clear" w:color="auto" w:fill="auto"/>
            <w:noWrap/>
            <w:vAlign w:val="bottom"/>
          </w:tcPr>
          <w:p w14:paraId="00ADEA05" w14:textId="6FF10879" w:rsidR="00D55F43" w:rsidRPr="009B2228" w:rsidRDefault="00D55F43" w:rsidP="006F2A60">
            <w:pPr>
              <w:rPr>
                <w:color w:val="000000"/>
                <w:sz w:val="16"/>
                <w:szCs w:val="16"/>
                <w:lang w:val="en-US"/>
              </w:rPr>
            </w:pPr>
            <w:r w:rsidRPr="009B2228">
              <w:rPr>
                <w:color w:val="000000"/>
                <w:sz w:val="16"/>
                <w:szCs w:val="16"/>
                <w:lang w:val="en-US"/>
              </w:rPr>
              <w:t>80</w:t>
            </w:r>
          </w:p>
        </w:tc>
        <w:tc>
          <w:tcPr>
            <w:tcW w:w="3402" w:type="dxa"/>
            <w:tcBorders>
              <w:top w:val="single" w:sz="4" w:space="0" w:color="008000"/>
              <w:left w:val="single" w:sz="4" w:space="0" w:color="008000"/>
              <w:bottom w:val="nil"/>
              <w:right w:val="nil"/>
            </w:tcBorders>
            <w:shd w:val="clear" w:color="auto" w:fill="auto"/>
            <w:noWrap/>
            <w:vAlign w:val="center"/>
          </w:tcPr>
          <w:p w14:paraId="2AF762DD" w14:textId="65B2AEDD" w:rsidR="00D55F43" w:rsidRPr="009B2228" w:rsidRDefault="00D55F43" w:rsidP="006F2A60">
            <w:pPr>
              <w:rPr>
                <w:color w:val="000000"/>
                <w:sz w:val="16"/>
                <w:szCs w:val="16"/>
                <w:lang w:val="en-US"/>
              </w:rPr>
            </w:pPr>
            <w:r w:rsidRPr="009B2228">
              <w:rPr>
                <w:color w:val="000000"/>
                <w:sz w:val="16"/>
                <w:szCs w:val="16"/>
                <w:lang w:val="en-US"/>
              </w:rPr>
              <w:t>Feedlot live weight gain (kg head</w:t>
            </w:r>
            <w:r w:rsidRPr="009B2228">
              <w:rPr>
                <w:color w:val="000000"/>
                <w:sz w:val="16"/>
                <w:szCs w:val="16"/>
                <w:vertAlign w:val="superscript"/>
                <w:lang w:val="en-US"/>
              </w:rPr>
              <w:t>-1</w:t>
            </w:r>
            <w:r w:rsidRPr="009B2228">
              <w:rPr>
                <w:color w:val="000000"/>
                <w:sz w:val="16"/>
                <w:szCs w:val="16"/>
                <w:lang w:val="en-US"/>
              </w:rPr>
              <w:t xml:space="preserve"> y</w:t>
            </w:r>
            <w:r w:rsidRPr="009B2228">
              <w:rPr>
                <w:color w:val="000000"/>
                <w:sz w:val="16"/>
                <w:szCs w:val="16"/>
                <w:vertAlign w:val="superscript"/>
                <w:lang w:val="en-US"/>
              </w:rPr>
              <w:t>-1</w:t>
            </w:r>
            <w:r w:rsidRPr="009B2228">
              <w:rPr>
                <w:color w:val="000000"/>
                <w:sz w:val="16"/>
                <w:szCs w:val="16"/>
                <w:lang w:val="en-US"/>
              </w:rPr>
              <w:t>)</w:t>
            </w:r>
          </w:p>
        </w:tc>
        <w:tc>
          <w:tcPr>
            <w:tcW w:w="907" w:type="dxa"/>
            <w:tcBorders>
              <w:top w:val="single" w:sz="4" w:space="0" w:color="008000"/>
              <w:left w:val="nil"/>
              <w:bottom w:val="nil"/>
              <w:right w:val="nil"/>
            </w:tcBorders>
            <w:shd w:val="clear" w:color="auto" w:fill="auto"/>
            <w:noWrap/>
            <w:vAlign w:val="bottom"/>
          </w:tcPr>
          <w:p w14:paraId="6F986FBB" w14:textId="12EB3AF1" w:rsidR="00D55F43" w:rsidRPr="009B2228" w:rsidRDefault="00D55F43" w:rsidP="006F2A60">
            <w:pPr>
              <w:rPr>
                <w:color w:val="000000"/>
                <w:sz w:val="16"/>
                <w:szCs w:val="16"/>
                <w:lang w:val="en-US"/>
              </w:rPr>
            </w:pPr>
            <w:r w:rsidRPr="009B2228">
              <w:rPr>
                <w:color w:val="000000"/>
                <w:sz w:val="16"/>
                <w:szCs w:val="16"/>
                <w:lang w:val="en-US"/>
              </w:rPr>
              <w:t>170</w:t>
            </w:r>
          </w:p>
        </w:tc>
      </w:tr>
      <w:tr w:rsidR="00D55F43" w:rsidRPr="00D24440" w14:paraId="382127AB" w14:textId="77777777" w:rsidTr="00DE71B8">
        <w:trPr>
          <w:trHeight w:val="170"/>
        </w:trPr>
        <w:tc>
          <w:tcPr>
            <w:tcW w:w="3402" w:type="dxa"/>
            <w:tcBorders>
              <w:top w:val="nil"/>
              <w:left w:val="nil"/>
              <w:bottom w:val="nil"/>
              <w:right w:val="nil"/>
            </w:tcBorders>
            <w:shd w:val="clear" w:color="auto" w:fill="auto"/>
            <w:noWrap/>
            <w:vAlign w:val="center"/>
          </w:tcPr>
          <w:p w14:paraId="07DA4873" w14:textId="635235A6" w:rsidR="00D55F43" w:rsidRPr="009B2228" w:rsidRDefault="00D55F43" w:rsidP="006F2A60">
            <w:pPr>
              <w:rPr>
                <w:color w:val="000000"/>
                <w:sz w:val="16"/>
                <w:szCs w:val="16"/>
                <w:lang w:val="en-US"/>
              </w:rPr>
            </w:pPr>
            <w:r w:rsidRPr="009B2228">
              <w:rPr>
                <w:color w:val="000000"/>
                <w:sz w:val="16"/>
                <w:szCs w:val="16"/>
                <w:lang w:val="en-US"/>
              </w:rPr>
              <w:t>Land rental cost (US$ ha y</w:t>
            </w:r>
            <w:r w:rsidRPr="009B2228">
              <w:rPr>
                <w:color w:val="000000"/>
                <w:sz w:val="16"/>
                <w:szCs w:val="16"/>
                <w:vertAlign w:val="superscript"/>
                <w:lang w:val="en-US"/>
              </w:rPr>
              <w:t>-1</w:t>
            </w:r>
            <w:r w:rsidRPr="009B2228">
              <w:rPr>
                <w:color w:val="000000"/>
                <w:sz w:val="16"/>
                <w:szCs w:val="16"/>
                <w:lang w:val="en-US"/>
              </w:rPr>
              <w:t>)</w:t>
            </w:r>
          </w:p>
        </w:tc>
        <w:tc>
          <w:tcPr>
            <w:tcW w:w="907" w:type="dxa"/>
            <w:tcBorders>
              <w:top w:val="nil"/>
              <w:left w:val="nil"/>
              <w:bottom w:val="nil"/>
              <w:right w:val="single" w:sz="4" w:space="0" w:color="008000"/>
            </w:tcBorders>
            <w:shd w:val="clear" w:color="auto" w:fill="auto"/>
            <w:noWrap/>
            <w:vAlign w:val="bottom"/>
          </w:tcPr>
          <w:p w14:paraId="5C1A172D" w14:textId="62DDA0EB" w:rsidR="00D55F43" w:rsidRPr="009B2228" w:rsidRDefault="00D55F43" w:rsidP="006F2A60">
            <w:pPr>
              <w:rPr>
                <w:color w:val="000000"/>
                <w:sz w:val="16"/>
                <w:szCs w:val="16"/>
                <w:lang w:val="en-US"/>
              </w:rPr>
            </w:pPr>
            <w:r w:rsidRPr="009B2228">
              <w:rPr>
                <w:color w:val="000000"/>
                <w:sz w:val="16"/>
                <w:szCs w:val="16"/>
                <w:lang w:val="en-US"/>
              </w:rPr>
              <w:t>340</w:t>
            </w:r>
          </w:p>
        </w:tc>
        <w:tc>
          <w:tcPr>
            <w:tcW w:w="3402" w:type="dxa"/>
            <w:tcBorders>
              <w:top w:val="nil"/>
              <w:left w:val="single" w:sz="4" w:space="0" w:color="008000"/>
              <w:bottom w:val="nil"/>
              <w:right w:val="nil"/>
            </w:tcBorders>
            <w:shd w:val="clear" w:color="auto" w:fill="auto"/>
            <w:noWrap/>
            <w:vAlign w:val="center"/>
          </w:tcPr>
          <w:p w14:paraId="6FF80A69" w14:textId="6540DD2E" w:rsidR="00D55F43" w:rsidRPr="009B2228" w:rsidRDefault="00D55F43" w:rsidP="006F2A60">
            <w:pPr>
              <w:rPr>
                <w:color w:val="000000"/>
                <w:sz w:val="16"/>
                <w:szCs w:val="16"/>
                <w:lang w:val="en-US"/>
              </w:rPr>
            </w:pPr>
            <w:r w:rsidRPr="009B2228">
              <w:rPr>
                <w:color w:val="000000"/>
                <w:sz w:val="16"/>
                <w:szCs w:val="16"/>
                <w:lang w:val="en-US"/>
              </w:rPr>
              <w:t xml:space="preserve">Initial feedlot live weight (kg </w:t>
            </w:r>
            <w:proofErr w:type="gramStart"/>
            <w:r w:rsidRPr="009B2228">
              <w:rPr>
                <w:color w:val="000000"/>
                <w:sz w:val="16"/>
                <w:szCs w:val="16"/>
                <w:lang w:val="en-US"/>
              </w:rPr>
              <w:t>head</w:t>
            </w:r>
            <w:r w:rsidRPr="009B2228">
              <w:rPr>
                <w:color w:val="000000"/>
                <w:sz w:val="16"/>
                <w:szCs w:val="16"/>
                <w:vertAlign w:val="superscript"/>
                <w:lang w:val="en-US"/>
              </w:rPr>
              <w:t>-1</w:t>
            </w:r>
            <w:proofErr w:type="gramEnd"/>
            <w:r w:rsidRPr="009B2228">
              <w:rPr>
                <w:color w:val="000000"/>
                <w:sz w:val="16"/>
                <w:szCs w:val="16"/>
                <w:lang w:val="en-US"/>
              </w:rPr>
              <w:t>)</w:t>
            </w:r>
          </w:p>
        </w:tc>
        <w:tc>
          <w:tcPr>
            <w:tcW w:w="907" w:type="dxa"/>
            <w:tcBorders>
              <w:top w:val="nil"/>
              <w:left w:val="nil"/>
              <w:bottom w:val="nil"/>
              <w:right w:val="nil"/>
            </w:tcBorders>
            <w:shd w:val="clear" w:color="auto" w:fill="auto"/>
            <w:noWrap/>
            <w:vAlign w:val="bottom"/>
          </w:tcPr>
          <w:p w14:paraId="19B46205" w14:textId="04721F4E" w:rsidR="00D55F43" w:rsidRPr="009B2228" w:rsidRDefault="00D55F43" w:rsidP="006F2A60">
            <w:pPr>
              <w:rPr>
                <w:color w:val="000000"/>
                <w:sz w:val="16"/>
                <w:szCs w:val="16"/>
                <w:lang w:val="en-US"/>
              </w:rPr>
            </w:pPr>
            <w:r w:rsidRPr="009B2228">
              <w:rPr>
                <w:color w:val="000000"/>
                <w:sz w:val="16"/>
                <w:szCs w:val="16"/>
                <w:lang w:val="en-US"/>
              </w:rPr>
              <w:t>380</w:t>
            </w:r>
          </w:p>
        </w:tc>
      </w:tr>
      <w:tr w:rsidR="00D55F43" w:rsidRPr="00D24440" w14:paraId="2894C066" w14:textId="77777777" w:rsidTr="00DE71B8">
        <w:trPr>
          <w:trHeight w:val="170"/>
        </w:trPr>
        <w:tc>
          <w:tcPr>
            <w:tcW w:w="3402" w:type="dxa"/>
            <w:tcBorders>
              <w:top w:val="nil"/>
              <w:left w:val="nil"/>
              <w:bottom w:val="nil"/>
              <w:right w:val="nil"/>
            </w:tcBorders>
            <w:shd w:val="clear" w:color="auto" w:fill="auto"/>
            <w:noWrap/>
            <w:vAlign w:val="center"/>
          </w:tcPr>
          <w:p w14:paraId="6AFB9A65" w14:textId="2040C667" w:rsidR="00D55F43" w:rsidRPr="009B2228" w:rsidRDefault="00D55F43" w:rsidP="006F2A60">
            <w:pPr>
              <w:rPr>
                <w:color w:val="000000"/>
                <w:sz w:val="16"/>
                <w:szCs w:val="16"/>
                <w:lang w:val="en-US"/>
              </w:rPr>
            </w:pPr>
            <w:r w:rsidRPr="009B2228">
              <w:rPr>
                <w:color w:val="000000"/>
                <w:sz w:val="16"/>
                <w:szCs w:val="16"/>
                <w:lang w:val="en-US"/>
              </w:rPr>
              <w:t xml:space="preserve">Soybean agricultural yield (t </w:t>
            </w:r>
            <w:proofErr w:type="gramStart"/>
            <w:r w:rsidRPr="009B2228">
              <w:rPr>
                <w:color w:val="000000"/>
                <w:sz w:val="16"/>
                <w:szCs w:val="16"/>
                <w:lang w:val="en-US"/>
              </w:rPr>
              <w:t>ha</w:t>
            </w:r>
            <w:r w:rsidRPr="009B2228">
              <w:rPr>
                <w:color w:val="000000"/>
                <w:sz w:val="16"/>
                <w:szCs w:val="16"/>
                <w:vertAlign w:val="superscript"/>
                <w:lang w:val="en-US"/>
              </w:rPr>
              <w:t>-1</w:t>
            </w:r>
            <w:proofErr w:type="gramEnd"/>
            <w:r w:rsidRPr="009B2228">
              <w:rPr>
                <w:color w:val="000000"/>
                <w:sz w:val="16"/>
                <w:szCs w:val="16"/>
                <w:lang w:val="en-US"/>
              </w:rPr>
              <w:t>)</w:t>
            </w:r>
          </w:p>
        </w:tc>
        <w:tc>
          <w:tcPr>
            <w:tcW w:w="907" w:type="dxa"/>
            <w:tcBorders>
              <w:top w:val="nil"/>
              <w:left w:val="nil"/>
              <w:bottom w:val="nil"/>
              <w:right w:val="single" w:sz="4" w:space="0" w:color="008000"/>
            </w:tcBorders>
            <w:shd w:val="clear" w:color="auto" w:fill="auto"/>
            <w:noWrap/>
            <w:vAlign w:val="bottom"/>
          </w:tcPr>
          <w:p w14:paraId="515EF546" w14:textId="70083383" w:rsidR="00D55F43" w:rsidRPr="009B2228" w:rsidRDefault="00D55F43" w:rsidP="006F2A60">
            <w:pPr>
              <w:rPr>
                <w:color w:val="000000"/>
                <w:sz w:val="16"/>
                <w:szCs w:val="16"/>
                <w:lang w:val="en-US"/>
              </w:rPr>
            </w:pPr>
            <w:r w:rsidRPr="009B2228">
              <w:rPr>
                <w:color w:val="000000"/>
                <w:sz w:val="16"/>
                <w:szCs w:val="16"/>
                <w:lang w:val="en-US"/>
              </w:rPr>
              <w:t>3.2</w:t>
            </w:r>
          </w:p>
        </w:tc>
        <w:tc>
          <w:tcPr>
            <w:tcW w:w="3402" w:type="dxa"/>
            <w:tcBorders>
              <w:top w:val="nil"/>
              <w:left w:val="single" w:sz="4" w:space="0" w:color="008000"/>
              <w:bottom w:val="nil"/>
              <w:right w:val="nil"/>
            </w:tcBorders>
            <w:shd w:val="clear" w:color="auto" w:fill="auto"/>
            <w:noWrap/>
            <w:vAlign w:val="center"/>
          </w:tcPr>
          <w:p w14:paraId="42F45D84" w14:textId="2927B4E6" w:rsidR="00D55F43" w:rsidRPr="009B2228" w:rsidRDefault="00D55F43" w:rsidP="006F2A60">
            <w:pPr>
              <w:rPr>
                <w:color w:val="000000"/>
                <w:sz w:val="16"/>
                <w:szCs w:val="16"/>
                <w:lang w:val="en-US"/>
              </w:rPr>
            </w:pPr>
            <w:r w:rsidRPr="009B2228">
              <w:rPr>
                <w:color w:val="000000"/>
                <w:sz w:val="16"/>
                <w:szCs w:val="16"/>
                <w:lang w:val="en-US"/>
              </w:rPr>
              <w:t>Carcass yield (%)</w:t>
            </w:r>
          </w:p>
        </w:tc>
        <w:tc>
          <w:tcPr>
            <w:tcW w:w="907" w:type="dxa"/>
            <w:tcBorders>
              <w:top w:val="nil"/>
              <w:left w:val="nil"/>
              <w:bottom w:val="nil"/>
              <w:right w:val="nil"/>
            </w:tcBorders>
            <w:shd w:val="clear" w:color="auto" w:fill="auto"/>
            <w:noWrap/>
            <w:vAlign w:val="bottom"/>
          </w:tcPr>
          <w:p w14:paraId="33B457B0" w14:textId="7353B2EB" w:rsidR="00D55F43" w:rsidRPr="009B2228" w:rsidRDefault="00D55F43" w:rsidP="006F2A60">
            <w:pPr>
              <w:rPr>
                <w:color w:val="000000"/>
                <w:sz w:val="16"/>
                <w:szCs w:val="16"/>
                <w:lang w:val="en-US"/>
              </w:rPr>
            </w:pPr>
            <w:r w:rsidRPr="009B2228">
              <w:rPr>
                <w:color w:val="000000"/>
                <w:sz w:val="16"/>
                <w:szCs w:val="16"/>
                <w:lang w:val="en-US"/>
              </w:rPr>
              <w:t>54</w:t>
            </w:r>
          </w:p>
        </w:tc>
      </w:tr>
      <w:tr w:rsidR="00D55F43" w:rsidRPr="00D24440" w14:paraId="63486892" w14:textId="77777777" w:rsidTr="00DE71B8">
        <w:trPr>
          <w:trHeight w:val="170"/>
        </w:trPr>
        <w:tc>
          <w:tcPr>
            <w:tcW w:w="3402" w:type="dxa"/>
            <w:tcBorders>
              <w:top w:val="nil"/>
              <w:left w:val="nil"/>
              <w:bottom w:val="nil"/>
              <w:right w:val="nil"/>
            </w:tcBorders>
            <w:shd w:val="clear" w:color="auto" w:fill="auto"/>
            <w:noWrap/>
            <w:vAlign w:val="center"/>
          </w:tcPr>
          <w:p w14:paraId="6DA5CB24" w14:textId="0FD5D6E6" w:rsidR="00D55F43" w:rsidRPr="009B2228" w:rsidRDefault="00D55F43" w:rsidP="006F2A60">
            <w:pPr>
              <w:rPr>
                <w:color w:val="000000"/>
                <w:sz w:val="16"/>
                <w:szCs w:val="16"/>
                <w:lang w:val="en-US"/>
              </w:rPr>
            </w:pPr>
            <w:r w:rsidRPr="009B2228">
              <w:rPr>
                <w:color w:val="000000"/>
                <w:sz w:val="16"/>
                <w:szCs w:val="16"/>
                <w:lang w:val="en-US"/>
              </w:rPr>
              <w:t>Biorefinery operating days</w:t>
            </w:r>
            <w:r w:rsidR="00493637" w:rsidRPr="009B2228">
              <w:rPr>
                <w:color w:val="000000"/>
                <w:sz w:val="16"/>
                <w:szCs w:val="16"/>
                <w:lang w:val="en-US"/>
              </w:rPr>
              <w:t xml:space="preserve"> </w:t>
            </w:r>
            <w:r w:rsidRPr="009B2228">
              <w:rPr>
                <w:color w:val="000000"/>
                <w:sz w:val="16"/>
                <w:szCs w:val="16"/>
                <w:lang w:val="en-US"/>
              </w:rPr>
              <w:t>(days y</w:t>
            </w:r>
            <w:r w:rsidRPr="009B2228">
              <w:rPr>
                <w:color w:val="000000"/>
                <w:sz w:val="16"/>
                <w:szCs w:val="16"/>
                <w:vertAlign w:val="superscript"/>
                <w:lang w:val="en-US"/>
              </w:rPr>
              <w:t>-1</w:t>
            </w:r>
            <w:r w:rsidRPr="009B2228">
              <w:rPr>
                <w:color w:val="000000"/>
                <w:sz w:val="16"/>
                <w:szCs w:val="16"/>
                <w:lang w:val="en-US"/>
              </w:rPr>
              <w:t>)</w:t>
            </w:r>
          </w:p>
        </w:tc>
        <w:tc>
          <w:tcPr>
            <w:tcW w:w="907" w:type="dxa"/>
            <w:tcBorders>
              <w:top w:val="nil"/>
              <w:left w:val="nil"/>
              <w:bottom w:val="nil"/>
              <w:right w:val="single" w:sz="4" w:space="0" w:color="008000"/>
            </w:tcBorders>
            <w:shd w:val="clear" w:color="auto" w:fill="auto"/>
            <w:noWrap/>
            <w:vAlign w:val="bottom"/>
          </w:tcPr>
          <w:p w14:paraId="0C6F05DD" w14:textId="5B037388" w:rsidR="00D55F43" w:rsidRPr="009B2228" w:rsidRDefault="00D55F43" w:rsidP="006F2A60">
            <w:pPr>
              <w:rPr>
                <w:color w:val="000000"/>
                <w:sz w:val="16"/>
                <w:szCs w:val="16"/>
                <w:lang w:val="en-US"/>
              </w:rPr>
            </w:pPr>
            <w:r w:rsidRPr="009B2228">
              <w:rPr>
                <w:color w:val="000000"/>
                <w:sz w:val="16"/>
                <w:szCs w:val="16"/>
                <w:lang w:val="en-US"/>
              </w:rPr>
              <w:t>200</w:t>
            </w:r>
          </w:p>
        </w:tc>
        <w:tc>
          <w:tcPr>
            <w:tcW w:w="3402" w:type="dxa"/>
            <w:tcBorders>
              <w:top w:val="nil"/>
              <w:left w:val="single" w:sz="4" w:space="0" w:color="008000"/>
              <w:bottom w:val="nil"/>
              <w:right w:val="nil"/>
            </w:tcBorders>
            <w:shd w:val="clear" w:color="auto" w:fill="auto"/>
            <w:noWrap/>
            <w:vAlign w:val="center"/>
          </w:tcPr>
          <w:p w14:paraId="1A40A469" w14:textId="6D03D9A1" w:rsidR="00D55F43" w:rsidRPr="009B2228" w:rsidRDefault="00D55F43" w:rsidP="006F2A60">
            <w:pPr>
              <w:rPr>
                <w:color w:val="000000"/>
                <w:sz w:val="16"/>
                <w:szCs w:val="16"/>
                <w:lang w:val="en-US"/>
              </w:rPr>
            </w:pPr>
            <w:r w:rsidRPr="009B2228">
              <w:rPr>
                <w:color w:val="000000"/>
                <w:sz w:val="16"/>
                <w:szCs w:val="16"/>
                <w:lang w:val="en-US"/>
              </w:rPr>
              <w:t>Ethanol price (US$ L</w:t>
            </w:r>
            <w:r w:rsidRPr="009B2228">
              <w:rPr>
                <w:color w:val="000000"/>
                <w:sz w:val="16"/>
                <w:szCs w:val="16"/>
                <w:vertAlign w:val="superscript"/>
                <w:lang w:val="en-US"/>
              </w:rPr>
              <w:t>-1</w:t>
            </w:r>
            <w:r w:rsidRPr="009B2228">
              <w:rPr>
                <w:color w:val="000000"/>
                <w:sz w:val="16"/>
                <w:szCs w:val="16"/>
                <w:lang w:val="en-US"/>
              </w:rPr>
              <w:t>)</w:t>
            </w:r>
          </w:p>
        </w:tc>
        <w:tc>
          <w:tcPr>
            <w:tcW w:w="907" w:type="dxa"/>
            <w:tcBorders>
              <w:top w:val="nil"/>
              <w:left w:val="nil"/>
              <w:bottom w:val="nil"/>
              <w:right w:val="nil"/>
            </w:tcBorders>
            <w:shd w:val="clear" w:color="auto" w:fill="auto"/>
            <w:noWrap/>
            <w:vAlign w:val="bottom"/>
          </w:tcPr>
          <w:p w14:paraId="3CF021AB" w14:textId="47C0E3DC" w:rsidR="00D55F43" w:rsidRPr="009B2228" w:rsidRDefault="00D55F43" w:rsidP="006F2A60">
            <w:pPr>
              <w:rPr>
                <w:color w:val="000000"/>
                <w:sz w:val="16"/>
                <w:szCs w:val="16"/>
                <w:lang w:val="en-US"/>
              </w:rPr>
            </w:pPr>
            <w:r w:rsidRPr="009B2228">
              <w:rPr>
                <w:color w:val="000000"/>
                <w:sz w:val="16"/>
                <w:szCs w:val="16"/>
                <w:lang w:val="en-US"/>
              </w:rPr>
              <w:t>0.39</w:t>
            </w:r>
          </w:p>
        </w:tc>
      </w:tr>
      <w:tr w:rsidR="00D55F43" w:rsidRPr="00D24440" w14:paraId="7196FA99" w14:textId="77777777" w:rsidTr="00DE71B8">
        <w:trPr>
          <w:trHeight w:val="170"/>
        </w:trPr>
        <w:tc>
          <w:tcPr>
            <w:tcW w:w="3402" w:type="dxa"/>
            <w:tcBorders>
              <w:top w:val="nil"/>
              <w:left w:val="nil"/>
              <w:bottom w:val="nil"/>
              <w:right w:val="nil"/>
            </w:tcBorders>
            <w:shd w:val="clear" w:color="auto" w:fill="auto"/>
            <w:noWrap/>
            <w:vAlign w:val="center"/>
          </w:tcPr>
          <w:p w14:paraId="6BE0A5DE" w14:textId="39791C8A" w:rsidR="00D55F43" w:rsidRPr="009B2228" w:rsidRDefault="00D55F43" w:rsidP="006F2A60">
            <w:pPr>
              <w:rPr>
                <w:color w:val="000000"/>
                <w:sz w:val="16"/>
                <w:szCs w:val="16"/>
                <w:lang w:val="en-US"/>
              </w:rPr>
            </w:pPr>
            <w:r w:rsidRPr="009B2228">
              <w:rPr>
                <w:color w:val="000000"/>
                <w:sz w:val="16"/>
                <w:szCs w:val="16"/>
                <w:lang w:val="en-US"/>
              </w:rPr>
              <w:t>Bagasse diverted to feed or sa</w:t>
            </w:r>
            <w:r w:rsidR="0027032F" w:rsidRPr="009B2228">
              <w:rPr>
                <w:color w:val="000000"/>
                <w:sz w:val="16"/>
                <w:szCs w:val="16"/>
                <w:lang w:val="en-US"/>
              </w:rPr>
              <w:t>le</w:t>
            </w:r>
            <w:r w:rsidRPr="009B2228">
              <w:rPr>
                <w:color w:val="000000"/>
                <w:sz w:val="16"/>
                <w:szCs w:val="16"/>
                <w:lang w:val="en-US"/>
              </w:rPr>
              <w:t xml:space="preserve"> (%)</w:t>
            </w:r>
          </w:p>
        </w:tc>
        <w:tc>
          <w:tcPr>
            <w:tcW w:w="907" w:type="dxa"/>
            <w:tcBorders>
              <w:top w:val="nil"/>
              <w:left w:val="nil"/>
              <w:bottom w:val="nil"/>
              <w:right w:val="single" w:sz="4" w:space="0" w:color="008000"/>
            </w:tcBorders>
            <w:shd w:val="clear" w:color="auto" w:fill="auto"/>
            <w:noWrap/>
            <w:vAlign w:val="bottom"/>
          </w:tcPr>
          <w:p w14:paraId="24482704" w14:textId="35E58146" w:rsidR="00D55F43" w:rsidRPr="009B2228" w:rsidRDefault="00D55F43" w:rsidP="006F2A60">
            <w:pPr>
              <w:rPr>
                <w:color w:val="000000"/>
                <w:sz w:val="16"/>
                <w:szCs w:val="16"/>
                <w:lang w:val="en-US"/>
              </w:rPr>
            </w:pPr>
            <w:r w:rsidRPr="009B2228">
              <w:rPr>
                <w:color w:val="000000"/>
                <w:sz w:val="16"/>
                <w:szCs w:val="16"/>
                <w:lang w:val="en-US"/>
              </w:rPr>
              <w:t>10</w:t>
            </w:r>
          </w:p>
        </w:tc>
        <w:tc>
          <w:tcPr>
            <w:tcW w:w="3402" w:type="dxa"/>
            <w:tcBorders>
              <w:top w:val="nil"/>
              <w:left w:val="single" w:sz="4" w:space="0" w:color="008000"/>
              <w:bottom w:val="nil"/>
              <w:right w:val="nil"/>
            </w:tcBorders>
            <w:shd w:val="clear" w:color="auto" w:fill="auto"/>
            <w:noWrap/>
            <w:vAlign w:val="center"/>
          </w:tcPr>
          <w:p w14:paraId="7F0D978C" w14:textId="4DF237D4" w:rsidR="00D55F43" w:rsidRPr="009B2228" w:rsidRDefault="00D55F43" w:rsidP="006F2A60">
            <w:pPr>
              <w:rPr>
                <w:color w:val="000000"/>
                <w:sz w:val="16"/>
                <w:szCs w:val="16"/>
                <w:lang w:val="en-US"/>
              </w:rPr>
            </w:pPr>
            <w:r w:rsidRPr="009B2228">
              <w:rPr>
                <w:color w:val="000000"/>
                <w:sz w:val="16"/>
                <w:szCs w:val="16"/>
                <w:lang w:val="en-US"/>
              </w:rPr>
              <w:t>Electricity price (US$ MWh</w:t>
            </w:r>
            <w:r w:rsidRPr="009B2228">
              <w:rPr>
                <w:color w:val="000000"/>
                <w:sz w:val="16"/>
                <w:szCs w:val="16"/>
                <w:vertAlign w:val="superscript"/>
                <w:lang w:val="en-US"/>
              </w:rPr>
              <w:t>-1</w:t>
            </w:r>
            <w:r w:rsidRPr="009B2228">
              <w:rPr>
                <w:color w:val="000000"/>
                <w:sz w:val="16"/>
                <w:szCs w:val="16"/>
                <w:lang w:val="en-US"/>
              </w:rPr>
              <w:t>)</w:t>
            </w:r>
          </w:p>
        </w:tc>
        <w:tc>
          <w:tcPr>
            <w:tcW w:w="907" w:type="dxa"/>
            <w:tcBorders>
              <w:top w:val="nil"/>
              <w:left w:val="nil"/>
              <w:bottom w:val="nil"/>
              <w:right w:val="nil"/>
            </w:tcBorders>
            <w:shd w:val="clear" w:color="auto" w:fill="auto"/>
            <w:noWrap/>
            <w:vAlign w:val="bottom"/>
          </w:tcPr>
          <w:p w14:paraId="477BC08F" w14:textId="60548FBD" w:rsidR="00D55F43" w:rsidRPr="009B2228" w:rsidRDefault="00D55F43" w:rsidP="006F2A60">
            <w:pPr>
              <w:rPr>
                <w:color w:val="000000"/>
                <w:sz w:val="16"/>
                <w:szCs w:val="16"/>
                <w:lang w:val="en-US"/>
              </w:rPr>
            </w:pPr>
            <w:r w:rsidRPr="009B2228">
              <w:rPr>
                <w:color w:val="000000"/>
                <w:sz w:val="16"/>
                <w:szCs w:val="16"/>
                <w:lang w:val="en-US"/>
              </w:rPr>
              <w:t>42.2</w:t>
            </w:r>
          </w:p>
        </w:tc>
      </w:tr>
      <w:tr w:rsidR="00D55F43" w:rsidRPr="00D24440" w14:paraId="4582E3A0" w14:textId="77777777" w:rsidTr="00DE71B8">
        <w:trPr>
          <w:trHeight w:val="170"/>
        </w:trPr>
        <w:tc>
          <w:tcPr>
            <w:tcW w:w="3402" w:type="dxa"/>
            <w:tcBorders>
              <w:top w:val="nil"/>
              <w:left w:val="nil"/>
              <w:bottom w:val="nil"/>
              <w:right w:val="nil"/>
            </w:tcBorders>
            <w:shd w:val="clear" w:color="auto" w:fill="auto"/>
            <w:noWrap/>
            <w:vAlign w:val="center"/>
          </w:tcPr>
          <w:p w14:paraId="4818B8D1" w14:textId="409D1A45" w:rsidR="00D55F43" w:rsidRPr="009B2228" w:rsidRDefault="00D55F43" w:rsidP="006F2A60">
            <w:pPr>
              <w:rPr>
                <w:color w:val="000000"/>
                <w:sz w:val="16"/>
                <w:szCs w:val="16"/>
                <w:lang w:val="en-US"/>
              </w:rPr>
            </w:pPr>
            <w:r w:rsidRPr="009B2228">
              <w:rPr>
                <w:color w:val="000000"/>
                <w:sz w:val="16"/>
                <w:szCs w:val="16"/>
                <w:lang w:val="en-US"/>
              </w:rPr>
              <w:t xml:space="preserve">Nitrogen use efficiency (kg animal </w:t>
            </w:r>
            <w:proofErr w:type="gramStart"/>
            <w:r w:rsidRPr="009B2228">
              <w:rPr>
                <w:color w:val="000000"/>
                <w:sz w:val="16"/>
                <w:szCs w:val="16"/>
                <w:lang w:val="en-US"/>
              </w:rPr>
              <w:t>unit</w:t>
            </w:r>
            <w:r w:rsidRPr="009B2228">
              <w:rPr>
                <w:color w:val="000000"/>
                <w:sz w:val="16"/>
                <w:szCs w:val="16"/>
                <w:vertAlign w:val="superscript"/>
                <w:lang w:val="en-US"/>
              </w:rPr>
              <w:t>-1</w:t>
            </w:r>
            <w:proofErr w:type="gramEnd"/>
            <w:r w:rsidRPr="009B2228">
              <w:rPr>
                <w:color w:val="000000"/>
                <w:sz w:val="16"/>
                <w:szCs w:val="16"/>
                <w:lang w:val="en-US"/>
              </w:rPr>
              <w:t>)</w:t>
            </w:r>
          </w:p>
        </w:tc>
        <w:tc>
          <w:tcPr>
            <w:tcW w:w="907" w:type="dxa"/>
            <w:tcBorders>
              <w:top w:val="nil"/>
              <w:left w:val="nil"/>
              <w:bottom w:val="nil"/>
              <w:right w:val="single" w:sz="4" w:space="0" w:color="008000"/>
            </w:tcBorders>
            <w:shd w:val="clear" w:color="auto" w:fill="auto"/>
            <w:noWrap/>
            <w:vAlign w:val="bottom"/>
          </w:tcPr>
          <w:p w14:paraId="7776FFDE" w14:textId="6605999D" w:rsidR="00D55F43" w:rsidRPr="009B2228" w:rsidRDefault="00D55F43" w:rsidP="006F2A60">
            <w:pPr>
              <w:rPr>
                <w:color w:val="000000"/>
                <w:sz w:val="16"/>
                <w:szCs w:val="16"/>
                <w:lang w:val="en-US"/>
              </w:rPr>
            </w:pPr>
            <w:r w:rsidRPr="009B2228">
              <w:rPr>
                <w:color w:val="000000"/>
                <w:sz w:val="16"/>
                <w:szCs w:val="16"/>
                <w:lang w:val="en-US"/>
              </w:rPr>
              <w:t>90</w:t>
            </w:r>
          </w:p>
        </w:tc>
        <w:tc>
          <w:tcPr>
            <w:tcW w:w="3402" w:type="dxa"/>
            <w:tcBorders>
              <w:top w:val="nil"/>
              <w:left w:val="single" w:sz="4" w:space="0" w:color="008000"/>
              <w:bottom w:val="nil"/>
              <w:right w:val="nil"/>
            </w:tcBorders>
            <w:shd w:val="clear" w:color="auto" w:fill="auto"/>
            <w:noWrap/>
            <w:vAlign w:val="center"/>
          </w:tcPr>
          <w:p w14:paraId="2B42CE9A" w14:textId="271B29B1" w:rsidR="00D55F43" w:rsidRPr="009B2228" w:rsidRDefault="00D55F43" w:rsidP="006F2A60">
            <w:pPr>
              <w:rPr>
                <w:color w:val="000000"/>
                <w:sz w:val="16"/>
                <w:szCs w:val="16"/>
                <w:lang w:val="en-US"/>
              </w:rPr>
            </w:pPr>
            <w:r w:rsidRPr="009B2228">
              <w:rPr>
                <w:color w:val="000000"/>
                <w:sz w:val="16"/>
                <w:szCs w:val="16"/>
                <w:lang w:val="en-US"/>
              </w:rPr>
              <w:t>Soybean price (US$ (60kg)</w:t>
            </w:r>
            <w:r w:rsidRPr="009B2228">
              <w:rPr>
                <w:color w:val="000000"/>
                <w:sz w:val="16"/>
                <w:szCs w:val="16"/>
                <w:vertAlign w:val="superscript"/>
                <w:lang w:val="en-US"/>
              </w:rPr>
              <w:t>-1</w:t>
            </w:r>
            <w:r w:rsidRPr="009B2228">
              <w:rPr>
                <w:color w:val="000000"/>
                <w:sz w:val="16"/>
                <w:szCs w:val="16"/>
                <w:lang w:val="en-US"/>
              </w:rPr>
              <w:t>)</w:t>
            </w:r>
          </w:p>
        </w:tc>
        <w:tc>
          <w:tcPr>
            <w:tcW w:w="907" w:type="dxa"/>
            <w:tcBorders>
              <w:top w:val="nil"/>
              <w:left w:val="nil"/>
              <w:bottom w:val="nil"/>
              <w:right w:val="nil"/>
            </w:tcBorders>
            <w:shd w:val="clear" w:color="auto" w:fill="auto"/>
            <w:noWrap/>
            <w:vAlign w:val="bottom"/>
          </w:tcPr>
          <w:p w14:paraId="3CFCB39A" w14:textId="581B3195" w:rsidR="00D55F43" w:rsidRPr="009B2228" w:rsidRDefault="00D55F43" w:rsidP="006F2A60">
            <w:pPr>
              <w:rPr>
                <w:color w:val="000000"/>
                <w:sz w:val="16"/>
                <w:szCs w:val="16"/>
                <w:lang w:val="en-US"/>
              </w:rPr>
            </w:pPr>
            <w:r w:rsidRPr="009B2228">
              <w:rPr>
                <w:color w:val="000000"/>
                <w:sz w:val="16"/>
                <w:szCs w:val="16"/>
                <w:lang w:val="en-US"/>
              </w:rPr>
              <w:t>17.6</w:t>
            </w:r>
          </w:p>
        </w:tc>
      </w:tr>
      <w:tr w:rsidR="00D55F43" w:rsidRPr="00D24440" w14:paraId="09806C85" w14:textId="77777777" w:rsidTr="00DE71B8">
        <w:trPr>
          <w:trHeight w:val="170"/>
        </w:trPr>
        <w:tc>
          <w:tcPr>
            <w:tcW w:w="3402" w:type="dxa"/>
            <w:tcBorders>
              <w:top w:val="nil"/>
              <w:left w:val="nil"/>
              <w:bottom w:val="nil"/>
              <w:right w:val="nil"/>
            </w:tcBorders>
            <w:shd w:val="clear" w:color="auto" w:fill="auto"/>
            <w:noWrap/>
            <w:vAlign w:val="center"/>
          </w:tcPr>
          <w:p w14:paraId="4963524F" w14:textId="7FE2FFFC" w:rsidR="00D55F43" w:rsidRPr="009B2228" w:rsidRDefault="00D55F43" w:rsidP="006F2A60">
            <w:pPr>
              <w:rPr>
                <w:color w:val="000000"/>
                <w:sz w:val="16"/>
                <w:szCs w:val="16"/>
                <w:lang w:val="en-US"/>
              </w:rPr>
            </w:pPr>
            <w:r w:rsidRPr="009B2228">
              <w:rPr>
                <w:color w:val="000000"/>
                <w:sz w:val="16"/>
                <w:szCs w:val="16"/>
                <w:lang w:val="en-US"/>
              </w:rPr>
              <w:t xml:space="preserve">Initial pasture live weight (kg </w:t>
            </w:r>
            <w:proofErr w:type="gramStart"/>
            <w:r w:rsidRPr="009B2228">
              <w:rPr>
                <w:color w:val="000000"/>
                <w:sz w:val="16"/>
                <w:szCs w:val="16"/>
                <w:lang w:val="en-US"/>
              </w:rPr>
              <w:t>head</w:t>
            </w:r>
            <w:r w:rsidRPr="009B2228">
              <w:rPr>
                <w:color w:val="000000"/>
                <w:sz w:val="16"/>
                <w:szCs w:val="16"/>
                <w:vertAlign w:val="superscript"/>
                <w:lang w:val="en-US"/>
              </w:rPr>
              <w:t>-1</w:t>
            </w:r>
            <w:proofErr w:type="gramEnd"/>
            <w:r w:rsidRPr="009B2228">
              <w:rPr>
                <w:color w:val="000000"/>
                <w:sz w:val="16"/>
                <w:szCs w:val="16"/>
                <w:lang w:val="en-US"/>
              </w:rPr>
              <w:t>)</w:t>
            </w:r>
          </w:p>
        </w:tc>
        <w:tc>
          <w:tcPr>
            <w:tcW w:w="907" w:type="dxa"/>
            <w:tcBorders>
              <w:top w:val="nil"/>
              <w:left w:val="nil"/>
              <w:bottom w:val="nil"/>
              <w:right w:val="single" w:sz="4" w:space="0" w:color="008000"/>
            </w:tcBorders>
            <w:shd w:val="clear" w:color="auto" w:fill="auto"/>
            <w:noWrap/>
            <w:vAlign w:val="bottom"/>
          </w:tcPr>
          <w:p w14:paraId="02596ABC" w14:textId="42837297" w:rsidR="00D55F43" w:rsidRPr="009B2228" w:rsidRDefault="00D55F43" w:rsidP="006F2A60">
            <w:pPr>
              <w:rPr>
                <w:color w:val="000000"/>
                <w:sz w:val="16"/>
                <w:szCs w:val="16"/>
                <w:lang w:val="en-US"/>
              </w:rPr>
            </w:pPr>
            <w:r w:rsidRPr="009B2228">
              <w:rPr>
                <w:color w:val="000000"/>
                <w:sz w:val="16"/>
                <w:szCs w:val="16"/>
                <w:lang w:val="en-US"/>
              </w:rPr>
              <w:t>322</w:t>
            </w:r>
          </w:p>
        </w:tc>
        <w:tc>
          <w:tcPr>
            <w:tcW w:w="3402" w:type="dxa"/>
            <w:tcBorders>
              <w:top w:val="nil"/>
              <w:left w:val="single" w:sz="4" w:space="0" w:color="008000"/>
              <w:bottom w:val="nil"/>
              <w:right w:val="nil"/>
            </w:tcBorders>
            <w:shd w:val="clear" w:color="auto" w:fill="auto"/>
            <w:noWrap/>
            <w:vAlign w:val="center"/>
          </w:tcPr>
          <w:p w14:paraId="3B604D18" w14:textId="296F8FD9" w:rsidR="00D55F43" w:rsidRPr="009B2228" w:rsidRDefault="00E02310" w:rsidP="006F2A60">
            <w:pPr>
              <w:rPr>
                <w:color w:val="000000"/>
                <w:sz w:val="16"/>
                <w:szCs w:val="16"/>
                <w:lang w:val="en-US"/>
              </w:rPr>
            </w:pPr>
            <w:r w:rsidRPr="009B2228">
              <w:rPr>
                <w:color w:val="000000"/>
                <w:sz w:val="16"/>
                <w:szCs w:val="16"/>
                <w:lang w:val="en-US"/>
              </w:rPr>
              <w:t>Beef</w:t>
            </w:r>
            <w:r w:rsidR="00D55F43" w:rsidRPr="009B2228">
              <w:rPr>
                <w:color w:val="000000"/>
                <w:sz w:val="16"/>
                <w:szCs w:val="16"/>
                <w:lang w:val="en-US"/>
              </w:rPr>
              <w:t xml:space="preserve"> price (US$ (15kg)</w:t>
            </w:r>
            <w:r w:rsidR="00D55F43" w:rsidRPr="009B2228">
              <w:rPr>
                <w:color w:val="000000"/>
                <w:sz w:val="16"/>
                <w:szCs w:val="16"/>
                <w:vertAlign w:val="superscript"/>
                <w:lang w:val="en-US"/>
              </w:rPr>
              <w:t>-1</w:t>
            </w:r>
            <w:r w:rsidR="00D55F43" w:rsidRPr="009B2228">
              <w:rPr>
                <w:color w:val="000000"/>
                <w:sz w:val="16"/>
                <w:szCs w:val="16"/>
                <w:lang w:val="en-US"/>
              </w:rPr>
              <w:t>)</w:t>
            </w:r>
          </w:p>
        </w:tc>
        <w:tc>
          <w:tcPr>
            <w:tcW w:w="907" w:type="dxa"/>
            <w:tcBorders>
              <w:top w:val="nil"/>
              <w:left w:val="nil"/>
              <w:bottom w:val="nil"/>
              <w:right w:val="nil"/>
            </w:tcBorders>
            <w:shd w:val="clear" w:color="auto" w:fill="auto"/>
            <w:noWrap/>
            <w:vAlign w:val="bottom"/>
          </w:tcPr>
          <w:p w14:paraId="787A5E4B" w14:textId="015B74AE" w:rsidR="00D55F43" w:rsidRPr="009B2228" w:rsidRDefault="00D55F43" w:rsidP="006F2A60">
            <w:pPr>
              <w:rPr>
                <w:color w:val="000000"/>
                <w:sz w:val="16"/>
                <w:szCs w:val="16"/>
                <w:lang w:val="en-US"/>
              </w:rPr>
            </w:pPr>
            <w:r w:rsidRPr="009B2228">
              <w:rPr>
                <w:color w:val="000000"/>
                <w:sz w:val="16"/>
                <w:szCs w:val="16"/>
                <w:lang w:val="en-US"/>
              </w:rPr>
              <w:t>42.4</w:t>
            </w:r>
          </w:p>
        </w:tc>
      </w:tr>
      <w:tr w:rsidR="00D55F43" w:rsidRPr="00D24440" w14:paraId="75C01A25" w14:textId="77777777" w:rsidTr="00DE71B8">
        <w:trPr>
          <w:trHeight w:val="170"/>
        </w:trPr>
        <w:tc>
          <w:tcPr>
            <w:tcW w:w="3402" w:type="dxa"/>
            <w:tcBorders>
              <w:top w:val="nil"/>
              <w:left w:val="nil"/>
              <w:right w:val="nil"/>
            </w:tcBorders>
            <w:shd w:val="clear" w:color="auto" w:fill="auto"/>
            <w:noWrap/>
            <w:vAlign w:val="center"/>
          </w:tcPr>
          <w:p w14:paraId="1ECFD4CE" w14:textId="47CFD110" w:rsidR="00D55F43" w:rsidRPr="009B2228" w:rsidRDefault="00D55F43" w:rsidP="006F2A60">
            <w:pPr>
              <w:rPr>
                <w:color w:val="000000"/>
                <w:sz w:val="16"/>
                <w:szCs w:val="16"/>
                <w:lang w:val="en-US"/>
              </w:rPr>
            </w:pPr>
            <w:r w:rsidRPr="009B2228">
              <w:rPr>
                <w:color w:val="000000"/>
                <w:sz w:val="16"/>
                <w:szCs w:val="16"/>
                <w:lang w:val="en-US"/>
              </w:rPr>
              <w:t>Pasture live weight gain (kg head</w:t>
            </w:r>
            <w:r w:rsidRPr="009B2228">
              <w:rPr>
                <w:color w:val="000000"/>
                <w:sz w:val="16"/>
                <w:szCs w:val="16"/>
                <w:vertAlign w:val="superscript"/>
                <w:lang w:val="en-US"/>
              </w:rPr>
              <w:t>-1</w:t>
            </w:r>
            <w:r w:rsidRPr="009B2228">
              <w:rPr>
                <w:color w:val="000000"/>
                <w:sz w:val="16"/>
                <w:szCs w:val="16"/>
                <w:lang w:val="en-US"/>
              </w:rPr>
              <w:t xml:space="preserve"> y</w:t>
            </w:r>
            <w:r w:rsidRPr="009B2228">
              <w:rPr>
                <w:color w:val="000000"/>
                <w:sz w:val="16"/>
                <w:szCs w:val="16"/>
                <w:vertAlign w:val="superscript"/>
                <w:lang w:val="en-US"/>
              </w:rPr>
              <w:t>-1</w:t>
            </w:r>
            <w:r w:rsidRPr="009B2228">
              <w:rPr>
                <w:color w:val="000000"/>
                <w:sz w:val="16"/>
                <w:szCs w:val="16"/>
                <w:lang w:val="en-US"/>
              </w:rPr>
              <w:t>)</w:t>
            </w:r>
          </w:p>
        </w:tc>
        <w:tc>
          <w:tcPr>
            <w:tcW w:w="907" w:type="dxa"/>
            <w:tcBorders>
              <w:top w:val="nil"/>
              <w:left w:val="nil"/>
              <w:right w:val="single" w:sz="4" w:space="0" w:color="008000"/>
            </w:tcBorders>
            <w:shd w:val="clear" w:color="auto" w:fill="auto"/>
            <w:noWrap/>
            <w:vAlign w:val="bottom"/>
          </w:tcPr>
          <w:p w14:paraId="262395F0" w14:textId="0A943439" w:rsidR="00D55F43" w:rsidRPr="009B2228" w:rsidRDefault="00D55F43" w:rsidP="006F2A60">
            <w:pPr>
              <w:rPr>
                <w:color w:val="000000"/>
                <w:sz w:val="16"/>
                <w:szCs w:val="16"/>
                <w:lang w:val="en-US"/>
              </w:rPr>
            </w:pPr>
            <w:r w:rsidRPr="009B2228">
              <w:rPr>
                <w:color w:val="000000"/>
                <w:sz w:val="16"/>
                <w:szCs w:val="16"/>
                <w:lang w:val="en-US"/>
              </w:rPr>
              <w:t>150</w:t>
            </w:r>
          </w:p>
        </w:tc>
        <w:tc>
          <w:tcPr>
            <w:tcW w:w="3402" w:type="dxa"/>
            <w:tcBorders>
              <w:top w:val="nil"/>
              <w:left w:val="single" w:sz="4" w:space="0" w:color="008000"/>
              <w:right w:val="nil"/>
            </w:tcBorders>
            <w:shd w:val="clear" w:color="auto" w:fill="auto"/>
            <w:noWrap/>
            <w:vAlign w:val="center"/>
          </w:tcPr>
          <w:p w14:paraId="3E3BED62" w14:textId="5ADFBA58" w:rsidR="00D55F43" w:rsidRPr="009B2228" w:rsidRDefault="00D55F43" w:rsidP="006F2A60">
            <w:pPr>
              <w:rPr>
                <w:color w:val="000000"/>
                <w:sz w:val="16"/>
                <w:szCs w:val="16"/>
                <w:lang w:val="en-US"/>
              </w:rPr>
            </w:pPr>
            <w:r w:rsidRPr="009B2228">
              <w:rPr>
                <w:color w:val="000000"/>
                <w:sz w:val="16"/>
                <w:szCs w:val="16"/>
                <w:lang w:val="en-US"/>
              </w:rPr>
              <w:t>Bagasse price (US$</w:t>
            </w:r>
            <w:r w:rsidR="00493637" w:rsidRPr="009B2228">
              <w:rPr>
                <w:color w:val="000000"/>
                <w:sz w:val="16"/>
                <w:szCs w:val="16"/>
                <w:lang w:val="en-US"/>
              </w:rPr>
              <w:t xml:space="preserve"> </w:t>
            </w:r>
            <w:proofErr w:type="gramStart"/>
            <w:r w:rsidRPr="009B2228">
              <w:rPr>
                <w:color w:val="000000"/>
                <w:sz w:val="16"/>
                <w:szCs w:val="16"/>
                <w:lang w:val="en-US"/>
              </w:rPr>
              <w:t>kg</w:t>
            </w:r>
            <w:r w:rsidR="00493637" w:rsidRPr="009B2228">
              <w:rPr>
                <w:color w:val="000000"/>
                <w:sz w:val="16"/>
                <w:szCs w:val="16"/>
                <w:vertAlign w:val="superscript"/>
                <w:lang w:val="en-US"/>
              </w:rPr>
              <w:t>-1</w:t>
            </w:r>
            <w:proofErr w:type="gramEnd"/>
            <w:r w:rsidRPr="009B2228">
              <w:rPr>
                <w:color w:val="000000"/>
                <w:sz w:val="16"/>
                <w:szCs w:val="16"/>
                <w:lang w:val="en-US"/>
              </w:rPr>
              <w:t>)</w:t>
            </w:r>
          </w:p>
        </w:tc>
        <w:tc>
          <w:tcPr>
            <w:tcW w:w="907" w:type="dxa"/>
            <w:tcBorders>
              <w:top w:val="nil"/>
              <w:left w:val="nil"/>
              <w:right w:val="nil"/>
            </w:tcBorders>
            <w:shd w:val="clear" w:color="auto" w:fill="auto"/>
            <w:noWrap/>
            <w:vAlign w:val="bottom"/>
          </w:tcPr>
          <w:p w14:paraId="1C0E903C" w14:textId="5BEDA9C8" w:rsidR="00D55F43" w:rsidRPr="009B2228" w:rsidRDefault="00D55F43" w:rsidP="006F2A60">
            <w:pPr>
              <w:rPr>
                <w:color w:val="000000"/>
                <w:sz w:val="16"/>
                <w:szCs w:val="16"/>
                <w:lang w:val="en-US"/>
              </w:rPr>
            </w:pPr>
            <w:r w:rsidRPr="009B2228">
              <w:rPr>
                <w:color w:val="000000"/>
                <w:sz w:val="16"/>
                <w:szCs w:val="16"/>
                <w:lang w:val="en-US"/>
              </w:rPr>
              <w:t>0.024</w:t>
            </w:r>
          </w:p>
        </w:tc>
      </w:tr>
      <w:tr w:rsidR="00D55F43" w:rsidRPr="00D24440" w14:paraId="6FD7F027" w14:textId="77777777" w:rsidTr="00DE71B8">
        <w:trPr>
          <w:trHeight w:val="170"/>
        </w:trPr>
        <w:tc>
          <w:tcPr>
            <w:tcW w:w="3402" w:type="dxa"/>
            <w:tcBorders>
              <w:top w:val="nil"/>
              <w:left w:val="nil"/>
              <w:bottom w:val="single" w:sz="12" w:space="0" w:color="008000"/>
              <w:right w:val="nil"/>
            </w:tcBorders>
            <w:shd w:val="clear" w:color="auto" w:fill="auto"/>
            <w:noWrap/>
            <w:vAlign w:val="center"/>
          </w:tcPr>
          <w:p w14:paraId="65B8012A" w14:textId="37567833" w:rsidR="00D55F43" w:rsidRPr="009B2228" w:rsidRDefault="00D55F43" w:rsidP="006F2A60">
            <w:pPr>
              <w:rPr>
                <w:color w:val="000000"/>
                <w:sz w:val="16"/>
                <w:szCs w:val="16"/>
                <w:lang w:val="en-US"/>
              </w:rPr>
            </w:pPr>
            <w:r w:rsidRPr="009B2228">
              <w:rPr>
                <w:color w:val="000000"/>
                <w:sz w:val="16"/>
                <w:szCs w:val="16"/>
                <w:lang w:val="en-US"/>
              </w:rPr>
              <w:t>Feedlot days (day)</w:t>
            </w:r>
          </w:p>
        </w:tc>
        <w:tc>
          <w:tcPr>
            <w:tcW w:w="907" w:type="dxa"/>
            <w:tcBorders>
              <w:top w:val="nil"/>
              <w:left w:val="nil"/>
              <w:bottom w:val="single" w:sz="12" w:space="0" w:color="008000"/>
              <w:right w:val="single" w:sz="4" w:space="0" w:color="008000"/>
            </w:tcBorders>
            <w:shd w:val="clear" w:color="auto" w:fill="auto"/>
            <w:noWrap/>
            <w:vAlign w:val="bottom"/>
          </w:tcPr>
          <w:p w14:paraId="5F118EAF" w14:textId="0B4E02F7" w:rsidR="00D55F43" w:rsidRPr="009B2228" w:rsidRDefault="00D55F43" w:rsidP="006F2A60">
            <w:pPr>
              <w:rPr>
                <w:color w:val="000000"/>
                <w:sz w:val="16"/>
                <w:szCs w:val="16"/>
                <w:lang w:val="en-US"/>
              </w:rPr>
            </w:pPr>
            <w:r w:rsidRPr="009B2228">
              <w:rPr>
                <w:color w:val="000000"/>
                <w:sz w:val="16"/>
                <w:szCs w:val="16"/>
                <w:lang w:val="en-US"/>
              </w:rPr>
              <w:t>100</w:t>
            </w:r>
          </w:p>
        </w:tc>
        <w:tc>
          <w:tcPr>
            <w:tcW w:w="3402" w:type="dxa"/>
            <w:tcBorders>
              <w:top w:val="nil"/>
              <w:left w:val="single" w:sz="4" w:space="0" w:color="008000"/>
              <w:bottom w:val="single" w:sz="12" w:space="0" w:color="008000"/>
              <w:right w:val="nil"/>
            </w:tcBorders>
            <w:shd w:val="clear" w:color="auto" w:fill="auto"/>
            <w:noWrap/>
            <w:vAlign w:val="center"/>
          </w:tcPr>
          <w:p w14:paraId="3F9BB507" w14:textId="5C960919" w:rsidR="00D55F43" w:rsidRPr="009B2228" w:rsidRDefault="00D55F43" w:rsidP="006F2A60">
            <w:pPr>
              <w:rPr>
                <w:color w:val="000000"/>
                <w:sz w:val="16"/>
                <w:szCs w:val="16"/>
                <w:lang w:val="en-US"/>
              </w:rPr>
            </w:pPr>
            <w:r w:rsidRPr="009B2228">
              <w:rPr>
                <w:color w:val="000000"/>
                <w:sz w:val="16"/>
                <w:szCs w:val="16"/>
                <w:lang w:val="en-US"/>
              </w:rPr>
              <w:t>CBIO</w:t>
            </w:r>
            <w:r w:rsidR="007D3526" w:rsidRPr="009B2228">
              <w:rPr>
                <w:color w:val="000000"/>
                <w:sz w:val="16"/>
                <w:szCs w:val="16"/>
                <w:lang w:val="en-US"/>
              </w:rPr>
              <w:t>s</w:t>
            </w:r>
            <w:r w:rsidRPr="009B2228">
              <w:rPr>
                <w:color w:val="000000"/>
                <w:sz w:val="16"/>
                <w:szCs w:val="16"/>
                <w:lang w:val="en-US"/>
              </w:rPr>
              <w:t xml:space="preserve"> price (US$</w:t>
            </w:r>
            <w:r w:rsidR="00493637" w:rsidRPr="009B2228">
              <w:rPr>
                <w:color w:val="000000"/>
                <w:sz w:val="16"/>
                <w:szCs w:val="16"/>
                <w:lang w:val="en-US"/>
              </w:rPr>
              <w:t xml:space="preserve"> </w:t>
            </w:r>
            <w:proofErr w:type="gramStart"/>
            <w:r w:rsidRPr="009B2228">
              <w:rPr>
                <w:color w:val="000000"/>
                <w:sz w:val="16"/>
                <w:szCs w:val="16"/>
                <w:lang w:val="en-US"/>
              </w:rPr>
              <w:t>un</w:t>
            </w:r>
            <w:r w:rsidR="00493637" w:rsidRPr="009B2228">
              <w:rPr>
                <w:color w:val="000000"/>
                <w:sz w:val="16"/>
                <w:szCs w:val="16"/>
                <w:lang w:val="en-US"/>
              </w:rPr>
              <w:t>it</w:t>
            </w:r>
            <w:r w:rsidR="00493637" w:rsidRPr="009B2228">
              <w:rPr>
                <w:color w:val="000000"/>
                <w:sz w:val="16"/>
                <w:szCs w:val="16"/>
                <w:vertAlign w:val="superscript"/>
                <w:lang w:val="en-US"/>
              </w:rPr>
              <w:t>-1</w:t>
            </w:r>
            <w:proofErr w:type="gramEnd"/>
            <w:r w:rsidRPr="009B2228">
              <w:rPr>
                <w:color w:val="000000"/>
                <w:sz w:val="16"/>
                <w:szCs w:val="16"/>
                <w:lang w:val="en-US"/>
              </w:rPr>
              <w:t>)</w:t>
            </w:r>
          </w:p>
        </w:tc>
        <w:tc>
          <w:tcPr>
            <w:tcW w:w="907" w:type="dxa"/>
            <w:tcBorders>
              <w:top w:val="nil"/>
              <w:left w:val="nil"/>
              <w:bottom w:val="single" w:sz="12" w:space="0" w:color="008000"/>
              <w:right w:val="nil"/>
            </w:tcBorders>
            <w:shd w:val="clear" w:color="auto" w:fill="auto"/>
            <w:noWrap/>
            <w:vAlign w:val="bottom"/>
          </w:tcPr>
          <w:p w14:paraId="537CA522" w14:textId="0FEF5CA3" w:rsidR="00D55F43" w:rsidRPr="009B2228" w:rsidRDefault="00D55F43" w:rsidP="006F2A60">
            <w:pPr>
              <w:rPr>
                <w:color w:val="000000"/>
                <w:sz w:val="16"/>
                <w:szCs w:val="16"/>
                <w:lang w:val="en-US"/>
              </w:rPr>
            </w:pPr>
            <w:r w:rsidRPr="009B2228">
              <w:rPr>
                <w:color w:val="000000"/>
                <w:sz w:val="16"/>
                <w:szCs w:val="16"/>
                <w:lang w:val="en-US"/>
              </w:rPr>
              <w:t>10</w:t>
            </w:r>
          </w:p>
        </w:tc>
      </w:tr>
    </w:tbl>
    <w:p w14:paraId="22CC071D" w14:textId="526C9828" w:rsidR="00F630AD" w:rsidRPr="00195343" w:rsidRDefault="0066110B" w:rsidP="009F122B">
      <w:pPr>
        <w:pStyle w:val="Els-1storder-head"/>
        <w:numPr>
          <w:ilvl w:val="1"/>
          <w:numId w:val="1"/>
        </w:numPr>
        <w:spacing w:after="120" w:line="264" w:lineRule="auto"/>
        <w:rPr>
          <w:rFonts w:ascii="Arial" w:hAnsi="Arial" w:cs="Arial"/>
          <w:sz w:val="20"/>
          <w:szCs w:val="18"/>
        </w:rPr>
      </w:pPr>
      <w:r w:rsidRPr="00BD70B5">
        <w:rPr>
          <w:rFonts w:ascii="Arial" w:hAnsi="Arial" w:cs="Arial"/>
          <w:sz w:val="20"/>
          <w:szCs w:val="18"/>
        </w:rPr>
        <w:t>Results and discussion</w:t>
      </w:r>
    </w:p>
    <w:p w14:paraId="6A8F6B0A" w14:textId="5031E61E" w:rsidR="00195343" w:rsidRPr="0027032F" w:rsidRDefault="00740F0F" w:rsidP="009F122B">
      <w:pPr>
        <w:pStyle w:val="Els-body-text"/>
        <w:spacing w:after="120" w:line="264" w:lineRule="auto"/>
        <w:rPr>
          <w:rFonts w:ascii="Arial" w:hAnsi="Arial" w:cs="Arial"/>
          <w:sz w:val="18"/>
          <w:szCs w:val="18"/>
          <w:lang w:val="en-GB"/>
        </w:rPr>
      </w:pPr>
      <w:r w:rsidRPr="00EF6238">
        <w:rPr>
          <w:rFonts w:ascii="Arial" w:hAnsi="Arial" w:cs="Arial"/>
          <w:sz w:val="18"/>
          <w:szCs w:val="18"/>
        </w:rPr>
        <w:t xml:space="preserve">The metamodels </w:t>
      </w:r>
      <w:r w:rsidR="00627720" w:rsidRPr="00627720">
        <w:rPr>
          <w:rFonts w:ascii="Arial" w:hAnsi="Arial" w:cs="Arial"/>
          <w:sz w:val="18"/>
          <w:szCs w:val="18"/>
        </w:rPr>
        <w:t xml:space="preserve">developed </w:t>
      </w:r>
      <w:r w:rsidRPr="00EF6238">
        <w:rPr>
          <w:rFonts w:ascii="Arial" w:hAnsi="Arial" w:cs="Arial"/>
          <w:sz w:val="18"/>
          <w:szCs w:val="18"/>
        </w:rPr>
        <w:t xml:space="preserve">showed statistical significance, </w:t>
      </w:r>
      <w:r w:rsidR="00195343" w:rsidRPr="00195343">
        <w:rPr>
          <w:rFonts w:ascii="Arial" w:hAnsi="Arial" w:cs="Arial"/>
          <w:sz w:val="18"/>
          <w:szCs w:val="18"/>
        </w:rPr>
        <w:t>as evidenced by</w:t>
      </w:r>
      <w:r w:rsidR="00195343">
        <w:rPr>
          <w:rFonts w:ascii="Arial" w:hAnsi="Arial" w:cs="Arial"/>
          <w:sz w:val="18"/>
          <w:szCs w:val="18"/>
        </w:rPr>
        <w:t xml:space="preserve"> </w:t>
      </w:r>
      <w:r w:rsidRPr="00EF6238">
        <w:rPr>
          <w:rFonts w:ascii="Arial" w:hAnsi="Arial" w:cs="Arial"/>
          <w:sz w:val="18"/>
          <w:szCs w:val="18"/>
        </w:rPr>
        <w:t>R</w:t>
      </w:r>
      <w:r w:rsidRPr="00EF6238">
        <w:rPr>
          <w:rFonts w:ascii="Arial" w:hAnsi="Arial" w:cs="Arial"/>
          <w:sz w:val="18"/>
          <w:szCs w:val="18"/>
          <w:vertAlign w:val="superscript"/>
        </w:rPr>
        <w:t>2</w:t>
      </w:r>
      <w:r w:rsidRPr="00EF6238">
        <w:rPr>
          <w:rFonts w:ascii="Arial" w:hAnsi="Arial" w:cs="Arial"/>
          <w:sz w:val="18"/>
          <w:szCs w:val="18"/>
        </w:rPr>
        <w:t xml:space="preserve"> </w:t>
      </w:r>
      <w:r w:rsidR="00D3244E">
        <w:rPr>
          <w:rFonts w:ascii="Arial" w:hAnsi="Arial" w:cs="Arial"/>
          <w:sz w:val="18"/>
          <w:szCs w:val="18"/>
        </w:rPr>
        <w:t>&gt;</w:t>
      </w:r>
      <w:r w:rsidRPr="00EF6238">
        <w:rPr>
          <w:rFonts w:ascii="Arial" w:hAnsi="Arial" w:cs="Arial"/>
          <w:sz w:val="18"/>
          <w:szCs w:val="18"/>
        </w:rPr>
        <w:t xml:space="preserve"> 0.9</w:t>
      </w:r>
      <w:r w:rsidR="00D3244E">
        <w:rPr>
          <w:rFonts w:ascii="Arial" w:hAnsi="Arial" w:cs="Arial"/>
          <w:sz w:val="18"/>
          <w:szCs w:val="18"/>
        </w:rPr>
        <w:t>0.</w:t>
      </w:r>
      <w:r w:rsidR="00195343" w:rsidRPr="00195343">
        <w:rPr>
          <w:rFonts w:ascii="Arial" w:hAnsi="Arial" w:cs="Arial"/>
          <w:sz w:val="18"/>
          <w:szCs w:val="18"/>
        </w:rPr>
        <w:t xml:space="preserve"> Under the evaluated conditions,</w:t>
      </w:r>
      <w:r w:rsidR="00FD0EA8">
        <w:rPr>
          <w:rFonts w:ascii="Arial" w:hAnsi="Arial" w:cs="Arial"/>
          <w:sz w:val="18"/>
          <w:szCs w:val="18"/>
        </w:rPr>
        <w:t xml:space="preserve"> </w:t>
      </w:r>
      <w:r w:rsidR="00FD0EA8" w:rsidRPr="00FD0EA8">
        <w:rPr>
          <w:rFonts w:ascii="Arial" w:hAnsi="Arial" w:cs="Arial"/>
          <w:sz w:val="18"/>
          <w:szCs w:val="18"/>
        </w:rPr>
        <w:t xml:space="preserve">optimizing </w:t>
      </w:r>
      <w:r w:rsidR="00195343" w:rsidRPr="00195343">
        <w:rPr>
          <w:rFonts w:ascii="Arial" w:hAnsi="Arial" w:cs="Arial"/>
          <w:sz w:val="18"/>
          <w:szCs w:val="18"/>
        </w:rPr>
        <w:t>the biorefinery (A1) indicated an optimal sugarcane production of 3.81 M</w:t>
      </w:r>
      <w:r w:rsidR="0027238C">
        <w:rPr>
          <w:rFonts w:ascii="Arial" w:hAnsi="Arial" w:cs="Arial"/>
          <w:sz w:val="18"/>
          <w:szCs w:val="18"/>
        </w:rPr>
        <w:t>TC</w:t>
      </w:r>
      <w:r w:rsidR="00195343" w:rsidRPr="00195343">
        <w:rPr>
          <w:rFonts w:ascii="Arial" w:hAnsi="Arial" w:cs="Arial"/>
          <w:sz w:val="18"/>
          <w:szCs w:val="18"/>
        </w:rPr>
        <w:t xml:space="preserve"> y</w:t>
      </w:r>
      <w:r w:rsidR="00195343" w:rsidRPr="00195343">
        <w:rPr>
          <w:rFonts w:ascii="Arial" w:hAnsi="Arial" w:cs="Arial"/>
          <w:sz w:val="18"/>
          <w:szCs w:val="18"/>
          <w:vertAlign w:val="superscript"/>
        </w:rPr>
        <w:t>-1</w:t>
      </w:r>
      <w:r w:rsidR="00195343" w:rsidRPr="00195343">
        <w:rPr>
          <w:rFonts w:ascii="Arial" w:hAnsi="Arial" w:cs="Arial"/>
          <w:sz w:val="18"/>
          <w:szCs w:val="18"/>
        </w:rPr>
        <w:t xml:space="preserve">, with sugarcane straw recovery reaching 6.74 </w:t>
      </w:r>
      <w:proofErr w:type="spellStart"/>
      <w:proofErr w:type="gramStart"/>
      <w:r w:rsidR="00195343" w:rsidRPr="00195343">
        <w:rPr>
          <w:rFonts w:ascii="Arial" w:hAnsi="Arial" w:cs="Arial"/>
          <w:sz w:val="18"/>
          <w:szCs w:val="18"/>
        </w:rPr>
        <w:t>kg</w:t>
      </w:r>
      <w:r w:rsidR="00195343" w:rsidRPr="00195343">
        <w:rPr>
          <w:rFonts w:ascii="Arial" w:hAnsi="Arial" w:cs="Arial"/>
          <w:sz w:val="18"/>
          <w:szCs w:val="18"/>
          <w:vertAlign w:val="subscript"/>
        </w:rPr>
        <w:t>d.b</w:t>
      </w:r>
      <w:proofErr w:type="spellEnd"/>
      <w:proofErr w:type="gramEnd"/>
      <w:r w:rsidR="00B70000">
        <w:rPr>
          <w:rFonts w:ascii="Arial" w:hAnsi="Arial" w:cs="Arial"/>
          <w:sz w:val="18"/>
          <w:szCs w:val="18"/>
        </w:rPr>
        <w:t xml:space="preserve"> </w:t>
      </w:r>
      <w:r w:rsidR="0027238C">
        <w:rPr>
          <w:rFonts w:ascii="Arial" w:hAnsi="Arial" w:cs="Arial"/>
          <w:sz w:val="18"/>
          <w:szCs w:val="18"/>
        </w:rPr>
        <w:t>TC</w:t>
      </w:r>
      <w:r w:rsidR="00195343" w:rsidRPr="00195343">
        <w:rPr>
          <w:rFonts w:ascii="Arial" w:hAnsi="Arial" w:cs="Arial"/>
          <w:sz w:val="18"/>
          <w:szCs w:val="18"/>
          <w:vertAlign w:val="superscript"/>
        </w:rPr>
        <w:t>-1</w:t>
      </w:r>
      <w:r w:rsidR="00195343" w:rsidRPr="00195343">
        <w:rPr>
          <w:rFonts w:ascii="Arial" w:hAnsi="Arial" w:cs="Arial"/>
        </w:rPr>
        <w:t xml:space="preserve"> </w:t>
      </w:r>
      <w:r w:rsidR="00195343" w:rsidRPr="00195343">
        <w:rPr>
          <w:rFonts w:ascii="Arial" w:hAnsi="Arial" w:cs="Arial"/>
          <w:sz w:val="18"/>
          <w:szCs w:val="18"/>
        </w:rPr>
        <w:t xml:space="preserve">(Table 2). Considering this capacity, the sugarcane </w:t>
      </w:r>
      <w:r w:rsidR="00D55F43">
        <w:rPr>
          <w:rFonts w:ascii="Arial" w:hAnsi="Arial" w:cs="Arial"/>
          <w:sz w:val="18"/>
          <w:szCs w:val="18"/>
        </w:rPr>
        <w:t xml:space="preserve">production </w:t>
      </w:r>
      <w:r w:rsidR="00195343" w:rsidRPr="00195343">
        <w:rPr>
          <w:rFonts w:ascii="Arial" w:hAnsi="Arial" w:cs="Arial"/>
          <w:sz w:val="18"/>
          <w:szCs w:val="18"/>
        </w:rPr>
        <w:t>area was estimated at 60</w:t>
      </w:r>
      <w:r w:rsidR="00D55F43">
        <w:rPr>
          <w:rFonts w:ascii="Arial" w:hAnsi="Arial" w:cs="Arial"/>
          <w:sz w:val="18"/>
          <w:szCs w:val="18"/>
        </w:rPr>
        <w:t xml:space="preserve"> </w:t>
      </w:r>
      <w:r w:rsidR="00195343" w:rsidRPr="00195343">
        <w:rPr>
          <w:rFonts w:ascii="Arial" w:hAnsi="Arial" w:cs="Arial"/>
          <w:sz w:val="18"/>
          <w:szCs w:val="18"/>
        </w:rPr>
        <w:t xml:space="preserve">thousand ha, </w:t>
      </w:r>
      <w:r w:rsidR="0027032F">
        <w:rPr>
          <w:rFonts w:ascii="Arial" w:hAnsi="Arial" w:cs="Arial"/>
          <w:sz w:val="18"/>
          <w:szCs w:val="18"/>
        </w:rPr>
        <w:t>from which 20% is dedicated to reform.</w:t>
      </w:r>
      <w:r w:rsidR="0027032F">
        <w:rPr>
          <w:rFonts w:ascii="Arial" w:hAnsi="Arial" w:cs="Arial"/>
          <w:sz w:val="18"/>
          <w:szCs w:val="18"/>
          <w:lang w:val="en-GB"/>
        </w:rPr>
        <w:t xml:space="preserve"> </w:t>
      </w:r>
      <w:r w:rsidR="0027032F">
        <w:rPr>
          <w:rFonts w:ascii="Arial" w:hAnsi="Arial" w:cs="Arial"/>
          <w:sz w:val="18"/>
          <w:szCs w:val="18"/>
        </w:rPr>
        <w:t>Annual</w:t>
      </w:r>
      <w:r w:rsidR="0027032F" w:rsidRPr="00195343">
        <w:rPr>
          <w:rFonts w:ascii="Arial" w:hAnsi="Arial" w:cs="Arial"/>
          <w:sz w:val="18"/>
          <w:szCs w:val="18"/>
        </w:rPr>
        <w:t xml:space="preserve"> ethanol production </w:t>
      </w:r>
      <w:r w:rsidR="0027032F">
        <w:rPr>
          <w:rFonts w:ascii="Arial" w:hAnsi="Arial" w:cs="Arial"/>
          <w:sz w:val="18"/>
          <w:szCs w:val="18"/>
        </w:rPr>
        <w:t xml:space="preserve">in the biorefinery </w:t>
      </w:r>
      <w:r w:rsidR="00305BD8">
        <w:rPr>
          <w:rFonts w:ascii="Arial" w:hAnsi="Arial" w:cs="Arial"/>
          <w:sz w:val="18"/>
          <w:szCs w:val="18"/>
        </w:rPr>
        <w:t>was</w:t>
      </w:r>
      <w:r w:rsidR="0027032F">
        <w:rPr>
          <w:rFonts w:ascii="Arial" w:hAnsi="Arial" w:cs="Arial"/>
          <w:sz w:val="18"/>
          <w:szCs w:val="18"/>
        </w:rPr>
        <w:t xml:space="preserve"> </w:t>
      </w:r>
      <w:r w:rsidR="00E734FE">
        <w:rPr>
          <w:rFonts w:ascii="Arial" w:hAnsi="Arial" w:cs="Arial"/>
          <w:sz w:val="18"/>
          <w:szCs w:val="18"/>
        </w:rPr>
        <w:t>326.8</w:t>
      </w:r>
      <w:r w:rsidR="00195343" w:rsidRPr="00195343">
        <w:rPr>
          <w:rFonts w:ascii="Arial" w:hAnsi="Arial" w:cs="Arial"/>
          <w:sz w:val="18"/>
          <w:szCs w:val="18"/>
        </w:rPr>
        <w:t xml:space="preserve"> </w:t>
      </w:r>
      <w:r w:rsidR="00E734FE">
        <w:rPr>
          <w:rFonts w:ascii="Arial" w:hAnsi="Arial" w:cs="Arial"/>
          <w:sz w:val="18"/>
          <w:szCs w:val="18"/>
        </w:rPr>
        <w:t>million liter</w:t>
      </w:r>
      <w:r w:rsidR="00B70000">
        <w:rPr>
          <w:rFonts w:ascii="Arial" w:hAnsi="Arial" w:cs="Arial"/>
          <w:sz w:val="18"/>
          <w:szCs w:val="18"/>
        </w:rPr>
        <w:t>s</w:t>
      </w:r>
      <w:r w:rsidR="00195343">
        <w:rPr>
          <w:rFonts w:ascii="Arial" w:hAnsi="Arial" w:cs="Arial"/>
          <w:sz w:val="18"/>
          <w:szCs w:val="18"/>
        </w:rPr>
        <w:t xml:space="preserve"> </w:t>
      </w:r>
      <w:r w:rsidR="00195343" w:rsidRPr="00195343">
        <w:rPr>
          <w:rFonts w:ascii="Arial" w:hAnsi="Arial" w:cs="Arial"/>
          <w:sz w:val="18"/>
          <w:szCs w:val="18"/>
        </w:rPr>
        <w:t>y</w:t>
      </w:r>
      <w:r w:rsidR="00195343" w:rsidRPr="00195343">
        <w:rPr>
          <w:rFonts w:ascii="Arial" w:hAnsi="Arial" w:cs="Arial"/>
          <w:sz w:val="18"/>
          <w:szCs w:val="18"/>
          <w:vertAlign w:val="superscript"/>
        </w:rPr>
        <w:t>-1</w:t>
      </w:r>
      <w:r w:rsidR="00195343" w:rsidRPr="00195343">
        <w:rPr>
          <w:rFonts w:ascii="Arial" w:hAnsi="Arial" w:cs="Arial"/>
          <w:sz w:val="18"/>
          <w:szCs w:val="18"/>
        </w:rPr>
        <w:t>.</w:t>
      </w:r>
      <w:r w:rsidR="00195343">
        <w:rPr>
          <w:rFonts w:ascii="Arial" w:hAnsi="Arial" w:cs="Arial"/>
          <w:sz w:val="18"/>
          <w:szCs w:val="18"/>
        </w:rPr>
        <w:t xml:space="preserve"> </w:t>
      </w:r>
      <w:r w:rsidR="00FD0EA8" w:rsidRPr="00FD0EA8">
        <w:rPr>
          <w:rFonts w:ascii="Arial" w:hAnsi="Arial" w:cs="Arial"/>
          <w:sz w:val="18"/>
          <w:szCs w:val="18"/>
        </w:rPr>
        <w:t xml:space="preserve">Additionally, the </w:t>
      </w:r>
      <w:r w:rsidR="005D6B09" w:rsidRPr="00FD0EA8">
        <w:rPr>
          <w:rFonts w:ascii="Arial" w:hAnsi="Arial" w:cs="Arial"/>
          <w:sz w:val="18"/>
          <w:szCs w:val="18"/>
        </w:rPr>
        <w:t>importance</w:t>
      </w:r>
      <w:r w:rsidR="00FD0EA8" w:rsidRPr="00FD0EA8">
        <w:rPr>
          <w:rFonts w:ascii="Arial" w:hAnsi="Arial" w:cs="Arial"/>
          <w:sz w:val="18"/>
          <w:szCs w:val="18"/>
        </w:rPr>
        <w:t xml:space="preserve"> of Decarbonization Credits (CBIO</w:t>
      </w:r>
      <w:r w:rsidR="0027032F">
        <w:rPr>
          <w:rFonts w:ascii="Arial" w:hAnsi="Arial" w:cs="Arial"/>
          <w:sz w:val="18"/>
          <w:szCs w:val="18"/>
        </w:rPr>
        <w:t>s</w:t>
      </w:r>
      <w:r w:rsidR="00FD0EA8" w:rsidRPr="00FD0EA8">
        <w:rPr>
          <w:rFonts w:ascii="Arial" w:hAnsi="Arial" w:cs="Arial"/>
          <w:sz w:val="18"/>
          <w:szCs w:val="18"/>
        </w:rPr>
        <w:t>), which contribute approximately 4% to the total revenue of the biorefinery, should be emphasized.</w:t>
      </w:r>
    </w:p>
    <w:p w14:paraId="5DC339D7" w14:textId="61E41ABD" w:rsidR="009B2228" w:rsidRPr="002659B1" w:rsidRDefault="00195343" w:rsidP="002C75E5">
      <w:pPr>
        <w:pStyle w:val="Els-body-text"/>
        <w:spacing w:after="120" w:line="264" w:lineRule="auto"/>
        <w:rPr>
          <w:rFonts w:ascii="Arial" w:hAnsi="Arial" w:cs="Arial"/>
          <w:sz w:val="18"/>
          <w:szCs w:val="18"/>
        </w:rPr>
      </w:pPr>
      <w:r w:rsidRPr="00195343">
        <w:rPr>
          <w:rFonts w:ascii="Arial" w:hAnsi="Arial" w:cs="Arial"/>
          <w:sz w:val="18"/>
          <w:szCs w:val="18"/>
        </w:rPr>
        <w:t>Optimizing pasture</w:t>
      </w:r>
      <w:r>
        <w:rPr>
          <w:rFonts w:ascii="Arial" w:hAnsi="Arial" w:cs="Arial"/>
          <w:sz w:val="18"/>
          <w:szCs w:val="18"/>
        </w:rPr>
        <w:t xml:space="preserve"> (A2)</w:t>
      </w:r>
      <w:r w:rsidR="00FD0EA8">
        <w:rPr>
          <w:rFonts w:ascii="Arial" w:hAnsi="Arial" w:cs="Arial"/>
          <w:sz w:val="18"/>
          <w:szCs w:val="18"/>
        </w:rPr>
        <w:t xml:space="preserve"> </w:t>
      </w:r>
      <w:r w:rsidRPr="00195343">
        <w:rPr>
          <w:rFonts w:ascii="Arial" w:hAnsi="Arial" w:cs="Arial"/>
          <w:sz w:val="18"/>
          <w:szCs w:val="18"/>
        </w:rPr>
        <w:t xml:space="preserve">while considering forage </w:t>
      </w:r>
      <w:r w:rsidR="0027032F">
        <w:rPr>
          <w:rFonts w:ascii="Arial" w:hAnsi="Arial" w:cs="Arial"/>
          <w:sz w:val="18"/>
          <w:szCs w:val="18"/>
        </w:rPr>
        <w:t xml:space="preserve">mass </w:t>
      </w:r>
      <w:r w:rsidRPr="00195343">
        <w:rPr>
          <w:rFonts w:ascii="Arial" w:hAnsi="Arial" w:cs="Arial"/>
          <w:sz w:val="18"/>
          <w:szCs w:val="18"/>
        </w:rPr>
        <w:t>maintenance resulted in a stocking rate of 4 heads</w:t>
      </w:r>
      <w:r w:rsidR="00741D9D">
        <w:rPr>
          <w:rFonts w:ascii="Arial" w:hAnsi="Arial" w:cs="Arial"/>
          <w:sz w:val="18"/>
          <w:szCs w:val="18"/>
        </w:rPr>
        <w:t> </w:t>
      </w:r>
      <w:r w:rsidRPr="00195343">
        <w:rPr>
          <w:rFonts w:ascii="Arial" w:hAnsi="Arial" w:cs="Arial"/>
          <w:sz w:val="18"/>
          <w:szCs w:val="18"/>
        </w:rPr>
        <w:t>ha</w:t>
      </w:r>
      <w:r w:rsidR="00741D9D">
        <w:rPr>
          <w:rFonts w:ascii="Arial" w:hAnsi="Arial" w:cs="Arial"/>
          <w:sz w:val="18"/>
          <w:szCs w:val="18"/>
        </w:rPr>
        <w:softHyphen/>
      </w:r>
      <w:r w:rsidR="00741D9D" w:rsidRPr="00741D9D">
        <w:rPr>
          <w:rFonts w:ascii="Arial" w:hAnsi="Arial" w:cs="Arial"/>
          <w:sz w:val="18"/>
          <w:szCs w:val="18"/>
          <w:vertAlign w:val="superscript"/>
        </w:rPr>
        <w:noBreakHyphen/>
      </w:r>
      <w:r w:rsidRPr="00195343">
        <w:rPr>
          <w:rFonts w:ascii="Arial" w:hAnsi="Arial" w:cs="Arial"/>
          <w:sz w:val="18"/>
          <w:szCs w:val="18"/>
          <w:vertAlign w:val="superscript"/>
        </w:rPr>
        <w:t>1</w:t>
      </w:r>
      <w:r w:rsidRPr="00195343">
        <w:rPr>
          <w:rFonts w:ascii="Arial" w:hAnsi="Arial" w:cs="Arial"/>
          <w:sz w:val="18"/>
          <w:szCs w:val="18"/>
        </w:rPr>
        <w:t xml:space="preserve">, aligning with previous studies such as that </w:t>
      </w:r>
      <w:proofErr w:type="spellStart"/>
      <w:r w:rsidR="00D55F43" w:rsidRPr="00D55F43">
        <w:rPr>
          <w:rFonts w:ascii="Arial" w:hAnsi="Arial" w:cs="Arial"/>
          <w:sz w:val="18"/>
          <w:szCs w:val="18"/>
        </w:rPr>
        <w:t>Boddey</w:t>
      </w:r>
      <w:proofErr w:type="spellEnd"/>
      <w:r w:rsidR="00D55F43" w:rsidRPr="00D55F43">
        <w:rPr>
          <w:rFonts w:ascii="Arial" w:hAnsi="Arial" w:cs="Arial"/>
          <w:sz w:val="18"/>
          <w:szCs w:val="18"/>
        </w:rPr>
        <w:t xml:space="preserve"> et al. (2004</w:t>
      </w:r>
      <w:r w:rsidR="005D6B09">
        <w:rPr>
          <w:rFonts w:ascii="Arial" w:hAnsi="Arial" w:cs="Arial"/>
          <w:sz w:val="18"/>
          <w:szCs w:val="18"/>
        </w:rPr>
        <w:t>)</w:t>
      </w:r>
      <w:r w:rsidRPr="00D55F43">
        <w:rPr>
          <w:rFonts w:ascii="Arial" w:hAnsi="Arial" w:cs="Arial"/>
          <w:sz w:val="18"/>
          <w:szCs w:val="18"/>
        </w:rPr>
        <w:t>.</w:t>
      </w:r>
      <w:r w:rsidRPr="00195343">
        <w:rPr>
          <w:rFonts w:ascii="Arial" w:hAnsi="Arial" w:cs="Arial"/>
          <w:sz w:val="18"/>
          <w:szCs w:val="18"/>
        </w:rPr>
        <w:t xml:space="preserve"> With this </w:t>
      </w:r>
      <w:r w:rsidR="0027032F">
        <w:rPr>
          <w:rFonts w:ascii="Arial" w:hAnsi="Arial" w:cs="Arial"/>
          <w:sz w:val="18"/>
          <w:szCs w:val="18"/>
        </w:rPr>
        <w:t xml:space="preserve">stocking </w:t>
      </w:r>
      <w:r w:rsidRPr="00195343">
        <w:rPr>
          <w:rFonts w:ascii="Arial" w:hAnsi="Arial" w:cs="Arial"/>
          <w:sz w:val="18"/>
          <w:szCs w:val="18"/>
        </w:rPr>
        <w:t xml:space="preserve">rate and the area of 60.14 thousand ha, </w:t>
      </w:r>
      <w:r w:rsidRPr="00493637">
        <w:rPr>
          <w:rFonts w:ascii="Arial" w:hAnsi="Arial" w:cs="Arial"/>
          <w:sz w:val="18"/>
          <w:szCs w:val="18"/>
        </w:rPr>
        <w:t xml:space="preserve">beef production reached 61.3 thousand </w:t>
      </w:r>
      <w:proofErr w:type="spellStart"/>
      <w:r w:rsidR="0027238C" w:rsidRPr="00493637">
        <w:rPr>
          <w:rFonts w:ascii="Arial" w:hAnsi="Arial" w:cs="Arial"/>
          <w:sz w:val="18"/>
          <w:szCs w:val="18"/>
        </w:rPr>
        <w:t>tonnes</w:t>
      </w:r>
      <w:proofErr w:type="spellEnd"/>
      <w:r w:rsidR="0027238C" w:rsidRPr="00493637">
        <w:rPr>
          <w:rFonts w:ascii="Arial" w:hAnsi="Arial" w:cs="Arial"/>
          <w:sz w:val="18"/>
          <w:szCs w:val="18"/>
        </w:rPr>
        <w:t xml:space="preserve"> </w:t>
      </w:r>
      <w:r w:rsidRPr="00493637">
        <w:rPr>
          <w:rFonts w:ascii="Arial" w:hAnsi="Arial" w:cs="Arial"/>
          <w:sz w:val="18"/>
          <w:szCs w:val="18"/>
        </w:rPr>
        <w:t>y</w:t>
      </w:r>
      <w:r w:rsidRPr="00493637">
        <w:rPr>
          <w:rFonts w:ascii="Arial" w:hAnsi="Arial" w:cs="Arial"/>
          <w:sz w:val="18"/>
          <w:szCs w:val="18"/>
          <w:vertAlign w:val="superscript"/>
        </w:rPr>
        <w:t>-1</w:t>
      </w:r>
      <w:r w:rsidRPr="00195343">
        <w:rPr>
          <w:rFonts w:ascii="Arial" w:hAnsi="Arial" w:cs="Arial"/>
          <w:sz w:val="18"/>
          <w:szCs w:val="18"/>
        </w:rPr>
        <w:t>. From a feedlot perspective, this production requires a feedlot capacity of 206</w:t>
      </w:r>
      <w:r w:rsidR="002D2D8F">
        <w:rPr>
          <w:rFonts w:ascii="Arial" w:hAnsi="Arial" w:cs="Arial"/>
          <w:sz w:val="18"/>
          <w:szCs w:val="18"/>
        </w:rPr>
        <w:t>,</w:t>
      </w:r>
      <w:r w:rsidRPr="00195343">
        <w:rPr>
          <w:rFonts w:ascii="Arial" w:hAnsi="Arial" w:cs="Arial"/>
          <w:sz w:val="18"/>
          <w:szCs w:val="18"/>
        </w:rPr>
        <w:t>4</w:t>
      </w:r>
      <w:r w:rsidR="002D2D8F">
        <w:rPr>
          <w:rFonts w:ascii="Arial" w:hAnsi="Arial" w:cs="Arial"/>
          <w:sz w:val="18"/>
          <w:szCs w:val="18"/>
        </w:rPr>
        <w:t>30</w:t>
      </w:r>
      <w:r w:rsidRPr="00195343">
        <w:rPr>
          <w:rFonts w:ascii="Arial" w:hAnsi="Arial" w:cs="Arial"/>
          <w:sz w:val="18"/>
          <w:szCs w:val="18"/>
        </w:rPr>
        <w:t xml:space="preserve"> heads.</w:t>
      </w:r>
      <w:r>
        <w:rPr>
          <w:rFonts w:ascii="Arial" w:hAnsi="Arial" w:cs="Arial"/>
          <w:sz w:val="18"/>
          <w:szCs w:val="18"/>
        </w:rPr>
        <w:t xml:space="preserve"> </w:t>
      </w:r>
    </w:p>
    <w:p w14:paraId="7D5428BD" w14:textId="16D8F2DF" w:rsidR="00A67E1F" w:rsidRPr="009F122B" w:rsidRDefault="004A12DF" w:rsidP="002C75E5">
      <w:pPr>
        <w:pStyle w:val="CETTabletitle"/>
        <w:spacing w:before="0"/>
      </w:pPr>
      <w:r w:rsidRPr="009F122B">
        <w:t>Table 2</w:t>
      </w:r>
      <w:r w:rsidR="009B2228">
        <w:t>:</w:t>
      </w:r>
      <w:r w:rsidRPr="009F122B">
        <w:t xml:space="preserve"> </w:t>
      </w:r>
      <w:r w:rsidR="007F53D6" w:rsidRPr="009F122B">
        <w:t xml:space="preserve">Main </w:t>
      </w:r>
      <w:r w:rsidR="00B82A34" w:rsidRPr="009F122B">
        <w:t xml:space="preserve">simulation </w:t>
      </w:r>
      <w:r w:rsidRPr="009F122B">
        <w:t>results</w:t>
      </w:r>
      <w:r w:rsidR="007F53D6" w:rsidRPr="009F122B">
        <w:t xml:space="preserve"> for the study cas</w:t>
      </w:r>
      <w:r w:rsidR="0027238C" w:rsidRPr="009F122B">
        <w:t xml:space="preserve">e - the </w:t>
      </w:r>
      <w:r w:rsidR="007F53D6" w:rsidRPr="009F122B">
        <w:t xml:space="preserve">decision variables optimized were </w:t>
      </w:r>
      <w:proofErr w:type="gramStart"/>
      <w:r w:rsidR="007F53D6" w:rsidRPr="009F122B">
        <w:t>highlighted</w:t>
      </w:r>
      <w:proofErr w:type="gramEnd"/>
    </w:p>
    <w:tbl>
      <w:tblPr>
        <w:tblStyle w:val="Tabelacomgrade"/>
        <w:tblW w:w="8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1134"/>
        <w:gridCol w:w="236"/>
        <w:gridCol w:w="3118"/>
        <w:gridCol w:w="1134"/>
      </w:tblGrid>
      <w:tr w:rsidR="005201F3" w:rsidRPr="009447EF" w14:paraId="76B0F9D5" w14:textId="77777777" w:rsidTr="000C04D9">
        <w:trPr>
          <w:trHeight w:val="170"/>
        </w:trPr>
        <w:tc>
          <w:tcPr>
            <w:tcW w:w="8740" w:type="dxa"/>
            <w:gridSpan w:val="5"/>
            <w:tcBorders>
              <w:top w:val="single" w:sz="12" w:space="0" w:color="008000"/>
              <w:bottom w:val="single" w:sz="4" w:space="0" w:color="008000"/>
            </w:tcBorders>
            <w:shd w:val="clear" w:color="auto" w:fill="auto"/>
            <w:vAlign w:val="center"/>
          </w:tcPr>
          <w:p w14:paraId="5B62C1C8" w14:textId="461FC6F4" w:rsidR="005201F3" w:rsidRPr="009B2228" w:rsidRDefault="005201F3" w:rsidP="009F122B">
            <w:pPr>
              <w:pStyle w:val="CETBodytext"/>
              <w:jc w:val="center"/>
              <w:rPr>
                <w:rFonts w:cs="Arial"/>
                <w:sz w:val="16"/>
                <w:szCs w:val="16"/>
              </w:rPr>
            </w:pPr>
            <w:r w:rsidRPr="009B2228">
              <w:rPr>
                <w:rFonts w:cs="Arial"/>
                <w:sz w:val="16"/>
                <w:szCs w:val="16"/>
                <w:lang w:val="en-GB"/>
              </w:rPr>
              <w:t>A. System without integration</w:t>
            </w:r>
          </w:p>
        </w:tc>
      </w:tr>
      <w:tr w:rsidR="005201F3" w:rsidRPr="009447EF" w14:paraId="06CFD441" w14:textId="77777777" w:rsidTr="002C75E5">
        <w:trPr>
          <w:trHeight w:val="170"/>
        </w:trPr>
        <w:tc>
          <w:tcPr>
            <w:tcW w:w="8740" w:type="dxa"/>
            <w:gridSpan w:val="5"/>
            <w:tcBorders>
              <w:top w:val="single" w:sz="4" w:space="0" w:color="008000"/>
              <w:bottom w:val="single" w:sz="4" w:space="0" w:color="008000"/>
            </w:tcBorders>
            <w:vAlign w:val="center"/>
          </w:tcPr>
          <w:p w14:paraId="3DD3F0F6" w14:textId="078A2EA2" w:rsidR="005201F3" w:rsidRPr="009B2228" w:rsidRDefault="005201F3" w:rsidP="009F122B">
            <w:pPr>
              <w:pStyle w:val="CETBodytext"/>
              <w:spacing w:line="240" w:lineRule="auto"/>
              <w:rPr>
                <w:rFonts w:cs="Arial"/>
                <w:sz w:val="16"/>
                <w:szCs w:val="16"/>
              </w:rPr>
            </w:pPr>
            <w:r w:rsidRPr="009B2228">
              <w:rPr>
                <w:rFonts w:cs="Arial"/>
                <w:sz w:val="16"/>
                <w:szCs w:val="16"/>
                <w:lang w:val="en-GB"/>
              </w:rPr>
              <w:t>A1. Sugarcane ethanol distillery system</w:t>
            </w:r>
          </w:p>
        </w:tc>
      </w:tr>
      <w:tr w:rsidR="00A67E1F" w:rsidRPr="009447EF" w14:paraId="0FFE0514" w14:textId="77777777" w:rsidTr="009B2228">
        <w:trPr>
          <w:trHeight w:val="113"/>
        </w:trPr>
        <w:tc>
          <w:tcPr>
            <w:tcW w:w="3118" w:type="dxa"/>
            <w:tcBorders>
              <w:top w:val="single" w:sz="4" w:space="0" w:color="008000"/>
              <w:bottom w:val="single" w:sz="4" w:space="0" w:color="008000"/>
            </w:tcBorders>
            <w:vAlign w:val="center"/>
          </w:tcPr>
          <w:p w14:paraId="770DBF38" w14:textId="7A89B206" w:rsidR="00A67E1F" w:rsidRPr="009B2228" w:rsidRDefault="00A67E1F" w:rsidP="009F122B">
            <w:pPr>
              <w:pStyle w:val="CETBodytext"/>
              <w:spacing w:line="240" w:lineRule="auto"/>
              <w:rPr>
                <w:rFonts w:cs="Arial"/>
                <w:i/>
                <w:iCs/>
                <w:sz w:val="16"/>
                <w:szCs w:val="16"/>
              </w:rPr>
            </w:pPr>
            <w:r w:rsidRPr="009B2228">
              <w:rPr>
                <w:rFonts w:cs="Arial"/>
                <w:i/>
                <w:iCs/>
                <w:sz w:val="16"/>
                <w:szCs w:val="16"/>
              </w:rPr>
              <w:t>Outputs</w:t>
            </w:r>
          </w:p>
        </w:tc>
        <w:tc>
          <w:tcPr>
            <w:tcW w:w="1134" w:type="dxa"/>
            <w:tcBorders>
              <w:top w:val="single" w:sz="4" w:space="0" w:color="008000"/>
              <w:bottom w:val="single" w:sz="4" w:space="0" w:color="008000"/>
              <w:right w:val="single" w:sz="4" w:space="0" w:color="008000"/>
            </w:tcBorders>
          </w:tcPr>
          <w:p w14:paraId="656DCC31" w14:textId="698C6ABC" w:rsidR="00A67E1F" w:rsidRPr="009B2228" w:rsidRDefault="00A67E1F" w:rsidP="009F122B">
            <w:pPr>
              <w:pStyle w:val="CETBodytext"/>
              <w:spacing w:line="240" w:lineRule="auto"/>
              <w:rPr>
                <w:rFonts w:cs="Arial"/>
                <w:i/>
                <w:iCs/>
                <w:sz w:val="16"/>
                <w:szCs w:val="16"/>
              </w:rPr>
            </w:pPr>
            <w:r w:rsidRPr="009B2228">
              <w:rPr>
                <w:rFonts w:cs="Arial"/>
                <w:i/>
                <w:iCs/>
                <w:sz w:val="16"/>
                <w:szCs w:val="16"/>
              </w:rPr>
              <w:t>Value</w:t>
            </w:r>
          </w:p>
        </w:tc>
        <w:tc>
          <w:tcPr>
            <w:tcW w:w="236" w:type="dxa"/>
            <w:tcBorders>
              <w:top w:val="single" w:sz="4" w:space="0" w:color="008000"/>
              <w:left w:val="single" w:sz="4" w:space="0" w:color="008000"/>
              <w:bottom w:val="single" w:sz="4" w:space="0" w:color="008000"/>
            </w:tcBorders>
          </w:tcPr>
          <w:p w14:paraId="403F4F97" w14:textId="77777777" w:rsidR="00A67E1F" w:rsidRPr="009B2228" w:rsidRDefault="00A67E1F" w:rsidP="009F122B">
            <w:pPr>
              <w:pStyle w:val="CETBodytext"/>
              <w:spacing w:line="240" w:lineRule="auto"/>
              <w:rPr>
                <w:rFonts w:cs="Arial"/>
                <w:i/>
                <w:iCs/>
                <w:sz w:val="16"/>
                <w:szCs w:val="16"/>
              </w:rPr>
            </w:pPr>
          </w:p>
        </w:tc>
        <w:tc>
          <w:tcPr>
            <w:tcW w:w="3118" w:type="dxa"/>
            <w:tcBorders>
              <w:top w:val="single" w:sz="4" w:space="0" w:color="008000"/>
              <w:bottom w:val="single" w:sz="4" w:space="0" w:color="008000"/>
            </w:tcBorders>
            <w:vAlign w:val="center"/>
          </w:tcPr>
          <w:p w14:paraId="57DD1AE3" w14:textId="1E0FBE47" w:rsidR="00A67E1F" w:rsidRPr="009B2228" w:rsidRDefault="00A67E1F" w:rsidP="009F122B">
            <w:pPr>
              <w:pStyle w:val="CETBodytext"/>
              <w:spacing w:line="240" w:lineRule="auto"/>
              <w:rPr>
                <w:rFonts w:cs="Arial"/>
                <w:i/>
                <w:iCs/>
                <w:sz w:val="16"/>
                <w:szCs w:val="16"/>
              </w:rPr>
            </w:pPr>
            <w:r w:rsidRPr="009B2228">
              <w:rPr>
                <w:rFonts w:cs="Arial"/>
                <w:i/>
                <w:iCs/>
                <w:sz w:val="16"/>
                <w:szCs w:val="16"/>
              </w:rPr>
              <w:t>Outputs</w:t>
            </w:r>
          </w:p>
        </w:tc>
        <w:tc>
          <w:tcPr>
            <w:tcW w:w="1134" w:type="dxa"/>
            <w:tcBorders>
              <w:top w:val="single" w:sz="4" w:space="0" w:color="008000"/>
              <w:bottom w:val="single" w:sz="4" w:space="0" w:color="008000"/>
            </w:tcBorders>
          </w:tcPr>
          <w:p w14:paraId="585D57CC" w14:textId="46AF98A4" w:rsidR="00A67E1F" w:rsidRPr="009B2228" w:rsidRDefault="00E347F4" w:rsidP="009F122B">
            <w:pPr>
              <w:pStyle w:val="CETBodytext"/>
              <w:spacing w:line="240" w:lineRule="auto"/>
              <w:rPr>
                <w:rFonts w:cs="Arial"/>
                <w:i/>
                <w:iCs/>
                <w:sz w:val="16"/>
                <w:szCs w:val="16"/>
              </w:rPr>
            </w:pPr>
            <w:r w:rsidRPr="009B2228">
              <w:rPr>
                <w:rFonts w:cs="Arial"/>
                <w:i/>
                <w:iCs/>
                <w:sz w:val="16"/>
                <w:szCs w:val="16"/>
              </w:rPr>
              <w:t>Value</w:t>
            </w:r>
          </w:p>
        </w:tc>
      </w:tr>
      <w:tr w:rsidR="009A0455" w:rsidRPr="009447EF" w14:paraId="5C7F621D" w14:textId="77777777" w:rsidTr="000C04D9">
        <w:trPr>
          <w:trHeight w:val="113"/>
        </w:trPr>
        <w:tc>
          <w:tcPr>
            <w:tcW w:w="3118" w:type="dxa"/>
            <w:tcBorders>
              <w:top w:val="single" w:sz="4" w:space="0" w:color="008000"/>
            </w:tcBorders>
            <w:shd w:val="clear" w:color="auto" w:fill="DDF1DF"/>
            <w:vAlign w:val="center"/>
          </w:tcPr>
          <w:p w14:paraId="1F158D2F" w14:textId="7111B735" w:rsidR="009A0455" w:rsidRPr="009B2228" w:rsidRDefault="009A0455" w:rsidP="009F122B">
            <w:pPr>
              <w:pStyle w:val="CETBodytext"/>
              <w:spacing w:line="240" w:lineRule="auto"/>
              <w:rPr>
                <w:rFonts w:cs="Arial"/>
                <w:sz w:val="16"/>
                <w:szCs w:val="16"/>
              </w:rPr>
            </w:pPr>
            <w:r w:rsidRPr="009B2228">
              <w:rPr>
                <w:rFonts w:cs="Arial"/>
                <w:sz w:val="16"/>
                <w:szCs w:val="16"/>
              </w:rPr>
              <w:t>Sugarcane production (M</w:t>
            </w:r>
            <w:r w:rsidR="00D55F43" w:rsidRPr="009B2228">
              <w:rPr>
                <w:rFonts w:cs="Arial"/>
                <w:sz w:val="16"/>
                <w:szCs w:val="16"/>
              </w:rPr>
              <w:t>TC</w:t>
            </w:r>
            <w:r w:rsidRPr="009B2228">
              <w:rPr>
                <w:rFonts w:cs="Arial"/>
                <w:sz w:val="16"/>
                <w:szCs w:val="16"/>
              </w:rPr>
              <w:t xml:space="preserve"> y</w:t>
            </w:r>
            <w:r w:rsidRPr="009B2228">
              <w:rPr>
                <w:rFonts w:cs="Arial"/>
                <w:sz w:val="16"/>
                <w:szCs w:val="16"/>
                <w:vertAlign w:val="superscript"/>
              </w:rPr>
              <w:t>-1</w:t>
            </w:r>
            <w:r w:rsidRPr="009B2228">
              <w:rPr>
                <w:rFonts w:cs="Arial"/>
                <w:sz w:val="16"/>
                <w:szCs w:val="16"/>
              </w:rPr>
              <w:t>)</w:t>
            </w:r>
          </w:p>
        </w:tc>
        <w:tc>
          <w:tcPr>
            <w:tcW w:w="1134" w:type="dxa"/>
            <w:tcBorders>
              <w:top w:val="single" w:sz="4" w:space="0" w:color="008000"/>
              <w:right w:val="single" w:sz="4" w:space="0" w:color="008000"/>
            </w:tcBorders>
            <w:shd w:val="clear" w:color="auto" w:fill="DDF1DF"/>
            <w:vAlign w:val="center"/>
          </w:tcPr>
          <w:p w14:paraId="18D61167" w14:textId="5EEE1E60" w:rsidR="009A0455" w:rsidRPr="009B2228" w:rsidRDefault="009A0455" w:rsidP="009F122B">
            <w:pPr>
              <w:pStyle w:val="CETBodytext"/>
              <w:spacing w:line="240" w:lineRule="auto"/>
              <w:rPr>
                <w:rFonts w:cs="Arial"/>
                <w:sz w:val="16"/>
                <w:szCs w:val="16"/>
              </w:rPr>
            </w:pPr>
            <w:r w:rsidRPr="009B2228">
              <w:rPr>
                <w:rFonts w:cs="Arial"/>
                <w:sz w:val="16"/>
                <w:szCs w:val="16"/>
              </w:rPr>
              <w:t>3.81</w:t>
            </w:r>
          </w:p>
        </w:tc>
        <w:tc>
          <w:tcPr>
            <w:tcW w:w="236" w:type="dxa"/>
            <w:tcBorders>
              <w:top w:val="single" w:sz="4" w:space="0" w:color="008000"/>
              <w:left w:val="single" w:sz="4" w:space="0" w:color="008000"/>
            </w:tcBorders>
          </w:tcPr>
          <w:p w14:paraId="67666146" w14:textId="77777777" w:rsidR="009A0455" w:rsidRPr="009B2228" w:rsidRDefault="009A0455" w:rsidP="009F122B">
            <w:pPr>
              <w:pStyle w:val="CETBodytext"/>
              <w:spacing w:line="240" w:lineRule="auto"/>
              <w:rPr>
                <w:rFonts w:cs="Arial"/>
                <w:sz w:val="16"/>
                <w:szCs w:val="16"/>
              </w:rPr>
            </w:pPr>
          </w:p>
        </w:tc>
        <w:tc>
          <w:tcPr>
            <w:tcW w:w="3118" w:type="dxa"/>
            <w:tcBorders>
              <w:top w:val="single" w:sz="4" w:space="0" w:color="008000"/>
            </w:tcBorders>
            <w:vAlign w:val="center"/>
          </w:tcPr>
          <w:p w14:paraId="5DAEB7DC" w14:textId="3241E6AF" w:rsidR="009A0455" w:rsidRPr="009B2228" w:rsidRDefault="009A0455" w:rsidP="009F122B">
            <w:pPr>
              <w:pStyle w:val="CETBodytext"/>
              <w:spacing w:line="240" w:lineRule="auto"/>
              <w:rPr>
                <w:rFonts w:cs="Arial"/>
                <w:sz w:val="16"/>
                <w:szCs w:val="18"/>
              </w:rPr>
            </w:pPr>
            <w:r w:rsidRPr="009B2228">
              <w:rPr>
                <w:rFonts w:cs="Arial"/>
                <w:sz w:val="16"/>
                <w:szCs w:val="16"/>
              </w:rPr>
              <w:t>Soybean cost (US$ t</w:t>
            </w:r>
            <w:r w:rsidRPr="009B2228">
              <w:rPr>
                <w:rFonts w:cs="Arial"/>
                <w:sz w:val="16"/>
                <w:szCs w:val="16"/>
                <w:vertAlign w:val="superscript"/>
              </w:rPr>
              <w:t>-1</w:t>
            </w:r>
            <w:r w:rsidRPr="009B2228">
              <w:rPr>
                <w:rFonts w:cs="Arial"/>
                <w:sz w:val="16"/>
                <w:szCs w:val="16"/>
              </w:rPr>
              <w:t>)</w:t>
            </w:r>
          </w:p>
        </w:tc>
        <w:tc>
          <w:tcPr>
            <w:tcW w:w="1134" w:type="dxa"/>
            <w:tcBorders>
              <w:top w:val="single" w:sz="4" w:space="0" w:color="008000"/>
            </w:tcBorders>
            <w:vAlign w:val="center"/>
          </w:tcPr>
          <w:p w14:paraId="12D04F50" w14:textId="253B9A72" w:rsidR="009A0455" w:rsidRPr="009B2228" w:rsidRDefault="009A0455" w:rsidP="009F122B">
            <w:pPr>
              <w:pStyle w:val="CETBodytext"/>
              <w:spacing w:line="240" w:lineRule="auto"/>
              <w:rPr>
                <w:rFonts w:cs="Arial"/>
                <w:sz w:val="16"/>
                <w:szCs w:val="16"/>
              </w:rPr>
            </w:pPr>
            <w:r w:rsidRPr="009B2228">
              <w:rPr>
                <w:rFonts w:cs="Arial"/>
                <w:sz w:val="16"/>
                <w:szCs w:val="16"/>
              </w:rPr>
              <w:t>149.08</w:t>
            </w:r>
          </w:p>
        </w:tc>
      </w:tr>
      <w:tr w:rsidR="009A0455" w:rsidRPr="00A262AA" w14:paraId="3BEC8C0C" w14:textId="77777777" w:rsidTr="000C04D9">
        <w:trPr>
          <w:trHeight w:val="113"/>
        </w:trPr>
        <w:tc>
          <w:tcPr>
            <w:tcW w:w="3118" w:type="dxa"/>
            <w:shd w:val="clear" w:color="auto" w:fill="DDF1DF"/>
            <w:vAlign w:val="center"/>
          </w:tcPr>
          <w:p w14:paraId="51BD6AEA" w14:textId="21C5AEE5" w:rsidR="009A0455" w:rsidRPr="009B2228" w:rsidRDefault="009A0455" w:rsidP="009F122B">
            <w:pPr>
              <w:pStyle w:val="CETBodytext"/>
              <w:spacing w:line="240" w:lineRule="auto"/>
              <w:rPr>
                <w:rFonts w:cs="Arial"/>
                <w:sz w:val="16"/>
                <w:szCs w:val="16"/>
              </w:rPr>
            </w:pPr>
            <w:r w:rsidRPr="009B2228">
              <w:rPr>
                <w:rFonts w:cs="Arial"/>
                <w:sz w:val="16"/>
                <w:szCs w:val="16"/>
              </w:rPr>
              <w:t>Sugarcane straw recovery (</w:t>
            </w:r>
            <w:bookmarkStart w:id="0" w:name="_Hlk157343378"/>
            <w:r w:rsidRPr="009B2228">
              <w:rPr>
                <w:rFonts w:cs="Arial"/>
                <w:sz w:val="16"/>
                <w:szCs w:val="16"/>
              </w:rPr>
              <w:t>kg</w:t>
            </w:r>
            <w:r w:rsidRPr="009B2228">
              <w:rPr>
                <w:rFonts w:cs="Arial"/>
                <w:sz w:val="16"/>
                <w:szCs w:val="16"/>
                <w:vertAlign w:val="subscript"/>
              </w:rPr>
              <w:t>d.b</w:t>
            </w:r>
            <w:r w:rsidRPr="009B2228">
              <w:rPr>
                <w:rFonts w:cs="Arial"/>
                <w:sz w:val="16"/>
                <w:szCs w:val="16"/>
              </w:rPr>
              <w:t>.</w:t>
            </w:r>
            <w:r w:rsidR="00D55F43" w:rsidRPr="009B2228">
              <w:rPr>
                <w:rFonts w:cs="Arial"/>
                <w:sz w:val="16"/>
                <w:szCs w:val="16"/>
              </w:rPr>
              <w:t>TC</w:t>
            </w:r>
            <w:r w:rsidRPr="009B2228">
              <w:rPr>
                <w:rFonts w:cs="Arial"/>
                <w:sz w:val="16"/>
                <w:szCs w:val="16"/>
                <w:vertAlign w:val="superscript"/>
              </w:rPr>
              <w:t>-1</w:t>
            </w:r>
            <w:bookmarkEnd w:id="0"/>
            <w:r w:rsidRPr="009B2228">
              <w:rPr>
                <w:rFonts w:cs="Arial"/>
                <w:sz w:val="16"/>
                <w:szCs w:val="16"/>
              </w:rPr>
              <w:t>)</w:t>
            </w:r>
          </w:p>
        </w:tc>
        <w:tc>
          <w:tcPr>
            <w:tcW w:w="1134" w:type="dxa"/>
            <w:tcBorders>
              <w:right w:val="single" w:sz="4" w:space="0" w:color="008000"/>
            </w:tcBorders>
            <w:shd w:val="clear" w:color="auto" w:fill="DDF1DF"/>
            <w:vAlign w:val="center"/>
          </w:tcPr>
          <w:p w14:paraId="6ABB7EC1" w14:textId="38359F74" w:rsidR="009A0455" w:rsidRPr="009B2228" w:rsidRDefault="009A0455" w:rsidP="009F122B">
            <w:pPr>
              <w:pStyle w:val="CETBodytext"/>
              <w:spacing w:line="240" w:lineRule="auto"/>
              <w:rPr>
                <w:rFonts w:cs="Arial"/>
                <w:sz w:val="16"/>
                <w:szCs w:val="16"/>
              </w:rPr>
            </w:pPr>
            <w:r w:rsidRPr="009B2228">
              <w:rPr>
                <w:rFonts w:cs="Arial"/>
                <w:sz w:val="16"/>
                <w:szCs w:val="16"/>
              </w:rPr>
              <w:t>6.74</w:t>
            </w:r>
          </w:p>
        </w:tc>
        <w:tc>
          <w:tcPr>
            <w:tcW w:w="236" w:type="dxa"/>
            <w:tcBorders>
              <w:left w:val="single" w:sz="4" w:space="0" w:color="008000"/>
            </w:tcBorders>
          </w:tcPr>
          <w:p w14:paraId="35FA9399" w14:textId="77777777" w:rsidR="009A0455" w:rsidRPr="009B2228" w:rsidRDefault="009A0455" w:rsidP="009F122B">
            <w:pPr>
              <w:pStyle w:val="CETBodytext"/>
              <w:spacing w:line="240" w:lineRule="auto"/>
              <w:rPr>
                <w:rFonts w:cs="Arial"/>
                <w:sz w:val="16"/>
                <w:szCs w:val="16"/>
              </w:rPr>
            </w:pPr>
          </w:p>
        </w:tc>
        <w:tc>
          <w:tcPr>
            <w:tcW w:w="3118" w:type="dxa"/>
          </w:tcPr>
          <w:p w14:paraId="68FD141E" w14:textId="6CC9AB82" w:rsidR="009A0455" w:rsidRPr="009B2228" w:rsidRDefault="009A0455" w:rsidP="009F122B">
            <w:pPr>
              <w:pStyle w:val="CETBodytext"/>
              <w:spacing w:line="240" w:lineRule="auto"/>
              <w:rPr>
                <w:rFonts w:cs="Arial"/>
                <w:sz w:val="16"/>
                <w:szCs w:val="18"/>
              </w:rPr>
            </w:pPr>
            <w:r w:rsidRPr="009B2228">
              <w:rPr>
                <w:sz w:val="16"/>
                <w:szCs w:val="18"/>
              </w:rPr>
              <w:t>OPEX Inputs (MUS$ y</w:t>
            </w:r>
            <w:r w:rsidRPr="009B2228">
              <w:rPr>
                <w:sz w:val="16"/>
                <w:szCs w:val="18"/>
                <w:vertAlign w:val="superscript"/>
              </w:rPr>
              <w:t>-1</w:t>
            </w:r>
            <w:r w:rsidRPr="009B2228">
              <w:rPr>
                <w:sz w:val="16"/>
                <w:szCs w:val="18"/>
              </w:rPr>
              <w:t>)</w:t>
            </w:r>
          </w:p>
        </w:tc>
        <w:tc>
          <w:tcPr>
            <w:tcW w:w="1134" w:type="dxa"/>
            <w:vAlign w:val="center"/>
          </w:tcPr>
          <w:p w14:paraId="4FF9C44D" w14:textId="0FC58A3F" w:rsidR="009A0455" w:rsidRPr="009B2228" w:rsidRDefault="009A0455" w:rsidP="009F122B">
            <w:pPr>
              <w:pStyle w:val="CETBodytext"/>
              <w:spacing w:line="240" w:lineRule="auto"/>
              <w:rPr>
                <w:rFonts w:cs="Arial"/>
                <w:sz w:val="16"/>
                <w:szCs w:val="16"/>
              </w:rPr>
            </w:pPr>
            <w:r w:rsidRPr="009B2228">
              <w:rPr>
                <w:rFonts w:cs="Arial"/>
                <w:sz w:val="16"/>
                <w:szCs w:val="16"/>
              </w:rPr>
              <w:t>2.28</w:t>
            </w:r>
          </w:p>
        </w:tc>
      </w:tr>
      <w:tr w:rsidR="009A0455" w:rsidRPr="009447EF" w14:paraId="45BEE962" w14:textId="77777777" w:rsidTr="009B2228">
        <w:trPr>
          <w:trHeight w:val="113"/>
        </w:trPr>
        <w:tc>
          <w:tcPr>
            <w:tcW w:w="3118" w:type="dxa"/>
            <w:vAlign w:val="center"/>
          </w:tcPr>
          <w:p w14:paraId="649D034E" w14:textId="3B9487CE" w:rsidR="009A0455" w:rsidRPr="009B2228" w:rsidRDefault="009A0455" w:rsidP="009F122B">
            <w:pPr>
              <w:pStyle w:val="CETBodytext"/>
              <w:spacing w:line="240" w:lineRule="auto"/>
              <w:rPr>
                <w:rFonts w:cs="Arial"/>
                <w:sz w:val="16"/>
                <w:szCs w:val="16"/>
              </w:rPr>
            </w:pPr>
            <w:r w:rsidRPr="009B2228">
              <w:rPr>
                <w:rFonts w:cs="Arial"/>
                <w:sz w:val="16"/>
                <w:szCs w:val="16"/>
              </w:rPr>
              <w:t>Sugarcane area (10</w:t>
            </w:r>
            <w:r w:rsidRPr="009B2228">
              <w:rPr>
                <w:rFonts w:cs="Arial"/>
                <w:sz w:val="16"/>
                <w:szCs w:val="16"/>
                <w:vertAlign w:val="superscript"/>
              </w:rPr>
              <w:t>3</w:t>
            </w:r>
            <w:r w:rsidRPr="009B2228">
              <w:rPr>
                <w:rFonts w:cs="Arial"/>
                <w:sz w:val="16"/>
                <w:szCs w:val="16"/>
              </w:rPr>
              <w:t xml:space="preserve"> ha)</w:t>
            </w:r>
          </w:p>
        </w:tc>
        <w:tc>
          <w:tcPr>
            <w:tcW w:w="1134" w:type="dxa"/>
            <w:tcBorders>
              <w:right w:val="single" w:sz="4" w:space="0" w:color="008000"/>
            </w:tcBorders>
            <w:vAlign w:val="center"/>
          </w:tcPr>
          <w:p w14:paraId="7694C48A" w14:textId="4C2AB12B" w:rsidR="009A0455" w:rsidRPr="009B2228" w:rsidRDefault="009A0455" w:rsidP="009F122B">
            <w:pPr>
              <w:pStyle w:val="CETBodytext"/>
              <w:spacing w:line="240" w:lineRule="auto"/>
              <w:rPr>
                <w:rFonts w:cs="Arial"/>
                <w:sz w:val="16"/>
                <w:szCs w:val="16"/>
              </w:rPr>
            </w:pPr>
            <w:r w:rsidRPr="009B2228">
              <w:rPr>
                <w:rFonts w:cs="Arial"/>
                <w:sz w:val="16"/>
                <w:szCs w:val="16"/>
              </w:rPr>
              <w:t>60.14</w:t>
            </w:r>
          </w:p>
        </w:tc>
        <w:tc>
          <w:tcPr>
            <w:tcW w:w="236" w:type="dxa"/>
            <w:tcBorders>
              <w:left w:val="single" w:sz="4" w:space="0" w:color="008000"/>
            </w:tcBorders>
          </w:tcPr>
          <w:p w14:paraId="4444CFFA" w14:textId="77777777" w:rsidR="009A0455" w:rsidRPr="009B2228" w:rsidRDefault="009A0455" w:rsidP="009F122B">
            <w:pPr>
              <w:pStyle w:val="CETBodytext"/>
              <w:spacing w:line="240" w:lineRule="auto"/>
              <w:rPr>
                <w:rFonts w:cs="Arial"/>
                <w:sz w:val="16"/>
                <w:szCs w:val="16"/>
              </w:rPr>
            </w:pPr>
          </w:p>
        </w:tc>
        <w:tc>
          <w:tcPr>
            <w:tcW w:w="3118" w:type="dxa"/>
          </w:tcPr>
          <w:p w14:paraId="1EEB8EC0" w14:textId="28555BA5" w:rsidR="009A0455" w:rsidRPr="009B2228" w:rsidRDefault="009A0455" w:rsidP="009F122B">
            <w:pPr>
              <w:pStyle w:val="CETBodytext"/>
              <w:spacing w:line="240" w:lineRule="auto"/>
              <w:rPr>
                <w:rFonts w:cs="Arial"/>
                <w:sz w:val="16"/>
                <w:szCs w:val="18"/>
              </w:rPr>
            </w:pPr>
            <w:r w:rsidRPr="009B2228">
              <w:rPr>
                <w:sz w:val="16"/>
                <w:szCs w:val="18"/>
              </w:rPr>
              <w:t>OPEX Labor (MUS$ y</w:t>
            </w:r>
            <w:r w:rsidRPr="009B2228">
              <w:rPr>
                <w:sz w:val="16"/>
                <w:szCs w:val="18"/>
                <w:vertAlign w:val="superscript"/>
              </w:rPr>
              <w:t>-1</w:t>
            </w:r>
            <w:r w:rsidRPr="009B2228">
              <w:rPr>
                <w:sz w:val="16"/>
                <w:szCs w:val="18"/>
              </w:rPr>
              <w:t>)</w:t>
            </w:r>
          </w:p>
        </w:tc>
        <w:tc>
          <w:tcPr>
            <w:tcW w:w="1134" w:type="dxa"/>
            <w:vAlign w:val="center"/>
          </w:tcPr>
          <w:p w14:paraId="4DD028ED" w14:textId="6DA98ABA" w:rsidR="009A0455" w:rsidRPr="009B2228" w:rsidRDefault="009A0455" w:rsidP="009F122B">
            <w:pPr>
              <w:pStyle w:val="CETBodytext"/>
              <w:spacing w:line="240" w:lineRule="auto"/>
              <w:rPr>
                <w:rFonts w:cs="Arial"/>
                <w:sz w:val="16"/>
                <w:szCs w:val="16"/>
              </w:rPr>
            </w:pPr>
            <w:r w:rsidRPr="009B2228">
              <w:rPr>
                <w:rFonts w:cs="Arial"/>
                <w:sz w:val="16"/>
                <w:szCs w:val="16"/>
              </w:rPr>
              <w:t>2.86</w:t>
            </w:r>
          </w:p>
        </w:tc>
      </w:tr>
      <w:tr w:rsidR="009A0455" w:rsidRPr="009447EF" w14:paraId="0173FBA3" w14:textId="77777777" w:rsidTr="009B2228">
        <w:trPr>
          <w:trHeight w:val="113"/>
        </w:trPr>
        <w:tc>
          <w:tcPr>
            <w:tcW w:w="3118" w:type="dxa"/>
            <w:shd w:val="clear" w:color="auto" w:fill="auto"/>
            <w:vAlign w:val="center"/>
          </w:tcPr>
          <w:p w14:paraId="69B503C9" w14:textId="028ACFA1" w:rsidR="009A0455" w:rsidRPr="009B2228" w:rsidRDefault="009A0455" w:rsidP="009F122B">
            <w:pPr>
              <w:pStyle w:val="CETBodytext"/>
              <w:spacing w:line="240" w:lineRule="auto"/>
              <w:rPr>
                <w:rFonts w:cs="Arial"/>
                <w:sz w:val="16"/>
                <w:szCs w:val="16"/>
              </w:rPr>
            </w:pPr>
            <w:r w:rsidRPr="009B2228">
              <w:rPr>
                <w:rFonts w:cs="Arial"/>
                <w:sz w:val="16"/>
                <w:szCs w:val="16"/>
              </w:rPr>
              <w:t>Ethanol production (</w:t>
            </w:r>
            <w:r w:rsidR="00E734FE" w:rsidRPr="009B2228">
              <w:rPr>
                <w:rFonts w:cs="Arial"/>
                <w:sz w:val="16"/>
                <w:szCs w:val="16"/>
              </w:rPr>
              <w:t>ML</w:t>
            </w:r>
            <w:r w:rsidR="002D2D8F" w:rsidRPr="009B2228">
              <w:rPr>
                <w:rFonts w:cs="Arial"/>
                <w:sz w:val="16"/>
                <w:szCs w:val="16"/>
              </w:rPr>
              <w:t xml:space="preserve"> y</w:t>
            </w:r>
            <w:r w:rsidR="002D2D8F" w:rsidRPr="009B2228">
              <w:rPr>
                <w:rFonts w:cs="Arial"/>
                <w:sz w:val="16"/>
                <w:szCs w:val="16"/>
                <w:vertAlign w:val="superscript"/>
              </w:rPr>
              <w:t>-1</w:t>
            </w:r>
            <w:r w:rsidRPr="009B2228">
              <w:rPr>
                <w:rFonts w:cs="Arial"/>
                <w:sz w:val="16"/>
                <w:szCs w:val="16"/>
              </w:rPr>
              <w:t>)</w:t>
            </w:r>
          </w:p>
        </w:tc>
        <w:tc>
          <w:tcPr>
            <w:tcW w:w="1134" w:type="dxa"/>
            <w:tcBorders>
              <w:right w:val="single" w:sz="4" w:space="0" w:color="008000"/>
            </w:tcBorders>
            <w:shd w:val="clear" w:color="auto" w:fill="auto"/>
            <w:vAlign w:val="center"/>
          </w:tcPr>
          <w:p w14:paraId="605F2C8E" w14:textId="3901DEE9" w:rsidR="009A0455" w:rsidRPr="009B2228" w:rsidRDefault="00E734FE" w:rsidP="009F122B">
            <w:pPr>
              <w:pStyle w:val="CETBodytext"/>
              <w:spacing w:line="240" w:lineRule="auto"/>
              <w:rPr>
                <w:rFonts w:cs="Arial"/>
                <w:sz w:val="16"/>
                <w:szCs w:val="16"/>
              </w:rPr>
            </w:pPr>
            <w:r w:rsidRPr="009B2228">
              <w:rPr>
                <w:rFonts w:cs="Arial"/>
                <w:sz w:val="16"/>
                <w:szCs w:val="16"/>
              </w:rPr>
              <w:t>326.80</w:t>
            </w:r>
          </w:p>
        </w:tc>
        <w:tc>
          <w:tcPr>
            <w:tcW w:w="236" w:type="dxa"/>
            <w:tcBorders>
              <w:left w:val="single" w:sz="4" w:space="0" w:color="008000"/>
            </w:tcBorders>
          </w:tcPr>
          <w:p w14:paraId="3E3D2B10" w14:textId="77777777" w:rsidR="009A0455" w:rsidRPr="009B2228" w:rsidRDefault="009A0455" w:rsidP="009F122B">
            <w:pPr>
              <w:pStyle w:val="CETBodytext"/>
              <w:spacing w:line="240" w:lineRule="auto"/>
              <w:rPr>
                <w:rFonts w:cs="Arial"/>
                <w:sz w:val="16"/>
                <w:szCs w:val="16"/>
              </w:rPr>
            </w:pPr>
          </w:p>
        </w:tc>
        <w:tc>
          <w:tcPr>
            <w:tcW w:w="3118" w:type="dxa"/>
          </w:tcPr>
          <w:p w14:paraId="4BA9D8BB" w14:textId="1C3BEDD8" w:rsidR="009A0455" w:rsidRPr="009B2228" w:rsidRDefault="009A0455" w:rsidP="009F122B">
            <w:pPr>
              <w:pStyle w:val="CETBodytext"/>
              <w:spacing w:line="240" w:lineRule="auto"/>
              <w:rPr>
                <w:rFonts w:cs="Arial"/>
                <w:sz w:val="16"/>
                <w:szCs w:val="18"/>
              </w:rPr>
            </w:pPr>
            <w:r w:rsidRPr="009B2228">
              <w:rPr>
                <w:sz w:val="16"/>
                <w:szCs w:val="18"/>
              </w:rPr>
              <w:t>OPEX Maintenance (MUS$ y</w:t>
            </w:r>
            <w:r w:rsidRPr="009B2228">
              <w:rPr>
                <w:sz w:val="16"/>
                <w:szCs w:val="18"/>
                <w:vertAlign w:val="superscript"/>
              </w:rPr>
              <w:t>-1</w:t>
            </w:r>
            <w:r w:rsidRPr="009B2228">
              <w:rPr>
                <w:sz w:val="16"/>
                <w:szCs w:val="18"/>
              </w:rPr>
              <w:t>)</w:t>
            </w:r>
          </w:p>
        </w:tc>
        <w:tc>
          <w:tcPr>
            <w:tcW w:w="1134" w:type="dxa"/>
            <w:vAlign w:val="center"/>
          </w:tcPr>
          <w:p w14:paraId="4DEC688E" w14:textId="42203D14" w:rsidR="009A0455" w:rsidRPr="009B2228" w:rsidRDefault="009A0455" w:rsidP="009F122B">
            <w:pPr>
              <w:pStyle w:val="CETBodytext"/>
              <w:spacing w:line="240" w:lineRule="auto"/>
              <w:rPr>
                <w:rFonts w:cs="Arial"/>
                <w:sz w:val="16"/>
                <w:szCs w:val="16"/>
              </w:rPr>
            </w:pPr>
            <w:r w:rsidRPr="009B2228">
              <w:rPr>
                <w:rFonts w:cs="Arial"/>
                <w:sz w:val="16"/>
                <w:szCs w:val="16"/>
              </w:rPr>
              <w:t>5.91</w:t>
            </w:r>
          </w:p>
        </w:tc>
      </w:tr>
      <w:tr w:rsidR="009A0455" w:rsidRPr="009447EF" w14:paraId="02981E46" w14:textId="77777777" w:rsidTr="009B2228">
        <w:trPr>
          <w:trHeight w:val="113"/>
        </w:trPr>
        <w:tc>
          <w:tcPr>
            <w:tcW w:w="3118" w:type="dxa"/>
            <w:vAlign w:val="center"/>
          </w:tcPr>
          <w:p w14:paraId="6CBCB872" w14:textId="596DD995" w:rsidR="009A0455" w:rsidRPr="009B2228" w:rsidRDefault="009A0455" w:rsidP="009F122B">
            <w:pPr>
              <w:pStyle w:val="CETBodytext"/>
              <w:spacing w:line="240" w:lineRule="auto"/>
              <w:rPr>
                <w:rFonts w:cs="Arial"/>
                <w:sz w:val="16"/>
                <w:szCs w:val="16"/>
              </w:rPr>
            </w:pPr>
            <w:r w:rsidRPr="009B2228">
              <w:rPr>
                <w:rFonts w:cs="Arial"/>
                <w:sz w:val="16"/>
                <w:szCs w:val="16"/>
              </w:rPr>
              <w:t>Electricity production (GWh y</w:t>
            </w:r>
            <w:r w:rsidRPr="009B2228">
              <w:rPr>
                <w:rFonts w:cs="Arial"/>
                <w:sz w:val="16"/>
                <w:szCs w:val="16"/>
                <w:vertAlign w:val="superscript"/>
              </w:rPr>
              <w:t>-1</w:t>
            </w:r>
            <w:r w:rsidRPr="009B2228">
              <w:rPr>
                <w:rFonts w:cs="Arial"/>
                <w:sz w:val="16"/>
                <w:szCs w:val="16"/>
              </w:rPr>
              <w:t>)</w:t>
            </w:r>
          </w:p>
        </w:tc>
        <w:tc>
          <w:tcPr>
            <w:tcW w:w="1134" w:type="dxa"/>
            <w:tcBorders>
              <w:right w:val="single" w:sz="4" w:space="0" w:color="008000"/>
            </w:tcBorders>
            <w:vAlign w:val="center"/>
          </w:tcPr>
          <w:p w14:paraId="1EFCD21F" w14:textId="30978D20" w:rsidR="009A0455" w:rsidRPr="009B2228" w:rsidRDefault="009A0455" w:rsidP="009F122B">
            <w:pPr>
              <w:pStyle w:val="CETBodytext"/>
              <w:spacing w:line="240" w:lineRule="auto"/>
              <w:rPr>
                <w:rFonts w:cs="Arial"/>
                <w:sz w:val="16"/>
                <w:szCs w:val="16"/>
              </w:rPr>
            </w:pPr>
            <w:r w:rsidRPr="009B2228">
              <w:rPr>
                <w:rFonts w:cs="Arial"/>
                <w:sz w:val="16"/>
                <w:szCs w:val="16"/>
              </w:rPr>
              <w:t>396.63</w:t>
            </w:r>
          </w:p>
        </w:tc>
        <w:tc>
          <w:tcPr>
            <w:tcW w:w="236" w:type="dxa"/>
            <w:tcBorders>
              <w:left w:val="single" w:sz="4" w:space="0" w:color="008000"/>
            </w:tcBorders>
          </w:tcPr>
          <w:p w14:paraId="6415A788" w14:textId="77777777" w:rsidR="009A0455" w:rsidRPr="009B2228" w:rsidRDefault="009A0455" w:rsidP="009F122B">
            <w:pPr>
              <w:pStyle w:val="CETBodytext"/>
              <w:spacing w:line="240" w:lineRule="auto"/>
              <w:rPr>
                <w:rFonts w:cs="Arial"/>
                <w:sz w:val="16"/>
                <w:szCs w:val="16"/>
              </w:rPr>
            </w:pPr>
          </w:p>
        </w:tc>
        <w:tc>
          <w:tcPr>
            <w:tcW w:w="3118" w:type="dxa"/>
          </w:tcPr>
          <w:p w14:paraId="2DC8F60E" w14:textId="69D3F849" w:rsidR="009A0455" w:rsidRPr="009B2228" w:rsidRDefault="009A0455" w:rsidP="009F122B">
            <w:pPr>
              <w:pStyle w:val="CETBodytext"/>
              <w:spacing w:line="240" w:lineRule="auto"/>
              <w:rPr>
                <w:rFonts w:cs="Arial"/>
                <w:sz w:val="16"/>
                <w:szCs w:val="18"/>
              </w:rPr>
            </w:pPr>
            <w:r w:rsidRPr="009B2228">
              <w:rPr>
                <w:sz w:val="16"/>
                <w:szCs w:val="18"/>
              </w:rPr>
              <w:t>OPEX Sugarcane (MUS$ y</w:t>
            </w:r>
            <w:r w:rsidRPr="009B2228">
              <w:rPr>
                <w:sz w:val="16"/>
                <w:szCs w:val="18"/>
                <w:vertAlign w:val="superscript"/>
              </w:rPr>
              <w:t>-1</w:t>
            </w:r>
            <w:r w:rsidRPr="009B2228">
              <w:rPr>
                <w:sz w:val="16"/>
                <w:szCs w:val="18"/>
              </w:rPr>
              <w:t>)</w:t>
            </w:r>
          </w:p>
        </w:tc>
        <w:tc>
          <w:tcPr>
            <w:tcW w:w="1134" w:type="dxa"/>
            <w:vAlign w:val="center"/>
          </w:tcPr>
          <w:p w14:paraId="11945546" w14:textId="03E9086D" w:rsidR="009A0455" w:rsidRPr="009B2228" w:rsidRDefault="009A0455" w:rsidP="009F122B">
            <w:pPr>
              <w:pStyle w:val="CETBodytext"/>
              <w:spacing w:line="240" w:lineRule="auto"/>
              <w:rPr>
                <w:rFonts w:cs="Arial"/>
                <w:sz w:val="16"/>
                <w:szCs w:val="16"/>
              </w:rPr>
            </w:pPr>
            <w:r w:rsidRPr="009B2228">
              <w:rPr>
                <w:rFonts w:cs="Arial"/>
                <w:sz w:val="16"/>
                <w:szCs w:val="16"/>
              </w:rPr>
              <w:t>77.43</w:t>
            </w:r>
          </w:p>
        </w:tc>
      </w:tr>
      <w:tr w:rsidR="009A0455" w:rsidRPr="009447EF" w14:paraId="5AB0459E" w14:textId="77777777" w:rsidTr="009B2228">
        <w:trPr>
          <w:trHeight w:val="113"/>
        </w:trPr>
        <w:tc>
          <w:tcPr>
            <w:tcW w:w="3118" w:type="dxa"/>
            <w:vAlign w:val="center"/>
          </w:tcPr>
          <w:p w14:paraId="4C3ADD35" w14:textId="1E5D1F92" w:rsidR="009A0455" w:rsidRPr="009B2228" w:rsidRDefault="009A0455" w:rsidP="009F122B">
            <w:pPr>
              <w:pStyle w:val="CETBodytext"/>
              <w:spacing w:line="240" w:lineRule="auto"/>
              <w:rPr>
                <w:rFonts w:cs="Arial"/>
                <w:sz w:val="16"/>
                <w:szCs w:val="16"/>
              </w:rPr>
            </w:pPr>
            <w:r w:rsidRPr="009B2228">
              <w:rPr>
                <w:rFonts w:cs="Arial"/>
                <w:sz w:val="16"/>
                <w:szCs w:val="16"/>
              </w:rPr>
              <w:t>Soybean production (10</w:t>
            </w:r>
            <w:r w:rsidRPr="009B2228">
              <w:rPr>
                <w:rFonts w:cs="Arial"/>
                <w:sz w:val="16"/>
                <w:szCs w:val="16"/>
                <w:vertAlign w:val="superscript"/>
              </w:rPr>
              <w:t>3</w:t>
            </w:r>
            <w:r w:rsidRPr="009B2228">
              <w:rPr>
                <w:rFonts w:cs="Arial"/>
                <w:sz w:val="16"/>
                <w:szCs w:val="16"/>
              </w:rPr>
              <w:t xml:space="preserve"> t y</w:t>
            </w:r>
            <w:r w:rsidRPr="009B2228">
              <w:rPr>
                <w:rFonts w:cs="Arial"/>
                <w:sz w:val="16"/>
                <w:szCs w:val="16"/>
                <w:vertAlign w:val="superscript"/>
              </w:rPr>
              <w:t>-1</w:t>
            </w:r>
            <w:r w:rsidRPr="009B2228">
              <w:rPr>
                <w:rFonts w:cs="Arial"/>
                <w:sz w:val="16"/>
                <w:szCs w:val="16"/>
              </w:rPr>
              <w:t>)</w:t>
            </w:r>
          </w:p>
        </w:tc>
        <w:tc>
          <w:tcPr>
            <w:tcW w:w="1134" w:type="dxa"/>
            <w:tcBorders>
              <w:right w:val="single" w:sz="4" w:space="0" w:color="008000"/>
            </w:tcBorders>
            <w:vAlign w:val="center"/>
          </w:tcPr>
          <w:p w14:paraId="09450E7A" w14:textId="7590E4A0" w:rsidR="009A0455" w:rsidRPr="009B2228" w:rsidRDefault="009A0455" w:rsidP="009F122B">
            <w:pPr>
              <w:pStyle w:val="CETBodytext"/>
              <w:spacing w:line="240" w:lineRule="auto"/>
              <w:rPr>
                <w:rFonts w:cs="Arial"/>
                <w:sz w:val="16"/>
                <w:szCs w:val="16"/>
              </w:rPr>
            </w:pPr>
            <w:r w:rsidRPr="009B2228">
              <w:rPr>
                <w:rFonts w:cs="Arial"/>
                <w:sz w:val="16"/>
                <w:szCs w:val="16"/>
              </w:rPr>
              <w:t>32.07</w:t>
            </w:r>
          </w:p>
        </w:tc>
        <w:tc>
          <w:tcPr>
            <w:tcW w:w="236" w:type="dxa"/>
            <w:tcBorders>
              <w:left w:val="single" w:sz="4" w:space="0" w:color="008000"/>
            </w:tcBorders>
          </w:tcPr>
          <w:p w14:paraId="39491817" w14:textId="77777777" w:rsidR="009A0455" w:rsidRPr="009B2228" w:rsidRDefault="009A0455" w:rsidP="009F122B">
            <w:pPr>
              <w:pStyle w:val="CETBodytext"/>
              <w:spacing w:line="240" w:lineRule="auto"/>
              <w:rPr>
                <w:rFonts w:cs="Arial"/>
                <w:sz w:val="16"/>
                <w:szCs w:val="16"/>
              </w:rPr>
            </w:pPr>
          </w:p>
        </w:tc>
        <w:tc>
          <w:tcPr>
            <w:tcW w:w="3118" w:type="dxa"/>
          </w:tcPr>
          <w:p w14:paraId="442E05EB" w14:textId="1DF4F366" w:rsidR="009A0455" w:rsidRPr="009B2228" w:rsidRDefault="009A0455" w:rsidP="009F122B">
            <w:pPr>
              <w:pStyle w:val="CETBodytext"/>
              <w:spacing w:line="240" w:lineRule="auto"/>
              <w:rPr>
                <w:rFonts w:cs="Arial"/>
                <w:sz w:val="16"/>
                <w:szCs w:val="18"/>
              </w:rPr>
            </w:pPr>
            <w:r w:rsidRPr="009B2228">
              <w:rPr>
                <w:sz w:val="16"/>
                <w:szCs w:val="18"/>
              </w:rPr>
              <w:t>OPEX Straw (MUS$ y</w:t>
            </w:r>
            <w:r w:rsidRPr="009B2228">
              <w:rPr>
                <w:sz w:val="16"/>
                <w:szCs w:val="18"/>
                <w:vertAlign w:val="superscript"/>
              </w:rPr>
              <w:t>-1</w:t>
            </w:r>
            <w:r w:rsidRPr="009B2228">
              <w:rPr>
                <w:sz w:val="16"/>
                <w:szCs w:val="18"/>
              </w:rPr>
              <w:t>)</w:t>
            </w:r>
          </w:p>
        </w:tc>
        <w:tc>
          <w:tcPr>
            <w:tcW w:w="1134" w:type="dxa"/>
            <w:vAlign w:val="center"/>
          </w:tcPr>
          <w:p w14:paraId="34A5E0DD" w14:textId="592A5390" w:rsidR="009A0455" w:rsidRPr="009B2228" w:rsidRDefault="009A0455" w:rsidP="009F122B">
            <w:pPr>
              <w:pStyle w:val="CETBodytext"/>
              <w:spacing w:line="240" w:lineRule="auto"/>
              <w:rPr>
                <w:rFonts w:cs="Arial"/>
                <w:sz w:val="16"/>
                <w:szCs w:val="16"/>
              </w:rPr>
            </w:pPr>
            <w:r w:rsidRPr="009B2228">
              <w:rPr>
                <w:rFonts w:cs="Arial"/>
                <w:sz w:val="16"/>
                <w:szCs w:val="16"/>
              </w:rPr>
              <w:t>0.50</w:t>
            </w:r>
          </w:p>
        </w:tc>
      </w:tr>
      <w:tr w:rsidR="009A0455" w:rsidRPr="009447EF" w14:paraId="44CD8AD3" w14:textId="77777777" w:rsidTr="009B2228">
        <w:trPr>
          <w:trHeight w:val="113"/>
        </w:trPr>
        <w:tc>
          <w:tcPr>
            <w:tcW w:w="3118" w:type="dxa"/>
            <w:vAlign w:val="center"/>
          </w:tcPr>
          <w:p w14:paraId="43DC88F8" w14:textId="529FBDFE" w:rsidR="009A0455" w:rsidRPr="009B2228" w:rsidRDefault="009A0455" w:rsidP="009F122B">
            <w:pPr>
              <w:pStyle w:val="CETBodytext"/>
              <w:spacing w:line="240" w:lineRule="auto"/>
              <w:rPr>
                <w:rFonts w:cs="Arial"/>
                <w:sz w:val="16"/>
                <w:szCs w:val="16"/>
              </w:rPr>
            </w:pPr>
            <w:r w:rsidRPr="009B2228">
              <w:rPr>
                <w:rFonts w:cs="Arial"/>
                <w:sz w:val="16"/>
                <w:szCs w:val="16"/>
              </w:rPr>
              <w:t>Bagasse production (10</w:t>
            </w:r>
            <w:r w:rsidRPr="009B2228">
              <w:rPr>
                <w:rFonts w:cs="Arial"/>
                <w:sz w:val="16"/>
                <w:szCs w:val="16"/>
                <w:vertAlign w:val="superscript"/>
              </w:rPr>
              <w:t>3</w:t>
            </w:r>
            <w:r w:rsidRPr="009B2228">
              <w:rPr>
                <w:rFonts w:cs="Arial"/>
                <w:sz w:val="16"/>
                <w:szCs w:val="16"/>
              </w:rPr>
              <w:t xml:space="preserve"> t y</w:t>
            </w:r>
            <w:r w:rsidRPr="009B2228">
              <w:rPr>
                <w:rFonts w:cs="Arial"/>
                <w:sz w:val="16"/>
                <w:szCs w:val="16"/>
                <w:vertAlign w:val="superscript"/>
              </w:rPr>
              <w:t>-1</w:t>
            </w:r>
            <w:r w:rsidRPr="009B2228">
              <w:rPr>
                <w:rFonts w:cs="Arial"/>
                <w:sz w:val="16"/>
                <w:szCs w:val="16"/>
              </w:rPr>
              <w:t>)</w:t>
            </w:r>
          </w:p>
        </w:tc>
        <w:tc>
          <w:tcPr>
            <w:tcW w:w="1134" w:type="dxa"/>
            <w:tcBorders>
              <w:right w:val="single" w:sz="4" w:space="0" w:color="008000"/>
            </w:tcBorders>
            <w:vAlign w:val="center"/>
          </w:tcPr>
          <w:p w14:paraId="7E7F76F2" w14:textId="55489A74" w:rsidR="009A0455" w:rsidRPr="009B2228" w:rsidRDefault="009A0455" w:rsidP="009F122B">
            <w:pPr>
              <w:pStyle w:val="CETBodytext"/>
              <w:spacing w:line="240" w:lineRule="auto"/>
              <w:rPr>
                <w:rFonts w:cs="Arial"/>
                <w:sz w:val="16"/>
                <w:szCs w:val="16"/>
              </w:rPr>
            </w:pPr>
            <w:r w:rsidRPr="009B2228">
              <w:rPr>
                <w:rFonts w:cs="Arial"/>
                <w:sz w:val="16"/>
                <w:szCs w:val="16"/>
              </w:rPr>
              <w:t>60.26</w:t>
            </w:r>
          </w:p>
        </w:tc>
        <w:tc>
          <w:tcPr>
            <w:tcW w:w="236" w:type="dxa"/>
            <w:tcBorders>
              <w:left w:val="single" w:sz="4" w:space="0" w:color="008000"/>
            </w:tcBorders>
          </w:tcPr>
          <w:p w14:paraId="7B030E7B" w14:textId="77777777" w:rsidR="009A0455" w:rsidRPr="009B2228" w:rsidRDefault="009A0455" w:rsidP="009F122B">
            <w:pPr>
              <w:pStyle w:val="CETBodytext"/>
              <w:spacing w:line="240" w:lineRule="auto"/>
              <w:rPr>
                <w:rFonts w:cs="Arial"/>
                <w:sz w:val="16"/>
                <w:szCs w:val="16"/>
              </w:rPr>
            </w:pPr>
          </w:p>
        </w:tc>
        <w:tc>
          <w:tcPr>
            <w:tcW w:w="3118" w:type="dxa"/>
          </w:tcPr>
          <w:p w14:paraId="3F4F8C87" w14:textId="47D4AE67" w:rsidR="009A0455" w:rsidRPr="009B2228" w:rsidRDefault="009A0455" w:rsidP="009F122B">
            <w:pPr>
              <w:pStyle w:val="CETBodytext"/>
              <w:spacing w:line="240" w:lineRule="auto"/>
              <w:rPr>
                <w:rFonts w:cs="Arial"/>
                <w:sz w:val="16"/>
                <w:szCs w:val="18"/>
              </w:rPr>
            </w:pPr>
            <w:r w:rsidRPr="009B2228">
              <w:rPr>
                <w:sz w:val="16"/>
                <w:szCs w:val="18"/>
              </w:rPr>
              <w:t>OPEX Soybean (MUS$ y</w:t>
            </w:r>
            <w:r w:rsidRPr="009B2228">
              <w:rPr>
                <w:sz w:val="16"/>
                <w:szCs w:val="18"/>
                <w:vertAlign w:val="superscript"/>
              </w:rPr>
              <w:t>-1</w:t>
            </w:r>
            <w:r w:rsidRPr="009B2228">
              <w:rPr>
                <w:sz w:val="16"/>
                <w:szCs w:val="18"/>
              </w:rPr>
              <w:t>)</w:t>
            </w:r>
          </w:p>
        </w:tc>
        <w:tc>
          <w:tcPr>
            <w:tcW w:w="1134" w:type="dxa"/>
            <w:vAlign w:val="center"/>
          </w:tcPr>
          <w:p w14:paraId="69CEFD05" w14:textId="45337F42" w:rsidR="009A0455" w:rsidRPr="009B2228" w:rsidRDefault="009A0455" w:rsidP="009F122B">
            <w:pPr>
              <w:pStyle w:val="CETBodytext"/>
              <w:spacing w:line="240" w:lineRule="auto"/>
              <w:rPr>
                <w:rFonts w:cs="Arial"/>
                <w:sz w:val="16"/>
                <w:szCs w:val="16"/>
              </w:rPr>
            </w:pPr>
            <w:r w:rsidRPr="009B2228">
              <w:rPr>
                <w:rFonts w:cs="Arial"/>
                <w:sz w:val="16"/>
                <w:szCs w:val="16"/>
              </w:rPr>
              <w:t>4.78</w:t>
            </w:r>
          </w:p>
        </w:tc>
      </w:tr>
      <w:tr w:rsidR="009A0455" w:rsidRPr="009447EF" w14:paraId="4ECE2984" w14:textId="77777777" w:rsidTr="009B2228">
        <w:trPr>
          <w:trHeight w:val="113"/>
        </w:trPr>
        <w:tc>
          <w:tcPr>
            <w:tcW w:w="3118" w:type="dxa"/>
            <w:vAlign w:val="center"/>
          </w:tcPr>
          <w:p w14:paraId="0CC0011A" w14:textId="2B28C716" w:rsidR="009A0455" w:rsidRPr="009B2228" w:rsidRDefault="009A0455" w:rsidP="009F122B">
            <w:pPr>
              <w:pStyle w:val="CETBodytext"/>
              <w:spacing w:line="240" w:lineRule="auto"/>
              <w:rPr>
                <w:rFonts w:cs="Arial"/>
                <w:sz w:val="16"/>
                <w:szCs w:val="16"/>
              </w:rPr>
            </w:pPr>
            <w:r w:rsidRPr="009B2228">
              <w:rPr>
                <w:rFonts w:cs="Arial"/>
                <w:sz w:val="16"/>
                <w:szCs w:val="16"/>
              </w:rPr>
              <w:t>CBIOS (10</w:t>
            </w:r>
            <w:r w:rsidRPr="009B2228">
              <w:rPr>
                <w:rFonts w:cs="Arial"/>
                <w:sz w:val="16"/>
                <w:szCs w:val="16"/>
                <w:vertAlign w:val="superscript"/>
              </w:rPr>
              <w:t xml:space="preserve">3 </w:t>
            </w:r>
            <w:r w:rsidRPr="009B2228">
              <w:rPr>
                <w:rFonts w:cs="Arial"/>
                <w:sz w:val="16"/>
                <w:szCs w:val="16"/>
              </w:rPr>
              <w:t>un</w:t>
            </w:r>
            <w:r w:rsidR="00D55F43" w:rsidRPr="009B2228">
              <w:rPr>
                <w:rFonts w:cs="Arial"/>
                <w:sz w:val="16"/>
                <w:szCs w:val="16"/>
              </w:rPr>
              <w:t>it</w:t>
            </w:r>
            <w:r w:rsidRPr="009B2228">
              <w:rPr>
                <w:rFonts w:cs="Arial"/>
                <w:sz w:val="16"/>
                <w:szCs w:val="16"/>
              </w:rPr>
              <w:t>)</w:t>
            </w:r>
          </w:p>
        </w:tc>
        <w:tc>
          <w:tcPr>
            <w:tcW w:w="1134" w:type="dxa"/>
            <w:tcBorders>
              <w:right w:val="single" w:sz="4" w:space="0" w:color="008000"/>
            </w:tcBorders>
            <w:vAlign w:val="center"/>
          </w:tcPr>
          <w:p w14:paraId="3CF70223" w14:textId="6B0400ED" w:rsidR="009A0455" w:rsidRPr="009B2228" w:rsidRDefault="009A0455" w:rsidP="009F122B">
            <w:pPr>
              <w:pStyle w:val="CETBodytext"/>
              <w:spacing w:line="240" w:lineRule="auto"/>
              <w:rPr>
                <w:rFonts w:cs="Arial"/>
                <w:sz w:val="16"/>
                <w:szCs w:val="16"/>
              </w:rPr>
            </w:pPr>
            <w:r w:rsidRPr="009B2228">
              <w:rPr>
                <w:rFonts w:cs="Arial"/>
                <w:sz w:val="16"/>
                <w:szCs w:val="16"/>
              </w:rPr>
              <w:t>622.7</w:t>
            </w:r>
          </w:p>
        </w:tc>
        <w:tc>
          <w:tcPr>
            <w:tcW w:w="236" w:type="dxa"/>
            <w:tcBorders>
              <w:left w:val="single" w:sz="4" w:space="0" w:color="008000"/>
            </w:tcBorders>
          </w:tcPr>
          <w:p w14:paraId="6B19BB53" w14:textId="77777777" w:rsidR="009A0455" w:rsidRPr="009B2228" w:rsidRDefault="009A0455" w:rsidP="009F122B">
            <w:pPr>
              <w:pStyle w:val="CETBodytext"/>
              <w:spacing w:line="240" w:lineRule="auto"/>
              <w:rPr>
                <w:rFonts w:cs="Arial"/>
                <w:sz w:val="16"/>
                <w:szCs w:val="16"/>
              </w:rPr>
            </w:pPr>
          </w:p>
        </w:tc>
        <w:tc>
          <w:tcPr>
            <w:tcW w:w="3118" w:type="dxa"/>
          </w:tcPr>
          <w:p w14:paraId="55344B59" w14:textId="63A5D8A6" w:rsidR="009A0455" w:rsidRPr="009B2228" w:rsidRDefault="009A0455" w:rsidP="009F122B">
            <w:pPr>
              <w:pStyle w:val="CETBodytext"/>
              <w:spacing w:line="240" w:lineRule="auto"/>
              <w:rPr>
                <w:rFonts w:cs="Arial"/>
                <w:sz w:val="16"/>
                <w:szCs w:val="16"/>
              </w:rPr>
            </w:pPr>
            <w:r w:rsidRPr="009B2228">
              <w:rPr>
                <w:sz w:val="16"/>
                <w:szCs w:val="18"/>
              </w:rPr>
              <w:t>OPEX Total (MUS$ y</w:t>
            </w:r>
            <w:r w:rsidRPr="009B2228">
              <w:rPr>
                <w:sz w:val="16"/>
                <w:szCs w:val="18"/>
                <w:vertAlign w:val="superscript"/>
              </w:rPr>
              <w:t>-1</w:t>
            </w:r>
            <w:r w:rsidRPr="009B2228">
              <w:rPr>
                <w:sz w:val="16"/>
                <w:szCs w:val="18"/>
              </w:rPr>
              <w:t>)</w:t>
            </w:r>
          </w:p>
        </w:tc>
        <w:tc>
          <w:tcPr>
            <w:tcW w:w="1134" w:type="dxa"/>
            <w:vAlign w:val="center"/>
          </w:tcPr>
          <w:p w14:paraId="523B7A42" w14:textId="6C7531B1" w:rsidR="009A0455" w:rsidRPr="009B2228" w:rsidRDefault="009A0455" w:rsidP="009F122B">
            <w:pPr>
              <w:pStyle w:val="CETBodytext"/>
              <w:spacing w:line="240" w:lineRule="auto"/>
              <w:rPr>
                <w:rFonts w:cs="Arial"/>
                <w:sz w:val="16"/>
                <w:szCs w:val="16"/>
              </w:rPr>
            </w:pPr>
            <w:r w:rsidRPr="009B2228">
              <w:rPr>
                <w:rFonts w:cs="Arial"/>
                <w:sz w:val="16"/>
                <w:szCs w:val="16"/>
              </w:rPr>
              <w:t>93.76</w:t>
            </w:r>
          </w:p>
        </w:tc>
      </w:tr>
      <w:tr w:rsidR="009A0455" w:rsidRPr="009447EF" w14:paraId="3D3B254F" w14:textId="77777777" w:rsidTr="009B2228">
        <w:trPr>
          <w:trHeight w:val="113"/>
        </w:trPr>
        <w:tc>
          <w:tcPr>
            <w:tcW w:w="3118" w:type="dxa"/>
            <w:vAlign w:val="center"/>
          </w:tcPr>
          <w:p w14:paraId="45571233" w14:textId="13A4770A" w:rsidR="009A0455" w:rsidRPr="009B2228" w:rsidRDefault="009A0455" w:rsidP="009F122B">
            <w:pPr>
              <w:pStyle w:val="CETBodytext"/>
              <w:spacing w:line="240" w:lineRule="auto"/>
              <w:rPr>
                <w:rFonts w:cs="Arial"/>
                <w:sz w:val="16"/>
                <w:szCs w:val="16"/>
              </w:rPr>
            </w:pPr>
            <w:r w:rsidRPr="009B2228">
              <w:rPr>
                <w:rFonts w:cs="Arial"/>
                <w:sz w:val="16"/>
                <w:szCs w:val="16"/>
              </w:rPr>
              <w:t>Sugarcane cost (US$ t</w:t>
            </w:r>
            <w:r w:rsidRPr="009B2228">
              <w:rPr>
                <w:rFonts w:cs="Arial"/>
                <w:sz w:val="16"/>
                <w:szCs w:val="16"/>
                <w:vertAlign w:val="superscript"/>
              </w:rPr>
              <w:t>-1</w:t>
            </w:r>
            <w:r w:rsidRPr="009B2228">
              <w:rPr>
                <w:rFonts w:cs="Arial"/>
                <w:sz w:val="16"/>
                <w:szCs w:val="16"/>
              </w:rPr>
              <w:t>)</w:t>
            </w:r>
          </w:p>
        </w:tc>
        <w:tc>
          <w:tcPr>
            <w:tcW w:w="1134" w:type="dxa"/>
            <w:tcBorders>
              <w:right w:val="single" w:sz="4" w:space="0" w:color="008000"/>
            </w:tcBorders>
            <w:vAlign w:val="center"/>
          </w:tcPr>
          <w:p w14:paraId="3861F749" w14:textId="277786B0" w:rsidR="009A0455" w:rsidRPr="009B2228" w:rsidRDefault="009A0455" w:rsidP="009F122B">
            <w:pPr>
              <w:pStyle w:val="CETBodytext"/>
              <w:spacing w:line="240" w:lineRule="auto"/>
              <w:rPr>
                <w:rFonts w:cs="Arial"/>
                <w:sz w:val="16"/>
                <w:szCs w:val="16"/>
              </w:rPr>
            </w:pPr>
            <w:r w:rsidRPr="009B2228">
              <w:rPr>
                <w:rFonts w:cs="Arial"/>
                <w:sz w:val="16"/>
                <w:szCs w:val="16"/>
              </w:rPr>
              <w:t>20.33</w:t>
            </w:r>
          </w:p>
        </w:tc>
        <w:tc>
          <w:tcPr>
            <w:tcW w:w="236" w:type="dxa"/>
            <w:tcBorders>
              <w:left w:val="single" w:sz="4" w:space="0" w:color="008000"/>
            </w:tcBorders>
          </w:tcPr>
          <w:p w14:paraId="21586D4F" w14:textId="77777777" w:rsidR="009A0455" w:rsidRPr="009B2228" w:rsidRDefault="009A0455" w:rsidP="009F122B">
            <w:pPr>
              <w:pStyle w:val="CETBodytext"/>
              <w:spacing w:line="240" w:lineRule="auto"/>
              <w:rPr>
                <w:rFonts w:cs="Arial"/>
                <w:sz w:val="16"/>
                <w:szCs w:val="16"/>
              </w:rPr>
            </w:pPr>
          </w:p>
        </w:tc>
        <w:tc>
          <w:tcPr>
            <w:tcW w:w="3118" w:type="dxa"/>
            <w:vAlign w:val="center"/>
          </w:tcPr>
          <w:p w14:paraId="5866359B" w14:textId="670047E3" w:rsidR="009A0455" w:rsidRPr="009B2228" w:rsidRDefault="009A0455" w:rsidP="009F122B">
            <w:pPr>
              <w:pStyle w:val="CETBodytext"/>
              <w:spacing w:line="240" w:lineRule="auto"/>
              <w:rPr>
                <w:rFonts w:cs="Arial"/>
                <w:sz w:val="16"/>
                <w:szCs w:val="16"/>
              </w:rPr>
            </w:pPr>
            <w:r w:rsidRPr="009B2228">
              <w:rPr>
                <w:rFonts w:cs="Arial"/>
                <w:sz w:val="16"/>
                <w:szCs w:val="16"/>
              </w:rPr>
              <w:t>CAPEX (MUS$)</w:t>
            </w:r>
          </w:p>
        </w:tc>
        <w:tc>
          <w:tcPr>
            <w:tcW w:w="1134" w:type="dxa"/>
            <w:vAlign w:val="center"/>
          </w:tcPr>
          <w:p w14:paraId="64236734" w14:textId="10D2C195" w:rsidR="009A0455" w:rsidRPr="009B2228" w:rsidRDefault="009A0455" w:rsidP="009F122B">
            <w:pPr>
              <w:pStyle w:val="CETBodytext"/>
              <w:spacing w:line="240" w:lineRule="auto"/>
              <w:rPr>
                <w:rFonts w:cs="Arial"/>
                <w:sz w:val="16"/>
                <w:szCs w:val="16"/>
              </w:rPr>
            </w:pPr>
            <w:r w:rsidRPr="009B2228">
              <w:rPr>
                <w:rFonts w:cs="Arial"/>
                <w:sz w:val="16"/>
                <w:szCs w:val="16"/>
              </w:rPr>
              <w:t>277.58</w:t>
            </w:r>
          </w:p>
        </w:tc>
      </w:tr>
      <w:tr w:rsidR="009A0455" w:rsidRPr="009447EF" w14:paraId="5152C7AC" w14:textId="77777777" w:rsidTr="009B2228">
        <w:trPr>
          <w:trHeight w:val="113"/>
        </w:trPr>
        <w:tc>
          <w:tcPr>
            <w:tcW w:w="3118" w:type="dxa"/>
            <w:tcBorders>
              <w:bottom w:val="single" w:sz="4" w:space="0" w:color="008000"/>
            </w:tcBorders>
            <w:vAlign w:val="center"/>
          </w:tcPr>
          <w:p w14:paraId="65754286" w14:textId="2F76CF6D" w:rsidR="009A0455" w:rsidRPr="009B2228" w:rsidRDefault="009A0455" w:rsidP="009F122B">
            <w:pPr>
              <w:pStyle w:val="CETBodytext"/>
              <w:spacing w:line="240" w:lineRule="auto"/>
              <w:rPr>
                <w:rFonts w:cs="Arial"/>
                <w:sz w:val="16"/>
                <w:szCs w:val="16"/>
              </w:rPr>
            </w:pPr>
            <w:r w:rsidRPr="009B2228">
              <w:rPr>
                <w:rFonts w:cs="Arial"/>
                <w:sz w:val="16"/>
                <w:szCs w:val="16"/>
              </w:rPr>
              <w:t>Straw cost (US$ t</w:t>
            </w:r>
            <w:r w:rsidRPr="009B2228">
              <w:rPr>
                <w:rFonts w:cs="Arial"/>
                <w:sz w:val="16"/>
                <w:szCs w:val="16"/>
                <w:vertAlign w:val="superscript"/>
              </w:rPr>
              <w:t>-1</w:t>
            </w:r>
            <w:r w:rsidRPr="009B2228">
              <w:rPr>
                <w:rFonts w:cs="Arial"/>
                <w:sz w:val="16"/>
                <w:szCs w:val="16"/>
              </w:rPr>
              <w:t>)</w:t>
            </w:r>
          </w:p>
        </w:tc>
        <w:tc>
          <w:tcPr>
            <w:tcW w:w="1134" w:type="dxa"/>
            <w:tcBorders>
              <w:bottom w:val="single" w:sz="4" w:space="0" w:color="008000"/>
              <w:right w:val="single" w:sz="4" w:space="0" w:color="008000"/>
            </w:tcBorders>
            <w:vAlign w:val="center"/>
          </w:tcPr>
          <w:p w14:paraId="5E85F973" w14:textId="7C0058FE" w:rsidR="009A0455" w:rsidRPr="009B2228" w:rsidRDefault="009A0455" w:rsidP="009F122B">
            <w:pPr>
              <w:pStyle w:val="CETBodytext"/>
              <w:spacing w:line="240" w:lineRule="auto"/>
              <w:rPr>
                <w:rFonts w:cs="Arial"/>
                <w:sz w:val="16"/>
                <w:szCs w:val="16"/>
              </w:rPr>
            </w:pPr>
            <w:r w:rsidRPr="009B2228">
              <w:rPr>
                <w:rFonts w:cs="Arial"/>
                <w:sz w:val="16"/>
                <w:szCs w:val="16"/>
              </w:rPr>
              <w:t>19.51</w:t>
            </w:r>
          </w:p>
        </w:tc>
        <w:tc>
          <w:tcPr>
            <w:tcW w:w="236" w:type="dxa"/>
            <w:tcBorders>
              <w:left w:val="single" w:sz="4" w:space="0" w:color="008000"/>
              <w:bottom w:val="single" w:sz="4" w:space="0" w:color="008000"/>
            </w:tcBorders>
          </w:tcPr>
          <w:p w14:paraId="54BFAAC2" w14:textId="77777777" w:rsidR="009A0455" w:rsidRPr="009B2228" w:rsidRDefault="009A0455" w:rsidP="009F122B">
            <w:pPr>
              <w:pStyle w:val="CETBodytext"/>
              <w:spacing w:line="240" w:lineRule="auto"/>
              <w:rPr>
                <w:rFonts w:cs="Arial"/>
                <w:sz w:val="16"/>
                <w:szCs w:val="16"/>
              </w:rPr>
            </w:pPr>
          </w:p>
        </w:tc>
        <w:tc>
          <w:tcPr>
            <w:tcW w:w="3118" w:type="dxa"/>
            <w:tcBorders>
              <w:bottom w:val="single" w:sz="4" w:space="0" w:color="008000"/>
            </w:tcBorders>
            <w:vAlign w:val="center"/>
          </w:tcPr>
          <w:p w14:paraId="5806C997" w14:textId="5FA41AED" w:rsidR="009A0455" w:rsidRPr="009B2228" w:rsidRDefault="009A0455" w:rsidP="009F122B">
            <w:pPr>
              <w:pStyle w:val="CETBodytext"/>
              <w:spacing w:line="240" w:lineRule="auto"/>
              <w:rPr>
                <w:rFonts w:cs="Arial"/>
                <w:sz w:val="16"/>
                <w:szCs w:val="16"/>
              </w:rPr>
            </w:pPr>
            <w:r w:rsidRPr="009B2228">
              <w:rPr>
                <w:rFonts w:cs="Arial"/>
                <w:sz w:val="16"/>
                <w:szCs w:val="16"/>
              </w:rPr>
              <w:t>Revenue (MUS$ y</w:t>
            </w:r>
            <w:r w:rsidRPr="009B2228">
              <w:rPr>
                <w:rFonts w:cs="Arial"/>
                <w:sz w:val="16"/>
                <w:szCs w:val="16"/>
                <w:vertAlign w:val="superscript"/>
              </w:rPr>
              <w:t>-1</w:t>
            </w:r>
            <w:r w:rsidRPr="009B2228">
              <w:rPr>
                <w:rFonts w:cs="Arial"/>
                <w:sz w:val="16"/>
                <w:szCs w:val="16"/>
              </w:rPr>
              <w:t>)</w:t>
            </w:r>
          </w:p>
        </w:tc>
        <w:tc>
          <w:tcPr>
            <w:tcW w:w="1134" w:type="dxa"/>
            <w:tcBorders>
              <w:bottom w:val="single" w:sz="4" w:space="0" w:color="008000"/>
            </w:tcBorders>
            <w:vAlign w:val="center"/>
          </w:tcPr>
          <w:p w14:paraId="17707C07" w14:textId="5070C697" w:rsidR="009A0455" w:rsidRPr="009B2228" w:rsidRDefault="009A0455" w:rsidP="009F122B">
            <w:pPr>
              <w:pStyle w:val="CETBodytext"/>
              <w:spacing w:line="240" w:lineRule="auto"/>
              <w:rPr>
                <w:rFonts w:cs="Arial"/>
                <w:sz w:val="16"/>
                <w:szCs w:val="16"/>
              </w:rPr>
            </w:pPr>
            <w:r w:rsidRPr="009B2228">
              <w:rPr>
                <w:rFonts w:cs="Arial"/>
                <w:sz w:val="16"/>
                <w:szCs w:val="16"/>
              </w:rPr>
              <w:t>172.59</w:t>
            </w:r>
          </w:p>
        </w:tc>
      </w:tr>
      <w:tr w:rsidR="009A0455" w:rsidRPr="009447EF" w14:paraId="68724D13" w14:textId="77777777" w:rsidTr="002C75E5">
        <w:trPr>
          <w:trHeight w:val="170"/>
        </w:trPr>
        <w:tc>
          <w:tcPr>
            <w:tcW w:w="8740" w:type="dxa"/>
            <w:gridSpan w:val="5"/>
            <w:tcBorders>
              <w:top w:val="single" w:sz="4" w:space="0" w:color="008000"/>
              <w:bottom w:val="single" w:sz="4" w:space="0" w:color="008000"/>
            </w:tcBorders>
            <w:vAlign w:val="center"/>
          </w:tcPr>
          <w:p w14:paraId="24338B43" w14:textId="74F5380D" w:rsidR="009A0455" w:rsidRPr="009B2228" w:rsidRDefault="009A0455" w:rsidP="009F122B">
            <w:pPr>
              <w:pStyle w:val="CETBodytext"/>
              <w:spacing w:line="240" w:lineRule="auto"/>
              <w:rPr>
                <w:rFonts w:cs="Arial"/>
                <w:sz w:val="16"/>
                <w:szCs w:val="16"/>
              </w:rPr>
            </w:pPr>
            <w:r w:rsidRPr="009B2228">
              <w:rPr>
                <w:rFonts w:cs="Arial"/>
                <w:sz w:val="16"/>
                <w:szCs w:val="16"/>
              </w:rPr>
              <w:t>A2. Beef cattle production on pasture</w:t>
            </w:r>
          </w:p>
        </w:tc>
      </w:tr>
      <w:tr w:rsidR="009A0455" w:rsidRPr="009447EF" w14:paraId="35D63E68" w14:textId="77777777" w:rsidTr="009B2228">
        <w:tc>
          <w:tcPr>
            <w:tcW w:w="3118" w:type="dxa"/>
            <w:tcBorders>
              <w:top w:val="single" w:sz="4" w:space="0" w:color="008000"/>
              <w:bottom w:val="single" w:sz="4" w:space="0" w:color="008000"/>
            </w:tcBorders>
            <w:vAlign w:val="center"/>
          </w:tcPr>
          <w:p w14:paraId="2990AA2D" w14:textId="5CCE5C53" w:rsidR="009A0455" w:rsidRPr="009B2228" w:rsidRDefault="009A0455" w:rsidP="009F122B">
            <w:pPr>
              <w:pStyle w:val="CETBodytext"/>
              <w:spacing w:line="240" w:lineRule="auto"/>
              <w:rPr>
                <w:rFonts w:cs="Arial"/>
                <w:i/>
                <w:iCs/>
                <w:sz w:val="16"/>
                <w:szCs w:val="16"/>
              </w:rPr>
            </w:pPr>
            <w:r w:rsidRPr="009B2228">
              <w:rPr>
                <w:rFonts w:cs="Arial"/>
                <w:i/>
                <w:iCs/>
                <w:sz w:val="16"/>
                <w:szCs w:val="16"/>
              </w:rPr>
              <w:t>Outputs</w:t>
            </w:r>
          </w:p>
        </w:tc>
        <w:tc>
          <w:tcPr>
            <w:tcW w:w="1134" w:type="dxa"/>
            <w:tcBorders>
              <w:top w:val="single" w:sz="4" w:space="0" w:color="008000"/>
              <w:bottom w:val="single" w:sz="4" w:space="0" w:color="008000"/>
              <w:right w:val="single" w:sz="4" w:space="0" w:color="008000"/>
            </w:tcBorders>
          </w:tcPr>
          <w:p w14:paraId="2DDD3DDD" w14:textId="73B8BB9C" w:rsidR="009A0455" w:rsidRPr="009B2228" w:rsidRDefault="009A0455" w:rsidP="009F122B">
            <w:pPr>
              <w:pStyle w:val="CETBodytext"/>
              <w:spacing w:line="240" w:lineRule="auto"/>
              <w:rPr>
                <w:rFonts w:cs="Arial"/>
                <w:i/>
                <w:iCs/>
                <w:sz w:val="16"/>
                <w:szCs w:val="16"/>
              </w:rPr>
            </w:pPr>
            <w:r w:rsidRPr="009B2228">
              <w:rPr>
                <w:rFonts w:cs="Arial"/>
                <w:i/>
                <w:iCs/>
                <w:sz w:val="16"/>
                <w:szCs w:val="16"/>
              </w:rPr>
              <w:t>Value</w:t>
            </w:r>
          </w:p>
        </w:tc>
        <w:tc>
          <w:tcPr>
            <w:tcW w:w="236" w:type="dxa"/>
            <w:tcBorders>
              <w:top w:val="single" w:sz="4" w:space="0" w:color="008000"/>
              <w:left w:val="single" w:sz="4" w:space="0" w:color="008000"/>
              <w:bottom w:val="single" w:sz="4" w:space="0" w:color="008000"/>
            </w:tcBorders>
          </w:tcPr>
          <w:p w14:paraId="1B9B25FF" w14:textId="77777777" w:rsidR="009A0455" w:rsidRPr="009B2228" w:rsidRDefault="009A0455" w:rsidP="009F122B">
            <w:pPr>
              <w:pStyle w:val="CETBodytext"/>
              <w:spacing w:line="240" w:lineRule="auto"/>
              <w:rPr>
                <w:rFonts w:cs="Arial"/>
                <w:i/>
                <w:iCs/>
                <w:sz w:val="16"/>
                <w:szCs w:val="16"/>
              </w:rPr>
            </w:pPr>
          </w:p>
        </w:tc>
        <w:tc>
          <w:tcPr>
            <w:tcW w:w="3118" w:type="dxa"/>
            <w:tcBorders>
              <w:top w:val="single" w:sz="4" w:space="0" w:color="008000"/>
              <w:bottom w:val="single" w:sz="4" w:space="0" w:color="008000"/>
            </w:tcBorders>
            <w:vAlign w:val="center"/>
          </w:tcPr>
          <w:p w14:paraId="2A0D71E4" w14:textId="11023940" w:rsidR="009A0455" w:rsidRPr="009B2228" w:rsidRDefault="009A0455" w:rsidP="009F122B">
            <w:pPr>
              <w:pStyle w:val="CETBodytext"/>
              <w:spacing w:line="240" w:lineRule="auto"/>
              <w:rPr>
                <w:rFonts w:cs="Arial"/>
                <w:i/>
                <w:iCs/>
                <w:sz w:val="16"/>
                <w:szCs w:val="16"/>
              </w:rPr>
            </w:pPr>
            <w:r w:rsidRPr="009B2228">
              <w:rPr>
                <w:rFonts w:cs="Arial"/>
                <w:i/>
                <w:iCs/>
                <w:sz w:val="16"/>
                <w:szCs w:val="16"/>
              </w:rPr>
              <w:t>Outputs</w:t>
            </w:r>
          </w:p>
        </w:tc>
        <w:tc>
          <w:tcPr>
            <w:tcW w:w="1134" w:type="dxa"/>
            <w:tcBorders>
              <w:top w:val="single" w:sz="4" w:space="0" w:color="008000"/>
              <w:bottom w:val="single" w:sz="4" w:space="0" w:color="008000"/>
            </w:tcBorders>
          </w:tcPr>
          <w:p w14:paraId="60D711E4" w14:textId="597F97A1" w:rsidR="009A0455" w:rsidRPr="009B2228" w:rsidRDefault="009A0455" w:rsidP="009F122B">
            <w:pPr>
              <w:pStyle w:val="CETBodytext"/>
              <w:spacing w:line="240" w:lineRule="auto"/>
              <w:rPr>
                <w:rFonts w:cs="Arial"/>
                <w:i/>
                <w:iCs/>
                <w:sz w:val="16"/>
                <w:szCs w:val="16"/>
              </w:rPr>
            </w:pPr>
            <w:r w:rsidRPr="009B2228">
              <w:rPr>
                <w:rFonts w:cs="Arial"/>
                <w:i/>
                <w:iCs/>
                <w:sz w:val="16"/>
                <w:szCs w:val="16"/>
              </w:rPr>
              <w:t>Value</w:t>
            </w:r>
          </w:p>
        </w:tc>
      </w:tr>
      <w:tr w:rsidR="009A0455" w:rsidRPr="004A12DF" w14:paraId="14FA1B74" w14:textId="77777777" w:rsidTr="000C04D9">
        <w:tc>
          <w:tcPr>
            <w:tcW w:w="3118" w:type="dxa"/>
            <w:tcBorders>
              <w:top w:val="single" w:sz="4" w:space="0" w:color="008000"/>
            </w:tcBorders>
            <w:shd w:val="clear" w:color="auto" w:fill="DDF1DF"/>
            <w:vAlign w:val="center"/>
          </w:tcPr>
          <w:p w14:paraId="4703BC68" w14:textId="059ACFF1" w:rsidR="009A0455" w:rsidRPr="009B2228" w:rsidRDefault="009A0455" w:rsidP="009F122B">
            <w:pPr>
              <w:pStyle w:val="CETBodytext"/>
              <w:spacing w:line="240" w:lineRule="auto"/>
              <w:rPr>
                <w:rFonts w:cs="Arial"/>
                <w:sz w:val="16"/>
                <w:szCs w:val="16"/>
              </w:rPr>
            </w:pPr>
            <w:r w:rsidRPr="009B2228">
              <w:rPr>
                <w:rFonts w:cs="Arial"/>
                <w:sz w:val="16"/>
                <w:szCs w:val="16"/>
              </w:rPr>
              <w:t xml:space="preserve">Stocking rate (head </w:t>
            </w:r>
            <w:proofErr w:type="gramStart"/>
            <w:r w:rsidRPr="009B2228">
              <w:rPr>
                <w:rFonts w:cs="Arial"/>
                <w:sz w:val="16"/>
                <w:szCs w:val="16"/>
              </w:rPr>
              <w:t>ha</w:t>
            </w:r>
            <w:r w:rsidRPr="009B2228">
              <w:rPr>
                <w:rFonts w:cs="Arial"/>
                <w:sz w:val="16"/>
                <w:szCs w:val="16"/>
                <w:vertAlign w:val="superscript"/>
              </w:rPr>
              <w:t>-1</w:t>
            </w:r>
            <w:proofErr w:type="gramEnd"/>
            <w:r w:rsidRPr="009B2228">
              <w:rPr>
                <w:rFonts w:cs="Arial"/>
                <w:sz w:val="16"/>
                <w:szCs w:val="16"/>
              </w:rPr>
              <w:t>)</w:t>
            </w:r>
          </w:p>
        </w:tc>
        <w:tc>
          <w:tcPr>
            <w:tcW w:w="1134" w:type="dxa"/>
            <w:tcBorders>
              <w:top w:val="single" w:sz="4" w:space="0" w:color="008000"/>
              <w:right w:val="single" w:sz="4" w:space="0" w:color="008000"/>
            </w:tcBorders>
            <w:shd w:val="clear" w:color="auto" w:fill="DDF1DF"/>
            <w:vAlign w:val="center"/>
          </w:tcPr>
          <w:p w14:paraId="755FB1BA" w14:textId="75FDAA24" w:rsidR="009A0455" w:rsidRPr="009B2228" w:rsidRDefault="009A0455" w:rsidP="009F122B">
            <w:pPr>
              <w:pStyle w:val="CETBodytext"/>
              <w:spacing w:line="240" w:lineRule="auto"/>
              <w:rPr>
                <w:rFonts w:cs="Arial"/>
                <w:sz w:val="16"/>
                <w:szCs w:val="16"/>
                <w:lang w:val="pt-BR"/>
              </w:rPr>
            </w:pPr>
            <w:r w:rsidRPr="009B2228">
              <w:rPr>
                <w:rFonts w:cs="Arial"/>
                <w:sz w:val="16"/>
                <w:szCs w:val="16"/>
                <w:lang w:val="pt-BR"/>
              </w:rPr>
              <w:t>4.00</w:t>
            </w:r>
          </w:p>
        </w:tc>
        <w:tc>
          <w:tcPr>
            <w:tcW w:w="236" w:type="dxa"/>
            <w:tcBorders>
              <w:top w:val="single" w:sz="4" w:space="0" w:color="008000"/>
              <w:left w:val="single" w:sz="4" w:space="0" w:color="008000"/>
            </w:tcBorders>
          </w:tcPr>
          <w:p w14:paraId="73322580" w14:textId="77777777" w:rsidR="009A0455" w:rsidRPr="009B2228" w:rsidRDefault="009A0455" w:rsidP="009F122B">
            <w:pPr>
              <w:pStyle w:val="CETBodytext"/>
              <w:spacing w:line="240" w:lineRule="auto"/>
              <w:rPr>
                <w:rFonts w:cs="Arial"/>
                <w:sz w:val="16"/>
                <w:szCs w:val="16"/>
                <w:lang w:val="pt-BR"/>
              </w:rPr>
            </w:pPr>
          </w:p>
        </w:tc>
        <w:tc>
          <w:tcPr>
            <w:tcW w:w="3118" w:type="dxa"/>
            <w:tcBorders>
              <w:top w:val="single" w:sz="4" w:space="0" w:color="008000"/>
            </w:tcBorders>
            <w:vAlign w:val="center"/>
          </w:tcPr>
          <w:p w14:paraId="65D5A64B" w14:textId="557A3A8D" w:rsidR="009A0455" w:rsidRPr="009B2228" w:rsidRDefault="009A0455" w:rsidP="009F122B">
            <w:pPr>
              <w:pStyle w:val="CETBodytext"/>
              <w:spacing w:line="240" w:lineRule="auto"/>
              <w:rPr>
                <w:rFonts w:cs="Arial"/>
                <w:sz w:val="16"/>
                <w:szCs w:val="16"/>
              </w:rPr>
            </w:pPr>
            <w:r w:rsidRPr="009B2228">
              <w:rPr>
                <w:rFonts w:cs="Arial"/>
                <w:sz w:val="16"/>
                <w:szCs w:val="16"/>
              </w:rPr>
              <w:t xml:space="preserve">OPEX </w:t>
            </w:r>
            <w:r w:rsidR="002D2D8F" w:rsidRPr="009B2228">
              <w:rPr>
                <w:rFonts w:cs="Arial"/>
                <w:sz w:val="16"/>
                <w:szCs w:val="16"/>
              </w:rPr>
              <w:t xml:space="preserve">Mineral supplement </w:t>
            </w:r>
            <w:r w:rsidRPr="009B2228">
              <w:rPr>
                <w:sz w:val="16"/>
                <w:szCs w:val="18"/>
              </w:rPr>
              <w:t>(MUS$ y</w:t>
            </w:r>
            <w:r w:rsidRPr="009B2228">
              <w:rPr>
                <w:sz w:val="16"/>
                <w:szCs w:val="18"/>
                <w:vertAlign w:val="superscript"/>
              </w:rPr>
              <w:t>-1</w:t>
            </w:r>
            <w:r w:rsidRPr="009B2228">
              <w:rPr>
                <w:sz w:val="16"/>
                <w:szCs w:val="18"/>
              </w:rPr>
              <w:t>)</w:t>
            </w:r>
          </w:p>
        </w:tc>
        <w:tc>
          <w:tcPr>
            <w:tcW w:w="1134" w:type="dxa"/>
            <w:tcBorders>
              <w:top w:val="single" w:sz="4" w:space="0" w:color="008000"/>
            </w:tcBorders>
            <w:vAlign w:val="center"/>
          </w:tcPr>
          <w:p w14:paraId="505982C2" w14:textId="091A98FC" w:rsidR="009A0455" w:rsidRPr="009B2228" w:rsidRDefault="009A0455" w:rsidP="009F122B">
            <w:pPr>
              <w:pStyle w:val="CETBodytext"/>
              <w:spacing w:line="240" w:lineRule="auto"/>
              <w:rPr>
                <w:rFonts w:cs="Arial"/>
                <w:sz w:val="16"/>
                <w:szCs w:val="16"/>
              </w:rPr>
            </w:pPr>
            <w:r w:rsidRPr="009B2228">
              <w:rPr>
                <w:rFonts w:cs="Arial"/>
                <w:sz w:val="16"/>
                <w:szCs w:val="16"/>
              </w:rPr>
              <w:t>3.39</w:t>
            </w:r>
          </w:p>
        </w:tc>
      </w:tr>
      <w:tr w:rsidR="009A0455" w:rsidRPr="004A12DF" w14:paraId="46E8010E" w14:textId="77777777" w:rsidTr="009B2228">
        <w:tc>
          <w:tcPr>
            <w:tcW w:w="3118" w:type="dxa"/>
            <w:vAlign w:val="center"/>
          </w:tcPr>
          <w:p w14:paraId="34B6BFC3" w14:textId="08AB53E8" w:rsidR="009A0455" w:rsidRPr="009B2228" w:rsidRDefault="009A0455" w:rsidP="009F122B">
            <w:pPr>
              <w:pStyle w:val="CETBodytext"/>
              <w:spacing w:line="240" w:lineRule="auto"/>
              <w:rPr>
                <w:rFonts w:cs="Arial"/>
                <w:sz w:val="16"/>
                <w:szCs w:val="16"/>
              </w:rPr>
            </w:pPr>
            <w:r w:rsidRPr="009B2228">
              <w:rPr>
                <w:rFonts w:cs="Arial"/>
                <w:sz w:val="16"/>
                <w:szCs w:val="16"/>
              </w:rPr>
              <w:t xml:space="preserve">Nitrogen Dose (kg </w:t>
            </w:r>
            <w:proofErr w:type="gramStart"/>
            <w:r w:rsidRPr="009B2228">
              <w:rPr>
                <w:rFonts w:cs="Arial"/>
                <w:sz w:val="16"/>
                <w:szCs w:val="16"/>
              </w:rPr>
              <w:t>ha</w:t>
            </w:r>
            <w:r w:rsidRPr="009B2228">
              <w:rPr>
                <w:rFonts w:cs="Arial"/>
                <w:sz w:val="16"/>
                <w:szCs w:val="16"/>
                <w:vertAlign w:val="superscript"/>
              </w:rPr>
              <w:t>-1</w:t>
            </w:r>
            <w:proofErr w:type="gramEnd"/>
            <w:r w:rsidRPr="009B2228">
              <w:rPr>
                <w:rFonts w:cs="Arial"/>
                <w:sz w:val="16"/>
                <w:szCs w:val="16"/>
              </w:rPr>
              <w:t>)</w:t>
            </w:r>
          </w:p>
        </w:tc>
        <w:tc>
          <w:tcPr>
            <w:tcW w:w="1134" w:type="dxa"/>
            <w:tcBorders>
              <w:right w:val="single" w:sz="4" w:space="0" w:color="008000"/>
            </w:tcBorders>
            <w:vAlign w:val="center"/>
          </w:tcPr>
          <w:p w14:paraId="61E75F33" w14:textId="769A4F1A" w:rsidR="009A0455" w:rsidRPr="009B2228" w:rsidRDefault="009A0455" w:rsidP="009F122B">
            <w:pPr>
              <w:pStyle w:val="CETBodytext"/>
              <w:spacing w:line="240" w:lineRule="auto"/>
              <w:rPr>
                <w:rFonts w:cs="Arial"/>
                <w:sz w:val="16"/>
                <w:szCs w:val="16"/>
                <w:lang w:val="pt-BR"/>
              </w:rPr>
            </w:pPr>
            <w:r w:rsidRPr="009B2228">
              <w:rPr>
                <w:rFonts w:cs="Arial"/>
                <w:sz w:val="16"/>
                <w:szCs w:val="16"/>
                <w:lang w:val="pt-BR"/>
              </w:rPr>
              <w:t>277.69</w:t>
            </w:r>
          </w:p>
        </w:tc>
        <w:tc>
          <w:tcPr>
            <w:tcW w:w="236" w:type="dxa"/>
            <w:tcBorders>
              <w:left w:val="single" w:sz="4" w:space="0" w:color="008000"/>
            </w:tcBorders>
          </w:tcPr>
          <w:p w14:paraId="043C0CAF" w14:textId="77777777" w:rsidR="009A0455" w:rsidRPr="009B2228" w:rsidRDefault="009A0455" w:rsidP="009F122B">
            <w:pPr>
              <w:pStyle w:val="CETBodytext"/>
              <w:spacing w:line="240" w:lineRule="auto"/>
              <w:rPr>
                <w:rFonts w:cs="Arial"/>
                <w:sz w:val="16"/>
                <w:szCs w:val="16"/>
                <w:lang w:val="pt-BR"/>
              </w:rPr>
            </w:pPr>
          </w:p>
        </w:tc>
        <w:tc>
          <w:tcPr>
            <w:tcW w:w="3118" w:type="dxa"/>
            <w:vAlign w:val="center"/>
          </w:tcPr>
          <w:p w14:paraId="0EBF514C" w14:textId="17BB4A87" w:rsidR="009A0455" w:rsidRPr="009B2228" w:rsidRDefault="009A0455" w:rsidP="009F122B">
            <w:pPr>
              <w:pStyle w:val="CETBodytext"/>
              <w:spacing w:line="240" w:lineRule="auto"/>
              <w:rPr>
                <w:rFonts w:cs="Arial"/>
                <w:sz w:val="16"/>
                <w:szCs w:val="16"/>
              </w:rPr>
            </w:pPr>
            <w:r w:rsidRPr="009B2228">
              <w:rPr>
                <w:rFonts w:cs="Arial"/>
                <w:sz w:val="16"/>
                <w:szCs w:val="16"/>
              </w:rPr>
              <w:t xml:space="preserve">OPEX Sanitary management </w:t>
            </w:r>
            <w:r w:rsidRPr="009B2228">
              <w:rPr>
                <w:sz w:val="16"/>
                <w:szCs w:val="18"/>
              </w:rPr>
              <w:t>(MUS$ y</w:t>
            </w:r>
            <w:r w:rsidRPr="009B2228">
              <w:rPr>
                <w:sz w:val="16"/>
                <w:szCs w:val="18"/>
                <w:vertAlign w:val="superscript"/>
              </w:rPr>
              <w:t>-1</w:t>
            </w:r>
            <w:r w:rsidRPr="009B2228">
              <w:rPr>
                <w:sz w:val="16"/>
                <w:szCs w:val="18"/>
              </w:rPr>
              <w:t>)</w:t>
            </w:r>
          </w:p>
        </w:tc>
        <w:tc>
          <w:tcPr>
            <w:tcW w:w="1134" w:type="dxa"/>
            <w:vAlign w:val="center"/>
          </w:tcPr>
          <w:p w14:paraId="5C9E7B2B" w14:textId="2B8C541E" w:rsidR="009A0455" w:rsidRPr="009B2228" w:rsidRDefault="009A0455" w:rsidP="009F122B">
            <w:pPr>
              <w:pStyle w:val="CETBodytext"/>
              <w:spacing w:line="240" w:lineRule="auto"/>
              <w:rPr>
                <w:rFonts w:cs="Arial"/>
                <w:sz w:val="16"/>
                <w:szCs w:val="16"/>
              </w:rPr>
            </w:pPr>
            <w:r w:rsidRPr="009B2228">
              <w:rPr>
                <w:rFonts w:cs="Arial"/>
                <w:sz w:val="16"/>
                <w:szCs w:val="16"/>
              </w:rPr>
              <w:t>3.86</w:t>
            </w:r>
          </w:p>
        </w:tc>
      </w:tr>
      <w:tr w:rsidR="009A0455" w:rsidRPr="00D21AEA" w14:paraId="13CB1391" w14:textId="77777777" w:rsidTr="009B2228">
        <w:tc>
          <w:tcPr>
            <w:tcW w:w="3118" w:type="dxa"/>
            <w:vAlign w:val="center"/>
          </w:tcPr>
          <w:p w14:paraId="0A6A6B5D" w14:textId="625F4F07" w:rsidR="009A0455" w:rsidRPr="009B2228" w:rsidRDefault="009A0455" w:rsidP="009F122B">
            <w:pPr>
              <w:pStyle w:val="CETBodytext"/>
              <w:spacing w:line="240" w:lineRule="auto"/>
              <w:rPr>
                <w:rFonts w:cs="Arial"/>
                <w:sz w:val="16"/>
                <w:szCs w:val="16"/>
              </w:rPr>
            </w:pPr>
            <w:r w:rsidRPr="009B2228">
              <w:rPr>
                <w:rFonts w:cs="Arial"/>
                <w:sz w:val="16"/>
                <w:szCs w:val="16"/>
              </w:rPr>
              <w:t>Area (10</w:t>
            </w:r>
            <w:r w:rsidRPr="009B2228">
              <w:rPr>
                <w:rFonts w:cs="Arial"/>
                <w:sz w:val="16"/>
                <w:szCs w:val="16"/>
                <w:vertAlign w:val="superscript"/>
              </w:rPr>
              <w:t>3</w:t>
            </w:r>
            <w:r w:rsidRPr="009B2228">
              <w:rPr>
                <w:rFonts w:cs="Arial"/>
                <w:sz w:val="16"/>
                <w:szCs w:val="16"/>
              </w:rPr>
              <w:t xml:space="preserve"> ha)</w:t>
            </w:r>
          </w:p>
        </w:tc>
        <w:tc>
          <w:tcPr>
            <w:tcW w:w="1134" w:type="dxa"/>
            <w:tcBorders>
              <w:right w:val="single" w:sz="4" w:space="0" w:color="008000"/>
            </w:tcBorders>
            <w:vAlign w:val="center"/>
          </w:tcPr>
          <w:p w14:paraId="2FA59465" w14:textId="4232966C" w:rsidR="009A0455" w:rsidRPr="009B2228" w:rsidRDefault="009A0455" w:rsidP="009F122B">
            <w:pPr>
              <w:pStyle w:val="CETBodytext"/>
              <w:spacing w:line="240" w:lineRule="auto"/>
              <w:rPr>
                <w:rFonts w:cs="Arial"/>
                <w:sz w:val="16"/>
                <w:szCs w:val="16"/>
                <w:lang w:val="pt-BR"/>
              </w:rPr>
            </w:pPr>
            <w:r w:rsidRPr="009B2228">
              <w:rPr>
                <w:rFonts w:cs="Arial"/>
                <w:sz w:val="16"/>
                <w:szCs w:val="16"/>
              </w:rPr>
              <w:t>60.14</w:t>
            </w:r>
          </w:p>
        </w:tc>
        <w:tc>
          <w:tcPr>
            <w:tcW w:w="236" w:type="dxa"/>
            <w:tcBorders>
              <w:left w:val="single" w:sz="4" w:space="0" w:color="008000"/>
            </w:tcBorders>
          </w:tcPr>
          <w:p w14:paraId="7E3AB6B6" w14:textId="77777777" w:rsidR="009A0455" w:rsidRPr="009B2228" w:rsidRDefault="009A0455" w:rsidP="009F122B">
            <w:pPr>
              <w:pStyle w:val="CETBodytext"/>
              <w:spacing w:line="240" w:lineRule="auto"/>
              <w:rPr>
                <w:rFonts w:cs="Arial"/>
                <w:sz w:val="16"/>
                <w:szCs w:val="16"/>
                <w:lang w:val="pt-BR"/>
              </w:rPr>
            </w:pPr>
          </w:p>
        </w:tc>
        <w:tc>
          <w:tcPr>
            <w:tcW w:w="3118" w:type="dxa"/>
            <w:vAlign w:val="center"/>
          </w:tcPr>
          <w:p w14:paraId="2D806405" w14:textId="3CF4874C" w:rsidR="009A0455" w:rsidRPr="009B2228" w:rsidRDefault="009A0455" w:rsidP="009F122B">
            <w:pPr>
              <w:pStyle w:val="CETBodytext"/>
              <w:spacing w:line="240" w:lineRule="auto"/>
              <w:rPr>
                <w:rFonts w:cs="Arial"/>
                <w:sz w:val="16"/>
                <w:szCs w:val="16"/>
                <w:lang w:val="pt-BR"/>
              </w:rPr>
            </w:pPr>
            <w:r w:rsidRPr="009B2228">
              <w:rPr>
                <w:rFonts w:cs="Arial"/>
                <w:sz w:val="16"/>
                <w:szCs w:val="16"/>
                <w:lang w:val="pt-BR"/>
              </w:rPr>
              <w:t xml:space="preserve">OPEX </w:t>
            </w:r>
            <w:r w:rsidR="00B70000" w:rsidRPr="009B2228">
              <w:rPr>
                <w:rFonts w:cs="Arial"/>
                <w:sz w:val="16"/>
                <w:szCs w:val="16"/>
              </w:rPr>
              <w:t xml:space="preserve">Others </w:t>
            </w:r>
            <w:r w:rsidRPr="009B2228">
              <w:rPr>
                <w:sz w:val="16"/>
                <w:szCs w:val="18"/>
              </w:rPr>
              <w:t>(MUS$ y</w:t>
            </w:r>
            <w:r w:rsidRPr="009B2228">
              <w:rPr>
                <w:sz w:val="16"/>
                <w:szCs w:val="18"/>
                <w:vertAlign w:val="superscript"/>
              </w:rPr>
              <w:t>-1</w:t>
            </w:r>
            <w:r w:rsidRPr="009B2228">
              <w:rPr>
                <w:sz w:val="16"/>
                <w:szCs w:val="18"/>
              </w:rPr>
              <w:t>)</w:t>
            </w:r>
          </w:p>
        </w:tc>
        <w:tc>
          <w:tcPr>
            <w:tcW w:w="1134" w:type="dxa"/>
            <w:vAlign w:val="center"/>
          </w:tcPr>
          <w:p w14:paraId="3189F00E" w14:textId="09DC007C" w:rsidR="009A0455" w:rsidRPr="009B2228" w:rsidRDefault="009A0455" w:rsidP="009F122B">
            <w:pPr>
              <w:pStyle w:val="CETBodytext"/>
              <w:spacing w:line="240" w:lineRule="auto"/>
              <w:rPr>
                <w:rFonts w:cs="Arial"/>
                <w:sz w:val="16"/>
                <w:szCs w:val="16"/>
                <w:lang w:val="pt-BR"/>
              </w:rPr>
            </w:pPr>
            <w:r w:rsidRPr="009B2228">
              <w:rPr>
                <w:rFonts w:cs="Arial"/>
                <w:sz w:val="16"/>
                <w:szCs w:val="16"/>
                <w:lang w:val="pt-BR"/>
              </w:rPr>
              <w:t>0.03</w:t>
            </w:r>
          </w:p>
        </w:tc>
      </w:tr>
      <w:tr w:rsidR="009A0455" w:rsidRPr="009447EF" w14:paraId="1AB99794" w14:textId="77777777" w:rsidTr="009B2228">
        <w:tc>
          <w:tcPr>
            <w:tcW w:w="3118" w:type="dxa"/>
            <w:vAlign w:val="center"/>
          </w:tcPr>
          <w:p w14:paraId="7674D0CA" w14:textId="3A8AF31E" w:rsidR="009A0455" w:rsidRPr="009B2228" w:rsidRDefault="009A0455" w:rsidP="009F122B">
            <w:pPr>
              <w:pStyle w:val="CETBodytext"/>
              <w:spacing w:line="240" w:lineRule="auto"/>
              <w:rPr>
                <w:rFonts w:cs="Arial"/>
                <w:sz w:val="16"/>
                <w:szCs w:val="16"/>
              </w:rPr>
            </w:pPr>
            <w:r w:rsidRPr="009B2228">
              <w:rPr>
                <w:rFonts w:cs="Arial"/>
                <w:sz w:val="16"/>
                <w:szCs w:val="16"/>
              </w:rPr>
              <w:t>Carcass equivalent (10</w:t>
            </w:r>
            <w:r w:rsidRPr="009B2228">
              <w:rPr>
                <w:rFonts w:cs="Arial"/>
                <w:sz w:val="16"/>
                <w:szCs w:val="16"/>
                <w:vertAlign w:val="superscript"/>
              </w:rPr>
              <w:t>3</w:t>
            </w:r>
            <w:r w:rsidRPr="009B2228">
              <w:rPr>
                <w:rFonts w:cs="Arial"/>
                <w:sz w:val="16"/>
                <w:szCs w:val="16"/>
              </w:rPr>
              <w:t xml:space="preserve"> t y</w:t>
            </w:r>
            <w:r w:rsidRPr="009B2228">
              <w:rPr>
                <w:rFonts w:cs="Arial"/>
                <w:sz w:val="16"/>
                <w:szCs w:val="16"/>
                <w:vertAlign w:val="superscript"/>
              </w:rPr>
              <w:t>-1</w:t>
            </w:r>
            <w:r w:rsidRPr="009B2228">
              <w:rPr>
                <w:rFonts w:cs="Arial"/>
                <w:sz w:val="16"/>
                <w:szCs w:val="16"/>
              </w:rPr>
              <w:t>)</w:t>
            </w:r>
          </w:p>
        </w:tc>
        <w:tc>
          <w:tcPr>
            <w:tcW w:w="1134" w:type="dxa"/>
            <w:tcBorders>
              <w:right w:val="single" w:sz="4" w:space="0" w:color="008000"/>
            </w:tcBorders>
            <w:vAlign w:val="center"/>
          </w:tcPr>
          <w:p w14:paraId="7A7AC2ED" w14:textId="30A46179" w:rsidR="009A0455" w:rsidRPr="009B2228" w:rsidRDefault="009A0455" w:rsidP="009F122B">
            <w:pPr>
              <w:pStyle w:val="CETBodytext"/>
              <w:spacing w:line="240" w:lineRule="auto"/>
              <w:rPr>
                <w:rFonts w:cs="Arial"/>
                <w:sz w:val="16"/>
                <w:szCs w:val="16"/>
              </w:rPr>
            </w:pPr>
            <w:bookmarkStart w:id="1" w:name="_Hlk157342477"/>
            <w:r w:rsidRPr="009B2228">
              <w:rPr>
                <w:rFonts w:cs="Arial"/>
                <w:sz w:val="16"/>
                <w:szCs w:val="16"/>
                <w:lang w:val="pt-BR"/>
              </w:rPr>
              <w:t>61.31</w:t>
            </w:r>
            <w:bookmarkEnd w:id="1"/>
          </w:p>
        </w:tc>
        <w:tc>
          <w:tcPr>
            <w:tcW w:w="236" w:type="dxa"/>
            <w:tcBorders>
              <w:left w:val="single" w:sz="4" w:space="0" w:color="008000"/>
            </w:tcBorders>
          </w:tcPr>
          <w:p w14:paraId="5294ED84" w14:textId="77777777" w:rsidR="009A0455" w:rsidRPr="009B2228" w:rsidRDefault="009A0455" w:rsidP="009F122B">
            <w:pPr>
              <w:pStyle w:val="CETBodytext"/>
              <w:spacing w:line="240" w:lineRule="auto"/>
              <w:rPr>
                <w:rFonts w:cs="Arial"/>
                <w:sz w:val="16"/>
                <w:szCs w:val="16"/>
              </w:rPr>
            </w:pPr>
          </w:p>
        </w:tc>
        <w:tc>
          <w:tcPr>
            <w:tcW w:w="3118" w:type="dxa"/>
            <w:vAlign w:val="center"/>
          </w:tcPr>
          <w:p w14:paraId="3668BEB0" w14:textId="33B00B16" w:rsidR="009A0455" w:rsidRPr="009B2228" w:rsidRDefault="009A0455" w:rsidP="009F122B">
            <w:pPr>
              <w:pStyle w:val="CETBodytext"/>
              <w:spacing w:line="240" w:lineRule="auto"/>
              <w:rPr>
                <w:rFonts w:cs="Arial"/>
                <w:sz w:val="16"/>
                <w:szCs w:val="16"/>
              </w:rPr>
            </w:pPr>
            <w:r w:rsidRPr="009B2228">
              <w:rPr>
                <w:rFonts w:cs="Arial"/>
                <w:sz w:val="16"/>
                <w:szCs w:val="16"/>
              </w:rPr>
              <w:t xml:space="preserve">OPEX Land rent </w:t>
            </w:r>
            <w:r w:rsidRPr="009B2228">
              <w:rPr>
                <w:sz w:val="16"/>
                <w:szCs w:val="18"/>
              </w:rPr>
              <w:t>(MUS$ y</w:t>
            </w:r>
            <w:r w:rsidRPr="009B2228">
              <w:rPr>
                <w:sz w:val="16"/>
                <w:szCs w:val="18"/>
                <w:vertAlign w:val="superscript"/>
              </w:rPr>
              <w:t>-1</w:t>
            </w:r>
            <w:r w:rsidRPr="009B2228">
              <w:rPr>
                <w:sz w:val="16"/>
                <w:szCs w:val="18"/>
              </w:rPr>
              <w:t>)</w:t>
            </w:r>
          </w:p>
        </w:tc>
        <w:tc>
          <w:tcPr>
            <w:tcW w:w="1134" w:type="dxa"/>
            <w:vAlign w:val="center"/>
          </w:tcPr>
          <w:p w14:paraId="6B6848B1" w14:textId="16EB53F3" w:rsidR="009A0455" w:rsidRPr="009B2228" w:rsidRDefault="009A0455" w:rsidP="009F122B">
            <w:pPr>
              <w:pStyle w:val="CETBodytext"/>
              <w:spacing w:line="240" w:lineRule="auto"/>
              <w:rPr>
                <w:rFonts w:cs="Arial"/>
                <w:sz w:val="16"/>
                <w:szCs w:val="16"/>
                <w:lang w:val="pt-BR"/>
              </w:rPr>
            </w:pPr>
            <w:r w:rsidRPr="009B2228">
              <w:rPr>
                <w:rFonts w:cs="Arial"/>
                <w:sz w:val="16"/>
                <w:szCs w:val="16"/>
                <w:lang w:val="pt-BR"/>
              </w:rPr>
              <w:t>20.44</w:t>
            </w:r>
          </w:p>
        </w:tc>
      </w:tr>
      <w:tr w:rsidR="009A0455" w:rsidRPr="009447EF" w14:paraId="25C40314" w14:textId="77777777" w:rsidTr="009B2228">
        <w:tc>
          <w:tcPr>
            <w:tcW w:w="3118" w:type="dxa"/>
            <w:vAlign w:val="center"/>
          </w:tcPr>
          <w:p w14:paraId="777A5E04" w14:textId="7F9DA0A2" w:rsidR="009A0455" w:rsidRPr="009B2228" w:rsidRDefault="009A0455" w:rsidP="009F122B">
            <w:pPr>
              <w:pStyle w:val="CETBodytext"/>
              <w:spacing w:line="240" w:lineRule="auto"/>
              <w:rPr>
                <w:rFonts w:cs="Arial"/>
                <w:sz w:val="16"/>
                <w:szCs w:val="16"/>
              </w:rPr>
            </w:pPr>
            <w:r w:rsidRPr="009B2228">
              <w:rPr>
                <w:rFonts w:cs="Arial"/>
                <w:sz w:val="16"/>
                <w:szCs w:val="16"/>
              </w:rPr>
              <w:t xml:space="preserve">OPEX Animal purchase </w:t>
            </w:r>
            <w:r w:rsidRPr="009B2228">
              <w:rPr>
                <w:sz w:val="16"/>
                <w:szCs w:val="18"/>
              </w:rPr>
              <w:t>(MUS$ y</w:t>
            </w:r>
            <w:r w:rsidRPr="009B2228">
              <w:rPr>
                <w:sz w:val="16"/>
                <w:szCs w:val="18"/>
                <w:vertAlign w:val="superscript"/>
              </w:rPr>
              <w:t>-1</w:t>
            </w:r>
            <w:r w:rsidRPr="009B2228">
              <w:rPr>
                <w:sz w:val="16"/>
                <w:szCs w:val="18"/>
              </w:rPr>
              <w:t>)</w:t>
            </w:r>
          </w:p>
        </w:tc>
        <w:tc>
          <w:tcPr>
            <w:tcW w:w="1134" w:type="dxa"/>
            <w:tcBorders>
              <w:right w:val="single" w:sz="4" w:space="0" w:color="008000"/>
            </w:tcBorders>
            <w:vAlign w:val="center"/>
          </w:tcPr>
          <w:p w14:paraId="2C75A67B" w14:textId="62DFC0A9" w:rsidR="009A0455" w:rsidRPr="009B2228" w:rsidRDefault="009A0455" w:rsidP="009F122B">
            <w:pPr>
              <w:pStyle w:val="CETBodytext"/>
              <w:spacing w:line="240" w:lineRule="auto"/>
              <w:rPr>
                <w:rFonts w:cs="Arial"/>
                <w:sz w:val="16"/>
                <w:szCs w:val="16"/>
              </w:rPr>
            </w:pPr>
            <w:r w:rsidRPr="009B2228">
              <w:rPr>
                <w:rFonts w:cs="Arial"/>
                <w:sz w:val="16"/>
                <w:szCs w:val="16"/>
              </w:rPr>
              <w:t>104.04</w:t>
            </w:r>
          </w:p>
        </w:tc>
        <w:tc>
          <w:tcPr>
            <w:tcW w:w="236" w:type="dxa"/>
            <w:tcBorders>
              <w:left w:val="single" w:sz="4" w:space="0" w:color="008000"/>
            </w:tcBorders>
          </w:tcPr>
          <w:p w14:paraId="38808D3B" w14:textId="77777777" w:rsidR="009A0455" w:rsidRPr="009B2228" w:rsidRDefault="009A0455" w:rsidP="009F122B">
            <w:pPr>
              <w:pStyle w:val="CETBodytext"/>
              <w:spacing w:line="240" w:lineRule="auto"/>
              <w:rPr>
                <w:rFonts w:cs="Arial"/>
                <w:sz w:val="16"/>
                <w:szCs w:val="16"/>
              </w:rPr>
            </w:pPr>
          </w:p>
        </w:tc>
        <w:tc>
          <w:tcPr>
            <w:tcW w:w="3118" w:type="dxa"/>
            <w:vAlign w:val="center"/>
          </w:tcPr>
          <w:p w14:paraId="36B6F464" w14:textId="4CB3AE10" w:rsidR="009A0455" w:rsidRPr="009B2228" w:rsidRDefault="009A0455" w:rsidP="009F122B">
            <w:pPr>
              <w:pStyle w:val="CETBodytext"/>
              <w:spacing w:line="240" w:lineRule="auto"/>
              <w:rPr>
                <w:rFonts w:cs="Arial"/>
                <w:sz w:val="16"/>
                <w:szCs w:val="16"/>
              </w:rPr>
            </w:pPr>
            <w:r w:rsidRPr="009B2228">
              <w:rPr>
                <w:rFonts w:cs="Arial"/>
                <w:sz w:val="16"/>
                <w:szCs w:val="16"/>
              </w:rPr>
              <w:t>OPEX Total (MUS$ y</w:t>
            </w:r>
            <w:r w:rsidRPr="009B2228">
              <w:rPr>
                <w:rFonts w:cs="Arial"/>
                <w:sz w:val="16"/>
                <w:szCs w:val="16"/>
                <w:vertAlign w:val="superscript"/>
              </w:rPr>
              <w:t>-1</w:t>
            </w:r>
            <w:r w:rsidRPr="009B2228">
              <w:rPr>
                <w:rFonts w:cs="Arial"/>
                <w:sz w:val="16"/>
                <w:szCs w:val="16"/>
              </w:rPr>
              <w:t>)</w:t>
            </w:r>
          </w:p>
        </w:tc>
        <w:tc>
          <w:tcPr>
            <w:tcW w:w="1134" w:type="dxa"/>
            <w:vAlign w:val="center"/>
          </w:tcPr>
          <w:p w14:paraId="23CA5FA5" w14:textId="1E585542" w:rsidR="009A0455" w:rsidRPr="009B2228" w:rsidRDefault="009A0455" w:rsidP="009F122B">
            <w:pPr>
              <w:pStyle w:val="CETBodytext"/>
              <w:spacing w:line="240" w:lineRule="auto"/>
              <w:rPr>
                <w:rFonts w:cs="Arial"/>
                <w:sz w:val="16"/>
                <w:szCs w:val="16"/>
                <w:lang w:val="pt-BR"/>
              </w:rPr>
            </w:pPr>
            <w:r w:rsidRPr="009B2228">
              <w:rPr>
                <w:rFonts w:cs="Arial"/>
                <w:sz w:val="16"/>
                <w:szCs w:val="16"/>
                <w:lang w:val="pt-BR"/>
              </w:rPr>
              <w:t>163.45</w:t>
            </w:r>
          </w:p>
        </w:tc>
      </w:tr>
      <w:tr w:rsidR="009A0455" w:rsidRPr="009447EF" w14:paraId="148C479E" w14:textId="77777777" w:rsidTr="009B2228">
        <w:tc>
          <w:tcPr>
            <w:tcW w:w="3118" w:type="dxa"/>
            <w:vAlign w:val="center"/>
          </w:tcPr>
          <w:p w14:paraId="78AAF98F" w14:textId="5D2865C7" w:rsidR="009A0455" w:rsidRPr="009B2228" w:rsidRDefault="009A0455" w:rsidP="009F122B">
            <w:pPr>
              <w:pStyle w:val="CETBodytext"/>
              <w:spacing w:line="240" w:lineRule="auto"/>
              <w:rPr>
                <w:rFonts w:cs="Arial"/>
                <w:sz w:val="16"/>
                <w:szCs w:val="16"/>
              </w:rPr>
            </w:pPr>
            <w:r w:rsidRPr="009B2228">
              <w:rPr>
                <w:rFonts w:cs="Arial"/>
                <w:sz w:val="16"/>
                <w:szCs w:val="16"/>
                <w:lang w:val="pt-BR"/>
              </w:rPr>
              <w:t xml:space="preserve">OPEX Labor </w:t>
            </w:r>
            <w:r w:rsidRPr="009B2228">
              <w:rPr>
                <w:sz w:val="16"/>
                <w:szCs w:val="18"/>
              </w:rPr>
              <w:t>(MUS$ y</w:t>
            </w:r>
            <w:r w:rsidRPr="009B2228">
              <w:rPr>
                <w:sz w:val="16"/>
                <w:szCs w:val="18"/>
                <w:vertAlign w:val="superscript"/>
              </w:rPr>
              <w:t>-1</w:t>
            </w:r>
            <w:r w:rsidRPr="009B2228">
              <w:rPr>
                <w:sz w:val="16"/>
                <w:szCs w:val="18"/>
              </w:rPr>
              <w:t>)</w:t>
            </w:r>
          </w:p>
        </w:tc>
        <w:tc>
          <w:tcPr>
            <w:tcW w:w="1134" w:type="dxa"/>
            <w:tcBorders>
              <w:right w:val="single" w:sz="4" w:space="0" w:color="008000"/>
            </w:tcBorders>
            <w:vAlign w:val="center"/>
          </w:tcPr>
          <w:p w14:paraId="5234CBC6" w14:textId="12BE27A4" w:rsidR="009A0455" w:rsidRPr="009B2228" w:rsidRDefault="009A0455" w:rsidP="009F122B">
            <w:pPr>
              <w:pStyle w:val="CETBodytext"/>
              <w:spacing w:line="240" w:lineRule="auto"/>
              <w:rPr>
                <w:rFonts w:cs="Arial"/>
                <w:sz w:val="16"/>
                <w:szCs w:val="16"/>
              </w:rPr>
            </w:pPr>
            <w:r w:rsidRPr="009B2228">
              <w:rPr>
                <w:rFonts w:cs="Arial"/>
                <w:sz w:val="16"/>
                <w:szCs w:val="16"/>
              </w:rPr>
              <w:t>6.81</w:t>
            </w:r>
          </w:p>
        </w:tc>
        <w:tc>
          <w:tcPr>
            <w:tcW w:w="236" w:type="dxa"/>
            <w:tcBorders>
              <w:left w:val="single" w:sz="4" w:space="0" w:color="008000"/>
            </w:tcBorders>
          </w:tcPr>
          <w:p w14:paraId="4E7A4944" w14:textId="77777777" w:rsidR="009A0455" w:rsidRPr="009B2228" w:rsidRDefault="009A0455" w:rsidP="009F122B">
            <w:pPr>
              <w:pStyle w:val="CETBodytext"/>
              <w:spacing w:line="240" w:lineRule="auto"/>
              <w:rPr>
                <w:rFonts w:cs="Arial"/>
                <w:sz w:val="16"/>
                <w:szCs w:val="16"/>
              </w:rPr>
            </w:pPr>
          </w:p>
        </w:tc>
        <w:tc>
          <w:tcPr>
            <w:tcW w:w="3118" w:type="dxa"/>
            <w:vAlign w:val="center"/>
          </w:tcPr>
          <w:p w14:paraId="4459837B" w14:textId="242980E5" w:rsidR="009A0455" w:rsidRPr="009B2228" w:rsidRDefault="009A0455" w:rsidP="009F122B">
            <w:pPr>
              <w:pStyle w:val="CETBodytext"/>
              <w:spacing w:line="240" w:lineRule="auto"/>
              <w:rPr>
                <w:rFonts w:cs="Arial"/>
                <w:sz w:val="16"/>
                <w:szCs w:val="16"/>
                <w:lang w:val="pt-BR"/>
              </w:rPr>
            </w:pPr>
            <w:r w:rsidRPr="009B2228">
              <w:rPr>
                <w:rFonts w:cs="Arial"/>
                <w:sz w:val="16"/>
                <w:szCs w:val="16"/>
              </w:rPr>
              <w:t>CAPEX (MUS$)</w:t>
            </w:r>
          </w:p>
        </w:tc>
        <w:tc>
          <w:tcPr>
            <w:tcW w:w="1134" w:type="dxa"/>
            <w:vAlign w:val="center"/>
          </w:tcPr>
          <w:p w14:paraId="3915CDFD" w14:textId="297B1AEA" w:rsidR="009A0455" w:rsidRPr="009B2228" w:rsidRDefault="009A0455" w:rsidP="009F122B">
            <w:pPr>
              <w:pStyle w:val="CETBodytext"/>
              <w:spacing w:line="240" w:lineRule="auto"/>
              <w:rPr>
                <w:rFonts w:cs="Arial"/>
                <w:sz w:val="16"/>
                <w:szCs w:val="16"/>
                <w:lang w:val="pt-BR"/>
              </w:rPr>
            </w:pPr>
            <w:r w:rsidRPr="009B2228">
              <w:rPr>
                <w:rFonts w:cs="Arial"/>
                <w:sz w:val="16"/>
                <w:szCs w:val="16"/>
                <w:lang w:val="pt-BR"/>
              </w:rPr>
              <w:t>50.07</w:t>
            </w:r>
          </w:p>
        </w:tc>
      </w:tr>
      <w:tr w:rsidR="009A0455" w:rsidRPr="004A12DF" w14:paraId="5D43AC9F" w14:textId="77777777" w:rsidTr="009B2228">
        <w:tc>
          <w:tcPr>
            <w:tcW w:w="3118" w:type="dxa"/>
            <w:tcBorders>
              <w:bottom w:val="single" w:sz="12" w:space="0" w:color="008000"/>
            </w:tcBorders>
            <w:vAlign w:val="center"/>
          </w:tcPr>
          <w:p w14:paraId="6561CD64" w14:textId="71D5781A" w:rsidR="009A0455" w:rsidRPr="009B2228" w:rsidRDefault="009A0455" w:rsidP="009F122B">
            <w:pPr>
              <w:pStyle w:val="CETBodytext"/>
              <w:spacing w:line="240" w:lineRule="auto"/>
              <w:rPr>
                <w:rFonts w:cs="Arial"/>
                <w:sz w:val="16"/>
                <w:szCs w:val="16"/>
              </w:rPr>
            </w:pPr>
            <w:r w:rsidRPr="009B2228">
              <w:rPr>
                <w:rFonts w:cs="Arial"/>
                <w:sz w:val="16"/>
                <w:szCs w:val="16"/>
              </w:rPr>
              <w:t xml:space="preserve">OPEX General Inputs </w:t>
            </w:r>
            <w:r w:rsidRPr="009B2228">
              <w:rPr>
                <w:sz w:val="16"/>
                <w:szCs w:val="18"/>
              </w:rPr>
              <w:t>(MUS$ y</w:t>
            </w:r>
            <w:r w:rsidRPr="009B2228">
              <w:rPr>
                <w:sz w:val="16"/>
                <w:szCs w:val="18"/>
                <w:vertAlign w:val="superscript"/>
              </w:rPr>
              <w:t>-1</w:t>
            </w:r>
            <w:r w:rsidRPr="009B2228">
              <w:rPr>
                <w:sz w:val="16"/>
                <w:szCs w:val="18"/>
              </w:rPr>
              <w:t>)</w:t>
            </w:r>
          </w:p>
        </w:tc>
        <w:tc>
          <w:tcPr>
            <w:tcW w:w="1134" w:type="dxa"/>
            <w:tcBorders>
              <w:bottom w:val="single" w:sz="12" w:space="0" w:color="008000"/>
              <w:right w:val="single" w:sz="4" w:space="0" w:color="008000"/>
            </w:tcBorders>
            <w:vAlign w:val="center"/>
          </w:tcPr>
          <w:p w14:paraId="74115B27" w14:textId="517F95BF" w:rsidR="009A0455" w:rsidRPr="009B2228" w:rsidRDefault="009A0455" w:rsidP="009F122B">
            <w:pPr>
              <w:pStyle w:val="CETBodytext"/>
              <w:spacing w:line="240" w:lineRule="auto"/>
              <w:rPr>
                <w:rFonts w:cs="Arial"/>
                <w:sz w:val="16"/>
                <w:szCs w:val="16"/>
              </w:rPr>
            </w:pPr>
            <w:r w:rsidRPr="009B2228">
              <w:rPr>
                <w:rFonts w:cs="Arial"/>
                <w:sz w:val="16"/>
                <w:szCs w:val="16"/>
              </w:rPr>
              <w:t>24.89</w:t>
            </w:r>
          </w:p>
        </w:tc>
        <w:tc>
          <w:tcPr>
            <w:tcW w:w="236" w:type="dxa"/>
            <w:tcBorders>
              <w:left w:val="single" w:sz="4" w:space="0" w:color="008000"/>
              <w:bottom w:val="single" w:sz="12" w:space="0" w:color="008000"/>
            </w:tcBorders>
          </w:tcPr>
          <w:p w14:paraId="58E2E19A" w14:textId="77777777" w:rsidR="009A0455" w:rsidRPr="009B2228" w:rsidRDefault="009A0455" w:rsidP="009F122B">
            <w:pPr>
              <w:pStyle w:val="CETBodytext"/>
              <w:spacing w:line="240" w:lineRule="auto"/>
              <w:rPr>
                <w:rFonts w:cs="Arial"/>
                <w:sz w:val="16"/>
                <w:szCs w:val="16"/>
              </w:rPr>
            </w:pPr>
          </w:p>
        </w:tc>
        <w:tc>
          <w:tcPr>
            <w:tcW w:w="3118" w:type="dxa"/>
            <w:tcBorders>
              <w:bottom w:val="single" w:sz="12" w:space="0" w:color="008000"/>
            </w:tcBorders>
            <w:vAlign w:val="center"/>
          </w:tcPr>
          <w:p w14:paraId="12F5A34B" w14:textId="674285F0" w:rsidR="009A0455" w:rsidRPr="009B2228" w:rsidRDefault="009A0455" w:rsidP="009F122B">
            <w:pPr>
              <w:pStyle w:val="CETBodytext"/>
              <w:spacing w:line="240" w:lineRule="auto"/>
              <w:rPr>
                <w:rFonts w:cs="Arial"/>
                <w:sz w:val="16"/>
                <w:szCs w:val="16"/>
              </w:rPr>
            </w:pPr>
            <w:r w:rsidRPr="009B2228">
              <w:rPr>
                <w:rFonts w:cs="Arial"/>
                <w:sz w:val="16"/>
                <w:szCs w:val="16"/>
              </w:rPr>
              <w:t>Revenue (MUS$ y</w:t>
            </w:r>
            <w:r w:rsidRPr="009B2228">
              <w:rPr>
                <w:rFonts w:cs="Arial"/>
                <w:sz w:val="16"/>
                <w:szCs w:val="16"/>
                <w:vertAlign w:val="superscript"/>
              </w:rPr>
              <w:t>-1</w:t>
            </w:r>
            <w:r w:rsidRPr="009B2228">
              <w:rPr>
                <w:rFonts w:cs="Arial"/>
                <w:sz w:val="16"/>
                <w:szCs w:val="16"/>
              </w:rPr>
              <w:t>)</w:t>
            </w:r>
          </w:p>
        </w:tc>
        <w:tc>
          <w:tcPr>
            <w:tcW w:w="1134" w:type="dxa"/>
            <w:tcBorders>
              <w:bottom w:val="single" w:sz="12" w:space="0" w:color="008000"/>
            </w:tcBorders>
          </w:tcPr>
          <w:p w14:paraId="74863F9F" w14:textId="41E9C65A" w:rsidR="009A0455" w:rsidRPr="009B2228" w:rsidRDefault="009A0455" w:rsidP="009F122B">
            <w:pPr>
              <w:pStyle w:val="CETBodytext"/>
              <w:spacing w:line="240" w:lineRule="auto"/>
              <w:rPr>
                <w:rFonts w:cs="Arial"/>
                <w:sz w:val="16"/>
                <w:szCs w:val="16"/>
              </w:rPr>
            </w:pPr>
            <w:r w:rsidRPr="009B2228">
              <w:rPr>
                <w:rFonts w:cs="Arial"/>
                <w:sz w:val="16"/>
                <w:szCs w:val="16"/>
              </w:rPr>
              <w:t>173.28</w:t>
            </w:r>
          </w:p>
        </w:tc>
      </w:tr>
      <w:tr w:rsidR="009A0455" w:rsidRPr="009447EF" w14:paraId="6B6A34EA" w14:textId="77777777" w:rsidTr="000C04D9">
        <w:trPr>
          <w:trHeight w:val="170"/>
        </w:trPr>
        <w:tc>
          <w:tcPr>
            <w:tcW w:w="8740" w:type="dxa"/>
            <w:gridSpan w:val="5"/>
            <w:tcBorders>
              <w:top w:val="single" w:sz="4" w:space="0" w:color="auto"/>
              <w:bottom w:val="single" w:sz="4" w:space="0" w:color="008000"/>
            </w:tcBorders>
            <w:shd w:val="clear" w:color="auto" w:fill="auto"/>
            <w:vAlign w:val="center"/>
          </w:tcPr>
          <w:p w14:paraId="2F83B958" w14:textId="50AB0CF8" w:rsidR="009A0455" w:rsidRPr="009B2228" w:rsidRDefault="009A0455" w:rsidP="009F122B">
            <w:pPr>
              <w:pStyle w:val="CETBodytext"/>
              <w:spacing w:line="240" w:lineRule="auto"/>
              <w:jc w:val="center"/>
              <w:rPr>
                <w:rFonts w:cs="Arial"/>
                <w:szCs w:val="18"/>
                <w:lang w:val="pt-BR"/>
              </w:rPr>
            </w:pPr>
            <w:r w:rsidRPr="009B2228">
              <w:rPr>
                <w:rFonts w:cs="Arial"/>
                <w:sz w:val="16"/>
                <w:szCs w:val="16"/>
                <w:lang w:val="en-GB"/>
              </w:rPr>
              <w:t>B. System with integration*</w:t>
            </w:r>
          </w:p>
        </w:tc>
      </w:tr>
      <w:tr w:rsidR="009A0455" w:rsidRPr="009447EF" w14:paraId="3974AFCD" w14:textId="77777777" w:rsidTr="002C75E5">
        <w:trPr>
          <w:trHeight w:val="170"/>
        </w:trPr>
        <w:tc>
          <w:tcPr>
            <w:tcW w:w="8740" w:type="dxa"/>
            <w:gridSpan w:val="5"/>
            <w:tcBorders>
              <w:top w:val="single" w:sz="4" w:space="0" w:color="008000"/>
              <w:bottom w:val="single" w:sz="4" w:space="0" w:color="008000"/>
            </w:tcBorders>
            <w:vAlign w:val="center"/>
          </w:tcPr>
          <w:p w14:paraId="63867CF5" w14:textId="2D173622" w:rsidR="009A0455" w:rsidRPr="009B2228" w:rsidRDefault="009A0455" w:rsidP="009F122B">
            <w:pPr>
              <w:pStyle w:val="CETBodytext"/>
              <w:spacing w:line="240" w:lineRule="auto"/>
              <w:jc w:val="left"/>
              <w:rPr>
                <w:rFonts w:cs="Arial"/>
                <w:sz w:val="16"/>
                <w:szCs w:val="16"/>
              </w:rPr>
            </w:pPr>
            <w:r w:rsidRPr="009B2228">
              <w:rPr>
                <w:rFonts w:cs="Arial"/>
                <w:sz w:val="16"/>
                <w:szCs w:val="16"/>
                <w:lang w:val="en-GB"/>
              </w:rPr>
              <w:t>B2. Beef cattle production on feedlot</w:t>
            </w:r>
          </w:p>
        </w:tc>
      </w:tr>
      <w:tr w:rsidR="009A0455" w:rsidRPr="009447EF" w14:paraId="376B1EE9" w14:textId="77777777" w:rsidTr="009B2228">
        <w:trPr>
          <w:trHeight w:val="45"/>
        </w:trPr>
        <w:tc>
          <w:tcPr>
            <w:tcW w:w="3118" w:type="dxa"/>
            <w:tcBorders>
              <w:top w:val="single" w:sz="4" w:space="0" w:color="008000"/>
              <w:bottom w:val="single" w:sz="4" w:space="0" w:color="008000"/>
            </w:tcBorders>
            <w:vAlign w:val="center"/>
          </w:tcPr>
          <w:p w14:paraId="1C000206" w14:textId="60AEF091" w:rsidR="009A0455" w:rsidRPr="009B2228" w:rsidRDefault="009A0455" w:rsidP="009F122B">
            <w:pPr>
              <w:pStyle w:val="CETBodytext"/>
              <w:spacing w:line="240" w:lineRule="auto"/>
              <w:rPr>
                <w:rFonts w:cs="Arial"/>
                <w:i/>
                <w:iCs/>
                <w:sz w:val="16"/>
                <w:szCs w:val="16"/>
                <w:lang w:val="pt-BR"/>
              </w:rPr>
            </w:pPr>
            <w:r w:rsidRPr="009B2228">
              <w:rPr>
                <w:rFonts w:cs="Arial"/>
                <w:i/>
                <w:iCs/>
                <w:sz w:val="16"/>
                <w:szCs w:val="16"/>
              </w:rPr>
              <w:t>Outputs</w:t>
            </w:r>
          </w:p>
        </w:tc>
        <w:tc>
          <w:tcPr>
            <w:tcW w:w="1134" w:type="dxa"/>
            <w:tcBorders>
              <w:top w:val="single" w:sz="4" w:space="0" w:color="008000"/>
              <w:bottom w:val="single" w:sz="4" w:space="0" w:color="008000"/>
              <w:right w:val="single" w:sz="4" w:space="0" w:color="008000"/>
            </w:tcBorders>
          </w:tcPr>
          <w:p w14:paraId="475A5AC6" w14:textId="324FD9A5" w:rsidR="009A0455" w:rsidRPr="009B2228" w:rsidRDefault="009A0455" w:rsidP="009F122B">
            <w:pPr>
              <w:pStyle w:val="CETBodytext"/>
              <w:spacing w:line="240" w:lineRule="auto"/>
              <w:rPr>
                <w:rFonts w:cs="Arial"/>
                <w:i/>
                <w:iCs/>
                <w:sz w:val="16"/>
                <w:szCs w:val="16"/>
                <w:lang w:val="pt-BR"/>
              </w:rPr>
            </w:pPr>
            <w:r w:rsidRPr="009B2228">
              <w:rPr>
                <w:rFonts w:cs="Arial"/>
                <w:i/>
                <w:iCs/>
                <w:sz w:val="16"/>
                <w:szCs w:val="16"/>
              </w:rPr>
              <w:t>Value</w:t>
            </w:r>
          </w:p>
        </w:tc>
        <w:tc>
          <w:tcPr>
            <w:tcW w:w="236" w:type="dxa"/>
            <w:tcBorders>
              <w:top w:val="single" w:sz="4" w:space="0" w:color="008000"/>
              <w:left w:val="single" w:sz="4" w:space="0" w:color="008000"/>
              <w:bottom w:val="single" w:sz="4" w:space="0" w:color="008000"/>
            </w:tcBorders>
          </w:tcPr>
          <w:p w14:paraId="7059396A" w14:textId="77777777" w:rsidR="009A0455" w:rsidRPr="009B2228" w:rsidRDefault="009A0455" w:rsidP="009F122B">
            <w:pPr>
              <w:pStyle w:val="CETBodytext"/>
              <w:spacing w:line="240" w:lineRule="auto"/>
              <w:rPr>
                <w:rFonts w:cs="Arial"/>
                <w:i/>
                <w:iCs/>
                <w:sz w:val="16"/>
                <w:szCs w:val="16"/>
                <w:lang w:val="pt-BR"/>
              </w:rPr>
            </w:pPr>
          </w:p>
        </w:tc>
        <w:tc>
          <w:tcPr>
            <w:tcW w:w="3118" w:type="dxa"/>
            <w:tcBorders>
              <w:top w:val="single" w:sz="4" w:space="0" w:color="008000"/>
              <w:bottom w:val="single" w:sz="4" w:space="0" w:color="008000"/>
            </w:tcBorders>
            <w:vAlign w:val="center"/>
          </w:tcPr>
          <w:p w14:paraId="29FC8F65" w14:textId="3C5D6928" w:rsidR="009A0455" w:rsidRPr="009B2228" w:rsidRDefault="009A0455" w:rsidP="009F122B">
            <w:pPr>
              <w:pStyle w:val="CETBodytext"/>
              <w:spacing w:line="240" w:lineRule="auto"/>
              <w:rPr>
                <w:rFonts w:cs="Arial"/>
                <w:i/>
                <w:iCs/>
                <w:sz w:val="16"/>
                <w:szCs w:val="16"/>
                <w:lang w:val="pt-BR"/>
              </w:rPr>
            </w:pPr>
            <w:r w:rsidRPr="009B2228">
              <w:rPr>
                <w:rFonts w:cs="Arial"/>
                <w:i/>
                <w:iCs/>
                <w:sz w:val="16"/>
                <w:szCs w:val="16"/>
              </w:rPr>
              <w:t>Outputs</w:t>
            </w:r>
          </w:p>
        </w:tc>
        <w:tc>
          <w:tcPr>
            <w:tcW w:w="1134" w:type="dxa"/>
            <w:tcBorders>
              <w:top w:val="single" w:sz="4" w:space="0" w:color="008000"/>
              <w:bottom w:val="single" w:sz="4" w:space="0" w:color="008000"/>
            </w:tcBorders>
          </w:tcPr>
          <w:p w14:paraId="5915E125" w14:textId="6697F1AE" w:rsidR="009A0455" w:rsidRPr="009B2228" w:rsidRDefault="009A0455" w:rsidP="009F122B">
            <w:pPr>
              <w:pStyle w:val="CETBodytext"/>
              <w:spacing w:line="240" w:lineRule="auto"/>
              <w:rPr>
                <w:rFonts w:cs="Arial"/>
                <w:i/>
                <w:iCs/>
                <w:sz w:val="16"/>
                <w:szCs w:val="16"/>
                <w:lang w:val="pt-BR"/>
              </w:rPr>
            </w:pPr>
            <w:r w:rsidRPr="009B2228">
              <w:rPr>
                <w:rFonts w:cs="Arial"/>
                <w:i/>
                <w:iCs/>
                <w:sz w:val="16"/>
                <w:szCs w:val="16"/>
              </w:rPr>
              <w:t>Value</w:t>
            </w:r>
          </w:p>
        </w:tc>
      </w:tr>
      <w:tr w:rsidR="00B70000" w:rsidRPr="00A5101D" w14:paraId="4FF8FF57" w14:textId="77777777" w:rsidTr="009B2228">
        <w:trPr>
          <w:trHeight w:val="45"/>
        </w:trPr>
        <w:tc>
          <w:tcPr>
            <w:tcW w:w="3118" w:type="dxa"/>
            <w:tcBorders>
              <w:top w:val="single" w:sz="4" w:space="0" w:color="008000"/>
            </w:tcBorders>
            <w:vAlign w:val="center"/>
          </w:tcPr>
          <w:p w14:paraId="2854F4D0" w14:textId="103662A1" w:rsidR="00B70000" w:rsidRPr="009B2228" w:rsidRDefault="00B70000" w:rsidP="009F122B">
            <w:pPr>
              <w:pStyle w:val="CETBodytext"/>
              <w:spacing w:line="240" w:lineRule="auto"/>
              <w:rPr>
                <w:rFonts w:cs="Arial"/>
                <w:sz w:val="16"/>
                <w:szCs w:val="16"/>
              </w:rPr>
            </w:pPr>
            <w:r w:rsidRPr="009B2228">
              <w:rPr>
                <w:rFonts w:cs="Arial"/>
                <w:sz w:val="16"/>
                <w:szCs w:val="16"/>
              </w:rPr>
              <w:t>Feedlot capacity (10</w:t>
            </w:r>
            <w:r w:rsidRPr="009B2228">
              <w:rPr>
                <w:rFonts w:cs="Arial"/>
                <w:sz w:val="16"/>
                <w:szCs w:val="16"/>
                <w:vertAlign w:val="superscript"/>
              </w:rPr>
              <w:t>3</w:t>
            </w:r>
            <w:r w:rsidRPr="009B2228">
              <w:rPr>
                <w:rFonts w:cs="Arial"/>
                <w:sz w:val="16"/>
                <w:szCs w:val="16"/>
              </w:rPr>
              <w:t xml:space="preserve"> head)</w:t>
            </w:r>
          </w:p>
        </w:tc>
        <w:tc>
          <w:tcPr>
            <w:tcW w:w="1134" w:type="dxa"/>
            <w:tcBorders>
              <w:top w:val="single" w:sz="4" w:space="0" w:color="008000"/>
              <w:right w:val="single" w:sz="4" w:space="0" w:color="008000"/>
            </w:tcBorders>
            <w:vAlign w:val="center"/>
          </w:tcPr>
          <w:p w14:paraId="5E409159" w14:textId="670C354A" w:rsidR="00B70000" w:rsidRPr="009B2228" w:rsidRDefault="00B70000" w:rsidP="009F122B">
            <w:pPr>
              <w:pStyle w:val="CETBodytext"/>
              <w:spacing w:line="240" w:lineRule="auto"/>
              <w:rPr>
                <w:rFonts w:cs="Arial"/>
                <w:sz w:val="16"/>
                <w:szCs w:val="16"/>
              </w:rPr>
            </w:pPr>
            <w:bookmarkStart w:id="2" w:name="_Hlk157342551"/>
            <w:r w:rsidRPr="009B2228">
              <w:rPr>
                <w:rFonts w:cs="Arial"/>
                <w:sz w:val="16"/>
                <w:szCs w:val="16"/>
              </w:rPr>
              <w:t>206.43</w:t>
            </w:r>
            <w:bookmarkEnd w:id="2"/>
          </w:p>
        </w:tc>
        <w:tc>
          <w:tcPr>
            <w:tcW w:w="236" w:type="dxa"/>
            <w:tcBorders>
              <w:top w:val="single" w:sz="4" w:space="0" w:color="008000"/>
              <w:left w:val="single" w:sz="4" w:space="0" w:color="008000"/>
            </w:tcBorders>
          </w:tcPr>
          <w:p w14:paraId="6E14EF9A" w14:textId="77777777" w:rsidR="00B70000" w:rsidRPr="009B2228" w:rsidRDefault="00B70000" w:rsidP="009F122B">
            <w:pPr>
              <w:pStyle w:val="CETBodytext"/>
              <w:spacing w:line="240" w:lineRule="auto"/>
              <w:rPr>
                <w:rFonts w:cs="Arial"/>
                <w:sz w:val="16"/>
                <w:szCs w:val="16"/>
              </w:rPr>
            </w:pPr>
          </w:p>
        </w:tc>
        <w:tc>
          <w:tcPr>
            <w:tcW w:w="3118" w:type="dxa"/>
            <w:tcBorders>
              <w:top w:val="single" w:sz="4" w:space="0" w:color="008000"/>
            </w:tcBorders>
            <w:vAlign w:val="center"/>
          </w:tcPr>
          <w:p w14:paraId="3438D2D8" w14:textId="4D980B5F" w:rsidR="00B70000" w:rsidRPr="009B2228" w:rsidRDefault="00B70000" w:rsidP="009F122B">
            <w:pPr>
              <w:pStyle w:val="CETBodytext"/>
              <w:spacing w:line="240" w:lineRule="auto"/>
              <w:rPr>
                <w:rFonts w:cs="Arial"/>
                <w:sz w:val="16"/>
                <w:szCs w:val="16"/>
              </w:rPr>
            </w:pPr>
            <w:r w:rsidRPr="009B2228">
              <w:rPr>
                <w:rFonts w:cs="Arial"/>
                <w:sz w:val="16"/>
                <w:szCs w:val="16"/>
              </w:rPr>
              <w:t xml:space="preserve">OPEX Fuel </w:t>
            </w:r>
            <w:r w:rsidRPr="009B2228">
              <w:rPr>
                <w:sz w:val="16"/>
                <w:szCs w:val="18"/>
              </w:rPr>
              <w:t>(MUS$ y</w:t>
            </w:r>
            <w:r w:rsidRPr="009B2228">
              <w:rPr>
                <w:sz w:val="16"/>
                <w:szCs w:val="18"/>
                <w:vertAlign w:val="superscript"/>
              </w:rPr>
              <w:t>-1</w:t>
            </w:r>
            <w:r w:rsidRPr="009B2228">
              <w:rPr>
                <w:sz w:val="16"/>
                <w:szCs w:val="18"/>
              </w:rPr>
              <w:t>)</w:t>
            </w:r>
          </w:p>
        </w:tc>
        <w:tc>
          <w:tcPr>
            <w:tcW w:w="1134" w:type="dxa"/>
            <w:tcBorders>
              <w:top w:val="single" w:sz="4" w:space="0" w:color="008000"/>
            </w:tcBorders>
            <w:vAlign w:val="center"/>
          </w:tcPr>
          <w:p w14:paraId="02FD7187" w14:textId="5CF90B16" w:rsidR="00B70000" w:rsidRPr="009B2228" w:rsidRDefault="00B70000" w:rsidP="009F122B">
            <w:pPr>
              <w:pStyle w:val="CETBodytext"/>
              <w:spacing w:line="240" w:lineRule="auto"/>
              <w:rPr>
                <w:rFonts w:cs="Arial"/>
                <w:sz w:val="16"/>
                <w:szCs w:val="16"/>
                <w:lang w:val="pt-BR"/>
              </w:rPr>
            </w:pPr>
            <w:r w:rsidRPr="009B2228">
              <w:rPr>
                <w:rFonts w:cs="Arial"/>
                <w:sz w:val="16"/>
                <w:szCs w:val="16"/>
                <w:lang w:val="pt-BR"/>
              </w:rPr>
              <w:t>0.54</w:t>
            </w:r>
          </w:p>
        </w:tc>
      </w:tr>
      <w:tr w:rsidR="00B70000" w:rsidRPr="009447EF" w14:paraId="6BAB6A94" w14:textId="77777777" w:rsidTr="009B2228">
        <w:trPr>
          <w:trHeight w:val="45"/>
        </w:trPr>
        <w:tc>
          <w:tcPr>
            <w:tcW w:w="3118" w:type="dxa"/>
            <w:vAlign w:val="center"/>
          </w:tcPr>
          <w:p w14:paraId="5F2F66BC" w14:textId="5ADAB80E" w:rsidR="00B70000" w:rsidRPr="009B2228" w:rsidRDefault="00B70000" w:rsidP="009F122B">
            <w:pPr>
              <w:pStyle w:val="CETBodytext"/>
              <w:spacing w:line="240" w:lineRule="auto"/>
              <w:rPr>
                <w:rFonts w:cs="Arial"/>
                <w:sz w:val="16"/>
                <w:szCs w:val="16"/>
              </w:rPr>
            </w:pPr>
            <w:r w:rsidRPr="009B2228">
              <w:rPr>
                <w:rFonts w:cs="Arial"/>
                <w:sz w:val="16"/>
                <w:szCs w:val="16"/>
              </w:rPr>
              <w:t xml:space="preserve">Feed requirement (kg </w:t>
            </w:r>
            <w:r w:rsidRPr="009B2228">
              <w:rPr>
                <w:rFonts w:cs="Arial"/>
                <w:sz w:val="16"/>
                <w:szCs w:val="16"/>
                <w:vertAlign w:val="subscript"/>
              </w:rPr>
              <w:t>wet basis</w:t>
            </w:r>
            <w:r w:rsidRPr="009B2228">
              <w:rPr>
                <w:rFonts w:cs="Arial"/>
                <w:sz w:val="16"/>
                <w:szCs w:val="16"/>
              </w:rPr>
              <w:t xml:space="preserve"> head</w:t>
            </w:r>
            <w:r w:rsidRPr="009B2228">
              <w:rPr>
                <w:rFonts w:cs="Arial"/>
                <w:sz w:val="16"/>
                <w:szCs w:val="16"/>
                <w:vertAlign w:val="superscript"/>
              </w:rPr>
              <w:t>-1</w:t>
            </w:r>
            <w:r w:rsidRPr="009B2228">
              <w:rPr>
                <w:rFonts w:cs="Arial"/>
                <w:sz w:val="16"/>
                <w:szCs w:val="16"/>
              </w:rPr>
              <w:t xml:space="preserve"> day</w:t>
            </w:r>
            <w:r w:rsidRPr="009B2228">
              <w:rPr>
                <w:rFonts w:cs="Arial"/>
                <w:sz w:val="16"/>
                <w:szCs w:val="16"/>
                <w:vertAlign w:val="superscript"/>
              </w:rPr>
              <w:t>-1</w:t>
            </w:r>
            <w:r w:rsidRPr="009B2228">
              <w:rPr>
                <w:rFonts w:cs="Arial"/>
                <w:sz w:val="16"/>
                <w:szCs w:val="16"/>
              </w:rPr>
              <w:t>)</w:t>
            </w:r>
          </w:p>
        </w:tc>
        <w:tc>
          <w:tcPr>
            <w:tcW w:w="1134" w:type="dxa"/>
            <w:tcBorders>
              <w:right w:val="single" w:sz="4" w:space="0" w:color="008000"/>
            </w:tcBorders>
            <w:vAlign w:val="center"/>
          </w:tcPr>
          <w:p w14:paraId="38851363" w14:textId="42D7F887" w:rsidR="00B70000" w:rsidRPr="009B2228" w:rsidRDefault="00B70000" w:rsidP="009F122B">
            <w:pPr>
              <w:pStyle w:val="CETBodytext"/>
              <w:spacing w:line="240" w:lineRule="auto"/>
              <w:rPr>
                <w:rFonts w:cs="Arial"/>
                <w:sz w:val="16"/>
                <w:szCs w:val="16"/>
              </w:rPr>
            </w:pPr>
            <w:r w:rsidRPr="009B2228">
              <w:rPr>
                <w:rFonts w:cs="Arial"/>
                <w:sz w:val="16"/>
                <w:szCs w:val="16"/>
              </w:rPr>
              <w:t>12.40</w:t>
            </w:r>
          </w:p>
        </w:tc>
        <w:tc>
          <w:tcPr>
            <w:tcW w:w="236" w:type="dxa"/>
            <w:tcBorders>
              <w:left w:val="single" w:sz="4" w:space="0" w:color="008000"/>
            </w:tcBorders>
          </w:tcPr>
          <w:p w14:paraId="644595AE" w14:textId="77777777" w:rsidR="00B70000" w:rsidRPr="009B2228" w:rsidRDefault="00B70000" w:rsidP="009F122B">
            <w:pPr>
              <w:pStyle w:val="CETBodytext"/>
              <w:spacing w:line="240" w:lineRule="auto"/>
              <w:rPr>
                <w:rFonts w:cs="Arial"/>
                <w:sz w:val="16"/>
                <w:szCs w:val="16"/>
              </w:rPr>
            </w:pPr>
          </w:p>
        </w:tc>
        <w:tc>
          <w:tcPr>
            <w:tcW w:w="3118" w:type="dxa"/>
            <w:vAlign w:val="center"/>
          </w:tcPr>
          <w:p w14:paraId="5C8C1072" w14:textId="6B5CCAD0" w:rsidR="00B70000" w:rsidRPr="009B2228" w:rsidRDefault="00B70000" w:rsidP="009F122B">
            <w:pPr>
              <w:pStyle w:val="CETBodytext"/>
              <w:spacing w:line="240" w:lineRule="auto"/>
              <w:rPr>
                <w:rFonts w:cs="Arial"/>
                <w:sz w:val="16"/>
                <w:szCs w:val="16"/>
              </w:rPr>
            </w:pPr>
            <w:r w:rsidRPr="009B2228">
              <w:rPr>
                <w:rFonts w:cs="Arial"/>
                <w:sz w:val="16"/>
                <w:szCs w:val="16"/>
              </w:rPr>
              <w:t xml:space="preserve">OPEX Labor </w:t>
            </w:r>
            <w:r w:rsidRPr="009B2228">
              <w:rPr>
                <w:sz w:val="16"/>
                <w:szCs w:val="18"/>
              </w:rPr>
              <w:t>(MUS$ y</w:t>
            </w:r>
            <w:r w:rsidRPr="009B2228">
              <w:rPr>
                <w:sz w:val="16"/>
                <w:szCs w:val="18"/>
                <w:vertAlign w:val="superscript"/>
              </w:rPr>
              <w:t>-1</w:t>
            </w:r>
            <w:r w:rsidRPr="009B2228">
              <w:rPr>
                <w:sz w:val="16"/>
                <w:szCs w:val="18"/>
              </w:rPr>
              <w:t>)</w:t>
            </w:r>
          </w:p>
        </w:tc>
        <w:tc>
          <w:tcPr>
            <w:tcW w:w="1134" w:type="dxa"/>
          </w:tcPr>
          <w:p w14:paraId="045FD643" w14:textId="61DD75F0" w:rsidR="00B70000" w:rsidRPr="009B2228" w:rsidRDefault="00B70000" w:rsidP="009F122B">
            <w:pPr>
              <w:pStyle w:val="CETBodytext"/>
              <w:spacing w:line="240" w:lineRule="auto"/>
              <w:rPr>
                <w:rFonts w:cs="Arial"/>
                <w:sz w:val="16"/>
                <w:szCs w:val="16"/>
                <w:lang w:val="pt-BR"/>
              </w:rPr>
            </w:pPr>
            <w:r w:rsidRPr="009B2228">
              <w:rPr>
                <w:rFonts w:cs="Arial"/>
                <w:sz w:val="16"/>
                <w:szCs w:val="16"/>
                <w:lang w:val="pt-BR"/>
              </w:rPr>
              <w:t>1.35</w:t>
            </w:r>
          </w:p>
        </w:tc>
      </w:tr>
      <w:tr w:rsidR="00B70000" w:rsidRPr="00A5101D" w14:paraId="7FF89C95" w14:textId="77777777" w:rsidTr="009B2228">
        <w:trPr>
          <w:trHeight w:val="45"/>
        </w:trPr>
        <w:tc>
          <w:tcPr>
            <w:tcW w:w="3118" w:type="dxa"/>
            <w:vAlign w:val="center"/>
          </w:tcPr>
          <w:p w14:paraId="4F1C4C21" w14:textId="70199913" w:rsidR="00B70000" w:rsidRPr="009B2228" w:rsidRDefault="00B70000" w:rsidP="009F122B">
            <w:pPr>
              <w:pStyle w:val="CETBodytext"/>
              <w:spacing w:line="240" w:lineRule="auto"/>
              <w:rPr>
                <w:rFonts w:cs="Arial"/>
                <w:sz w:val="16"/>
                <w:szCs w:val="16"/>
              </w:rPr>
            </w:pPr>
            <w:r w:rsidRPr="009B2228">
              <w:rPr>
                <w:rFonts w:cs="Arial"/>
                <w:sz w:val="16"/>
                <w:szCs w:val="16"/>
              </w:rPr>
              <w:t>Bagasse requirement (10</w:t>
            </w:r>
            <w:r w:rsidRPr="009B2228">
              <w:rPr>
                <w:rFonts w:cs="Arial"/>
                <w:sz w:val="16"/>
                <w:szCs w:val="16"/>
                <w:vertAlign w:val="superscript"/>
              </w:rPr>
              <w:t>3</w:t>
            </w:r>
            <w:r w:rsidRPr="009B2228">
              <w:rPr>
                <w:rFonts w:cs="Arial"/>
                <w:sz w:val="16"/>
                <w:szCs w:val="16"/>
              </w:rPr>
              <w:t xml:space="preserve"> t y</w:t>
            </w:r>
            <w:r w:rsidRPr="009B2228">
              <w:rPr>
                <w:rFonts w:cs="Arial"/>
                <w:sz w:val="16"/>
                <w:szCs w:val="16"/>
                <w:vertAlign w:val="superscript"/>
              </w:rPr>
              <w:t>-1</w:t>
            </w:r>
            <w:r w:rsidRPr="009B2228">
              <w:rPr>
                <w:rFonts w:cs="Arial"/>
                <w:sz w:val="16"/>
                <w:szCs w:val="16"/>
              </w:rPr>
              <w:t>)</w:t>
            </w:r>
          </w:p>
        </w:tc>
        <w:tc>
          <w:tcPr>
            <w:tcW w:w="1134" w:type="dxa"/>
            <w:tcBorders>
              <w:right w:val="single" w:sz="4" w:space="0" w:color="008000"/>
            </w:tcBorders>
            <w:vAlign w:val="center"/>
          </w:tcPr>
          <w:p w14:paraId="0BA1783D" w14:textId="21125E12" w:rsidR="00B70000" w:rsidRPr="009B2228" w:rsidRDefault="00B70000" w:rsidP="009F122B">
            <w:pPr>
              <w:pStyle w:val="CETBodytext"/>
              <w:spacing w:line="240" w:lineRule="auto"/>
              <w:rPr>
                <w:rFonts w:cs="Arial"/>
                <w:sz w:val="16"/>
                <w:szCs w:val="16"/>
              </w:rPr>
            </w:pPr>
            <w:r w:rsidRPr="009B2228">
              <w:rPr>
                <w:rFonts w:cs="Arial"/>
                <w:sz w:val="16"/>
                <w:szCs w:val="16"/>
              </w:rPr>
              <w:t>55.86</w:t>
            </w:r>
          </w:p>
        </w:tc>
        <w:tc>
          <w:tcPr>
            <w:tcW w:w="236" w:type="dxa"/>
            <w:tcBorders>
              <w:left w:val="single" w:sz="4" w:space="0" w:color="008000"/>
            </w:tcBorders>
          </w:tcPr>
          <w:p w14:paraId="4C8E855D" w14:textId="77777777" w:rsidR="00B70000" w:rsidRPr="009B2228" w:rsidRDefault="00B70000" w:rsidP="009F122B">
            <w:pPr>
              <w:pStyle w:val="CETBodytext"/>
              <w:spacing w:line="240" w:lineRule="auto"/>
              <w:rPr>
                <w:rFonts w:cs="Arial"/>
                <w:sz w:val="16"/>
                <w:szCs w:val="16"/>
              </w:rPr>
            </w:pPr>
          </w:p>
        </w:tc>
        <w:tc>
          <w:tcPr>
            <w:tcW w:w="3118" w:type="dxa"/>
            <w:vAlign w:val="center"/>
          </w:tcPr>
          <w:p w14:paraId="129F2C63" w14:textId="08025314" w:rsidR="00B70000" w:rsidRPr="009B2228" w:rsidRDefault="00B70000" w:rsidP="009F122B">
            <w:pPr>
              <w:pStyle w:val="CETBodytext"/>
              <w:spacing w:line="240" w:lineRule="auto"/>
              <w:rPr>
                <w:rFonts w:cs="Arial"/>
                <w:sz w:val="16"/>
                <w:szCs w:val="16"/>
              </w:rPr>
            </w:pPr>
            <w:r w:rsidRPr="009B2228">
              <w:rPr>
                <w:rFonts w:cs="Arial"/>
                <w:sz w:val="16"/>
                <w:szCs w:val="16"/>
              </w:rPr>
              <w:t xml:space="preserve">OPEX </w:t>
            </w:r>
            <w:bookmarkStart w:id="3" w:name="_Hlk157334817"/>
            <w:r w:rsidRPr="009B2228">
              <w:rPr>
                <w:rFonts w:cs="Arial"/>
                <w:sz w:val="16"/>
                <w:szCs w:val="16"/>
              </w:rPr>
              <w:t xml:space="preserve">Maintenance </w:t>
            </w:r>
            <w:bookmarkEnd w:id="3"/>
            <w:r w:rsidRPr="009B2228">
              <w:rPr>
                <w:sz w:val="16"/>
                <w:szCs w:val="18"/>
              </w:rPr>
              <w:t>(MUS$ y</w:t>
            </w:r>
            <w:r w:rsidRPr="009B2228">
              <w:rPr>
                <w:sz w:val="16"/>
                <w:szCs w:val="18"/>
                <w:vertAlign w:val="superscript"/>
              </w:rPr>
              <w:t>-1</w:t>
            </w:r>
            <w:r w:rsidRPr="009B2228">
              <w:rPr>
                <w:sz w:val="16"/>
                <w:szCs w:val="18"/>
              </w:rPr>
              <w:t>)</w:t>
            </w:r>
          </w:p>
        </w:tc>
        <w:tc>
          <w:tcPr>
            <w:tcW w:w="1134" w:type="dxa"/>
          </w:tcPr>
          <w:p w14:paraId="7F767F25" w14:textId="5C39E667" w:rsidR="00B70000" w:rsidRPr="009B2228" w:rsidRDefault="00B70000" w:rsidP="009F122B">
            <w:pPr>
              <w:pStyle w:val="CETBodytext"/>
              <w:spacing w:line="240" w:lineRule="auto"/>
              <w:rPr>
                <w:rFonts w:cs="Arial"/>
                <w:sz w:val="16"/>
                <w:szCs w:val="16"/>
                <w:lang w:val="pt-BR"/>
              </w:rPr>
            </w:pPr>
            <w:r w:rsidRPr="009B2228">
              <w:rPr>
                <w:rFonts w:cs="Arial"/>
                <w:sz w:val="16"/>
                <w:szCs w:val="16"/>
                <w:lang w:val="pt-BR"/>
              </w:rPr>
              <w:t>1.89</w:t>
            </w:r>
          </w:p>
        </w:tc>
      </w:tr>
      <w:tr w:rsidR="00B70000" w:rsidRPr="009447EF" w14:paraId="611918C5" w14:textId="77777777" w:rsidTr="009B2228">
        <w:trPr>
          <w:trHeight w:val="45"/>
        </w:trPr>
        <w:tc>
          <w:tcPr>
            <w:tcW w:w="3118" w:type="dxa"/>
            <w:vAlign w:val="center"/>
          </w:tcPr>
          <w:p w14:paraId="5FD3515A" w14:textId="0C865029" w:rsidR="00B70000" w:rsidRPr="009B2228" w:rsidRDefault="00B70000" w:rsidP="009F122B">
            <w:pPr>
              <w:pStyle w:val="CETBodytext"/>
              <w:spacing w:line="240" w:lineRule="auto"/>
              <w:rPr>
                <w:rFonts w:cs="Arial"/>
                <w:sz w:val="16"/>
                <w:szCs w:val="16"/>
              </w:rPr>
            </w:pPr>
            <w:r w:rsidRPr="009B2228">
              <w:rPr>
                <w:rFonts w:cs="Arial"/>
                <w:sz w:val="16"/>
                <w:szCs w:val="16"/>
              </w:rPr>
              <w:t xml:space="preserve">OPEX Animal feed </w:t>
            </w:r>
            <w:r w:rsidRPr="009B2228">
              <w:rPr>
                <w:sz w:val="16"/>
                <w:szCs w:val="18"/>
              </w:rPr>
              <w:t>(MUS$ y</w:t>
            </w:r>
            <w:r w:rsidRPr="009B2228">
              <w:rPr>
                <w:sz w:val="16"/>
                <w:szCs w:val="18"/>
                <w:vertAlign w:val="superscript"/>
              </w:rPr>
              <w:t>-1</w:t>
            </w:r>
            <w:r w:rsidRPr="009B2228">
              <w:rPr>
                <w:sz w:val="16"/>
                <w:szCs w:val="18"/>
              </w:rPr>
              <w:t>)</w:t>
            </w:r>
          </w:p>
        </w:tc>
        <w:tc>
          <w:tcPr>
            <w:tcW w:w="1134" w:type="dxa"/>
            <w:tcBorders>
              <w:right w:val="single" w:sz="4" w:space="0" w:color="008000"/>
            </w:tcBorders>
            <w:vAlign w:val="center"/>
          </w:tcPr>
          <w:p w14:paraId="48E4C568" w14:textId="2DFA012B" w:rsidR="00B70000" w:rsidRPr="009B2228" w:rsidRDefault="00B70000" w:rsidP="009F122B">
            <w:pPr>
              <w:pStyle w:val="CETBodytext"/>
              <w:spacing w:line="240" w:lineRule="auto"/>
              <w:rPr>
                <w:rFonts w:cs="Arial"/>
                <w:sz w:val="16"/>
                <w:szCs w:val="16"/>
              </w:rPr>
            </w:pPr>
            <w:r w:rsidRPr="009B2228">
              <w:rPr>
                <w:rFonts w:cs="Arial"/>
                <w:sz w:val="16"/>
                <w:szCs w:val="16"/>
              </w:rPr>
              <w:t>52.61</w:t>
            </w:r>
          </w:p>
        </w:tc>
        <w:tc>
          <w:tcPr>
            <w:tcW w:w="236" w:type="dxa"/>
            <w:tcBorders>
              <w:left w:val="single" w:sz="4" w:space="0" w:color="008000"/>
            </w:tcBorders>
          </w:tcPr>
          <w:p w14:paraId="0B760D36" w14:textId="77777777" w:rsidR="00B70000" w:rsidRPr="009B2228" w:rsidRDefault="00B70000" w:rsidP="009F122B">
            <w:pPr>
              <w:pStyle w:val="CETBodytext"/>
              <w:spacing w:line="240" w:lineRule="auto"/>
              <w:rPr>
                <w:rFonts w:cs="Arial"/>
                <w:sz w:val="16"/>
                <w:szCs w:val="16"/>
              </w:rPr>
            </w:pPr>
          </w:p>
        </w:tc>
        <w:tc>
          <w:tcPr>
            <w:tcW w:w="3118" w:type="dxa"/>
            <w:vAlign w:val="center"/>
          </w:tcPr>
          <w:p w14:paraId="4AE58FB5" w14:textId="3448E9D7" w:rsidR="00B70000" w:rsidRPr="009B2228" w:rsidRDefault="00B70000" w:rsidP="009F122B">
            <w:pPr>
              <w:pStyle w:val="CETBodytext"/>
              <w:spacing w:line="240" w:lineRule="auto"/>
              <w:rPr>
                <w:rFonts w:cs="Arial"/>
                <w:sz w:val="16"/>
                <w:szCs w:val="16"/>
              </w:rPr>
            </w:pPr>
            <w:r w:rsidRPr="009B2228">
              <w:rPr>
                <w:rFonts w:cs="Arial"/>
                <w:sz w:val="16"/>
                <w:szCs w:val="16"/>
              </w:rPr>
              <w:t xml:space="preserve">OPEX Others </w:t>
            </w:r>
            <w:r w:rsidRPr="009B2228">
              <w:rPr>
                <w:sz w:val="16"/>
                <w:szCs w:val="18"/>
              </w:rPr>
              <w:t>(MUS$ y</w:t>
            </w:r>
            <w:r w:rsidRPr="009B2228">
              <w:rPr>
                <w:sz w:val="16"/>
                <w:szCs w:val="18"/>
                <w:vertAlign w:val="superscript"/>
              </w:rPr>
              <w:t>-1</w:t>
            </w:r>
            <w:r w:rsidRPr="009B2228">
              <w:rPr>
                <w:sz w:val="16"/>
                <w:szCs w:val="18"/>
              </w:rPr>
              <w:t>)</w:t>
            </w:r>
          </w:p>
        </w:tc>
        <w:tc>
          <w:tcPr>
            <w:tcW w:w="1134" w:type="dxa"/>
          </w:tcPr>
          <w:p w14:paraId="63C6EA58" w14:textId="6C3FB093" w:rsidR="00B70000" w:rsidRPr="009B2228" w:rsidRDefault="00B70000" w:rsidP="009F122B">
            <w:pPr>
              <w:pStyle w:val="CETBodytext"/>
              <w:spacing w:line="240" w:lineRule="auto"/>
              <w:rPr>
                <w:rFonts w:cs="Arial"/>
                <w:sz w:val="16"/>
                <w:szCs w:val="16"/>
                <w:lang w:val="pt-BR"/>
              </w:rPr>
            </w:pPr>
            <w:r w:rsidRPr="009B2228">
              <w:rPr>
                <w:rFonts w:cs="Arial"/>
                <w:sz w:val="16"/>
                <w:szCs w:val="16"/>
                <w:lang w:val="pt-BR"/>
              </w:rPr>
              <w:t>5.91</w:t>
            </w:r>
          </w:p>
        </w:tc>
      </w:tr>
      <w:tr w:rsidR="00B70000" w:rsidRPr="00D21AEA" w14:paraId="0B0A963D" w14:textId="77777777" w:rsidTr="009B2228">
        <w:trPr>
          <w:trHeight w:val="45"/>
        </w:trPr>
        <w:tc>
          <w:tcPr>
            <w:tcW w:w="3118" w:type="dxa"/>
            <w:vAlign w:val="center"/>
          </w:tcPr>
          <w:p w14:paraId="32B783F2" w14:textId="6D51619E" w:rsidR="00B70000" w:rsidRPr="009B2228" w:rsidRDefault="00B70000" w:rsidP="009F122B">
            <w:pPr>
              <w:pStyle w:val="CETBodytext"/>
              <w:spacing w:line="240" w:lineRule="auto"/>
              <w:rPr>
                <w:rFonts w:cs="Arial"/>
                <w:sz w:val="16"/>
                <w:szCs w:val="16"/>
              </w:rPr>
            </w:pPr>
            <w:r w:rsidRPr="009B2228">
              <w:rPr>
                <w:rFonts w:cs="Arial"/>
                <w:sz w:val="16"/>
                <w:szCs w:val="16"/>
              </w:rPr>
              <w:t xml:space="preserve">OPEX Animal purchase </w:t>
            </w:r>
            <w:r w:rsidRPr="009B2228">
              <w:rPr>
                <w:sz w:val="16"/>
                <w:szCs w:val="18"/>
              </w:rPr>
              <w:t>(MUS$ y</w:t>
            </w:r>
            <w:r w:rsidRPr="009B2228">
              <w:rPr>
                <w:sz w:val="16"/>
                <w:szCs w:val="18"/>
                <w:vertAlign w:val="superscript"/>
              </w:rPr>
              <w:t>-1</w:t>
            </w:r>
            <w:r w:rsidRPr="009B2228">
              <w:rPr>
                <w:sz w:val="16"/>
                <w:szCs w:val="18"/>
              </w:rPr>
              <w:t>)</w:t>
            </w:r>
          </w:p>
        </w:tc>
        <w:tc>
          <w:tcPr>
            <w:tcW w:w="1134" w:type="dxa"/>
            <w:tcBorders>
              <w:right w:val="single" w:sz="4" w:space="0" w:color="008000"/>
            </w:tcBorders>
            <w:vAlign w:val="center"/>
          </w:tcPr>
          <w:p w14:paraId="454D9C2D" w14:textId="1F7DE76F" w:rsidR="00B70000" w:rsidRPr="009B2228" w:rsidRDefault="00B70000" w:rsidP="009F122B">
            <w:pPr>
              <w:pStyle w:val="CETBodytext"/>
              <w:spacing w:line="240" w:lineRule="auto"/>
              <w:rPr>
                <w:rFonts w:cs="Arial"/>
                <w:sz w:val="16"/>
                <w:szCs w:val="16"/>
              </w:rPr>
            </w:pPr>
            <w:r w:rsidRPr="009B2228">
              <w:rPr>
                <w:rFonts w:cs="Arial"/>
                <w:sz w:val="16"/>
                <w:szCs w:val="16"/>
              </w:rPr>
              <w:t>103.21</w:t>
            </w:r>
          </w:p>
        </w:tc>
        <w:tc>
          <w:tcPr>
            <w:tcW w:w="236" w:type="dxa"/>
            <w:tcBorders>
              <w:left w:val="single" w:sz="4" w:space="0" w:color="008000"/>
            </w:tcBorders>
          </w:tcPr>
          <w:p w14:paraId="4D6D4C34" w14:textId="77777777" w:rsidR="00B70000" w:rsidRPr="009B2228" w:rsidRDefault="00B70000" w:rsidP="009F122B">
            <w:pPr>
              <w:pStyle w:val="CETBodytext"/>
              <w:spacing w:line="240" w:lineRule="auto"/>
              <w:rPr>
                <w:rFonts w:cs="Arial"/>
                <w:sz w:val="16"/>
                <w:szCs w:val="16"/>
              </w:rPr>
            </w:pPr>
          </w:p>
        </w:tc>
        <w:tc>
          <w:tcPr>
            <w:tcW w:w="3118" w:type="dxa"/>
            <w:vAlign w:val="center"/>
          </w:tcPr>
          <w:p w14:paraId="75114945" w14:textId="6265DE94" w:rsidR="00B70000" w:rsidRPr="009B2228" w:rsidRDefault="00B70000" w:rsidP="009F122B">
            <w:pPr>
              <w:pStyle w:val="CETBodytext"/>
              <w:spacing w:line="240" w:lineRule="auto"/>
              <w:rPr>
                <w:rFonts w:cs="Arial"/>
                <w:sz w:val="16"/>
                <w:szCs w:val="16"/>
              </w:rPr>
            </w:pPr>
            <w:r w:rsidRPr="009B2228">
              <w:rPr>
                <w:rFonts w:cs="Arial"/>
                <w:sz w:val="16"/>
                <w:szCs w:val="16"/>
              </w:rPr>
              <w:t xml:space="preserve">OPEX Total </w:t>
            </w:r>
            <w:r w:rsidRPr="009B2228">
              <w:rPr>
                <w:sz w:val="16"/>
                <w:szCs w:val="18"/>
              </w:rPr>
              <w:t>(MUS$ y</w:t>
            </w:r>
            <w:r w:rsidRPr="009B2228">
              <w:rPr>
                <w:sz w:val="16"/>
                <w:szCs w:val="18"/>
                <w:vertAlign w:val="superscript"/>
              </w:rPr>
              <w:t>-1</w:t>
            </w:r>
            <w:r w:rsidRPr="009B2228">
              <w:rPr>
                <w:sz w:val="16"/>
                <w:szCs w:val="18"/>
              </w:rPr>
              <w:t>)</w:t>
            </w:r>
          </w:p>
        </w:tc>
        <w:tc>
          <w:tcPr>
            <w:tcW w:w="1134" w:type="dxa"/>
            <w:vAlign w:val="center"/>
          </w:tcPr>
          <w:p w14:paraId="3334C8DD" w14:textId="7918B23F" w:rsidR="00B70000" w:rsidRPr="009B2228" w:rsidRDefault="00B70000" w:rsidP="009F122B">
            <w:pPr>
              <w:pStyle w:val="CETBodytext"/>
              <w:spacing w:line="240" w:lineRule="auto"/>
              <w:rPr>
                <w:rFonts w:cs="Arial"/>
                <w:sz w:val="16"/>
                <w:szCs w:val="16"/>
                <w:lang w:val="pt-BR"/>
              </w:rPr>
            </w:pPr>
            <w:r w:rsidRPr="009B2228">
              <w:rPr>
                <w:rFonts w:cs="Arial"/>
                <w:sz w:val="16"/>
                <w:szCs w:val="16"/>
                <w:lang w:val="pt-BR"/>
              </w:rPr>
              <w:t>166.19</w:t>
            </w:r>
          </w:p>
        </w:tc>
      </w:tr>
      <w:tr w:rsidR="00B70000" w:rsidRPr="009447EF" w14:paraId="6BE56A2B" w14:textId="77777777" w:rsidTr="009B2228">
        <w:trPr>
          <w:trHeight w:val="45"/>
        </w:trPr>
        <w:tc>
          <w:tcPr>
            <w:tcW w:w="3118" w:type="dxa"/>
            <w:vAlign w:val="center"/>
          </w:tcPr>
          <w:p w14:paraId="1BE396FC" w14:textId="311FCDB2" w:rsidR="00B70000" w:rsidRPr="009B2228" w:rsidRDefault="00B70000" w:rsidP="009F122B">
            <w:pPr>
              <w:pStyle w:val="CETBodytext"/>
              <w:spacing w:line="240" w:lineRule="auto"/>
              <w:rPr>
                <w:rFonts w:cs="Arial"/>
                <w:sz w:val="16"/>
                <w:szCs w:val="16"/>
              </w:rPr>
            </w:pPr>
            <w:r w:rsidRPr="009B2228">
              <w:rPr>
                <w:rFonts w:cs="Arial"/>
                <w:sz w:val="16"/>
                <w:szCs w:val="16"/>
              </w:rPr>
              <w:t xml:space="preserve">OPEX Sanitary management </w:t>
            </w:r>
            <w:r w:rsidRPr="009B2228">
              <w:rPr>
                <w:sz w:val="16"/>
                <w:szCs w:val="18"/>
              </w:rPr>
              <w:t>(MUS$ y</w:t>
            </w:r>
            <w:r w:rsidRPr="009B2228">
              <w:rPr>
                <w:sz w:val="16"/>
                <w:szCs w:val="18"/>
                <w:vertAlign w:val="superscript"/>
              </w:rPr>
              <w:t>-1</w:t>
            </w:r>
            <w:r w:rsidRPr="009B2228">
              <w:rPr>
                <w:sz w:val="16"/>
                <w:szCs w:val="18"/>
              </w:rPr>
              <w:t>)</w:t>
            </w:r>
          </w:p>
        </w:tc>
        <w:tc>
          <w:tcPr>
            <w:tcW w:w="1134" w:type="dxa"/>
            <w:tcBorders>
              <w:right w:val="single" w:sz="4" w:space="0" w:color="008000"/>
            </w:tcBorders>
            <w:vAlign w:val="center"/>
          </w:tcPr>
          <w:p w14:paraId="0524062F" w14:textId="23E5DE59" w:rsidR="00B70000" w:rsidRPr="009B2228" w:rsidRDefault="00B70000" w:rsidP="009F122B">
            <w:pPr>
              <w:pStyle w:val="CETBodytext"/>
              <w:spacing w:line="240" w:lineRule="auto"/>
              <w:rPr>
                <w:rFonts w:cs="Arial"/>
                <w:sz w:val="16"/>
                <w:szCs w:val="16"/>
              </w:rPr>
            </w:pPr>
            <w:r w:rsidRPr="009B2228">
              <w:rPr>
                <w:rFonts w:cs="Arial"/>
                <w:sz w:val="16"/>
                <w:szCs w:val="16"/>
              </w:rPr>
              <w:t>0.40</w:t>
            </w:r>
          </w:p>
        </w:tc>
        <w:tc>
          <w:tcPr>
            <w:tcW w:w="236" w:type="dxa"/>
            <w:tcBorders>
              <w:left w:val="single" w:sz="4" w:space="0" w:color="008000"/>
            </w:tcBorders>
          </w:tcPr>
          <w:p w14:paraId="520DFB3C" w14:textId="77777777" w:rsidR="00B70000" w:rsidRPr="009B2228" w:rsidRDefault="00B70000" w:rsidP="009F122B">
            <w:pPr>
              <w:pStyle w:val="CETBodytext"/>
              <w:spacing w:line="240" w:lineRule="auto"/>
              <w:rPr>
                <w:rFonts w:cs="Arial"/>
                <w:sz w:val="16"/>
                <w:szCs w:val="16"/>
              </w:rPr>
            </w:pPr>
          </w:p>
        </w:tc>
        <w:tc>
          <w:tcPr>
            <w:tcW w:w="3118" w:type="dxa"/>
            <w:vAlign w:val="center"/>
          </w:tcPr>
          <w:p w14:paraId="7D6C158B" w14:textId="437B1CF6" w:rsidR="00B70000" w:rsidRPr="009B2228" w:rsidRDefault="00B70000" w:rsidP="009F122B">
            <w:pPr>
              <w:pStyle w:val="CETBodytext"/>
              <w:spacing w:line="240" w:lineRule="auto"/>
              <w:rPr>
                <w:rFonts w:cs="Arial"/>
                <w:sz w:val="16"/>
                <w:szCs w:val="16"/>
              </w:rPr>
            </w:pPr>
            <w:r w:rsidRPr="009B2228">
              <w:rPr>
                <w:rFonts w:cs="Arial"/>
                <w:sz w:val="16"/>
                <w:szCs w:val="16"/>
              </w:rPr>
              <w:t>CAPEX (MUS$)</w:t>
            </w:r>
          </w:p>
        </w:tc>
        <w:tc>
          <w:tcPr>
            <w:tcW w:w="1134" w:type="dxa"/>
            <w:vAlign w:val="center"/>
          </w:tcPr>
          <w:p w14:paraId="36837327" w14:textId="6512EFCB" w:rsidR="00B70000" w:rsidRPr="009B2228" w:rsidRDefault="00B70000" w:rsidP="009F122B">
            <w:pPr>
              <w:pStyle w:val="CETBodytext"/>
              <w:spacing w:line="240" w:lineRule="auto"/>
              <w:rPr>
                <w:rFonts w:cs="Arial"/>
                <w:sz w:val="16"/>
                <w:szCs w:val="16"/>
                <w:lang w:val="pt-BR"/>
              </w:rPr>
            </w:pPr>
            <w:r w:rsidRPr="009B2228">
              <w:rPr>
                <w:rFonts w:cs="Arial"/>
                <w:sz w:val="16"/>
                <w:szCs w:val="16"/>
                <w:lang w:val="pt-BR"/>
              </w:rPr>
              <w:t>17.36</w:t>
            </w:r>
          </w:p>
        </w:tc>
      </w:tr>
      <w:tr w:rsidR="00B70000" w:rsidRPr="009447EF" w14:paraId="754CEBB0" w14:textId="77777777" w:rsidTr="009B2228">
        <w:trPr>
          <w:trHeight w:val="45"/>
        </w:trPr>
        <w:tc>
          <w:tcPr>
            <w:tcW w:w="3118" w:type="dxa"/>
            <w:tcBorders>
              <w:bottom w:val="single" w:sz="12" w:space="0" w:color="008000"/>
            </w:tcBorders>
            <w:vAlign w:val="center"/>
          </w:tcPr>
          <w:p w14:paraId="481A8E83" w14:textId="296A4215" w:rsidR="00B70000" w:rsidRPr="009B2228" w:rsidRDefault="00B70000" w:rsidP="009F122B">
            <w:pPr>
              <w:pStyle w:val="CETBodytext"/>
              <w:spacing w:line="240" w:lineRule="auto"/>
              <w:rPr>
                <w:rFonts w:cs="Arial"/>
                <w:sz w:val="16"/>
                <w:szCs w:val="16"/>
              </w:rPr>
            </w:pPr>
            <w:r w:rsidRPr="009B2228">
              <w:rPr>
                <w:rFonts w:cs="Arial"/>
                <w:sz w:val="16"/>
                <w:szCs w:val="16"/>
              </w:rPr>
              <w:t xml:space="preserve">OPEX Identification </w:t>
            </w:r>
            <w:r w:rsidRPr="009B2228">
              <w:rPr>
                <w:sz w:val="16"/>
                <w:szCs w:val="18"/>
              </w:rPr>
              <w:t>(MUS$ y</w:t>
            </w:r>
            <w:r w:rsidRPr="009B2228">
              <w:rPr>
                <w:sz w:val="16"/>
                <w:szCs w:val="18"/>
                <w:vertAlign w:val="superscript"/>
              </w:rPr>
              <w:t>-1</w:t>
            </w:r>
            <w:r w:rsidRPr="009B2228">
              <w:rPr>
                <w:sz w:val="16"/>
                <w:szCs w:val="18"/>
              </w:rPr>
              <w:t>)</w:t>
            </w:r>
          </w:p>
        </w:tc>
        <w:tc>
          <w:tcPr>
            <w:tcW w:w="1134" w:type="dxa"/>
            <w:tcBorders>
              <w:bottom w:val="single" w:sz="12" w:space="0" w:color="008000"/>
              <w:right w:val="single" w:sz="4" w:space="0" w:color="008000"/>
            </w:tcBorders>
            <w:vAlign w:val="center"/>
          </w:tcPr>
          <w:p w14:paraId="3DDA0418" w14:textId="0036408E" w:rsidR="00B70000" w:rsidRPr="009B2228" w:rsidRDefault="00B70000" w:rsidP="009F122B">
            <w:pPr>
              <w:pStyle w:val="CETBodytext"/>
              <w:spacing w:line="240" w:lineRule="auto"/>
              <w:rPr>
                <w:rFonts w:cs="Arial"/>
                <w:sz w:val="16"/>
                <w:szCs w:val="16"/>
              </w:rPr>
            </w:pPr>
            <w:r w:rsidRPr="009B2228">
              <w:rPr>
                <w:rFonts w:cs="Arial"/>
                <w:sz w:val="16"/>
                <w:szCs w:val="16"/>
              </w:rPr>
              <w:t>0.27</w:t>
            </w:r>
          </w:p>
        </w:tc>
        <w:tc>
          <w:tcPr>
            <w:tcW w:w="236" w:type="dxa"/>
            <w:tcBorders>
              <w:left w:val="single" w:sz="4" w:space="0" w:color="008000"/>
              <w:bottom w:val="single" w:sz="12" w:space="0" w:color="008000"/>
            </w:tcBorders>
          </w:tcPr>
          <w:p w14:paraId="6FDBD1A6" w14:textId="77777777" w:rsidR="00B70000" w:rsidRPr="009B2228" w:rsidRDefault="00B70000" w:rsidP="009F122B">
            <w:pPr>
              <w:pStyle w:val="CETBodytext"/>
              <w:spacing w:line="240" w:lineRule="auto"/>
              <w:rPr>
                <w:rFonts w:cs="Arial"/>
                <w:sz w:val="16"/>
                <w:szCs w:val="16"/>
              </w:rPr>
            </w:pPr>
          </w:p>
        </w:tc>
        <w:tc>
          <w:tcPr>
            <w:tcW w:w="3118" w:type="dxa"/>
            <w:tcBorders>
              <w:bottom w:val="single" w:sz="12" w:space="0" w:color="008000"/>
            </w:tcBorders>
            <w:vAlign w:val="center"/>
          </w:tcPr>
          <w:p w14:paraId="5F06D1B4" w14:textId="22862433" w:rsidR="00B70000" w:rsidRPr="009B2228" w:rsidRDefault="00B70000" w:rsidP="009F122B">
            <w:pPr>
              <w:pStyle w:val="CETBodytext"/>
              <w:spacing w:line="240" w:lineRule="auto"/>
              <w:rPr>
                <w:rFonts w:cs="Arial"/>
                <w:sz w:val="16"/>
                <w:szCs w:val="16"/>
              </w:rPr>
            </w:pPr>
            <w:r w:rsidRPr="009B2228">
              <w:rPr>
                <w:rFonts w:cs="Arial"/>
                <w:sz w:val="16"/>
                <w:szCs w:val="16"/>
              </w:rPr>
              <w:t>Revenue (MUS$ y</w:t>
            </w:r>
            <w:r w:rsidRPr="009B2228">
              <w:rPr>
                <w:rFonts w:cs="Arial"/>
                <w:sz w:val="16"/>
                <w:szCs w:val="16"/>
                <w:vertAlign w:val="superscript"/>
              </w:rPr>
              <w:t>-1</w:t>
            </w:r>
            <w:r w:rsidRPr="009B2228">
              <w:rPr>
                <w:rFonts w:cs="Arial"/>
                <w:sz w:val="16"/>
                <w:szCs w:val="16"/>
              </w:rPr>
              <w:t>)</w:t>
            </w:r>
          </w:p>
        </w:tc>
        <w:tc>
          <w:tcPr>
            <w:tcW w:w="1134" w:type="dxa"/>
            <w:tcBorders>
              <w:bottom w:val="single" w:sz="12" w:space="0" w:color="008000"/>
            </w:tcBorders>
            <w:vAlign w:val="center"/>
          </w:tcPr>
          <w:p w14:paraId="23A7BEBC" w14:textId="0F27901F" w:rsidR="00B70000" w:rsidRPr="009B2228" w:rsidRDefault="00B70000" w:rsidP="009F122B">
            <w:pPr>
              <w:pStyle w:val="CETBodytext"/>
              <w:spacing w:line="240" w:lineRule="auto"/>
              <w:rPr>
                <w:rFonts w:cs="Arial"/>
                <w:sz w:val="16"/>
                <w:szCs w:val="16"/>
                <w:lang w:val="pt-BR"/>
              </w:rPr>
            </w:pPr>
            <w:r w:rsidRPr="009B2228">
              <w:rPr>
                <w:rFonts w:cs="Arial"/>
                <w:sz w:val="16"/>
                <w:szCs w:val="16"/>
                <w:lang w:val="pt-BR"/>
              </w:rPr>
              <w:t>173.28</w:t>
            </w:r>
          </w:p>
        </w:tc>
      </w:tr>
    </w:tbl>
    <w:p w14:paraId="580D14FE" w14:textId="41507865" w:rsidR="005A745B" w:rsidRPr="002D2D8F" w:rsidRDefault="00F3013D" w:rsidP="009F122B">
      <w:pPr>
        <w:pStyle w:val="CETBodytext"/>
        <w:spacing w:before="60" w:line="240" w:lineRule="auto"/>
        <w:rPr>
          <w:sz w:val="14"/>
          <w:szCs w:val="14"/>
        </w:rPr>
      </w:pPr>
      <w:r w:rsidRPr="007F53D6">
        <w:rPr>
          <w:sz w:val="14"/>
          <w:szCs w:val="14"/>
        </w:rPr>
        <w:t>*</w:t>
      </w:r>
      <w:r w:rsidR="007F53D6">
        <w:rPr>
          <w:sz w:val="14"/>
          <w:szCs w:val="14"/>
        </w:rPr>
        <w:t xml:space="preserve">The </w:t>
      </w:r>
      <w:r w:rsidR="007F53D6" w:rsidRPr="007F53D6">
        <w:rPr>
          <w:sz w:val="14"/>
          <w:szCs w:val="14"/>
        </w:rPr>
        <w:t>Sugarcane ethanol distillery system</w:t>
      </w:r>
      <w:r w:rsidR="007F53D6">
        <w:rPr>
          <w:sz w:val="14"/>
          <w:szCs w:val="14"/>
        </w:rPr>
        <w:t xml:space="preserve"> B</w:t>
      </w:r>
      <w:r w:rsidR="0058733C">
        <w:rPr>
          <w:sz w:val="14"/>
          <w:szCs w:val="14"/>
        </w:rPr>
        <w:t>1</w:t>
      </w:r>
      <w:r w:rsidR="007F53D6">
        <w:rPr>
          <w:sz w:val="14"/>
          <w:szCs w:val="14"/>
        </w:rPr>
        <w:t xml:space="preserve"> has the same results as A1, </w:t>
      </w:r>
      <w:r w:rsidR="00FD0EA8" w:rsidRPr="00FD0EA8">
        <w:rPr>
          <w:sz w:val="14"/>
          <w:szCs w:val="14"/>
        </w:rPr>
        <w:t>except</w:t>
      </w:r>
      <w:r w:rsidR="007F53D6">
        <w:rPr>
          <w:sz w:val="14"/>
          <w:szCs w:val="14"/>
        </w:rPr>
        <w:t xml:space="preserve"> for the revenue</w:t>
      </w:r>
      <w:r w:rsidR="005201F3" w:rsidRPr="007F53D6">
        <w:rPr>
          <w:sz w:val="14"/>
          <w:szCs w:val="14"/>
        </w:rPr>
        <w:t xml:space="preserve"> </w:t>
      </w:r>
      <w:r w:rsidR="007F53D6">
        <w:rPr>
          <w:sz w:val="14"/>
          <w:szCs w:val="14"/>
        </w:rPr>
        <w:t>(</w:t>
      </w:r>
      <w:r w:rsidR="005201F3" w:rsidRPr="007F53D6">
        <w:rPr>
          <w:rFonts w:cs="Arial"/>
          <w:sz w:val="14"/>
          <w:szCs w:val="14"/>
        </w:rPr>
        <w:t>165.9</w:t>
      </w:r>
      <w:r w:rsidR="007F53D6" w:rsidRPr="007F53D6">
        <w:rPr>
          <w:rFonts w:cs="Arial"/>
          <w:sz w:val="14"/>
          <w:szCs w:val="14"/>
        </w:rPr>
        <w:t xml:space="preserve"> MUS$ y</w:t>
      </w:r>
      <w:r w:rsidR="007F53D6" w:rsidRPr="007F53D6">
        <w:rPr>
          <w:rFonts w:cs="Arial"/>
          <w:sz w:val="14"/>
          <w:szCs w:val="14"/>
          <w:vertAlign w:val="superscript"/>
        </w:rPr>
        <w:t>-1</w:t>
      </w:r>
      <w:r w:rsidR="007F53D6">
        <w:rPr>
          <w:rFonts w:cs="Arial"/>
          <w:sz w:val="14"/>
          <w:szCs w:val="14"/>
        </w:rPr>
        <w:t>)</w:t>
      </w:r>
      <w:r w:rsidR="00595250">
        <w:rPr>
          <w:rFonts w:cs="Arial"/>
          <w:sz w:val="14"/>
          <w:szCs w:val="14"/>
        </w:rPr>
        <w:t xml:space="preserve"> </w:t>
      </w:r>
      <w:r w:rsidR="00595250" w:rsidRPr="00595250">
        <w:rPr>
          <w:rFonts w:cs="Arial"/>
          <w:sz w:val="14"/>
          <w:szCs w:val="14"/>
        </w:rPr>
        <w:t>which is smaller due to the use of part of the bagasse in the feed</w:t>
      </w:r>
      <w:r w:rsidR="005D6B09">
        <w:rPr>
          <w:rFonts w:cs="Arial"/>
          <w:sz w:val="14"/>
          <w:szCs w:val="14"/>
        </w:rPr>
        <w:t xml:space="preserve"> formulation</w:t>
      </w:r>
      <w:r w:rsidR="007F53D6">
        <w:rPr>
          <w:rFonts w:cs="Arial"/>
          <w:sz w:val="14"/>
          <w:szCs w:val="14"/>
        </w:rPr>
        <w:t>.</w:t>
      </w:r>
    </w:p>
    <w:p w14:paraId="4AE29700" w14:textId="19FE9E56" w:rsidR="00FD0EA8" w:rsidRDefault="00FD0EA8" w:rsidP="009F122B">
      <w:pPr>
        <w:pStyle w:val="CETBodytext"/>
        <w:spacing w:after="120"/>
      </w:pPr>
      <w:r>
        <w:lastRenderedPageBreak/>
        <w:t>The systems' IRR and NPV/CAPEX exhibited similar behavior in the results, indicating consistency in the data (Table 3). In all cases analyzed, the IRR exceeds the MRA (12%), showing that the investments are profitable under the tested conditions, whether collectively or individually. Furthermore, for the integrated and non-integrated systems, the resulting profitability indicators fall between those of the subsystems forming them. For instance, the IRR of A (19.48) lies between the IRR of A1 (20.39) and A2 (15.38), leaning more towards the biorefinery.</w:t>
      </w:r>
    </w:p>
    <w:p w14:paraId="0E169BA6" w14:textId="0F4D22E3" w:rsidR="007F53D6" w:rsidRDefault="00FD0EA8" w:rsidP="009F122B">
      <w:pPr>
        <w:pStyle w:val="CETBodytext"/>
      </w:pPr>
      <w:r>
        <w:t>Considering the objective of this study, it is evident that, under the tested conditions, integration proves to be economically attractive, as its indicators surpass those of the non-integrated case. Another inherent benefit of integration is the requirement for a smaller area. While the non-integrated system demands an area of 120 thousand ha, the integrated system needs only half of that, i.e., 60 thousand ha.</w:t>
      </w:r>
      <w:r w:rsidR="002D2D8F">
        <w:t xml:space="preserve"> </w:t>
      </w:r>
      <w:r w:rsidR="002D2D8F" w:rsidRPr="001E0404">
        <w:t>The available area can be used for other purposes, such as restoring a legal reserve</w:t>
      </w:r>
      <w:r w:rsidR="002D2D8F">
        <w:t>.</w:t>
      </w:r>
    </w:p>
    <w:p w14:paraId="7CFF0322" w14:textId="1ECC8F61" w:rsidR="00D977D9" w:rsidRPr="00065C77" w:rsidRDefault="004A12DF" w:rsidP="009B2228">
      <w:pPr>
        <w:pStyle w:val="CETTabletitle"/>
      </w:pPr>
      <w:r w:rsidRPr="00065C77">
        <w:t xml:space="preserve">Table </w:t>
      </w:r>
      <w:r w:rsidR="007F53D6" w:rsidRPr="00065C77">
        <w:t>3</w:t>
      </w:r>
      <w:r w:rsidR="009B2228">
        <w:t>:</w:t>
      </w:r>
      <w:r w:rsidRPr="00065C77">
        <w:t xml:space="preserve"> </w:t>
      </w:r>
      <w:r w:rsidR="007F53D6" w:rsidRPr="00065C77">
        <w:t>Profitability results for each system</w:t>
      </w:r>
    </w:p>
    <w:tbl>
      <w:tblPr>
        <w:tblW w:w="8730" w:type="dxa"/>
        <w:tblLayout w:type="fixed"/>
        <w:tblLook w:val="04A0" w:firstRow="1" w:lastRow="0" w:firstColumn="1" w:lastColumn="0" w:noHBand="0" w:noVBand="1"/>
      </w:tblPr>
      <w:tblGrid>
        <w:gridCol w:w="2381"/>
        <w:gridCol w:w="1644"/>
        <w:gridCol w:w="1757"/>
        <w:gridCol w:w="1644"/>
        <w:gridCol w:w="1304"/>
      </w:tblGrid>
      <w:tr w:rsidR="004100DB" w:rsidRPr="004100DB" w14:paraId="37729630" w14:textId="77777777" w:rsidTr="000C04D9">
        <w:trPr>
          <w:trHeight w:val="255"/>
        </w:trPr>
        <w:tc>
          <w:tcPr>
            <w:tcW w:w="2381" w:type="dxa"/>
            <w:tcBorders>
              <w:top w:val="single" w:sz="12" w:space="0" w:color="008000"/>
              <w:bottom w:val="single" w:sz="4" w:space="0" w:color="008000"/>
            </w:tcBorders>
            <w:shd w:val="clear" w:color="auto" w:fill="auto"/>
            <w:noWrap/>
            <w:vAlign w:val="center"/>
          </w:tcPr>
          <w:p w14:paraId="0E6E6941" w14:textId="04D0A853" w:rsidR="004100DB" w:rsidRPr="009B2228" w:rsidRDefault="004100DB" w:rsidP="009F122B">
            <w:pPr>
              <w:tabs>
                <w:tab w:val="clear" w:pos="7100"/>
              </w:tabs>
              <w:jc w:val="left"/>
              <w:rPr>
                <w:rFonts w:cs="Arial"/>
                <w:sz w:val="16"/>
                <w:szCs w:val="16"/>
                <w:lang w:val="en-US"/>
              </w:rPr>
            </w:pPr>
            <w:r w:rsidRPr="009B2228">
              <w:rPr>
                <w:rFonts w:cs="Arial"/>
                <w:sz w:val="16"/>
                <w:szCs w:val="16"/>
                <w:lang w:val="en-US"/>
              </w:rPr>
              <w:t>System</w:t>
            </w:r>
          </w:p>
        </w:tc>
        <w:tc>
          <w:tcPr>
            <w:tcW w:w="1644" w:type="dxa"/>
            <w:tcBorders>
              <w:top w:val="single" w:sz="12" w:space="0" w:color="008000"/>
              <w:bottom w:val="single" w:sz="4" w:space="0" w:color="008000"/>
            </w:tcBorders>
            <w:shd w:val="clear" w:color="auto" w:fill="auto"/>
            <w:noWrap/>
            <w:vAlign w:val="center"/>
          </w:tcPr>
          <w:p w14:paraId="3CC88FB8" w14:textId="786AA515" w:rsidR="004100DB" w:rsidRPr="009B2228" w:rsidRDefault="004100DB" w:rsidP="009F122B">
            <w:pPr>
              <w:tabs>
                <w:tab w:val="clear" w:pos="7100"/>
              </w:tabs>
              <w:jc w:val="left"/>
              <w:rPr>
                <w:rFonts w:cs="Arial"/>
                <w:sz w:val="16"/>
                <w:szCs w:val="16"/>
                <w:lang w:val="en-US"/>
              </w:rPr>
            </w:pPr>
            <w:r w:rsidRPr="009B2228">
              <w:rPr>
                <w:rFonts w:cs="Arial"/>
                <w:sz w:val="16"/>
                <w:szCs w:val="16"/>
                <w:lang w:val="en-US"/>
              </w:rPr>
              <w:t>NPV (MUS$)</w:t>
            </w:r>
          </w:p>
        </w:tc>
        <w:tc>
          <w:tcPr>
            <w:tcW w:w="1757" w:type="dxa"/>
            <w:tcBorders>
              <w:top w:val="single" w:sz="12" w:space="0" w:color="008000"/>
              <w:bottom w:val="single" w:sz="4" w:space="0" w:color="008000"/>
            </w:tcBorders>
            <w:shd w:val="clear" w:color="auto" w:fill="auto"/>
            <w:noWrap/>
            <w:vAlign w:val="center"/>
          </w:tcPr>
          <w:p w14:paraId="753E6D04" w14:textId="35CD1A9C" w:rsidR="004100DB" w:rsidRPr="009B2228" w:rsidRDefault="00D21AEA" w:rsidP="009F122B">
            <w:pPr>
              <w:tabs>
                <w:tab w:val="clear" w:pos="7100"/>
              </w:tabs>
              <w:jc w:val="left"/>
              <w:rPr>
                <w:rFonts w:cs="Arial"/>
                <w:sz w:val="16"/>
                <w:szCs w:val="16"/>
                <w:lang w:val="en-US"/>
              </w:rPr>
            </w:pPr>
            <w:r w:rsidRPr="009B2228">
              <w:rPr>
                <w:rFonts w:cs="Arial"/>
                <w:sz w:val="16"/>
                <w:szCs w:val="16"/>
                <w:lang w:val="en-US"/>
              </w:rPr>
              <w:t>CAPEX</w:t>
            </w:r>
            <w:r w:rsidR="004100DB" w:rsidRPr="009B2228">
              <w:rPr>
                <w:rFonts w:cs="Arial"/>
                <w:sz w:val="16"/>
                <w:szCs w:val="16"/>
                <w:lang w:val="en-US"/>
              </w:rPr>
              <w:t xml:space="preserve"> (MUS$)</w:t>
            </w:r>
          </w:p>
        </w:tc>
        <w:tc>
          <w:tcPr>
            <w:tcW w:w="1644" w:type="dxa"/>
            <w:tcBorders>
              <w:top w:val="single" w:sz="12" w:space="0" w:color="008000"/>
              <w:bottom w:val="single" w:sz="4" w:space="0" w:color="008000"/>
            </w:tcBorders>
            <w:shd w:val="clear" w:color="auto" w:fill="auto"/>
            <w:noWrap/>
            <w:vAlign w:val="center"/>
          </w:tcPr>
          <w:p w14:paraId="76E93739" w14:textId="13BD3279" w:rsidR="004100DB" w:rsidRPr="009B2228" w:rsidRDefault="004100DB" w:rsidP="009F122B">
            <w:pPr>
              <w:tabs>
                <w:tab w:val="clear" w:pos="7100"/>
              </w:tabs>
              <w:jc w:val="left"/>
              <w:rPr>
                <w:rFonts w:cs="Arial"/>
                <w:sz w:val="16"/>
                <w:szCs w:val="16"/>
                <w:lang w:val="en-US"/>
              </w:rPr>
            </w:pPr>
            <w:r w:rsidRPr="009B2228">
              <w:rPr>
                <w:rFonts w:cs="Arial"/>
                <w:sz w:val="16"/>
                <w:szCs w:val="16"/>
                <w:lang w:val="en-US"/>
              </w:rPr>
              <w:t>NPV/</w:t>
            </w:r>
            <w:r w:rsidR="00D21AEA" w:rsidRPr="009B2228">
              <w:rPr>
                <w:rFonts w:cs="Arial"/>
                <w:sz w:val="16"/>
                <w:szCs w:val="16"/>
                <w:lang w:val="en-US"/>
              </w:rPr>
              <w:t>CAPEX</w:t>
            </w:r>
          </w:p>
        </w:tc>
        <w:tc>
          <w:tcPr>
            <w:tcW w:w="1304" w:type="dxa"/>
            <w:tcBorders>
              <w:top w:val="single" w:sz="12" w:space="0" w:color="008000"/>
              <w:bottom w:val="single" w:sz="4" w:space="0" w:color="008000"/>
            </w:tcBorders>
            <w:shd w:val="clear" w:color="auto" w:fill="auto"/>
            <w:noWrap/>
            <w:vAlign w:val="center"/>
          </w:tcPr>
          <w:p w14:paraId="6BF880D0" w14:textId="2E4C1735" w:rsidR="004100DB" w:rsidRPr="009B2228" w:rsidRDefault="004100DB" w:rsidP="009F122B">
            <w:pPr>
              <w:tabs>
                <w:tab w:val="clear" w:pos="7100"/>
              </w:tabs>
              <w:jc w:val="left"/>
              <w:rPr>
                <w:rFonts w:cs="Arial"/>
                <w:sz w:val="16"/>
                <w:szCs w:val="16"/>
                <w:lang w:val="en-US"/>
              </w:rPr>
            </w:pPr>
            <w:r w:rsidRPr="009B2228">
              <w:rPr>
                <w:rFonts w:cs="Arial"/>
                <w:sz w:val="16"/>
                <w:szCs w:val="16"/>
                <w:lang w:val="en-US"/>
              </w:rPr>
              <w:t>IRR (%)</w:t>
            </w:r>
          </w:p>
        </w:tc>
      </w:tr>
      <w:tr w:rsidR="004100DB" w:rsidRPr="004100DB" w14:paraId="1C8E22DA" w14:textId="77777777" w:rsidTr="000C04D9">
        <w:trPr>
          <w:trHeight w:val="255"/>
        </w:trPr>
        <w:tc>
          <w:tcPr>
            <w:tcW w:w="2381" w:type="dxa"/>
            <w:tcBorders>
              <w:top w:val="single" w:sz="4" w:space="0" w:color="008000"/>
            </w:tcBorders>
            <w:shd w:val="clear" w:color="auto" w:fill="auto"/>
            <w:noWrap/>
            <w:vAlign w:val="center"/>
            <w:hideMark/>
          </w:tcPr>
          <w:p w14:paraId="4480021D" w14:textId="54251F09" w:rsidR="004100DB" w:rsidRPr="004100DB" w:rsidRDefault="004100DB" w:rsidP="009F122B">
            <w:pPr>
              <w:tabs>
                <w:tab w:val="clear" w:pos="7100"/>
              </w:tabs>
              <w:jc w:val="left"/>
              <w:rPr>
                <w:rFonts w:cs="Arial"/>
                <w:sz w:val="16"/>
                <w:szCs w:val="16"/>
                <w:lang w:val="en-US"/>
              </w:rPr>
            </w:pPr>
            <w:r w:rsidRPr="004100DB">
              <w:rPr>
                <w:rFonts w:cs="Arial"/>
                <w:sz w:val="16"/>
                <w:szCs w:val="16"/>
                <w:lang w:val="en-US"/>
              </w:rPr>
              <w:t>A1</w:t>
            </w:r>
            <w:r w:rsidRPr="004A12DF">
              <w:rPr>
                <w:rFonts w:cs="Arial"/>
                <w:sz w:val="16"/>
                <w:szCs w:val="16"/>
                <w:lang w:val="en-US"/>
              </w:rPr>
              <w:t>. Biorefinery</w:t>
            </w:r>
          </w:p>
        </w:tc>
        <w:tc>
          <w:tcPr>
            <w:tcW w:w="1644" w:type="dxa"/>
            <w:tcBorders>
              <w:top w:val="single" w:sz="4" w:space="0" w:color="008000"/>
            </w:tcBorders>
            <w:shd w:val="clear" w:color="auto" w:fill="auto"/>
            <w:noWrap/>
            <w:vAlign w:val="center"/>
            <w:hideMark/>
          </w:tcPr>
          <w:p w14:paraId="7DDDF8BC"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143.73</w:t>
            </w:r>
          </w:p>
        </w:tc>
        <w:tc>
          <w:tcPr>
            <w:tcW w:w="1757" w:type="dxa"/>
            <w:tcBorders>
              <w:top w:val="single" w:sz="4" w:space="0" w:color="008000"/>
            </w:tcBorders>
            <w:shd w:val="clear" w:color="auto" w:fill="auto"/>
            <w:noWrap/>
            <w:vAlign w:val="center"/>
            <w:hideMark/>
          </w:tcPr>
          <w:p w14:paraId="479C3B35"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277.58</w:t>
            </w:r>
          </w:p>
        </w:tc>
        <w:tc>
          <w:tcPr>
            <w:tcW w:w="1644" w:type="dxa"/>
            <w:tcBorders>
              <w:top w:val="single" w:sz="4" w:space="0" w:color="008000"/>
            </w:tcBorders>
            <w:shd w:val="clear" w:color="auto" w:fill="auto"/>
            <w:noWrap/>
            <w:vAlign w:val="center"/>
            <w:hideMark/>
          </w:tcPr>
          <w:p w14:paraId="4F984448"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0.52</w:t>
            </w:r>
          </w:p>
        </w:tc>
        <w:tc>
          <w:tcPr>
            <w:tcW w:w="1304" w:type="dxa"/>
            <w:tcBorders>
              <w:top w:val="single" w:sz="4" w:space="0" w:color="008000"/>
            </w:tcBorders>
            <w:shd w:val="clear" w:color="auto" w:fill="auto"/>
            <w:noWrap/>
            <w:vAlign w:val="center"/>
            <w:hideMark/>
          </w:tcPr>
          <w:p w14:paraId="1F806ACE"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20.39</w:t>
            </w:r>
          </w:p>
        </w:tc>
      </w:tr>
      <w:tr w:rsidR="004100DB" w:rsidRPr="004100DB" w14:paraId="560A75CE" w14:textId="77777777" w:rsidTr="009F122B">
        <w:trPr>
          <w:trHeight w:val="255"/>
        </w:trPr>
        <w:tc>
          <w:tcPr>
            <w:tcW w:w="2381" w:type="dxa"/>
            <w:shd w:val="clear" w:color="auto" w:fill="auto"/>
            <w:noWrap/>
            <w:vAlign w:val="center"/>
            <w:hideMark/>
          </w:tcPr>
          <w:p w14:paraId="13DBB9A6" w14:textId="1CB806E8" w:rsidR="004100DB" w:rsidRPr="004100DB" w:rsidRDefault="004100DB" w:rsidP="009F122B">
            <w:pPr>
              <w:tabs>
                <w:tab w:val="clear" w:pos="7100"/>
              </w:tabs>
              <w:jc w:val="left"/>
              <w:rPr>
                <w:rFonts w:cs="Arial"/>
                <w:sz w:val="16"/>
                <w:szCs w:val="16"/>
                <w:lang w:val="en-US"/>
              </w:rPr>
            </w:pPr>
            <w:r w:rsidRPr="004100DB">
              <w:rPr>
                <w:rFonts w:cs="Arial"/>
                <w:sz w:val="16"/>
                <w:szCs w:val="16"/>
                <w:lang w:val="en-US"/>
              </w:rPr>
              <w:t>A2</w:t>
            </w:r>
            <w:r w:rsidRPr="004A12DF">
              <w:rPr>
                <w:rFonts w:cs="Arial"/>
                <w:sz w:val="16"/>
                <w:szCs w:val="16"/>
                <w:lang w:val="en-US"/>
              </w:rPr>
              <w:t>. Livestock Pasture</w:t>
            </w:r>
          </w:p>
        </w:tc>
        <w:tc>
          <w:tcPr>
            <w:tcW w:w="1644" w:type="dxa"/>
            <w:shd w:val="clear" w:color="auto" w:fill="auto"/>
            <w:noWrap/>
            <w:vAlign w:val="center"/>
            <w:hideMark/>
          </w:tcPr>
          <w:p w14:paraId="6F6DCE79"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11.95</w:t>
            </w:r>
          </w:p>
        </w:tc>
        <w:tc>
          <w:tcPr>
            <w:tcW w:w="1757" w:type="dxa"/>
            <w:shd w:val="clear" w:color="auto" w:fill="auto"/>
            <w:noWrap/>
            <w:vAlign w:val="center"/>
            <w:hideMark/>
          </w:tcPr>
          <w:p w14:paraId="6296E87F"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50.07</w:t>
            </w:r>
          </w:p>
        </w:tc>
        <w:tc>
          <w:tcPr>
            <w:tcW w:w="1644" w:type="dxa"/>
            <w:shd w:val="clear" w:color="auto" w:fill="auto"/>
            <w:noWrap/>
            <w:vAlign w:val="center"/>
            <w:hideMark/>
          </w:tcPr>
          <w:p w14:paraId="526249BF"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0.24</w:t>
            </w:r>
          </w:p>
        </w:tc>
        <w:tc>
          <w:tcPr>
            <w:tcW w:w="1304" w:type="dxa"/>
            <w:shd w:val="clear" w:color="auto" w:fill="auto"/>
            <w:noWrap/>
            <w:vAlign w:val="center"/>
            <w:hideMark/>
          </w:tcPr>
          <w:p w14:paraId="1FB3F6A9"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15.38</w:t>
            </w:r>
          </w:p>
        </w:tc>
      </w:tr>
      <w:tr w:rsidR="004100DB" w:rsidRPr="004100DB" w14:paraId="48F8B4EE" w14:textId="77777777" w:rsidTr="000C04D9">
        <w:trPr>
          <w:trHeight w:val="255"/>
        </w:trPr>
        <w:tc>
          <w:tcPr>
            <w:tcW w:w="2381" w:type="dxa"/>
            <w:tcBorders>
              <w:bottom w:val="single" w:sz="4" w:space="0" w:color="008000"/>
            </w:tcBorders>
            <w:shd w:val="clear" w:color="auto" w:fill="DDF1DF"/>
            <w:noWrap/>
            <w:vAlign w:val="center"/>
            <w:hideMark/>
          </w:tcPr>
          <w:p w14:paraId="6A563374" w14:textId="29DEB230" w:rsidR="004100DB" w:rsidRPr="004100DB" w:rsidRDefault="004100DB" w:rsidP="009F122B">
            <w:pPr>
              <w:tabs>
                <w:tab w:val="clear" w:pos="7100"/>
              </w:tabs>
              <w:jc w:val="left"/>
              <w:rPr>
                <w:rFonts w:cs="Arial"/>
                <w:sz w:val="16"/>
                <w:szCs w:val="16"/>
                <w:lang w:val="en-US"/>
              </w:rPr>
            </w:pPr>
            <w:r w:rsidRPr="004100DB">
              <w:rPr>
                <w:rFonts w:cs="Arial"/>
                <w:sz w:val="16"/>
                <w:szCs w:val="16"/>
                <w:lang w:val="en-US"/>
              </w:rPr>
              <w:t>A</w:t>
            </w:r>
            <w:r w:rsidRPr="004A12DF">
              <w:rPr>
                <w:rFonts w:cs="Arial"/>
                <w:sz w:val="16"/>
                <w:szCs w:val="16"/>
                <w:lang w:val="en-US"/>
              </w:rPr>
              <w:t xml:space="preserve">. </w:t>
            </w:r>
            <w:r w:rsidR="000C02DE">
              <w:rPr>
                <w:rFonts w:cs="Arial"/>
                <w:sz w:val="16"/>
                <w:szCs w:val="16"/>
                <w:lang w:val="en-US"/>
              </w:rPr>
              <w:t>No</w:t>
            </w:r>
            <w:r w:rsidRPr="004A12DF">
              <w:rPr>
                <w:rFonts w:cs="Arial"/>
                <w:sz w:val="16"/>
                <w:szCs w:val="16"/>
                <w:lang w:val="en-US"/>
              </w:rPr>
              <w:t xml:space="preserve"> integration</w:t>
            </w:r>
          </w:p>
        </w:tc>
        <w:tc>
          <w:tcPr>
            <w:tcW w:w="1644" w:type="dxa"/>
            <w:tcBorders>
              <w:bottom w:val="single" w:sz="4" w:space="0" w:color="008000"/>
            </w:tcBorders>
            <w:shd w:val="clear" w:color="auto" w:fill="DDF1DF"/>
            <w:noWrap/>
            <w:vAlign w:val="center"/>
            <w:hideMark/>
          </w:tcPr>
          <w:p w14:paraId="0800DE42"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155.68</w:t>
            </w:r>
          </w:p>
        </w:tc>
        <w:tc>
          <w:tcPr>
            <w:tcW w:w="1757" w:type="dxa"/>
            <w:tcBorders>
              <w:bottom w:val="single" w:sz="4" w:space="0" w:color="008000"/>
            </w:tcBorders>
            <w:shd w:val="clear" w:color="auto" w:fill="DDF1DF"/>
            <w:noWrap/>
            <w:vAlign w:val="center"/>
            <w:hideMark/>
          </w:tcPr>
          <w:p w14:paraId="245B39C8"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327.65</w:t>
            </w:r>
          </w:p>
        </w:tc>
        <w:tc>
          <w:tcPr>
            <w:tcW w:w="1644" w:type="dxa"/>
            <w:tcBorders>
              <w:bottom w:val="single" w:sz="4" w:space="0" w:color="008000"/>
            </w:tcBorders>
            <w:shd w:val="clear" w:color="auto" w:fill="DDF1DF"/>
            <w:noWrap/>
            <w:vAlign w:val="center"/>
            <w:hideMark/>
          </w:tcPr>
          <w:p w14:paraId="5AC48326"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0.48</w:t>
            </w:r>
          </w:p>
        </w:tc>
        <w:tc>
          <w:tcPr>
            <w:tcW w:w="1304" w:type="dxa"/>
            <w:tcBorders>
              <w:bottom w:val="single" w:sz="4" w:space="0" w:color="008000"/>
            </w:tcBorders>
            <w:shd w:val="clear" w:color="auto" w:fill="DDF1DF"/>
            <w:noWrap/>
            <w:vAlign w:val="center"/>
            <w:hideMark/>
          </w:tcPr>
          <w:p w14:paraId="3FE82C4F"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19.48</w:t>
            </w:r>
          </w:p>
        </w:tc>
      </w:tr>
      <w:tr w:rsidR="004100DB" w:rsidRPr="004100DB" w14:paraId="4D12132C" w14:textId="77777777" w:rsidTr="009B2228">
        <w:trPr>
          <w:trHeight w:val="255"/>
        </w:trPr>
        <w:tc>
          <w:tcPr>
            <w:tcW w:w="2381" w:type="dxa"/>
            <w:tcBorders>
              <w:top w:val="single" w:sz="4" w:space="0" w:color="008000"/>
            </w:tcBorders>
            <w:shd w:val="clear" w:color="auto" w:fill="auto"/>
            <w:noWrap/>
            <w:vAlign w:val="center"/>
            <w:hideMark/>
          </w:tcPr>
          <w:p w14:paraId="0841ED53" w14:textId="17CF248E" w:rsidR="004100DB" w:rsidRPr="004100DB" w:rsidRDefault="004100DB" w:rsidP="009F122B">
            <w:pPr>
              <w:tabs>
                <w:tab w:val="clear" w:pos="7100"/>
              </w:tabs>
              <w:jc w:val="left"/>
              <w:rPr>
                <w:rFonts w:cs="Arial"/>
                <w:sz w:val="16"/>
                <w:szCs w:val="16"/>
                <w:lang w:val="en-US"/>
              </w:rPr>
            </w:pPr>
            <w:r w:rsidRPr="004100DB">
              <w:rPr>
                <w:rFonts w:cs="Arial"/>
                <w:sz w:val="16"/>
                <w:szCs w:val="16"/>
                <w:lang w:val="en-US"/>
              </w:rPr>
              <w:t>B1</w:t>
            </w:r>
            <w:r w:rsidRPr="004A12DF">
              <w:rPr>
                <w:rFonts w:cs="Arial"/>
                <w:sz w:val="16"/>
                <w:szCs w:val="16"/>
                <w:lang w:val="en-US"/>
              </w:rPr>
              <w:t>. Biorefinery</w:t>
            </w:r>
          </w:p>
        </w:tc>
        <w:tc>
          <w:tcPr>
            <w:tcW w:w="1644" w:type="dxa"/>
            <w:tcBorders>
              <w:top w:val="single" w:sz="4" w:space="0" w:color="008000"/>
            </w:tcBorders>
            <w:shd w:val="clear" w:color="auto" w:fill="auto"/>
            <w:noWrap/>
            <w:vAlign w:val="center"/>
            <w:hideMark/>
          </w:tcPr>
          <w:p w14:paraId="643A3AFA"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138.10</w:t>
            </w:r>
          </w:p>
        </w:tc>
        <w:tc>
          <w:tcPr>
            <w:tcW w:w="1757" w:type="dxa"/>
            <w:tcBorders>
              <w:top w:val="single" w:sz="4" w:space="0" w:color="008000"/>
            </w:tcBorders>
            <w:shd w:val="clear" w:color="auto" w:fill="auto"/>
            <w:noWrap/>
            <w:vAlign w:val="center"/>
            <w:hideMark/>
          </w:tcPr>
          <w:p w14:paraId="28F58102"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277.58</w:t>
            </w:r>
          </w:p>
        </w:tc>
        <w:tc>
          <w:tcPr>
            <w:tcW w:w="1644" w:type="dxa"/>
            <w:tcBorders>
              <w:top w:val="single" w:sz="4" w:space="0" w:color="008000"/>
            </w:tcBorders>
            <w:shd w:val="clear" w:color="auto" w:fill="auto"/>
            <w:noWrap/>
            <w:vAlign w:val="center"/>
            <w:hideMark/>
          </w:tcPr>
          <w:p w14:paraId="6D62EAB0"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0.50</w:t>
            </w:r>
          </w:p>
        </w:tc>
        <w:tc>
          <w:tcPr>
            <w:tcW w:w="1304" w:type="dxa"/>
            <w:tcBorders>
              <w:top w:val="single" w:sz="4" w:space="0" w:color="008000"/>
            </w:tcBorders>
            <w:shd w:val="clear" w:color="auto" w:fill="auto"/>
            <w:noWrap/>
            <w:vAlign w:val="center"/>
            <w:hideMark/>
          </w:tcPr>
          <w:p w14:paraId="06D24E4A"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20.09</w:t>
            </w:r>
          </w:p>
        </w:tc>
      </w:tr>
      <w:tr w:rsidR="004100DB" w:rsidRPr="004100DB" w14:paraId="6E6AD60B" w14:textId="77777777" w:rsidTr="009F122B">
        <w:trPr>
          <w:trHeight w:val="255"/>
        </w:trPr>
        <w:tc>
          <w:tcPr>
            <w:tcW w:w="2381" w:type="dxa"/>
            <w:shd w:val="clear" w:color="auto" w:fill="auto"/>
            <w:noWrap/>
            <w:vAlign w:val="center"/>
            <w:hideMark/>
          </w:tcPr>
          <w:p w14:paraId="497651DB" w14:textId="182E19D3" w:rsidR="004100DB" w:rsidRPr="004100DB" w:rsidRDefault="004100DB" w:rsidP="009F122B">
            <w:pPr>
              <w:tabs>
                <w:tab w:val="clear" w:pos="7100"/>
              </w:tabs>
              <w:jc w:val="left"/>
              <w:rPr>
                <w:rFonts w:cs="Arial"/>
                <w:sz w:val="16"/>
                <w:szCs w:val="16"/>
                <w:lang w:val="en-US"/>
              </w:rPr>
            </w:pPr>
            <w:r w:rsidRPr="004100DB">
              <w:rPr>
                <w:rFonts w:cs="Arial"/>
                <w:sz w:val="16"/>
                <w:szCs w:val="16"/>
                <w:lang w:val="en-US"/>
              </w:rPr>
              <w:t>B2</w:t>
            </w:r>
            <w:r w:rsidRPr="004A12DF">
              <w:rPr>
                <w:rFonts w:cs="Arial"/>
                <w:sz w:val="16"/>
                <w:szCs w:val="16"/>
                <w:lang w:val="en-US"/>
              </w:rPr>
              <w:t>. Livestock Feedlot</w:t>
            </w:r>
          </w:p>
        </w:tc>
        <w:tc>
          <w:tcPr>
            <w:tcW w:w="1644" w:type="dxa"/>
            <w:shd w:val="clear" w:color="auto" w:fill="auto"/>
            <w:noWrap/>
            <w:vAlign w:val="center"/>
            <w:hideMark/>
          </w:tcPr>
          <w:p w14:paraId="5B2F145A"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23.70</w:t>
            </w:r>
          </w:p>
        </w:tc>
        <w:tc>
          <w:tcPr>
            <w:tcW w:w="1757" w:type="dxa"/>
            <w:shd w:val="clear" w:color="auto" w:fill="auto"/>
            <w:noWrap/>
            <w:vAlign w:val="center"/>
            <w:hideMark/>
          </w:tcPr>
          <w:p w14:paraId="382C99B6"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17.36</w:t>
            </w:r>
          </w:p>
        </w:tc>
        <w:tc>
          <w:tcPr>
            <w:tcW w:w="1644" w:type="dxa"/>
            <w:shd w:val="clear" w:color="auto" w:fill="auto"/>
            <w:noWrap/>
            <w:vAlign w:val="center"/>
            <w:hideMark/>
          </w:tcPr>
          <w:p w14:paraId="2211ACDE"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1.36</w:t>
            </w:r>
          </w:p>
        </w:tc>
        <w:tc>
          <w:tcPr>
            <w:tcW w:w="1304" w:type="dxa"/>
            <w:shd w:val="clear" w:color="auto" w:fill="auto"/>
            <w:noWrap/>
            <w:vAlign w:val="center"/>
            <w:hideMark/>
          </w:tcPr>
          <w:p w14:paraId="1B217AA5"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30.08</w:t>
            </w:r>
          </w:p>
        </w:tc>
      </w:tr>
      <w:tr w:rsidR="004100DB" w:rsidRPr="004100DB" w14:paraId="18D85858" w14:textId="77777777" w:rsidTr="000C04D9">
        <w:trPr>
          <w:trHeight w:val="255"/>
        </w:trPr>
        <w:tc>
          <w:tcPr>
            <w:tcW w:w="2381" w:type="dxa"/>
            <w:tcBorders>
              <w:bottom w:val="single" w:sz="12" w:space="0" w:color="008000"/>
            </w:tcBorders>
            <w:shd w:val="clear" w:color="auto" w:fill="DDF1DF"/>
            <w:noWrap/>
            <w:vAlign w:val="center"/>
            <w:hideMark/>
          </w:tcPr>
          <w:p w14:paraId="13A2567D" w14:textId="6B017AEB" w:rsidR="004100DB" w:rsidRPr="004100DB" w:rsidRDefault="004100DB" w:rsidP="009F122B">
            <w:pPr>
              <w:tabs>
                <w:tab w:val="clear" w:pos="7100"/>
              </w:tabs>
              <w:jc w:val="left"/>
              <w:rPr>
                <w:rFonts w:cs="Arial"/>
                <w:sz w:val="16"/>
                <w:szCs w:val="16"/>
                <w:lang w:val="en-US"/>
              </w:rPr>
            </w:pPr>
            <w:r w:rsidRPr="004100DB">
              <w:rPr>
                <w:rFonts w:cs="Arial"/>
                <w:sz w:val="16"/>
                <w:szCs w:val="16"/>
                <w:lang w:val="en-US"/>
              </w:rPr>
              <w:t>B</w:t>
            </w:r>
            <w:r w:rsidRPr="004A12DF">
              <w:rPr>
                <w:rFonts w:cs="Arial"/>
                <w:sz w:val="16"/>
                <w:szCs w:val="16"/>
                <w:lang w:val="en-US"/>
              </w:rPr>
              <w:t xml:space="preserve">. </w:t>
            </w:r>
            <w:r w:rsidR="000C02DE">
              <w:rPr>
                <w:rFonts w:cs="Arial"/>
                <w:sz w:val="16"/>
                <w:szCs w:val="16"/>
                <w:lang w:val="en-US"/>
              </w:rPr>
              <w:t>I</w:t>
            </w:r>
            <w:r w:rsidRPr="004A12DF">
              <w:rPr>
                <w:rFonts w:cs="Arial"/>
                <w:sz w:val="16"/>
                <w:szCs w:val="16"/>
                <w:lang w:val="en-US"/>
              </w:rPr>
              <w:t>ntegration</w:t>
            </w:r>
          </w:p>
        </w:tc>
        <w:tc>
          <w:tcPr>
            <w:tcW w:w="1644" w:type="dxa"/>
            <w:tcBorders>
              <w:bottom w:val="single" w:sz="12" w:space="0" w:color="008000"/>
            </w:tcBorders>
            <w:shd w:val="clear" w:color="auto" w:fill="DDF1DF"/>
            <w:noWrap/>
            <w:vAlign w:val="center"/>
            <w:hideMark/>
          </w:tcPr>
          <w:p w14:paraId="55DCC1DD"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161.80</w:t>
            </w:r>
          </w:p>
        </w:tc>
        <w:tc>
          <w:tcPr>
            <w:tcW w:w="1757" w:type="dxa"/>
            <w:tcBorders>
              <w:bottom w:val="single" w:sz="12" w:space="0" w:color="008000"/>
            </w:tcBorders>
            <w:shd w:val="clear" w:color="auto" w:fill="DDF1DF"/>
            <w:noWrap/>
            <w:vAlign w:val="center"/>
            <w:hideMark/>
          </w:tcPr>
          <w:p w14:paraId="11062DEE"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294.94</w:t>
            </w:r>
          </w:p>
        </w:tc>
        <w:tc>
          <w:tcPr>
            <w:tcW w:w="1644" w:type="dxa"/>
            <w:tcBorders>
              <w:bottom w:val="single" w:sz="12" w:space="0" w:color="008000"/>
            </w:tcBorders>
            <w:shd w:val="clear" w:color="auto" w:fill="DDF1DF"/>
            <w:noWrap/>
            <w:vAlign w:val="center"/>
            <w:hideMark/>
          </w:tcPr>
          <w:p w14:paraId="351CB37E"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0.55</w:t>
            </w:r>
          </w:p>
        </w:tc>
        <w:tc>
          <w:tcPr>
            <w:tcW w:w="1304" w:type="dxa"/>
            <w:tcBorders>
              <w:bottom w:val="single" w:sz="12" w:space="0" w:color="008000"/>
            </w:tcBorders>
            <w:shd w:val="clear" w:color="auto" w:fill="DDF1DF"/>
            <w:noWrap/>
            <w:vAlign w:val="center"/>
            <w:hideMark/>
          </w:tcPr>
          <w:p w14:paraId="291EACCF" w14:textId="77777777" w:rsidR="004100DB" w:rsidRPr="004100DB" w:rsidRDefault="004100DB" w:rsidP="009F122B">
            <w:pPr>
              <w:tabs>
                <w:tab w:val="clear" w:pos="7100"/>
              </w:tabs>
              <w:jc w:val="left"/>
              <w:rPr>
                <w:rFonts w:cs="Arial"/>
                <w:color w:val="000000"/>
                <w:sz w:val="16"/>
                <w:szCs w:val="16"/>
                <w:lang w:val="en-US"/>
              </w:rPr>
            </w:pPr>
            <w:r w:rsidRPr="004100DB">
              <w:rPr>
                <w:rFonts w:cs="Arial"/>
                <w:color w:val="000000"/>
                <w:sz w:val="16"/>
                <w:szCs w:val="16"/>
                <w:lang w:val="en-US"/>
              </w:rPr>
              <w:t>20.85</w:t>
            </w:r>
          </w:p>
        </w:tc>
      </w:tr>
    </w:tbl>
    <w:p w14:paraId="666FB732" w14:textId="77777777" w:rsidR="00FD0EA8" w:rsidRDefault="00FD0EA8" w:rsidP="009F122B">
      <w:pPr>
        <w:pStyle w:val="CETBodytext"/>
        <w:spacing w:after="120"/>
      </w:pPr>
    </w:p>
    <w:p w14:paraId="11D7B0A1" w14:textId="5F32DDD8" w:rsidR="0049547A" w:rsidRDefault="00FD0EA8" w:rsidP="009F122B">
      <w:pPr>
        <w:pStyle w:val="CETBodytext"/>
      </w:pPr>
      <w:r w:rsidRPr="00FD0EA8">
        <w:t>The decision between a system with or without integration heavily depends on the parameters considered in the study. It is observed that NPV/CAPEX is inversely proportional to the land rent for both systems, as expected (Figure 3-I). The lines for systems (A) and (B) intersect at 258 US$</w:t>
      </w:r>
      <w:r w:rsidR="0049547A">
        <w:t xml:space="preserve"> </w:t>
      </w:r>
      <w:proofErr w:type="gramStart"/>
      <w:r w:rsidRPr="00FD0EA8">
        <w:t>ha</w:t>
      </w:r>
      <w:r w:rsidR="00F654C6" w:rsidRPr="00F654C6">
        <w:rPr>
          <w:vertAlign w:val="superscript"/>
        </w:rPr>
        <w:t>-1</w:t>
      </w:r>
      <w:proofErr w:type="gramEnd"/>
      <w:r w:rsidRPr="00FD0EA8">
        <w:t xml:space="preserve">, indicating that for </w:t>
      </w:r>
      <w:r w:rsidR="00F654C6">
        <w:t xml:space="preserve">lower </w:t>
      </w:r>
      <w:r w:rsidRPr="00FD0EA8">
        <w:t>values</w:t>
      </w:r>
      <w:r w:rsidR="00F654C6">
        <w:t xml:space="preserve">, </w:t>
      </w:r>
      <w:r w:rsidRPr="00FD0EA8">
        <w:t xml:space="preserve">the economically preferable decision is not to integrate sugarcane and livestock production. In contrast, for values </w:t>
      </w:r>
      <w:r w:rsidR="00F654C6">
        <w:t>higher than 258 US$</w:t>
      </w:r>
      <w:r w:rsidR="002A46CA">
        <w:t xml:space="preserve"> </w:t>
      </w:r>
      <w:r w:rsidR="00F654C6">
        <w:t>ha</w:t>
      </w:r>
      <w:r w:rsidR="00F654C6">
        <w:rPr>
          <w:vertAlign w:val="superscript"/>
        </w:rPr>
        <w:t>-1</w:t>
      </w:r>
      <w:r w:rsidRPr="00FD0EA8">
        <w:t xml:space="preserve">, integration becomes economically attractive. This decision value for land rent varies with other parameters, such as stocking rate (Figure 3-II). </w:t>
      </w:r>
      <w:r w:rsidRPr="002D2D8F">
        <w:t>The 258 US$</w:t>
      </w:r>
      <w:r w:rsidR="00F654C6" w:rsidRPr="002D2D8F">
        <w:t>.</w:t>
      </w:r>
      <w:r w:rsidRPr="002D2D8F">
        <w:t>ha</w:t>
      </w:r>
      <w:r w:rsidR="00F654C6" w:rsidRPr="002D2D8F">
        <w:rPr>
          <w:vertAlign w:val="superscript"/>
        </w:rPr>
        <w:t>-1</w:t>
      </w:r>
      <w:r w:rsidRPr="002D2D8F">
        <w:t xml:space="preserve"> value corresponds to a stocking rate of 4 heads</w:t>
      </w:r>
      <w:r w:rsidR="0049547A">
        <w:t xml:space="preserve"> </w:t>
      </w:r>
      <w:r w:rsidRPr="002D2D8F">
        <w:t>ha</w:t>
      </w:r>
      <w:r w:rsidRPr="002D2D8F">
        <w:rPr>
          <w:vertAlign w:val="superscript"/>
        </w:rPr>
        <w:t>-1</w:t>
      </w:r>
      <w:r w:rsidRPr="002D2D8F">
        <w:t xml:space="preserve">, which was optimized in the study. However, </w:t>
      </w:r>
      <w:r w:rsidR="002D2D8F" w:rsidRPr="002D2D8F">
        <w:t>for low stocking rates, integration becomes favorable for even lower land rental values</w:t>
      </w:r>
      <w:r w:rsidR="002D2D8F">
        <w:t>.</w:t>
      </w:r>
    </w:p>
    <w:p w14:paraId="4923A463" w14:textId="77777777" w:rsidR="00FD0EA8" w:rsidRDefault="00FD0EA8" w:rsidP="009F122B">
      <w:pPr>
        <w:pStyle w:val="CETBodytext"/>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C624C8" w14:paraId="649BE7A6" w14:textId="77777777" w:rsidTr="00E02310">
        <w:tc>
          <w:tcPr>
            <w:tcW w:w="8787" w:type="dxa"/>
          </w:tcPr>
          <w:p w14:paraId="588E428C" w14:textId="36CE134B" w:rsidR="00C624C8" w:rsidRPr="008075C4" w:rsidRDefault="008075C4" w:rsidP="008075C4">
            <w:pPr>
              <w:tabs>
                <w:tab w:val="clear" w:pos="7100"/>
              </w:tabs>
              <w:spacing w:before="100" w:beforeAutospacing="1" w:after="100" w:afterAutospacing="1" w:line="240" w:lineRule="auto"/>
              <w:jc w:val="left"/>
              <w:rPr>
                <w:rFonts w:ascii="Times New Roman" w:hAnsi="Times New Roman"/>
                <w:sz w:val="24"/>
                <w:szCs w:val="24"/>
                <w:lang w:val="pt-BR" w:eastAsia="pt-BR"/>
              </w:rPr>
            </w:pPr>
            <w:r w:rsidRPr="008075C4">
              <w:rPr>
                <w:rFonts w:ascii="Times New Roman" w:hAnsi="Times New Roman"/>
                <w:noProof/>
                <w:sz w:val="24"/>
                <w:szCs w:val="24"/>
                <w:lang w:val="pt-BR" w:eastAsia="pt-BR"/>
              </w:rPr>
              <w:drawing>
                <wp:inline distT="0" distB="0" distL="0" distR="0" wp14:anchorId="0AEE8433" wp14:editId="026422D3">
                  <wp:extent cx="5579745" cy="2392045"/>
                  <wp:effectExtent l="0" t="0" r="1905" b="8255"/>
                  <wp:docPr id="30992655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9745" cy="2392045"/>
                          </a:xfrm>
                          <a:prstGeom prst="rect">
                            <a:avLst/>
                          </a:prstGeom>
                          <a:noFill/>
                          <a:ln>
                            <a:noFill/>
                          </a:ln>
                        </pic:spPr>
                      </pic:pic>
                    </a:graphicData>
                  </a:graphic>
                </wp:inline>
              </w:drawing>
            </w:r>
          </w:p>
        </w:tc>
      </w:tr>
      <w:tr w:rsidR="00C624C8" w14:paraId="05A0883A" w14:textId="77777777" w:rsidTr="00E02310">
        <w:tc>
          <w:tcPr>
            <w:tcW w:w="8787" w:type="dxa"/>
          </w:tcPr>
          <w:p w14:paraId="4C12BB19" w14:textId="43EB58AE" w:rsidR="009C70AD" w:rsidRPr="009F122B" w:rsidRDefault="00C624C8" w:rsidP="009F122B">
            <w:pPr>
              <w:pStyle w:val="CETBodytext"/>
              <w:rPr>
                <w:i/>
                <w:iCs/>
                <w:sz w:val="16"/>
                <w:szCs w:val="18"/>
                <w:lang w:val="en-GB"/>
              </w:rPr>
            </w:pPr>
            <w:r w:rsidRPr="00065C77">
              <w:rPr>
                <w:i/>
                <w:iCs/>
                <w:lang w:val="en-GB"/>
              </w:rPr>
              <w:t>Figure 3.</w:t>
            </w:r>
            <w:r w:rsidRPr="00065C77">
              <w:rPr>
                <w:i/>
                <w:iCs/>
              </w:rPr>
              <w:t xml:space="preserve"> </w:t>
            </w:r>
            <w:r w:rsidRPr="00065C77">
              <w:rPr>
                <w:i/>
                <w:iCs/>
                <w:lang w:val="en-GB"/>
              </w:rPr>
              <w:t xml:space="preserve"> </w:t>
            </w:r>
            <w:r w:rsidR="00C02EB6" w:rsidRPr="00C02EB6">
              <w:rPr>
                <w:i/>
                <w:iCs/>
                <w:lang w:val="en-GB"/>
              </w:rPr>
              <w:t xml:space="preserve">Sensitivity analysis of land </w:t>
            </w:r>
            <w:r w:rsidR="00C02EB6">
              <w:rPr>
                <w:i/>
                <w:iCs/>
                <w:lang w:val="en-GB"/>
              </w:rPr>
              <w:t>rent</w:t>
            </w:r>
            <w:r w:rsidR="00C02EB6" w:rsidRPr="00C02EB6">
              <w:rPr>
                <w:i/>
                <w:iCs/>
                <w:lang w:val="en-GB"/>
              </w:rPr>
              <w:t xml:space="preserve"> on NPV/</w:t>
            </w:r>
            <w:r w:rsidR="00C02EB6">
              <w:rPr>
                <w:i/>
                <w:iCs/>
                <w:lang w:val="en-GB"/>
              </w:rPr>
              <w:t>CAPEX</w:t>
            </w:r>
            <w:r w:rsidR="0058733C">
              <w:rPr>
                <w:i/>
                <w:iCs/>
                <w:lang w:val="en-GB"/>
              </w:rPr>
              <w:t xml:space="preserve"> (I)</w:t>
            </w:r>
            <w:r w:rsidR="00C02EB6">
              <w:rPr>
                <w:i/>
                <w:iCs/>
                <w:lang w:val="en-GB"/>
              </w:rPr>
              <w:t xml:space="preserve"> </w:t>
            </w:r>
            <w:r w:rsidR="00C02EB6" w:rsidRPr="00C02EB6">
              <w:rPr>
                <w:i/>
                <w:iCs/>
                <w:lang w:val="en-GB"/>
              </w:rPr>
              <w:t>and stocking rate</w:t>
            </w:r>
            <w:r w:rsidR="0058733C">
              <w:rPr>
                <w:i/>
                <w:iCs/>
                <w:lang w:val="en-GB"/>
              </w:rPr>
              <w:t xml:space="preserve"> (II)</w:t>
            </w:r>
            <w:r w:rsidR="00C02EB6" w:rsidRPr="00C02EB6">
              <w:rPr>
                <w:i/>
                <w:iCs/>
                <w:lang w:val="en-GB"/>
              </w:rPr>
              <w:t>.</w:t>
            </w:r>
          </w:p>
        </w:tc>
      </w:tr>
    </w:tbl>
    <w:p w14:paraId="200DC8CD" w14:textId="77777777" w:rsidR="0049547A" w:rsidRDefault="0049547A" w:rsidP="009F122B">
      <w:pPr>
        <w:pStyle w:val="CETBodytext"/>
        <w:rPr>
          <w:bCs/>
          <w:szCs w:val="18"/>
          <w:lang w:val="en-GB"/>
        </w:rPr>
      </w:pPr>
    </w:p>
    <w:p w14:paraId="5E0266A7" w14:textId="77777777" w:rsidR="000B7624" w:rsidRDefault="000B7624" w:rsidP="009F122B">
      <w:pPr>
        <w:pStyle w:val="CETBodytext"/>
        <w:rPr>
          <w:bCs/>
          <w:szCs w:val="18"/>
          <w:lang w:val="en-GB"/>
        </w:rPr>
      </w:pPr>
    </w:p>
    <w:p w14:paraId="353E4EF5" w14:textId="09849CAA" w:rsidR="009F122B" w:rsidRPr="009F122B" w:rsidRDefault="000B7624" w:rsidP="009F122B">
      <w:pPr>
        <w:pStyle w:val="CETBodytext"/>
        <w:rPr>
          <w:lang w:val="en-GB"/>
        </w:rPr>
      </w:pPr>
      <w:r w:rsidRPr="000B7624">
        <w:rPr>
          <w:bCs/>
          <w:szCs w:val="18"/>
          <w:lang w:val="en-GB"/>
        </w:rPr>
        <w:t xml:space="preserve">A sensitivity analysis was also carried out on ethanol and beef prices. The </w:t>
      </w:r>
      <w:proofErr w:type="spellStart"/>
      <w:r w:rsidRPr="000B7624">
        <w:rPr>
          <w:bCs/>
          <w:szCs w:val="18"/>
          <w:lang w:val="en-GB"/>
        </w:rPr>
        <w:t>behavior</w:t>
      </w:r>
      <w:proofErr w:type="spellEnd"/>
      <w:r w:rsidRPr="000B7624">
        <w:rPr>
          <w:bCs/>
          <w:szCs w:val="18"/>
          <w:lang w:val="en-GB"/>
        </w:rPr>
        <w:t xml:space="preserve"> of the curves was </w:t>
      </w:r>
      <w:proofErr w:type="gramStart"/>
      <w:r w:rsidRPr="000B7624">
        <w:rPr>
          <w:bCs/>
          <w:szCs w:val="18"/>
          <w:lang w:val="en-GB"/>
        </w:rPr>
        <w:t>similar to</w:t>
      </w:r>
      <w:proofErr w:type="gramEnd"/>
      <w:r w:rsidRPr="000B7624">
        <w:rPr>
          <w:bCs/>
          <w:szCs w:val="18"/>
          <w:lang w:val="en-GB"/>
        </w:rPr>
        <w:t xml:space="preserve"> that of land </w:t>
      </w:r>
      <w:r w:rsidR="00D52757">
        <w:rPr>
          <w:bCs/>
          <w:szCs w:val="18"/>
          <w:lang w:val="en-GB"/>
        </w:rPr>
        <w:t>rent</w:t>
      </w:r>
      <w:r w:rsidRPr="000B7624">
        <w:rPr>
          <w:bCs/>
          <w:szCs w:val="18"/>
          <w:lang w:val="en-GB"/>
        </w:rPr>
        <w:t xml:space="preserve"> (Figure 3.I), but the slope of the curves </w:t>
      </w:r>
      <w:r w:rsidR="00F64C5A">
        <w:rPr>
          <w:bCs/>
          <w:szCs w:val="18"/>
          <w:lang w:val="en-GB"/>
        </w:rPr>
        <w:t>is</w:t>
      </w:r>
      <w:r w:rsidRPr="000B7624">
        <w:rPr>
          <w:bCs/>
          <w:szCs w:val="18"/>
          <w:lang w:val="en-GB"/>
        </w:rPr>
        <w:t xml:space="preserve"> closer. This shows that these parameters have less influence on the systems when compared to land </w:t>
      </w:r>
      <w:r w:rsidR="00D52757">
        <w:rPr>
          <w:bCs/>
          <w:szCs w:val="18"/>
          <w:lang w:val="en-GB"/>
        </w:rPr>
        <w:t>rent</w:t>
      </w:r>
      <w:r w:rsidRPr="000B7624">
        <w:rPr>
          <w:bCs/>
          <w:szCs w:val="18"/>
          <w:lang w:val="en-GB"/>
        </w:rPr>
        <w:t>.</w:t>
      </w:r>
    </w:p>
    <w:p w14:paraId="1D275AB8" w14:textId="6CA7CD1B" w:rsidR="009B7A28" w:rsidRPr="00FD0EA8" w:rsidRDefault="00600535" w:rsidP="009F122B">
      <w:pPr>
        <w:pStyle w:val="CETHeading1"/>
        <w:spacing w:line="264" w:lineRule="auto"/>
        <w:rPr>
          <w:lang w:val="en-GB"/>
        </w:rPr>
      </w:pPr>
      <w:r w:rsidRPr="00B57B36">
        <w:rPr>
          <w:lang w:val="en-GB"/>
        </w:rPr>
        <w:lastRenderedPageBreak/>
        <w:t>Conclusions</w:t>
      </w:r>
    </w:p>
    <w:p w14:paraId="5442F17D" w14:textId="4D2CD597" w:rsidR="00F654C6" w:rsidRDefault="00F654C6" w:rsidP="00BF1D75">
      <w:pPr>
        <w:pStyle w:val="CETAcknowledgementstitle"/>
        <w:spacing w:after="240" w:line="264" w:lineRule="auto"/>
        <w:jc w:val="both"/>
        <w:rPr>
          <w:b w:val="0"/>
          <w:lang w:val="en-US"/>
        </w:rPr>
      </w:pPr>
      <w:r w:rsidRPr="00F654C6">
        <w:rPr>
          <w:b w:val="0"/>
          <w:lang w:val="en-US"/>
        </w:rPr>
        <w:t xml:space="preserve">In this study, it was possible to model and optimize different systems, considering both integrated and non-integrated configurations between ethanol production and beef cattle farming. The approach developed here is valuable in identifying economically advantageous conditions for integrating biorefinery and livestock farming. Furthermore, the proposed methodology can be applied to investigate other </w:t>
      </w:r>
      <w:r w:rsidR="00EC1510" w:rsidRPr="00EC1510">
        <w:rPr>
          <w:b w:val="0"/>
          <w:lang w:val="en-US"/>
        </w:rPr>
        <w:t>bioenergy production systems</w:t>
      </w:r>
      <w:r w:rsidRPr="00F654C6">
        <w:rPr>
          <w:b w:val="0"/>
          <w:lang w:val="en-US"/>
        </w:rPr>
        <w:t>, such as corn-based, and explore potential interconnections between livestock and ethanol production systems. Considering the assumptions adopted in this study, it was observed that the system with integration presents better economic results</w:t>
      </w:r>
      <w:r w:rsidR="00E02310">
        <w:rPr>
          <w:b w:val="0"/>
          <w:lang w:val="en-US"/>
        </w:rPr>
        <w:t xml:space="preserve">, using half area and </w:t>
      </w:r>
      <w:r w:rsidR="00E02310" w:rsidRPr="00E02310">
        <w:rPr>
          <w:b w:val="0"/>
          <w:lang w:val="en-US"/>
        </w:rPr>
        <w:t xml:space="preserve">maintaining the </w:t>
      </w:r>
      <w:r w:rsidR="00EC1510" w:rsidRPr="00EC1510">
        <w:rPr>
          <w:b w:val="0"/>
          <w:lang w:val="en-US"/>
        </w:rPr>
        <w:t>system's production</w:t>
      </w:r>
      <w:r w:rsidR="00EC1510">
        <w:rPr>
          <w:b w:val="0"/>
          <w:lang w:val="en-US"/>
        </w:rPr>
        <w:t xml:space="preserve"> </w:t>
      </w:r>
      <w:r w:rsidR="00E02310">
        <w:rPr>
          <w:b w:val="0"/>
          <w:lang w:val="en-US"/>
        </w:rPr>
        <w:t>without integration</w:t>
      </w:r>
      <w:r w:rsidRPr="00F654C6">
        <w:rPr>
          <w:b w:val="0"/>
          <w:lang w:val="en-US"/>
        </w:rPr>
        <w:t>.</w:t>
      </w:r>
      <w:r w:rsidR="00C13991">
        <w:rPr>
          <w:b w:val="0"/>
          <w:lang w:val="en-US"/>
        </w:rPr>
        <w:t xml:space="preserve"> </w:t>
      </w:r>
      <w:r w:rsidRPr="00F654C6">
        <w:rPr>
          <w:b w:val="0"/>
          <w:lang w:val="en-US"/>
        </w:rPr>
        <w:t>It is important to emphasize that the environmental assessment of the integrated system requires attention. Environmental optimization, aiming to minimize emissions, and even a multicriteria approach provide relevant analyses that can be explored in future research.</w:t>
      </w:r>
    </w:p>
    <w:p w14:paraId="459D05E6" w14:textId="40B3FECE" w:rsidR="00600535" w:rsidRPr="00B57B36" w:rsidRDefault="00600535" w:rsidP="009F122B">
      <w:pPr>
        <w:pStyle w:val="CETAcknowledgementstitle"/>
        <w:spacing w:line="264" w:lineRule="auto"/>
      </w:pPr>
      <w:r w:rsidRPr="00B57B36">
        <w:t>Acknowledgments</w:t>
      </w:r>
    </w:p>
    <w:p w14:paraId="2BAB8F9F" w14:textId="3BF57FE9" w:rsidR="003715FF" w:rsidRPr="009E53D9" w:rsidRDefault="003715FF" w:rsidP="00BF1D75">
      <w:pPr>
        <w:pStyle w:val="CETBodytext"/>
        <w:spacing w:after="240"/>
      </w:pPr>
      <w:r w:rsidRPr="009E53D9">
        <w:t xml:space="preserve">The authors gratefully acknowledge the financial support received from FAPESP (Grant No: 2017/11523-5) and </w:t>
      </w:r>
      <w:proofErr w:type="spellStart"/>
      <w:r w:rsidRPr="009E53D9">
        <w:t>CNPq</w:t>
      </w:r>
      <w:proofErr w:type="spellEnd"/>
      <w:r w:rsidRPr="009E53D9">
        <w:t xml:space="preserve"> (Grant No: 140029/2022-2). Additionally, we extend our appreciation to </w:t>
      </w:r>
      <w:proofErr w:type="spellStart"/>
      <w:r w:rsidRPr="009E53D9">
        <w:t>Embrapa</w:t>
      </w:r>
      <w:proofErr w:type="spellEnd"/>
      <w:r w:rsidRPr="009E53D9">
        <w:t xml:space="preserve"> </w:t>
      </w:r>
      <w:proofErr w:type="spellStart"/>
      <w:r w:rsidRPr="009E53D9">
        <w:t>Pecuária</w:t>
      </w:r>
      <w:proofErr w:type="spellEnd"/>
      <w:r w:rsidRPr="009E53D9">
        <w:t xml:space="preserve"> </w:t>
      </w:r>
      <w:proofErr w:type="spellStart"/>
      <w:r w:rsidRPr="009E53D9">
        <w:t>Sudeste</w:t>
      </w:r>
      <w:proofErr w:type="spellEnd"/>
      <w:r w:rsidRPr="009E53D9">
        <w:t xml:space="preserve"> for their invaluable contributions and support in successfully executing this research project.</w:t>
      </w:r>
    </w:p>
    <w:p w14:paraId="3D8572C1" w14:textId="46E1EAFA" w:rsidR="00260B9B" w:rsidRPr="00C93623" w:rsidRDefault="00600535" w:rsidP="00982128">
      <w:pPr>
        <w:pStyle w:val="CETReference"/>
        <w:spacing w:after="240" w:line="264" w:lineRule="auto"/>
        <w:rPr>
          <w:lang w:val="pt-BR"/>
        </w:rPr>
      </w:pPr>
      <w:proofErr w:type="spellStart"/>
      <w:r w:rsidRPr="00C93623">
        <w:rPr>
          <w:lang w:val="pt-BR"/>
        </w:rPr>
        <w:t>References</w:t>
      </w:r>
      <w:proofErr w:type="spellEnd"/>
    </w:p>
    <w:p w14:paraId="4554EFD1" w14:textId="77777777" w:rsidR="00702B5C" w:rsidRPr="00DC6A6A" w:rsidRDefault="00702B5C" w:rsidP="00702B5C">
      <w:pPr>
        <w:pStyle w:val="CETReferencetext"/>
        <w:spacing w:after="60"/>
        <w:rPr>
          <w:lang w:val="pt-BR"/>
        </w:rPr>
      </w:pPr>
      <w:r w:rsidRPr="0003490F">
        <w:rPr>
          <w:lang w:val="pt-BR"/>
        </w:rPr>
        <w:t xml:space="preserve">ANP - Agência Nacional de Petróleo, Gás Natural e Biocombustíveis. </w:t>
      </w:r>
      <w:proofErr w:type="spellStart"/>
      <w:r w:rsidRPr="00DE32DE">
        <w:rPr>
          <w:lang w:val="pt-BR"/>
        </w:rPr>
        <w:t>Biofuel</w:t>
      </w:r>
      <w:proofErr w:type="spellEnd"/>
      <w:r w:rsidRPr="00DE32DE">
        <w:rPr>
          <w:lang w:val="pt-BR"/>
        </w:rPr>
        <w:t xml:space="preserve"> </w:t>
      </w:r>
      <w:proofErr w:type="spellStart"/>
      <w:r w:rsidRPr="00DE32DE">
        <w:rPr>
          <w:lang w:val="pt-BR"/>
        </w:rPr>
        <w:t>production</w:t>
      </w:r>
      <w:proofErr w:type="spellEnd"/>
      <w:r w:rsidRPr="00DE32DE">
        <w:rPr>
          <w:lang w:val="pt-BR"/>
        </w:rPr>
        <w:t xml:space="preserve"> </w:t>
      </w:r>
      <w:r>
        <w:rPr>
          <w:lang w:val="pt-BR"/>
        </w:rPr>
        <w:t xml:space="preserve">– </w:t>
      </w:r>
      <w:proofErr w:type="spellStart"/>
      <w:r>
        <w:rPr>
          <w:lang w:val="pt-BR"/>
        </w:rPr>
        <w:t>RenovaBio</w:t>
      </w:r>
      <w:proofErr w:type="spellEnd"/>
      <w:r>
        <w:rPr>
          <w:lang w:val="pt-BR"/>
        </w:rPr>
        <w:t xml:space="preserve"> (In </w:t>
      </w:r>
      <w:proofErr w:type="spellStart"/>
      <w:r>
        <w:rPr>
          <w:lang w:val="pt-BR"/>
        </w:rPr>
        <w:t>portuguese</w:t>
      </w:r>
      <w:proofErr w:type="spellEnd"/>
      <w:r>
        <w:rPr>
          <w:lang w:val="pt-BR"/>
        </w:rPr>
        <w:t xml:space="preserve">: </w:t>
      </w:r>
      <w:r w:rsidRPr="0003490F">
        <w:rPr>
          <w:lang w:val="pt-BR"/>
        </w:rPr>
        <w:t>Produção de Biocombustíveis</w:t>
      </w:r>
      <w:r>
        <w:rPr>
          <w:lang w:val="pt-BR"/>
        </w:rPr>
        <w:t xml:space="preserve"> -</w:t>
      </w:r>
      <w:r w:rsidRPr="0003490F">
        <w:rPr>
          <w:lang w:val="pt-BR"/>
        </w:rPr>
        <w:t xml:space="preserve"> </w:t>
      </w:r>
      <w:proofErr w:type="spellStart"/>
      <w:r w:rsidRPr="0003490F">
        <w:rPr>
          <w:lang w:val="pt-BR"/>
        </w:rPr>
        <w:t>RenovaBio</w:t>
      </w:r>
      <w:proofErr w:type="spellEnd"/>
      <w:r w:rsidRPr="0003490F">
        <w:rPr>
          <w:lang w:val="pt-BR"/>
        </w:rPr>
        <w:t xml:space="preserve">. </w:t>
      </w:r>
      <w:r w:rsidRPr="00DC6A6A">
        <w:rPr>
          <w:lang w:val="pt-BR"/>
        </w:rPr>
        <w:t xml:space="preserve">&lt; https://www.gov.br/anp/pt-br/assuntos/renovabio&gt; </w:t>
      </w:r>
      <w:proofErr w:type="spellStart"/>
      <w:r w:rsidRPr="00DC6A6A">
        <w:rPr>
          <w:lang w:val="pt-BR"/>
        </w:rPr>
        <w:t>accessed</w:t>
      </w:r>
      <w:proofErr w:type="spellEnd"/>
      <w:r w:rsidRPr="00DC6A6A">
        <w:rPr>
          <w:lang w:val="pt-BR"/>
        </w:rPr>
        <w:t xml:space="preserve"> 01.11.2023.</w:t>
      </w:r>
    </w:p>
    <w:p w14:paraId="6680F373" w14:textId="3F06CC81" w:rsidR="00702B5C" w:rsidRPr="00382251" w:rsidRDefault="00702B5C" w:rsidP="00702B5C">
      <w:pPr>
        <w:pStyle w:val="CETReferencetext"/>
        <w:spacing w:after="60"/>
      </w:pPr>
      <w:proofErr w:type="spellStart"/>
      <w:r w:rsidRPr="00382251">
        <w:t>Boddey</w:t>
      </w:r>
      <w:proofErr w:type="spellEnd"/>
      <w:r w:rsidRPr="00382251">
        <w:t xml:space="preserve"> R.M., Macedo R., </w:t>
      </w:r>
      <w:proofErr w:type="spellStart"/>
      <w:r w:rsidRPr="00382251">
        <w:t>Tarré</w:t>
      </w:r>
      <w:proofErr w:type="spellEnd"/>
      <w:r w:rsidRPr="00382251">
        <w:t xml:space="preserve"> R.M., Ferreira E., De Oliveira O.C., Rezende C., </w:t>
      </w:r>
      <w:proofErr w:type="spellStart"/>
      <w:r w:rsidRPr="00382251">
        <w:t>Cantarutti</w:t>
      </w:r>
      <w:proofErr w:type="spellEnd"/>
      <w:r w:rsidRPr="00382251">
        <w:t xml:space="preserve"> R.B., Pereira J.M., Alves B.J.R., Urquiaga S.</w:t>
      </w:r>
      <w:r>
        <w:t xml:space="preserve">, </w:t>
      </w:r>
      <w:r w:rsidRPr="00382251">
        <w:t xml:space="preserve">2004, Nitrogen cycling in </w:t>
      </w:r>
      <w:proofErr w:type="spellStart"/>
      <w:r w:rsidRPr="00382251">
        <w:t>Brachiaria</w:t>
      </w:r>
      <w:proofErr w:type="spellEnd"/>
      <w:r w:rsidRPr="00382251">
        <w:t xml:space="preserve"> pastures: the key to understanding the process of pasture decline, Agriculture, Ecosystems &amp; Environment, </w:t>
      </w:r>
      <w:r w:rsidR="00C02EB6">
        <w:t xml:space="preserve">v. </w:t>
      </w:r>
      <w:r w:rsidRPr="00382251">
        <w:t>103</w:t>
      </w:r>
      <w:r w:rsidR="00C02EB6">
        <w:t>(</w:t>
      </w:r>
      <w:r w:rsidRPr="00382251">
        <w:t>2</w:t>
      </w:r>
      <w:r w:rsidR="00C02EB6">
        <w:t>)</w:t>
      </w:r>
      <w:r w:rsidRPr="00382251">
        <w:t>, doi.org/10.1016/j.agee.2003.12.010.</w:t>
      </w:r>
    </w:p>
    <w:p w14:paraId="7C086A66" w14:textId="77777777" w:rsidR="00702B5C" w:rsidRPr="0003490F" w:rsidRDefault="00702B5C" w:rsidP="00702B5C">
      <w:pPr>
        <w:pStyle w:val="CETReferencetext"/>
        <w:spacing w:after="60"/>
      </w:pPr>
      <w:r w:rsidRPr="0003490F">
        <w:t xml:space="preserve">Bonomi, A., </w:t>
      </w:r>
      <w:proofErr w:type="spellStart"/>
      <w:r w:rsidRPr="0003490F">
        <w:t>Cavalett</w:t>
      </w:r>
      <w:proofErr w:type="spellEnd"/>
      <w:r w:rsidRPr="0003490F">
        <w:t xml:space="preserve">, O., Cunha, M.P., Lima, M.A.P., 2016, Virtual Biorefinery – An Optimization Strategy for Renewable Carbon </w:t>
      </w:r>
      <w:proofErr w:type="spellStart"/>
      <w:r w:rsidRPr="0003490F">
        <w:t>Valorization</w:t>
      </w:r>
      <w:proofErr w:type="spellEnd"/>
      <w:r w:rsidRPr="0003490F">
        <w:t>, Springer International Publishing, Switzerland.</w:t>
      </w:r>
    </w:p>
    <w:p w14:paraId="69E6D346" w14:textId="77777777" w:rsidR="00702B5C" w:rsidRPr="00DC6A6A" w:rsidRDefault="00702B5C" w:rsidP="00702B5C">
      <w:pPr>
        <w:pStyle w:val="Els-referenceno-number"/>
        <w:spacing w:after="60"/>
        <w:ind w:left="284" w:hanging="284"/>
        <w:jc w:val="both"/>
        <w:rPr>
          <w:rFonts w:ascii="Arial" w:hAnsi="Arial" w:cs="Arial"/>
          <w:szCs w:val="18"/>
          <w:lang w:val="en-US"/>
        </w:rPr>
      </w:pPr>
      <w:r w:rsidRPr="0003490F">
        <w:rPr>
          <w:rFonts w:ascii="Arial" w:hAnsi="Arial" w:cs="Arial"/>
          <w:szCs w:val="18"/>
          <w:lang w:val="pt-BR"/>
        </w:rPr>
        <w:t>Bressanin, J. M., Geraldo, V. C., Gomes, F. de A. M., Klein, B. C., Chagas, M. F., Watanabe, M. D. B., Bonomi, A., Morais, E. R. de, Cavalett, O.</w:t>
      </w:r>
      <w:r>
        <w:rPr>
          <w:rFonts w:ascii="Arial" w:hAnsi="Arial" w:cs="Arial"/>
          <w:szCs w:val="18"/>
          <w:lang w:val="pt-BR"/>
        </w:rPr>
        <w:t>,</w:t>
      </w:r>
      <w:r w:rsidRPr="0003490F">
        <w:rPr>
          <w:rFonts w:ascii="Arial" w:hAnsi="Arial" w:cs="Arial"/>
          <w:szCs w:val="18"/>
          <w:lang w:val="pt-BR"/>
        </w:rPr>
        <w:t xml:space="preserve"> 2021. </w:t>
      </w:r>
      <w:r w:rsidRPr="0003490F">
        <w:rPr>
          <w:rFonts w:ascii="Arial" w:hAnsi="Arial" w:cs="Arial"/>
          <w:szCs w:val="18"/>
          <w:lang w:val="en-US"/>
        </w:rPr>
        <w:t xml:space="preserve">Multiobjective optimization of economic and environmental performance of Fischer-Tropsch biofuels production integrated to sugarcane biorefineries. </w:t>
      </w:r>
      <w:r w:rsidRPr="00DC6A6A">
        <w:rPr>
          <w:rFonts w:ascii="Arial" w:hAnsi="Arial" w:cs="Arial"/>
          <w:szCs w:val="18"/>
          <w:lang w:val="en-US"/>
        </w:rPr>
        <w:t>Industrial Crops and Products, 170.</w:t>
      </w:r>
    </w:p>
    <w:p w14:paraId="574406F6" w14:textId="77777777" w:rsidR="00702B5C" w:rsidRPr="0003490F" w:rsidRDefault="00702B5C" w:rsidP="00702B5C">
      <w:pPr>
        <w:pStyle w:val="CETReferencetext"/>
        <w:spacing w:after="60"/>
        <w:rPr>
          <w:lang w:val="en-US"/>
        </w:rPr>
      </w:pPr>
      <w:r w:rsidRPr="00DC6A6A">
        <w:rPr>
          <w:lang w:val="en-US"/>
        </w:rPr>
        <w:t xml:space="preserve">Cortez, L., Brito, C. (Org.), Souza, G. (Org.), Cantarella, H. (Org.), Sluys, M. V. (Org.), Maciel, R. (Org.), 2016, </w:t>
      </w:r>
      <w:proofErr w:type="spellStart"/>
      <w:r w:rsidRPr="00DC6A6A">
        <w:rPr>
          <w:lang w:val="en-US"/>
        </w:rPr>
        <w:t>Proálcool</w:t>
      </w:r>
      <w:proofErr w:type="spellEnd"/>
      <w:r w:rsidRPr="00DC6A6A">
        <w:rPr>
          <w:lang w:val="en-US"/>
        </w:rPr>
        <w:t xml:space="preserve"> 40 Years - Universities and Companies: 40 years of science and technology for Brazilian ethanol (In Portuguese: </w:t>
      </w:r>
      <w:proofErr w:type="spellStart"/>
      <w:r w:rsidRPr="00DC6A6A">
        <w:rPr>
          <w:lang w:val="en-US"/>
        </w:rPr>
        <w:t>Proálcool</w:t>
      </w:r>
      <w:proofErr w:type="spellEnd"/>
      <w:r w:rsidRPr="00DC6A6A">
        <w:rPr>
          <w:lang w:val="en-US"/>
        </w:rPr>
        <w:t xml:space="preserve"> 40 Anos - </w:t>
      </w:r>
      <w:proofErr w:type="spellStart"/>
      <w:r w:rsidRPr="00DC6A6A">
        <w:rPr>
          <w:lang w:val="en-US"/>
        </w:rPr>
        <w:t>Universidades</w:t>
      </w:r>
      <w:proofErr w:type="spellEnd"/>
      <w:r w:rsidRPr="00DC6A6A">
        <w:rPr>
          <w:lang w:val="en-US"/>
        </w:rPr>
        <w:t xml:space="preserve"> e </w:t>
      </w:r>
      <w:proofErr w:type="spellStart"/>
      <w:r w:rsidRPr="00DC6A6A">
        <w:rPr>
          <w:lang w:val="en-US"/>
        </w:rPr>
        <w:t>Empresas</w:t>
      </w:r>
      <w:proofErr w:type="spellEnd"/>
      <w:r w:rsidRPr="00DC6A6A">
        <w:rPr>
          <w:lang w:val="en-US"/>
        </w:rPr>
        <w:t xml:space="preserve">: 40 </w:t>
      </w:r>
      <w:proofErr w:type="spellStart"/>
      <w:r w:rsidRPr="00DC6A6A">
        <w:rPr>
          <w:lang w:val="en-US"/>
        </w:rPr>
        <w:t>anos</w:t>
      </w:r>
      <w:proofErr w:type="spellEnd"/>
      <w:r w:rsidRPr="00DC6A6A">
        <w:rPr>
          <w:lang w:val="en-US"/>
        </w:rPr>
        <w:t xml:space="preserve"> de </w:t>
      </w:r>
      <w:proofErr w:type="spellStart"/>
      <w:r w:rsidRPr="00DC6A6A">
        <w:rPr>
          <w:lang w:val="en-US"/>
        </w:rPr>
        <w:t>ciência</w:t>
      </w:r>
      <w:proofErr w:type="spellEnd"/>
      <w:r w:rsidRPr="00DC6A6A">
        <w:rPr>
          <w:lang w:val="en-US"/>
        </w:rPr>
        <w:t xml:space="preserve"> e </w:t>
      </w:r>
      <w:proofErr w:type="spellStart"/>
      <w:r w:rsidRPr="00DC6A6A">
        <w:rPr>
          <w:lang w:val="en-US"/>
        </w:rPr>
        <w:t>tecnologia</w:t>
      </w:r>
      <w:proofErr w:type="spellEnd"/>
      <w:r w:rsidRPr="00DC6A6A">
        <w:rPr>
          <w:lang w:val="en-US"/>
        </w:rPr>
        <w:t xml:space="preserve"> para o </w:t>
      </w:r>
      <w:proofErr w:type="spellStart"/>
      <w:r w:rsidRPr="00DC6A6A">
        <w:rPr>
          <w:lang w:val="en-US"/>
        </w:rPr>
        <w:t>etanol</w:t>
      </w:r>
      <w:proofErr w:type="spellEnd"/>
      <w:r w:rsidRPr="00DC6A6A">
        <w:rPr>
          <w:lang w:val="en-US"/>
        </w:rPr>
        <w:t xml:space="preserve"> </w:t>
      </w:r>
      <w:proofErr w:type="spellStart"/>
      <w:r w:rsidRPr="00DC6A6A">
        <w:rPr>
          <w:lang w:val="en-US"/>
        </w:rPr>
        <w:t>brasileiro</w:t>
      </w:r>
      <w:proofErr w:type="spellEnd"/>
      <w:r w:rsidRPr="00DC6A6A">
        <w:rPr>
          <w:lang w:val="en-US"/>
        </w:rPr>
        <w:t xml:space="preserve">), 1a. ed. </w:t>
      </w:r>
      <w:r w:rsidRPr="0003490F">
        <w:rPr>
          <w:lang w:val="en-US"/>
        </w:rPr>
        <w:t xml:space="preserve">São Paulo: </w:t>
      </w:r>
      <w:proofErr w:type="spellStart"/>
      <w:r w:rsidRPr="0003490F">
        <w:rPr>
          <w:lang w:val="en-US"/>
        </w:rPr>
        <w:t>Editora</w:t>
      </w:r>
      <w:proofErr w:type="spellEnd"/>
      <w:r w:rsidRPr="0003490F">
        <w:rPr>
          <w:lang w:val="en-US"/>
        </w:rPr>
        <w:t xml:space="preserve"> Blucher, 222p.</w:t>
      </w:r>
    </w:p>
    <w:p w14:paraId="67CBDFBC" w14:textId="77777777" w:rsidR="00702B5C" w:rsidRPr="0003490F" w:rsidRDefault="00702B5C" w:rsidP="00702B5C">
      <w:pPr>
        <w:pStyle w:val="CETReferencetext"/>
        <w:spacing w:after="60"/>
        <w:rPr>
          <w:szCs w:val="18"/>
        </w:rPr>
      </w:pPr>
      <w:r w:rsidRPr="0003490F">
        <w:rPr>
          <w:szCs w:val="18"/>
        </w:rPr>
        <w:t xml:space="preserve">Junqueira, T. L., Chagas, M. F., Gouveia, V. L. R., Rezende, M. C. A. F., Watanabe, M. D. B., Jesus, C. D. F., </w:t>
      </w:r>
      <w:proofErr w:type="spellStart"/>
      <w:r w:rsidRPr="0003490F">
        <w:rPr>
          <w:szCs w:val="18"/>
        </w:rPr>
        <w:t>Cavalett</w:t>
      </w:r>
      <w:proofErr w:type="spellEnd"/>
      <w:r w:rsidRPr="0003490F">
        <w:rPr>
          <w:szCs w:val="18"/>
        </w:rPr>
        <w:t xml:space="preserve">, O., Milanez, A. Y., Bonomi, A, 2017, </w:t>
      </w:r>
      <w:r w:rsidRPr="0003490F">
        <w:rPr>
          <w:szCs w:val="18"/>
          <w:lang w:val="en-US"/>
        </w:rPr>
        <w:t xml:space="preserve">Techno-economic analysis and climate change impacts of sugarcane biorefineries considering different time horizons, </w:t>
      </w:r>
      <w:r w:rsidRPr="0003490F">
        <w:rPr>
          <w:szCs w:val="18"/>
        </w:rPr>
        <w:t>Biotechnology for Biofuels 10(1).</w:t>
      </w:r>
    </w:p>
    <w:p w14:paraId="13531D5F" w14:textId="77777777" w:rsidR="00702B5C" w:rsidRPr="00DE32DE" w:rsidRDefault="00702B5C" w:rsidP="00702B5C">
      <w:pPr>
        <w:pStyle w:val="CETReferencetext"/>
        <w:spacing w:after="60"/>
        <w:rPr>
          <w:lang w:val="pt-BR"/>
        </w:rPr>
      </w:pPr>
      <w:r w:rsidRPr="0003490F">
        <w:rPr>
          <w:lang w:val="pt-BR"/>
        </w:rPr>
        <w:t xml:space="preserve">MAPA. </w:t>
      </w:r>
      <w:proofErr w:type="spellStart"/>
      <w:r w:rsidRPr="00DE32DE">
        <w:rPr>
          <w:lang w:val="pt-BR"/>
        </w:rPr>
        <w:t>Ministry</w:t>
      </w:r>
      <w:proofErr w:type="spellEnd"/>
      <w:r w:rsidRPr="00DE32DE">
        <w:rPr>
          <w:lang w:val="pt-BR"/>
        </w:rPr>
        <w:t xml:space="preserve"> </w:t>
      </w:r>
      <w:proofErr w:type="spellStart"/>
      <w:r w:rsidRPr="00DE32DE">
        <w:rPr>
          <w:lang w:val="pt-BR"/>
        </w:rPr>
        <w:t>of</w:t>
      </w:r>
      <w:proofErr w:type="spellEnd"/>
      <w:r w:rsidRPr="00DE32DE">
        <w:rPr>
          <w:lang w:val="pt-BR"/>
        </w:rPr>
        <w:t xml:space="preserve"> </w:t>
      </w:r>
      <w:proofErr w:type="spellStart"/>
      <w:r w:rsidRPr="00DE32DE">
        <w:rPr>
          <w:lang w:val="pt-BR"/>
        </w:rPr>
        <w:t>Agriculture</w:t>
      </w:r>
      <w:proofErr w:type="spellEnd"/>
      <w:r w:rsidRPr="00DE32DE">
        <w:rPr>
          <w:lang w:val="pt-BR"/>
        </w:rPr>
        <w:t xml:space="preserve">, </w:t>
      </w:r>
      <w:proofErr w:type="spellStart"/>
      <w:r w:rsidRPr="00DE32DE">
        <w:rPr>
          <w:lang w:val="pt-BR"/>
        </w:rPr>
        <w:t>Livestock</w:t>
      </w:r>
      <w:proofErr w:type="spellEnd"/>
      <w:r w:rsidRPr="00DE32DE">
        <w:rPr>
          <w:lang w:val="pt-BR"/>
        </w:rPr>
        <w:t xml:space="preserve"> </w:t>
      </w:r>
      <w:proofErr w:type="spellStart"/>
      <w:r w:rsidRPr="00DE32DE">
        <w:rPr>
          <w:lang w:val="pt-BR"/>
        </w:rPr>
        <w:t>and</w:t>
      </w:r>
      <w:proofErr w:type="spellEnd"/>
      <w:r w:rsidRPr="00DE32DE">
        <w:rPr>
          <w:lang w:val="pt-BR"/>
        </w:rPr>
        <w:t xml:space="preserve"> </w:t>
      </w:r>
      <w:proofErr w:type="spellStart"/>
      <w:r w:rsidRPr="00DE32DE">
        <w:rPr>
          <w:lang w:val="pt-BR"/>
        </w:rPr>
        <w:t>Supply</w:t>
      </w:r>
      <w:proofErr w:type="spellEnd"/>
      <w:r w:rsidRPr="00DE32DE">
        <w:rPr>
          <w:lang w:val="pt-BR"/>
        </w:rPr>
        <w:t xml:space="preserve">, 2021, </w:t>
      </w:r>
      <w:proofErr w:type="spellStart"/>
      <w:r w:rsidRPr="00DE32DE">
        <w:rPr>
          <w:lang w:val="pt-BR"/>
        </w:rPr>
        <w:t>Sectoral</w:t>
      </w:r>
      <w:proofErr w:type="spellEnd"/>
      <w:r w:rsidRPr="00DE32DE">
        <w:rPr>
          <w:lang w:val="pt-BR"/>
        </w:rPr>
        <w:t xml:space="preserve"> </w:t>
      </w:r>
      <w:proofErr w:type="spellStart"/>
      <w:r w:rsidRPr="00DE32DE">
        <w:rPr>
          <w:lang w:val="pt-BR"/>
        </w:rPr>
        <w:t>plan</w:t>
      </w:r>
      <w:proofErr w:type="spellEnd"/>
      <w:r w:rsidRPr="00DE32DE">
        <w:rPr>
          <w:lang w:val="pt-BR"/>
        </w:rPr>
        <w:t xml:space="preserve"> for </w:t>
      </w:r>
      <w:proofErr w:type="spellStart"/>
      <w:r w:rsidRPr="00DE32DE">
        <w:rPr>
          <w:lang w:val="pt-BR"/>
        </w:rPr>
        <w:t>adaptation</w:t>
      </w:r>
      <w:proofErr w:type="spellEnd"/>
      <w:r w:rsidRPr="00DE32DE">
        <w:rPr>
          <w:lang w:val="pt-BR"/>
        </w:rPr>
        <w:t xml:space="preserve"> </w:t>
      </w:r>
      <w:proofErr w:type="spellStart"/>
      <w:r w:rsidRPr="00DE32DE">
        <w:rPr>
          <w:lang w:val="pt-BR"/>
        </w:rPr>
        <w:t>to</w:t>
      </w:r>
      <w:proofErr w:type="spellEnd"/>
      <w:r w:rsidRPr="00DE32DE">
        <w:rPr>
          <w:lang w:val="pt-BR"/>
        </w:rPr>
        <w:t xml:space="preserve"> </w:t>
      </w:r>
      <w:proofErr w:type="spellStart"/>
      <w:r w:rsidRPr="00DE32DE">
        <w:rPr>
          <w:lang w:val="pt-BR"/>
        </w:rPr>
        <w:t>climate</w:t>
      </w:r>
      <w:proofErr w:type="spellEnd"/>
      <w:r w:rsidRPr="00DE32DE">
        <w:rPr>
          <w:lang w:val="pt-BR"/>
        </w:rPr>
        <w:t xml:space="preserve"> </w:t>
      </w:r>
      <w:proofErr w:type="spellStart"/>
      <w:r w:rsidRPr="00DE32DE">
        <w:rPr>
          <w:lang w:val="pt-BR"/>
        </w:rPr>
        <w:t>change</w:t>
      </w:r>
      <w:proofErr w:type="spellEnd"/>
      <w:r w:rsidRPr="00DE32DE">
        <w:rPr>
          <w:lang w:val="pt-BR"/>
        </w:rPr>
        <w:t xml:space="preserve"> </w:t>
      </w:r>
      <w:proofErr w:type="spellStart"/>
      <w:r w:rsidRPr="00DE32DE">
        <w:rPr>
          <w:lang w:val="pt-BR"/>
        </w:rPr>
        <w:t>and</w:t>
      </w:r>
      <w:proofErr w:type="spellEnd"/>
      <w:r w:rsidRPr="00DE32DE">
        <w:rPr>
          <w:lang w:val="pt-BR"/>
        </w:rPr>
        <w:t xml:space="preserve"> </w:t>
      </w:r>
      <w:proofErr w:type="spellStart"/>
      <w:r w:rsidRPr="00DE32DE">
        <w:rPr>
          <w:lang w:val="pt-BR"/>
        </w:rPr>
        <w:t>low</w:t>
      </w:r>
      <w:proofErr w:type="spellEnd"/>
      <w:r w:rsidRPr="00DE32DE">
        <w:rPr>
          <w:lang w:val="pt-BR"/>
        </w:rPr>
        <w:t xml:space="preserve"> </w:t>
      </w:r>
      <w:proofErr w:type="spellStart"/>
      <w:r w:rsidRPr="00DE32DE">
        <w:rPr>
          <w:lang w:val="pt-BR"/>
        </w:rPr>
        <w:t>carbon</w:t>
      </w:r>
      <w:proofErr w:type="spellEnd"/>
      <w:r w:rsidRPr="00DE32DE">
        <w:rPr>
          <w:lang w:val="pt-BR"/>
        </w:rPr>
        <w:t xml:space="preserve"> </w:t>
      </w:r>
      <w:proofErr w:type="spellStart"/>
      <w:r w:rsidRPr="00DE32DE">
        <w:rPr>
          <w:lang w:val="pt-BR"/>
        </w:rPr>
        <w:t>emissions</w:t>
      </w:r>
      <w:proofErr w:type="spellEnd"/>
      <w:r w:rsidRPr="00DE32DE">
        <w:rPr>
          <w:lang w:val="pt-BR"/>
        </w:rPr>
        <w:t xml:space="preserve"> in </w:t>
      </w:r>
      <w:proofErr w:type="spellStart"/>
      <w:r w:rsidRPr="00DE32DE">
        <w:rPr>
          <w:lang w:val="pt-BR"/>
        </w:rPr>
        <w:t>agriculture</w:t>
      </w:r>
      <w:proofErr w:type="spellEnd"/>
      <w:r w:rsidRPr="00DE32DE">
        <w:rPr>
          <w:lang w:val="pt-BR"/>
        </w:rPr>
        <w:t xml:space="preserve"> </w:t>
      </w:r>
      <w:proofErr w:type="spellStart"/>
      <w:r w:rsidRPr="00DE32DE">
        <w:rPr>
          <w:lang w:val="pt-BR"/>
        </w:rPr>
        <w:t>with</w:t>
      </w:r>
      <w:proofErr w:type="spellEnd"/>
      <w:r w:rsidRPr="00DE32DE">
        <w:rPr>
          <w:lang w:val="pt-BR"/>
        </w:rPr>
        <w:t xml:space="preserve"> a </w:t>
      </w:r>
      <w:proofErr w:type="spellStart"/>
      <w:r w:rsidRPr="00DE32DE">
        <w:rPr>
          <w:lang w:val="pt-BR"/>
        </w:rPr>
        <w:t>view</w:t>
      </w:r>
      <w:proofErr w:type="spellEnd"/>
      <w:r w:rsidRPr="00DE32DE">
        <w:rPr>
          <w:lang w:val="pt-BR"/>
        </w:rPr>
        <w:t xml:space="preserve"> </w:t>
      </w:r>
      <w:proofErr w:type="spellStart"/>
      <w:r w:rsidRPr="00DE32DE">
        <w:rPr>
          <w:lang w:val="pt-BR"/>
        </w:rPr>
        <w:t>to</w:t>
      </w:r>
      <w:proofErr w:type="spellEnd"/>
      <w:r w:rsidRPr="00DE32DE">
        <w:rPr>
          <w:lang w:val="pt-BR"/>
        </w:rPr>
        <w:t xml:space="preserve"> </w:t>
      </w:r>
      <w:proofErr w:type="spellStart"/>
      <w:r w:rsidRPr="00DE32DE">
        <w:rPr>
          <w:lang w:val="pt-BR"/>
        </w:rPr>
        <w:t>sustainable</w:t>
      </w:r>
      <w:proofErr w:type="spellEnd"/>
      <w:r w:rsidRPr="00DE32DE">
        <w:rPr>
          <w:lang w:val="pt-BR"/>
        </w:rPr>
        <w:t xml:space="preserve"> </w:t>
      </w:r>
      <w:proofErr w:type="spellStart"/>
      <w:r w:rsidRPr="00DE32DE">
        <w:rPr>
          <w:lang w:val="pt-BR"/>
        </w:rPr>
        <w:t>development</w:t>
      </w:r>
      <w:proofErr w:type="spellEnd"/>
      <w:r w:rsidRPr="00DE32DE">
        <w:rPr>
          <w:lang w:val="pt-BR"/>
        </w:rPr>
        <w:t xml:space="preserve"> (2020-2030): a </w:t>
      </w:r>
      <w:proofErr w:type="spellStart"/>
      <w:r w:rsidRPr="00DE32DE">
        <w:rPr>
          <w:lang w:val="pt-BR"/>
        </w:rPr>
        <w:t>strategic</w:t>
      </w:r>
      <w:proofErr w:type="spellEnd"/>
      <w:r w:rsidRPr="00DE32DE">
        <w:rPr>
          <w:lang w:val="pt-BR"/>
        </w:rPr>
        <w:t xml:space="preserve"> </w:t>
      </w:r>
      <w:proofErr w:type="spellStart"/>
      <w:r w:rsidRPr="00DE32DE">
        <w:rPr>
          <w:lang w:val="pt-BR"/>
        </w:rPr>
        <w:t>vision</w:t>
      </w:r>
      <w:proofErr w:type="spellEnd"/>
      <w:r w:rsidRPr="00DE32DE">
        <w:rPr>
          <w:lang w:val="pt-BR"/>
        </w:rPr>
        <w:t xml:space="preserve"> for a new </w:t>
      </w:r>
      <w:proofErr w:type="spellStart"/>
      <w:r w:rsidRPr="00DE32DE">
        <w:rPr>
          <w:lang w:val="pt-BR"/>
        </w:rPr>
        <w:t>cycle</w:t>
      </w:r>
      <w:proofErr w:type="spellEnd"/>
      <w:r w:rsidRPr="00DE32DE">
        <w:rPr>
          <w:lang w:val="pt-BR"/>
        </w:rPr>
        <w:t xml:space="preserve"> (In</w:t>
      </w:r>
      <w:r>
        <w:rPr>
          <w:lang w:val="pt-BR"/>
        </w:rPr>
        <w:t xml:space="preserve"> </w:t>
      </w:r>
      <w:proofErr w:type="spellStart"/>
      <w:r>
        <w:rPr>
          <w:lang w:val="pt-BR"/>
        </w:rPr>
        <w:t>portuguese</w:t>
      </w:r>
      <w:proofErr w:type="spellEnd"/>
      <w:r>
        <w:rPr>
          <w:lang w:val="pt-BR"/>
        </w:rPr>
        <w:t xml:space="preserve">: </w:t>
      </w:r>
      <w:r w:rsidRPr="0003490F">
        <w:rPr>
          <w:lang w:val="pt-BR"/>
        </w:rPr>
        <w:t>Plano setorial para adaptação à mudança do clima e baixa emissão de carbono na agropecuária com vistas ao desenvolvimento sustentável (2020-2030): visão estratégica para um novo ciclo</w:t>
      </w:r>
      <w:r>
        <w:rPr>
          <w:lang w:val="pt-BR"/>
        </w:rPr>
        <w:t>)</w:t>
      </w:r>
      <w:r w:rsidRPr="00DE32DE">
        <w:rPr>
          <w:lang w:val="pt-BR"/>
        </w:rPr>
        <w:t>, Brasília: MAPA. 1ª ed., 28 p.</w:t>
      </w:r>
    </w:p>
    <w:p w14:paraId="769A7277" w14:textId="77777777" w:rsidR="00702B5C" w:rsidRPr="0003490F" w:rsidRDefault="00702B5C" w:rsidP="00702B5C">
      <w:pPr>
        <w:pStyle w:val="Els-referenceno-number"/>
        <w:spacing w:after="60"/>
        <w:ind w:left="284" w:hanging="284"/>
        <w:jc w:val="both"/>
        <w:rPr>
          <w:rFonts w:ascii="Arial" w:hAnsi="Arial" w:cs="Arial"/>
          <w:szCs w:val="18"/>
          <w:lang w:val="pt-BR"/>
        </w:rPr>
      </w:pPr>
      <w:r w:rsidRPr="0003490F">
        <w:rPr>
          <w:rFonts w:ascii="Arial" w:hAnsi="Arial" w:cs="Arial"/>
          <w:szCs w:val="18"/>
        </w:rPr>
        <w:t>Sartorello, G. L., Bastos, J. P. S. T., Gameiro, A. H.</w:t>
      </w:r>
      <w:r>
        <w:rPr>
          <w:rFonts w:ascii="Arial" w:hAnsi="Arial" w:cs="Arial"/>
          <w:szCs w:val="18"/>
        </w:rPr>
        <w:t xml:space="preserve">, </w:t>
      </w:r>
      <w:r w:rsidRPr="0003490F">
        <w:rPr>
          <w:rFonts w:ascii="Arial" w:hAnsi="Arial" w:cs="Arial"/>
          <w:szCs w:val="18"/>
        </w:rPr>
        <w:t>2018</w:t>
      </w:r>
      <w:r>
        <w:rPr>
          <w:rFonts w:ascii="Arial" w:hAnsi="Arial" w:cs="Arial"/>
          <w:szCs w:val="18"/>
        </w:rPr>
        <w:t xml:space="preserve">, </w:t>
      </w:r>
      <w:r w:rsidRPr="0003490F">
        <w:rPr>
          <w:rFonts w:ascii="Arial" w:hAnsi="Arial" w:cs="Arial"/>
          <w:szCs w:val="18"/>
          <w:lang w:val="en-US"/>
        </w:rPr>
        <w:t xml:space="preserve">Development of a calculation model and production cost index for feedlot beef cattle. </w:t>
      </w:r>
      <w:r w:rsidRPr="0003490F">
        <w:rPr>
          <w:rFonts w:ascii="Arial" w:hAnsi="Arial" w:cs="Arial"/>
          <w:szCs w:val="18"/>
          <w:lang w:val="pt-BR"/>
        </w:rPr>
        <w:t>Revista Brasileira de Zootecnia, v. 47.</w:t>
      </w:r>
    </w:p>
    <w:p w14:paraId="1E263ED6" w14:textId="77777777" w:rsidR="00702B5C" w:rsidRPr="00382251" w:rsidRDefault="00702B5C" w:rsidP="00702B5C">
      <w:pPr>
        <w:pStyle w:val="CETReferencetext"/>
        <w:spacing w:after="60"/>
        <w:rPr>
          <w:lang w:val="pt-BR"/>
        </w:rPr>
      </w:pPr>
      <w:r w:rsidRPr="00382251">
        <w:rPr>
          <w:lang w:val="pt-BR"/>
        </w:rPr>
        <w:t xml:space="preserve">Souza, </w:t>
      </w:r>
      <w:r>
        <w:rPr>
          <w:lang w:val="pt-BR"/>
        </w:rPr>
        <w:t>N.,</w:t>
      </w:r>
      <w:r w:rsidRPr="00382251">
        <w:rPr>
          <w:lang w:val="pt-BR"/>
        </w:rPr>
        <w:t xml:space="preserve"> Fracarolli, J</w:t>
      </w:r>
      <w:r>
        <w:rPr>
          <w:lang w:val="pt-BR"/>
        </w:rPr>
        <w:t xml:space="preserve">., </w:t>
      </w:r>
      <w:r w:rsidRPr="00382251">
        <w:rPr>
          <w:lang w:val="pt-BR"/>
        </w:rPr>
        <w:t>Junqueira, T</w:t>
      </w:r>
      <w:r>
        <w:rPr>
          <w:lang w:val="pt-BR"/>
        </w:rPr>
        <w:t xml:space="preserve">., </w:t>
      </w:r>
      <w:r w:rsidRPr="00382251">
        <w:rPr>
          <w:lang w:val="pt-BR"/>
        </w:rPr>
        <w:t>Chagas, M</w:t>
      </w:r>
      <w:r>
        <w:rPr>
          <w:lang w:val="pt-BR"/>
        </w:rPr>
        <w:t>.,</w:t>
      </w:r>
      <w:r w:rsidRPr="00382251">
        <w:rPr>
          <w:lang w:val="pt-BR"/>
        </w:rPr>
        <w:t xml:space="preserve"> Cardoso, T</w:t>
      </w:r>
      <w:r>
        <w:rPr>
          <w:lang w:val="pt-BR"/>
        </w:rPr>
        <w:t>.,</w:t>
      </w:r>
      <w:r w:rsidRPr="00382251">
        <w:rPr>
          <w:lang w:val="pt-BR"/>
        </w:rPr>
        <w:t xml:space="preserve"> Watanabe, M</w:t>
      </w:r>
      <w:r>
        <w:rPr>
          <w:lang w:val="pt-BR"/>
        </w:rPr>
        <w:t xml:space="preserve">., </w:t>
      </w:r>
      <w:proofErr w:type="spellStart"/>
      <w:r w:rsidRPr="00382251">
        <w:rPr>
          <w:lang w:val="pt-BR"/>
        </w:rPr>
        <w:t>Cavalett</w:t>
      </w:r>
      <w:proofErr w:type="spellEnd"/>
      <w:r w:rsidRPr="00382251">
        <w:rPr>
          <w:lang w:val="pt-BR"/>
        </w:rPr>
        <w:t>, O</w:t>
      </w:r>
      <w:r>
        <w:rPr>
          <w:lang w:val="pt-BR"/>
        </w:rPr>
        <w:t>.,</w:t>
      </w:r>
      <w:r w:rsidRPr="00382251">
        <w:rPr>
          <w:lang w:val="pt-BR"/>
        </w:rPr>
        <w:t xml:space="preserve"> </w:t>
      </w:r>
      <w:proofErr w:type="spellStart"/>
      <w:r w:rsidRPr="00382251">
        <w:rPr>
          <w:lang w:val="pt-BR"/>
        </w:rPr>
        <w:t>Venzke</w:t>
      </w:r>
      <w:proofErr w:type="spellEnd"/>
      <w:r w:rsidRPr="00382251">
        <w:rPr>
          <w:lang w:val="pt-BR"/>
        </w:rPr>
        <w:t xml:space="preserve"> Filho, S</w:t>
      </w:r>
      <w:r>
        <w:rPr>
          <w:lang w:val="pt-BR"/>
        </w:rPr>
        <w:t>..,</w:t>
      </w:r>
      <w:r w:rsidRPr="00382251">
        <w:rPr>
          <w:lang w:val="pt-BR"/>
        </w:rPr>
        <w:t xml:space="preserve"> Dale, B</w:t>
      </w:r>
      <w:r>
        <w:rPr>
          <w:lang w:val="pt-BR"/>
        </w:rPr>
        <w:t>.,</w:t>
      </w:r>
      <w:r w:rsidRPr="00382251">
        <w:rPr>
          <w:lang w:val="pt-BR"/>
        </w:rPr>
        <w:t xml:space="preserve"> Bonomi, A</w:t>
      </w:r>
      <w:r>
        <w:rPr>
          <w:lang w:val="pt-BR"/>
        </w:rPr>
        <w:t>.,</w:t>
      </w:r>
      <w:r w:rsidRPr="00382251">
        <w:rPr>
          <w:lang w:val="pt-BR"/>
        </w:rPr>
        <w:t xml:space="preserve"> Cortez, L</w:t>
      </w:r>
      <w:r>
        <w:rPr>
          <w:lang w:val="pt-BR"/>
        </w:rPr>
        <w:t xml:space="preserve">., </w:t>
      </w:r>
      <w:r w:rsidRPr="00382251">
        <w:rPr>
          <w:lang w:val="pt-BR"/>
        </w:rPr>
        <w:t>2019</w:t>
      </w:r>
      <w:r>
        <w:rPr>
          <w:lang w:val="pt-BR"/>
        </w:rPr>
        <w:t xml:space="preserve">, </w:t>
      </w:r>
      <w:proofErr w:type="spellStart"/>
      <w:r w:rsidRPr="00382251">
        <w:rPr>
          <w:lang w:val="pt-BR"/>
        </w:rPr>
        <w:t>Sugarcane</w:t>
      </w:r>
      <w:proofErr w:type="spellEnd"/>
      <w:r w:rsidRPr="00382251">
        <w:rPr>
          <w:lang w:val="pt-BR"/>
        </w:rPr>
        <w:t xml:space="preserve"> </w:t>
      </w:r>
      <w:proofErr w:type="spellStart"/>
      <w:r w:rsidRPr="00382251">
        <w:rPr>
          <w:lang w:val="pt-BR"/>
        </w:rPr>
        <w:t>ethanol</w:t>
      </w:r>
      <w:proofErr w:type="spellEnd"/>
      <w:r w:rsidRPr="00382251">
        <w:rPr>
          <w:lang w:val="pt-BR"/>
        </w:rPr>
        <w:t xml:space="preserve"> </w:t>
      </w:r>
      <w:proofErr w:type="spellStart"/>
      <w:r w:rsidRPr="00382251">
        <w:rPr>
          <w:lang w:val="pt-BR"/>
        </w:rPr>
        <w:t>and</w:t>
      </w:r>
      <w:proofErr w:type="spellEnd"/>
      <w:r w:rsidRPr="00382251">
        <w:rPr>
          <w:lang w:val="pt-BR"/>
        </w:rPr>
        <w:t xml:space="preserve"> </w:t>
      </w:r>
      <w:proofErr w:type="spellStart"/>
      <w:r w:rsidRPr="00382251">
        <w:rPr>
          <w:lang w:val="pt-BR"/>
        </w:rPr>
        <w:t>beef</w:t>
      </w:r>
      <w:proofErr w:type="spellEnd"/>
      <w:r w:rsidRPr="00382251">
        <w:rPr>
          <w:lang w:val="pt-BR"/>
        </w:rPr>
        <w:t xml:space="preserve"> </w:t>
      </w:r>
      <w:proofErr w:type="spellStart"/>
      <w:r w:rsidRPr="00382251">
        <w:rPr>
          <w:lang w:val="pt-BR"/>
        </w:rPr>
        <w:t>cattle</w:t>
      </w:r>
      <w:proofErr w:type="spellEnd"/>
      <w:r w:rsidRPr="00382251">
        <w:rPr>
          <w:lang w:val="pt-BR"/>
        </w:rPr>
        <w:t xml:space="preserve"> </w:t>
      </w:r>
      <w:proofErr w:type="spellStart"/>
      <w:r w:rsidRPr="00382251">
        <w:rPr>
          <w:lang w:val="pt-BR"/>
        </w:rPr>
        <w:t>integration</w:t>
      </w:r>
      <w:proofErr w:type="spellEnd"/>
      <w:r w:rsidRPr="00382251">
        <w:rPr>
          <w:lang w:val="pt-BR"/>
        </w:rPr>
        <w:t xml:space="preserve"> in </w:t>
      </w:r>
      <w:proofErr w:type="spellStart"/>
      <w:r w:rsidRPr="00382251">
        <w:rPr>
          <w:lang w:val="pt-BR"/>
        </w:rPr>
        <w:t>Brazil</w:t>
      </w:r>
      <w:proofErr w:type="spellEnd"/>
      <w:r w:rsidRPr="00382251">
        <w:rPr>
          <w:lang w:val="pt-BR"/>
        </w:rPr>
        <w:t>. BIOMASS &amp; BIOENERGY, v. 120, p. 448-457. doi.org/10.1016/j.biombioe.2018.12.012</w:t>
      </w:r>
      <w:r>
        <w:rPr>
          <w:lang w:val="pt-BR"/>
        </w:rPr>
        <w:t>.</w:t>
      </w:r>
    </w:p>
    <w:p w14:paraId="48169CDA" w14:textId="4BCE530D" w:rsidR="00485E1C" w:rsidRPr="00982128" w:rsidRDefault="00485E1C" w:rsidP="00702B5C">
      <w:pPr>
        <w:pStyle w:val="CETReferencetext"/>
        <w:spacing w:after="160"/>
        <w:rPr>
          <w:rFonts w:cs="Arial"/>
          <w:szCs w:val="18"/>
          <w:lang w:val="pt-BR"/>
        </w:rPr>
      </w:pPr>
    </w:p>
    <w:sectPr w:rsidR="00485E1C" w:rsidRPr="00982128" w:rsidSect="00FC0407">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C839" w14:textId="77777777" w:rsidR="00FC0407" w:rsidRDefault="00FC0407" w:rsidP="004F5E36">
      <w:r>
        <w:separator/>
      </w:r>
    </w:p>
  </w:endnote>
  <w:endnote w:type="continuationSeparator" w:id="0">
    <w:p w14:paraId="4DD2DAC4" w14:textId="77777777" w:rsidR="00FC0407" w:rsidRDefault="00FC040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2F1A0" w14:textId="77777777" w:rsidR="00FC0407" w:rsidRDefault="00FC0407" w:rsidP="004F5E36">
      <w:r>
        <w:separator/>
      </w:r>
    </w:p>
  </w:footnote>
  <w:footnote w:type="continuationSeparator" w:id="0">
    <w:p w14:paraId="1C3DD589" w14:textId="77777777" w:rsidR="00FC0407" w:rsidRDefault="00FC040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2BD3D60"/>
    <w:multiLevelType w:val="hybridMultilevel"/>
    <w:tmpl w:val="D098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75230B"/>
    <w:multiLevelType w:val="hybridMultilevel"/>
    <w:tmpl w:val="07CA1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842A37"/>
    <w:multiLevelType w:val="hybridMultilevel"/>
    <w:tmpl w:val="3B688FDE"/>
    <w:lvl w:ilvl="0" w:tplc="0416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8217E"/>
    <w:multiLevelType w:val="multilevel"/>
    <w:tmpl w:val="A834737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0DF1792"/>
    <w:multiLevelType w:val="hybridMultilevel"/>
    <w:tmpl w:val="9E3E4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EA16F61"/>
    <w:multiLevelType w:val="hybridMultilevel"/>
    <w:tmpl w:val="4CB8C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002A99"/>
    <w:multiLevelType w:val="hybridMultilevel"/>
    <w:tmpl w:val="D874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631596E"/>
    <w:multiLevelType w:val="hybridMultilevel"/>
    <w:tmpl w:val="1F82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985F7B"/>
    <w:multiLevelType w:val="hybridMultilevel"/>
    <w:tmpl w:val="C150C418"/>
    <w:lvl w:ilvl="0" w:tplc="22BA7FAE">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882765">
    <w:abstractNumId w:val="13"/>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3"/>
  </w:num>
  <w:num w:numId="13" w16cid:durableId="695733619">
    <w:abstractNumId w:val="16"/>
  </w:num>
  <w:num w:numId="14" w16cid:durableId="145903400">
    <w:abstractNumId w:val="25"/>
  </w:num>
  <w:num w:numId="15" w16cid:durableId="19162326">
    <w:abstractNumId w:val="27"/>
  </w:num>
  <w:num w:numId="16" w16cid:durableId="1977102699">
    <w:abstractNumId w:val="26"/>
  </w:num>
  <w:num w:numId="17" w16cid:durableId="860774865">
    <w:abstractNumId w:val="15"/>
  </w:num>
  <w:num w:numId="18" w16cid:durableId="313221457">
    <w:abstractNumId w:val="16"/>
    <w:lvlOverride w:ilvl="0">
      <w:startOverride w:val="1"/>
    </w:lvlOverride>
  </w:num>
  <w:num w:numId="19" w16cid:durableId="534971577">
    <w:abstractNumId w:val="22"/>
  </w:num>
  <w:num w:numId="20" w16cid:durableId="1150947773">
    <w:abstractNumId w:val="20"/>
  </w:num>
  <w:num w:numId="21" w16cid:durableId="124660497">
    <w:abstractNumId w:val="18"/>
  </w:num>
  <w:num w:numId="22" w16cid:durableId="2099861471">
    <w:abstractNumId w:val="17"/>
  </w:num>
  <w:num w:numId="23" w16cid:durableId="77557697">
    <w:abstractNumId w:val="10"/>
  </w:num>
  <w:num w:numId="24" w16cid:durableId="1437676776">
    <w:abstractNumId w:val="24"/>
  </w:num>
  <w:num w:numId="25" w16cid:durableId="207882373">
    <w:abstractNumId w:val="11"/>
  </w:num>
  <w:num w:numId="26" w16cid:durableId="2117476070">
    <w:abstractNumId w:val="12"/>
  </w:num>
  <w:num w:numId="27" w16cid:durableId="116221029">
    <w:abstractNumId w:val="19"/>
  </w:num>
  <w:num w:numId="28" w16cid:durableId="930503236">
    <w:abstractNumId w:val="14"/>
  </w:num>
  <w:num w:numId="29" w16cid:durableId="2070493155">
    <w:abstractNumId w:val="21"/>
  </w:num>
  <w:num w:numId="30" w16cid:durableId="12944058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1DC8"/>
    <w:rsid w:val="00027E42"/>
    <w:rsid w:val="0003148D"/>
    <w:rsid w:val="00031EEC"/>
    <w:rsid w:val="00042426"/>
    <w:rsid w:val="00047F78"/>
    <w:rsid w:val="00051566"/>
    <w:rsid w:val="000562A9"/>
    <w:rsid w:val="00062A9A"/>
    <w:rsid w:val="00065058"/>
    <w:rsid w:val="00065C77"/>
    <w:rsid w:val="00073FF0"/>
    <w:rsid w:val="00086C39"/>
    <w:rsid w:val="0009477C"/>
    <w:rsid w:val="0009759A"/>
    <w:rsid w:val="000A03B2"/>
    <w:rsid w:val="000A45DF"/>
    <w:rsid w:val="000B7624"/>
    <w:rsid w:val="000C02DE"/>
    <w:rsid w:val="000C04D9"/>
    <w:rsid w:val="000C1B6B"/>
    <w:rsid w:val="000D0268"/>
    <w:rsid w:val="000D34BE"/>
    <w:rsid w:val="000D3ED5"/>
    <w:rsid w:val="000D6972"/>
    <w:rsid w:val="000E102F"/>
    <w:rsid w:val="000E36F1"/>
    <w:rsid w:val="000E3A73"/>
    <w:rsid w:val="000E414A"/>
    <w:rsid w:val="000F093C"/>
    <w:rsid w:val="000F787B"/>
    <w:rsid w:val="00111158"/>
    <w:rsid w:val="0012091F"/>
    <w:rsid w:val="00126BC2"/>
    <w:rsid w:val="001308B6"/>
    <w:rsid w:val="0013121F"/>
    <w:rsid w:val="00131FE6"/>
    <w:rsid w:val="0013263F"/>
    <w:rsid w:val="001331DF"/>
    <w:rsid w:val="001348B8"/>
    <w:rsid w:val="00134DE4"/>
    <w:rsid w:val="0014034D"/>
    <w:rsid w:val="00144CA2"/>
    <w:rsid w:val="00144D16"/>
    <w:rsid w:val="00150E59"/>
    <w:rsid w:val="00152DE3"/>
    <w:rsid w:val="00156F74"/>
    <w:rsid w:val="00164CF9"/>
    <w:rsid w:val="001667A6"/>
    <w:rsid w:val="00181AB1"/>
    <w:rsid w:val="00184AD6"/>
    <w:rsid w:val="00184D4E"/>
    <w:rsid w:val="001929A1"/>
    <w:rsid w:val="00195343"/>
    <w:rsid w:val="001A4AF7"/>
    <w:rsid w:val="001B0349"/>
    <w:rsid w:val="001B1E93"/>
    <w:rsid w:val="001B65C1"/>
    <w:rsid w:val="001C050B"/>
    <w:rsid w:val="001C2AEB"/>
    <w:rsid w:val="001C684B"/>
    <w:rsid w:val="001D0CFB"/>
    <w:rsid w:val="001D21AF"/>
    <w:rsid w:val="001D3C3C"/>
    <w:rsid w:val="001D53FC"/>
    <w:rsid w:val="001E2193"/>
    <w:rsid w:val="001F167A"/>
    <w:rsid w:val="001F42A5"/>
    <w:rsid w:val="001F7B9D"/>
    <w:rsid w:val="00201C93"/>
    <w:rsid w:val="002037A2"/>
    <w:rsid w:val="002200D2"/>
    <w:rsid w:val="002224B4"/>
    <w:rsid w:val="00224641"/>
    <w:rsid w:val="002349A9"/>
    <w:rsid w:val="002354FD"/>
    <w:rsid w:val="00237619"/>
    <w:rsid w:val="00243EEB"/>
    <w:rsid w:val="002447EF"/>
    <w:rsid w:val="00251550"/>
    <w:rsid w:val="0025497D"/>
    <w:rsid w:val="00260B9B"/>
    <w:rsid w:val="0026244F"/>
    <w:rsid w:val="00263B05"/>
    <w:rsid w:val="002659B1"/>
    <w:rsid w:val="0027032F"/>
    <w:rsid w:val="0027221A"/>
    <w:rsid w:val="0027238C"/>
    <w:rsid w:val="00273AC3"/>
    <w:rsid w:val="00275B61"/>
    <w:rsid w:val="00280FAF"/>
    <w:rsid w:val="00282656"/>
    <w:rsid w:val="00290654"/>
    <w:rsid w:val="00296B83"/>
    <w:rsid w:val="002A46CA"/>
    <w:rsid w:val="002B4015"/>
    <w:rsid w:val="002B78CE"/>
    <w:rsid w:val="002B7D5D"/>
    <w:rsid w:val="002C2FB6"/>
    <w:rsid w:val="002C75E5"/>
    <w:rsid w:val="002D2D8F"/>
    <w:rsid w:val="002D7DD0"/>
    <w:rsid w:val="002E024C"/>
    <w:rsid w:val="002E3A6D"/>
    <w:rsid w:val="002E470A"/>
    <w:rsid w:val="002E5FA7"/>
    <w:rsid w:val="002F3309"/>
    <w:rsid w:val="002F3DF3"/>
    <w:rsid w:val="003008CE"/>
    <w:rsid w:val="003009B7"/>
    <w:rsid w:val="00300E56"/>
    <w:rsid w:val="0030152C"/>
    <w:rsid w:val="00303A6B"/>
    <w:rsid w:val="0030469C"/>
    <w:rsid w:val="00305BD8"/>
    <w:rsid w:val="00321CA6"/>
    <w:rsid w:val="00322335"/>
    <w:rsid w:val="003234C7"/>
    <w:rsid w:val="00323763"/>
    <w:rsid w:val="00323C5F"/>
    <w:rsid w:val="00334C09"/>
    <w:rsid w:val="003435F0"/>
    <w:rsid w:val="003526D1"/>
    <w:rsid w:val="0035271D"/>
    <w:rsid w:val="003552EF"/>
    <w:rsid w:val="0035680E"/>
    <w:rsid w:val="003715FF"/>
    <w:rsid w:val="00371D93"/>
    <w:rsid w:val="003723D4"/>
    <w:rsid w:val="00381905"/>
    <w:rsid w:val="00384CC8"/>
    <w:rsid w:val="003871FD"/>
    <w:rsid w:val="0039390B"/>
    <w:rsid w:val="003A1108"/>
    <w:rsid w:val="003A1E30"/>
    <w:rsid w:val="003A2829"/>
    <w:rsid w:val="003A6FC6"/>
    <w:rsid w:val="003A7D1C"/>
    <w:rsid w:val="003B304B"/>
    <w:rsid w:val="003B3146"/>
    <w:rsid w:val="003B500E"/>
    <w:rsid w:val="003B5052"/>
    <w:rsid w:val="003C2317"/>
    <w:rsid w:val="003C7DAE"/>
    <w:rsid w:val="003E5BE7"/>
    <w:rsid w:val="003F015E"/>
    <w:rsid w:val="003F405A"/>
    <w:rsid w:val="00400414"/>
    <w:rsid w:val="00403088"/>
    <w:rsid w:val="004100DB"/>
    <w:rsid w:val="00411582"/>
    <w:rsid w:val="0041446B"/>
    <w:rsid w:val="00430D55"/>
    <w:rsid w:val="00432FED"/>
    <w:rsid w:val="00437B12"/>
    <w:rsid w:val="0044071E"/>
    <w:rsid w:val="0044080F"/>
    <w:rsid w:val="0044329C"/>
    <w:rsid w:val="00453E24"/>
    <w:rsid w:val="00457456"/>
    <w:rsid w:val="004577FE"/>
    <w:rsid w:val="00457B9C"/>
    <w:rsid w:val="0046164A"/>
    <w:rsid w:val="004628D2"/>
    <w:rsid w:val="00462DCD"/>
    <w:rsid w:val="00463E9C"/>
    <w:rsid w:val="00463EB0"/>
    <w:rsid w:val="004648AD"/>
    <w:rsid w:val="004651ED"/>
    <w:rsid w:val="004703A9"/>
    <w:rsid w:val="00471501"/>
    <w:rsid w:val="00471748"/>
    <w:rsid w:val="0047461B"/>
    <w:rsid w:val="004760DE"/>
    <w:rsid w:val="004761E9"/>
    <w:rsid w:val="004763D7"/>
    <w:rsid w:val="00477573"/>
    <w:rsid w:val="00482E7D"/>
    <w:rsid w:val="00485E1C"/>
    <w:rsid w:val="00493474"/>
    <w:rsid w:val="00493637"/>
    <w:rsid w:val="0049547A"/>
    <w:rsid w:val="004A004E"/>
    <w:rsid w:val="004A12DF"/>
    <w:rsid w:val="004A24CF"/>
    <w:rsid w:val="004A40B3"/>
    <w:rsid w:val="004A585A"/>
    <w:rsid w:val="004A7BC7"/>
    <w:rsid w:val="004B1DEF"/>
    <w:rsid w:val="004B6A05"/>
    <w:rsid w:val="004C3BE9"/>
    <w:rsid w:val="004C3D1D"/>
    <w:rsid w:val="004C3D84"/>
    <w:rsid w:val="004C7913"/>
    <w:rsid w:val="004D251B"/>
    <w:rsid w:val="004E4022"/>
    <w:rsid w:val="004E4DD6"/>
    <w:rsid w:val="004E6599"/>
    <w:rsid w:val="004F20CB"/>
    <w:rsid w:val="004F5E36"/>
    <w:rsid w:val="005006C4"/>
    <w:rsid w:val="00507B47"/>
    <w:rsid w:val="00507BEF"/>
    <w:rsid w:val="00507CC9"/>
    <w:rsid w:val="005119A5"/>
    <w:rsid w:val="00516AAC"/>
    <w:rsid w:val="00516CF0"/>
    <w:rsid w:val="005201F3"/>
    <w:rsid w:val="00522A75"/>
    <w:rsid w:val="00522FF6"/>
    <w:rsid w:val="005278B7"/>
    <w:rsid w:val="00532016"/>
    <w:rsid w:val="005346C8"/>
    <w:rsid w:val="0053684F"/>
    <w:rsid w:val="0054107E"/>
    <w:rsid w:val="005413B1"/>
    <w:rsid w:val="00543E7D"/>
    <w:rsid w:val="00547A68"/>
    <w:rsid w:val="005531C9"/>
    <w:rsid w:val="00557A85"/>
    <w:rsid w:val="0056369B"/>
    <w:rsid w:val="00570C43"/>
    <w:rsid w:val="005867C2"/>
    <w:rsid w:val="0058733C"/>
    <w:rsid w:val="00591065"/>
    <w:rsid w:val="00591825"/>
    <w:rsid w:val="00595250"/>
    <w:rsid w:val="005A745B"/>
    <w:rsid w:val="005B2110"/>
    <w:rsid w:val="005B4E62"/>
    <w:rsid w:val="005B5B34"/>
    <w:rsid w:val="005B61E6"/>
    <w:rsid w:val="005C77E1"/>
    <w:rsid w:val="005D668A"/>
    <w:rsid w:val="005D6A2F"/>
    <w:rsid w:val="005D6B09"/>
    <w:rsid w:val="005D6D79"/>
    <w:rsid w:val="005E1A82"/>
    <w:rsid w:val="005E794C"/>
    <w:rsid w:val="005F0A28"/>
    <w:rsid w:val="005F0E5E"/>
    <w:rsid w:val="005F27CD"/>
    <w:rsid w:val="005F4188"/>
    <w:rsid w:val="00600535"/>
    <w:rsid w:val="00610CD6"/>
    <w:rsid w:val="00620DEE"/>
    <w:rsid w:val="00621F92"/>
    <w:rsid w:val="0062280A"/>
    <w:rsid w:val="00625639"/>
    <w:rsid w:val="00627538"/>
    <w:rsid w:val="00627720"/>
    <w:rsid w:val="00631B33"/>
    <w:rsid w:val="0064184D"/>
    <w:rsid w:val="006422CC"/>
    <w:rsid w:val="00646B5E"/>
    <w:rsid w:val="00647ED1"/>
    <w:rsid w:val="00652204"/>
    <w:rsid w:val="0065420B"/>
    <w:rsid w:val="00656383"/>
    <w:rsid w:val="00660E3E"/>
    <w:rsid w:val="0066110B"/>
    <w:rsid w:val="00661614"/>
    <w:rsid w:val="00662E74"/>
    <w:rsid w:val="00666797"/>
    <w:rsid w:val="00680C23"/>
    <w:rsid w:val="00691C6B"/>
    <w:rsid w:val="00693766"/>
    <w:rsid w:val="00697546"/>
    <w:rsid w:val="00697C1F"/>
    <w:rsid w:val="006A23E9"/>
    <w:rsid w:val="006A3281"/>
    <w:rsid w:val="006B4888"/>
    <w:rsid w:val="006B659C"/>
    <w:rsid w:val="006B72DA"/>
    <w:rsid w:val="006C2E45"/>
    <w:rsid w:val="006C359C"/>
    <w:rsid w:val="006C5579"/>
    <w:rsid w:val="006D65F9"/>
    <w:rsid w:val="006D6E8B"/>
    <w:rsid w:val="006E2C34"/>
    <w:rsid w:val="006E737D"/>
    <w:rsid w:val="006F2A60"/>
    <w:rsid w:val="00702B5C"/>
    <w:rsid w:val="00712F40"/>
    <w:rsid w:val="00713973"/>
    <w:rsid w:val="00720A24"/>
    <w:rsid w:val="00732386"/>
    <w:rsid w:val="0073514D"/>
    <w:rsid w:val="007408D6"/>
    <w:rsid w:val="00740F0F"/>
    <w:rsid w:val="00741D9D"/>
    <w:rsid w:val="007429B3"/>
    <w:rsid w:val="00742E9B"/>
    <w:rsid w:val="00744402"/>
    <w:rsid w:val="007447F3"/>
    <w:rsid w:val="007536B5"/>
    <w:rsid w:val="0075499F"/>
    <w:rsid w:val="007563A8"/>
    <w:rsid w:val="00763C14"/>
    <w:rsid w:val="007661C8"/>
    <w:rsid w:val="0077098D"/>
    <w:rsid w:val="00782E19"/>
    <w:rsid w:val="00783337"/>
    <w:rsid w:val="007931FA"/>
    <w:rsid w:val="00797C5E"/>
    <w:rsid w:val="00797D46"/>
    <w:rsid w:val="007A4861"/>
    <w:rsid w:val="007A7BBA"/>
    <w:rsid w:val="007B0C50"/>
    <w:rsid w:val="007B48F9"/>
    <w:rsid w:val="007C1A43"/>
    <w:rsid w:val="007D0951"/>
    <w:rsid w:val="007D3526"/>
    <w:rsid w:val="007D4100"/>
    <w:rsid w:val="007D5238"/>
    <w:rsid w:val="007DFC3F"/>
    <w:rsid w:val="007E73CA"/>
    <w:rsid w:val="007F53D6"/>
    <w:rsid w:val="007F5669"/>
    <w:rsid w:val="007F63E4"/>
    <w:rsid w:val="0080013E"/>
    <w:rsid w:val="008075C4"/>
    <w:rsid w:val="00813288"/>
    <w:rsid w:val="008168FC"/>
    <w:rsid w:val="00830996"/>
    <w:rsid w:val="008309B1"/>
    <w:rsid w:val="008345F1"/>
    <w:rsid w:val="00843EAC"/>
    <w:rsid w:val="00855677"/>
    <w:rsid w:val="008562B2"/>
    <w:rsid w:val="00865B07"/>
    <w:rsid w:val="008667EA"/>
    <w:rsid w:val="00873796"/>
    <w:rsid w:val="0087637F"/>
    <w:rsid w:val="00887350"/>
    <w:rsid w:val="00892AD5"/>
    <w:rsid w:val="008A1512"/>
    <w:rsid w:val="008B23CC"/>
    <w:rsid w:val="008B7C03"/>
    <w:rsid w:val="008D32B9"/>
    <w:rsid w:val="008D433B"/>
    <w:rsid w:val="008D4A16"/>
    <w:rsid w:val="008D7CF2"/>
    <w:rsid w:val="008E406D"/>
    <w:rsid w:val="008E566E"/>
    <w:rsid w:val="008F1B50"/>
    <w:rsid w:val="0090161A"/>
    <w:rsid w:val="00901EB6"/>
    <w:rsid w:val="00902EDA"/>
    <w:rsid w:val="00904C62"/>
    <w:rsid w:val="00904E58"/>
    <w:rsid w:val="0091272B"/>
    <w:rsid w:val="00922BA8"/>
    <w:rsid w:val="00924DAC"/>
    <w:rsid w:val="00925DD5"/>
    <w:rsid w:val="00927058"/>
    <w:rsid w:val="00942750"/>
    <w:rsid w:val="009447EF"/>
    <w:rsid w:val="009450CE"/>
    <w:rsid w:val="009459BB"/>
    <w:rsid w:val="00947179"/>
    <w:rsid w:val="0095164B"/>
    <w:rsid w:val="00954090"/>
    <w:rsid w:val="009552D7"/>
    <w:rsid w:val="009573E7"/>
    <w:rsid w:val="0096178A"/>
    <w:rsid w:val="00963E05"/>
    <w:rsid w:val="00964A45"/>
    <w:rsid w:val="00967843"/>
    <w:rsid w:val="00967D54"/>
    <w:rsid w:val="00971028"/>
    <w:rsid w:val="009767AC"/>
    <w:rsid w:val="00977887"/>
    <w:rsid w:val="00982128"/>
    <w:rsid w:val="00993B84"/>
    <w:rsid w:val="00995EEC"/>
    <w:rsid w:val="00996483"/>
    <w:rsid w:val="00996F5A"/>
    <w:rsid w:val="009A0455"/>
    <w:rsid w:val="009A2C63"/>
    <w:rsid w:val="009A4F41"/>
    <w:rsid w:val="009A7805"/>
    <w:rsid w:val="009B041A"/>
    <w:rsid w:val="009B1AFE"/>
    <w:rsid w:val="009B2228"/>
    <w:rsid w:val="009B27DC"/>
    <w:rsid w:val="009B7924"/>
    <w:rsid w:val="009B7A28"/>
    <w:rsid w:val="009C0DD3"/>
    <w:rsid w:val="009C37C3"/>
    <w:rsid w:val="009C4CF0"/>
    <w:rsid w:val="009C70AD"/>
    <w:rsid w:val="009C7C86"/>
    <w:rsid w:val="009D2FF7"/>
    <w:rsid w:val="009E1E0E"/>
    <w:rsid w:val="009E2A08"/>
    <w:rsid w:val="009E53D9"/>
    <w:rsid w:val="009E7884"/>
    <w:rsid w:val="009E788A"/>
    <w:rsid w:val="009F0E08"/>
    <w:rsid w:val="009F122B"/>
    <w:rsid w:val="009F190F"/>
    <w:rsid w:val="00A11617"/>
    <w:rsid w:val="00A1763D"/>
    <w:rsid w:val="00A17CEC"/>
    <w:rsid w:val="00A202AE"/>
    <w:rsid w:val="00A218EF"/>
    <w:rsid w:val="00A262AA"/>
    <w:rsid w:val="00A27EF0"/>
    <w:rsid w:val="00A32234"/>
    <w:rsid w:val="00A36E63"/>
    <w:rsid w:val="00A40513"/>
    <w:rsid w:val="00A42361"/>
    <w:rsid w:val="00A50B20"/>
    <w:rsid w:val="00A5101D"/>
    <w:rsid w:val="00A51390"/>
    <w:rsid w:val="00A60D13"/>
    <w:rsid w:val="00A6523D"/>
    <w:rsid w:val="00A67E1F"/>
    <w:rsid w:val="00A7223D"/>
    <w:rsid w:val="00A72745"/>
    <w:rsid w:val="00A76EFC"/>
    <w:rsid w:val="00A87B97"/>
    <w:rsid w:val="00A87D50"/>
    <w:rsid w:val="00A91010"/>
    <w:rsid w:val="00A93EAC"/>
    <w:rsid w:val="00A94AE6"/>
    <w:rsid w:val="00A97F29"/>
    <w:rsid w:val="00A97F46"/>
    <w:rsid w:val="00AA6184"/>
    <w:rsid w:val="00AA702E"/>
    <w:rsid w:val="00AA7D26"/>
    <w:rsid w:val="00AB0964"/>
    <w:rsid w:val="00AB4AA9"/>
    <w:rsid w:val="00AB5011"/>
    <w:rsid w:val="00AC7368"/>
    <w:rsid w:val="00AD16B9"/>
    <w:rsid w:val="00AD6218"/>
    <w:rsid w:val="00AE1DAB"/>
    <w:rsid w:val="00AE377D"/>
    <w:rsid w:val="00AF072F"/>
    <w:rsid w:val="00AF0EBA"/>
    <w:rsid w:val="00AF5560"/>
    <w:rsid w:val="00B02C8A"/>
    <w:rsid w:val="00B1215A"/>
    <w:rsid w:val="00B13DE8"/>
    <w:rsid w:val="00B15EBF"/>
    <w:rsid w:val="00B17FBD"/>
    <w:rsid w:val="00B26A69"/>
    <w:rsid w:val="00B315A6"/>
    <w:rsid w:val="00B31813"/>
    <w:rsid w:val="00B33365"/>
    <w:rsid w:val="00B446F8"/>
    <w:rsid w:val="00B57B36"/>
    <w:rsid w:val="00B57E6F"/>
    <w:rsid w:val="00B6782D"/>
    <w:rsid w:val="00B70000"/>
    <w:rsid w:val="00B734E8"/>
    <w:rsid w:val="00B82A34"/>
    <w:rsid w:val="00B8686D"/>
    <w:rsid w:val="00B91100"/>
    <w:rsid w:val="00B93F69"/>
    <w:rsid w:val="00B95E16"/>
    <w:rsid w:val="00B97FC4"/>
    <w:rsid w:val="00BA0237"/>
    <w:rsid w:val="00BA0667"/>
    <w:rsid w:val="00BA5669"/>
    <w:rsid w:val="00BB1DDC"/>
    <w:rsid w:val="00BC26A9"/>
    <w:rsid w:val="00BC30C9"/>
    <w:rsid w:val="00BC79EE"/>
    <w:rsid w:val="00BD077D"/>
    <w:rsid w:val="00BD70B5"/>
    <w:rsid w:val="00BE3E58"/>
    <w:rsid w:val="00BF1D75"/>
    <w:rsid w:val="00C015CC"/>
    <w:rsid w:val="00C01616"/>
    <w:rsid w:val="00C0162B"/>
    <w:rsid w:val="00C02EB6"/>
    <w:rsid w:val="00C068ED"/>
    <w:rsid w:val="00C13991"/>
    <w:rsid w:val="00C22E0C"/>
    <w:rsid w:val="00C345B1"/>
    <w:rsid w:val="00C40142"/>
    <w:rsid w:val="00C4165A"/>
    <w:rsid w:val="00C52C3C"/>
    <w:rsid w:val="00C55E2E"/>
    <w:rsid w:val="00C57182"/>
    <w:rsid w:val="00C57863"/>
    <w:rsid w:val="00C624C8"/>
    <w:rsid w:val="00C640AF"/>
    <w:rsid w:val="00C6508F"/>
    <w:rsid w:val="00C65470"/>
    <w:rsid w:val="00C655FD"/>
    <w:rsid w:val="00C71F16"/>
    <w:rsid w:val="00C75407"/>
    <w:rsid w:val="00C870A8"/>
    <w:rsid w:val="00C93623"/>
    <w:rsid w:val="00C94434"/>
    <w:rsid w:val="00C9707F"/>
    <w:rsid w:val="00CA0D4A"/>
    <w:rsid w:val="00CA0D75"/>
    <w:rsid w:val="00CA119F"/>
    <w:rsid w:val="00CA1C95"/>
    <w:rsid w:val="00CA2E31"/>
    <w:rsid w:val="00CA4775"/>
    <w:rsid w:val="00CA5A9C"/>
    <w:rsid w:val="00CB2DD3"/>
    <w:rsid w:val="00CC4C20"/>
    <w:rsid w:val="00CD3517"/>
    <w:rsid w:val="00CD5FE2"/>
    <w:rsid w:val="00CE25DF"/>
    <w:rsid w:val="00CE7C68"/>
    <w:rsid w:val="00D001B9"/>
    <w:rsid w:val="00D02B4C"/>
    <w:rsid w:val="00D040C4"/>
    <w:rsid w:val="00D079C5"/>
    <w:rsid w:val="00D1512C"/>
    <w:rsid w:val="00D20AD1"/>
    <w:rsid w:val="00D21AEA"/>
    <w:rsid w:val="00D24440"/>
    <w:rsid w:val="00D26E49"/>
    <w:rsid w:val="00D3244E"/>
    <w:rsid w:val="00D32707"/>
    <w:rsid w:val="00D45F92"/>
    <w:rsid w:val="00D46B7E"/>
    <w:rsid w:val="00D50CC7"/>
    <w:rsid w:val="00D52757"/>
    <w:rsid w:val="00D55F43"/>
    <w:rsid w:val="00D5781A"/>
    <w:rsid w:val="00D57C84"/>
    <w:rsid w:val="00D6057D"/>
    <w:rsid w:val="00D6123B"/>
    <w:rsid w:val="00D648EC"/>
    <w:rsid w:val="00D71640"/>
    <w:rsid w:val="00D736A7"/>
    <w:rsid w:val="00D75D5C"/>
    <w:rsid w:val="00D76F1E"/>
    <w:rsid w:val="00D81AF1"/>
    <w:rsid w:val="00D836C5"/>
    <w:rsid w:val="00D84576"/>
    <w:rsid w:val="00D977D9"/>
    <w:rsid w:val="00DA1399"/>
    <w:rsid w:val="00DA24C6"/>
    <w:rsid w:val="00DA4D7B"/>
    <w:rsid w:val="00DA6943"/>
    <w:rsid w:val="00DB0E25"/>
    <w:rsid w:val="00DB3233"/>
    <w:rsid w:val="00DB7F6B"/>
    <w:rsid w:val="00DD271C"/>
    <w:rsid w:val="00DE264A"/>
    <w:rsid w:val="00DE3323"/>
    <w:rsid w:val="00DE6F29"/>
    <w:rsid w:val="00DE71B8"/>
    <w:rsid w:val="00DF5072"/>
    <w:rsid w:val="00E02310"/>
    <w:rsid w:val="00E02D18"/>
    <w:rsid w:val="00E041E7"/>
    <w:rsid w:val="00E23CA1"/>
    <w:rsid w:val="00E24D41"/>
    <w:rsid w:val="00E33DD7"/>
    <w:rsid w:val="00E347F4"/>
    <w:rsid w:val="00E409A8"/>
    <w:rsid w:val="00E434AA"/>
    <w:rsid w:val="00E4589D"/>
    <w:rsid w:val="00E50C12"/>
    <w:rsid w:val="00E650E1"/>
    <w:rsid w:val="00E65B91"/>
    <w:rsid w:val="00E7209D"/>
    <w:rsid w:val="00E7262F"/>
    <w:rsid w:val="00E72EAD"/>
    <w:rsid w:val="00E734FE"/>
    <w:rsid w:val="00E77223"/>
    <w:rsid w:val="00E83001"/>
    <w:rsid w:val="00E8528B"/>
    <w:rsid w:val="00E85B94"/>
    <w:rsid w:val="00E93AB3"/>
    <w:rsid w:val="00E978D0"/>
    <w:rsid w:val="00EA05B7"/>
    <w:rsid w:val="00EA4613"/>
    <w:rsid w:val="00EA7F91"/>
    <w:rsid w:val="00EB1523"/>
    <w:rsid w:val="00EB7B7C"/>
    <w:rsid w:val="00EC0E49"/>
    <w:rsid w:val="00EC101F"/>
    <w:rsid w:val="00EC1510"/>
    <w:rsid w:val="00EC1D9F"/>
    <w:rsid w:val="00EC766D"/>
    <w:rsid w:val="00ED6941"/>
    <w:rsid w:val="00EE0131"/>
    <w:rsid w:val="00EE17B0"/>
    <w:rsid w:val="00EE4C34"/>
    <w:rsid w:val="00EF06D9"/>
    <w:rsid w:val="00EF0A32"/>
    <w:rsid w:val="00EF57BD"/>
    <w:rsid w:val="00EF6238"/>
    <w:rsid w:val="00EF779C"/>
    <w:rsid w:val="00F03013"/>
    <w:rsid w:val="00F04FFD"/>
    <w:rsid w:val="00F07C59"/>
    <w:rsid w:val="00F223EE"/>
    <w:rsid w:val="00F232DF"/>
    <w:rsid w:val="00F24D6B"/>
    <w:rsid w:val="00F3013D"/>
    <w:rsid w:val="00F3049E"/>
    <w:rsid w:val="00F30C64"/>
    <w:rsid w:val="00F32BA2"/>
    <w:rsid w:val="00F32CDB"/>
    <w:rsid w:val="00F35B82"/>
    <w:rsid w:val="00F427EB"/>
    <w:rsid w:val="00F45868"/>
    <w:rsid w:val="00F50076"/>
    <w:rsid w:val="00F565FE"/>
    <w:rsid w:val="00F630AD"/>
    <w:rsid w:val="00F63A70"/>
    <w:rsid w:val="00F63D8C"/>
    <w:rsid w:val="00F64C5A"/>
    <w:rsid w:val="00F654C6"/>
    <w:rsid w:val="00F6679A"/>
    <w:rsid w:val="00F7534E"/>
    <w:rsid w:val="00F765BB"/>
    <w:rsid w:val="00F8589E"/>
    <w:rsid w:val="00F93EDF"/>
    <w:rsid w:val="00FA1802"/>
    <w:rsid w:val="00FA21D0"/>
    <w:rsid w:val="00FA4242"/>
    <w:rsid w:val="00FA5F5F"/>
    <w:rsid w:val="00FB13C4"/>
    <w:rsid w:val="00FB730C"/>
    <w:rsid w:val="00FC0407"/>
    <w:rsid w:val="00FC2695"/>
    <w:rsid w:val="00FC3E03"/>
    <w:rsid w:val="00FC3FC1"/>
    <w:rsid w:val="00FC7A1E"/>
    <w:rsid w:val="00FD04DB"/>
    <w:rsid w:val="00FD0EA8"/>
    <w:rsid w:val="1D41FB02"/>
    <w:rsid w:val="23C65F53"/>
    <w:rsid w:val="4E6C8444"/>
    <w:rsid w:val="5D0542A4"/>
    <w:rsid w:val="5D5B746A"/>
    <w:rsid w:val="6C7F31AD"/>
    <w:rsid w:val="74233CC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A32234"/>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A32234"/>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styleId="Nmerodelinha">
    <w:name w:val="line number"/>
    <w:basedOn w:val="Fontepargpadro"/>
    <w:uiPriority w:val="99"/>
    <w:semiHidden/>
    <w:unhideWhenUsed/>
    <w:rsid w:val="00F765BB"/>
  </w:style>
  <w:style w:type="paragraph" w:customStyle="1" w:styleId="Els-body-text">
    <w:name w:val="Els-body-text"/>
    <w:rsid w:val="00697C1F"/>
    <w:pPr>
      <w:spacing w:after="0" w:line="240" w:lineRule="auto"/>
      <w:jc w:val="both"/>
    </w:pPr>
    <w:rPr>
      <w:rFonts w:ascii="Times New Roman" w:eastAsia="Times New Roman" w:hAnsi="Times New Roman" w:cs="Times New Roman"/>
      <w:sz w:val="20"/>
      <w:szCs w:val="20"/>
      <w:lang w:val="en-US"/>
    </w:rPr>
  </w:style>
  <w:style w:type="paragraph" w:customStyle="1" w:styleId="Els-referenceno-number">
    <w:name w:val="Els-reference no-number"/>
    <w:basedOn w:val="Normal"/>
    <w:rsid w:val="00485E1C"/>
    <w:pPr>
      <w:tabs>
        <w:tab w:val="clear" w:pos="7100"/>
      </w:tabs>
      <w:spacing w:line="240" w:lineRule="auto"/>
      <w:ind w:left="240" w:hanging="240"/>
      <w:jc w:val="left"/>
    </w:pPr>
    <w:rPr>
      <w:rFonts w:ascii="Times New Roman" w:hAnsi="Times New Roman"/>
      <w:noProof/>
    </w:rPr>
  </w:style>
  <w:style w:type="paragraph" w:styleId="Reviso">
    <w:name w:val="Revision"/>
    <w:hidden/>
    <w:uiPriority w:val="99"/>
    <w:semiHidden/>
    <w:rsid w:val="0066110B"/>
    <w:pPr>
      <w:spacing w:after="0" w:line="240" w:lineRule="auto"/>
    </w:pPr>
    <w:rPr>
      <w:rFonts w:ascii="Arial" w:eastAsia="Times New Roman" w:hAnsi="Arial" w:cs="Times New Roman"/>
      <w:sz w:val="18"/>
      <w:szCs w:val="20"/>
      <w:lang w:val="en-GB"/>
    </w:rPr>
  </w:style>
  <w:style w:type="paragraph" w:customStyle="1" w:styleId="Els-1storder-head">
    <w:name w:val="Els-1storder-head"/>
    <w:basedOn w:val="Els-body-text"/>
    <w:next w:val="Els-body-text"/>
    <w:rsid w:val="0066110B"/>
    <w:pPr>
      <w:keepNext/>
      <w:suppressAutoHyphens/>
      <w:spacing w:before="240" w:after="60" w:line="240" w:lineRule="exact"/>
    </w:pPr>
    <w:rPr>
      <w:b/>
      <w:sz w:val="22"/>
    </w:rPr>
  </w:style>
  <w:style w:type="paragraph" w:customStyle="1" w:styleId="Els-2ndorder-head">
    <w:name w:val="Els-2ndorder-head"/>
    <w:basedOn w:val="Els-body-text"/>
    <w:next w:val="Els-body-text"/>
    <w:rsid w:val="0066110B"/>
    <w:pPr>
      <w:keepNext/>
      <w:suppressAutoHyphens/>
      <w:spacing w:before="80"/>
    </w:pPr>
    <w:rPr>
      <w:i/>
    </w:rPr>
  </w:style>
  <w:style w:type="paragraph" w:customStyle="1" w:styleId="Els-3rdorder-head">
    <w:name w:val="Els-3rdorder-head"/>
    <w:basedOn w:val="Els-body-text"/>
    <w:next w:val="Els-body-text"/>
    <w:rsid w:val="0066110B"/>
    <w:pPr>
      <w:keepNext/>
      <w:suppressAutoHyphens/>
      <w:spacing w:before="60"/>
    </w:pPr>
    <w:rPr>
      <w:i/>
    </w:rPr>
  </w:style>
  <w:style w:type="paragraph" w:customStyle="1" w:styleId="Els-Chapterno">
    <w:name w:val="Els-Chapter no"/>
    <w:rsid w:val="0066110B"/>
    <w:pPr>
      <w:spacing w:before="907" w:after="0" w:line="260" w:lineRule="exac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24766">
      <w:bodyDiv w:val="1"/>
      <w:marLeft w:val="0"/>
      <w:marRight w:val="0"/>
      <w:marTop w:val="0"/>
      <w:marBottom w:val="0"/>
      <w:divBdr>
        <w:top w:val="none" w:sz="0" w:space="0" w:color="auto"/>
        <w:left w:val="none" w:sz="0" w:space="0" w:color="auto"/>
        <w:bottom w:val="none" w:sz="0" w:space="0" w:color="auto"/>
        <w:right w:val="none" w:sz="0" w:space="0" w:color="auto"/>
      </w:divBdr>
    </w:div>
    <w:div w:id="162136589">
      <w:bodyDiv w:val="1"/>
      <w:marLeft w:val="0"/>
      <w:marRight w:val="0"/>
      <w:marTop w:val="0"/>
      <w:marBottom w:val="0"/>
      <w:divBdr>
        <w:top w:val="none" w:sz="0" w:space="0" w:color="auto"/>
        <w:left w:val="none" w:sz="0" w:space="0" w:color="auto"/>
        <w:bottom w:val="none" w:sz="0" w:space="0" w:color="auto"/>
        <w:right w:val="none" w:sz="0" w:space="0" w:color="auto"/>
      </w:divBdr>
    </w:div>
    <w:div w:id="363673290">
      <w:bodyDiv w:val="1"/>
      <w:marLeft w:val="0"/>
      <w:marRight w:val="0"/>
      <w:marTop w:val="0"/>
      <w:marBottom w:val="0"/>
      <w:divBdr>
        <w:top w:val="none" w:sz="0" w:space="0" w:color="auto"/>
        <w:left w:val="none" w:sz="0" w:space="0" w:color="auto"/>
        <w:bottom w:val="none" w:sz="0" w:space="0" w:color="auto"/>
        <w:right w:val="none" w:sz="0" w:space="0" w:color="auto"/>
      </w:divBdr>
    </w:div>
    <w:div w:id="369957543">
      <w:bodyDiv w:val="1"/>
      <w:marLeft w:val="0"/>
      <w:marRight w:val="0"/>
      <w:marTop w:val="0"/>
      <w:marBottom w:val="0"/>
      <w:divBdr>
        <w:top w:val="none" w:sz="0" w:space="0" w:color="auto"/>
        <w:left w:val="none" w:sz="0" w:space="0" w:color="auto"/>
        <w:bottom w:val="none" w:sz="0" w:space="0" w:color="auto"/>
        <w:right w:val="none" w:sz="0" w:space="0" w:color="auto"/>
      </w:divBdr>
    </w:div>
    <w:div w:id="425731705">
      <w:bodyDiv w:val="1"/>
      <w:marLeft w:val="0"/>
      <w:marRight w:val="0"/>
      <w:marTop w:val="0"/>
      <w:marBottom w:val="0"/>
      <w:divBdr>
        <w:top w:val="none" w:sz="0" w:space="0" w:color="auto"/>
        <w:left w:val="none" w:sz="0" w:space="0" w:color="auto"/>
        <w:bottom w:val="none" w:sz="0" w:space="0" w:color="auto"/>
        <w:right w:val="none" w:sz="0" w:space="0" w:color="auto"/>
      </w:divBdr>
    </w:div>
    <w:div w:id="508983696">
      <w:bodyDiv w:val="1"/>
      <w:marLeft w:val="0"/>
      <w:marRight w:val="0"/>
      <w:marTop w:val="0"/>
      <w:marBottom w:val="0"/>
      <w:divBdr>
        <w:top w:val="none" w:sz="0" w:space="0" w:color="auto"/>
        <w:left w:val="none" w:sz="0" w:space="0" w:color="auto"/>
        <w:bottom w:val="none" w:sz="0" w:space="0" w:color="auto"/>
        <w:right w:val="none" w:sz="0" w:space="0" w:color="auto"/>
      </w:divBdr>
    </w:div>
    <w:div w:id="54738131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8753">
      <w:bodyDiv w:val="1"/>
      <w:marLeft w:val="0"/>
      <w:marRight w:val="0"/>
      <w:marTop w:val="0"/>
      <w:marBottom w:val="0"/>
      <w:divBdr>
        <w:top w:val="none" w:sz="0" w:space="0" w:color="auto"/>
        <w:left w:val="none" w:sz="0" w:space="0" w:color="auto"/>
        <w:bottom w:val="none" w:sz="0" w:space="0" w:color="auto"/>
        <w:right w:val="none" w:sz="0" w:space="0" w:color="auto"/>
      </w:divBdr>
    </w:div>
    <w:div w:id="829369106">
      <w:bodyDiv w:val="1"/>
      <w:marLeft w:val="0"/>
      <w:marRight w:val="0"/>
      <w:marTop w:val="0"/>
      <w:marBottom w:val="0"/>
      <w:divBdr>
        <w:top w:val="none" w:sz="0" w:space="0" w:color="auto"/>
        <w:left w:val="none" w:sz="0" w:space="0" w:color="auto"/>
        <w:bottom w:val="none" w:sz="0" w:space="0" w:color="auto"/>
        <w:right w:val="none" w:sz="0" w:space="0" w:color="auto"/>
      </w:divBdr>
    </w:div>
    <w:div w:id="85854403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511677">
      <w:bodyDiv w:val="1"/>
      <w:marLeft w:val="0"/>
      <w:marRight w:val="0"/>
      <w:marTop w:val="0"/>
      <w:marBottom w:val="0"/>
      <w:divBdr>
        <w:top w:val="none" w:sz="0" w:space="0" w:color="auto"/>
        <w:left w:val="none" w:sz="0" w:space="0" w:color="auto"/>
        <w:bottom w:val="none" w:sz="0" w:space="0" w:color="auto"/>
        <w:right w:val="none" w:sz="0" w:space="0" w:color="auto"/>
      </w:divBdr>
    </w:div>
    <w:div w:id="891425538">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6177">
      <w:bodyDiv w:val="1"/>
      <w:marLeft w:val="0"/>
      <w:marRight w:val="0"/>
      <w:marTop w:val="0"/>
      <w:marBottom w:val="0"/>
      <w:divBdr>
        <w:top w:val="none" w:sz="0" w:space="0" w:color="auto"/>
        <w:left w:val="none" w:sz="0" w:space="0" w:color="auto"/>
        <w:bottom w:val="none" w:sz="0" w:space="0" w:color="auto"/>
        <w:right w:val="none" w:sz="0" w:space="0" w:color="auto"/>
      </w:divBdr>
    </w:div>
    <w:div w:id="972171650">
      <w:bodyDiv w:val="1"/>
      <w:marLeft w:val="0"/>
      <w:marRight w:val="0"/>
      <w:marTop w:val="0"/>
      <w:marBottom w:val="0"/>
      <w:divBdr>
        <w:top w:val="none" w:sz="0" w:space="0" w:color="auto"/>
        <w:left w:val="none" w:sz="0" w:space="0" w:color="auto"/>
        <w:bottom w:val="none" w:sz="0" w:space="0" w:color="auto"/>
        <w:right w:val="none" w:sz="0" w:space="0" w:color="auto"/>
      </w:divBdr>
    </w:div>
    <w:div w:id="975717933">
      <w:bodyDiv w:val="1"/>
      <w:marLeft w:val="0"/>
      <w:marRight w:val="0"/>
      <w:marTop w:val="0"/>
      <w:marBottom w:val="0"/>
      <w:divBdr>
        <w:top w:val="none" w:sz="0" w:space="0" w:color="auto"/>
        <w:left w:val="none" w:sz="0" w:space="0" w:color="auto"/>
        <w:bottom w:val="none" w:sz="0" w:space="0" w:color="auto"/>
        <w:right w:val="none" w:sz="0" w:space="0" w:color="auto"/>
      </w:divBdr>
    </w:div>
    <w:div w:id="1050959184">
      <w:bodyDiv w:val="1"/>
      <w:marLeft w:val="0"/>
      <w:marRight w:val="0"/>
      <w:marTop w:val="0"/>
      <w:marBottom w:val="0"/>
      <w:divBdr>
        <w:top w:val="none" w:sz="0" w:space="0" w:color="auto"/>
        <w:left w:val="none" w:sz="0" w:space="0" w:color="auto"/>
        <w:bottom w:val="none" w:sz="0" w:space="0" w:color="auto"/>
        <w:right w:val="none" w:sz="0" w:space="0" w:color="auto"/>
      </w:divBdr>
    </w:div>
    <w:div w:id="1148598431">
      <w:bodyDiv w:val="1"/>
      <w:marLeft w:val="0"/>
      <w:marRight w:val="0"/>
      <w:marTop w:val="0"/>
      <w:marBottom w:val="0"/>
      <w:divBdr>
        <w:top w:val="none" w:sz="0" w:space="0" w:color="auto"/>
        <w:left w:val="none" w:sz="0" w:space="0" w:color="auto"/>
        <w:bottom w:val="none" w:sz="0" w:space="0" w:color="auto"/>
        <w:right w:val="none" w:sz="0" w:space="0" w:color="auto"/>
      </w:divBdr>
    </w:div>
    <w:div w:id="1181893832">
      <w:bodyDiv w:val="1"/>
      <w:marLeft w:val="0"/>
      <w:marRight w:val="0"/>
      <w:marTop w:val="0"/>
      <w:marBottom w:val="0"/>
      <w:divBdr>
        <w:top w:val="none" w:sz="0" w:space="0" w:color="auto"/>
        <w:left w:val="none" w:sz="0" w:space="0" w:color="auto"/>
        <w:bottom w:val="none" w:sz="0" w:space="0" w:color="auto"/>
        <w:right w:val="none" w:sz="0" w:space="0" w:color="auto"/>
      </w:divBdr>
    </w:div>
    <w:div w:id="1185679342">
      <w:bodyDiv w:val="1"/>
      <w:marLeft w:val="0"/>
      <w:marRight w:val="0"/>
      <w:marTop w:val="0"/>
      <w:marBottom w:val="0"/>
      <w:divBdr>
        <w:top w:val="none" w:sz="0" w:space="0" w:color="auto"/>
        <w:left w:val="none" w:sz="0" w:space="0" w:color="auto"/>
        <w:bottom w:val="none" w:sz="0" w:space="0" w:color="auto"/>
        <w:right w:val="none" w:sz="0" w:space="0" w:color="auto"/>
      </w:divBdr>
    </w:div>
    <w:div w:id="1297103012">
      <w:bodyDiv w:val="1"/>
      <w:marLeft w:val="0"/>
      <w:marRight w:val="0"/>
      <w:marTop w:val="0"/>
      <w:marBottom w:val="0"/>
      <w:divBdr>
        <w:top w:val="none" w:sz="0" w:space="0" w:color="auto"/>
        <w:left w:val="none" w:sz="0" w:space="0" w:color="auto"/>
        <w:bottom w:val="none" w:sz="0" w:space="0" w:color="auto"/>
        <w:right w:val="none" w:sz="0" w:space="0" w:color="auto"/>
      </w:divBdr>
    </w:div>
    <w:div w:id="13287057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9032731">
      <w:bodyDiv w:val="1"/>
      <w:marLeft w:val="0"/>
      <w:marRight w:val="0"/>
      <w:marTop w:val="0"/>
      <w:marBottom w:val="0"/>
      <w:divBdr>
        <w:top w:val="none" w:sz="0" w:space="0" w:color="auto"/>
        <w:left w:val="none" w:sz="0" w:space="0" w:color="auto"/>
        <w:bottom w:val="none" w:sz="0" w:space="0" w:color="auto"/>
        <w:right w:val="none" w:sz="0" w:space="0" w:color="auto"/>
      </w:divBdr>
      <w:divsChild>
        <w:div w:id="460268985">
          <w:marLeft w:val="0"/>
          <w:marRight w:val="0"/>
          <w:marTop w:val="0"/>
          <w:marBottom w:val="0"/>
          <w:divBdr>
            <w:top w:val="single" w:sz="2" w:space="0" w:color="D9D9E3"/>
            <w:left w:val="single" w:sz="2" w:space="0" w:color="D9D9E3"/>
            <w:bottom w:val="single" w:sz="2" w:space="0" w:color="D9D9E3"/>
            <w:right w:val="single" w:sz="2" w:space="0" w:color="D9D9E3"/>
          </w:divBdr>
          <w:divsChild>
            <w:div w:id="644746395">
              <w:marLeft w:val="0"/>
              <w:marRight w:val="0"/>
              <w:marTop w:val="0"/>
              <w:marBottom w:val="0"/>
              <w:divBdr>
                <w:top w:val="single" w:sz="2" w:space="0" w:color="D9D9E3"/>
                <w:left w:val="single" w:sz="2" w:space="0" w:color="D9D9E3"/>
                <w:bottom w:val="single" w:sz="2" w:space="0" w:color="D9D9E3"/>
                <w:right w:val="single" w:sz="2" w:space="0" w:color="D9D9E3"/>
              </w:divBdr>
              <w:divsChild>
                <w:div w:id="679815362">
                  <w:marLeft w:val="0"/>
                  <w:marRight w:val="0"/>
                  <w:marTop w:val="0"/>
                  <w:marBottom w:val="0"/>
                  <w:divBdr>
                    <w:top w:val="single" w:sz="2" w:space="0" w:color="D9D9E3"/>
                    <w:left w:val="single" w:sz="2" w:space="0" w:color="D9D9E3"/>
                    <w:bottom w:val="single" w:sz="2" w:space="0" w:color="D9D9E3"/>
                    <w:right w:val="single" w:sz="2" w:space="0" w:color="D9D9E3"/>
                  </w:divBdr>
                  <w:divsChild>
                    <w:div w:id="1046299704">
                      <w:marLeft w:val="0"/>
                      <w:marRight w:val="0"/>
                      <w:marTop w:val="0"/>
                      <w:marBottom w:val="0"/>
                      <w:divBdr>
                        <w:top w:val="single" w:sz="2" w:space="0" w:color="D9D9E3"/>
                        <w:left w:val="single" w:sz="2" w:space="0" w:color="D9D9E3"/>
                        <w:bottom w:val="single" w:sz="2" w:space="0" w:color="D9D9E3"/>
                        <w:right w:val="single" w:sz="2" w:space="0" w:color="D9D9E3"/>
                      </w:divBdr>
                      <w:divsChild>
                        <w:div w:id="1367410643">
                          <w:marLeft w:val="0"/>
                          <w:marRight w:val="0"/>
                          <w:marTop w:val="0"/>
                          <w:marBottom w:val="0"/>
                          <w:divBdr>
                            <w:top w:val="single" w:sz="2" w:space="0" w:color="D9D9E3"/>
                            <w:left w:val="single" w:sz="2" w:space="0" w:color="D9D9E3"/>
                            <w:bottom w:val="single" w:sz="2" w:space="0" w:color="D9D9E3"/>
                            <w:right w:val="single" w:sz="2" w:space="0" w:color="D9D9E3"/>
                          </w:divBdr>
                          <w:divsChild>
                            <w:div w:id="575016599">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935932">
                                  <w:marLeft w:val="0"/>
                                  <w:marRight w:val="0"/>
                                  <w:marTop w:val="0"/>
                                  <w:marBottom w:val="0"/>
                                  <w:divBdr>
                                    <w:top w:val="single" w:sz="2" w:space="0" w:color="D9D9E3"/>
                                    <w:left w:val="single" w:sz="2" w:space="0" w:color="D9D9E3"/>
                                    <w:bottom w:val="single" w:sz="2" w:space="0" w:color="D9D9E3"/>
                                    <w:right w:val="single" w:sz="2" w:space="0" w:color="D9D9E3"/>
                                  </w:divBdr>
                                  <w:divsChild>
                                    <w:div w:id="1233587577">
                                      <w:marLeft w:val="0"/>
                                      <w:marRight w:val="0"/>
                                      <w:marTop w:val="0"/>
                                      <w:marBottom w:val="0"/>
                                      <w:divBdr>
                                        <w:top w:val="single" w:sz="2" w:space="0" w:color="D9D9E3"/>
                                        <w:left w:val="single" w:sz="2" w:space="0" w:color="D9D9E3"/>
                                        <w:bottom w:val="single" w:sz="2" w:space="0" w:color="D9D9E3"/>
                                        <w:right w:val="single" w:sz="2" w:space="0" w:color="D9D9E3"/>
                                      </w:divBdr>
                                      <w:divsChild>
                                        <w:div w:id="512569002">
                                          <w:marLeft w:val="0"/>
                                          <w:marRight w:val="0"/>
                                          <w:marTop w:val="0"/>
                                          <w:marBottom w:val="0"/>
                                          <w:divBdr>
                                            <w:top w:val="single" w:sz="2" w:space="0" w:color="D9D9E3"/>
                                            <w:left w:val="single" w:sz="2" w:space="0" w:color="D9D9E3"/>
                                            <w:bottom w:val="single" w:sz="2" w:space="0" w:color="D9D9E3"/>
                                            <w:right w:val="single" w:sz="2" w:space="0" w:color="D9D9E3"/>
                                          </w:divBdr>
                                          <w:divsChild>
                                            <w:div w:id="558974461">
                                              <w:marLeft w:val="0"/>
                                              <w:marRight w:val="0"/>
                                              <w:marTop w:val="0"/>
                                              <w:marBottom w:val="0"/>
                                              <w:divBdr>
                                                <w:top w:val="single" w:sz="2" w:space="0" w:color="D9D9E3"/>
                                                <w:left w:val="single" w:sz="2" w:space="0" w:color="D9D9E3"/>
                                                <w:bottom w:val="single" w:sz="2" w:space="0" w:color="D9D9E3"/>
                                                <w:right w:val="single" w:sz="2" w:space="0" w:color="D9D9E3"/>
                                              </w:divBdr>
                                              <w:divsChild>
                                                <w:div w:id="581835145">
                                                  <w:marLeft w:val="0"/>
                                                  <w:marRight w:val="0"/>
                                                  <w:marTop w:val="0"/>
                                                  <w:marBottom w:val="0"/>
                                                  <w:divBdr>
                                                    <w:top w:val="single" w:sz="2" w:space="0" w:color="D9D9E3"/>
                                                    <w:left w:val="single" w:sz="2" w:space="0" w:color="D9D9E3"/>
                                                    <w:bottom w:val="single" w:sz="2" w:space="0" w:color="D9D9E3"/>
                                                    <w:right w:val="single" w:sz="2" w:space="0" w:color="D9D9E3"/>
                                                  </w:divBdr>
                                                  <w:divsChild>
                                                    <w:div w:id="1067146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016578">
          <w:marLeft w:val="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86184348">
      <w:bodyDiv w:val="1"/>
      <w:marLeft w:val="0"/>
      <w:marRight w:val="0"/>
      <w:marTop w:val="0"/>
      <w:marBottom w:val="0"/>
      <w:divBdr>
        <w:top w:val="none" w:sz="0" w:space="0" w:color="auto"/>
        <w:left w:val="none" w:sz="0" w:space="0" w:color="auto"/>
        <w:bottom w:val="none" w:sz="0" w:space="0" w:color="auto"/>
        <w:right w:val="none" w:sz="0" w:space="0" w:color="auto"/>
      </w:divBdr>
    </w:div>
    <w:div w:id="163043476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2301">
      <w:bodyDiv w:val="1"/>
      <w:marLeft w:val="0"/>
      <w:marRight w:val="0"/>
      <w:marTop w:val="0"/>
      <w:marBottom w:val="0"/>
      <w:divBdr>
        <w:top w:val="none" w:sz="0" w:space="0" w:color="auto"/>
        <w:left w:val="none" w:sz="0" w:space="0" w:color="auto"/>
        <w:bottom w:val="none" w:sz="0" w:space="0" w:color="auto"/>
        <w:right w:val="none" w:sz="0" w:space="0" w:color="auto"/>
      </w:divBdr>
    </w:div>
    <w:div w:id="1879662572">
      <w:bodyDiv w:val="1"/>
      <w:marLeft w:val="0"/>
      <w:marRight w:val="0"/>
      <w:marTop w:val="0"/>
      <w:marBottom w:val="0"/>
      <w:divBdr>
        <w:top w:val="none" w:sz="0" w:space="0" w:color="auto"/>
        <w:left w:val="none" w:sz="0" w:space="0" w:color="auto"/>
        <w:bottom w:val="none" w:sz="0" w:space="0" w:color="auto"/>
        <w:right w:val="none" w:sz="0" w:space="0" w:color="auto"/>
      </w:divBdr>
    </w:div>
    <w:div w:id="1949656145">
      <w:bodyDiv w:val="1"/>
      <w:marLeft w:val="0"/>
      <w:marRight w:val="0"/>
      <w:marTop w:val="0"/>
      <w:marBottom w:val="0"/>
      <w:divBdr>
        <w:top w:val="none" w:sz="0" w:space="0" w:color="auto"/>
        <w:left w:val="none" w:sz="0" w:space="0" w:color="auto"/>
        <w:bottom w:val="none" w:sz="0" w:space="0" w:color="auto"/>
        <w:right w:val="none" w:sz="0" w:space="0" w:color="auto"/>
      </w:divBdr>
    </w:div>
    <w:div w:id="1978874680">
      <w:bodyDiv w:val="1"/>
      <w:marLeft w:val="0"/>
      <w:marRight w:val="0"/>
      <w:marTop w:val="0"/>
      <w:marBottom w:val="0"/>
      <w:divBdr>
        <w:top w:val="none" w:sz="0" w:space="0" w:color="auto"/>
        <w:left w:val="none" w:sz="0" w:space="0" w:color="auto"/>
        <w:bottom w:val="none" w:sz="0" w:space="0" w:color="auto"/>
        <w:right w:val="none" w:sz="0" w:space="0" w:color="auto"/>
      </w:divBdr>
    </w:div>
    <w:div w:id="206675660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99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F0E5239F7E8A343889B1AB8274A3A77" ma:contentTypeVersion="17" ma:contentTypeDescription="Crie um novo documento." ma:contentTypeScope="" ma:versionID="b1126a6c2a8928e40b4011184f36128f">
  <xsd:schema xmlns:xsd="http://www.w3.org/2001/XMLSchema" xmlns:xs="http://www.w3.org/2001/XMLSchema" xmlns:p="http://schemas.microsoft.com/office/2006/metadata/properties" xmlns:ns2="4a9c16a6-00b4-4a36-b548-d699e73d5107" xmlns:ns3="a0575313-034d-4a79-9d45-4470a3f13129" targetNamespace="http://schemas.microsoft.com/office/2006/metadata/properties" ma:root="true" ma:fieldsID="2c706a7e57036556c0bfdbbb11e0f87b" ns2:_="" ns3:_="">
    <xsd:import namespace="4a9c16a6-00b4-4a36-b548-d699e73d5107"/>
    <xsd:import namespace="a0575313-034d-4a79-9d45-4470a3f131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c16a6-00b4-4a36-b548-d699e73d5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a9107bda-5398-40d8-849a-05877950077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575313-034d-4a79-9d45-4470a3f13129"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6" nillable="true" ma:displayName="Coluna Global de Taxonomia" ma:hidden="true" ma:list="{1506bb57-e513-4d41-ab61-f2d511c282d3}" ma:internalName="TaxCatchAll" ma:showField="CatchAllData" ma:web="a0575313-034d-4a79-9d45-4470a3f131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customXml/itemProps2.xml><?xml version="1.0" encoding="utf-8"?>
<ds:datastoreItem xmlns:ds="http://schemas.openxmlformats.org/officeDocument/2006/customXml" ds:itemID="{B1A8E4B1-87E1-477D-9B14-6E570FAD0B3E}">
  <ds:schemaRefs>
    <ds:schemaRef ds:uri="http://schemas.microsoft.com/sharepoint/v3/contenttype/forms"/>
  </ds:schemaRefs>
</ds:datastoreItem>
</file>

<file path=customXml/itemProps3.xml><?xml version="1.0" encoding="utf-8"?>
<ds:datastoreItem xmlns:ds="http://schemas.openxmlformats.org/officeDocument/2006/customXml" ds:itemID="{8ED93C37-70F1-4651-9745-AFEE258CD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c16a6-00b4-4a36-b548-d699e73d5107"/>
    <ds:schemaRef ds:uri="a0575313-034d-4a79-9d45-4470a3f13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6</Pages>
  <Words>3492</Words>
  <Characters>18859</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Igor Lucas Rodrigues Dias</cp:lastModifiedBy>
  <cp:revision>37</cp:revision>
  <cp:lastPrinted>2015-05-12T18:31:00Z</cp:lastPrinted>
  <dcterms:created xsi:type="dcterms:W3CDTF">2024-01-29T14:31:00Z</dcterms:created>
  <dcterms:modified xsi:type="dcterms:W3CDTF">2024-04-01T16:02:00Z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