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87CF8E7" w:rsidR="000A03B2" w:rsidRPr="00B57B36" w:rsidRDefault="004E6815" w:rsidP="001D21AF">
            <w:pPr>
              <w:tabs>
                <w:tab w:val="left" w:pos="-108"/>
              </w:tabs>
              <w:ind w:left="-108"/>
              <w:rPr>
                <w:rFonts w:cs="Arial"/>
                <w:b/>
                <w:bCs/>
                <w:i/>
                <w:iCs/>
                <w:color w:val="000066"/>
                <w:sz w:val="22"/>
                <w:szCs w:val="22"/>
                <w:lang w:eastAsia="it-IT"/>
              </w:rPr>
            </w:pPr>
            <w:r>
              <w:rPr>
                <w:rFonts w:cs="Arial"/>
                <w:b/>
                <w:bCs/>
                <w:i/>
                <w:iCs/>
                <w:color w:val="000066"/>
                <w:sz w:val="22"/>
                <w:szCs w:val="22"/>
                <w:lang w:eastAsia="it-IT"/>
              </w:rPr>
              <w:t xml:space="preserve">VOL.   </w:t>
            </w:r>
            <w:proofErr w:type="gramStart"/>
            <w:r>
              <w:rPr>
                <w:rFonts w:cs="Arial"/>
                <w:b/>
                <w:bCs/>
                <w:i/>
                <w:iCs/>
                <w:color w:val="000066"/>
                <w:sz w:val="22"/>
                <w:szCs w:val="22"/>
                <w:lang w:eastAsia="it-IT"/>
              </w:rPr>
              <w:t xml:space="preserve">  ,</w:t>
            </w:r>
            <w:proofErr w:type="gramEnd"/>
            <w:r>
              <w:rPr>
                <w:rFonts w:cs="Arial"/>
                <w:b/>
                <w:bCs/>
                <w:i/>
                <w:iCs/>
                <w:color w:val="000066"/>
                <w:sz w:val="22"/>
                <w:szCs w:val="22"/>
                <w:lang w:eastAsia="it-IT"/>
              </w:rPr>
              <w:t xml:space="preserve"> 2024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2E60E647" w14:textId="77777777" w:rsidR="004E6815" w:rsidRDefault="004E6815" w:rsidP="004E6815">
            <w:pPr>
              <w:ind w:left="-107"/>
              <w:jc w:val="left"/>
              <w:outlineLvl w:val="2"/>
              <w:rPr>
                <w:rFonts w:ascii="Tahoma" w:hAnsi="Tahoma" w:cs="Tahoma"/>
                <w:bCs/>
                <w:color w:val="000000"/>
                <w:sz w:val="14"/>
                <w:szCs w:val="14"/>
                <w:lang w:eastAsia="it-IT"/>
              </w:rPr>
            </w:pPr>
            <w:r>
              <w:rPr>
                <w:rFonts w:ascii="Tahoma" w:hAnsi="Tahoma" w:cs="Tahoma"/>
                <w:iCs/>
                <w:color w:val="333333"/>
                <w:sz w:val="14"/>
                <w:szCs w:val="14"/>
                <w:lang w:eastAsia="it-IT"/>
              </w:rPr>
              <w:t>Guest Editors:</w:t>
            </w:r>
            <w:r>
              <w:rPr>
                <w:rFonts w:ascii="Tahoma" w:hAnsi="Tahoma" w:cs="Tahoma"/>
                <w:color w:val="000000"/>
                <w:sz w:val="14"/>
                <w:szCs w:val="14"/>
                <w:shd w:val="clear" w:color="auto" w:fill="FFFFFF"/>
              </w:rPr>
              <w:t xml:space="preserve"> Leonardo </w:t>
            </w:r>
            <w:proofErr w:type="spellStart"/>
            <w:r>
              <w:rPr>
                <w:rFonts w:ascii="Tahoma" w:hAnsi="Tahoma" w:cs="Tahoma"/>
                <w:color w:val="000000"/>
                <w:sz w:val="14"/>
                <w:szCs w:val="14"/>
                <w:shd w:val="clear" w:color="auto" w:fill="FFFFFF"/>
              </w:rPr>
              <w:t>Tognotti</w:t>
            </w:r>
            <w:proofErr w:type="spellEnd"/>
            <w:r>
              <w:rPr>
                <w:rFonts w:ascii="Tahoma" w:hAnsi="Tahoma" w:cs="Tahoma"/>
                <w:color w:val="000000"/>
                <w:sz w:val="14"/>
                <w:szCs w:val="14"/>
                <w:shd w:val="clear" w:color="auto" w:fill="FFFFFF"/>
              </w:rPr>
              <w:t xml:space="preserve">, </w:t>
            </w:r>
            <w:r>
              <w:rPr>
                <w:rFonts w:ascii="Tahoma" w:hAnsi="Tahoma" w:cs="Tahoma"/>
                <w:color w:val="000000"/>
                <w:sz w:val="14"/>
                <w:szCs w:val="14"/>
              </w:rPr>
              <w:t>Rubens Maciel Filho</w:t>
            </w:r>
            <w:r>
              <w:rPr>
                <w:rFonts w:ascii="Tahoma" w:hAnsi="Tahoma" w:cs="Tahoma"/>
                <w:color w:val="000000"/>
                <w:sz w:val="14"/>
                <w:szCs w:val="14"/>
                <w:shd w:val="clear" w:color="auto" w:fill="FFFFFF"/>
              </w:rPr>
              <w:t xml:space="preserve">, </w:t>
            </w:r>
            <w:r>
              <w:rPr>
                <w:rFonts w:ascii="Tahoma" w:hAnsi="Tahoma" w:cs="Tahoma"/>
                <w:color w:val="000000"/>
                <w:sz w:val="14"/>
                <w:szCs w:val="14"/>
              </w:rPr>
              <w:t xml:space="preserve">Viatcheslav </w:t>
            </w:r>
            <w:proofErr w:type="spellStart"/>
            <w:r>
              <w:rPr>
                <w:rFonts w:ascii="Tahoma" w:hAnsi="Tahoma" w:cs="Tahoma"/>
                <w:color w:val="000000"/>
                <w:sz w:val="14"/>
                <w:szCs w:val="14"/>
              </w:rPr>
              <w:t>Kafarov</w:t>
            </w:r>
            <w:proofErr w:type="spellEnd"/>
          </w:p>
          <w:p w14:paraId="1B0F1814" w14:textId="7A6C368F" w:rsidR="000A03B2" w:rsidRPr="00B57B36" w:rsidRDefault="004E6815" w:rsidP="004E6815">
            <w:pPr>
              <w:tabs>
                <w:tab w:val="left" w:pos="-108"/>
              </w:tabs>
              <w:spacing w:line="140" w:lineRule="atLeast"/>
              <w:ind w:left="-107"/>
              <w:jc w:val="left"/>
            </w:pPr>
            <w:r>
              <w:rPr>
                <w:rFonts w:ascii="Tahoma" w:hAnsi="Tahoma" w:cs="Tahoma"/>
                <w:iCs/>
                <w:color w:val="333333"/>
                <w:sz w:val="14"/>
                <w:szCs w:val="14"/>
                <w:lang w:eastAsia="it-IT"/>
              </w:rPr>
              <w:t xml:space="preserve">Copyright © 2024, AIDIC </w:t>
            </w:r>
            <w:proofErr w:type="spellStart"/>
            <w:r>
              <w:rPr>
                <w:rFonts w:ascii="Tahoma" w:hAnsi="Tahoma" w:cs="Tahoma"/>
                <w:iCs/>
                <w:color w:val="333333"/>
                <w:sz w:val="14"/>
                <w:szCs w:val="14"/>
                <w:lang w:eastAsia="it-IT"/>
              </w:rPr>
              <w:t>Servizi</w:t>
            </w:r>
            <w:proofErr w:type="spellEnd"/>
            <w:r>
              <w:rPr>
                <w:rFonts w:ascii="Tahoma" w:hAnsi="Tahoma" w:cs="Tahoma"/>
                <w:iCs/>
                <w:color w:val="333333"/>
                <w:sz w:val="14"/>
                <w:szCs w:val="14"/>
                <w:lang w:eastAsia="it-IT"/>
              </w:rPr>
              <w:t xml:space="preserve"> </w:t>
            </w:r>
            <w:proofErr w:type="spellStart"/>
            <w:r>
              <w:rPr>
                <w:rFonts w:ascii="Tahoma" w:hAnsi="Tahoma" w:cs="Tahoma"/>
                <w:iCs/>
                <w:color w:val="333333"/>
                <w:sz w:val="14"/>
                <w:szCs w:val="14"/>
                <w:lang w:eastAsia="it-IT"/>
              </w:rPr>
              <w:t>S.r.l</w:t>
            </w:r>
            <w:proofErr w:type="spellEnd"/>
            <w:r>
              <w:rPr>
                <w:rFonts w:ascii="Tahoma" w:hAnsi="Tahoma" w:cs="Tahoma"/>
                <w:iCs/>
                <w:color w:val="333333"/>
                <w:sz w:val="14"/>
                <w:szCs w:val="14"/>
                <w:lang w:eastAsia="it-IT"/>
              </w:rPr>
              <w:t>.</w:t>
            </w:r>
            <w:r>
              <w:rPr>
                <w:rFonts w:ascii="Tahoma" w:hAnsi="Tahoma" w:cs="Tahoma"/>
                <w:iCs/>
                <w:color w:val="333333"/>
                <w:sz w:val="14"/>
                <w:szCs w:val="14"/>
                <w:lang w:eastAsia="it-IT"/>
              </w:rPr>
              <w:br/>
            </w:r>
            <w:r>
              <w:rPr>
                <w:rFonts w:ascii="Tahoma" w:hAnsi="Tahoma" w:cs="Tahoma"/>
                <w:b/>
                <w:iCs/>
                <w:color w:val="000000"/>
                <w:sz w:val="14"/>
                <w:szCs w:val="14"/>
                <w:lang w:eastAsia="it-IT"/>
              </w:rPr>
              <w:t>ISBN</w:t>
            </w:r>
            <w:r>
              <w:rPr>
                <w:rFonts w:ascii="Tahoma" w:hAnsi="Tahoma" w:cs="Tahoma"/>
                <w:iCs/>
                <w:color w:val="000000"/>
                <w:sz w:val="14"/>
                <w:szCs w:val="14"/>
                <w:lang w:eastAsia="it-IT"/>
              </w:rPr>
              <w:t xml:space="preserve"> </w:t>
            </w:r>
            <w:r>
              <w:rPr>
                <w:rFonts w:ascii="Tahoma" w:hAnsi="Tahoma" w:cs="Tahoma"/>
                <w:sz w:val="14"/>
                <w:szCs w:val="14"/>
              </w:rPr>
              <w:t>979-12-81206-09-0</w:t>
            </w:r>
            <w:r>
              <w:rPr>
                <w:rFonts w:ascii="Tahoma" w:hAnsi="Tahoma" w:cs="Tahoma"/>
                <w:iCs/>
                <w:color w:val="333333"/>
                <w:sz w:val="14"/>
                <w:szCs w:val="14"/>
                <w:lang w:eastAsia="it-IT"/>
              </w:rPr>
              <w:t xml:space="preserve">; </w:t>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p>
        </w:tc>
      </w:tr>
    </w:tbl>
    <w:p w14:paraId="2E667253" w14:textId="0AE4A351" w:rsidR="00E978D0" w:rsidRPr="00B57B36" w:rsidRDefault="001A28CB" w:rsidP="00E978D0">
      <w:pPr>
        <w:pStyle w:val="CETTitle"/>
      </w:pPr>
      <w:r>
        <w:t xml:space="preserve">Co-pyrolysis of lignocellulosic residues and </w:t>
      </w:r>
      <w:r w:rsidR="00471939">
        <w:t>plastics</w:t>
      </w:r>
      <w:r>
        <w:t xml:space="preserve">: a simulation approach to predict product </w:t>
      </w:r>
      <w:proofErr w:type="gramStart"/>
      <w:r>
        <w:t>yields</w:t>
      </w:r>
      <w:proofErr w:type="gramEnd"/>
    </w:p>
    <w:p w14:paraId="0488FED2" w14:textId="1484BD14" w:rsidR="00B57E6F" w:rsidRPr="001A28CB" w:rsidRDefault="00B57E6F" w:rsidP="00B57E6F">
      <w:pPr>
        <w:pStyle w:val="CETAuthors"/>
        <w:rPr>
          <w:vertAlign w:val="superscript"/>
          <w:lang w:val="pt-BR"/>
        </w:rPr>
      </w:pPr>
      <w:bookmarkStart w:id="0" w:name="_Hlk145406981"/>
      <w:r w:rsidRPr="001A28CB">
        <w:rPr>
          <w:lang w:val="pt-BR"/>
        </w:rPr>
        <w:t>In</w:t>
      </w:r>
      <w:r w:rsidR="005222F0" w:rsidRPr="001A28CB">
        <w:rPr>
          <w:lang w:val="pt-BR"/>
        </w:rPr>
        <w:t>grid L. Motta</w:t>
      </w:r>
      <w:r w:rsidR="005222F0" w:rsidRPr="001A28CB">
        <w:rPr>
          <w:vertAlign w:val="superscript"/>
          <w:lang w:val="pt-BR"/>
        </w:rPr>
        <w:t>a</w:t>
      </w:r>
      <w:r w:rsidR="005222F0" w:rsidRPr="001A28CB">
        <w:rPr>
          <w:lang w:val="pt-BR"/>
        </w:rPr>
        <w:t>*, Andressa N. Marchesan</w:t>
      </w:r>
      <w:r w:rsidR="001A28CB" w:rsidRPr="001A28CB">
        <w:rPr>
          <w:vertAlign w:val="superscript"/>
          <w:lang w:val="pt-BR"/>
        </w:rPr>
        <w:t>b</w:t>
      </w:r>
      <w:r w:rsidR="005222F0" w:rsidRPr="001A28CB">
        <w:rPr>
          <w:lang w:val="pt-BR"/>
        </w:rPr>
        <w:t>, Henrique R. Guimarães</w:t>
      </w:r>
      <w:r w:rsidR="001A28CB">
        <w:rPr>
          <w:vertAlign w:val="superscript"/>
          <w:lang w:val="pt-BR"/>
        </w:rPr>
        <w:t>c</w:t>
      </w:r>
      <w:r w:rsidR="005222F0" w:rsidRPr="001A28CB">
        <w:rPr>
          <w:lang w:val="pt-BR"/>
        </w:rPr>
        <w:t>, Mateus F. Chagas</w:t>
      </w:r>
      <w:r w:rsidR="00571C9F">
        <w:rPr>
          <w:vertAlign w:val="superscript"/>
          <w:lang w:val="pt-BR"/>
        </w:rPr>
        <w:t>c</w:t>
      </w:r>
      <w:r w:rsidR="005222F0" w:rsidRPr="001A28CB">
        <w:rPr>
          <w:lang w:val="pt-BR"/>
        </w:rPr>
        <w:t>, Antonio Bonomi</w:t>
      </w:r>
      <w:r w:rsidR="00571C9F">
        <w:rPr>
          <w:vertAlign w:val="superscript"/>
          <w:lang w:val="pt-BR"/>
        </w:rPr>
        <w:t>c</w:t>
      </w:r>
      <w:r w:rsidR="005222F0" w:rsidRPr="001A28CB">
        <w:rPr>
          <w:lang w:val="pt-BR"/>
        </w:rPr>
        <w:t>, Maria Regina W. Maciel</w:t>
      </w:r>
      <w:r w:rsidR="00571C9F">
        <w:rPr>
          <w:vertAlign w:val="superscript"/>
          <w:lang w:val="pt-BR"/>
        </w:rPr>
        <w:t>b</w:t>
      </w:r>
      <w:r w:rsidR="005222F0" w:rsidRPr="001A28CB">
        <w:rPr>
          <w:lang w:val="pt-BR"/>
        </w:rPr>
        <w:t>, Rubens Maciel Filho</w:t>
      </w:r>
      <w:r w:rsidR="001A28CB">
        <w:rPr>
          <w:vertAlign w:val="superscript"/>
          <w:lang w:val="pt-BR"/>
        </w:rPr>
        <w:t>b</w:t>
      </w:r>
    </w:p>
    <w:p w14:paraId="4782F07A" w14:textId="17F4AE09" w:rsidR="001A28CB" w:rsidRPr="001A28CB" w:rsidRDefault="00B57E6F" w:rsidP="002A3895">
      <w:pPr>
        <w:pStyle w:val="CETAddress"/>
        <w:spacing w:line="240" w:lineRule="auto"/>
        <w:jc w:val="both"/>
      </w:pPr>
      <w:r w:rsidRPr="00B57B36">
        <w:rPr>
          <w:vertAlign w:val="superscript"/>
        </w:rPr>
        <w:t>a</w:t>
      </w:r>
      <w:r w:rsidR="001A28CB">
        <w:t>School of Mechanical Engineering, University of Campinas, Rua Mendeleyev 200, Campinas, Brazil. 13083-860</w:t>
      </w:r>
    </w:p>
    <w:p w14:paraId="6B2D21B3" w14:textId="20C54C57" w:rsidR="00B57E6F" w:rsidRPr="00B57B36" w:rsidRDefault="001A28CB" w:rsidP="002A3895">
      <w:pPr>
        <w:pStyle w:val="CETAddress"/>
        <w:spacing w:line="240" w:lineRule="auto"/>
        <w:jc w:val="both"/>
      </w:pPr>
      <w:r w:rsidRPr="001A28CB">
        <w:rPr>
          <w:vertAlign w:val="superscript"/>
        </w:rPr>
        <w:t>b</w:t>
      </w:r>
      <w:r w:rsidR="005222F0" w:rsidRPr="005222F0">
        <w:t>School of Chemical Engineering, University of Campinas, Av. Albert Einstein 500, Campinas, Brazil. 13083-852</w:t>
      </w:r>
    </w:p>
    <w:p w14:paraId="581AB87A" w14:textId="4C0E5A81" w:rsidR="001A28CB" w:rsidRDefault="00571C9F" w:rsidP="002A3895">
      <w:pPr>
        <w:pStyle w:val="CETemail"/>
        <w:spacing w:after="0" w:line="240" w:lineRule="auto"/>
        <w:jc w:val="both"/>
      </w:pPr>
      <w:r>
        <w:rPr>
          <w:vertAlign w:val="superscript"/>
        </w:rPr>
        <w:t>c</w:t>
      </w:r>
      <w:r w:rsidR="001A28CB" w:rsidRPr="001A28CB">
        <w:t>Brazilian Biorenewables National Laboratory, Brazilian Center for Research in Energy and Materials, R. Giuseppe Máximo Scolfaro, 10000, Campinas, Brazil. 13083-970</w:t>
      </w:r>
    </w:p>
    <w:p w14:paraId="73F1267A" w14:textId="163A5D51" w:rsidR="00B57E6F" w:rsidRPr="00B57B36" w:rsidRDefault="005222F0" w:rsidP="002A3895">
      <w:pPr>
        <w:pStyle w:val="CETemail"/>
        <w:spacing w:after="0" w:line="240" w:lineRule="auto"/>
        <w:jc w:val="both"/>
      </w:pPr>
      <w:r>
        <w:t>*imotta@unicamp.br</w:t>
      </w:r>
    </w:p>
    <w:p w14:paraId="1EE1FA0F" w14:textId="77777777" w:rsidR="001A28CB" w:rsidRDefault="001A28CB" w:rsidP="00600535">
      <w:pPr>
        <w:pStyle w:val="CETBodytext"/>
        <w:rPr>
          <w:lang w:val="en-GB"/>
        </w:rPr>
      </w:pPr>
      <w:bookmarkStart w:id="1" w:name="_Hlk495475023"/>
      <w:bookmarkEnd w:id="0"/>
    </w:p>
    <w:p w14:paraId="5916E166" w14:textId="73DCA5AA" w:rsidR="00EE696B" w:rsidRPr="00667BF4" w:rsidRDefault="00EE696B" w:rsidP="00EE696B">
      <w:pPr>
        <w:spacing w:line="240" w:lineRule="auto"/>
      </w:pPr>
      <w:r w:rsidRPr="00EE696B">
        <w:t>Plastic waste generation, a global environmental concern, has more than doubled over the past two decades. Given the rising projections of plastic use and waste by 2060, immediate actions are required to improve waste management and reduce plastic leakage. Plastic-to-fuel technologies such as co-pyrolysis of plastic and biomass residues are interesting option</w:t>
      </w:r>
      <w:r w:rsidR="00F84548">
        <w:t>s</w:t>
      </w:r>
      <w:r w:rsidRPr="00EE696B">
        <w:t xml:space="preserve"> for polymer chemical recycling. Co-pyrolysis happens at high temperatures, low residence times, and inert atmospheres and converts plastics and biomasses into liquid (bio-oil and wax), solid (char), and gaseous products of high heating value and economic interest. Although some development has been made in understanding the key aspects of biomass-plastic co-pyrolysis, little has been done toward representing such a process via simulation. In this context, this work developed, in Aspen </w:t>
      </w:r>
      <w:proofErr w:type="spellStart"/>
      <w:r w:rsidRPr="00EE696B">
        <w:t>Plus</w:t>
      </w:r>
      <w:r w:rsidRPr="00F84548">
        <w:rPr>
          <w:vertAlign w:val="superscript"/>
        </w:rPr>
        <w:t>TM</w:t>
      </w:r>
      <w:proofErr w:type="spellEnd"/>
      <w:r w:rsidRPr="00EE696B">
        <w:t xml:space="preserve">, a simulation of the co-pyrolysis of </w:t>
      </w:r>
      <w:r w:rsidR="00F84548">
        <w:t xml:space="preserve">xylan, a </w:t>
      </w:r>
      <w:r w:rsidRPr="00EE696B">
        <w:t xml:space="preserve">hemicellulose </w:t>
      </w:r>
      <w:r w:rsidR="00F84548">
        <w:t xml:space="preserve">type, </w:t>
      </w:r>
      <w:r w:rsidRPr="00EE696B">
        <w:t xml:space="preserve">and </w:t>
      </w:r>
      <w:r w:rsidR="00800EEA">
        <w:t xml:space="preserve">high-density </w:t>
      </w:r>
      <w:r w:rsidRPr="00EE696B">
        <w:t>polyethylene (PE)</w:t>
      </w:r>
      <w:r w:rsidR="00F84548">
        <w:t>. The simulation aimed</w:t>
      </w:r>
      <w:r w:rsidRPr="00EE696B">
        <w:t xml:space="preserve"> at representing the main co-pyrolysis phenomena using a hybrid </w:t>
      </w:r>
      <w:r w:rsidR="00F84548">
        <w:t>equilibrium</w:t>
      </w:r>
      <w:r w:rsidRPr="00EE696B">
        <w:t>-kinetic approach and properly predicting pyrolysis yields. The simulation was run at different temperatures (500–700 °C) and PE blending proportions (</w:t>
      </w:r>
      <w:r w:rsidR="00F84548">
        <w:t>1</w:t>
      </w:r>
      <w:r w:rsidRPr="00EE696B">
        <w:t>0–</w:t>
      </w:r>
      <w:r w:rsidR="00F84548">
        <w:t>9</w:t>
      </w:r>
      <w:r w:rsidRPr="00EE696B">
        <w:t>0</w:t>
      </w:r>
      <w:r w:rsidR="00F84548">
        <w:t xml:space="preserve"> </w:t>
      </w:r>
      <w:proofErr w:type="spellStart"/>
      <w:r w:rsidR="00F84548">
        <w:t>wt</w:t>
      </w:r>
      <w:proofErr w:type="spellEnd"/>
      <w:r w:rsidRPr="00EE696B">
        <w:t>%) and the results were compared to experimental data. The results have shown that</w:t>
      </w:r>
      <w:r w:rsidR="00F84548">
        <w:t xml:space="preserve"> </w:t>
      </w:r>
      <w:r w:rsidR="00F84548" w:rsidRPr="00F84548">
        <w:t xml:space="preserve">increasing pyrolysis </w:t>
      </w:r>
      <w:r w:rsidR="00F84548" w:rsidRPr="00667BF4">
        <w:t xml:space="preserve">temperatures produced higher bio-oil and gas yields </w:t>
      </w:r>
      <w:proofErr w:type="gramStart"/>
      <w:r w:rsidR="00F84548" w:rsidRPr="00667BF4">
        <w:t>as a result of</w:t>
      </w:r>
      <w:proofErr w:type="gramEnd"/>
      <w:r w:rsidR="00F84548" w:rsidRPr="00667BF4">
        <w:t xml:space="preserve"> higher degradation of the feedstock structure, while higher PE blending proportions had the opposite effect.</w:t>
      </w:r>
      <w:r w:rsidR="00CC2C1E" w:rsidRPr="00667BF4">
        <w:t xml:space="preserve"> As for the char yields, PE contents up to 70 </w:t>
      </w:r>
      <w:proofErr w:type="spellStart"/>
      <w:r w:rsidR="00CC2C1E" w:rsidRPr="00667BF4">
        <w:t>wt</w:t>
      </w:r>
      <w:proofErr w:type="spellEnd"/>
      <w:r w:rsidR="00CC2C1E" w:rsidRPr="00667BF4">
        <w:t>% decreased the char yields, while higher PE levels resulted in an opposing trend.</w:t>
      </w:r>
      <w:r w:rsidRPr="00667BF4">
        <w:t xml:space="preserve"> This work shows that combining polymer decomposition </w:t>
      </w:r>
      <w:r w:rsidR="00CC2C1E" w:rsidRPr="00667BF4">
        <w:t>equilibrium</w:t>
      </w:r>
      <w:r w:rsidRPr="00667BF4">
        <w:t xml:space="preserve"> and biomass fast pyrolysis kinetics reasonably predicts product yields and can be used for the design of co-pyrolysis processes and waste management chains</w:t>
      </w:r>
      <w:r w:rsidR="00556F2B" w:rsidRPr="00667BF4">
        <w:t>.</w:t>
      </w:r>
    </w:p>
    <w:p w14:paraId="6C47DA3E" w14:textId="77777777" w:rsidR="00F84548" w:rsidRPr="00667BF4" w:rsidRDefault="00F84548" w:rsidP="00EE696B">
      <w:pPr>
        <w:spacing w:line="240" w:lineRule="auto"/>
      </w:pPr>
    </w:p>
    <w:bookmarkEnd w:id="1"/>
    <w:p w14:paraId="476B2F2E" w14:textId="77777777" w:rsidR="00600535" w:rsidRPr="00667BF4" w:rsidRDefault="00600535" w:rsidP="00600535">
      <w:pPr>
        <w:pStyle w:val="CETHeading1"/>
        <w:rPr>
          <w:lang w:val="en-GB"/>
        </w:rPr>
      </w:pPr>
      <w:r w:rsidRPr="00667BF4">
        <w:rPr>
          <w:lang w:val="en-GB"/>
        </w:rPr>
        <w:t>Introduction</w:t>
      </w:r>
    </w:p>
    <w:p w14:paraId="037CC93C" w14:textId="75A71124" w:rsidR="002A3895" w:rsidRPr="00667BF4" w:rsidRDefault="002A3895" w:rsidP="009C0EF6">
      <w:pPr>
        <w:pStyle w:val="CETBodytext"/>
        <w:rPr>
          <w:lang w:val="en-GB"/>
        </w:rPr>
      </w:pPr>
      <w:r w:rsidRPr="00667BF4">
        <w:rPr>
          <w:lang w:val="en-GB"/>
        </w:rPr>
        <w:t xml:space="preserve">Plastic pollution is a global environmental issue, causing adverse effects </w:t>
      </w:r>
      <w:r w:rsidR="007D50C9" w:rsidRPr="00667BF4">
        <w:rPr>
          <w:lang w:val="en-GB"/>
        </w:rPr>
        <w:t>on</w:t>
      </w:r>
      <w:r w:rsidRPr="00667BF4">
        <w:rPr>
          <w:lang w:val="en-GB"/>
        </w:rPr>
        <w:t xml:space="preserve"> human health and ecosystems. Plastic waste generation worldwide more than doubled </w:t>
      </w:r>
      <w:r w:rsidR="007D50C9" w:rsidRPr="00667BF4">
        <w:rPr>
          <w:lang w:val="en-GB"/>
        </w:rPr>
        <w:t xml:space="preserve">from 2000 to </w:t>
      </w:r>
      <w:r w:rsidRPr="00667BF4">
        <w:rPr>
          <w:lang w:val="en-GB"/>
        </w:rPr>
        <w:t>2019, adding up to 353 million tonnes of polymer waste materials that are either recycled (9%), incinerated (19%), landfilled (50%), or mismanaged in the waste management chain (22%)</w:t>
      </w:r>
      <w:r w:rsidR="00251C97" w:rsidRPr="00667BF4">
        <w:rPr>
          <w:lang w:val="en-GB"/>
        </w:rPr>
        <w:t xml:space="preserve"> (O</w:t>
      </w:r>
      <w:r w:rsidR="004C5ED3" w:rsidRPr="00667BF4">
        <w:rPr>
          <w:lang w:val="en-GB"/>
        </w:rPr>
        <w:t>EC</w:t>
      </w:r>
      <w:r w:rsidR="00251C97" w:rsidRPr="00667BF4">
        <w:rPr>
          <w:lang w:val="en-GB"/>
        </w:rPr>
        <w:t>D, 2022a)</w:t>
      </w:r>
      <w:r w:rsidRPr="00667BF4">
        <w:rPr>
          <w:lang w:val="en-GB"/>
        </w:rPr>
        <w:t>. Considering the current impacts and the increas</w:t>
      </w:r>
      <w:r w:rsidR="007D50C9" w:rsidRPr="00667BF4">
        <w:rPr>
          <w:lang w:val="en-GB"/>
        </w:rPr>
        <w:t>ing</w:t>
      </w:r>
      <w:r w:rsidRPr="00667BF4">
        <w:rPr>
          <w:lang w:val="en-GB"/>
        </w:rPr>
        <w:t xml:space="preserve"> projections on plastic use and waste by 2060 (O</w:t>
      </w:r>
      <w:r w:rsidR="004C5ED3" w:rsidRPr="00667BF4">
        <w:rPr>
          <w:lang w:val="en-GB"/>
        </w:rPr>
        <w:t>EC</w:t>
      </w:r>
      <w:r w:rsidRPr="00667BF4">
        <w:rPr>
          <w:lang w:val="en-GB"/>
        </w:rPr>
        <w:t>D, 2022</w:t>
      </w:r>
      <w:r w:rsidR="00FE07DB" w:rsidRPr="00667BF4">
        <w:rPr>
          <w:lang w:val="en-GB"/>
        </w:rPr>
        <w:t>a</w:t>
      </w:r>
      <w:r w:rsidRPr="00667BF4">
        <w:rPr>
          <w:lang w:val="en-GB"/>
        </w:rPr>
        <w:t xml:space="preserve">), alternative </w:t>
      </w:r>
      <w:r w:rsidR="00FE07DB" w:rsidRPr="00667BF4">
        <w:rPr>
          <w:lang w:val="en-GB"/>
        </w:rPr>
        <w:t xml:space="preserve">chemical recycling methods are encouraged, such as the “plastic-to-fuel” </w:t>
      </w:r>
      <w:r w:rsidR="00C10B90" w:rsidRPr="00667BF4">
        <w:rPr>
          <w:lang w:val="en-GB"/>
        </w:rPr>
        <w:t xml:space="preserve">route </w:t>
      </w:r>
      <w:r w:rsidR="00FE07DB" w:rsidRPr="00667BF4">
        <w:rPr>
          <w:lang w:val="en-GB"/>
        </w:rPr>
        <w:t>or</w:t>
      </w:r>
      <w:r w:rsidRPr="00667BF4">
        <w:rPr>
          <w:lang w:val="en-GB"/>
        </w:rPr>
        <w:t xml:space="preserve"> thermochemical conversion processes</w:t>
      </w:r>
      <w:r w:rsidR="00FE07DB" w:rsidRPr="00667BF4">
        <w:rPr>
          <w:lang w:val="en-GB"/>
        </w:rPr>
        <w:t xml:space="preserve"> (O</w:t>
      </w:r>
      <w:r w:rsidR="004C5ED3" w:rsidRPr="00667BF4">
        <w:rPr>
          <w:lang w:val="en-GB"/>
        </w:rPr>
        <w:t>EC</w:t>
      </w:r>
      <w:r w:rsidR="00FE07DB" w:rsidRPr="00667BF4">
        <w:rPr>
          <w:lang w:val="en-GB"/>
        </w:rPr>
        <w:t>D, 2022b).</w:t>
      </w:r>
    </w:p>
    <w:p w14:paraId="3BE03A99" w14:textId="3CC42166" w:rsidR="00485CF9" w:rsidRPr="00667BF4" w:rsidRDefault="002A3895" w:rsidP="009C0EF6">
      <w:pPr>
        <w:pStyle w:val="CETBodytext"/>
      </w:pPr>
      <w:r w:rsidRPr="00667BF4">
        <w:rPr>
          <w:lang w:val="en-GB"/>
        </w:rPr>
        <w:t xml:space="preserve">Thermochemical conversion </w:t>
      </w:r>
      <w:r w:rsidR="007314B0" w:rsidRPr="00667BF4">
        <w:rPr>
          <w:lang w:val="en-GB"/>
        </w:rPr>
        <w:t>technologies</w:t>
      </w:r>
      <w:r w:rsidRPr="00667BF4">
        <w:rPr>
          <w:lang w:val="en-GB"/>
        </w:rPr>
        <w:t xml:space="preserve"> such as gasification (Motta et al., 2018) and pyrolysis (</w:t>
      </w:r>
      <w:r w:rsidR="00AD627E" w:rsidRPr="00667BF4">
        <w:rPr>
          <w:lang w:val="en-GB"/>
        </w:rPr>
        <w:t>Motta et al.</w:t>
      </w:r>
      <w:r w:rsidRPr="00667BF4">
        <w:rPr>
          <w:lang w:val="en-GB"/>
        </w:rPr>
        <w:t>, 202</w:t>
      </w:r>
      <w:r w:rsidR="00AD627E" w:rsidRPr="00667BF4">
        <w:rPr>
          <w:lang w:val="en-GB"/>
        </w:rPr>
        <w:t>3</w:t>
      </w:r>
      <w:r w:rsidRPr="00667BF4">
        <w:rPr>
          <w:lang w:val="en-GB"/>
        </w:rPr>
        <w:t xml:space="preserve">) consist of </w:t>
      </w:r>
      <w:r w:rsidR="00241814" w:rsidRPr="00667BF4">
        <w:rPr>
          <w:lang w:val="en-GB"/>
        </w:rPr>
        <w:t>transforming</w:t>
      </w:r>
      <w:r w:rsidRPr="00667BF4">
        <w:rPr>
          <w:lang w:val="en-GB"/>
        </w:rPr>
        <w:t xml:space="preserve"> a wide range of high-carbon-content materials into intermediate products </w:t>
      </w:r>
      <w:r w:rsidR="007D50C9" w:rsidRPr="00667BF4">
        <w:rPr>
          <w:lang w:val="en-GB"/>
        </w:rPr>
        <w:t>using</w:t>
      </w:r>
      <w:r w:rsidRPr="00667BF4">
        <w:rPr>
          <w:lang w:val="en-GB"/>
        </w:rPr>
        <w:t xml:space="preserve"> heat and catalysts (Guimarães</w:t>
      </w:r>
      <w:r w:rsidR="00DC70CB" w:rsidRPr="00667BF4">
        <w:rPr>
          <w:lang w:val="en-GB"/>
        </w:rPr>
        <w:t xml:space="preserve"> et al.</w:t>
      </w:r>
      <w:r w:rsidRPr="00667BF4">
        <w:rPr>
          <w:lang w:val="en-GB"/>
        </w:rPr>
        <w:t xml:space="preserve">, 2022). Particularly, fast pyrolysis </w:t>
      </w:r>
      <w:r w:rsidR="00485CF9" w:rsidRPr="00667BF4">
        <w:rPr>
          <w:lang w:val="en-GB"/>
        </w:rPr>
        <w:t xml:space="preserve">operates </w:t>
      </w:r>
      <w:r w:rsidRPr="00667BF4">
        <w:rPr>
          <w:lang w:val="en-GB"/>
        </w:rPr>
        <w:t xml:space="preserve">in the absence of oxygen at </w:t>
      </w:r>
      <w:r w:rsidRPr="00667BF4">
        <w:t>high temperatures (450</w:t>
      </w:r>
      <w:r w:rsidR="00C2198B" w:rsidRPr="00667BF4">
        <w:t>–</w:t>
      </w:r>
      <w:r w:rsidRPr="00667BF4">
        <w:t>550 °C) and low residence times (0.5</w:t>
      </w:r>
      <w:r w:rsidR="00C2198B" w:rsidRPr="00667BF4">
        <w:t>–</w:t>
      </w:r>
      <w:r w:rsidRPr="00667BF4">
        <w:t>5 s) to majorly convert carbonaceous feedstocks into a liquid product known as bio-oil</w:t>
      </w:r>
      <w:r w:rsidR="00C2198B" w:rsidRPr="00667BF4">
        <w:t xml:space="preserve"> or pyrolysis oil</w:t>
      </w:r>
      <w:r w:rsidRPr="00667BF4">
        <w:t>, as well as char and non-condensable gases (</w:t>
      </w:r>
      <w:proofErr w:type="spellStart"/>
      <w:r w:rsidRPr="00667BF4">
        <w:t>Demirbas</w:t>
      </w:r>
      <w:proofErr w:type="spellEnd"/>
      <w:r w:rsidRPr="00667BF4">
        <w:t xml:space="preserve">, 2007). </w:t>
      </w:r>
    </w:p>
    <w:p w14:paraId="7DBD372F" w14:textId="0284D414" w:rsidR="002A3895" w:rsidRPr="00667BF4" w:rsidRDefault="00485CF9" w:rsidP="009C0EF6">
      <w:pPr>
        <w:pStyle w:val="CETBodytext"/>
        <w:rPr>
          <w:lang w:val="en-GB"/>
        </w:rPr>
      </w:pPr>
      <w:r w:rsidRPr="00667BF4">
        <w:t xml:space="preserve">Among the several pyrolysis approaches, co-pyrolysis of lignocellulosic biomass and polymers </w:t>
      </w:r>
      <w:r w:rsidRPr="00667BF4">
        <w:rPr>
          <w:lang w:val="en-GB"/>
        </w:rPr>
        <w:t xml:space="preserve">has received great attention. The blending of biomass and polymer wastes generates a feed of increased H/C atomic ratio which, when pyrolyzed, results in suppressed coke formation, improved bio-oil quality, and enhanced carbon conversion efficiency (Xie et al., 2023). </w:t>
      </w:r>
      <w:r w:rsidR="005A5C46" w:rsidRPr="00667BF4">
        <w:rPr>
          <w:lang w:val="en-GB"/>
        </w:rPr>
        <w:t xml:space="preserve">Also, the fact that </w:t>
      </w:r>
      <w:r w:rsidR="00C62C4E" w:rsidRPr="00667BF4">
        <w:rPr>
          <w:lang w:val="en-GB"/>
        </w:rPr>
        <w:t xml:space="preserve">the structure of many polymers </w:t>
      </w:r>
      <w:r w:rsidR="007D50C9" w:rsidRPr="00667BF4">
        <w:rPr>
          <w:lang w:val="en-GB"/>
        </w:rPr>
        <w:t>is</w:t>
      </w:r>
      <w:r w:rsidR="005A5C46" w:rsidRPr="00667BF4">
        <w:rPr>
          <w:lang w:val="en-GB"/>
        </w:rPr>
        <w:t xml:space="preserve"> degraded at temperatures </w:t>
      </w:r>
      <w:r w:rsidR="00C62C4E" w:rsidRPr="00667BF4">
        <w:rPr>
          <w:lang w:val="en-GB"/>
        </w:rPr>
        <w:t xml:space="preserve">higher </w:t>
      </w:r>
      <w:r w:rsidR="005A5C46" w:rsidRPr="00667BF4">
        <w:rPr>
          <w:lang w:val="en-GB"/>
        </w:rPr>
        <w:t>than</w:t>
      </w:r>
      <w:r w:rsidR="00C62C4E" w:rsidRPr="00667BF4">
        <w:rPr>
          <w:lang w:val="en-GB"/>
        </w:rPr>
        <w:t xml:space="preserve"> those of</w:t>
      </w:r>
      <w:r w:rsidR="005A5C46" w:rsidRPr="00667BF4">
        <w:rPr>
          <w:lang w:val="en-GB"/>
        </w:rPr>
        <w:t xml:space="preserve"> biomass </w:t>
      </w:r>
      <w:r w:rsidR="00C62C4E" w:rsidRPr="00667BF4">
        <w:rPr>
          <w:lang w:val="en-GB"/>
        </w:rPr>
        <w:t>constituents</w:t>
      </w:r>
      <w:r w:rsidR="005A5C46" w:rsidRPr="00667BF4">
        <w:rPr>
          <w:lang w:val="en-GB"/>
        </w:rPr>
        <w:t xml:space="preserve"> allows pyrolysis to happen at temperature</w:t>
      </w:r>
      <w:r w:rsidR="00C62C4E" w:rsidRPr="00667BF4">
        <w:rPr>
          <w:lang w:val="en-GB"/>
        </w:rPr>
        <w:t xml:space="preserve"> levels</w:t>
      </w:r>
      <w:r w:rsidR="005A5C46" w:rsidRPr="00667BF4">
        <w:rPr>
          <w:lang w:val="en-GB"/>
        </w:rPr>
        <w:t xml:space="preserve"> </w:t>
      </w:r>
      <w:r w:rsidR="00556F2B" w:rsidRPr="00667BF4">
        <w:rPr>
          <w:lang w:val="en-GB"/>
        </w:rPr>
        <w:t xml:space="preserve">higher </w:t>
      </w:r>
      <w:r w:rsidR="00556F2B" w:rsidRPr="00667BF4">
        <w:rPr>
          <w:lang w:val="en-GB"/>
        </w:rPr>
        <w:lastRenderedPageBreak/>
        <w:t xml:space="preserve">than the usual pyrolysis temperatures </w:t>
      </w:r>
      <w:r w:rsidR="005A5C46" w:rsidRPr="00667BF4">
        <w:rPr>
          <w:lang w:val="en-GB"/>
        </w:rPr>
        <w:t>(</w:t>
      </w:r>
      <m:oMath>
        <m:r>
          <w:rPr>
            <w:rFonts w:ascii="Cambria Math" w:hAnsi="Cambria Math"/>
            <w:lang w:val="en-GB"/>
          </w:rPr>
          <m:t>≥</m:t>
        </m:r>
      </m:oMath>
      <w:r w:rsidR="00556F2B" w:rsidRPr="00667BF4">
        <w:rPr>
          <w:lang w:val="en-GB"/>
        </w:rPr>
        <w:t>5</w:t>
      </w:r>
      <w:r w:rsidR="005A5C46" w:rsidRPr="00667BF4">
        <w:rPr>
          <w:lang w:val="en-GB"/>
        </w:rPr>
        <w:t xml:space="preserve">00 °C), </w:t>
      </w:r>
      <w:r w:rsidR="00C62C4E" w:rsidRPr="00667BF4">
        <w:rPr>
          <w:lang w:val="en-GB"/>
        </w:rPr>
        <w:t>affecting pyrolytic product yields. However, such effects are</w:t>
      </w:r>
      <w:r w:rsidRPr="00667BF4">
        <w:rPr>
          <w:lang w:val="en-GB"/>
        </w:rPr>
        <w:t xml:space="preserve"> mostly studied via experiments (Kumagai et al., 2020; Xie et al., 2023)</w:t>
      </w:r>
      <w:r w:rsidR="00C62C4E" w:rsidRPr="00667BF4">
        <w:rPr>
          <w:lang w:val="en-GB"/>
        </w:rPr>
        <w:t>, in a way that c</w:t>
      </w:r>
      <w:r w:rsidRPr="00667BF4">
        <w:rPr>
          <w:lang w:val="en-GB"/>
        </w:rPr>
        <w:t xml:space="preserve">o-pyrolysis simulation could provide information on </w:t>
      </w:r>
      <w:r w:rsidR="00C729A5" w:rsidRPr="00667BF4">
        <w:rPr>
          <w:lang w:val="en-GB"/>
        </w:rPr>
        <w:t xml:space="preserve">the effect of process variables on </w:t>
      </w:r>
      <w:r w:rsidRPr="00667BF4">
        <w:rPr>
          <w:lang w:val="en-GB"/>
        </w:rPr>
        <w:t>product quality and yields for process design purposes</w:t>
      </w:r>
      <w:r w:rsidR="00C729A5" w:rsidRPr="00667BF4">
        <w:rPr>
          <w:lang w:val="en-GB"/>
        </w:rPr>
        <w:t xml:space="preserve"> in a faster and cheaper way.</w:t>
      </w:r>
    </w:p>
    <w:p w14:paraId="26EE86C5" w14:textId="4AAEB807" w:rsidR="00C472BF" w:rsidRPr="00667BF4" w:rsidRDefault="00485CF9" w:rsidP="00C472BF">
      <w:pPr>
        <w:pStyle w:val="CETListbullets"/>
        <w:ind w:left="0" w:firstLine="0"/>
      </w:pPr>
      <w:r w:rsidRPr="00667BF4">
        <w:t xml:space="preserve">This work developed the simulation of a co-pyrolysis reactor in Aspen </w:t>
      </w:r>
      <w:proofErr w:type="spellStart"/>
      <w:r w:rsidRPr="00667BF4">
        <w:t>Plus</w:t>
      </w:r>
      <w:r w:rsidRPr="00667BF4">
        <w:rPr>
          <w:vertAlign w:val="superscript"/>
        </w:rPr>
        <w:t>TM</w:t>
      </w:r>
      <w:proofErr w:type="spellEnd"/>
      <w:r w:rsidRPr="00667BF4">
        <w:t xml:space="preserve">, aiming to represent the phenomena involved in the co-pyrolysis of polymer and lignocellulosic residues and predict product yields. Feedstock composition and product outputs of the work of Xie et al. (2023) on the experimental co-pyrolysis of xylan and </w:t>
      </w:r>
      <w:r w:rsidR="00C10B90" w:rsidRPr="00667BF4">
        <w:t>high-density polyethylene (</w:t>
      </w:r>
      <w:r w:rsidR="00A2723A" w:rsidRPr="00667BF4">
        <w:t>PE</w:t>
      </w:r>
      <w:r w:rsidR="00C10B90" w:rsidRPr="00667BF4">
        <w:t>)</w:t>
      </w:r>
      <w:r w:rsidRPr="00667BF4">
        <w:t xml:space="preserve"> have been used</w:t>
      </w:r>
      <w:r w:rsidR="005A5C46" w:rsidRPr="00667BF4">
        <w:t xml:space="preserve"> for feedstock selection, process simulation, and validation</w:t>
      </w:r>
      <w:r w:rsidRPr="00667BF4">
        <w:t>. This work shows that the combination of polymer decomposition and biomass fast pyrolysis kinetic expressions satisfactorily predicts product yields and can be used for further process design</w:t>
      </w:r>
      <w:r w:rsidR="00D84CD4" w:rsidRPr="00667BF4">
        <w:t xml:space="preserve"> and evaluation</w:t>
      </w:r>
      <w:r w:rsidRPr="00667BF4">
        <w:t>.</w:t>
      </w:r>
    </w:p>
    <w:p w14:paraId="6DF23643" w14:textId="77777777" w:rsidR="008B1DF6" w:rsidRPr="00667BF4" w:rsidRDefault="008B1DF6" w:rsidP="00C472BF">
      <w:pPr>
        <w:pStyle w:val="CETListbullets"/>
        <w:ind w:left="0" w:firstLine="0"/>
      </w:pPr>
    </w:p>
    <w:p w14:paraId="17398F8C" w14:textId="11F4CF65" w:rsidR="00C472BF" w:rsidRPr="00667BF4" w:rsidRDefault="00C472BF" w:rsidP="00C472BF">
      <w:pPr>
        <w:pStyle w:val="CETHeading1"/>
      </w:pPr>
      <w:r w:rsidRPr="00667BF4">
        <w:t>Methods</w:t>
      </w:r>
    </w:p>
    <w:p w14:paraId="0001FCB6" w14:textId="77777777" w:rsidR="001A0011" w:rsidRPr="00667BF4" w:rsidRDefault="001A0011" w:rsidP="001A0011">
      <w:pPr>
        <w:pStyle w:val="CETheadingx"/>
      </w:pPr>
      <w:r w:rsidRPr="00667BF4">
        <w:t>Feedstock composition and co-pyrolysis scenarios</w:t>
      </w:r>
    </w:p>
    <w:p w14:paraId="4C1F3FA6" w14:textId="32C28A3D" w:rsidR="0063666D" w:rsidRPr="00667BF4" w:rsidRDefault="0063666D" w:rsidP="006F5BE8">
      <w:pPr>
        <w:pStyle w:val="CETBodytext"/>
      </w:pPr>
      <w:r w:rsidRPr="00667BF4">
        <w:t xml:space="preserve">The feedstocks used in </w:t>
      </w:r>
      <w:r w:rsidR="00C729A5" w:rsidRPr="00667BF4">
        <w:t xml:space="preserve">this work </w:t>
      </w:r>
      <w:r w:rsidR="005149C5" w:rsidRPr="00667BF4">
        <w:t>were</w:t>
      </w:r>
      <w:r w:rsidRPr="00667BF4">
        <w:t xml:space="preserve"> xylan</w:t>
      </w:r>
      <w:r w:rsidR="00510FBA" w:rsidRPr="00667BF4">
        <w:t xml:space="preserve"> </w:t>
      </w:r>
      <w:r w:rsidRPr="00667BF4">
        <w:t>and high-density PE</w:t>
      </w:r>
      <w:r w:rsidR="00C729A5" w:rsidRPr="00667BF4">
        <w:t xml:space="preserve">, as these were the </w:t>
      </w:r>
      <w:r w:rsidR="00766266" w:rsidRPr="00667BF4">
        <w:t>materials</w:t>
      </w:r>
      <w:r w:rsidR="00C729A5" w:rsidRPr="00667BF4">
        <w:t xml:space="preserve"> assessed in the work of Xie et al. (2023), used as an experimental reference in the present study.</w:t>
      </w:r>
      <w:r w:rsidRPr="00667BF4">
        <w:t xml:space="preserve"> Xylan was represented by glutaric acid (C</w:t>
      </w:r>
      <w:r w:rsidRPr="00667BF4">
        <w:rPr>
          <w:vertAlign w:val="subscript"/>
        </w:rPr>
        <w:t>5</w:t>
      </w:r>
      <w:r w:rsidRPr="00667BF4">
        <w:t>H</w:t>
      </w:r>
      <w:r w:rsidRPr="00667BF4">
        <w:rPr>
          <w:vertAlign w:val="subscript"/>
        </w:rPr>
        <w:t>8</w:t>
      </w:r>
      <w:r w:rsidRPr="00667BF4">
        <w:t>O</w:t>
      </w:r>
      <w:r w:rsidRPr="00667BF4">
        <w:rPr>
          <w:vertAlign w:val="subscript"/>
        </w:rPr>
        <w:t>4</w:t>
      </w:r>
      <w:r w:rsidRPr="00667BF4">
        <w:t>) (</w:t>
      </w:r>
      <w:proofErr w:type="spellStart"/>
      <w:r w:rsidRPr="00667BF4">
        <w:t>Ranzi</w:t>
      </w:r>
      <w:proofErr w:type="spellEnd"/>
      <w:r w:rsidRPr="00667BF4">
        <w:t xml:space="preserve"> et al., 2017)</w:t>
      </w:r>
      <w:r w:rsidR="00A51FDD" w:rsidRPr="00667BF4">
        <w:t xml:space="preserve">. </w:t>
      </w:r>
      <w:r w:rsidRPr="00667BF4">
        <w:t>P</w:t>
      </w:r>
      <w:r w:rsidR="00A51FDD" w:rsidRPr="00667BF4">
        <w:t>E ((C</w:t>
      </w:r>
      <w:r w:rsidR="00A51FDD" w:rsidRPr="00667BF4">
        <w:rPr>
          <w:vertAlign w:val="subscript"/>
        </w:rPr>
        <w:t>2</w:t>
      </w:r>
      <w:r w:rsidR="00A51FDD" w:rsidRPr="00667BF4">
        <w:t>H</w:t>
      </w:r>
      <w:proofErr w:type="gramStart"/>
      <w:r w:rsidR="00A51FDD" w:rsidRPr="00667BF4">
        <w:rPr>
          <w:vertAlign w:val="subscript"/>
        </w:rPr>
        <w:t>4</w:t>
      </w:r>
      <w:r w:rsidR="00A51FDD" w:rsidRPr="00667BF4">
        <w:t>)</w:t>
      </w:r>
      <w:r w:rsidR="00A51FDD" w:rsidRPr="00667BF4">
        <w:rPr>
          <w:vertAlign w:val="subscript"/>
        </w:rPr>
        <w:t>n</w:t>
      </w:r>
      <w:proofErr w:type="gramEnd"/>
      <w:r w:rsidR="00A51FDD" w:rsidRPr="00667BF4">
        <w:t xml:space="preserve">) </w:t>
      </w:r>
      <w:r w:rsidRPr="00667BF4">
        <w:t xml:space="preserve">was represented by </w:t>
      </w:r>
      <w:r w:rsidR="002C1F19" w:rsidRPr="00667BF4">
        <w:t xml:space="preserve">its ultimate (85.6 </w:t>
      </w:r>
      <w:proofErr w:type="spellStart"/>
      <w:r w:rsidR="002C1F19" w:rsidRPr="00667BF4">
        <w:t>wt</w:t>
      </w:r>
      <w:proofErr w:type="spellEnd"/>
      <w:r w:rsidR="002C1F19" w:rsidRPr="00667BF4">
        <w:t xml:space="preserve">% C, 14.4 </w:t>
      </w:r>
      <w:proofErr w:type="spellStart"/>
      <w:r w:rsidR="002C1F19" w:rsidRPr="00667BF4">
        <w:t>wt</w:t>
      </w:r>
      <w:proofErr w:type="spellEnd"/>
      <w:r w:rsidR="002C1F19" w:rsidRPr="00667BF4">
        <w:t xml:space="preserve">% H) and proximate analyses (0.02 </w:t>
      </w:r>
      <w:proofErr w:type="spellStart"/>
      <w:r w:rsidR="002C1F19" w:rsidRPr="00667BF4">
        <w:t>wt</w:t>
      </w:r>
      <w:proofErr w:type="spellEnd"/>
      <w:r w:rsidR="002C1F19" w:rsidRPr="00667BF4">
        <w:t xml:space="preserve">% fixed carbon, 99.19 </w:t>
      </w:r>
      <w:proofErr w:type="spellStart"/>
      <w:r w:rsidR="002C1F19" w:rsidRPr="00667BF4">
        <w:t>wt</w:t>
      </w:r>
      <w:proofErr w:type="spellEnd"/>
      <w:r w:rsidR="002C1F19" w:rsidRPr="00667BF4">
        <w:t xml:space="preserve">% volatiles, 0.79 </w:t>
      </w:r>
      <w:proofErr w:type="spellStart"/>
      <w:r w:rsidR="002C1F19" w:rsidRPr="00667BF4">
        <w:t>wt</w:t>
      </w:r>
      <w:proofErr w:type="spellEnd"/>
      <w:r w:rsidR="002C1F19" w:rsidRPr="00667BF4">
        <w:t xml:space="preserve">% ash, </w:t>
      </w:r>
      <w:r w:rsidR="00C10B90" w:rsidRPr="00667BF4">
        <w:t>a</w:t>
      </w:r>
      <w:r w:rsidR="005149C5" w:rsidRPr="00667BF4">
        <w:t xml:space="preserve"> mean composition calculated </w:t>
      </w:r>
      <w:r w:rsidR="002C1F19" w:rsidRPr="00667BF4">
        <w:t xml:space="preserve">from the values reported by </w:t>
      </w:r>
      <w:proofErr w:type="spellStart"/>
      <w:r w:rsidR="002C1F19" w:rsidRPr="00667BF4">
        <w:t>Sharuddin</w:t>
      </w:r>
      <w:proofErr w:type="spellEnd"/>
      <w:r w:rsidR="002C1F19" w:rsidRPr="00667BF4">
        <w:t xml:space="preserve"> et al. (2016)).</w:t>
      </w:r>
      <w:r w:rsidR="00A51FDD" w:rsidRPr="00667BF4">
        <w:t xml:space="preserve"> Mixtures of xylan and PE at different PE proportions were considered: </w:t>
      </w:r>
      <w:r w:rsidR="008612AE" w:rsidRPr="00667BF4">
        <w:t>1</w:t>
      </w:r>
      <w:r w:rsidR="00A51FDD" w:rsidRPr="00667BF4">
        <w:t xml:space="preserve">0PE, </w:t>
      </w:r>
      <w:r w:rsidR="008612AE" w:rsidRPr="00667BF4">
        <w:t>30</w:t>
      </w:r>
      <w:r w:rsidR="00A51FDD" w:rsidRPr="00667BF4">
        <w:t xml:space="preserve">PE, 50PE, </w:t>
      </w:r>
      <w:r w:rsidR="008612AE" w:rsidRPr="00667BF4">
        <w:t>70</w:t>
      </w:r>
      <w:r w:rsidR="00A51FDD" w:rsidRPr="00667BF4">
        <w:t xml:space="preserve">PE, </w:t>
      </w:r>
      <w:r w:rsidR="007D50C9" w:rsidRPr="00667BF4">
        <w:t xml:space="preserve">and </w:t>
      </w:r>
      <w:r w:rsidR="008612AE" w:rsidRPr="00667BF4">
        <w:t>90</w:t>
      </w:r>
      <w:r w:rsidR="00A51FDD" w:rsidRPr="00667BF4">
        <w:t xml:space="preserve">PE, referring to feeds with </w:t>
      </w:r>
      <w:r w:rsidR="008612AE" w:rsidRPr="00667BF4">
        <w:t>1</w:t>
      </w:r>
      <w:r w:rsidR="00A51FDD" w:rsidRPr="00667BF4">
        <w:t xml:space="preserve">0, </w:t>
      </w:r>
      <w:r w:rsidR="008612AE" w:rsidRPr="00667BF4">
        <w:t>30</w:t>
      </w:r>
      <w:r w:rsidR="00A51FDD" w:rsidRPr="00667BF4">
        <w:t xml:space="preserve">, 50, </w:t>
      </w:r>
      <w:r w:rsidR="008612AE" w:rsidRPr="00667BF4">
        <w:t>70</w:t>
      </w:r>
      <w:r w:rsidR="00A51FDD" w:rsidRPr="00667BF4">
        <w:t xml:space="preserve">, and </w:t>
      </w:r>
      <w:r w:rsidR="008612AE" w:rsidRPr="00667BF4">
        <w:t>90</w:t>
      </w:r>
      <w:r w:rsidR="00A51FDD" w:rsidRPr="00667BF4">
        <w:t xml:space="preserve"> </w:t>
      </w:r>
      <w:proofErr w:type="spellStart"/>
      <w:r w:rsidR="00A51FDD" w:rsidRPr="00667BF4">
        <w:t>wt</w:t>
      </w:r>
      <w:proofErr w:type="spellEnd"/>
      <w:r w:rsidR="00A51FDD" w:rsidRPr="00667BF4">
        <w:t>% PE in the composition, respectively.</w:t>
      </w:r>
      <w:r w:rsidR="005149C5" w:rsidRPr="00667BF4">
        <w:t xml:space="preserve"> The</w:t>
      </w:r>
      <w:r w:rsidR="00C10B90" w:rsidRPr="00667BF4">
        <w:t xml:space="preserve"> co-pyrolysis simulation of the</w:t>
      </w:r>
      <w:r w:rsidR="00800EEA" w:rsidRPr="00667BF4">
        <w:t xml:space="preserve"> xylan-PE </w:t>
      </w:r>
      <w:r w:rsidR="00A859E8" w:rsidRPr="00667BF4">
        <w:t xml:space="preserve">feedstocks </w:t>
      </w:r>
      <w:r w:rsidR="00C10B90" w:rsidRPr="00667BF4">
        <w:t>was run in</w:t>
      </w:r>
      <w:r w:rsidR="00A859E8" w:rsidRPr="00667BF4">
        <w:t xml:space="preserve"> the temperature range</w:t>
      </w:r>
      <w:r w:rsidR="00800EEA" w:rsidRPr="00667BF4">
        <w:t xml:space="preserve"> </w:t>
      </w:r>
      <w:r w:rsidR="005149C5" w:rsidRPr="00667BF4">
        <w:t>of 500–700 °C</w:t>
      </w:r>
      <w:r w:rsidR="00C10B90" w:rsidRPr="00667BF4">
        <w:t>,</w:t>
      </w:r>
      <w:r w:rsidR="005149C5" w:rsidRPr="00667BF4">
        <w:t xml:space="preserve"> as per the work of Xie et al. (20</w:t>
      </w:r>
      <w:r w:rsidR="008612AE" w:rsidRPr="00667BF4">
        <w:t>2</w:t>
      </w:r>
      <w:r w:rsidR="005149C5" w:rsidRPr="00667BF4">
        <w:t>3).</w:t>
      </w:r>
    </w:p>
    <w:p w14:paraId="69265DD6" w14:textId="77777777" w:rsidR="0063666D" w:rsidRPr="00667BF4" w:rsidRDefault="0063666D" w:rsidP="006F5BE8">
      <w:pPr>
        <w:pStyle w:val="CETBodytext"/>
      </w:pPr>
    </w:p>
    <w:p w14:paraId="4C8FFE69" w14:textId="78600500" w:rsidR="00AB70AC" w:rsidRPr="00667BF4" w:rsidRDefault="00AB70AC" w:rsidP="00AB70AC">
      <w:pPr>
        <w:pStyle w:val="CETheadingx"/>
      </w:pPr>
      <w:r w:rsidRPr="00667BF4">
        <w:t xml:space="preserve">Simulation in Aspen </w:t>
      </w:r>
      <w:proofErr w:type="spellStart"/>
      <w:r w:rsidRPr="00667BF4">
        <w:t>Plus</w:t>
      </w:r>
      <w:r w:rsidRPr="00667BF4">
        <w:rPr>
          <w:vertAlign w:val="superscript"/>
        </w:rPr>
        <w:t>TM</w:t>
      </w:r>
      <w:proofErr w:type="spellEnd"/>
    </w:p>
    <w:p w14:paraId="01C76857" w14:textId="3CC8C607" w:rsidR="00510FBA" w:rsidRDefault="00C87D67" w:rsidP="00C87D67">
      <w:pPr>
        <w:pStyle w:val="CETBodytext"/>
      </w:pPr>
      <w:r w:rsidRPr="00667BF4">
        <w:t xml:space="preserve">The </w:t>
      </w:r>
      <w:r w:rsidR="00510FBA" w:rsidRPr="00667BF4">
        <w:t xml:space="preserve">xylan-PE </w:t>
      </w:r>
      <w:r w:rsidR="00FD4528" w:rsidRPr="00667BF4">
        <w:t xml:space="preserve">co-pyrolysis </w:t>
      </w:r>
      <w:r w:rsidRPr="00667BF4">
        <w:t xml:space="preserve">simulation </w:t>
      </w:r>
      <w:r w:rsidR="00EE2B50" w:rsidRPr="00667BF4">
        <w:t xml:space="preserve">was built in Aspen </w:t>
      </w:r>
      <w:proofErr w:type="spellStart"/>
      <w:r w:rsidR="00EE2B50" w:rsidRPr="00667BF4">
        <w:t>Plus</w:t>
      </w:r>
      <w:r w:rsidR="00EE2B50" w:rsidRPr="00667BF4">
        <w:rPr>
          <w:vertAlign w:val="superscript"/>
        </w:rPr>
        <w:t>TM</w:t>
      </w:r>
      <w:proofErr w:type="spellEnd"/>
      <w:r w:rsidR="00EE2B50" w:rsidRPr="00667BF4">
        <w:t xml:space="preserve"> v.10 (see Figure 1) and </w:t>
      </w:r>
      <w:r w:rsidR="00510FBA" w:rsidRPr="00667BF4">
        <w:t>consisted of combining fast pyrolysis simulation approaches of the individual feedstocks. As xylan is a type of hemicellulose</w:t>
      </w:r>
      <w:r w:rsidR="00510FBA">
        <w:t>, its pyrolysis consist</w:t>
      </w:r>
      <w:r w:rsidR="00C10B90">
        <w:t>ed</w:t>
      </w:r>
      <w:r w:rsidR="00510FBA">
        <w:t xml:space="preserve"> of the conversion of hemicellulose (HCEL) </w:t>
      </w:r>
      <w:r w:rsidR="000264F7">
        <w:t>into</w:t>
      </w:r>
      <w:r w:rsidR="00510FBA">
        <w:t xml:space="preserve"> two intermediates (HCE1, HCE2), which </w:t>
      </w:r>
      <w:r w:rsidR="000264F7">
        <w:t>will later form</w:t>
      </w:r>
      <w:r w:rsidR="00510FBA">
        <w:t xml:space="preserve"> smaller species (</w:t>
      </w:r>
      <w:proofErr w:type="spellStart"/>
      <w:r w:rsidR="00510FBA">
        <w:t>Ranzi</w:t>
      </w:r>
      <w:proofErr w:type="spellEnd"/>
      <w:r w:rsidR="00510FBA">
        <w:t xml:space="preserve"> et al., 2017). As for PE, its pyrolysis simulation consider</w:t>
      </w:r>
      <w:r w:rsidR="00C10B90">
        <w:t>ed</w:t>
      </w:r>
      <w:r w:rsidR="00510FBA">
        <w:t xml:space="preserve"> that PE is depolymerized into wax (Xie et al., 2023) (here represented by C</w:t>
      </w:r>
      <w:r w:rsidR="00510FBA">
        <w:rPr>
          <w:vertAlign w:val="subscript"/>
        </w:rPr>
        <w:t>31</w:t>
      </w:r>
      <w:r w:rsidR="00510FBA">
        <w:t>H</w:t>
      </w:r>
      <w:r w:rsidR="00510FBA">
        <w:rPr>
          <w:vertAlign w:val="subscript"/>
        </w:rPr>
        <w:t>64</w:t>
      </w:r>
      <w:r w:rsidR="00510FBA">
        <w:rPr>
          <w:vertAlign w:val="subscript"/>
        </w:rPr>
        <w:softHyphen/>
      </w:r>
      <w:r w:rsidR="00510FBA">
        <w:t xml:space="preserve">), which is further converted into smaller </w:t>
      </w:r>
      <w:proofErr w:type="spellStart"/>
      <w:r w:rsidR="00510FBA">
        <w:t>alcanes</w:t>
      </w:r>
      <w:proofErr w:type="spellEnd"/>
      <w:r w:rsidR="00510FBA">
        <w:t>, carbon, and H</w:t>
      </w:r>
      <w:r w:rsidR="00510FBA">
        <w:rPr>
          <w:vertAlign w:val="subscript"/>
        </w:rPr>
        <w:t>2</w:t>
      </w:r>
      <w:r w:rsidR="00510FBA">
        <w:t xml:space="preserve">. </w:t>
      </w:r>
    </w:p>
    <w:p w14:paraId="2E069E83" w14:textId="55029553" w:rsidR="00EE2B50" w:rsidRDefault="00EE2B50" w:rsidP="00EE2B50">
      <w:pPr>
        <w:pStyle w:val="CETBodytext"/>
      </w:pPr>
      <w:r>
        <w:t xml:space="preserve">Several assumptions were made in the simulation. The pyrolyzer operates under steady-state and isothermal conditions. Xylan and PE are ash, N, S, and Cl-free. Ash was considered inert. Heat loss within the pyrolyzer </w:t>
      </w:r>
      <w:r w:rsidR="00C10B90">
        <w:t>was</w:t>
      </w:r>
      <w:r>
        <w:t xml:space="preserve"> disregarded, and the impacts of particle size and feedstock density </w:t>
      </w:r>
      <w:r w:rsidR="00C10B90">
        <w:t>were</w:t>
      </w:r>
      <w:r>
        <w:t xml:space="preserve"> not </w:t>
      </w:r>
      <w:proofErr w:type="gramStart"/>
      <w:r>
        <w:t>taken into account</w:t>
      </w:r>
      <w:proofErr w:type="gramEnd"/>
      <w:r>
        <w:t>. The thermodynamic model</w:t>
      </w:r>
      <w:r w:rsidR="007D50C9">
        <w:t>s</w:t>
      </w:r>
      <w:r>
        <w:t xml:space="preserve"> employed were Peng-Robinson with Boston-Mathias modifications (PR-BM) for co-pyrolysis and NRTL for product recovery (bio-oil, char, gas, wax)</w:t>
      </w:r>
      <w:r w:rsidR="00C729A5">
        <w:t xml:space="preserve"> (Motta et al., 2023).</w:t>
      </w:r>
    </w:p>
    <w:p w14:paraId="353EC65F" w14:textId="489AE8C2" w:rsidR="00EE2B50" w:rsidRDefault="00EE2B50" w:rsidP="00EE2B50">
      <w:pPr>
        <w:pStyle w:val="CETBodytext"/>
      </w:pPr>
    </w:p>
    <w:p w14:paraId="2EEE18E0" w14:textId="0AD074D9" w:rsidR="00E73B50" w:rsidRPr="00E73B50" w:rsidRDefault="00E73B50" w:rsidP="00EE2B50">
      <w:pPr>
        <w:pStyle w:val="CETBodytext"/>
        <w:rPr>
          <w:lang w:val="pt-BR"/>
        </w:rPr>
      </w:pPr>
      <w:r>
        <w:rPr>
          <w:rFonts w:ascii="Calibri" w:hAnsi="Calibri" w:cs="Calibri"/>
          <w:noProof/>
          <w:lang w:val="en"/>
        </w:rPr>
        <w:drawing>
          <wp:inline distT="0" distB="0" distL="0" distR="0" wp14:anchorId="7A1F55DC" wp14:editId="1F2DDF7F">
            <wp:extent cx="5486400" cy="175260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1752600"/>
                    </a:xfrm>
                    <a:prstGeom prst="rect">
                      <a:avLst/>
                    </a:prstGeom>
                    <a:noFill/>
                    <a:ln>
                      <a:noFill/>
                    </a:ln>
                  </pic:spPr>
                </pic:pic>
              </a:graphicData>
            </a:graphic>
          </wp:inline>
        </w:drawing>
      </w:r>
    </w:p>
    <w:p w14:paraId="444CE9E7" w14:textId="6A61C90F" w:rsidR="00EE2B50" w:rsidRPr="00D84CD4" w:rsidRDefault="00EE2B50" w:rsidP="00EE2B50">
      <w:pPr>
        <w:pStyle w:val="CETCaption"/>
        <w:rPr>
          <w:lang w:val="en-US"/>
        </w:rPr>
      </w:pPr>
      <w:r w:rsidRPr="00BD077D">
        <w:rPr>
          <w:rStyle w:val="CETCaptionCarattere"/>
          <w:i/>
        </w:rPr>
        <w:t xml:space="preserve">Figure 1: </w:t>
      </w:r>
      <w:r>
        <w:rPr>
          <w:rStyle w:val="CETCaptionCarattere"/>
          <w:i/>
        </w:rPr>
        <w:t xml:space="preserve">Simulation flowsheet of the co-pyrolysis process in Aspen </w:t>
      </w:r>
      <w:proofErr w:type="spellStart"/>
      <w:r>
        <w:rPr>
          <w:rStyle w:val="CETCaptionCarattere"/>
          <w:i/>
        </w:rPr>
        <w:t>Plus</w:t>
      </w:r>
      <w:r>
        <w:rPr>
          <w:rStyle w:val="CETCaptionCarattere"/>
          <w:i/>
          <w:vertAlign w:val="superscript"/>
        </w:rPr>
        <w:t>TM</w:t>
      </w:r>
      <w:proofErr w:type="spellEnd"/>
      <w:r>
        <w:rPr>
          <w:rStyle w:val="CETCaptionCarattere"/>
          <w:i/>
        </w:rPr>
        <w:t>.</w:t>
      </w:r>
      <w:r w:rsidRPr="00BD077D">
        <w:t xml:space="preserve"> </w:t>
      </w:r>
    </w:p>
    <w:p w14:paraId="2059F56A" w14:textId="2E3DDF93" w:rsidR="00C7543A" w:rsidRPr="00C7543A" w:rsidRDefault="00C7543A" w:rsidP="00C7543A">
      <w:pPr>
        <w:pStyle w:val="CETBodytext"/>
      </w:pPr>
      <w:r>
        <w:t xml:space="preserve">In the simulation, </w:t>
      </w:r>
      <w:r w:rsidR="00EE2B50" w:rsidRPr="00C7543A">
        <w:t>xylan was inserted as a conventional component (</w:t>
      </w:r>
      <w:r w:rsidR="00EE2B50" w:rsidRPr="00667BF4">
        <w:t xml:space="preserve">stream </w:t>
      </w:r>
      <w:r w:rsidR="00EE2B50" w:rsidRPr="00667BF4">
        <w:rPr>
          <w:i/>
          <w:iCs/>
        </w:rPr>
        <w:t>XYLAN</w:t>
      </w:r>
      <w:r w:rsidR="00EE2B50" w:rsidRPr="00667BF4">
        <w:t>, consisting of glutaric acid (C</w:t>
      </w:r>
      <w:r w:rsidR="00EE2B50" w:rsidRPr="00667BF4">
        <w:rPr>
          <w:vertAlign w:val="subscript"/>
        </w:rPr>
        <w:t>5</w:t>
      </w:r>
      <w:r w:rsidR="00EE2B50" w:rsidRPr="00667BF4">
        <w:t>H</w:t>
      </w:r>
      <w:r w:rsidR="00EE2B50" w:rsidRPr="00667BF4">
        <w:rPr>
          <w:vertAlign w:val="subscript"/>
        </w:rPr>
        <w:t>8</w:t>
      </w:r>
      <w:r w:rsidR="00EE2B50" w:rsidRPr="00667BF4">
        <w:t>O</w:t>
      </w:r>
      <w:r w:rsidR="00EE2B50" w:rsidRPr="00667BF4">
        <w:rPr>
          <w:vertAlign w:val="subscript"/>
        </w:rPr>
        <w:t>4</w:t>
      </w:r>
      <w:r w:rsidR="00EE2B50" w:rsidRPr="00667BF4">
        <w:t xml:space="preserve"> at 25 °C, 1 atm). PE, on the other hand, was inserted as a nonconventional component (stream </w:t>
      </w:r>
      <w:r w:rsidR="00EE2B50" w:rsidRPr="00667BF4">
        <w:rPr>
          <w:i/>
          <w:iCs/>
        </w:rPr>
        <w:t>PE</w:t>
      </w:r>
      <w:r w:rsidR="00EE2B50" w:rsidRPr="00667BF4">
        <w:t xml:space="preserve">, also at 25 °C, 1 atm), following the proximate and ultimate analyses reported in section 2.1. The </w:t>
      </w:r>
      <w:r w:rsidR="009C3D54" w:rsidRPr="00667BF4">
        <w:t>yield reactor</w:t>
      </w:r>
      <w:r w:rsidR="00EE2B50" w:rsidRPr="00667BF4">
        <w:t xml:space="preserve"> DECOMP converts the nonconventional stream </w:t>
      </w:r>
      <w:r w:rsidR="00EE2B50" w:rsidRPr="00667BF4">
        <w:rPr>
          <w:i/>
          <w:iCs/>
        </w:rPr>
        <w:t xml:space="preserve">PE </w:t>
      </w:r>
      <w:r w:rsidR="00EE2B50" w:rsidRPr="00667BF4">
        <w:t>into its ultimate analysis (C, H</w:t>
      </w:r>
      <w:r w:rsidR="00B8666F" w:rsidRPr="00667BF4">
        <w:rPr>
          <w:vertAlign w:val="subscript"/>
        </w:rPr>
        <w:t>2</w:t>
      </w:r>
      <w:r w:rsidR="00EE2B50" w:rsidRPr="00667BF4">
        <w:t xml:space="preserve">, and ash), generating the stream </w:t>
      </w:r>
      <w:r w:rsidR="00EE2B50" w:rsidRPr="00667BF4">
        <w:rPr>
          <w:i/>
          <w:iCs/>
        </w:rPr>
        <w:t>PE-DEC</w:t>
      </w:r>
      <w:r w:rsidR="00EE2B50" w:rsidRPr="00667BF4">
        <w:t xml:space="preserve">. </w:t>
      </w:r>
      <w:r w:rsidR="00B8666F" w:rsidRPr="00667BF4">
        <w:t xml:space="preserve">The latter then enters the Gibbs </w:t>
      </w:r>
      <w:r w:rsidR="009C3D54" w:rsidRPr="00667BF4">
        <w:t>reactor</w:t>
      </w:r>
      <w:r w:rsidR="00B8666F" w:rsidRPr="00667BF4">
        <w:t xml:space="preserve"> DEGRADE (500–700 °C, 1 atm),</w:t>
      </w:r>
      <w:r w:rsidR="00B8666F" w:rsidRPr="00C7543A">
        <w:t xml:space="preserve"> which performs the </w:t>
      </w:r>
      <w:r w:rsidR="00B8666F" w:rsidRPr="00C7543A">
        <w:lastRenderedPageBreak/>
        <w:t>PE depolymerization to produce wax (C</w:t>
      </w:r>
      <w:r w:rsidR="00B8666F" w:rsidRPr="00C7543A">
        <w:rPr>
          <w:vertAlign w:val="subscript"/>
        </w:rPr>
        <w:t>31</w:t>
      </w:r>
      <w:r w:rsidR="00B8666F" w:rsidRPr="00C7543A">
        <w:t>H</w:t>
      </w:r>
      <w:r w:rsidR="00B8666F" w:rsidRPr="00C7543A">
        <w:rPr>
          <w:vertAlign w:val="subscript"/>
        </w:rPr>
        <w:t>64</w:t>
      </w:r>
      <w:r w:rsidR="00B8666F" w:rsidRPr="00C7543A">
        <w:t>), C, and H</w:t>
      </w:r>
      <w:r w:rsidR="00B8666F" w:rsidRPr="00C7543A">
        <w:rPr>
          <w:vertAlign w:val="subscript"/>
        </w:rPr>
        <w:t>2</w:t>
      </w:r>
      <w:r w:rsidR="00B8666F" w:rsidRPr="00C7543A">
        <w:t xml:space="preserve"> (inserted as possible products)</w:t>
      </w:r>
      <w:r>
        <w:t xml:space="preserve">, generating the stream </w:t>
      </w:r>
      <w:r w:rsidRPr="00C7543A">
        <w:rPr>
          <w:i/>
          <w:iCs/>
        </w:rPr>
        <w:t>PE-DEG</w:t>
      </w:r>
      <w:r w:rsidR="00B8666F" w:rsidRPr="00C7543A">
        <w:t>. In the block DEGRADE, a fraction of the H</w:t>
      </w:r>
      <w:r w:rsidR="00B8666F" w:rsidRPr="00C7543A">
        <w:rPr>
          <w:vertAlign w:val="subscript"/>
        </w:rPr>
        <w:t>2</w:t>
      </w:r>
      <w:r w:rsidR="00B8666F" w:rsidRPr="00C7543A">
        <w:t xml:space="preserve"> available must be set as an inert, which was calculated </w:t>
      </w:r>
      <w:r w:rsidRPr="00C7543A">
        <w:t>based on</w:t>
      </w:r>
      <w:r w:rsidR="00B8666F" w:rsidRPr="00C7543A">
        <w:t xml:space="preserve"> experimental </w:t>
      </w:r>
      <w:r w:rsidRPr="00C7543A">
        <w:t xml:space="preserve">xylan-PE co-pyrolysis </w:t>
      </w:r>
      <w:r w:rsidR="00B8666F" w:rsidRPr="00C7543A">
        <w:t>yield equations determined by Xie et al. (2023)</w:t>
      </w:r>
      <w:r w:rsidRPr="00C7543A">
        <w:t xml:space="preserve"> as a function of </w:t>
      </w:r>
      <w:r w:rsidR="00B41EC3">
        <w:t xml:space="preserve">the </w:t>
      </w:r>
      <w:r w:rsidRPr="00C7543A">
        <w:t>temperature and PE proportion</w:t>
      </w:r>
      <w:r w:rsidR="00B8666F" w:rsidRPr="00C7543A">
        <w:t>. The H</w:t>
      </w:r>
      <w:r w:rsidR="00B8666F" w:rsidRPr="00C7543A">
        <w:rPr>
          <w:vertAlign w:val="subscript"/>
        </w:rPr>
        <w:t>2</w:t>
      </w:r>
      <w:r w:rsidR="00B8666F" w:rsidRPr="00C7543A">
        <w:t xml:space="preserve"> yield </w:t>
      </w:r>
      <w:r w:rsidR="00E22572" w:rsidRPr="00C7543A">
        <w:t>(</w:t>
      </w:r>
      <m:oMath>
        <m:sSub>
          <m:sSubPr>
            <m:ctrlPr>
              <w:rPr>
                <w:rFonts w:ascii="Cambria Math" w:hAnsi="Cambria Math"/>
                <w:i/>
              </w:rPr>
            </m:ctrlPr>
          </m:sSubPr>
          <m:e>
            <m:r>
              <w:rPr>
                <w:rFonts w:ascii="Cambria Math" w:hAnsi="Cambria Math"/>
              </w:rPr>
              <m:t>Y</m:t>
            </m:r>
          </m:e>
          <m:sub>
            <m:sSub>
              <m:sSubPr>
                <m:ctrlPr>
                  <w:rPr>
                    <w:rFonts w:ascii="Cambria Math" w:hAnsi="Cambria Math"/>
                    <w:i/>
                  </w:rPr>
                </m:ctrlPr>
              </m:sSubPr>
              <m:e>
                <m:r>
                  <w:rPr>
                    <w:rFonts w:ascii="Cambria Math" w:hAnsi="Cambria Math"/>
                  </w:rPr>
                  <m:t>H</m:t>
                </m:r>
              </m:e>
              <m:sub>
                <m:r>
                  <w:rPr>
                    <w:rFonts w:ascii="Cambria Math" w:hAnsi="Cambria Math"/>
                  </w:rPr>
                  <m:t>2</m:t>
                </m:r>
              </m:sub>
            </m:sSub>
          </m:sub>
        </m:sSub>
      </m:oMath>
      <w:r w:rsidR="00E22572" w:rsidRPr="00C7543A">
        <w:t xml:space="preserve">) </w:t>
      </w:r>
      <w:r w:rsidR="00B8666F" w:rsidRPr="00C7543A">
        <w:t xml:space="preserve">was </w:t>
      </w:r>
      <w:r w:rsidRPr="00C7543A">
        <w:t>estimated</w:t>
      </w:r>
      <w:r w:rsidR="00E22572" w:rsidRPr="00C7543A">
        <w:t xml:space="preserve"> as the difference between the gas yield (</w:t>
      </w:r>
      <m:oMath>
        <m:sSub>
          <m:sSubPr>
            <m:ctrlPr>
              <w:rPr>
                <w:rFonts w:ascii="Cambria Math" w:hAnsi="Cambria Math"/>
                <w:i/>
              </w:rPr>
            </m:ctrlPr>
          </m:sSubPr>
          <m:e>
            <m:r>
              <w:rPr>
                <w:rFonts w:ascii="Cambria Math" w:hAnsi="Cambria Math"/>
              </w:rPr>
              <m:t>Y</m:t>
            </m:r>
          </m:e>
          <m:sub>
            <m:r>
              <w:rPr>
                <w:rFonts w:ascii="Cambria Math" w:hAnsi="Cambria Math"/>
              </w:rPr>
              <m:t>gas</m:t>
            </m:r>
          </m:sub>
        </m:sSub>
      </m:oMath>
      <w:r w:rsidR="00E22572" w:rsidRPr="00C7543A">
        <w:t>) and the CO, CO</w:t>
      </w:r>
      <w:r w:rsidR="00E22572" w:rsidRPr="00C7543A">
        <w:rPr>
          <w:vertAlign w:val="subscript"/>
        </w:rPr>
        <w:t>2</w:t>
      </w:r>
      <w:r w:rsidR="00E22572" w:rsidRPr="00C7543A">
        <w:t>, CH</w:t>
      </w:r>
      <w:r w:rsidR="00E22572" w:rsidRPr="00C7543A">
        <w:rPr>
          <w:vertAlign w:val="subscript"/>
        </w:rPr>
        <w:t>4</w:t>
      </w:r>
      <w:r w:rsidR="00E22572" w:rsidRPr="00C7543A">
        <w:t>, C</w:t>
      </w:r>
      <w:r w:rsidR="00E22572" w:rsidRPr="00C7543A">
        <w:rPr>
          <w:vertAlign w:val="subscript"/>
        </w:rPr>
        <w:t>2</w:t>
      </w:r>
      <w:r w:rsidR="00E22572" w:rsidRPr="00C7543A">
        <w:t>H</w:t>
      </w:r>
      <w:r w:rsidR="00E22572" w:rsidRPr="00C7543A">
        <w:rPr>
          <w:vertAlign w:val="subscript"/>
        </w:rPr>
        <w:t>4</w:t>
      </w:r>
      <w:r w:rsidR="00E22572" w:rsidRPr="00C7543A">
        <w:t>, and C</w:t>
      </w:r>
      <w:r w:rsidR="00E22572" w:rsidRPr="00C7543A">
        <w:rPr>
          <w:vertAlign w:val="subscript"/>
        </w:rPr>
        <w:t>4</w:t>
      </w:r>
      <w:r w:rsidR="00E22572" w:rsidRPr="00C7543A">
        <w:t>H</w:t>
      </w:r>
      <w:r w:rsidR="00E22572" w:rsidRPr="00C7543A">
        <w:rPr>
          <w:vertAlign w:val="subscript"/>
        </w:rPr>
        <w:t>n</w:t>
      </w:r>
      <w:r w:rsidR="00E22572" w:rsidRPr="00C7543A">
        <w:t xml:space="preserve"> yields using </w:t>
      </w:r>
      <w:proofErr w:type="gramStart"/>
      <w:r w:rsidR="00E22572" w:rsidRPr="00C7543A">
        <w:t>Eq(</w:t>
      </w:r>
      <w:proofErr w:type="gramEnd"/>
      <w:r w:rsidR="00E22572" w:rsidRPr="00C7543A">
        <w:t>1). The H</w:t>
      </w:r>
      <w:r w:rsidR="00E22572" w:rsidRPr="00C7543A">
        <w:rPr>
          <w:vertAlign w:val="subscript"/>
        </w:rPr>
        <w:t>2</w:t>
      </w:r>
      <w:r w:rsidR="00E22572" w:rsidRPr="00C7543A">
        <w:t xml:space="preserve"> fraction</w:t>
      </w:r>
      <w:r w:rsidRPr="00C7543A">
        <w:t xml:space="preserve"> consisted of the ratio between the estimated pyrolysis H</w:t>
      </w:r>
      <w:r w:rsidRPr="00C7543A">
        <w:rPr>
          <w:vertAlign w:val="subscript"/>
        </w:rPr>
        <w:t>2</w:t>
      </w:r>
      <w:r w:rsidRPr="00C7543A">
        <w:t xml:space="preserve"> yield and the PE hydrogen content from the ultimate analysis, as shown in </w:t>
      </w:r>
      <w:proofErr w:type="gramStart"/>
      <w:r w:rsidRPr="00C7543A">
        <w:t>Eq(</w:t>
      </w:r>
      <w:proofErr w:type="gramEnd"/>
      <w:r w:rsidRPr="00C7543A">
        <w:t>2).</w:t>
      </w:r>
    </w:p>
    <w:p w14:paraId="6DC3B998" w14:textId="2B383051" w:rsidR="00EE2B50" w:rsidRPr="00C7543A" w:rsidRDefault="00EE2B50" w:rsidP="00EE2B50">
      <w:pPr>
        <w:pStyle w:val="CETBodytext"/>
      </w:pPr>
    </w:p>
    <w:tbl>
      <w:tblPr>
        <w:tblW w:w="5000" w:type="pct"/>
        <w:tblLook w:val="04A0" w:firstRow="1" w:lastRow="0" w:firstColumn="1" w:lastColumn="0" w:noHBand="0" w:noVBand="1"/>
      </w:tblPr>
      <w:tblGrid>
        <w:gridCol w:w="7985"/>
        <w:gridCol w:w="802"/>
      </w:tblGrid>
      <w:tr w:rsidR="00E22572" w:rsidRPr="00C7543A" w14:paraId="086DA653" w14:textId="77777777" w:rsidTr="00195298">
        <w:tc>
          <w:tcPr>
            <w:tcW w:w="8188" w:type="dxa"/>
            <w:shd w:val="clear" w:color="auto" w:fill="auto"/>
            <w:vAlign w:val="center"/>
          </w:tcPr>
          <w:p w14:paraId="5AF3E73C" w14:textId="3F07875B" w:rsidR="00E22572" w:rsidRPr="00C7543A" w:rsidRDefault="00000000" w:rsidP="00195298">
            <w:pPr>
              <w:pStyle w:val="CETEquation"/>
            </w:pPr>
            <m:oMathPara>
              <m:oMathParaPr>
                <m:jc m:val="left"/>
              </m:oMathParaPr>
              <m:oMath>
                <m:sSub>
                  <m:sSubPr>
                    <m:ctrlPr>
                      <w:rPr>
                        <w:rFonts w:ascii="Cambria Math" w:hAnsi="Cambria Math"/>
                        <w:i/>
                      </w:rPr>
                    </m:ctrlPr>
                  </m:sSubPr>
                  <m:e>
                    <m:r>
                      <w:rPr>
                        <w:rFonts w:ascii="Cambria Math" w:hAnsi="Cambria Math"/>
                      </w:rPr>
                      <m:t>Y</m:t>
                    </m:r>
                  </m:e>
                  <m:sub>
                    <m:sSub>
                      <m:sSubPr>
                        <m:ctrlPr>
                          <w:rPr>
                            <w:rFonts w:ascii="Cambria Math" w:hAnsi="Cambria Math"/>
                            <w:i/>
                          </w:rPr>
                        </m:ctrlPr>
                      </m:sSubPr>
                      <m:e>
                        <m:r>
                          <w:rPr>
                            <w:rFonts w:ascii="Cambria Math" w:hAnsi="Cambria Math"/>
                          </w:rPr>
                          <m:t>H</m:t>
                        </m:r>
                      </m:e>
                      <m:sub>
                        <m: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gas</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CO</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4</m:t>
                        </m:r>
                      </m:sub>
                    </m:sSub>
                  </m:sub>
                </m:sSub>
                <m:r>
                  <w:rPr>
                    <w:rFonts w:ascii="Cambria Math" w:hAnsi="Cambria Math"/>
                  </w:rPr>
                  <m:t>-</m:t>
                </m:r>
                <m:sSub>
                  <m:sSubPr>
                    <m:ctrlPr>
                      <w:rPr>
                        <w:rFonts w:ascii="Cambria Math" w:hAnsi="Cambria Math"/>
                        <w:i/>
                      </w:rPr>
                    </m:ctrlPr>
                  </m:sSubPr>
                  <m:e>
                    <m:r>
                      <w:rPr>
                        <w:rFonts w:ascii="Cambria Math" w:hAnsi="Cambria Math"/>
                      </w:rPr>
                      <m:t>Y</m:t>
                    </m:r>
                  </m:e>
                  <m:sub>
                    <m:sSub>
                      <m:sSubPr>
                        <m:ctrlPr>
                          <w:rPr>
                            <w:rFonts w:ascii="Cambria Math" w:hAnsi="Cambria Math"/>
                            <w:i/>
                          </w:rPr>
                        </m:ctrlPr>
                      </m:sSubPr>
                      <m:e>
                        <m:r>
                          <w:rPr>
                            <w:rFonts w:ascii="Cambria Math" w:hAnsi="Cambria Math"/>
                          </w:rPr>
                          <m:t>C</m:t>
                        </m:r>
                      </m:e>
                      <m:sub>
                        <m:r>
                          <w:rPr>
                            <w:rFonts w:ascii="Cambria Math" w:hAnsi="Cambria Math"/>
                          </w:rPr>
                          <m:t>2</m:t>
                        </m:r>
                      </m:sub>
                    </m:sSub>
                    <m:sSub>
                      <m:sSubPr>
                        <m:ctrlPr>
                          <w:rPr>
                            <w:rFonts w:ascii="Cambria Math" w:hAnsi="Cambria Math"/>
                            <w:i/>
                          </w:rPr>
                        </m:ctrlPr>
                      </m:sSubPr>
                      <m:e>
                        <m:r>
                          <w:rPr>
                            <w:rFonts w:ascii="Cambria Math" w:hAnsi="Cambria Math"/>
                          </w:rPr>
                          <m:t>H</m:t>
                        </m:r>
                      </m:e>
                      <m:sub>
                        <m:r>
                          <w:rPr>
                            <w:rFonts w:ascii="Cambria Math" w:hAnsi="Cambria Math"/>
                          </w:rPr>
                          <m:t>4</m:t>
                        </m:r>
                      </m:sub>
                    </m:sSub>
                  </m:sub>
                </m:sSub>
                <m:r>
                  <w:rPr>
                    <w:rFonts w:ascii="Cambria Math" w:hAnsi="Cambria Math"/>
                  </w:rPr>
                  <m:t>-</m:t>
                </m:r>
                <m:sSub>
                  <m:sSubPr>
                    <m:ctrlPr>
                      <w:rPr>
                        <w:rFonts w:ascii="Cambria Math" w:hAnsi="Cambria Math"/>
                        <w:i/>
                      </w:rPr>
                    </m:ctrlPr>
                  </m:sSubPr>
                  <m:e>
                    <m:r>
                      <w:rPr>
                        <w:rFonts w:ascii="Cambria Math" w:hAnsi="Cambria Math"/>
                      </w:rPr>
                      <m:t>Y</m:t>
                    </m:r>
                  </m:e>
                  <m:sub>
                    <m:sSub>
                      <m:sSubPr>
                        <m:ctrlPr>
                          <w:rPr>
                            <w:rFonts w:ascii="Cambria Math" w:hAnsi="Cambria Math"/>
                            <w:i/>
                          </w:rPr>
                        </m:ctrlPr>
                      </m:sSubPr>
                      <m:e>
                        <m:r>
                          <w:rPr>
                            <w:rFonts w:ascii="Cambria Math" w:hAnsi="Cambria Math"/>
                          </w:rPr>
                          <m:t>C</m:t>
                        </m:r>
                      </m:e>
                      <m:sub>
                        <m:r>
                          <w:rPr>
                            <w:rFonts w:ascii="Cambria Math" w:hAnsi="Cambria Math"/>
                          </w:rPr>
                          <m:t>4</m:t>
                        </m:r>
                      </m:sub>
                    </m:sSub>
                    <m:sSub>
                      <m:sSubPr>
                        <m:ctrlPr>
                          <w:rPr>
                            <w:rFonts w:ascii="Cambria Math" w:hAnsi="Cambria Math"/>
                            <w:i/>
                          </w:rPr>
                        </m:ctrlPr>
                      </m:sSubPr>
                      <m:e>
                        <m:r>
                          <w:rPr>
                            <w:rFonts w:ascii="Cambria Math" w:hAnsi="Cambria Math"/>
                          </w:rPr>
                          <m:t>H</m:t>
                        </m:r>
                      </m:e>
                      <m:sub>
                        <m:r>
                          <w:rPr>
                            <w:rFonts w:ascii="Cambria Math" w:hAnsi="Cambria Math"/>
                          </w:rPr>
                          <m:t>n</m:t>
                        </m:r>
                      </m:sub>
                    </m:sSub>
                  </m:sub>
                </m:sSub>
              </m:oMath>
            </m:oMathPara>
          </w:p>
        </w:tc>
        <w:tc>
          <w:tcPr>
            <w:tcW w:w="815" w:type="dxa"/>
            <w:shd w:val="clear" w:color="auto" w:fill="auto"/>
            <w:vAlign w:val="center"/>
          </w:tcPr>
          <w:p w14:paraId="59FADFEE" w14:textId="77777777" w:rsidR="00E22572" w:rsidRPr="00C7543A" w:rsidRDefault="00E22572" w:rsidP="00195298">
            <w:pPr>
              <w:pStyle w:val="CETEquation"/>
              <w:jc w:val="right"/>
            </w:pPr>
            <w:r w:rsidRPr="00C7543A">
              <w:t>(1)</w:t>
            </w:r>
          </w:p>
        </w:tc>
      </w:tr>
      <w:tr w:rsidR="00E22572" w:rsidRPr="00B57B36" w14:paraId="1AAF14C2" w14:textId="77777777" w:rsidTr="00195298">
        <w:tc>
          <w:tcPr>
            <w:tcW w:w="8188" w:type="dxa"/>
            <w:shd w:val="clear" w:color="auto" w:fill="auto"/>
            <w:vAlign w:val="center"/>
          </w:tcPr>
          <w:p w14:paraId="3CF4F286" w14:textId="40C4A36A" w:rsidR="00E22572" w:rsidRPr="00C7543A" w:rsidRDefault="00000000" w:rsidP="00195298">
            <w:pPr>
              <w:pStyle w:val="CETEquation"/>
            </w:pPr>
            <m:oMathPara>
              <m:oMathParaPr>
                <m:jc m:val="left"/>
              </m:oMathParaPr>
              <m:oMath>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 xml:space="preserve"> fraction=</m:t>
                </m:r>
                <m:f>
                  <m:fPr>
                    <m:ctrlPr>
                      <w:rPr>
                        <w:rFonts w:ascii="Cambria Math" w:hAnsi="Cambria Math"/>
                        <w:i/>
                      </w:rPr>
                    </m:ctrlPr>
                  </m:fPr>
                  <m:num>
                    <m:sSub>
                      <m:sSubPr>
                        <m:ctrlPr>
                          <w:rPr>
                            <w:rFonts w:ascii="Cambria Math" w:hAnsi="Cambria Math"/>
                            <w:i/>
                          </w:rPr>
                        </m:ctrlPr>
                      </m:sSubPr>
                      <m:e>
                        <m:r>
                          <w:rPr>
                            <w:rFonts w:ascii="Cambria Math" w:hAnsi="Cambria Math"/>
                          </w:rPr>
                          <m:t>Y</m:t>
                        </m:r>
                      </m:e>
                      <m:sub>
                        <m:sSub>
                          <m:sSubPr>
                            <m:ctrlPr>
                              <w:rPr>
                                <w:rFonts w:ascii="Cambria Math" w:hAnsi="Cambria Math"/>
                                <w:i/>
                              </w:rPr>
                            </m:ctrlPr>
                          </m:sSubPr>
                          <m:e>
                            <m:r>
                              <w:rPr>
                                <w:rFonts w:ascii="Cambria Math" w:hAnsi="Cambria Math"/>
                              </w:rPr>
                              <m:t>H</m:t>
                            </m:r>
                          </m:e>
                          <m:sub>
                            <m:r>
                              <w:rPr>
                                <w:rFonts w:ascii="Cambria Math" w:hAnsi="Cambria Math"/>
                              </w:rPr>
                              <m:t>2</m:t>
                            </m:r>
                          </m:sub>
                        </m:sSub>
                      </m:sub>
                    </m:sSub>
                  </m:num>
                  <m:den>
                    <m:r>
                      <w:rPr>
                        <w:rFonts w:ascii="Cambria Math" w:hAnsi="Cambria Math"/>
                      </w:rPr>
                      <m:t>P</m:t>
                    </m:r>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H</m:t>
                            </m:r>
                          </m:e>
                          <m:sub>
                            <m:r>
                              <w:rPr>
                                <w:rFonts w:ascii="Cambria Math" w:hAnsi="Cambria Math"/>
                              </w:rPr>
                              <m:t>2</m:t>
                            </m:r>
                          </m:sub>
                        </m:sSub>
                      </m:sub>
                    </m:sSub>
                    <m:r>
                      <w:rPr>
                        <w:rFonts w:ascii="Cambria Math" w:hAnsi="Cambria Math"/>
                      </w:rPr>
                      <m:t>(ultimate analysis)</m:t>
                    </m:r>
                  </m:den>
                </m:f>
              </m:oMath>
            </m:oMathPara>
          </w:p>
        </w:tc>
        <w:tc>
          <w:tcPr>
            <w:tcW w:w="815" w:type="dxa"/>
            <w:shd w:val="clear" w:color="auto" w:fill="auto"/>
            <w:vAlign w:val="center"/>
          </w:tcPr>
          <w:p w14:paraId="1C08DA65" w14:textId="037F9E82" w:rsidR="00E22572" w:rsidRPr="00B57B36" w:rsidRDefault="00E22572" w:rsidP="00195298">
            <w:pPr>
              <w:pStyle w:val="CETEquation"/>
              <w:jc w:val="right"/>
            </w:pPr>
            <w:r w:rsidRPr="00C7543A">
              <w:t>(2)</w:t>
            </w:r>
          </w:p>
        </w:tc>
      </w:tr>
    </w:tbl>
    <w:p w14:paraId="515F956A" w14:textId="77777777" w:rsidR="00E22572" w:rsidRPr="00B8666F" w:rsidRDefault="00E22572" w:rsidP="00EE2B50">
      <w:pPr>
        <w:pStyle w:val="CETBodytext"/>
        <w:rPr>
          <w:highlight w:val="yellow"/>
        </w:rPr>
      </w:pPr>
    </w:p>
    <w:p w14:paraId="79BFA5CF" w14:textId="745C9FC6" w:rsidR="00EE2B50" w:rsidRPr="00667BF4" w:rsidRDefault="00C7543A" w:rsidP="00EE2B50">
      <w:pPr>
        <w:pStyle w:val="CETBodytext"/>
      </w:pPr>
      <w:r w:rsidRPr="003D6591">
        <w:t xml:space="preserve">Both the streams </w:t>
      </w:r>
      <w:r w:rsidRPr="003D6591">
        <w:rPr>
          <w:i/>
          <w:iCs/>
        </w:rPr>
        <w:t>XYLAN</w:t>
      </w:r>
      <w:r w:rsidRPr="003D6591">
        <w:t xml:space="preserve"> and </w:t>
      </w:r>
      <w:r w:rsidRPr="003D6591">
        <w:rPr>
          <w:i/>
          <w:iCs/>
        </w:rPr>
        <w:t>PE-DEG</w:t>
      </w:r>
      <w:r w:rsidRPr="003D6591">
        <w:t xml:space="preserve"> finally enter </w:t>
      </w:r>
      <w:r w:rsidRPr="00667BF4">
        <w:t xml:space="preserve">the </w:t>
      </w:r>
      <w:r w:rsidR="009C3D54" w:rsidRPr="00667BF4">
        <w:t xml:space="preserve">CSTR reactor </w:t>
      </w:r>
      <w:r w:rsidRPr="00667BF4">
        <w:t xml:space="preserve">RKINETIC, which represents the co-pyrolysis process using </w:t>
      </w:r>
      <w:r w:rsidR="00B41EC3" w:rsidRPr="00667BF4">
        <w:t xml:space="preserve">the </w:t>
      </w:r>
      <w:r w:rsidRPr="00667BF4">
        <w:t xml:space="preserve">kinetic expressions from </w:t>
      </w:r>
      <w:proofErr w:type="spellStart"/>
      <w:r w:rsidRPr="00667BF4">
        <w:t>Ranzi</w:t>
      </w:r>
      <w:proofErr w:type="spellEnd"/>
      <w:r w:rsidRPr="00667BF4">
        <w:t xml:space="preserve"> et al. (2017)</w:t>
      </w:r>
      <w:r w:rsidR="003D6591" w:rsidRPr="00667BF4">
        <w:t xml:space="preserve"> shown in Table 1</w:t>
      </w:r>
      <w:r w:rsidR="00B41EC3" w:rsidRPr="00667BF4">
        <w:t>.</w:t>
      </w:r>
      <w:r w:rsidR="003D6591" w:rsidRPr="00667BF4">
        <w:t xml:space="preserve"> </w:t>
      </w:r>
      <w:r w:rsidR="00B41EC3" w:rsidRPr="00667BF4">
        <w:t>The</w:t>
      </w:r>
      <w:r w:rsidR="003D6591" w:rsidRPr="00667BF4">
        <w:t xml:space="preserve"> main components </w:t>
      </w:r>
      <w:r w:rsidR="00B41EC3" w:rsidRPr="00667BF4">
        <w:t xml:space="preserve">of the kinetic equations </w:t>
      </w:r>
      <w:r w:rsidR="003D6591" w:rsidRPr="00667BF4">
        <w:t>are shown in Table 2</w:t>
      </w:r>
      <w:r w:rsidR="009C3D54" w:rsidRPr="00667BF4">
        <w:t xml:space="preserve">, with </w:t>
      </w:r>
      <w:r w:rsidR="00E61A62" w:rsidRPr="00667BF4">
        <w:t xml:space="preserve">the </w:t>
      </w:r>
      <w:r w:rsidR="009C3D54" w:rsidRPr="00667BF4">
        <w:t xml:space="preserve">suffix “-T” indicating components trapped in the char. </w:t>
      </w:r>
      <w:r w:rsidRPr="00667BF4">
        <w:t xml:space="preserve">The co-pyrolysis process happens </w:t>
      </w:r>
      <w:r w:rsidR="0026622B" w:rsidRPr="00667BF4">
        <w:t>at the pyrolytic temperatures (500–700 °C), 1 atm, 1-s residence time, in</w:t>
      </w:r>
      <w:r w:rsidRPr="00667BF4">
        <w:t xml:space="preserve"> the presence of pre-heated and compressed nitrogen (stream </w:t>
      </w:r>
      <w:r w:rsidRPr="00667BF4">
        <w:rPr>
          <w:i/>
          <w:iCs/>
        </w:rPr>
        <w:t>N2-HOT</w:t>
      </w:r>
      <w:r w:rsidRPr="00667BF4">
        <w:t>, 480 °C, 1 atm)</w:t>
      </w:r>
      <w:r w:rsidR="0026622B" w:rsidRPr="00667BF4">
        <w:t>. The nitrogen</w:t>
      </w:r>
      <w:r w:rsidRPr="00667BF4">
        <w:t xml:space="preserve"> mass flow rate </w:t>
      </w:r>
      <w:r w:rsidR="00B41EC3" w:rsidRPr="00667BF4">
        <w:t>was</w:t>
      </w:r>
      <w:r w:rsidRPr="00667BF4">
        <w:t xml:space="preserve"> set as half of the combined mass flow rates of </w:t>
      </w:r>
      <w:r w:rsidRPr="00667BF4">
        <w:rPr>
          <w:i/>
          <w:iCs/>
        </w:rPr>
        <w:t xml:space="preserve">XYLAN </w:t>
      </w:r>
      <w:r w:rsidRPr="00667BF4">
        <w:t xml:space="preserve">and </w:t>
      </w:r>
      <w:r w:rsidRPr="00667BF4">
        <w:rPr>
          <w:i/>
          <w:iCs/>
        </w:rPr>
        <w:t>PE-DEG</w:t>
      </w:r>
      <w:r w:rsidRPr="00667BF4">
        <w:t xml:space="preserve">. The block RKINETIC generates the pyrolytic compounds (stream </w:t>
      </w:r>
      <w:r w:rsidRPr="00667BF4">
        <w:rPr>
          <w:i/>
          <w:iCs/>
        </w:rPr>
        <w:t>PRODUCTS</w:t>
      </w:r>
      <w:r w:rsidRPr="00667BF4">
        <w:t>), which are separated into bio-oil, char, wax, and gas streams in a separation unit described elsewhere (Motta et al., 2023).</w:t>
      </w:r>
    </w:p>
    <w:p w14:paraId="16066C7F" w14:textId="7CCC9AFD" w:rsidR="003D6591" w:rsidRPr="00667BF4" w:rsidRDefault="003D6591" w:rsidP="00251C97">
      <w:pPr>
        <w:pStyle w:val="CETTabletitle"/>
        <w:jc w:val="both"/>
      </w:pPr>
      <w:r w:rsidRPr="00667BF4">
        <w:t xml:space="preserve">Table 1: Xylan pyrolysis reactions inserted in the simulation </w:t>
      </w:r>
      <w:r w:rsidRPr="00667BF4">
        <w:rPr>
          <w:rStyle w:val="CETCaptionCarattere"/>
          <w:i/>
        </w:rPr>
        <w:t xml:space="preserve">in Aspen </w:t>
      </w:r>
      <w:proofErr w:type="spellStart"/>
      <w:r w:rsidRPr="00667BF4">
        <w:rPr>
          <w:rStyle w:val="CETCaptionCarattere"/>
          <w:i/>
        </w:rPr>
        <w:t>Plus</w:t>
      </w:r>
      <w:r w:rsidRPr="00667BF4">
        <w:rPr>
          <w:rStyle w:val="CETCaptionCarattere"/>
          <w:i/>
          <w:vertAlign w:val="superscript"/>
        </w:rPr>
        <w:t>TM</w:t>
      </w:r>
      <w:proofErr w:type="spellEnd"/>
      <w:r w:rsidRPr="00667BF4">
        <w:rPr>
          <w:rStyle w:val="CETCaptionCarattere"/>
          <w:i/>
        </w:rPr>
        <w:t xml:space="preserve"> (</w:t>
      </w:r>
      <w:proofErr w:type="spellStart"/>
      <w:r w:rsidRPr="00667BF4">
        <w:rPr>
          <w:rStyle w:val="CETCaptionCarattere"/>
          <w:i/>
        </w:rPr>
        <w:t>Ranzi</w:t>
      </w:r>
      <w:proofErr w:type="spellEnd"/>
      <w:r w:rsidRPr="00667BF4">
        <w:rPr>
          <w:rStyle w:val="CETCaptionCarattere"/>
          <w:i/>
        </w:rPr>
        <w:t xml:space="preserve"> et al., 2017).</w:t>
      </w:r>
      <w:r w:rsidR="009C3D54" w:rsidRPr="00667BF4">
        <w:rPr>
          <w:rStyle w:val="CETCaptionCarattere"/>
          <w:i/>
        </w:rPr>
        <w:t xml:space="preserve"> </w:t>
      </w:r>
      <w:r w:rsidR="00E61A62" w:rsidRPr="00667BF4">
        <w:rPr>
          <w:rStyle w:val="CETCaptionCarattere"/>
          <w:i/>
        </w:rPr>
        <w:t>The s</w:t>
      </w:r>
      <w:r w:rsidR="009C3D54" w:rsidRPr="00667BF4">
        <w:rPr>
          <w:rStyle w:val="CETCaptionCarattere"/>
          <w:i/>
        </w:rPr>
        <w:t>uffix “-T” refers to components trapped in the char.</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6930"/>
        <w:gridCol w:w="900"/>
        <w:gridCol w:w="918"/>
      </w:tblGrid>
      <w:tr w:rsidR="003D6591" w:rsidRPr="00667BF4" w14:paraId="025C451A" w14:textId="77777777" w:rsidTr="00195298">
        <w:tc>
          <w:tcPr>
            <w:tcW w:w="6930" w:type="dxa"/>
            <w:tcBorders>
              <w:top w:val="single" w:sz="12" w:space="0" w:color="008000"/>
              <w:bottom w:val="single" w:sz="6" w:space="0" w:color="008000"/>
            </w:tcBorders>
            <w:shd w:val="clear" w:color="auto" w:fill="FFFFFF"/>
          </w:tcPr>
          <w:p w14:paraId="0F7D137D" w14:textId="77777777" w:rsidR="003D6591" w:rsidRPr="00667BF4" w:rsidRDefault="003D6591" w:rsidP="00195298">
            <w:pPr>
              <w:pStyle w:val="CETBodytext"/>
              <w:rPr>
                <w:lang w:val="en-GB"/>
              </w:rPr>
            </w:pPr>
            <w:r w:rsidRPr="00667BF4">
              <w:rPr>
                <w:lang w:val="en-GB"/>
              </w:rPr>
              <w:t>X</w:t>
            </w:r>
            <w:proofErr w:type="spellStart"/>
            <w:r w:rsidRPr="00667BF4">
              <w:t>ylan</w:t>
            </w:r>
            <w:proofErr w:type="spellEnd"/>
            <w:r w:rsidRPr="00667BF4">
              <w:t xml:space="preserve"> (hemicellulose) pyrolysis reactions</w:t>
            </w:r>
          </w:p>
        </w:tc>
        <w:tc>
          <w:tcPr>
            <w:tcW w:w="900" w:type="dxa"/>
            <w:tcBorders>
              <w:top w:val="single" w:sz="12" w:space="0" w:color="008000"/>
              <w:bottom w:val="single" w:sz="6" w:space="0" w:color="008000"/>
            </w:tcBorders>
            <w:shd w:val="clear" w:color="auto" w:fill="FFFFFF"/>
          </w:tcPr>
          <w:p w14:paraId="4C616399" w14:textId="77777777" w:rsidR="003D6591" w:rsidRPr="00667BF4" w:rsidRDefault="003D6591" w:rsidP="00B41EC3">
            <w:pPr>
              <w:pStyle w:val="CETBodytext"/>
              <w:jc w:val="left"/>
              <w:rPr>
                <w:lang w:val="en-GB"/>
              </w:rPr>
            </w:pPr>
            <w:r w:rsidRPr="00667BF4">
              <w:rPr>
                <w:lang w:val="en-GB"/>
              </w:rPr>
              <w:t>A (s</w:t>
            </w:r>
            <w:r w:rsidRPr="00667BF4">
              <w:rPr>
                <w:vertAlign w:val="superscript"/>
                <w:lang w:val="en-GB"/>
              </w:rPr>
              <w:t>-1</w:t>
            </w:r>
            <w:r w:rsidRPr="00667BF4">
              <w:rPr>
                <w:lang w:val="en-GB"/>
              </w:rPr>
              <w:t>)</w:t>
            </w:r>
          </w:p>
        </w:tc>
        <w:tc>
          <w:tcPr>
            <w:tcW w:w="918" w:type="dxa"/>
            <w:tcBorders>
              <w:top w:val="single" w:sz="12" w:space="0" w:color="008000"/>
              <w:bottom w:val="single" w:sz="6" w:space="0" w:color="008000"/>
            </w:tcBorders>
            <w:shd w:val="clear" w:color="auto" w:fill="FFFFFF"/>
          </w:tcPr>
          <w:p w14:paraId="4F36BF78" w14:textId="77777777" w:rsidR="003D6591" w:rsidRPr="00667BF4" w:rsidRDefault="003D6591" w:rsidP="00B41EC3">
            <w:pPr>
              <w:pStyle w:val="CETBodytext"/>
              <w:jc w:val="left"/>
              <w:rPr>
                <w:lang w:val="en-GB"/>
              </w:rPr>
            </w:pPr>
            <w:proofErr w:type="spellStart"/>
            <w:r w:rsidRPr="00667BF4">
              <w:rPr>
                <w:lang w:val="en-GB"/>
              </w:rPr>
              <w:t>E</w:t>
            </w:r>
            <w:r w:rsidRPr="00667BF4">
              <w:rPr>
                <w:vertAlign w:val="subscript"/>
                <w:lang w:val="en-GB"/>
              </w:rPr>
              <w:t>a</w:t>
            </w:r>
            <w:proofErr w:type="spellEnd"/>
            <w:r w:rsidRPr="00667BF4">
              <w:rPr>
                <w:lang w:val="en-GB"/>
              </w:rPr>
              <w:t xml:space="preserve"> (kJ/mol)</w:t>
            </w:r>
          </w:p>
        </w:tc>
      </w:tr>
      <w:tr w:rsidR="003D6591" w:rsidRPr="00667BF4" w14:paraId="5A92DF63" w14:textId="77777777" w:rsidTr="00195298">
        <w:tc>
          <w:tcPr>
            <w:tcW w:w="6930" w:type="dxa"/>
            <w:shd w:val="clear" w:color="auto" w:fill="FFFFFF"/>
            <w:vAlign w:val="center"/>
          </w:tcPr>
          <w:p w14:paraId="28D39624" w14:textId="77777777" w:rsidR="003D6591" w:rsidRPr="00667BF4" w:rsidRDefault="003D6591" w:rsidP="00195298">
            <w:pPr>
              <w:pStyle w:val="CETBodytext"/>
              <w:rPr>
                <w:szCs w:val="18"/>
                <w:lang w:val="fr-FR"/>
              </w:rPr>
            </w:pPr>
            <w:r w:rsidRPr="00667BF4">
              <w:rPr>
                <w:szCs w:val="18"/>
                <w:lang w:val="fr-FR"/>
              </w:rPr>
              <w:t xml:space="preserve">HCEL </w:t>
            </w:r>
            <w:r w:rsidRPr="00667BF4">
              <w:rPr>
                <w:szCs w:val="18"/>
              </w:rPr>
              <w:t>→</w:t>
            </w:r>
            <w:r w:rsidRPr="00667BF4">
              <w:rPr>
                <w:szCs w:val="18"/>
                <w:lang w:val="fr-FR"/>
              </w:rPr>
              <w:t xml:space="preserve"> 0.70 HCE1 + 0.30 HCE2</w:t>
            </w:r>
          </w:p>
          <w:p w14:paraId="5833B68D" w14:textId="77777777" w:rsidR="003D6591" w:rsidRPr="00667BF4" w:rsidRDefault="003D6591" w:rsidP="00195298">
            <w:pPr>
              <w:pStyle w:val="CETBodytext"/>
              <w:rPr>
                <w:sz w:val="6"/>
                <w:szCs w:val="6"/>
                <w:lang w:val="en-GB"/>
              </w:rPr>
            </w:pPr>
          </w:p>
        </w:tc>
        <w:tc>
          <w:tcPr>
            <w:tcW w:w="900" w:type="dxa"/>
            <w:shd w:val="clear" w:color="auto" w:fill="FFFFFF"/>
            <w:vAlign w:val="center"/>
          </w:tcPr>
          <w:p w14:paraId="52EF170A" w14:textId="77777777" w:rsidR="003D6591" w:rsidRPr="00667BF4" w:rsidRDefault="003D6591" w:rsidP="00195298">
            <w:pPr>
              <w:pStyle w:val="CETBodytext"/>
              <w:jc w:val="right"/>
              <w:rPr>
                <w:szCs w:val="18"/>
                <w:lang w:val="en-GB"/>
              </w:rPr>
            </w:pPr>
            <w:r w:rsidRPr="00667BF4">
              <w:rPr>
                <w:szCs w:val="18"/>
              </w:rPr>
              <w:t>1.0.10</w:t>
            </w:r>
            <w:r w:rsidRPr="00667BF4">
              <w:rPr>
                <w:szCs w:val="18"/>
                <w:vertAlign w:val="superscript"/>
              </w:rPr>
              <w:t>10</w:t>
            </w:r>
          </w:p>
        </w:tc>
        <w:tc>
          <w:tcPr>
            <w:tcW w:w="918" w:type="dxa"/>
            <w:shd w:val="clear" w:color="auto" w:fill="FFFFFF"/>
            <w:vAlign w:val="center"/>
          </w:tcPr>
          <w:p w14:paraId="3953AFFA" w14:textId="77777777" w:rsidR="003D6591" w:rsidRPr="00667BF4" w:rsidRDefault="003D6591" w:rsidP="00195298">
            <w:pPr>
              <w:pStyle w:val="CETBodytext"/>
              <w:jc w:val="right"/>
              <w:rPr>
                <w:szCs w:val="18"/>
                <w:lang w:val="en-GB"/>
              </w:rPr>
            </w:pPr>
            <w:r w:rsidRPr="00667BF4">
              <w:rPr>
                <w:szCs w:val="18"/>
              </w:rPr>
              <w:t>31</w:t>
            </w:r>
          </w:p>
        </w:tc>
      </w:tr>
      <w:tr w:rsidR="003D6591" w:rsidRPr="00667BF4" w14:paraId="569934D6" w14:textId="77777777" w:rsidTr="00195298">
        <w:tc>
          <w:tcPr>
            <w:tcW w:w="6930" w:type="dxa"/>
            <w:shd w:val="clear" w:color="auto" w:fill="FFFFFF"/>
            <w:vAlign w:val="center"/>
          </w:tcPr>
          <w:p w14:paraId="4F90C370" w14:textId="77777777" w:rsidR="003D6591" w:rsidRPr="00667BF4" w:rsidRDefault="003D6591" w:rsidP="00195298">
            <w:pPr>
              <w:pStyle w:val="CETBodytext"/>
              <w:ind w:right="-1"/>
              <w:rPr>
                <w:szCs w:val="18"/>
                <w:lang w:val="pt-BR"/>
              </w:rPr>
            </w:pPr>
            <w:r w:rsidRPr="00667BF4">
              <w:rPr>
                <w:szCs w:val="18"/>
                <w:lang w:val="pt-BR"/>
              </w:rPr>
              <w:t xml:space="preserve">HCE1 → 0.6 XYLAN + 0.2 C3H6O2 + 0.12 GLYOX + 0.2 FURF + 0.4 H2O + </w:t>
            </w:r>
          </w:p>
          <w:p w14:paraId="7FA67DCB" w14:textId="77777777" w:rsidR="003D6591" w:rsidRPr="00667BF4" w:rsidRDefault="003D6591" w:rsidP="00195298">
            <w:pPr>
              <w:pStyle w:val="CETBodytext"/>
              <w:ind w:right="-1"/>
              <w:rPr>
                <w:szCs w:val="18"/>
                <w:lang w:val="pt-BR"/>
              </w:rPr>
            </w:pPr>
            <w:r w:rsidRPr="00667BF4">
              <w:rPr>
                <w:szCs w:val="18"/>
                <w:lang w:val="pt-BR"/>
              </w:rPr>
              <w:t>0.08 H2-T + 0.16 CO</w:t>
            </w:r>
          </w:p>
          <w:p w14:paraId="3134DA58" w14:textId="77777777" w:rsidR="003D6591" w:rsidRPr="00667BF4" w:rsidRDefault="003D6591" w:rsidP="00195298">
            <w:pPr>
              <w:pStyle w:val="CETBodytext"/>
              <w:ind w:right="-1"/>
              <w:rPr>
                <w:rFonts w:cs="Arial"/>
                <w:sz w:val="6"/>
                <w:szCs w:val="6"/>
                <w:lang w:val="pt-BR"/>
              </w:rPr>
            </w:pPr>
          </w:p>
        </w:tc>
        <w:tc>
          <w:tcPr>
            <w:tcW w:w="900" w:type="dxa"/>
            <w:shd w:val="clear" w:color="auto" w:fill="FFFFFF"/>
            <w:vAlign w:val="center"/>
          </w:tcPr>
          <w:p w14:paraId="53A936B6" w14:textId="77777777" w:rsidR="003D6591" w:rsidRPr="00667BF4" w:rsidRDefault="003D6591" w:rsidP="00195298">
            <w:pPr>
              <w:pStyle w:val="CETBodytext"/>
              <w:ind w:right="-1"/>
              <w:jc w:val="right"/>
              <w:rPr>
                <w:rFonts w:cs="Arial"/>
                <w:szCs w:val="18"/>
                <w:lang w:val="en-GB"/>
              </w:rPr>
            </w:pPr>
            <w:r w:rsidRPr="00667BF4">
              <w:rPr>
                <w:szCs w:val="18"/>
              </w:rPr>
              <w:t>3.0 T </w:t>
            </w:r>
          </w:p>
        </w:tc>
        <w:tc>
          <w:tcPr>
            <w:tcW w:w="918" w:type="dxa"/>
            <w:shd w:val="clear" w:color="auto" w:fill="FFFFFF"/>
            <w:vAlign w:val="center"/>
          </w:tcPr>
          <w:p w14:paraId="1DA4CEAB" w14:textId="77777777" w:rsidR="003D6591" w:rsidRPr="00667BF4" w:rsidRDefault="003D6591" w:rsidP="00195298">
            <w:pPr>
              <w:pStyle w:val="CETBodytext"/>
              <w:ind w:right="-1"/>
              <w:jc w:val="right"/>
              <w:rPr>
                <w:rFonts w:cs="Arial"/>
                <w:szCs w:val="18"/>
                <w:lang w:val="en-GB"/>
              </w:rPr>
            </w:pPr>
            <w:r w:rsidRPr="00667BF4">
              <w:rPr>
                <w:szCs w:val="18"/>
              </w:rPr>
              <w:t>11</w:t>
            </w:r>
          </w:p>
        </w:tc>
      </w:tr>
      <w:tr w:rsidR="003D6591" w:rsidRPr="00667BF4" w14:paraId="3939FF5B" w14:textId="77777777" w:rsidTr="00195298">
        <w:tc>
          <w:tcPr>
            <w:tcW w:w="6930" w:type="dxa"/>
            <w:shd w:val="clear" w:color="auto" w:fill="FFFFFF"/>
            <w:vAlign w:val="center"/>
          </w:tcPr>
          <w:p w14:paraId="4E8CD0DB" w14:textId="77777777" w:rsidR="003D6591" w:rsidRPr="00667BF4" w:rsidRDefault="003D6591" w:rsidP="00195298">
            <w:pPr>
              <w:pStyle w:val="CETBodytext"/>
              <w:ind w:right="-1"/>
              <w:rPr>
                <w:szCs w:val="18"/>
              </w:rPr>
            </w:pPr>
            <w:r w:rsidRPr="00667BF4">
              <w:rPr>
                <w:szCs w:val="18"/>
              </w:rPr>
              <w:t xml:space="preserve">HCE1 → 0.4 H2O + 0.79 CO2 + 0.05 HCOOH + 0.69 CO + 0.01 CO-T + 0.01 CO2-T </w:t>
            </w:r>
          </w:p>
          <w:p w14:paraId="0B35369B" w14:textId="77777777" w:rsidR="003D6591" w:rsidRPr="00667BF4" w:rsidRDefault="003D6591" w:rsidP="00195298">
            <w:pPr>
              <w:pStyle w:val="CETBodytext"/>
              <w:ind w:right="-1"/>
              <w:rPr>
                <w:szCs w:val="18"/>
                <w:lang w:val="pt-BR"/>
              </w:rPr>
            </w:pPr>
            <w:r w:rsidRPr="00667BF4">
              <w:rPr>
                <w:szCs w:val="18"/>
                <w:lang w:val="pt-BR"/>
              </w:rPr>
              <w:t>+ 0.35 H2-T + 0.3 CH2O+ 0.9 CH2O-T + 0.625 CH4-T + 0.375 C2H4-T + 0.875 CHAR</w:t>
            </w:r>
          </w:p>
          <w:p w14:paraId="137C9202" w14:textId="77777777" w:rsidR="003D6591" w:rsidRPr="00667BF4" w:rsidRDefault="003D6591" w:rsidP="00195298">
            <w:pPr>
              <w:pStyle w:val="CETBodytext"/>
              <w:ind w:right="-1"/>
              <w:rPr>
                <w:sz w:val="6"/>
                <w:szCs w:val="6"/>
                <w:lang w:val="pt-BR"/>
              </w:rPr>
            </w:pPr>
          </w:p>
        </w:tc>
        <w:tc>
          <w:tcPr>
            <w:tcW w:w="900" w:type="dxa"/>
            <w:shd w:val="clear" w:color="auto" w:fill="FFFFFF"/>
            <w:vAlign w:val="center"/>
          </w:tcPr>
          <w:p w14:paraId="2CFA04F5" w14:textId="77777777" w:rsidR="003D6591" w:rsidRPr="00667BF4" w:rsidRDefault="003D6591" w:rsidP="00195298">
            <w:pPr>
              <w:pStyle w:val="CETBodytext"/>
              <w:ind w:right="-1"/>
              <w:jc w:val="right"/>
              <w:rPr>
                <w:rFonts w:cs="Arial"/>
                <w:szCs w:val="18"/>
                <w:lang w:val="en-GB"/>
              </w:rPr>
            </w:pPr>
            <w:r w:rsidRPr="00667BF4">
              <w:rPr>
                <w:szCs w:val="18"/>
              </w:rPr>
              <w:t>1.8.10</w:t>
            </w:r>
            <w:r w:rsidRPr="00667BF4">
              <w:rPr>
                <w:szCs w:val="18"/>
                <w:vertAlign w:val="superscript"/>
              </w:rPr>
              <w:t xml:space="preserve">-3 </w:t>
            </w:r>
            <w:r w:rsidRPr="00667BF4">
              <w:rPr>
                <w:szCs w:val="18"/>
              </w:rPr>
              <w:t>T </w:t>
            </w:r>
          </w:p>
        </w:tc>
        <w:tc>
          <w:tcPr>
            <w:tcW w:w="918" w:type="dxa"/>
            <w:shd w:val="clear" w:color="auto" w:fill="FFFFFF"/>
            <w:vAlign w:val="center"/>
          </w:tcPr>
          <w:p w14:paraId="0E9D079E" w14:textId="77777777" w:rsidR="003D6591" w:rsidRPr="00667BF4" w:rsidRDefault="003D6591" w:rsidP="00195298">
            <w:pPr>
              <w:pStyle w:val="CETBodytext"/>
              <w:ind w:right="-1"/>
              <w:jc w:val="right"/>
              <w:rPr>
                <w:rFonts w:cs="Arial"/>
                <w:szCs w:val="18"/>
                <w:lang w:val="en-GB"/>
              </w:rPr>
            </w:pPr>
            <w:r w:rsidRPr="00667BF4">
              <w:rPr>
                <w:szCs w:val="18"/>
              </w:rPr>
              <w:t>3</w:t>
            </w:r>
          </w:p>
        </w:tc>
      </w:tr>
      <w:tr w:rsidR="003D6591" w:rsidRPr="00667BF4" w14:paraId="46A9828D" w14:textId="77777777" w:rsidTr="00195298">
        <w:tc>
          <w:tcPr>
            <w:tcW w:w="6930" w:type="dxa"/>
            <w:shd w:val="clear" w:color="auto" w:fill="FFFFFF"/>
            <w:vAlign w:val="center"/>
          </w:tcPr>
          <w:p w14:paraId="0106206D" w14:textId="77777777" w:rsidR="003D6591" w:rsidRPr="00667BF4" w:rsidRDefault="003D6591" w:rsidP="00195298">
            <w:pPr>
              <w:pStyle w:val="CETBodytext"/>
              <w:ind w:right="-1"/>
              <w:rPr>
                <w:szCs w:val="18"/>
                <w:lang w:val="pt-BR"/>
              </w:rPr>
            </w:pPr>
            <w:r w:rsidRPr="00667BF4">
              <w:rPr>
                <w:szCs w:val="18"/>
                <w:lang w:val="pt-BR"/>
              </w:rPr>
              <w:t xml:space="preserve">HCE2 → 0.2 H2O + 0.275 CO + 0.275 CO2 + 0.4 CH2O+ 0.1 C2H5OH + 0.05 HAA </w:t>
            </w:r>
          </w:p>
          <w:p w14:paraId="6316AB52" w14:textId="77777777" w:rsidR="003D6591" w:rsidRPr="00667BF4" w:rsidRDefault="003D6591" w:rsidP="00195298">
            <w:pPr>
              <w:pStyle w:val="CETBodytext"/>
              <w:ind w:right="-1"/>
              <w:rPr>
                <w:szCs w:val="18"/>
              </w:rPr>
            </w:pPr>
            <w:r w:rsidRPr="00667BF4">
              <w:rPr>
                <w:szCs w:val="18"/>
              </w:rPr>
              <w:t xml:space="preserve">+ 0.35ACAC + 0.025 HCOOH + 0.25 CH4-T + 0.3 CH3OH-T + 0.225 C2H4-T + </w:t>
            </w:r>
          </w:p>
          <w:p w14:paraId="77B74BB1" w14:textId="77777777" w:rsidR="003D6591" w:rsidRPr="00667BF4" w:rsidRDefault="003D6591" w:rsidP="00195298">
            <w:pPr>
              <w:pStyle w:val="CETBodytext"/>
              <w:ind w:right="-1"/>
              <w:rPr>
                <w:rFonts w:cs="Arial"/>
                <w:szCs w:val="18"/>
                <w:lang w:val="en-GB"/>
              </w:rPr>
            </w:pPr>
            <w:r w:rsidRPr="00667BF4">
              <w:rPr>
                <w:szCs w:val="18"/>
              </w:rPr>
              <w:t>0.3 CO2-T + 0.725 CH2O-T + CHAR</w:t>
            </w:r>
          </w:p>
        </w:tc>
        <w:tc>
          <w:tcPr>
            <w:tcW w:w="900" w:type="dxa"/>
            <w:shd w:val="clear" w:color="auto" w:fill="FFFFFF"/>
            <w:vAlign w:val="center"/>
          </w:tcPr>
          <w:p w14:paraId="4DDFC7FA" w14:textId="77777777" w:rsidR="003D6591" w:rsidRPr="00667BF4" w:rsidRDefault="003D6591" w:rsidP="00195298">
            <w:pPr>
              <w:pStyle w:val="CETBodytext"/>
              <w:ind w:right="-1"/>
              <w:jc w:val="right"/>
              <w:rPr>
                <w:rFonts w:cs="Arial"/>
                <w:szCs w:val="18"/>
                <w:lang w:val="en-GB"/>
              </w:rPr>
            </w:pPr>
            <w:r w:rsidRPr="00667BF4">
              <w:rPr>
                <w:szCs w:val="18"/>
              </w:rPr>
              <w:t>5.0.10</w:t>
            </w:r>
            <w:r w:rsidRPr="00667BF4">
              <w:rPr>
                <w:szCs w:val="18"/>
                <w:vertAlign w:val="superscript"/>
              </w:rPr>
              <w:t>9</w:t>
            </w:r>
          </w:p>
        </w:tc>
        <w:tc>
          <w:tcPr>
            <w:tcW w:w="918" w:type="dxa"/>
            <w:shd w:val="clear" w:color="auto" w:fill="FFFFFF"/>
            <w:vAlign w:val="center"/>
          </w:tcPr>
          <w:p w14:paraId="1D079345" w14:textId="77777777" w:rsidR="003D6591" w:rsidRPr="00667BF4" w:rsidRDefault="003D6591" w:rsidP="00195298">
            <w:pPr>
              <w:pStyle w:val="CETBodytext"/>
              <w:ind w:right="-1"/>
              <w:jc w:val="right"/>
              <w:rPr>
                <w:rFonts w:cs="Arial"/>
                <w:szCs w:val="18"/>
                <w:lang w:val="en-GB"/>
              </w:rPr>
            </w:pPr>
            <w:r w:rsidRPr="00667BF4">
              <w:rPr>
                <w:szCs w:val="18"/>
              </w:rPr>
              <w:t>31.5</w:t>
            </w:r>
          </w:p>
        </w:tc>
      </w:tr>
    </w:tbl>
    <w:p w14:paraId="5F9E5544" w14:textId="4983D371" w:rsidR="00D229AC" w:rsidRPr="00667BF4" w:rsidRDefault="00D229AC" w:rsidP="00D229AC">
      <w:pPr>
        <w:pStyle w:val="CETTabletitle"/>
      </w:pPr>
      <w:r w:rsidRPr="00667BF4">
        <w:t xml:space="preserve">Table </w:t>
      </w:r>
      <w:r w:rsidR="003D6591" w:rsidRPr="00667BF4">
        <w:t>2</w:t>
      </w:r>
      <w:r w:rsidRPr="00667BF4">
        <w:t>: Fast pyrolysis components inserted in the simulation. -T: component trapped in char</w:t>
      </w:r>
      <w:r w:rsidR="00B41EC3" w:rsidRPr="00667BF4">
        <w:t>.</w:t>
      </w:r>
      <w:r w:rsidR="009C3D54" w:rsidRPr="00667BF4">
        <w:rPr>
          <w:rStyle w:val="CETCaptionCarattere"/>
          <w:i/>
        </w:rPr>
        <w:t xml:space="preserve"> </w:t>
      </w:r>
      <w:r w:rsidR="00E61A62" w:rsidRPr="00667BF4">
        <w:rPr>
          <w:rStyle w:val="CETCaptionCarattere"/>
          <w:i/>
        </w:rPr>
        <w:t>The s</w:t>
      </w:r>
      <w:r w:rsidR="009C3D54" w:rsidRPr="00667BF4">
        <w:rPr>
          <w:rStyle w:val="CETCaptionCarattere"/>
          <w:i/>
        </w:rPr>
        <w:t>uffix “-T” refers to components trapped in the char.</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30"/>
        <w:gridCol w:w="2592"/>
        <w:gridCol w:w="2070"/>
        <w:gridCol w:w="2502"/>
      </w:tblGrid>
      <w:tr w:rsidR="00D229AC" w:rsidRPr="00667BF4" w14:paraId="6D8D4020" w14:textId="77777777" w:rsidTr="001B6B37">
        <w:tc>
          <w:tcPr>
            <w:tcW w:w="1530" w:type="dxa"/>
            <w:tcBorders>
              <w:top w:val="single" w:sz="12" w:space="0" w:color="008000"/>
              <w:bottom w:val="single" w:sz="6" w:space="0" w:color="008000"/>
            </w:tcBorders>
            <w:shd w:val="clear" w:color="auto" w:fill="FFFFFF"/>
          </w:tcPr>
          <w:p w14:paraId="583A0072" w14:textId="77777777" w:rsidR="00D229AC" w:rsidRPr="00667BF4" w:rsidRDefault="00D229AC" w:rsidP="00D363FD">
            <w:pPr>
              <w:pStyle w:val="CETBodytext"/>
              <w:rPr>
                <w:lang w:val="en-GB"/>
              </w:rPr>
            </w:pPr>
            <w:r w:rsidRPr="00667BF4">
              <w:rPr>
                <w:lang w:val="en-GB"/>
              </w:rPr>
              <w:t>Component ID</w:t>
            </w:r>
          </w:p>
        </w:tc>
        <w:tc>
          <w:tcPr>
            <w:tcW w:w="2592" w:type="dxa"/>
            <w:tcBorders>
              <w:top w:val="single" w:sz="12" w:space="0" w:color="008000"/>
              <w:bottom w:val="single" w:sz="6" w:space="0" w:color="008000"/>
            </w:tcBorders>
            <w:shd w:val="clear" w:color="auto" w:fill="FFFFFF"/>
          </w:tcPr>
          <w:p w14:paraId="44300116" w14:textId="77777777" w:rsidR="00D229AC" w:rsidRPr="00667BF4" w:rsidRDefault="00D229AC" w:rsidP="00D363FD">
            <w:pPr>
              <w:pStyle w:val="CETBodytext"/>
              <w:rPr>
                <w:lang w:val="en-GB"/>
              </w:rPr>
            </w:pPr>
            <w:r w:rsidRPr="00667BF4">
              <w:rPr>
                <w:lang w:val="en-GB"/>
              </w:rPr>
              <w:t>Component name (Alias)</w:t>
            </w:r>
          </w:p>
        </w:tc>
        <w:tc>
          <w:tcPr>
            <w:tcW w:w="2070" w:type="dxa"/>
            <w:tcBorders>
              <w:top w:val="single" w:sz="12" w:space="0" w:color="008000"/>
              <w:bottom w:val="single" w:sz="6" w:space="0" w:color="008000"/>
            </w:tcBorders>
            <w:shd w:val="clear" w:color="auto" w:fill="FFFFFF"/>
          </w:tcPr>
          <w:p w14:paraId="00A68382" w14:textId="77777777" w:rsidR="00D229AC" w:rsidRPr="00667BF4" w:rsidRDefault="00D229AC" w:rsidP="00D363FD">
            <w:pPr>
              <w:pStyle w:val="CETBodytext"/>
              <w:rPr>
                <w:lang w:val="en-GB"/>
              </w:rPr>
            </w:pPr>
            <w:r w:rsidRPr="00667BF4">
              <w:rPr>
                <w:lang w:val="en-GB"/>
              </w:rPr>
              <w:t>Component ID</w:t>
            </w:r>
          </w:p>
        </w:tc>
        <w:tc>
          <w:tcPr>
            <w:tcW w:w="2502" w:type="dxa"/>
            <w:tcBorders>
              <w:top w:val="single" w:sz="12" w:space="0" w:color="008000"/>
              <w:bottom w:val="single" w:sz="6" w:space="0" w:color="008000"/>
            </w:tcBorders>
            <w:shd w:val="clear" w:color="auto" w:fill="FFFFFF"/>
          </w:tcPr>
          <w:p w14:paraId="0F0FD5E4" w14:textId="77777777" w:rsidR="00D229AC" w:rsidRPr="00667BF4" w:rsidRDefault="00D229AC" w:rsidP="00D363FD">
            <w:pPr>
              <w:pStyle w:val="CETBodytext"/>
              <w:ind w:right="-1"/>
              <w:rPr>
                <w:rFonts w:cs="Arial"/>
                <w:szCs w:val="18"/>
                <w:lang w:val="en-GB"/>
              </w:rPr>
            </w:pPr>
            <w:r w:rsidRPr="00667BF4">
              <w:rPr>
                <w:lang w:val="en-GB"/>
              </w:rPr>
              <w:t>Component name (Alias)</w:t>
            </w:r>
          </w:p>
        </w:tc>
      </w:tr>
      <w:tr w:rsidR="00D229AC" w:rsidRPr="00667BF4" w14:paraId="336953B5" w14:textId="77777777" w:rsidTr="001B6B37">
        <w:tc>
          <w:tcPr>
            <w:tcW w:w="1530" w:type="dxa"/>
            <w:shd w:val="clear" w:color="auto" w:fill="FFFFFF"/>
            <w:vAlign w:val="center"/>
          </w:tcPr>
          <w:p w14:paraId="5EE20F16" w14:textId="77777777" w:rsidR="00D229AC" w:rsidRPr="00667BF4" w:rsidRDefault="00D229AC" w:rsidP="00D363FD">
            <w:pPr>
              <w:pStyle w:val="CETBodytext"/>
              <w:rPr>
                <w:szCs w:val="18"/>
                <w:lang w:val="en-GB"/>
              </w:rPr>
            </w:pPr>
            <w:r w:rsidRPr="00667BF4">
              <w:rPr>
                <w:rFonts w:cs="Arial"/>
                <w:szCs w:val="18"/>
                <w:lang w:val="pt-BR"/>
              </w:rPr>
              <w:t>ACAC</w:t>
            </w:r>
          </w:p>
        </w:tc>
        <w:tc>
          <w:tcPr>
            <w:tcW w:w="2592" w:type="dxa"/>
            <w:shd w:val="clear" w:color="auto" w:fill="FFFFFF"/>
            <w:vAlign w:val="center"/>
          </w:tcPr>
          <w:p w14:paraId="2169A02D" w14:textId="77777777" w:rsidR="00D229AC" w:rsidRPr="00667BF4" w:rsidRDefault="00D229AC" w:rsidP="00D363FD">
            <w:pPr>
              <w:pStyle w:val="CETBodytext"/>
              <w:rPr>
                <w:szCs w:val="18"/>
                <w:lang w:val="en-GB"/>
              </w:rPr>
            </w:pPr>
            <w:r w:rsidRPr="00667BF4">
              <w:rPr>
                <w:rFonts w:cs="Arial"/>
                <w:color w:val="000000"/>
                <w:szCs w:val="18"/>
                <w:lang w:val="en-GB"/>
              </w:rPr>
              <w:t>Acetic acid (</w:t>
            </w:r>
            <w:r w:rsidRPr="00667BF4">
              <w:rPr>
                <w:szCs w:val="18"/>
                <w:lang w:val="pt-BR"/>
              </w:rPr>
              <w:t>C2H4O2-1)</w:t>
            </w:r>
          </w:p>
        </w:tc>
        <w:tc>
          <w:tcPr>
            <w:tcW w:w="2070" w:type="dxa"/>
            <w:shd w:val="clear" w:color="auto" w:fill="FFFFFF"/>
            <w:vAlign w:val="center"/>
          </w:tcPr>
          <w:p w14:paraId="6C32A860" w14:textId="77777777" w:rsidR="00D229AC" w:rsidRPr="00667BF4" w:rsidRDefault="00D229AC" w:rsidP="00D363FD">
            <w:pPr>
              <w:pStyle w:val="CETBodytext"/>
              <w:rPr>
                <w:szCs w:val="18"/>
                <w:lang w:val="en-GB"/>
              </w:rPr>
            </w:pPr>
            <w:r w:rsidRPr="00667BF4">
              <w:rPr>
                <w:rFonts w:cs="Arial"/>
                <w:color w:val="000000"/>
                <w:szCs w:val="18"/>
                <w:lang w:val="en-GB"/>
              </w:rPr>
              <w:t>CO, CO-T</w:t>
            </w:r>
          </w:p>
        </w:tc>
        <w:tc>
          <w:tcPr>
            <w:tcW w:w="2502" w:type="dxa"/>
            <w:shd w:val="clear" w:color="auto" w:fill="FFFFFF"/>
            <w:vAlign w:val="center"/>
          </w:tcPr>
          <w:p w14:paraId="6E725665" w14:textId="77777777" w:rsidR="00D229AC" w:rsidRPr="00667BF4" w:rsidRDefault="00D229AC" w:rsidP="00D363FD">
            <w:pPr>
              <w:pStyle w:val="CETBodytext"/>
              <w:ind w:right="-1"/>
              <w:rPr>
                <w:rFonts w:cs="Arial"/>
                <w:szCs w:val="18"/>
                <w:lang w:val="en-GB"/>
              </w:rPr>
            </w:pPr>
            <w:r w:rsidRPr="00667BF4">
              <w:rPr>
                <w:rFonts w:cs="Arial"/>
                <w:color w:val="000000"/>
                <w:szCs w:val="18"/>
                <w:lang w:val="en-GB"/>
              </w:rPr>
              <w:t>Carbon monoxide (CO)</w:t>
            </w:r>
          </w:p>
        </w:tc>
      </w:tr>
      <w:tr w:rsidR="00D229AC" w:rsidRPr="00B57B36" w14:paraId="1A0E8CCB" w14:textId="77777777" w:rsidTr="001B6B37">
        <w:tc>
          <w:tcPr>
            <w:tcW w:w="1530" w:type="dxa"/>
            <w:shd w:val="clear" w:color="auto" w:fill="FFFFFF"/>
            <w:vAlign w:val="center"/>
          </w:tcPr>
          <w:p w14:paraId="6ABD19B2" w14:textId="77777777" w:rsidR="00D229AC" w:rsidRPr="00667BF4" w:rsidRDefault="00D229AC" w:rsidP="00D363FD">
            <w:pPr>
              <w:pStyle w:val="CETBodytext"/>
              <w:ind w:right="-1"/>
              <w:rPr>
                <w:rFonts w:cs="Arial"/>
                <w:szCs w:val="18"/>
                <w:lang w:val="en-GB"/>
              </w:rPr>
            </w:pPr>
            <w:r w:rsidRPr="00667BF4">
              <w:rPr>
                <w:rFonts w:cs="Arial"/>
                <w:szCs w:val="18"/>
                <w:lang w:val="en-GB"/>
              </w:rPr>
              <w:t>ASH</w:t>
            </w:r>
          </w:p>
        </w:tc>
        <w:tc>
          <w:tcPr>
            <w:tcW w:w="2592" w:type="dxa"/>
            <w:shd w:val="clear" w:color="auto" w:fill="FFFFFF"/>
            <w:vAlign w:val="center"/>
          </w:tcPr>
          <w:p w14:paraId="738FC4C9" w14:textId="77777777" w:rsidR="00D229AC" w:rsidRPr="00667BF4" w:rsidRDefault="00D229AC" w:rsidP="00D363FD">
            <w:pPr>
              <w:pStyle w:val="CETBodytext"/>
              <w:ind w:right="-1"/>
              <w:rPr>
                <w:rFonts w:cs="Arial"/>
                <w:szCs w:val="18"/>
                <w:lang w:val="en-GB"/>
              </w:rPr>
            </w:pPr>
            <w:r w:rsidRPr="00667BF4">
              <w:rPr>
                <w:rFonts w:cs="Arial"/>
                <w:szCs w:val="18"/>
                <w:lang w:val="en-GB"/>
              </w:rPr>
              <w:t>Ash (nonconventional)</w:t>
            </w:r>
          </w:p>
        </w:tc>
        <w:tc>
          <w:tcPr>
            <w:tcW w:w="2070" w:type="dxa"/>
            <w:shd w:val="clear" w:color="auto" w:fill="FFFFFF"/>
            <w:vAlign w:val="center"/>
          </w:tcPr>
          <w:p w14:paraId="6D7D4E46" w14:textId="77777777" w:rsidR="00D229AC" w:rsidRPr="00667BF4" w:rsidRDefault="00D229AC" w:rsidP="00D363FD">
            <w:pPr>
              <w:pStyle w:val="CETBodytext"/>
              <w:ind w:right="-1"/>
              <w:rPr>
                <w:rFonts w:cs="Arial"/>
                <w:szCs w:val="18"/>
                <w:lang w:val="en-GB"/>
              </w:rPr>
            </w:pPr>
            <w:r w:rsidRPr="00667BF4">
              <w:rPr>
                <w:rFonts w:cs="Arial"/>
                <w:color w:val="000000"/>
                <w:szCs w:val="18"/>
                <w:lang w:val="en-GB"/>
              </w:rPr>
              <w:t>CO2, CO2-T</w:t>
            </w:r>
          </w:p>
        </w:tc>
        <w:tc>
          <w:tcPr>
            <w:tcW w:w="2502" w:type="dxa"/>
            <w:shd w:val="clear" w:color="auto" w:fill="FFFFFF"/>
            <w:vAlign w:val="center"/>
          </w:tcPr>
          <w:p w14:paraId="7B30CBFC" w14:textId="77777777" w:rsidR="00D229AC" w:rsidRPr="00064B0C" w:rsidRDefault="00D229AC" w:rsidP="00D363FD">
            <w:pPr>
              <w:pStyle w:val="CETBodytext"/>
              <w:ind w:right="-1"/>
              <w:rPr>
                <w:rFonts w:cs="Arial"/>
                <w:szCs w:val="18"/>
                <w:lang w:val="en-GB"/>
              </w:rPr>
            </w:pPr>
            <w:r w:rsidRPr="00667BF4">
              <w:rPr>
                <w:rFonts w:cs="Arial"/>
                <w:color w:val="000000"/>
                <w:szCs w:val="18"/>
                <w:lang w:val="en-GB"/>
              </w:rPr>
              <w:t>Carbon monoxide (CO2)</w:t>
            </w:r>
          </w:p>
        </w:tc>
      </w:tr>
      <w:tr w:rsidR="00D229AC" w:rsidRPr="00B57B36" w14:paraId="2F77DD97" w14:textId="77777777" w:rsidTr="001B6B37">
        <w:tc>
          <w:tcPr>
            <w:tcW w:w="1530" w:type="dxa"/>
            <w:shd w:val="clear" w:color="auto" w:fill="FFFFFF"/>
            <w:vAlign w:val="center"/>
          </w:tcPr>
          <w:p w14:paraId="3B3C002B" w14:textId="77777777" w:rsidR="00D229AC" w:rsidRPr="00064B0C" w:rsidRDefault="00D229AC" w:rsidP="00D363FD">
            <w:pPr>
              <w:pStyle w:val="CETBodytext"/>
              <w:ind w:right="-1"/>
              <w:rPr>
                <w:rFonts w:cs="Arial"/>
                <w:szCs w:val="18"/>
                <w:lang w:val="en-GB"/>
              </w:rPr>
            </w:pPr>
            <w:r w:rsidRPr="00064B0C">
              <w:rPr>
                <w:rFonts w:cs="Arial"/>
                <w:szCs w:val="18"/>
                <w:lang w:val="pt-BR"/>
              </w:rPr>
              <w:t>C2H4, C2H4-T</w:t>
            </w:r>
          </w:p>
        </w:tc>
        <w:tc>
          <w:tcPr>
            <w:tcW w:w="2592" w:type="dxa"/>
            <w:shd w:val="clear" w:color="auto" w:fill="FFFFFF"/>
            <w:vAlign w:val="center"/>
          </w:tcPr>
          <w:p w14:paraId="07DF42D9" w14:textId="77777777" w:rsidR="00D229AC" w:rsidRPr="00064B0C" w:rsidRDefault="00D229AC" w:rsidP="00D363FD">
            <w:pPr>
              <w:pStyle w:val="CETBodytext"/>
              <w:ind w:right="-1"/>
              <w:rPr>
                <w:rFonts w:cs="Arial"/>
                <w:szCs w:val="18"/>
                <w:lang w:val="en-GB"/>
              </w:rPr>
            </w:pPr>
            <w:r w:rsidRPr="00064B0C">
              <w:rPr>
                <w:rFonts w:cs="Arial"/>
                <w:color w:val="000000"/>
                <w:szCs w:val="18"/>
                <w:lang w:val="en-GB"/>
              </w:rPr>
              <w:t>Ethylene (C2H4)</w:t>
            </w:r>
          </w:p>
        </w:tc>
        <w:tc>
          <w:tcPr>
            <w:tcW w:w="2070" w:type="dxa"/>
            <w:shd w:val="clear" w:color="auto" w:fill="FFFFFF"/>
            <w:vAlign w:val="center"/>
          </w:tcPr>
          <w:p w14:paraId="1B142E6A" w14:textId="77777777" w:rsidR="00D229AC" w:rsidRPr="00064B0C" w:rsidRDefault="00D229AC" w:rsidP="00D363FD">
            <w:pPr>
              <w:pStyle w:val="CETBodytext"/>
              <w:ind w:right="-1"/>
              <w:rPr>
                <w:rFonts w:cs="Arial"/>
                <w:szCs w:val="18"/>
                <w:lang w:val="en-GB"/>
              </w:rPr>
            </w:pPr>
            <w:r w:rsidRPr="00064B0C">
              <w:rPr>
                <w:rFonts w:cs="Arial"/>
                <w:color w:val="000000"/>
                <w:szCs w:val="18"/>
                <w:lang w:val="en-GB"/>
              </w:rPr>
              <w:t>FURF</w:t>
            </w:r>
          </w:p>
        </w:tc>
        <w:tc>
          <w:tcPr>
            <w:tcW w:w="2502" w:type="dxa"/>
            <w:shd w:val="clear" w:color="auto" w:fill="FFFFFF"/>
            <w:vAlign w:val="center"/>
          </w:tcPr>
          <w:p w14:paraId="70455918" w14:textId="77777777" w:rsidR="00D229AC" w:rsidRPr="00064B0C" w:rsidRDefault="00D229AC" w:rsidP="00D363FD">
            <w:pPr>
              <w:pStyle w:val="CETBodytext"/>
              <w:ind w:right="-1"/>
              <w:rPr>
                <w:rFonts w:cs="Arial"/>
                <w:szCs w:val="18"/>
                <w:lang w:val="en-GB"/>
              </w:rPr>
            </w:pPr>
            <w:r w:rsidRPr="00064B0C">
              <w:rPr>
                <w:rFonts w:cs="Arial"/>
                <w:color w:val="000000"/>
                <w:szCs w:val="18"/>
                <w:lang w:val="en-GB"/>
              </w:rPr>
              <w:t>Furfural (C5H4O2)</w:t>
            </w:r>
          </w:p>
        </w:tc>
      </w:tr>
      <w:tr w:rsidR="00D229AC" w:rsidRPr="00B57B36" w14:paraId="64106641" w14:textId="77777777" w:rsidTr="001B6B37">
        <w:tc>
          <w:tcPr>
            <w:tcW w:w="1530" w:type="dxa"/>
            <w:shd w:val="clear" w:color="auto" w:fill="FFFFFF"/>
            <w:vAlign w:val="center"/>
          </w:tcPr>
          <w:p w14:paraId="247CA4AD" w14:textId="77777777" w:rsidR="00D229AC" w:rsidRPr="00064B0C" w:rsidRDefault="00D229AC" w:rsidP="00D363FD">
            <w:pPr>
              <w:pStyle w:val="CETBodytext"/>
              <w:ind w:right="-1"/>
              <w:rPr>
                <w:rFonts w:cs="Arial"/>
                <w:szCs w:val="18"/>
                <w:lang w:val="en-GB"/>
              </w:rPr>
            </w:pPr>
            <w:r w:rsidRPr="00064B0C">
              <w:rPr>
                <w:rFonts w:cs="Arial"/>
                <w:szCs w:val="18"/>
                <w:lang w:val="pt-BR"/>
              </w:rPr>
              <w:t>C2H5OH</w:t>
            </w:r>
          </w:p>
        </w:tc>
        <w:tc>
          <w:tcPr>
            <w:tcW w:w="2592" w:type="dxa"/>
            <w:shd w:val="clear" w:color="auto" w:fill="FFFFFF"/>
            <w:vAlign w:val="center"/>
          </w:tcPr>
          <w:p w14:paraId="5CC64AE0" w14:textId="77777777" w:rsidR="00D229AC" w:rsidRPr="00064B0C" w:rsidRDefault="00D229AC" w:rsidP="00D363FD">
            <w:pPr>
              <w:pStyle w:val="CETBodytext"/>
              <w:ind w:right="-1"/>
              <w:rPr>
                <w:rFonts w:cs="Arial"/>
                <w:szCs w:val="18"/>
                <w:lang w:val="en-GB"/>
              </w:rPr>
            </w:pPr>
            <w:r w:rsidRPr="00064B0C">
              <w:rPr>
                <w:rFonts w:cs="Arial"/>
                <w:color w:val="000000"/>
                <w:szCs w:val="18"/>
                <w:lang w:val="en-GB"/>
              </w:rPr>
              <w:t>Ethanol (</w:t>
            </w:r>
            <w:r w:rsidRPr="00064B0C">
              <w:rPr>
                <w:szCs w:val="18"/>
                <w:lang w:val="pt-BR"/>
              </w:rPr>
              <w:t>C2H6O-2)</w:t>
            </w:r>
          </w:p>
        </w:tc>
        <w:tc>
          <w:tcPr>
            <w:tcW w:w="2070" w:type="dxa"/>
            <w:shd w:val="clear" w:color="auto" w:fill="FFFFFF"/>
            <w:vAlign w:val="center"/>
          </w:tcPr>
          <w:p w14:paraId="3E335EE6" w14:textId="77777777" w:rsidR="00D229AC" w:rsidRPr="00064B0C" w:rsidRDefault="00D229AC" w:rsidP="00D363FD">
            <w:pPr>
              <w:pStyle w:val="CETBodytext"/>
              <w:ind w:right="-1"/>
              <w:rPr>
                <w:rFonts w:cs="Arial"/>
                <w:szCs w:val="18"/>
                <w:lang w:val="en-GB"/>
              </w:rPr>
            </w:pPr>
            <w:r w:rsidRPr="00064B0C">
              <w:rPr>
                <w:rFonts w:cs="Arial"/>
                <w:color w:val="000000"/>
                <w:szCs w:val="18"/>
                <w:lang w:val="en-GB"/>
              </w:rPr>
              <w:t>GLYOX</w:t>
            </w:r>
          </w:p>
        </w:tc>
        <w:tc>
          <w:tcPr>
            <w:tcW w:w="2502" w:type="dxa"/>
            <w:shd w:val="clear" w:color="auto" w:fill="FFFFFF"/>
            <w:vAlign w:val="center"/>
          </w:tcPr>
          <w:p w14:paraId="53CC6A21" w14:textId="77777777" w:rsidR="00D229AC" w:rsidRPr="00064B0C" w:rsidRDefault="00D229AC" w:rsidP="00D363FD">
            <w:pPr>
              <w:pStyle w:val="CETBodytext"/>
              <w:ind w:right="-1"/>
              <w:rPr>
                <w:rFonts w:cs="Arial"/>
                <w:szCs w:val="18"/>
                <w:lang w:val="en-GB"/>
              </w:rPr>
            </w:pPr>
            <w:r w:rsidRPr="00064B0C">
              <w:rPr>
                <w:rFonts w:cs="Arial"/>
                <w:color w:val="000000"/>
                <w:szCs w:val="18"/>
                <w:lang w:val="en-GB"/>
              </w:rPr>
              <w:t>Glyoxal (C2H2O2)</w:t>
            </w:r>
          </w:p>
        </w:tc>
      </w:tr>
      <w:tr w:rsidR="00D229AC" w:rsidRPr="00B57B36" w14:paraId="65ECE5C5" w14:textId="77777777" w:rsidTr="001B6B37">
        <w:tc>
          <w:tcPr>
            <w:tcW w:w="1530" w:type="dxa"/>
            <w:shd w:val="clear" w:color="auto" w:fill="FFFFFF"/>
            <w:vAlign w:val="center"/>
          </w:tcPr>
          <w:p w14:paraId="642FA586" w14:textId="77777777" w:rsidR="00D229AC" w:rsidRPr="00064B0C" w:rsidRDefault="00D229AC" w:rsidP="00D363FD">
            <w:pPr>
              <w:pStyle w:val="CETBodytext"/>
              <w:ind w:right="-1"/>
              <w:rPr>
                <w:rFonts w:cs="Arial"/>
                <w:szCs w:val="18"/>
                <w:lang w:val="en-GB"/>
              </w:rPr>
            </w:pPr>
            <w:r w:rsidRPr="00064B0C">
              <w:rPr>
                <w:rFonts w:cs="Arial"/>
                <w:color w:val="000000"/>
                <w:szCs w:val="18"/>
                <w:lang w:val="en-GB"/>
              </w:rPr>
              <w:t>C3H6O2</w:t>
            </w:r>
          </w:p>
        </w:tc>
        <w:tc>
          <w:tcPr>
            <w:tcW w:w="2592" w:type="dxa"/>
            <w:shd w:val="clear" w:color="auto" w:fill="FFFFFF"/>
            <w:vAlign w:val="center"/>
          </w:tcPr>
          <w:p w14:paraId="12EE04B0" w14:textId="77777777" w:rsidR="00D229AC" w:rsidRPr="00064B0C" w:rsidRDefault="00D229AC" w:rsidP="00D363FD">
            <w:pPr>
              <w:pStyle w:val="CETBodytext"/>
              <w:ind w:right="-1"/>
              <w:rPr>
                <w:rFonts w:cs="Arial"/>
                <w:szCs w:val="18"/>
                <w:lang w:val="en-GB"/>
              </w:rPr>
            </w:pPr>
            <w:r w:rsidRPr="00064B0C">
              <w:rPr>
                <w:rFonts w:cs="Arial"/>
                <w:color w:val="000000"/>
                <w:szCs w:val="18"/>
                <w:lang w:val="en-GB"/>
              </w:rPr>
              <w:t>Acetol (C3H6O2-D1)</w:t>
            </w:r>
          </w:p>
        </w:tc>
        <w:tc>
          <w:tcPr>
            <w:tcW w:w="2070" w:type="dxa"/>
            <w:shd w:val="clear" w:color="auto" w:fill="FFFFFF"/>
            <w:vAlign w:val="center"/>
          </w:tcPr>
          <w:p w14:paraId="503682D8" w14:textId="77777777" w:rsidR="00D229AC" w:rsidRPr="00064B0C" w:rsidRDefault="00D229AC" w:rsidP="00D363FD">
            <w:pPr>
              <w:pStyle w:val="CETBodytext"/>
              <w:ind w:right="-1"/>
              <w:rPr>
                <w:rFonts w:cs="Arial"/>
                <w:szCs w:val="18"/>
                <w:lang w:val="en-GB"/>
              </w:rPr>
            </w:pPr>
            <w:r w:rsidRPr="00064B0C">
              <w:rPr>
                <w:rFonts w:cs="Arial"/>
                <w:color w:val="000000"/>
                <w:szCs w:val="18"/>
                <w:lang w:val="en-GB"/>
              </w:rPr>
              <w:t>H2, H2-T</w:t>
            </w:r>
          </w:p>
        </w:tc>
        <w:tc>
          <w:tcPr>
            <w:tcW w:w="2502" w:type="dxa"/>
            <w:shd w:val="clear" w:color="auto" w:fill="FFFFFF"/>
            <w:vAlign w:val="center"/>
          </w:tcPr>
          <w:p w14:paraId="56466711" w14:textId="77777777" w:rsidR="00D229AC" w:rsidRPr="00064B0C" w:rsidRDefault="00D229AC" w:rsidP="00D363FD">
            <w:pPr>
              <w:pStyle w:val="CETBodytext"/>
              <w:ind w:right="-1"/>
              <w:rPr>
                <w:rFonts w:cs="Arial"/>
                <w:szCs w:val="18"/>
                <w:lang w:val="en-GB"/>
              </w:rPr>
            </w:pPr>
            <w:r w:rsidRPr="00064B0C">
              <w:rPr>
                <w:rFonts w:cs="Arial"/>
                <w:color w:val="000000"/>
                <w:szCs w:val="18"/>
                <w:lang w:val="en-GB"/>
              </w:rPr>
              <w:t>Hydrogen (H2)</w:t>
            </w:r>
          </w:p>
        </w:tc>
      </w:tr>
      <w:tr w:rsidR="00D229AC" w:rsidRPr="00B57B36" w14:paraId="0E76CACC" w14:textId="77777777" w:rsidTr="001B6B37">
        <w:tc>
          <w:tcPr>
            <w:tcW w:w="1530" w:type="dxa"/>
            <w:shd w:val="clear" w:color="auto" w:fill="FFFFFF"/>
            <w:vAlign w:val="center"/>
          </w:tcPr>
          <w:p w14:paraId="4C37944D" w14:textId="77777777" w:rsidR="00D229AC" w:rsidRPr="00064B0C" w:rsidRDefault="00D229AC" w:rsidP="00D363FD">
            <w:pPr>
              <w:pStyle w:val="CETBodytext"/>
              <w:ind w:right="-1"/>
              <w:rPr>
                <w:rFonts w:cs="Arial"/>
                <w:szCs w:val="18"/>
                <w:lang w:val="en-GB"/>
              </w:rPr>
            </w:pPr>
            <w:r>
              <w:rPr>
                <w:rFonts w:cs="Arial"/>
                <w:szCs w:val="18"/>
                <w:lang w:val="en-GB"/>
              </w:rPr>
              <w:t>C31H64</w:t>
            </w:r>
          </w:p>
        </w:tc>
        <w:tc>
          <w:tcPr>
            <w:tcW w:w="2592" w:type="dxa"/>
            <w:shd w:val="clear" w:color="auto" w:fill="FFFFFF"/>
            <w:vAlign w:val="center"/>
          </w:tcPr>
          <w:p w14:paraId="0B4130BB" w14:textId="77777777" w:rsidR="00D229AC" w:rsidRPr="00064B0C" w:rsidRDefault="00D229AC" w:rsidP="00D363FD">
            <w:pPr>
              <w:pStyle w:val="CETBodytext"/>
              <w:ind w:right="-1"/>
              <w:rPr>
                <w:rFonts w:cs="Arial"/>
                <w:szCs w:val="18"/>
                <w:lang w:val="en-GB"/>
              </w:rPr>
            </w:pPr>
            <w:r w:rsidRPr="00894F96">
              <w:rPr>
                <w:rFonts w:cs="Arial"/>
                <w:szCs w:val="18"/>
                <w:lang w:val="en-GB"/>
              </w:rPr>
              <w:t>N-hentriacontane</w:t>
            </w:r>
            <w:r>
              <w:rPr>
                <w:rFonts w:cs="Arial"/>
                <w:szCs w:val="18"/>
                <w:lang w:val="en-GB"/>
              </w:rPr>
              <w:t xml:space="preserve"> (C31H64)</w:t>
            </w:r>
          </w:p>
        </w:tc>
        <w:tc>
          <w:tcPr>
            <w:tcW w:w="2070" w:type="dxa"/>
            <w:tcBorders>
              <w:bottom w:val="nil"/>
            </w:tcBorders>
            <w:shd w:val="clear" w:color="auto" w:fill="FFFFFF"/>
            <w:vAlign w:val="center"/>
          </w:tcPr>
          <w:p w14:paraId="5EF738D8" w14:textId="77777777" w:rsidR="00D229AC" w:rsidRPr="00064B0C" w:rsidRDefault="00D229AC" w:rsidP="00D363FD">
            <w:pPr>
              <w:pStyle w:val="CETBodytext"/>
              <w:ind w:right="-1"/>
              <w:rPr>
                <w:rFonts w:cs="Arial"/>
                <w:szCs w:val="18"/>
                <w:lang w:val="en-GB"/>
              </w:rPr>
            </w:pPr>
            <w:r w:rsidRPr="00064B0C">
              <w:rPr>
                <w:rFonts w:cs="Arial"/>
                <w:color w:val="000000"/>
                <w:szCs w:val="18"/>
                <w:lang w:val="en-GB"/>
              </w:rPr>
              <w:t>H2O</w:t>
            </w:r>
          </w:p>
        </w:tc>
        <w:tc>
          <w:tcPr>
            <w:tcW w:w="2502" w:type="dxa"/>
            <w:tcBorders>
              <w:bottom w:val="nil"/>
            </w:tcBorders>
            <w:shd w:val="clear" w:color="auto" w:fill="FFFFFF"/>
            <w:vAlign w:val="center"/>
          </w:tcPr>
          <w:p w14:paraId="4D4C982D" w14:textId="77777777" w:rsidR="00D229AC" w:rsidRPr="00064B0C" w:rsidRDefault="00D229AC" w:rsidP="00D363FD">
            <w:pPr>
              <w:pStyle w:val="CETBodytext"/>
              <w:ind w:right="-1"/>
              <w:rPr>
                <w:rFonts w:cs="Arial"/>
                <w:szCs w:val="18"/>
                <w:lang w:val="en-GB"/>
              </w:rPr>
            </w:pPr>
            <w:r w:rsidRPr="00064B0C">
              <w:rPr>
                <w:rFonts w:cs="Arial"/>
                <w:color w:val="000000"/>
                <w:szCs w:val="18"/>
                <w:lang w:val="en-GB"/>
              </w:rPr>
              <w:t>Water (H2O)</w:t>
            </w:r>
          </w:p>
        </w:tc>
      </w:tr>
      <w:tr w:rsidR="00D229AC" w:rsidRPr="00B57B36" w14:paraId="44618A12" w14:textId="77777777" w:rsidTr="001B6B37">
        <w:tc>
          <w:tcPr>
            <w:tcW w:w="1530" w:type="dxa"/>
            <w:shd w:val="clear" w:color="auto" w:fill="FFFFFF"/>
            <w:vAlign w:val="center"/>
          </w:tcPr>
          <w:p w14:paraId="7E4E9C6B" w14:textId="77777777" w:rsidR="00D229AC" w:rsidRPr="00064B0C" w:rsidRDefault="00D229AC" w:rsidP="00D363FD">
            <w:pPr>
              <w:pStyle w:val="CETBodytext"/>
              <w:ind w:right="-1"/>
              <w:rPr>
                <w:rFonts w:cs="Arial"/>
                <w:szCs w:val="18"/>
                <w:lang w:val="en-GB"/>
              </w:rPr>
            </w:pPr>
            <w:r w:rsidRPr="00064B0C">
              <w:rPr>
                <w:rFonts w:cs="Arial"/>
                <w:szCs w:val="18"/>
                <w:lang w:val="pt-BR"/>
              </w:rPr>
              <w:t>CH2O, CH2O-T</w:t>
            </w:r>
          </w:p>
        </w:tc>
        <w:tc>
          <w:tcPr>
            <w:tcW w:w="2592" w:type="dxa"/>
            <w:shd w:val="clear" w:color="auto" w:fill="FFFFFF"/>
            <w:vAlign w:val="center"/>
          </w:tcPr>
          <w:p w14:paraId="28D3AA6F" w14:textId="77777777" w:rsidR="00D229AC" w:rsidRPr="00064B0C" w:rsidRDefault="00D229AC" w:rsidP="00D363FD">
            <w:pPr>
              <w:pStyle w:val="CETBodytext"/>
              <w:ind w:right="-1"/>
              <w:rPr>
                <w:rFonts w:cs="Arial"/>
                <w:szCs w:val="18"/>
                <w:lang w:val="en-GB"/>
              </w:rPr>
            </w:pPr>
            <w:r w:rsidRPr="00064B0C">
              <w:rPr>
                <w:rFonts w:cs="Arial"/>
                <w:color w:val="000000"/>
                <w:szCs w:val="18"/>
                <w:lang w:val="en-GB"/>
              </w:rPr>
              <w:t>Formaldehyde (</w:t>
            </w:r>
            <w:r w:rsidRPr="00064B0C">
              <w:rPr>
                <w:szCs w:val="18"/>
                <w:lang w:val="pt-BR"/>
              </w:rPr>
              <w:t>CH2O)</w:t>
            </w:r>
          </w:p>
        </w:tc>
        <w:tc>
          <w:tcPr>
            <w:tcW w:w="2070" w:type="dxa"/>
            <w:tcBorders>
              <w:top w:val="nil"/>
              <w:bottom w:val="nil"/>
            </w:tcBorders>
            <w:shd w:val="clear" w:color="auto" w:fill="FFFFFF"/>
            <w:vAlign w:val="center"/>
          </w:tcPr>
          <w:p w14:paraId="5B3E3E03" w14:textId="77777777" w:rsidR="00D229AC" w:rsidRPr="00064B0C" w:rsidRDefault="00D229AC" w:rsidP="00D363FD">
            <w:pPr>
              <w:pStyle w:val="CETBodytext"/>
              <w:ind w:right="-1"/>
              <w:rPr>
                <w:rFonts w:cs="Arial"/>
                <w:szCs w:val="18"/>
                <w:lang w:val="en-GB"/>
              </w:rPr>
            </w:pPr>
            <w:r w:rsidRPr="00064B0C">
              <w:rPr>
                <w:rFonts w:cs="Arial"/>
                <w:szCs w:val="18"/>
                <w:lang w:val="pt-BR"/>
              </w:rPr>
              <w:t>HAA</w:t>
            </w:r>
          </w:p>
        </w:tc>
        <w:tc>
          <w:tcPr>
            <w:tcW w:w="2502" w:type="dxa"/>
            <w:tcBorders>
              <w:top w:val="nil"/>
              <w:bottom w:val="nil"/>
            </w:tcBorders>
            <w:shd w:val="clear" w:color="auto" w:fill="FFFFFF"/>
            <w:vAlign w:val="center"/>
          </w:tcPr>
          <w:p w14:paraId="7DDDE32F" w14:textId="77777777" w:rsidR="00D229AC" w:rsidRPr="00064B0C" w:rsidRDefault="00D229AC" w:rsidP="00D363FD">
            <w:pPr>
              <w:pStyle w:val="CETBodytext"/>
              <w:ind w:right="-1"/>
              <w:rPr>
                <w:rFonts w:cs="Arial"/>
                <w:szCs w:val="18"/>
                <w:lang w:val="en-GB"/>
              </w:rPr>
            </w:pPr>
            <w:r w:rsidRPr="00064B0C">
              <w:rPr>
                <w:rFonts w:cs="Arial"/>
                <w:szCs w:val="18"/>
                <w:lang w:val="en-GB"/>
              </w:rPr>
              <w:t>Glycol aldehyde (</w:t>
            </w:r>
            <w:r w:rsidRPr="00064B0C">
              <w:rPr>
                <w:szCs w:val="18"/>
                <w:lang w:val="pt-BR"/>
              </w:rPr>
              <w:t>C2H4O2-D1)</w:t>
            </w:r>
          </w:p>
        </w:tc>
      </w:tr>
      <w:tr w:rsidR="00D229AC" w:rsidRPr="00B57B36" w14:paraId="27488E28" w14:textId="77777777" w:rsidTr="001B6B37">
        <w:tc>
          <w:tcPr>
            <w:tcW w:w="1530" w:type="dxa"/>
            <w:shd w:val="clear" w:color="auto" w:fill="FFFFFF"/>
            <w:vAlign w:val="center"/>
          </w:tcPr>
          <w:p w14:paraId="6CFAA216" w14:textId="77777777" w:rsidR="00D229AC" w:rsidRPr="00064B0C" w:rsidRDefault="00D229AC" w:rsidP="00D363FD">
            <w:pPr>
              <w:pStyle w:val="CETBodytext"/>
              <w:ind w:right="-1"/>
              <w:rPr>
                <w:rFonts w:cs="Arial"/>
                <w:szCs w:val="18"/>
                <w:lang w:val="en-GB"/>
              </w:rPr>
            </w:pPr>
            <w:r w:rsidRPr="00064B0C">
              <w:rPr>
                <w:rFonts w:cs="Arial"/>
                <w:szCs w:val="18"/>
                <w:lang w:val="pt-BR"/>
              </w:rPr>
              <w:t>CH3OH-T</w:t>
            </w:r>
          </w:p>
        </w:tc>
        <w:tc>
          <w:tcPr>
            <w:tcW w:w="2592" w:type="dxa"/>
            <w:shd w:val="clear" w:color="auto" w:fill="FFFFFF"/>
            <w:vAlign w:val="center"/>
          </w:tcPr>
          <w:p w14:paraId="6629261E" w14:textId="77777777" w:rsidR="00D229AC" w:rsidRPr="00064B0C" w:rsidRDefault="00D229AC" w:rsidP="00D363FD">
            <w:pPr>
              <w:pStyle w:val="CETBodytext"/>
              <w:ind w:right="-1"/>
              <w:rPr>
                <w:rFonts w:cs="Arial"/>
                <w:szCs w:val="18"/>
                <w:lang w:val="en-GB"/>
              </w:rPr>
            </w:pPr>
            <w:r w:rsidRPr="00064B0C">
              <w:rPr>
                <w:rFonts w:cs="Arial"/>
                <w:szCs w:val="18"/>
                <w:lang w:val="en-GB"/>
              </w:rPr>
              <w:t>Methanol (CH3OH)</w:t>
            </w:r>
          </w:p>
        </w:tc>
        <w:tc>
          <w:tcPr>
            <w:tcW w:w="2070" w:type="dxa"/>
            <w:tcBorders>
              <w:top w:val="nil"/>
              <w:bottom w:val="nil"/>
            </w:tcBorders>
            <w:shd w:val="clear" w:color="auto" w:fill="FFFFFF"/>
            <w:vAlign w:val="center"/>
          </w:tcPr>
          <w:p w14:paraId="53A83E1D" w14:textId="77777777" w:rsidR="00D229AC" w:rsidRPr="00064B0C" w:rsidRDefault="00D229AC" w:rsidP="00D363FD">
            <w:pPr>
              <w:pStyle w:val="CETBodytext"/>
              <w:ind w:right="-1"/>
              <w:rPr>
                <w:rFonts w:cs="Arial"/>
                <w:szCs w:val="18"/>
                <w:lang w:val="en-GB"/>
              </w:rPr>
            </w:pPr>
            <w:r>
              <w:rPr>
                <w:rFonts w:cs="Arial"/>
                <w:szCs w:val="18"/>
                <w:lang w:val="en-GB"/>
              </w:rPr>
              <w:t>HDPE</w:t>
            </w:r>
          </w:p>
        </w:tc>
        <w:tc>
          <w:tcPr>
            <w:tcW w:w="2502" w:type="dxa"/>
            <w:tcBorders>
              <w:top w:val="nil"/>
              <w:bottom w:val="nil"/>
            </w:tcBorders>
            <w:shd w:val="clear" w:color="auto" w:fill="FFFFFF"/>
            <w:vAlign w:val="center"/>
          </w:tcPr>
          <w:p w14:paraId="7863C9FB" w14:textId="77777777" w:rsidR="00D229AC" w:rsidRPr="00064B0C" w:rsidRDefault="00D229AC" w:rsidP="00D363FD">
            <w:pPr>
              <w:pStyle w:val="CETBodytext"/>
              <w:ind w:right="-1"/>
              <w:rPr>
                <w:rFonts w:cs="Arial"/>
                <w:szCs w:val="18"/>
                <w:lang w:val="en-GB"/>
              </w:rPr>
            </w:pPr>
            <w:r>
              <w:rPr>
                <w:rFonts w:cs="Arial"/>
                <w:szCs w:val="18"/>
                <w:lang w:val="en-GB"/>
              </w:rPr>
              <w:t>HDPE (nonconventional)</w:t>
            </w:r>
          </w:p>
        </w:tc>
      </w:tr>
      <w:tr w:rsidR="00D229AC" w:rsidRPr="00B57B36" w14:paraId="3FCDED1E" w14:textId="77777777" w:rsidTr="001B6B37">
        <w:tc>
          <w:tcPr>
            <w:tcW w:w="1530" w:type="dxa"/>
            <w:shd w:val="clear" w:color="auto" w:fill="FFFFFF"/>
            <w:vAlign w:val="center"/>
          </w:tcPr>
          <w:p w14:paraId="258264A2" w14:textId="77777777" w:rsidR="00D229AC" w:rsidRPr="00064B0C" w:rsidRDefault="00D229AC" w:rsidP="00D363FD">
            <w:pPr>
              <w:pStyle w:val="CETBodytext"/>
              <w:ind w:right="-1"/>
              <w:rPr>
                <w:rFonts w:cs="Arial"/>
                <w:szCs w:val="18"/>
                <w:lang w:val="en-GB"/>
              </w:rPr>
            </w:pPr>
            <w:r w:rsidRPr="00064B0C">
              <w:rPr>
                <w:rFonts w:cs="Arial"/>
                <w:szCs w:val="18"/>
                <w:lang w:val="pt-BR"/>
              </w:rPr>
              <w:t>CH4, CH4-T</w:t>
            </w:r>
          </w:p>
        </w:tc>
        <w:tc>
          <w:tcPr>
            <w:tcW w:w="2592" w:type="dxa"/>
            <w:shd w:val="clear" w:color="auto" w:fill="FFFFFF"/>
            <w:vAlign w:val="center"/>
          </w:tcPr>
          <w:p w14:paraId="165B5500" w14:textId="77777777" w:rsidR="00D229AC" w:rsidRPr="00064B0C" w:rsidRDefault="00D229AC" w:rsidP="00D363FD">
            <w:pPr>
              <w:pStyle w:val="CETBodytext"/>
              <w:ind w:right="-1"/>
              <w:rPr>
                <w:rFonts w:cs="Arial"/>
                <w:szCs w:val="18"/>
                <w:lang w:val="en-GB"/>
              </w:rPr>
            </w:pPr>
            <w:r w:rsidRPr="00064B0C">
              <w:rPr>
                <w:rFonts w:cs="Arial"/>
                <w:color w:val="000000"/>
                <w:szCs w:val="18"/>
                <w:lang w:val="en-GB"/>
              </w:rPr>
              <w:t>Methane (CH4)</w:t>
            </w:r>
          </w:p>
        </w:tc>
        <w:tc>
          <w:tcPr>
            <w:tcW w:w="2070" w:type="dxa"/>
            <w:tcBorders>
              <w:top w:val="nil"/>
            </w:tcBorders>
            <w:shd w:val="clear" w:color="auto" w:fill="FFFFFF"/>
            <w:vAlign w:val="center"/>
          </w:tcPr>
          <w:p w14:paraId="48D892AD" w14:textId="77777777" w:rsidR="00D229AC" w:rsidRDefault="00D229AC" w:rsidP="00D363FD">
            <w:pPr>
              <w:pStyle w:val="CETBodytext"/>
              <w:ind w:right="-1"/>
              <w:rPr>
                <w:rFonts w:cs="Arial"/>
                <w:szCs w:val="18"/>
                <w:lang w:val="en-GB"/>
              </w:rPr>
            </w:pPr>
            <w:r w:rsidRPr="00064B0C">
              <w:rPr>
                <w:rFonts w:cs="Arial"/>
                <w:szCs w:val="18"/>
                <w:lang w:val="en-GB"/>
              </w:rPr>
              <w:t>HCEL, HCE1, HCE2,</w:t>
            </w:r>
          </w:p>
          <w:p w14:paraId="377FE119" w14:textId="77777777" w:rsidR="00D229AC" w:rsidRPr="00064B0C" w:rsidRDefault="00D229AC" w:rsidP="00D363FD">
            <w:pPr>
              <w:pStyle w:val="CETBodytext"/>
              <w:ind w:right="-1"/>
              <w:rPr>
                <w:rFonts w:cs="Arial"/>
                <w:szCs w:val="18"/>
                <w:lang w:val="en-GB"/>
              </w:rPr>
            </w:pPr>
            <w:r w:rsidRPr="00064B0C">
              <w:rPr>
                <w:rFonts w:cs="Arial"/>
                <w:szCs w:val="18"/>
                <w:lang w:val="en-GB"/>
              </w:rPr>
              <w:t>XYLAN</w:t>
            </w:r>
          </w:p>
        </w:tc>
        <w:tc>
          <w:tcPr>
            <w:tcW w:w="2502" w:type="dxa"/>
            <w:tcBorders>
              <w:top w:val="nil"/>
            </w:tcBorders>
            <w:shd w:val="clear" w:color="auto" w:fill="FFFFFF"/>
            <w:vAlign w:val="center"/>
          </w:tcPr>
          <w:p w14:paraId="3FEB454A" w14:textId="77777777" w:rsidR="00D229AC" w:rsidRPr="00064B0C" w:rsidRDefault="00D229AC" w:rsidP="00D363FD">
            <w:pPr>
              <w:pStyle w:val="CETBodytext"/>
              <w:ind w:right="-1"/>
              <w:rPr>
                <w:rFonts w:cs="Arial"/>
                <w:szCs w:val="18"/>
                <w:lang w:val="en-GB"/>
              </w:rPr>
            </w:pPr>
            <w:r w:rsidRPr="00064B0C">
              <w:rPr>
                <w:rFonts w:cs="Arial"/>
                <w:szCs w:val="18"/>
                <w:lang w:val="en-GB"/>
              </w:rPr>
              <w:t>Glutaric acid (C5H8O4)</w:t>
            </w:r>
          </w:p>
        </w:tc>
      </w:tr>
      <w:tr w:rsidR="00D229AC" w:rsidRPr="00B57B36" w14:paraId="173E69E0" w14:textId="77777777" w:rsidTr="001B6B37">
        <w:tc>
          <w:tcPr>
            <w:tcW w:w="1530" w:type="dxa"/>
            <w:shd w:val="clear" w:color="auto" w:fill="FFFFFF"/>
            <w:vAlign w:val="center"/>
          </w:tcPr>
          <w:p w14:paraId="5A0E6B71" w14:textId="77777777" w:rsidR="00D229AC" w:rsidRPr="00064B0C" w:rsidRDefault="00D229AC" w:rsidP="00D363FD">
            <w:pPr>
              <w:pStyle w:val="CETBodytext"/>
              <w:ind w:right="-1"/>
              <w:rPr>
                <w:rFonts w:cs="Arial"/>
                <w:szCs w:val="18"/>
                <w:lang w:val="pt-BR"/>
              </w:rPr>
            </w:pPr>
            <w:r w:rsidRPr="00064B0C">
              <w:rPr>
                <w:rFonts w:cs="Arial"/>
                <w:szCs w:val="18"/>
                <w:lang w:val="pt-BR"/>
              </w:rPr>
              <w:t>CHAR</w:t>
            </w:r>
          </w:p>
        </w:tc>
        <w:tc>
          <w:tcPr>
            <w:tcW w:w="2592" w:type="dxa"/>
            <w:shd w:val="clear" w:color="auto" w:fill="FFFFFF"/>
            <w:vAlign w:val="center"/>
          </w:tcPr>
          <w:p w14:paraId="763CBC31" w14:textId="77777777" w:rsidR="00D229AC" w:rsidRPr="00064B0C" w:rsidRDefault="00D229AC" w:rsidP="00D363FD">
            <w:pPr>
              <w:pStyle w:val="CETBodytext"/>
              <w:ind w:right="-1"/>
              <w:rPr>
                <w:rFonts w:cs="Arial"/>
                <w:color w:val="000000"/>
                <w:szCs w:val="18"/>
                <w:lang w:val="en-GB"/>
              </w:rPr>
            </w:pPr>
            <w:r w:rsidRPr="00064B0C">
              <w:rPr>
                <w:rFonts w:cs="Arial"/>
                <w:color w:val="000000"/>
                <w:szCs w:val="18"/>
                <w:lang w:val="en-GB"/>
              </w:rPr>
              <w:t>Carbon graphite (C) </w:t>
            </w:r>
          </w:p>
        </w:tc>
        <w:tc>
          <w:tcPr>
            <w:tcW w:w="2070" w:type="dxa"/>
            <w:shd w:val="clear" w:color="auto" w:fill="FFFFFF"/>
            <w:vAlign w:val="center"/>
          </w:tcPr>
          <w:p w14:paraId="130CA475" w14:textId="77777777" w:rsidR="00D229AC" w:rsidRPr="00064B0C" w:rsidRDefault="00D229AC" w:rsidP="00D363FD">
            <w:pPr>
              <w:pStyle w:val="CETBodytext"/>
              <w:ind w:right="-1"/>
              <w:rPr>
                <w:rFonts w:cs="Arial"/>
                <w:szCs w:val="18"/>
                <w:lang w:val="pt-BR"/>
              </w:rPr>
            </w:pPr>
            <w:r w:rsidRPr="00064B0C">
              <w:rPr>
                <w:rFonts w:cs="Arial"/>
                <w:szCs w:val="18"/>
                <w:lang w:val="pt-BR"/>
              </w:rPr>
              <w:t>HCOOH</w:t>
            </w:r>
          </w:p>
        </w:tc>
        <w:tc>
          <w:tcPr>
            <w:tcW w:w="2502" w:type="dxa"/>
            <w:shd w:val="clear" w:color="auto" w:fill="FFFFFF"/>
            <w:vAlign w:val="center"/>
          </w:tcPr>
          <w:p w14:paraId="670DCB55" w14:textId="77777777" w:rsidR="00D229AC" w:rsidRPr="00064B0C" w:rsidRDefault="00D229AC" w:rsidP="00D363FD">
            <w:pPr>
              <w:pStyle w:val="CETBodytext"/>
              <w:ind w:right="-1"/>
              <w:rPr>
                <w:rFonts w:cs="Arial"/>
                <w:color w:val="000000"/>
                <w:szCs w:val="18"/>
                <w:lang w:val="en-GB"/>
              </w:rPr>
            </w:pPr>
            <w:r w:rsidRPr="00064B0C">
              <w:rPr>
                <w:rFonts w:cs="Arial"/>
                <w:color w:val="000000"/>
                <w:szCs w:val="18"/>
                <w:lang w:val="en-GB"/>
              </w:rPr>
              <w:t>Formic acid (</w:t>
            </w:r>
            <w:r w:rsidRPr="00064B0C">
              <w:rPr>
                <w:szCs w:val="18"/>
                <w:lang w:val="pt-BR"/>
              </w:rPr>
              <w:t>CH2O</w:t>
            </w:r>
            <w:r w:rsidRPr="00064B0C">
              <w:rPr>
                <w:szCs w:val="18"/>
              </w:rPr>
              <w:t>2)</w:t>
            </w:r>
          </w:p>
        </w:tc>
      </w:tr>
    </w:tbl>
    <w:p w14:paraId="7184A454" w14:textId="77777777" w:rsidR="00D229AC" w:rsidRPr="00D229AC" w:rsidRDefault="00D229AC" w:rsidP="009B42ED">
      <w:pPr>
        <w:pStyle w:val="CETBodytext"/>
        <w:rPr>
          <w:lang w:val="en-GB"/>
        </w:rPr>
      </w:pPr>
    </w:p>
    <w:p w14:paraId="0FA3DB19" w14:textId="66429FDA" w:rsidR="001A0011" w:rsidRDefault="003D6591" w:rsidP="001A0011">
      <w:pPr>
        <w:pStyle w:val="CETBodytext"/>
      </w:pPr>
      <w:r>
        <w:t>The simulation was validated against the experimental xylan-PE co-pyrolysis results of Xie et al. (2023)</w:t>
      </w:r>
      <w:r w:rsidR="00307865">
        <w:t xml:space="preserve"> obtained in a quartz tube reactor heated </w:t>
      </w:r>
      <w:r w:rsidR="00B41EC3">
        <w:t>by an</w:t>
      </w:r>
      <w:r w:rsidR="00307865">
        <w:t xml:space="preserve"> electric furnace. As the co-pyrolysis scenarios</w:t>
      </w:r>
      <w:r w:rsidR="00B41EC3">
        <w:t xml:space="preserve"> </w:t>
      </w:r>
      <w:r w:rsidR="0027313F">
        <w:t>cover PE proportions of 10-90</w:t>
      </w:r>
      <w:r w:rsidR="00B41EC3">
        <w:t xml:space="preserve"> </w:t>
      </w:r>
      <w:proofErr w:type="spellStart"/>
      <w:r w:rsidR="00B41EC3">
        <w:t>wt</w:t>
      </w:r>
      <w:proofErr w:type="spellEnd"/>
      <w:r w:rsidR="0027313F">
        <w:t>% PE and a temperature range of 500–700 °C, the simulation was validated at the mid-range PE proportion (50</w:t>
      </w:r>
      <w:r w:rsidR="00B41EC3">
        <w:t xml:space="preserve"> </w:t>
      </w:r>
      <w:proofErr w:type="spellStart"/>
      <w:r w:rsidR="00B41EC3">
        <w:t>wt</w:t>
      </w:r>
      <w:proofErr w:type="spellEnd"/>
      <w:r w:rsidR="0027313F">
        <w:t>% PE) at 500, 600, and 700 °C.</w:t>
      </w:r>
    </w:p>
    <w:p w14:paraId="01F2570C" w14:textId="77777777" w:rsidR="008B1DF6" w:rsidRPr="001A0011" w:rsidRDefault="008B1DF6" w:rsidP="001A0011">
      <w:pPr>
        <w:pStyle w:val="CETBodytext"/>
        <w:rPr>
          <w:lang w:val="en-GB"/>
        </w:rPr>
      </w:pPr>
    </w:p>
    <w:p w14:paraId="11917A64" w14:textId="39C43992" w:rsidR="00C472BF" w:rsidRDefault="00C472BF" w:rsidP="00C472BF">
      <w:pPr>
        <w:pStyle w:val="CETHeading1"/>
      </w:pPr>
      <w:r>
        <w:lastRenderedPageBreak/>
        <w:t>Results and Discussion</w:t>
      </w:r>
    </w:p>
    <w:p w14:paraId="0AB9B50E" w14:textId="2F43D278" w:rsidR="00C472BF" w:rsidRDefault="005F403F" w:rsidP="00C472BF">
      <w:pPr>
        <w:pStyle w:val="CETBodytext"/>
      </w:pPr>
      <w:r>
        <w:t xml:space="preserve">Figure 2 shows the van </w:t>
      </w:r>
      <w:proofErr w:type="spellStart"/>
      <w:r>
        <w:t>Krevelen</w:t>
      </w:r>
      <w:proofErr w:type="spellEnd"/>
      <w:r>
        <w:t xml:space="preserve"> diagram of the feedstocks ranging from 10 to 90</w:t>
      </w:r>
      <w:r w:rsidR="00313590">
        <w:t xml:space="preserve"> </w:t>
      </w:r>
      <w:proofErr w:type="spellStart"/>
      <w:r w:rsidR="00313590">
        <w:t>wt</w:t>
      </w:r>
      <w:proofErr w:type="spellEnd"/>
      <w:r>
        <w:t>% PE. One can see that the feedstocks at lower PE proportions, namely pure xylan and 10PE, are located along the average biomass region of the diagram. However, the higher the PE proportion, the lower the O/C atomic ratio, as PE is solely composed of carbon and hydrogen. The addition of PE also increases the H/C atomic ratio</w:t>
      </w:r>
      <w:r w:rsidR="00313590">
        <w:t xml:space="preserve"> </w:t>
      </w:r>
      <w:r w:rsidR="00C729A5" w:rsidRPr="00C62C29">
        <w:t>compared to pure xylan</w:t>
      </w:r>
      <w:r w:rsidR="00C729A5">
        <w:t xml:space="preserve"> </w:t>
      </w:r>
      <w:r w:rsidR="00313590">
        <w:t>as expected (Kumagai et al., 2020)</w:t>
      </w:r>
      <w:r>
        <w:t xml:space="preserve">, but </w:t>
      </w:r>
      <w:r w:rsidR="007D50C9">
        <w:t>to</w:t>
      </w:r>
      <w:r>
        <w:t xml:space="preserve"> a smaller extent compared to the O/C ratio.</w:t>
      </w:r>
      <w:r w:rsidR="00BF140B">
        <w:t xml:space="preserve"> Similar behavior was observed for mixtures of walnut shell and low-density polyethylene in the work of Yu et al. (2021).</w:t>
      </w:r>
      <w:r w:rsidR="00313590">
        <w:t xml:space="preserve"> Such </w:t>
      </w:r>
      <w:r w:rsidR="007D50C9">
        <w:t xml:space="preserve">a </w:t>
      </w:r>
      <w:r w:rsidR="00313590">
        <w:t>higher H/C ratio is expected to affect the pyrolytic yields and carbon conversion efficiency.</w:t>
      </w:r>
    </w:p>
    <w:p w14:paraId="4D8E26A3" w14:textId="77777777" w:rsidR="00FD4528" w:rsidRPr="00B57B36" w:rsidRDefault="00FD4528" w:rsidP="00FD4528">
      <w:pPr>
        <w:pStyle w:val="CETCaption"/>
      </w:pPr>
      <w:r>
        <w:rPr>
          <w:noProof/>
        </w:rPr>
        <w:drawing>
          <wp:inline distT="0" distB="0" distL="0" distR="0" wp14:anchorId="32ADA1A0" wp14:editId="4A1E4AD2">
            <wp:extent cx="2962656" cy="1929587"/>
            <wp:effectExtent l="0" t="0" r="0" b="0"/>
            <wp:docPr id="470239512"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239512"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2962656" cy="1929587"/>
                    </a:xfrm>
                    <a:prstGeom prst="rect">
                      <a:avLst/>
                    </a:prstGeom>
                  </pic:spPr>
                </pic:pic>
              </a:graphicData>
            </a:graphic>
          </wp:inline>
        </w:drawing>
      </w:r>
    </w:p>
    <w:p w14:paraId="616D2191" w14:textId="433E671D" w:rsidR="00FD4528" w:rsidRPr="00BD077D" w:rsidRDefault="00FD4528" w:rsidP="00FD4528">
      <w:pPr>
        <w:pStyle w:val="CETCaption"/>
      </w:pPr>
      <w:r w:rsidRPr="00BD077D">
        <w:rPr>
          <w:rStyle w:val="CETCaptionCarattere"/>
          <w:i/>
        </w:rPr>
        <w:t xml:space="preserve">Figure </w:t>
      </w:r>
      <w:r>
        <w:rPr>
          <w:rStyle w:val="CETCaptionCarattere"/>
          <w:i/>
        </w:rPr>
        <w:t>2</w:t>
      </w:r>
      <w:r w:rsidRPr="00BD077D">
        <w:rPr>
          <w:rStyle w:val="CETCaptionCarattere"/>
          <w:i/>
        </w:rPr>
        <w:t xml:space="preserve">: </w:t>
      </w:r>
      <w:r>
        <w:rPr>
          <w:rStyle w:val="CETCaptionCarattere"/>
          <w:i/>
        </w:rPr>
        <w:t xml:space="preserve">van </w:t>
      </w:r>
      <w:proofErr w:type="spellStart"/>
      <w:r>
        <w:rPr>
          <w:rStyle w:val="CETCaptionCarattere"/>
          <w:i/>
        </w:rPr>
        <w:t>Krevelen</w:t>
      </w:r>
      <w:proofErr w:type="spellEnd"/>
      <w:r>
        <w:rPr>
          <w:rStyle w:val="CETCaptionCarattere"/>
          <w:i/>
        </w:rPr>
        <w:t xml:space="preserve"> diagram of the feedstocks. </w:t>
      </w:r>
      <w:r w:rsidR="007D50C9">
        <w:rPr>
          <w:rStyle w:val="CETCaptionCarattere"/>
          <w:i/>
        </w:rPr>
        <w:t>The l</w:t>
      </w:r>
      <w:r>
        <w:rPr>
          <w:rStyle w:val="CETCaptionCarattere"/>
          <w:i/>
        </w:rPr>
        <w:t>eft and right edges of the curve refer to pure PE and xylan, respectively.</w:t>
      </w:r>
    </w:p>
    <w:p w14:paraId="4D1DA0D6" w14:textId="329FB6C4" w:rsidR="0011123F" w:rsidRPr="005F403F" w:rsidRDefault="005F403F" w:rsidP="00BD6593">
      <w:pPr>
        <w:pStyle w:val="CETBodytext"/>
      </w:pPr>
      <w:r>
        <w:t xml:space="preserve">Table 3 shows the results obtained in the simulation validation. </w:t>
      </w:r>
      <w:r w:rsidR="00BD6593">
        <w:t xml:space="preserve">The </w:t>
      </w:r>
      <w:r w:rsidR="00E85F77">
        <w:t>co-pyrolysis yields at</w:t>
      </w:r>
      <w:r w:rsidR="00BD6593">
        <w:t xml:space="preserve"> 500 and 600</w:t>
      </w:r>
      <w:r w:rsidR="00E85F77">
        <w:t xml:space="preserve"> </w:t>
      </w:r>
      <w:r w:rsidR="00BD6593">
        <w:t xml:space="preserve">°C show good agreement </w:t>
      </w:r>
      <w:r w:rsidR="007D50C9">
        <w:t>with</w:t>
      </w:r>
      <w:r w:rsidR="00BD6593">
        <w:t xml:space="preserve"> the experimental </w:t>
      </w:r>
      <w:r w:rsidR="00E85F77">
        <w:t xml:space="preserve">data, while a small discrepancy is observed for bio-oil and wax yields at </w:t>
      </w:r>
      <w:r w:rsidR="00BD6593">
        <w:t>higher temperatures (700 °C)</w:t>
      </w:r>
      <w:r w:rsidR="00E85F77">
        <w:t>. Overall</w:t>
      </w:r>
      <w:r w:rsidR="00BD6593">
        <w:t xml:space="preserve">, the </w:t>
      </w:r>
      <w:r w:rsidR="00E85F77">
        <w:t xml:space="preserve">co-pyrolysis </w:t>
      </w:r>
      <w:r w:rsidR="00BD6593">
        <w:t xml:space="preserve">simulation </w:t>
      </w:r>
      <w:r w:rsidR="00E85F77">
        <w:t>combining individual xylan and PE pyrolysis approaches satisfactorily represented the process in the assessed temperatures</w:t>
      </w:r>
      <w:r w:rsidR="00313590">
        <w:t>. Therefore, the present simulation was</w:t>
      </w:r>
      <w:r w:rsidR="00E85F77">
        <w:t xml:space="preserve"> used to assess the effects of temperature and PE proportion in a broader range than that studied in the work of Xie et al. (2023), as follows.</w:t>
      </w:r>
    </w:p>
    <w:p w14:paraId="04B00391" w14:textId="43319B85" w:rsidR="0011123F" w:rsidRPr="00B57B36" w:rsidRDefault="0011123F" w:rsidP="0011123F">
      <w:pPr>
        <w:pStyle w:val="CETTabletitle"/>
      </w:pPr>
      <w:r w:rsidRPr="00B57B36">
        <w:t xml:space="preserve">Table </w:t>
      </w:r>
      <w:r w:rsidR="00FE293D">
        <w:t>3</w:t>
      </w:r>
      <w:r w:rsidRPr="00B57B36">
        <w:t xml:space="preserve">: </w:t>
      </w:r>
      <w:r>
        <w:t>Simulation validation against experimental results of Xie et al. (2023). E: experiment; S: simulation.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880"/>
        <w:gridCol w:w="864"/>
        <w:gridCol w:w="864"/>
        <w:gridCol w:w="864"/>
        <w:gridCol w:w="864"/>
      </w:tblGrid>
      <w:tr w:rsidR="0011123F" w:rsidRPr="00B57B36" w14:paraId="6E08F390" w14:textId="77777777" w:rsidTr="001278AA">
        <w:tc>
          <w:tcPr>
            <w:tcW w:w="2880" w:type="dxa"/>
            <w:tcBorders>
              <w:top w:val="single" w:sz="12" w:space="0" w:color="008000"/>
              <w:bottom w:val="single" w:sz="6" w:space="0" w:color="008000"/>
            </w:tcBorders>
            <w:shd w:val="clear" w:color="auto" w:fill="FFFFFF"/>
          </w:tcPr>
          <w:p w14:paraId="6F8592A3" w14:textId="7AB0AD02" w:rsidR="0011123F" w:rsidRPr="00B57B36" w:rsidRDefault="0011123F" w:rsidP="00FD4528">
            <w:pPr>
              <w:pStyle w:val="CETBodytext"/>
              <w:rPr>
                <w:lang w:val="en-GB"/>
              </w:rPr>
            </w:pPr>
            <w:r>
              <w:rPr>
                <w:lang w:val="en-GB"/>
              </w:rPr>
              <w:t>Case (Temperature-PE proportion)</w:t>
            </w:r>
          </w:p>
        </w:tc>
        <w:tc>
          <w:tcPr>
            <w:tcW w:w="864" w:type="dxa"/>
            <w:tcBorders>
              <w:top w:val="single" w:sz="12" w:space="0" w:color="008000"/>
              <w:bottom w:val="single" w:sz="6" w:space="0" w:color="008000"/>
            </w:tcBorders>
            <w:shd w:val="clear" w:color="auto" w:fill="FFFFFF"/>
          </w:tcPr>
          <w:p w14:paraId="7257638F" w14:textId="2EF82B44" w:rsidR="0011123F" w:rsidRPr="0011123F" w:rsidRDefault="0011123F" w:rsidP="001278AA">
            <w:pPr>
              <w:pStyle w:val="CETBodytext"/>
              <w:jc w:val="right"/>
              <w:rPr>
                <w:lang w:val="en-GB"/>
              </w:rPr>
            </w:pPr>
            <w:proofErr w:type="spellStart"/>
            <w:r>
              <w:rPr>
                <w:lang w:val="en-GB"/>
              </w:rPr>
              <w:t>Y</w:t>
            </w:r>
            <w:r>
              <w:rPr>
                <w:vertAlign w:val="subscript"/>
                <w:lang w:val="en-GB"/>
              </w:rPr>
              <w:t>bio</w:t>
            </w:r>
            <w:proofErr w:type="spellEnd"/>
            <w:r>
              <w:rPr>
                <w:vertAlign w:val="subscript"/>
                <w:lang w:val="en-GB"/>
              </w:rPr>
              <w:t>-oil</w:t>
            </w:r>
            <w:r>
              <w:rPr>
                <w:lang w:val="en-GB"/>
              </w:rPr>
              <w:t xml:space="preserve"> (%)</w:t>
            </w:r>
          </w:p>
        </w:tc>
        <w:tc>
          <w:tcPr>
            <w:tcW w:w="864" w:type="dxa"/>
            <w:tcBorders>
              <w:top w:val="single" w:sz="12" w:space="0" w:color="008000"/>
              <w:bottom w:val="single" w:sz="6" w:space="0" w:color="008000"/>
            </w:tcBorders>
            <w:shd w:val="clear" w:color="auto" w:fill="FFFFFF"/>
          </w:tcPr>
          <w:p w14:paraId="1D9357F7" w14:textId="6DC48245" w:rsidR="0011123F" w:rsidRPr="0011123F" w:rsidRDefault="0011123F" w:rsidP="001278AA">
            <w:pPr>
              <w:pStyle w:val="CETBodytext"/>
              <w:jc w:val="right"/>
              <w:rPr>
                <w:lang w:val="en-GB"/>
              </w:rPr>
            </w:pPr>
            <w:proofErr w:type="spellStart"/>
            <w:r>
              <w:rPr>
                <w:lang w:val="en-GB"/>
              </w:rPr>
              <w:t>Y</w:t>
            </w:r>
            <w:r>
              <w:rPr>
                <w:vertAlign w:val="subscript"/>
                <w:lang w:val="en-GB"/>
              </w:rPr>
              <w:t>char</w:t>
            </w:r>
            <w:proofErr w:type="spellEnd"/>
            <w:r>
              <w:rPr>
                <w:lang w:val="en-GB"/>
              </w:rPr>
              <w:t xml:space="preserve"> (%)</w:t>
            </w:r>
          </w:p>
        </w:tc>
        <w:tc>
          <w:tcPr>
            <w:tcW w:w="864" w:type="dxa"/>
            <w:tcBorders>
              <w:top w:val="single" w:sz="12" w:space="0" w:color="008000"/>
              <w:bottom w:val="single" w:sz="6" w:space="0" w:color="008000"/>
            </w:tcBorders>
            <w:shd w:val="clear" w:color="auto" w:fill="FFFFFF"/>
          </w:tcPr>
          <w:p w14:paraId="38A271AD" w14:textId="0E8BD2F2" w:rsidR="0011123F" w:rsidRPr="0011123F" w:rsidRDefault="0011123F" w:rsidP="001278AA">
            <w:pPr>
              <w:pStyle w:val="CETBodytext"/>
              <w:ind w:right="-1"/>
              <w:jc w:val="right"/>
              <w:rPr>
                <w:rFonts w:cs="Arial"/>
                <w:szCs w:val="18"/>
                <w:lang w:val="en-GB"/>
              </w:rPr>
            </w:pPr>
            <w:proofErr w:type="spellStart"/>
            <w:r>
              <w:rPr>
                <w:rFonts w:cs="Arial"/>
                <w:szCs w:val="18"/>
                <w:lang w:val="en-GB"/>
              </w:rPr>
              <w:t>Y</w:t>
            </w:r>
            <w:r>
              <w:rPr>
                <w:rFonts w:cs="Arial"/>
                <w:szCs w:val="18"/>
                <w:vertAlign w:val="subscript"/>
                <w:lang w:val="en-GB"/>
              </w:rPr>
              <w:t>wax</w:t>
            </w:r>
            <w:proofErr w:type="spellEnd"/>
            <w:r>
              <w:rPr>
                <w:rFonts w:cs="Arial"/>
                <w:szCs w:val="18"/>
                <w:lang w:val="en-GB"/>
              </w:rPr>
              <w:t xml:space="preserve"> (%)</w:t>
            </w:r>
          </w:p>
        </w:tc>
        <w:tc>
          <w:tcPr>
            <w:tcW w:w="864" w:type="dxa"/>
            <w:tcBorders>
              <w:top w:val="single" w:sz="12" w:space="0" w:color="008000"/>
              <w:bottom w:val="single" w:sz="6" w:space="0" w:color="008000"/>
            </w:tcBorders>
            <w:shd w:val="clear" w:color="auto" w:fill="FFFFFF"/>
          </w:tcPr>
          <w:p w14:paraId="4AEFD69C" w14:textId="579F1262" w:rsidR="0011123F" w:rsidRPr="0011123F" w:rsidRDefault="0011123F" w:rsidP="001278AA">
            <w:pPr>
              <w:pStyle w:val="CETBodytext"/>
              <w:ind w:right="-1"/>
              <w:jc w:val="right"/>
              <w:rPr>
                <w:rFonts w:cs="Arial"/>
                <w:szCs w:val="18"/>
                <w:lang w:val="en-GB"/>
              </w:rPr>
            </w:pPr>
            <w:proofErr w:type="spellStart"/>
            <w:r>
              <w:rPr>
                <w:rFonts w:cs="Arial"/>
                <w:szCs w:val="18"/>
                <w:lang w:val="en-GB"/>
              </w:rPr>
              <w:t>Y</w:t>
            </w:r>
            <w:r>
              <w:rPr>
                <w:rFonts w:cs="Arial"/>
                <w:szCs w:val="18"/>
                <w:vertAlign w:val="subscript"/>
                <w:lang w:val="en-GB"/>
              </w:rPr>
              <w:t>gas</w:t>
            </w:r>
            <w:proofErr w:type="spellEnd"/>
            <w:r>
              <w:rPr>
                <w:rFonts w:cs="Arial"/>
                <w:szCs w:val="18"/>
                <w:lang w:val="en-GB"/>
              </w:rPr>
              <w:t xml:space="preserve"> (%)</w:t>
            </w:r>
          </w:p>
        </w:tc>
      </w:tr>
      <w:tr w:rsidR="0011123F" w:rsidRPr="00B57B36" w14:paraId="795332D7" w14:textId="77777777" w:rsidTr="001278AA">
        <w:tc>
          <w:tcPr>
            <w:tcW w:w="2880" w:type="dxa"/>
            <w:shd w:val="clear" w:color="auto" w:fill="FFFFFF"/>
          </w:tcPr>
          <w:p w14:paraId="6874D3CC" w14:textId="04B11388" w:rsidR="0011123F" w:rsidRPr="00B57B36" w:rsidRDefault="0011123F" w:rsidP="00DF3944">
            <w:pPr>
              <w:pStyle w:val="CETBodytext"/>
              <w:jc w:val="left"/>
              <w:rPr>
                <w:lang w:val="en-GB"/>
              </w:rPr>
            </w:pPr>
            <w:r w:rsidRPr="00363C31">
              <w:t>500-50</w:t>
            </w:r>
            <w:r>
              <w:t xml:space="preserve"> (S)</w:t>
            </w:r>
          </w:p>
        </w:tc>
        <w:tc>
          <w:tcPr>
            <w:tcW w:w="864" w:type="dxa"/>
            <w:shd w:val="clear" w:color="auto" w:fill="FFFFFF"/>
          </w:tcPr>
          <w:p w14:paraId="64EE15F2" w14:textId="46D0AD6F" w:rsidR="0011123F" w:rsidRPr="00B57B36" w:rsidRDefault="0011123F" w:rsidP="001278AA">
            <w:pPr>
              <w:pStyle w:val="CETBodytext"/>
              <w:jc w:val="right"/>
              <w:rPr>
                <w:lang w:val="en-GB"/>
              </w:rPr>
            </w:pPr>
            <w:r w:rsidRPr="005A0A1C">
              <w:t>34.8</w:t>
            </w:r>
          </w:p>
        </w:tc>
        <w:tc>
          <w:tcPr>
            <w:tcW w:w="864" w:type="dxa"/>
            <w:shd w:val="clear" w:color="auto" w:fill="FFFFFF"/>
          </w:tcPr>
          <w:p w14:paraId="1CCCC0C7" w14:textId="4E9A473A" w:rsidR="0011123F" w:rsidRPr="00B57B36" w:rsidRDefault="0011123F" w:rsidP="001278AA">
            <w:pPr>
              <w:pStyle w:val="CETBodytext"/>
              <w:jc w:val="right"/>
              <w:rPr>
                <w:lang w:val="en-GB"/>
              </w:rPr>
            </w:pPr>
            <w:r w:rsidRPr="005A0A1C">
              <w:t>12.4</w:t>
            </w:r>
          </w:p>
        </w:tc>
        <w:tc>
          <w:tcPr>
            <w:tcW w:w="864" w:type="dxa"/>
            <w:shd w:val="clear" w:color="auto" w:fill="FFFFFF"/>
          </w:tcPr>
          <w:p w14:paraId="760C604A" w14:textId="0FAB55FD" w:rsidR="0011123F" w:rsidRPr="00B57B36" w:rsidRDefault="0011123F" w:rsidP="001278AA">
            <w:pPr>
              <w:pStyle w:val="CETBodytext"/>
              <w:ind w:right="-1"/>
              <w:jc w:val="right"/>
              <w:rPr>
                <w:rFonts w:cs="Arial"/>
                <w:szCs w:val="18"/>
                <w:lang w:val="en-GB"/>
              </w:rPr>
            </w:pPr>
            <w:r w:rsidRPr="005A0A1C">
              <w:t>44.5</w:t>
            </w:r>
          </w:p>
        </w:tc>
        <w:tc>
          <w:tcPr>
            <w:tcW w:w="864" w:type="dxa"/>
            <w:shd w:val="clear" w:color="auto" w:fill="FFFFFF"/>
          </w:tcPr>
          <w:p w14:paraId="53D6FA75" w14:textId="3B0E7D30" w:rsidR="0011123F" w:rsidRPr="00B57B36" w:rsidRDefault="0011123F" w:rsidP="001278AA">
            <w:pPr>
              <w:pStyle w:val="CETBodytext"/>
              <w:ind w:right="-1"/>
              <w:jc w:val="right"/>
              <w:rPr>
                <w:rFonts w:cs="Arial"/>
                <w:szCs w:val="18"/>
                <w:lang w:val="en-GB"/>
              </w:rPr>
            </w:pPr>
            <w:r w:rsidRPr="005A0A1C">
              <w:t>8.3</w:t>
            </w:r>
          </w:p>
        </w:tc>
      </w:tr>
      <w:tr w:rsidR="0011123F" w:rsidRPr="00B57B36" w14:paraId="60D5507D" w14:textId="77777777" w:rsidTr="001278AA">
        <w:tc>
          <w:tcPr>
            <w:tcW w:w="2880" w:type="dxa"/>
            <w:shd w:val="clear" w:color="auto" w:fill="FFFFFF"/>
          </w:tcPr>
          <w:p w14:paraId="07D2683B" w14:textId="2B9849B0" w:rsidR="0011123F" w:rsidRPr="00B57B36" w:rsidRDefault="0011123F" w:rsidP="00DF3944">
            <w:pPr>
              <w:pStyle w:val="CETBodytext"/>
              <w:ind w:right="-1"/>
              <w:jc w:val="left"/>
              <w:rPr>
                <w:rFonts w:cs="Arial"/>
                <w:szCs w:val="18"/>
                <w:lang w:val="en-GB"/>
              </w:rPr>
            </w:pPr>
            <w:r w:rsidRPr="00363C31">
              <w:t>500-50</w:t>
            </w:r>
            <w:r>
              <w:t xml:space="preserve"> (E)</w:t>
            </w:r>
          </w:p>
        </w:tc>
        <w:tc>
          <w:tcPr>
            <w:tcW w:w="864" w:type="dxa"/>
            <w:shd w:val="clear" w:color="auto" w:fill="FFFFFF"/>
          </w:tcPr>
          <w:p w14:paraId="2DF5584E" w14:textId="35E56FB5" w:rsidR="0011123F" w:rsidRPr="00B57B36" w:rsidRDefault="0011123F" w:rsidP="001278AA">
            <w:pPr>
              <w:pStyle w:val="CETBodytext"/>
              <w:ind w:right="-1"/>
              <w:jc w:val="right"/>
              <w:rPr>
                <w:rFonts w:cs="Arial"/>
                <w:szCs w:val="18"/>
                <w:lang w:val="en-GB"/>
              </w:rPr>
            </w:pPr>
            <w:r w:rsidRPr="005A0A1C">
              <w:t>33.7</w:t>
            </w:r>
          </w:p>
        </w:tc>
        <w:tc>
          <w:tcPr>
            <w:tcW w:w="864" w:type="dxa"/>
            <w:shd w:val="clear" w:color="auto" w:fill="FFFFFF"/>
          </w:tcPr>
          <w:p w14:paraId="38497D01" w14:textId="3DFB415B" w:rsidR="0011123F" w:rsidRPr="00B57B36" w:rsidRDefault="0011123F" w:rsidP="001278AA">
            <w:pPr>
              <w:pStyle w:val="CETBodytext"/>
              <w:ind w:right="-1"/>
              <w:jc w:val="right"/>
              <w:rPr>
                <w:rFonts w:cs="Arial"/>
                <w:szCs w:val="18"/>
                <w:lang w:val="en-GB"/>
              </w:rPr>
            </w:pPr>
            <w:r w:rsidRPr="005A0A1C">
              <w:t>12.3</w:t>
            </w:r>
          </w:p>
        </w:tc>
        <w:tc>
          <w:tcPr>
            <w:tcW w:w="864" w:type="dxa"/>
            <w:shd w:val="clear" w:color="auto" w:fill="FFFFFF"/>
          </w:tcPr>
          <w:p w14:paraId="764D72F1" w14:textId="6B07084A" w:rsidR="0011123F" w:rsidRPr="00B57B36" w:rsidRDefault="0011123F" w:rsidP="001278AA">
            <w:pPr>
              <w:pStyle w:val="CETBodytext"/>
              <w:ind w:right="-1"/>
              <w:jc w:val="right"/>
              <w:rPr>
                <w:rFonts w:cs="Arial"/>
                <w:szCs w:val="18"/>
                <w:lang w:val="en-GB"/>
              </w:rPr>
            </w:pPr>
            <w:r w:rsidRPr="005A0A1C">
              <w:t>45.2</w:t>
            </w:r>
          </w:p>
        </w:tc>
        <w:tc>
          <w:tcPr>
            <w:tcW w:w="864" w:type="dxa"/>
            <w:shd w:val="clear" w:color="auto" w:fill="FFFFFF"/>
          </w:tcPr>
          <w:p w14:paraId="143F70C1" w14:textId="07D5DC9F" w:rsidR="0011123F" w:rsidRPr="00B57B36" w:rsidRDefault="0011123F" w:rsidP="001278AA">
            <w:pPr>
              <w:pStyle w:val="CETBodytext"/>
              <w:ind w:right="-1"/>
              <w:jc w:val="right"/>
              <w:rPr>
                <w:rFonts w:cs="Arial"/>
                <w:szCs w:val="18"/>
                <w:lang w:val="en-GB"/>
              </w:rPr>
            </w:pPr>
            <w:r w:rsidRPr="005A0A1C">
              <w:t>8.8</w:t>
            </w:r>
          </w:p>
        </w:tc>
      </w:tr>
      <w:tr w:rsidR="0011123F" w:rsidRPr="00B57B36" w14:paraId="39842A99" w14:textId="77777777" w:rsidTr="001278AA">
        <w:tc>
          <w:tcPr>
            <w:tcW w:w="2880" w:type="dxa"/>
            <w:shd w:val="clear" w:color="auto" w:fill="FFFFFF"/>
          </w:tcPr>
          <w:p w14:paraId="16BCA6DA" w14:textId="01CF2808" w:rsidR="0011123F" w:rsidRPr="00B57B36" w:rsidRDefault="0011123F" w:rsidP="00DF3944">
            <w:pPr>
              <w:pStyle w:val="CETBodytext"/>
              <w:ind w:right="-1"/>
              <w:jc w:val="left"/>
              <w:rPr>
                <w:rFonts w:cs="Arial"/>
                <w:szCs w:val="18"/>
                <w:lang w:val="en-GB"/>
              </w:rPr>
            </w:pPr>
            <w:r w:rsidRPr="00363C31">
              <w:t>600-50</w:t>
            </w:r>
            <w:r>
              <w:t xml:space="preserve"> (S)</w:t>
            </w:r>
          </w:p>
        </w:tc>
        <w:tc>
          <w:tcPr>
            <w:tcW w:w="864" w:type="dxa"/>
            <w:shd w:val="clear" w:color="auto" w:fill="FFFFFF"/>
          </w:tcPr>
          <w:p w14:paraId="5E59BAFB" w14:textId="327D7C3B" w:rsidR="0011123F" w:rsidRPr="00B57B36" w:rsidRDefault="0011123F" w:rsidP="001278AA">
            <w:pPr>
              <w:pStyle w:val="CETBodytext"/>
              <w:ind w:right="-1"/>
              <w:jc w:val="right"/>
              <w:rPr>
                <w:rFonts w:cs="Arial"/>
                <w:szCs w:val="18"/>
                <w:lang w:val="en-GB"/>
              </w:rPr>
            </w:pPr>
            <w:r w:rsidRPr="005A0A1C">
              <w:t>35.5</w:t>
            </w:r>
          </w:p>
        </w:tc>
        <w:tc>
          <w:tcPr>
            <w:tcW w:w="864" w:type="dxa"/>
            <w:shd w:val="clear" w:color="auto" w:fill="FFFFFF"/>
          </w:tcPr>
          <w:p w14:paraId="33671B75" w14:textId="1313AD51" w:rsidR="0011123F" w:rsidRPr="00B57B36" w:rsidRDefault="0011123F" w:rsidP="001278AA">
            <w:pPr>
              <w:pStyle w:val="CETBodytext"/>
              <w:ind w:right="-1"/>
              <w:jc w:val="right"/>
              <w:rPr>
                <w:rFonts w:cs="Arial"/>
                <w:szCs w:val="18"/>
                <w:lang w:val="en-GB"/>
              </w:rPr>
            </w:pPr>
            <w:r w:rsidRPr="005A0A1C">
              <w:t>11.8</w:t>
            </w:r>
          </w:p>
        </w:tc>
        <w:tc>
          <w:tcPr>
            <w:tcW w:w="864" w:type="dxa"/>
            <w:shd w:val="clear" w:color="auto" w:fill="FFFFFF"/>
          </w:tcPr>
          <w:p w14:paraId="15951D0A" w14:textId="74ECB3A5" w:rsidR="0011123F" w:rsidRPr="00B57B36" w:rsidRDefault="0011123F" w:rsidP="001278AA">
            <w:pPr>
              <w:pStyle w:val="CETBodytext"/>
              <w:ind w:right="-1"/>
              <w:jc w:val="right"/>
              <w:rPr>
                <w:rFonts w:cs="Arial"/>
                <w:szCs w:val="18"/>
                <w:lang w:val="en-GB"/>
              </w:rPr>
            </w:pPr>
            <w:r w:rsidRPr="005A0A1C">
              <w:t>44.0</w:t>
            </w:r>
          </w:p>
        </w:tc>
        <w:tc>
          <w:tcPr>
            <w:tcW w:w="864" w:type="dxa"/>
            <w:shd w:val="clear" w:color="auto" w:fill="FFFFFF"/>
          </w:tcPr>
          <w:p w14:paraId="1487D1B1" w14:textId="37B4BC20" w:rsidR="0011123F" w:rsidRPr="00B57B36" w:rsidRDefault="0011123F" w:rsidP="001278AA">
            <w:pPr>
              <w:pStyle w:val="CETBodytext"/>
              <w:ind w:right="-1"/>
              <w:jc w:val="right"/>
              <w:rPr>
                <w:rFonts w:cs="Arial"/>
                <w:szCs w:val="18"/>
                <w:lang w:val="en-GB"/>
              </w:rPr>
            </w:pPr>
            <w:r w:rsidRPr="005A0A1C">
              <w:t>8.6</w:t>
            </w:r>
          </w:p>
        </w:tc>
      </w:tr>
      <w:tr w:rsidR="0011123F" w:rsidRPr="00B57B36" w14:paraId="6B94B070" w14:textId="77777777" w:rsidTr="001278AA">
        <w:tc>
          <w:tcPr>
            <w:tcW w:w="2880" w:type="dxa"/>
            <w:shd w:val="clear" w:color="auto" w:fill="FFFFFF"/>
          </w:tcPr>
          <w:p w14:paraId="67C1C9A1" w14:textId="183BB748" w:rsidR="0011123F" w:rsidRPr="00B57B36" w:rsidRDefault="0011123F" w:rsidP="00DF3944">
            <w:pPr>
              <w:pStyle w:val="CETBodytext"/>
              <w:ind w:right="-1"/>
              <w:jc w:val="left"/>
              <w:rPr>
                <w:rFonts w:cs="Arial"/>
                <w:szCs w:val="18"/>
                <w:lang w:val="en-GB"/>
              </w:rPr>
            </w:pPr>
            <w:r w:rsidRPr="00363C31">
              <w:t>600-50</w:t>
            </w:r>
            <w:r>
              <w:t xml:space="preserve"> (E)</w:t>
            </w:r>
          </w:p>
        </w:tc>
        <w:tc>
          <w:tcPr>
            <w:tcW w:w="864" w:type="dxa"/>
            <w:shd w:val="clear" w:color="auto" w:fill="FFFFFF"/>
          </w:tcPr>
          <w:p w14:paraId="106117C2" w14:textId="2BA1E2C8" w:rsidR="0011123F" w:rsidRPr="00B57B36" w:rsidRDefault="0011123F" w:rsidP="001278AA">
            <w:pPr>
              <w:pStyle w:val="CETBodytext"/>
              <w:ind w:right="-1"/>
              <w:jc w:val="right"/>
              <w:rPr>
                <w:rFonts w:cs="Arial"/>
                <w:szCs w:val="18"/>
                <w:lang w:val="en-GB"/>
              </w:rPr>
            </w:pPr>
            <w:r w:rsidRPr="005A0A1C">
              <w:t>37.3</w:t>
            </w:r>
          </w:p>
        </w:tc>
        <w:tc>
          <w:tcPr>
            <w:tcW w:w="864" w:type="dxa"/>
            <w:shd w:val="clear" w:color="auto" w:fill="FFFFFF"/>
          </w:tcPr>
          <w:p w14:paraId="77D92106" w14:textId="7C85CD3F" w:rsidR="0011123F" w:rsidRPr="00B57B36" w:rsidRDefault="0011123F" w:rsidP="001278AA">
            <w:pPr>
              <w:pStyle w:val="CETBodytext"/>
              <w:ind w:right="-1"/>
              <w:jc w:val="right"/>
              <w:rPr>
                <w:rFonts w:cs="Arial"/>
                <w:szCs w:val="18"/>
                <w:lang w:val="en-GB"/>
              </w:rPr>
            </w:pPr>
            <w:r w:rsidRPr="005A0A1C">
              <w:t>11.6</w:t>
            </w:r>
          </w:p>
        </w:tc>
        <w:tc>
          <w:tcPr>
            <w:tcW w:w="864" w:type="dxa"/>
            <w:shd w:val="clear" w:color="auto" w:fill="FFFFFF"/>
          </w:tcPr>
          <w:p w14:paraId="5FD4E22E" w14:textId="341FEBBD" w:rsidR="0011123F" w:rsidRPr="00B57B36" w:rsidRDefault="0011123F" w:rsidP="001278AA">
            <w:pPr>
              <w:pStyle w:val="CETBodytext"/>
              <w:ind w:right="-1"/>
              <w:jc w:val="right"/>
              <w:rPr>
                <w:rFonts w:cs="Arial"/>
                <w:szCs w:val="18"/>
                <w:lang w:val="en-GB"/>
              </w:rPr>
            </w:pPr>
            <w:r w:rsidRPr="005A0A1C">
              <w:t>41.6</w:t>
            </w:r>
          </w:p>
        </w:tc>
        <w:tc>
          <w:tcPr>
            <w:tcW w:w="864" w:type="dxa"/>
            <w:shd w:val="clear" w:color="auto" w:fill="FFFFFF"/>
          </w:tcPr>
          <w:p w14:paraId="04F5FA6C" w14:textId="47A38342" w:rsidR="0011123F" w:rsidRPr="00B57B36" w:rsidRDefault="0011123F" w:rsidP="001278AA">
            <w:pPr>
              <w:pStyle w:val="CETBodytext"/>
              <w:ind w:right="-1"/>
              <w:jc w:val="right"/>
              <w:rPr>
                <w:rFonts w:cs="Arial"/>
                <w:szCs w:val="18"/>
                <w:lang w:val="en-GB"/>
              </w:rPr>
            </w:pPr>
            <w:r w:rsidRPr="005A0A1C">
              <w:t>9.6</w:t>
            </w:r>
          </w:p>
        </w:tc>
      </w:tr>
      <w:tr w:rsidR="0011123F" w:rsidRPr="00B57B36" w14:paraId="6B2F44C9" w14:textId="77777777" w:rsidTr="001278AA">
        <w:tc>
          <w:tcPr>
            <w:tcW w:w="2880" w:type="dxa"/>
            <w:shd w:val="clear" w:color="auto" w:fill="FFFFFF"/>
          </w:tcPr>
          <w:p w14:paraId="09BC9C96" w14:textId="16B15A20" w:rsidR="0011123F" w:rsidRPr="00B57B36" w:rsidRDefault="0011123F" w:rsidP="00DF3944">
            <w:pPr>
              <w:pStyle w:val="CETBodytext"/>
              <w:ind w:right="-1"/>
              <w:jc w:val="left"/>
              <w:rPr>
                <w:rFonts w:cs="Arial"/>
                <w:szCs w:val="18"/>
                <w:lang w:val="en-GB"/>
              </w:rPr>
            </w:pPr>
            <w:r w:rsidRPr="00363C31">
              <w:t>700-50</w:t>
            </w:r>
            <w:r>
              <w:t xml:space="preserve"> (S)</w:t>
            </w:r>
          </w:p>
        </w:tc>
        <w:tc>
          <w:tcPr>
            <w:tcW w:w="864" w:type="dxa"/>
            <w:shd w:val="clear" w:color="auto" w:fill="FFFFFF"/>
          </w:tcPr>
          <w:p w14:paraId="23CFECA1" w14:textId="66EF4D65" w:rsidR="0011123F" w:rsidRPr="00B57B36" w:rsidRDefault="0011123F" w:rsidP="001278AA">
            <w:pPr>
              <w:pStyle w:val="CETBodytext"/>
              <w:ind w:right="-1"/>
              <w:jc w:val="right"/>
              <w:rPr>
                <w:rFonts w:cs="Arial"/>
                <w:szCs w:val="18"/>
                <w:lang w:val="en-GB"/>
              </w:rPr>
            </w:pPr>
            <w:r w:rsidRPr="005A0A1C">
              <w:t>36.4</w:t>
            </w:r>
          </w:p>
        </w:tc>
        <w:tc>
          <w:tcPr>
            <w:tcW w:w="864" w:type="dxa"/>
            <w:shd w:val="clear" w:color="auto" w:fill="FFFFFF"/>
          </w:tcPr>
          <w:p w14:paraId="7AB5908F" w14:textId="05791468" w:rsidR="0011123F" w:rsidRPr="00B57B36" w:rsidRDefault="0011123F" w:rsidP="001278AA">
            <w:pPr>
              <w:pStyle w:val="CETBodytext"/>
              <w:ind w:right="-1"/>
              <w:jc w:val="right"/>
              <w:rPr>
                <w:rFonts w:cs="Arial"/>
                <w:szCs w:val="18"/>
                <w:lang w:val="en-GB"/>
              </w:rPr>
            </w:pPr>
            <w:r w:rsidRPr="005A0A1C">
              <w:t>11.1</w:t>
            </w:r>
          </w:p>
        </w:tc>
        <w:tc>
          <w:tcPr>
            <w:tcW w:w="864" w:type="dxa"/>
            <w:shd w:val="clear" w:color="auto" w:fill="FFFFFF"/>
          </w:tcPr>
          <w:p w14:paraId="2277C75F" w14:textId="11107ECD" w:rsidR="0011123F" w:rsidRPr="00B57B36" w:rsidRDefault="0011123F" w:rsidP="001278AA">
            <w:pPr>
              <w:pStyle w:val="CETBodytext"/>
              <w:ind w:right="-1"/>
              <w:jc w:val="right"/>
              <w:rPr>
                <w:rFonts w:cs="Arial"/>
                <w:szCs w:val="18"/>
                <w:lang w:val="en-GB"/>
              </w:rPr>
            </w:pPr>
            <w:r w:rsidRPr="005A0A1C">
              <w:t>43.6</w:t>
            </w:r>
          </w:p>
        </w:tc>
        <w:tc>
          <w:tcPr>
            <w:tcW w:w="864" w:type="dxa"/>
            <w:shd w:val="clear" w:color="auto" w:fill="FFFFFF"/>
          </w:tcPr>
          <w:p w14:paraId="68284015" w14:textId="40DD279C" w:rsidR="0011123F" w:rsidRPr="00B57B36" w:rsidRDefault="0011123F" w:rsidP="001278AA">
            <w:pPr>
              <w:pStyle w:val="CETBodytext"/>
              <w:ind w:right="-1"/>
              <w:jc w:val="right"/>
              <w:rPr>
                <w:rFonts w:cs="Arial"/>
                <w:szCs w:val="18"/>
                <w:lang w:val="en-GB"/>
              </w:rPr>
            </w:pPr>
            <w:r w:rsidRPr="005A0A1C">
              <w:t>8.9</w:t>
            </w:r>
          </w:p>
        </w:tc>
      </w:tr>
      <w:tr w:rsidR="0011123F" w:rsidRPr="00B57B36" w14:paraId="686D5910" w14:textId="77777777" w:rsidTr="001278AA">
        <w:tc>
          <w:tcPr>
            <w:tcW w:w="2880" w:type="dxa"/>
            <w:shd w:val="clear" w:color="auto" w:fill="FFFFFF"/>
          </w:tcPr>
          <w:p w14:paraId="49BBDD4D" w14:textId="7FB6A427" w:rsidR="0011123F" w:rsidRPr="00B57B36" w:rsidRDefault="0011123F" w:rsidP="00DF3944">
            <w:pPr>
              <w:pStyle w:val="CETBodytext"/>
              <w:ind w:right="-1"/>
              <w:jc w:val="left"/>
              <w:rPr>
                <w:rFonts w:cs="Arial"/>
                <w:szCs w:val="18"/>
                <w:lang w:val="en-GB"/>
              </w:rPr>
            </w:pPr>
            <w:r w:rsidRPr="00363C31">
              <w:t>700-50</w:t>
            </w:r>
            <w:r>
              <w:t xml:space="preserve"> (E)</w:t>
            </w:r>
          </w:p>
        </w:tc>
        <w:tc>
          <w:tcPr>
            <w:tcW w:w="864" w:type="dxa"/>
            <w:shd w:val="clear" w:color="auto" w:fill="FFFFFF"/>
          </w:tcPr>
          <w:p w14:paraId="4725A2C5" w14:textId="7F455ACB" w:rsidR="0011123F" w:rsidRPr="00B57B36" w:rsidRDefault="0011123F" w:rsidP="001278AA">
            <w:pPr>
              <w:pStyle w:val="CETBodytext"/>
              <w:ind w:right="-1"/>
              <w:jc w:val="right"/>
              <w:rPr>
                <w:rFonts w:cs="Arial"/>
                <w:szCs w:val="18"/>
                <w:lang w:val="en-GB"/>
              </w:rPr>
            </w:pPr>
            <w:r w:rsidRPr="005A0A1C">
              <w:t>44.8</w:t>
            </w:r>
          </w:p>
        </w:tc>
        <w:tc>
          <w:tcPr>
            <w:tcW w:w="864" w:type="dxa"/>
            <w:shd w:val="clear" w:color="auto" w:fill="FFFFFF"/>
          </w:tcPr>
          <w:p w14:paraId="09E24A91" w14:textId="22B916C2" w:rsidR="0011123F" w:rsidRPr="00B57B36" w:rsidRDefault="0011123F" w:rsidP="001278AA">
            <w:pPr>
              <w:pStyle w:val="CETBodytext"/>
              <w:ind w:right="-1"/>
              <w:jc w:val="right"/>
              <w:rPr>
                <w:rFonts w:cs="Arial"/>
                <w:szCs w:val="18"/>
                <w:lang w:val="en-GB"/>
              </w:rPr>
            </w:pPr>
            <w:r w:rsidRPr="005A0A1C">
              <w:t>8.4</w:t>
            </w:r>
          </w:p>
        </w:tc>
        <w:tc>
          <w:tcPr>
            <w:tcW w:w="864" w:type="dxa"/>
            <w:shd w:val="clear" w:color="auto" w:fill="FFFFFF"/>
          </w:tcPr>
          <w:p w14:paraId="49535ED6" w14:textId="31AAD171" w:rsidR="0011123F" w:rsidRPr="00B57B36" w:rsidRDefault="0011123F" w:rsidP="001278AA">
            <w:pPr>
              <w:pStyle w:val="CETBodytext"/>
              <w:ind w:right="-1"/>
              <w:jc w:val="right"/>
              <w:rPr>
                <w:rFonts w:cs="Arial"/>
                <w:szCs w:val="18"/>
                <w:lang w:val="en-GB"/>
              </w:rPr>
            </w:pPr>
            <w:r w:rsidRPr="005A0A1C">
              <w:t>36.2</w:t>
            </w:r>
          </w:p>
        </w:tc>
        <w:tc>
          <w:tcPr>
            <w:tcW w:w="864" w:type="dxa"/>
            <w:shd w:val="clear" w:color="auto" w:fill="FFFFFF"/>
          </w:tcPr>
          <w:p w14:paraId="1E6A207F" w14:textId="0131A20A" w:rsidR="0011123F" w:rsidRPr="00B57B36" w:rsidRDefault="0011123F" w:rsidP="001278AA">
            <w:pPr>
              <w:pStyle w:val="CETBodytext"/>
              <w:ind w:right="-1"/>
              <w:jc w:val="right"/>
              <w:rPr>
                <w:rFonts w:cs="Arial"/>
                <w:szCs w:val="18"/>
                <w:lang w:val="en-GB"/>
              </w:rPr>
            </w:pPr>
            <w:r w:rsidRPr="005A0A1C">
              <w:t>10.6</w:t>
            </w:r>
          </w:p>
        </w:tc>
      </w:tr>
    </w:tbl>
    <w:p w14:paraId="3F4B76E9" w14:textId="77777777" w:rsidR="0011123F" w:rsidRDefault="0011123F" w:rsidP="00C472BF">
      <w:pPr>
        <w:pStyle w:val="CETBodytext"/>
      </w:pPr>
    </w:p>
    <w:p w14:paraId="5561E8DE" w14:textId="3C7F24A1" w:rsidR="00731D17" w:rsidRDefault="00731D17" w:rsidP="00731D17">
      <w:pPr>
        <w:pStyle w:val="CETBodytext"/>
        <w:rPr>
          <w:noProof/>
        </w:rPr>
      </w:pPr>
      <w:r>
        <w:rPr>
          <w:noProof/>
        </w:rPr>
        <w:t>Figure 3 shows the bio-oil, char, wax, and gas yields obtained in the co-pyrolysis simulation at 500–700 °C and with feedstocks containing 10–90</w:t>
      </w:r>
      <w:r w:rsidR="00313590">
        <w:rPr>
          <w:noProof/>
        </w:rPr>
        <w:t xml:space="preserve"> wt</w:t>
      </w:r>
      <w:r>
        <w:rPr>
          <w:noProof/>
        </w:rPr>
        <w:t xml:space="preserve">% PE. </w:t>
      </w:r>
    </w:p>
    <w:p w14:paraId="282F6298" w14:textId="34335492" w:rsidR="00731D17" w:rsidRDefault="00731D17" w:rsidP="00731D17">
      <w:pPr>
        <w:pStyle w:val="CETBodytext"/>
        <w:rPr>
          <w:noProof/>
        </w:rPr>
      </w:pPr>
      <w:r>
        <w:rPr>
          <w:noProof/>
        </w:rPr>
        <w:t xml:space="preserve">Figure 3a shows that increasing temperatures result in higher bio-oil yields, which occurs because higher temperatures induce, at fixed residence times, the degradation of the feedstock structure to a higher extent (Demirbas, 2007). Such an effect is </w:t>
      </w:r>
      <w:r w:rsidR="007D50C9">
        <w:rPr>
          <w:noProof/>
        </w:rPr>
        <w:t>e</w:t>
      </w:r>
      <w:r>
        <w:rPr>
          <w:noProof/>
        </w:rPr>
        <w:t>specially important for PE, as its decomposition temperatures are higher than those of hemicellulose fractions (Zhou et al., 2017). The higher the PE content in the feedstock, the lower the bio-oil yield</w:t>
      </w:r>
      <w:r w:rsidR="0048041D">
        <w:rPr>
          <w:noProof/>
        </w:rPr>
        <w:t>s</w:t>
      </w:r>
      <w:r>
        <w:rPr>
          <w:noProof/>
        </w:rPr>
        <w:t>, as PE at temperatures below 700 °C will preferentially form wax. Indeed, the higher the PE content, the higher the wax content, as shown in Figure 3c.</w:t>
      </w:r>
      <w:r w:rsidR="0048041D">
        <w:rPr>
          <w:noProof/>
        </w:rPr>
        <w:t xml:space="preserve"> </w:t>
      </w:r>
    </w:p>
    <w:p w14:paraId="3CE621CF" w14:textId="427FA51E" w:rsidR="00731D17" w:rsidRDefault="00731D17" w:rsidP="00731D17">
      <w:pPr>
        <w:pStyle w:val="CETBodytext"/>
        <w:rPr>
          <w:noProof/>
        </w:rPr>
      </w:pPr>
      <w:r>
        <w:rPr>
          <w:noProof/>
        </w:rPr>
        <w:t>Figure 3b shows that, overall, the higher the PE proportion, the lower the char produced, which agrees with char yields obtained in the co-pyrolysis of polyst</w:t>
      </w:r>
      <w:r w:rsidR="007D50C9">
        <w:rPr>
          <w:noProof/>
        </w:rPr>
        <w:t>y</w:t>
      </w:r>
      <w:r>
        <w:rPr>
          <w:noProof/>
        </w:rPr>
        <w:t>rene and coffee ground</w:t>
      </w:r>
      <w:r w:rsidR="007D50C9">
        <w:rPr>
          <w:noProof/>
        </w:rPr>
        <w:t>s</w:t>
      </w:r>
      <w:r>
        <w:rPr>
          <w:noProof/>
        </w:rPr>
        <w:t xml:space="preserve"> (Choi et al., 20</w:t>
      </w:r>
      <w:r w:rsidR="00F57C44">
        <w:rPr>
          <w:noProof/>
        </w:rPr>
        <w:t>23</w:t>
      </w:r>
      <w:r>
        <w:rPr>
          <w:noProof/>
        </w:rPr>
        <w:t xml:space="preserve">). </w:t>
      </w:r>
      <w:r w:rsidR="00B33F71">
        <w:rPr>
          <w:noProof/>
        </w:rPr>
        <w:t>The lower char yields may also be an indication of the suppressed coke formation during co-pyrolysis. T</w:t>
      </w:r>
      <w:r>
        <w:rPr>
          <w:noProof/>
        </w:rPr>
        <w:t>he effect of temperature on the char yield</w:t>
      </w:r>
      <w:r w:rsidR="00B33F71">
        <w:rPr>
          <w:noProof/>
        </w:rPr>
        <w:t>s, on the other hand,</w:t>
      </w:r>
      <w:r>
        <w:rPr>
          <w:noProof/>
        </w:rPr>
        <w:t xml:space="preserve"> depends on the PE blending proportion. For PE contents of 10</w:t>
      </w:r>
      <w:r w:rsidR="00B33F71">
        <w:rPr>
          <w:noProof/>
        </w:rPr>
        <w:t>–</w:t>
      </w:r>
      <w:r>
        <w:rPr>
          <w:noProof/>
        </w:rPr>
        <w:t>70 wt%, higher temperatures decrease the char yield, while the opposite occurs for 90 wt% PE contents.</w:t>
      </w:r>
    </w:p>
    <w:p w14:paraId="63ABCBB4" w14:textId="04ABDAB5" w:rsidR="00731D17" w:rsidRPr="00BD077D" w:rsidRDefault="00731D17" w:rsidP="00731D17">
      <w:pPr>
        <w:pStyle w:val="CETBodytext"/>
      </w:pPr>
      <w:r>
        <w:rPr>
          <w:noProof/>
        </w:rPr>
        <w:lastRenderedPageBreak/>
        <w:t>Figure 3d shows that increasing temperatures result in higher gas yields. Also, increasing PE contents in the feedstock produces lower gas yields, as similarly observed by Choi et al. (20</w:t>
      </w:r>
      <w:r w:rsidR="00F57C44">
        <w:rPr>
          <w:noProof/>
        </w:rPr>
        <w:t>23</w:t>
      </w:r>
      <w:r>
        <w:rPr>
          <w:noProof/>
        </w:rPr>
        <w:t>) in the co-pyrolysis of biomass materials and styrene.</w:t>
      </w:r>
    </w:p>
    <w:p w14:paraId="32F0814D" w14:textId="34C5E687" w:rsidR="001F32F1" w:rsidRDefault="004A1F79" w:rsidP="001A0011">
      <w:pPr>
        <w:pStyle w:val="CETCaption"/>
      </w:pPr>
      <w:r>
        <w:rPr>
          <w:noProof/>
        </w:rPr>
        <w:drawing>
          <wp:inline distT="0" distB="0" distL="0" distR="0" wp14:anchorId="7D998F1F" wp14:editId="73085FDD">
            <wp:extent cx="2724912" cy="1587129"/>
            <wp:effectExtent l="0" t="0" r="0" b="0"/>
            <wp:docPr id="1221521046"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521046"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2724912" cy="1587129"/>
                    </a:xfrm>
                    <a:prstGeom prst="rect">
                      <a:avLst/>
                    </a:prstGeom>
                  </pic:spPr>
                </pic:pic>
              </a:graphicData>
            </a:graphic>
          </wp:inline>
        </w:drawing>
      </w:r>
      <w:r>
        <w:t xml:space="preserve">     </w:t>
      </w:r>
      <w:r>
        <w:rPr>
          <w:noProof/>
        </w:rPr>
        <w:drawing>
          <wp:inline distT="0" distB="0" distL="0" distR="0" wp14:anchorId="0C085661" wp14:editId="6EF47F56">
            <wp:extent cx="2724912" cy="1587129"/>
            <wp:effectExtent l="0" t="0" r="0" b="0"/>
            <wp:docPr id="1094925230"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925230"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2724912" cy="1587129"/>
                    </a:xfrm>
                    <a:prstGeom prst="rect">
                      <a:avLst/>
                    </a:prstGeom>
                  </pic:spPr>
                </pic:pic>
              </a:graphicData>
            </a:graphic>
          </wp:inline>
        </w:drawing>
      </w:r>
    </w:p>
    <w:p w14:paraId="610C6660" w14:textId="5B7731DF" w:rsidR="004A1F79" w:rsidRPr="00B57B36" w:rsidRDefault="004A1F79" w:rsidP="001A0011">
      <w:pPr>
        <w:pStyle w:val="CETCaption"/>
      </w:pPr>
      <w:r>
        <w:rPr>
          <w:noProof/>
        </w:rPr>
        <w:drawing>
          <wp:inline distT="0" distB="0" distL="0" distR="0" wp14:anchorId="35B5DA63" wp14:editId="1B78FBAA">
            <wp:extent cx="2724912" cy="1552086"/>
            <wp:effectExtent l="0" t="0" r="0" b="0"/>
            <wp:docPr id="1812761910"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761910"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2724912" cy="1552086"/>
                    </a:xfrm>
                    <a:prstGeom prst="rect">
                      <a:avLst/>
                    </a:prstGeom>
                  </pic:spPr>
                </pic:pic>
              </a:graphicData>
            </a:graphic>
          </wp:inline>
        </w:drawing>
      </w:r>
      <w:r>
        <w:t xml:space="preserve">     </w:t>
      </w:r>
      <w:r>
        <w:rPr>
          <w:noProof/>
        </w:rPr>
        <w:drawing>
          <wp:inline distT="0" distB="0" distL="0" distR="0" wp14:anchorId="7D562C7E" wp14:editId="2C535F57">
            <wp:extent cx="2724912" cy="1587129"/>
            <wp:effectExtent l="0" t="0" r="0" b="0"/>
            <wp:docPr id="658193579"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193579" name=""/>
                    <pic:cNvPicPr/>
                  </pic:nvPicPr>
                  <pic:blipFill>
                    <a:blip r:embed="rId19">
                      <a:extLst>
                        <a:ext uri="{96DAC541-7B7A-43D3-8B79-37D633B846F1}">
                          <asvg:svgBlip xmlns:asvg="http://schemas.microsoft.com/office/drawing/2016/SVG/main" r:embed="rId20"/>
                        </a:ext>
                      </a:extLst>
                    </a:blip>
                    <a:stretch>
                      <a:fillRect/>
                    </a:stretch>
                  </pic:blipFill>
                  <pic:spPr>
                    <a:xfrm>
                      <a:off x="0" y="0"/>
                      <a:ext cx="2724912" cy="1587129"/>
                    </a:xfrm>
                    <a:prstGeom prst="rect">
                      <a:avLst/>
                    </a:prstGeom>
                  </pic:spPr>
                </pic:pic>
              </a:graphicData>
            </a:graphic>
          </wp:inline>
        </w:drawing>
      </w:r>
    </w:p>
    <w:p w14:paraId="21B2614D" w14:textId="62CA2CDA" w:rsidR="001A0011" w:rsidRPr="00BD077D" w:rsidRDefault="001A0011" w:rsidP="001A0011">
      <w:pPr>
        <w:pStyle w:val="CETCaption"/>
      </w:pPr>
      <w:r w:rsidRPr="00BD077D">
        <w:rPr>
          <w:rStyle w:val="CETCaptionCarattere"/>
          <w:i/>
        </w:rPr>
        <w:t xml:space="preserve">Figure </w:t>
      </w:r>
      <w:r>
        <w:rPr>
          <w:rStyle w:val="CETCaptionCarattere"/>
          <w:i/>
        </w:rPr>
        <w:t>3</w:t>
      </w:r>
      <w:r w:rsidRPr="00BD077D">
        <w:rPr>
          <w:rStyle w:val="CETCaptionCarattere"/>
          <w:i/>
        </w:rPr>
        <w:t xml:space="preserve">: </w:t>
      </w:r>
      <w:r>
        <w:rPr>
          <w:rStyle w:val="CETCaptionCarattere"/>
          <w:i/>
        </w:rPr>
        <w:t xml:space="preserve">Co-pyrolysis product yields obtained via simulation: (a) </w:t>
      </w:r>
      <w:r w:rsidR="00064B0C">
        <w:rPr>
          <w:rStyle w:val="CETCaptionCarattere"/>
          <w:i/>
        </w:rPr>
        <w:t>bio-oil</w:t>
      </w:r>
      <w:r>
        <w:rPr>
          <w:rStyle w:val="CETCaptionCarattere"/>
          <w:i/>
        </w:rPr>
        <w:t xml:space="preserve">, (b) </w:t>
      </w:r>
      <w:r w:rsidR="00064B0C">
        <w:rPr>
          <w:rStyle w:val="CETCaptionCarattere"/>
          <w:i/>
        </w:rPr>
        <w:t>char</w:t>
      </w:r>
      <w:r>
        <w:rPr>
          <w:rStyle w:val="CETCaptionCarattere"/>
          <w:i/>
        </w:rPr>
        <w:t xml:space="preserve">, (c) </w:t>
      </w:r>
      <w:r w:rsidR="00064B0C">
        <w:rPr>
          <w:rStyle w:val="CETCaptionCarattere"/>
          <w:i/>
        </w:rPr>
        <w:t>wax, and (d) gas yields.</w:t>
      </w:r>
    </w:p>
    <w:p w14:paraId="55F6FE0F" w14:textId="30F8504B" w:rsidR="0048041D" w:rsidRPr="0048041D" w:rsidRDefault="0048041D" w:rsidP="00C472BF">
      <w:pPr>
        <w:pStyle w:val="CETBodytext"/>
      </w:pPr>
      <w:r w:rsidRPr="0048041D">
        <w:rPr>
          <w:lang w:val="en-GB"/>
        </w:rPr>
        <w:t xml:space="preserve">The simulation has shown the effects of </w:t>
      </w:r>
      <w:r>
        <w:rPr>
          <w:lang w:val="en-GB"/>
        </w:rPr>
        <w:t xml:space="preserve">co-pyrolysis </w:t>
      </w:r>
      <w:r w:rsidRPr="0048041D">
        <w:rPr>
          <w:lang w:val="en-GB"/>
        </w:rPr>
        <w:t xml:space="preserve">temperature </w:t>
      </w:r>
      <w:r>
        <w:rPr>
          <w:lang w:val="en-GB"/>
        </w:rPr>
        <w:t xml:space="preserve">and PE proportion on the pyrolytic yields. Higher temperatures affected the feedstock </w:t>
      </w:r>
      <w:r w:rsidRPr="0048041D">
        <w:rPr>
          <w:lang w:val="en-GB"/>
        </w:rPr>
        <w:t>degradation</w:t>
      </w:r>
      <w:r>
        <w:rPr>
          <w:lang w:val="en-GB"/>
        </w:rPr>
        <w:t xml:space="preserve">, while </w:t>
      </w:r>
      <w:r w:rsidRPr="00667BF4">
        <w:rPr>
          <w:lang w:val="en-GB"/>
        </w:rPr>
        <w:t xml:space="preserve">higher PE contents increased the feedstock H/C atomic ratio. </w:t>
      </w:r>
      <w:r w:rsidRPr="00667BF4">
        <w:t xml:space="preserve">The present simulation can be used as a starting point for the </w:t>
      </w:r>
      <w:r w:rsidR="008D79B6" w:rsidRPr="00667BF4">
        <w:t>design of co-pyrolysis processes with either xylan-PE mixtures o</w:t>
      </w:r>
      <w:r w:rsidR="007D50C9" w:rsidRPr="00667BF4">
        <w:t>r</w:t>
      </w:r>
      <w:r w:rsidR="008D79B6" w:rsidRPr="00667BF4">
        <w:t xml:space="preserve"> blends with other polymers and lignocellulosic residues. Future works may also focus on exploring more detailed kinetic expressions for co-pyrolysis simulation, as well as </w:t>
      </w:r>
      <w:r w:rsidR="002C0ED8" w:rsidRPr="00667BF4">
        <w:t xml:space="preserve">developing co-pyrolysis simulations that consider the effects of biomass particle size and density. Also, future studies may work on </w:t>
      </w:r>
      <w:r w:rsidR="008D79B6" w:rsidRPr="00667BF4">
        <w:t>defining acceptable polymer blending proportions aiming to deal with plastic waste generation while also obtaining adequate pyrolysis yields.</w:t>
      </w:r>
      <w:r w:rsidR="008D79B6">
        <w:t xml:space="preserve"> </w:t>
      </w:r>
    </w:p>
    <w:p w14:paraId="53EF5E0C" w14:textId="77777777" w:rsidR="0048041D" w:rsidRPr="0048041D" w:rsidRDefault="0048041D" w:rsidP="00C472BF">
      <w:pPr>
        <w:pStyle w:val="CETBodytext"/>
        <w:rPr>
          <w:lang w:val="en-GB"/>
        </w:rPr>
      </w:pPr>
    </w:p>
    <w:p w14:paraId="34A4CEB1" w14:textId="1F97D555" w:rsidR="00C472BF" w:rsidRPr="00C472BF" w:rsidRDefault="00C472BF" w:rsidP="00C472BF">
      <w:pPr>
        <w:pStyle w:val="CETHeading1"/>
      </w:pPr>
      <w:r>
        <w:t>Conclusions</w:t>
      </w:r>
    </w:p>
    <w:p w14:paraId="1BBCBFA0" w14:textId="05DBCDAB" w:rsidR="00867227" w:rsidRDefault="00A2723A" w:rsidP="008D79B6">
      <w:pPr>
        <w:pStyle w:val="CETBodytext"/>
      </w:pPr>
      <w:r>
        <w:t xml:space="preserve">The present work developed the simulation of the co-pyrolysis of xylan, a lignocellulosic derivative, and high-density polyethylene (PE), a widely produced polymer. The co-pyrolysis simulation was developed in Aspen </w:t>
      </w:r>
      <w:proofErr w:type="spellStart"/>
      <w:r>
        <w:t>Plus</w:t>
      </w:r>
      <w:r>
        <w:rPr>
          <w:vertAlign w:val="superscript"/>
        </w:rPr>
        <w:t>TM</w:t>
      </w:r>
      <w:proofErr w:type="spellEnd"/>
      <w:r>
        <w:t xml:space="preserve"> and attemp</w:t>
      </w:r>
      <w:r w:rsidR="007D50C9">
        <w:t>t</w:t>
      </w:r>
      <w:r>
        <w:t xml:space="preserve">ed to combine Gibbs free energy minimization and kinetic approaches to represent the pyrolysis of PE and xylan, respectively. During validation against co-pyrolysis experimental </w:t>
      </w:r>
      <w:r w:rsidR="00B33F71">
        <w:t>data</w:t>
      </w:r>
      <w:r>
        <w:t>, it was observed th</w:t>
      </w:r>
      <w:r w:rsidR="007D50C9">
        <w:t>at</w:t>
      </w:r>
      <w:r>
        <w:t xml:space="preserve"> the simulation satisfactorily predicted pyrolytic yields up to temperatures no higher than 700 °C, from which higher deviations start to appear. Sensitivity analyses </w:t>
      </w:r>
      <w:r w:rsidR="008B1DF6">
        <w:t>showed that increasing</w:t>
      </w:r>
      <w:r>
        <w:t xml:space="preserve"> pyrolysis temperatures </w:t>
      </w:r>
      <w:r w:rsidR="00B33F71">
        <w:t xml:space="preserve">in the range of </w:t>
      </w:r>
      <w:r>
        <w:t>500–700 °C</w:t>
      </w:r>
      <w:r w:rsidR="008B1DF6">
        <w:t xml:space="preserve"> produced higher bio-oil an</w:t>
      </w:r>
      <w:r w:rsidR="00F84548">
        <w:t>d</w:t>
      </w:r>
      <w:r w:rsidR="008B1DF6">
        <w:t xml:space="preserve"> gas yields </w:t>
      </w:r>
      <w:proofErr w:type="gramStart"/>
      <w:r w:rsidR="008B1DF6">
        <w:t>as a result of</w:t>
      </w:r>
      <w:proofErr w:type="gramEnd"/>
      <w:r w:rsidR="008B1DF6">
        <w:t xml:space="preserve"> higher degradation of the feedstock structure. Specifically, the effect of temperature will depend on the PE content in the feeds: for PE contents of 10–70 </w:t>
      </w:r>
      <w:proofErr w:type="spellStart"/>
      <w:r w:rsidR="008B1DF6">
        <w:t>wt</w:t>
      </w:r>
      <w:proofErr w:type="spellEnd"/>
      <w:r w:rsidR="008B1DF6">
        <w:t xml:space="preserve">%, temperature will have a decreasing effect on the char yields, while the opposite is observed for higher PE proportions. Lower PE proportions </w:t>
      </w:r>
      <w:r w:rsidR="00B33F71">
        <w:t>result in</w:t>
      </w:r>
      <w:r w:rsidR="008B1DF6">
        <w:t xml:space="preserve"> higher bio-oil and gas yields, as well as lower wax yields. </w:t>
      </w:r>
      <w:r w:rsidR="008D79B6" w:rsidRPr="008D79B6">
        <w:t>This study demonstrate</w:t>
      </w:r>
      <w:r w:rsidR="008D79B6">
        <w:t>d</w:t>
      </w:r>
      <w:r w:rsidR="008D79B6" w:rsidRPr="008D79B6">
        <w:t xml:space="preserve"> that integrating </w:t>
      </w:r>
      <w:r w:rsidR="008D79B6">
        <w:t>kinetic and equilibrium simulation approaches is an interesting option for the design of co-pyrolysis processes, effectively predicting product yields and indicating possible future works.</w:t>
      </w:r>
    </w:p>
    <w:p w14:paraId="3276556F" w14:textId="77777777" w:rsidR="008B1DF6" w:rsidRDefault="008B1DF6" w:rsidP="008B1DF6">
      <w:pPr>
        <w:pStyle w:val="CETBodytext"/>
        <w:rPr>
          <w:lang w:val="en-GB"/>
        </w:rPr>
      </w:pPr>
    </w:p>
    <w:p w14:paraId="7BB18F21" w14:textId="77777777" w:rsidR="002C0ED8" w:rsidRDefault="002C0ED8" w:rsidP="008B1DF6">
      <w:pPr>
        <w:pStyle w:val="CETBodytext"/>
        <w:rPr>
          <w:lang w:val="en-GB"/>
        </w:rPr>
      </w:pPr>
    </w:p>
    <w:p w14:paraId="7CD284F7" w14:textId="77777777" w:rsidR="002C0ED8" w:rsidRPr="00867227" w:rsidRDefault="002C0ED8" w:rsidP="008B1DF6">
      <w:pPr>
        <w:pStyle w:val="CETBodytext"/>
        <w:rPr>
          <w:lang w:val="en-GB"/>
        </w:rPr>
      </w:pPr>
    </w:p>
    <w:p w14:paraId="459D05E6" w14:textId="77777777" w:rsidR="00600535" w:rsidRPr="00B57B36" w:rsidRDefault="00600535" w:rsidP="00600535">
      <w:pPr>
        <w:pStyle w:val="CETAcknowledgementstitle"/>
      </w:pPr>
      <w:r w:rsidRPr="00B57B36">
        <w:lastRenderedPageBreak/>
        <w:t>Acknowledgments</w:t>
      </w:r>
    </w:p>
    <w:p w14:paraId="7BC123ED" w14:textId="14D125D5" w:rsidR="00C472BF" w:rsidRDefault="00C472BF" w:rsidP="00C472BF">
      <w:pPr>
        <w:pStyle w:val="CETReference"/>
        <w:jc w:val="both"/>
        <w:rPr>
          <w:b w:val="0"/>
        </w:rPr>
      </w:pPr>
      <w:r w:rsidRPr="00C472BF">
        <w:rPr>
          <w:b w:val="0"/>
        </w:rPr>
        <w:t xml:space="preserve">The authors would like to thank the funding received from </w:t>
      </w:r>
      <w:proofErr w:type="spellStart"/>
      <w:r w:rsidRPr="00C472BF">
        <w:rPr>
          <w:b w:val="0"/>
        </w:rPr>
        <w:t>Coordenação</w:t>
      </w:r>
      <w:proofErr w:type="spellEnd"/>
      <w:r w:rsidRPr="00C472BF">
        <w:rPr>
          <w:b w:val="0"/>
        </w:rPr>
        <w:t xml:space="preserve"> de </w:t>
      </w:r>
      <w:proofErr w:type="spellStart"/>
      <w:r w:rsidRPr="00C472BF">
        <w:rPr>
          <w:b w:val="0"/>
        </w:rPr>
        <w:t>Aperfeiçoamento</w:t>
      </w:r>
      <w:proofErr w:type="spellEnd"/>
      <w:r w:rsidRPr="00C472BF">
        <w:rPr>
          <w:b w:val="0"/>
        </w:rPr>
        <w:t xml:space="preserve"> de </w:t>
      </w:r>
      <w:proofErr w:type="spellStart"/>
      <w:r w:rsidRPr="00C472BF">
        <w:rPr>
          <w:b w:val="0"/>
        </w:rPr>
        <w:t>Pessoal</w:t>
      </w:r>
      <w:proofErr w:type="spellEnd"/>
      <w:r w:rsidRPr="00C472BF">
        <w:rPr>
          <w:b w:val="0"/>
        </w:rPr>
        <w:t xml:space="preserve"> de </w:t>
      </w:r>
      <w:proofErr w:type="spellStart"/>
      <w:r w:rsidRPr="00C472BF">
        <w:rPr>
          <w:b w:val="0"/>
        </w:rPr>
        <w:t>Nível</w:t>
      </w:r>
      <w:proofErr w:type="spellEnd"/>
      <w:r w:rsidRPr="00C472BF">
        <w:rPr>
          <w:b w:val="0"/>
        </w:rPr>
        <w:t xml:space="preserve"> Superior - </w:t>
      </w:r>
      <w:proofErr w:type="spellStart"/>
      <w:r w:rsidRPr="00C472BF">
        <w:rPr>
          <w:b w:val="0"/>
        </w:rPr>
        <w:t>Brasil</w:t>
      </w:r>
      <w:proofErr w:type="spellEnd"/>
      <w:r w:rsidRPr="00C472BF">
        <w:rPr>
          <w:b w:val="0"/>
        </w:rPr>
        <w:t xml:space="preserve"> (CAPES) - Finance Code 001, São Paulo Research Foundation (FAPESP) grants #2015/20630-4 and #2016/50403-2, and four Brazilian companies (EMBRAER S.A., KLABIN S.A., PETROBRAS S.A., and SUZANO S.A). This research was </w:t>
      </w:r>
      <w:r>
        <w:rPr>
          <w:b w:val="0"/>
        </w:rPr>
        <w:t>started</w:t>
      </w:r>
      <w:r w:rsidRPr="00C472BF">
        <w:rPr>
          <w:b w:val="0"/>
        </w:rPr>
        <w:t xml:space="preserve"> by ILM </w:t>
      </w:r>
      <w:r>
        <w:rPr>
          <w:b w:val="0"/>
        </w:rPr>
        <w:t>during her period at</w:t>
      </w:r>
      <w:r w:rsidRPr="00C472BF">
        <w:rPr>
          <w:b w:val="0"/>
        </w:rPr>
        <w:t xml:space="preserve"> the “</w:t>
      </w:r>
      <w:proofErr w:type="spellStart"/>
      <w:r w:rsidRPr="00C472BF">
        <w:rPr>
          <w:b w:val="0"/>
        </w:rPr>
        <w:t>Pesquisador</w:t>
      </w:r>
      <w:proofErr w:type="spellEnd"/>
      <w:r w:rsidRPr="00C472BF">
        <w:rPr>
          <w:b w:val="0"/>
        </w:rPr>
        <w:t xml:space="preserve"> </w:t>
      </w:r>
      <w:proofErr w:type="spellStart"/>
      <w:r w:rsidRPr="00C472BF">
        <w:rPr>
          <w:b w:val="0"/>
        </w:rPr>
        <w:t>Colaborador</w:t>
      </w:r>
      <w:proofErr w:type="spellEnd"/>
      <w:r w:rsidRPr="00C472BF">
        <w:rPr>
          <w:b w:val="0"/>
        </w:rPr>
        <w:t>” program of</w:t>
      </w:r>
      <w:r>
        <w:rPr>
          <w:b w:val="0"/>
        </w:rPr>
        <w:t xml:space="preserve"> the</w:t>
      </w:r>
      <w:r w:rsidRPr="00C472BF">
        <w:rPr>
          <w:b w:val="0"/>
        </w:rPr>
        <w:t xml:space="preserve"> </w:t>
      </w:r>
      <w:r>
        <w:rPr>
          <w:b w:val="0"/>
        </w:rPr>
        <w:t>School of Chemical Engineering (</w:t>
      </w:r>
      <w:r w:rsidRPr="00C472BF">
        <w:rPr>
          <w:b w:val="0"/>
        </w:rPr>
        <w:t>University of Campinas</w:t>
      </w:r>
      <w:r>
        <w:rPr>
          <w:b w:val="0"/>
        </w:rPr>
        <w:t>) and finished at the School of Mechanical Engineering (University of Campinas).</w:t>
      </w:r>
    </w:p>
    <w:p w14:paraId="3ADDF150" w14:textId="77777777" w:rsidR="008B1DF6" w:rsidRDefault="008B1DF6" w:rsidP="00C472BF">
      <w:pPr>
        <w:pStyle w:val="CETReference"/>
        <w:jc w:val="both"/>
      </w:pPr>
    </w:p>
    <w:p w14:paraId="4F1327F8" w14:textId="24FC3D1C" w:rsidR="00600535" w:rsidRPr="00B57B36" w:rsidRDefault="00600535" w:rsidP="00600535">
      <w:pPr>
        <w:pStyle w:val="CETReference"/>
      </w:pPr>
      <w:r w:rsidRPr="00B57B36">
        <w:t>References</w:t>
      </w:r>
    </w:p>
    <w:p w14:paraId="4B7D8DB5" w14:textId="5B33D19D" w:rsidR="00731D17" w:rsidRDefault="00731D17" w:rsidP="00731D17">
      <w:pPr>
        <w:pStyle w:val="CETReferencetext"/>
        <w:rPr>
          <w:lang w:val="en-US"/>
        </w:rPr>
      </w:pPr>
      <w:r>
        <w:rPr>
          <w:lang w:val="en-US"/>
        </w:rPr>
        <w:t xml:space="preserve">Choi S.K., Choi Y.S., Jeong Y.W., Han S.Y., Nguyen Q.V., 2023, </w:t>
      </w:r>
      <w:r w:rsidRPr="00731D17">
        <w:rPr>
          <w:lang w:val="en-US"/>
        </w:rPr>
        <w:t>Simulation of co-pyrolysis of coffee ground and waste polystyrene foam in a</w:t>
      </w:r>
      <w:r>
        <w:rPr>
          <w:lang w:val="en-US"/>
        </w:rPr>
        <w:t xml:space="preserve"> </w:t>
      </w:r>
      <w:r w:rsidRPr="00731D17">
        <w:rPr>
          <w:lang w:val="en-US"/>
        </w:rPr>
        <w:t>tilted-slide reactor</w:t>
      </w:r>
      <w:r>
        <w:rPr>
          <w:lang w:val="en-US"/>
        </w:rPr>
        <w:t>, Biomass and Bioenergy, 177, 106933–106943.</w:t>
      </w:r>
    </w:p>
    <w:p w14:paraId="1F35C998" w14:textId="1B0C8CAD" w:rsidR="002A3895" w:rsidRDefault="002A3895" w:rsidP="002A3895">
      <w:pPr>
        <w:pStyle w:val="CETReferencetext"/>
        <w:rPr>
          <w:lang w:val="en-US"/>
        </w:rPr>
      </w:pPr>
      <w:proofErr w:type="spellStart"/>
      <w:r w:rsidRPr="002A3895">
        <w:rPr>
          <w:lang w:val="en-US"/>
        </w:rPr>
        <w:t>Demirbas</w:t>
      </w:r>
      <w:proofErr w:type="spellEnd"/>
      <w:r w:rsidRPr="002A3895">
        <w:rPr>
          <w:lang w:val="en-US"/>
        </w:rPr>
        <w:t xml:space="preserve"> A.,</w:t>
      </w:r>
      <w:r w:rsidRPr="002A3895">
        <w:t xml:space="preserve"> 2007, </w:t>
      </w:r>
      <w:r w:rsidRPr="002A3895">
        <w:rPr>
          <w:lang w:val="en-US"/>
        </w:rPr>
        <w:t>The influence of temperature on the yields of compounds existing in bio-oils obtained from biomass samples via pyrolysis, Fuel Processing Technology, 88, 591-597.</w:t>
      </w:r>
    </w:p>
    <w:p w14:paraId="6ADAFBA0" w14:textId="167E06A5" w:rsidR="0045091C" w:rsidRDefault="0045091C" w:rsidP="0045091C">
      <w:pPr>
        <w:pStyle w:val="CETReferencetext"/>
      </w:pPr>
      <w:r w:rsidRPr="0045091C">
        <w:t xml:space="preserve">Guimarães H.R., </w:t>
      </w:r>
      <w:proofErr w:type="spellStart"/>
      <w:r w:rsidRPr="0045091C">
        <w:t>Bressanin</w:t>
      </w:r>
      <w:proofErr w:type="spellEnd"/>
      <w:r w:rsidRPr="0045091C">
        <w:t xml:space="preserve"> J.M., Motta, I.L., Chagas M.F., Bonomi A. Maciel Filho R., Watanabe M.D</w:t>
      </w:r>
      <w:r>
        <w:t xml:space="preserve">.B., 2022, Techno-Economic and Environmental Assessments of Thermochemical Routes Integrated into the Brazilian Sugarcane Industry </w:t>
      </w:r>
      <w:proofErr w:type="gramStart"/>
      <w:r>
        <w:t>for the Production of</w:t>
      </w:r>
      <w:proofErr w:type="gramEnd"/>
      <w:r>
        <w:t xml:space="preserve"> Renewable Jet Fuel, Chemical Engineering Transactions, 92, 115–120.</w:t>
      </w:r>
    </w:p>
    <w:p w14:paraId="72E18890" w14:textId="74F9E9F6" w:rsidR="00485CF9" w:rsidRPr="00485CF9" w:rsidRDefault="00485CF9" w:rsidP="0045091C">
      <w:pPr>
        <w:pStyle w:val="CETReferencetext"/>
      </w:pPr>
      <w:r w:rsidRPr="00485CF9">
        <w:t xml:space="preserve">Kumagai S., </w:t>
      </w:r>
      <w:proofErr w:type="spellStart"/>
      <w:r w:rsidRPr="00485CF9">
        <w:t>Matsukami</w:t>
      </w:r>
      <w:proofErr w:type="spellEnd"/>
      <w:r w:rsidRPr="00485CF9">
        <w:t xml:space="preserve"> A., </w:t>
      </w:r>
      <w:proofErr w:type="spellStart"/>
      <w:r w:rsidRPr="00485CF9">
        <w:t>Kabashima</w:t>
      </w:r>
      <w:proofErr w:type="spellEnd"/>
      <w:r w:rsidRPr="00485CF9">
        <w:t xml:space="preserve"> F., Sakurai M., Kanai M., Kameda T., Saito Y., Y</w:t>
      </w:r>
      <w:r>
        <w:t xml:space="preserve">oshioka T., 2020, </w:t>
      </w:r>
      <w:r w:rsidRPr="00485CF9">
        <w:t>Combining pyrolysis–two-dimensional gas</w:t>
      </w:r>
      <w:r>
        <w:t xml:space="preserve"> </w:t>
      </w:r>
      <w:r w:rsidRPr="00485CF9">
        <w:t>chromatography–time-of-flight mass spectrometry with hierarchical</w:t>
      </w:r>
      <w:r>
        <w:t xml:space="preserve"> </w:t>
      </w:r>
      <w:r w:rsidRPr="00485CF9">
        <w:t>cluster analysis for rapid identification of pyrolytic interactions:</w:t>
      </w:r>
      <w:r>
        <w:t xml:space="preserve"> </w:t>
      </w:r>
      <w:r w:rsidRPr="00485CF9">
        <w:t>Case study of co-pyrolysis of PVC and biomass components</w:t>
      </w:r>
      <w:r>
        <w:t>, Process Safety and Environmental Protection, 143, 91–100.</w:t>
      </w:r>
    </w:p>
    <w:p w14:paraId="44F2419E" w14:textId="77777777" w:rsidR="00AD627E" w:rsidRPr="00F16312" w:rsidRDefault="00AD627E" w:rsidP="00AD627E">
      <w:pPr>
        <w:pStyle w:val="CETReferencetext"/>
      </w:pPr>
      <w:r w:rsidRPr="00F16312">
        <w:t xml:space="preserve">Motta I.L., </w:t>
      </w:r>
      <w:proofErr w:type="spellStart"/>
      <w:r w:rsidRPr="00F16312">
        <w:t>Marchesan</w:t>
      </w:r>
      <w:proofErr w:type="spellEnd"/>
      <w:r w:rsidRPr="00F16312">
        <w:t xml:space="preserve"> A.N., Real Guimarães H., Chagas M.F., Bonomi A., Wolf Maciel M.R., Maciel Filho R., 2023, Fast pyrolysis simulation via kinetic approach and multivariate analysis to assess the effect of biomass properties on product yields, properties, and pyrolyzer performance, Energy Conversion and Management, 296, 117676.</w:t>
      </w:r>
    </w:p>
    <w:p w14:paraId="013312E3" w14:textId="369AC742" w:rsidR="0045091C" w:rsidRPr="0045091C" w:rsidRDefault="0045091C" w:rsidP="0045091C">
      <w:pPr>
        <w:pStyle w:val="CETReferencetext"/>
        <w:rPr>
          <w:lang w:val="en-US"/>
        </w:rPr>
      </w:pPr>
      <w:r w:rsidRPr="0045091C">
        <w:rPr>
          <w:lang w:val="en-US"/>
        </w:rPr>
        <w:t xml:space="preserve">Motta I.L., Miranda N.T., Maciel Filho R., Wolf Maciel M.R., 2018, Sugarcane bagasse gasification: thermodynamic modelling and analysis of operating effects in a steam-oxygen-blown fluidized bed using </w:t>
      </w:r>
      <w:r>
        <w:rPr>
          <w:lang w:val="en-US"/>
        </w:rPr>
        <w:t>A</w:t>
      </w:r>
      <w:r w:rsidRPr="0045091C">
        <w:rPr>
          <w:lang w:val="en-US"/>
        </w:rPr>
        <w:t xml:space="preserve">spen </w:t>
      </w:r>
      <w:proofErr w:type="spellStart"/>
      <w:r>
        <w:rPr>
          <w:lang w:val="en-US"/>
        </w:rPr>
        <w:t>P</w:t>
      </w:r>
      <w:r w:rsidRPr="0045091C">
        <w:rPr>
          <w:lang w:val="en-US"/>
        </w:rPr>
        <w:t>lus</w:t>
      </w:r>
      <w:r w:rsidRPr="0045091C">
        <w:rPr>
          <w:vertAlign w:val="superscript"/>
          <w:lang w:val="en-US"/>
        </w:rPr>
        <w:t>TM</w:t>
      </w:r>
      <w:proofErr w:type="spellEnd"/>
      <w:r>
        <w:rPr>
          <w:lang w:val="en-US"/>
        </w:rPr>
        <w:t>, Chemical Engineering Transactions, 65, 169–174.</w:t>
      </w:r>
    </w:p>
    <w:p w14:paraId="5794EF89" w14:textId="3AC97B4F" w:rsidR="00E271B6" w:rsidRDefault="00E271B6" w:rsidP="00E271B6">
      <w:pPr>
        <w:pStyle w:val="CETReferencetext"/>
        <w:rPr>
          <w:lang w:val="en-US"/>
        </w:rPr>
      </w:pPr>
      <w:proofErr w:type="spellStart"/>
      <w:r w:rsidRPr="00E271B6">
        <w:rPr>
          <w:lang w:val="en-US"/>
        </w:rPr>
        <w:t>Ranzi</w:t>
      </w:r>
      <w:proofErr w:type="spellEnd"/>
      <w:r w:rsidRPr="00E271B6">
        <w:rPr>
          <w:lang w:val="en-US"/>
        </w:rPr>
        <w:t xml:space="preserve"> E., </w:t>
      </w:r>
      <w:proofErr w:type="spellStart"/>
      <w:r w:rsidRPr="00E271B6">
        <w:rPr>
          <w:lang w:val="en-US"/>
        </w:rPr>
        <w:t>Debiagi</w:t>
      </w:r>
      <w:proofErr w:type="spellEnd"/>
      <w:r w:rsidRPr="00E271B6">
        <w:rPr>
          <w:lang w:val="en-US"/>
        </w:rPr>
        <w:t xml:space="preserve"> P.E.A., </w:t>
      </w:r>
      <w:proofErr w:type="spellStart"/>
      <w:r w:rsidRPr="00E271B6">
        <w:rPr>
          <w:lang w:val="en-US"/>
        </w:rPr>
        <w:t>Frassoldati</w:t>
      </w:r>
      <w:proofErr w:type="spellEnd"/>
      <w:r w:rsidRPr="00E271B6">
        <w:rPr>
          <w:lang w:val="en-US"/>
        </w:rPr>
        <w:t xml:space="preserve"> A., 2017, Mathematical Modeling of Fast Biomass Pyrolysis and Bio-Oil Formation. Note I: Kinetic Mechanism of Biomass Pyrolysis, ACS Sustainable </w:t>
      </w:r>
      <w:r>
        <w:rPr>
          <w:lang w:val="en-US"/>
        </w:rPr>
        <w:t>Chemistry &amp; Engineering, 5, 2867–2881.</w:t>
      </w:r>
    </w:p>
    <w:p w14:paraId="0E0EDC68" w14:textId="7BC5A52A" w:rsidR="002C1F19" w:rsidRDefault="002C1F19" w:rsidP="00E271B6">
      <w:pPr>
        <w:pStyle w:val="CETReferencetext"/>
      </w:pPr>
      <w:proofErr w:type="spellStart"/>
      <w:r>
        <w:t>Sharuddin</w:t>
      </w:r>
      <w:proofErr w:type="spellEnd"/>
      <w:r>
        <w:t xml:space="preserve"> S.D.A., </w:t>
      </w:r>
      <w:proofErr w:type="spellStart"/>
      <w:r>
        <w:t>Abnisa</w:t>
      </w:r>
      <w:proofErr w:type="spellEnd"/>
      <w:r>
        <w:t xml:space="preserve"> F., Daud W.M.A.W., </w:t>
      </w:r>
      <w:proofErr w:type="spellStart"/>
      <w:r>
        <w:t>Aroua</w:t>
      </w:r>
      <w:proofErr w:type="spellEnd"/>
      <w:r>
        <w:t xml:space="preserve"> M.K., 2016, A review on pyrolysis of plastic wastes, Energy Conversion and Management, 115, 308–326.</w:t>
      </w:r>
    </w:p>
    <w:p w14:paraId="77051A6C" w14:textId="2F65DBAE" w:rsidR="00BF140B" w:rsidRDefault="00BF140B" w:rsidP="00BF140B">
      <w:pPr>
        <w:pStyle w:val="CETReferencetext"/>
      </w:pPr>
      <w:r>
        <w:t>O</w:t>
      </w:r>
      <w:r w:rsidR="004C5ED3">
        <w:t>EC</w:t>
      </w:r>
      <w:r>
        <w:t xml:space="preserve">D, 2022a, </w:t>
      </w:r>
      <w:r w:rsidRPr="002A3895">
        <w:t>Global Plastics Outlook: Policy Scenarios to 2060</w:t>
      </w:r>
      <w:r>
        <w:t xml:space="preserve"> &lt;</w:t>
      </w:r>
      <w:r w:rsidRPr="002A3895">
        <w:t>https://www.oecd-ilibrary.org/sites/aa1edf33-en/index.html?itemId=/content/publication/aa1edf33-en</w:t>
      </w:r>
      <w:r>
        <w:t>&gt; accessed 12.06.2023.</w:t>
      </w:r>
    </w:p>
    <w:p w14:paraId="19D38916" w14:textId="2E7C82EC" w:rsidR="00BF140B" w:rsidRDefault="00BF140B" w:rsidP="00BF140B">
      <w:pPr>
        <w:pStyle w:val="CETReferencetext"/>
      </w:pPr>
      <w:r>
        <w:t>O</w:t>
      </w:r>
      <w:r w:rsidR="004C5ED3">
        <w:t>EC</w:t>
      </w:r>
      <w:r>
        <w:t>D, 2022b, Innovations on Plastics &lt;</w:t>
      </w:r>
      <w:r w:rsidRPr="00FE07DB">
        <w:t>https://www.oecd-ilibrary.org/docserver/bb1ff6fa-en.pdf?expires=1686601708&amp;id=id&amp;accname=ocid54025470&amp;checksum=6F9D46671C5DA18EF75A04AC18741011</w:t>
      </w:r>
      <w:r>
        <w:t>&gt; accessed 12.06.2023.</w:t>
      </w:r>
    </w:p>
    <w:p w14:paraId="0A58CA5B" w14:textId="5675E749" w:rsidR="00BF140B" w:rsidRDefault="00BF140B" w:rsidP="00E271B6">
      <w:pPr>
        <w:pStyle w:val="CETReferencetext"/>
      </w:pPr>
      <w:r>
        <w:t>Yu D., Hui H., Ding G., Dong N., Li S., 2021, Enhancement of aromatics production from catalytic co-pyrolysis of walnut shell and LDPE via a two-step approach. Journal of Analytical and Applied Pyrolysis, 157, 105216–105224.</w:t>
      </w:r>
    </w:p>
    <w:p w14:paraId="07B63D14" w14:textId="7DA05138" w:rsidR="00E271B6" w:rsidRDefault="00E271B6" w:rsidP="00E271B6">
      <w:pPr>
        <w:pStyle w:val="CETReferencetext"/>
      </w:pPr>
      <w:r w:rsidRPr="00E271B6">
        <w:t>Xie S</w:t>
      </w:r>
      <w:r>
        <w:t>.</w:t>
      </w:r>
      <w:r w:rsidRPr="00E271B6">
        <w:t>, Kumagai S</w:t>
      </w:r>
      <w:r>
        <w:t>.</w:t>
      </w:r>
      <w:r w:rsidRPr="00E271B6">
        <w:t>, Takahashi N</w:t>
      </w:r>
      <w:r>
        <w:t>.</w:t>
      </w:r>
      <w:r w:rsidRPr="00E271B6">
        <w:t>, Kameda T</w:t>
      </w:r>
      <w:r>
        <w:t>.</w:t>
      </w:r>
      <w:r w:rsidRPr="00E271B6">
        <w:t>, Saito Y</w:t>
      </w:r>
      <w:r>
        <w:t>.</w:t>
      </w:r>
      <w:r w:rsidRPr="00E271B6">
        <w:t>, Yoshioka T.</w:t>
      </w:r>
      <w:r>
        <w:t>, 2023,</w:t>
      </w:r>
      <w:r w:rsidRPr="00E271B6">
        <w:t xml:space="preserve"> A novel strategy for rapid identification of pyrolytic synergy and prediction of product yield: Insight into co-pyrolysis of xylan and polyethylene. </w:t>
      </w:r>
      <w:r>
        <w:t xml:space="preserve">Chemical Engineering Journal, </w:t>
      </w:r>
      <w:r w:rsidRPr="00E271B6">
        <w:t>453</w:t>
      </w:r>
      <w:r>
        <w:t xml:space="preserve">, </w:t>
      </w:r>
      <w:r w:rsidRPr="00E271B6">
        <w:t>139958</w:t>
      </w:r>
      <w:r>
        <w:t>–</w:t>
      </w:r>
      <w:r w:rsidRPr="00E271B6">
        <w:t>1399</w:t>
      </w:r>
      <w:r>
        <w:t>69</w:t>
      </w:r>
      <w:r w:rsidRPr="00E271B6">
        <w:t xml:space="preserve">. </w:t>
      </w:r>
    </w:p>
    <w:p w14:paraId="0F5E761E" w14:textId="33AEB91A" w:rsidR="0026622B" w:rsidRPr="0026622B" w:rsidRDefault="0026622B" w:rsidP="0026622B">
      <w:pPr>
        <w:pStyle w:val="CETReferencetext"/>
        <w:rPr>
          <w:lang w:val="en-US"/>
        </w:rPr>
      </w:pPr>
      <w:r w:rsidRPr="0026622B">
        <w:rPr>
          <w:lang w:val="en-US"/>
        </w:rPr>
        <w:t>Zhou L., Zou H., Wang Y. Le Z., Liu Z., Adesina A.A., 2017, Effect of potassium on thermogravimetric behavior and co-pyrolytic</w:t>
      </w:r>
      <w:r>
        <w:rPr>
          <w:lang w:val="en-US"/>
        </w:rPr>
        <w:t xml:space="preserve"> </w:t>
      </w:r>
      <w:r w:rsidRPr="0026622B">
        <w:rPr>
          <w:lang w:val="en-US"/>
        </w:rPr>
        <w:t xml:space="preserve">kinetics of wood biomass and </w:t>
      </w:r>
      <w:proofErr w:type="gramStart"/>
      <w:r w:rsidRPr="0026622B">
        <w:rPr>
          <w:lang w:val="en-US"/>
        </w:rPr>
        <w:t>low density</w:t>
      </w:r>
      <w:proofErr w:type="gramEnd"/>
      <w:r w:rsidRPr="0026622B">
        <w:rPr>
          <w:lang w:val="en-US"/>
        </w:rPr>
        <w:t xml:space="preserve"> polyethylene</w:t>
      </w:r>
      <w:r>
        <w:rPr>
          <w:lang w:val="en-US"/>
        </w:rPr>
        <w:t>, Renewable Energy, 102, 134-141.</w:t>
      </w:r>
    </w:p>
    <w:p w14:paraId="428B022A" w14:textId="77777777" w:rsidR="00E65B91" w:rsidRPr="0026622B" w:rsidRDefault="00E65B91" w:rsidP="00600535">
      <w:pPr>
        <w:pStyle w:val="CETReferencetext"/>
        <w:rPr>
          <w:lang w:val="en-US"/>
        </w:rPr>
      </w:pPr>
    </w:p>
    <w:p w14:paraId="07CFE916" w14:textId="77777777" w:rsidR="006F5BE8" w:rsidRPr="0026622B" w:rsidRDefault="006F5BE8" w:rsidP="006B4888">
      <w:pPr>
        <w:pStyle w:val="CETReferencetext"/>
        <w:rPr>
          <w:lang w:val="en-US"/>
        </w:rPr>
      </w:pPr>
    </w:p>
    <w:p w14:paraId="56923229" w14:textId="77777777" w:rsidR="006F5BE8" w:rsidRPr="0026622B" w:rsidRDefault="006F5BE8" w:rsidP="006B4888">
      <w:pPr>
        <w:pStyle w:val="CETReferencetext"/>
        <w:rPr>
          <w:lang w:val="en-US"/>
        </w:rPr>
      </w:pPr>
    </w:p>
    <w:p w14:paraId="00BA3D4F" w14:textId="77777777" w:rsidR="00C52C3C" w:rsidRPr="0026622B" w:rsidRDefault="00C52C3C" w:rsidP="00E65B91">
      <w:pPr>
        <w:pStyle w:val="CETReferencetext"/>
        <w:rPr>
          <w:lang w:val="en-US"/>
        </w:rPr>
      </w:pPr>
    </w:p>
    <w:p w14:paraId="03CEA04C" w14:textId="77777777" w:rsidR="00C52C3C" w:rsidRPr="0026622B" w:rsidRDefault="00C52C3C" w:rsidP="00E65B91">
      <w:pPr>
        <w:pStyle w:val="CETReferencetext"/>
        <w:rPr>
          <w:lang w:val="en-US"/>
        </w:rPr>
      </w:pPr>
    </w:p>
    <w:p w14:paraId="28E8379D" w14:textId="77777777" w:rsidR="00C52C3C" w:rsidRPr="0026622B" w:rsidRDefault="00C52C3C" w:rsidP="00E65B91">
      <w:pPr>
        <w:pStyle w:val="CETReferencetext"/>
        <w:rPr>
          <w:lang w:val="en-US"/>
        </w:rPr>
      </w:pPr>
    </w:p>
    <w:p w14:paraId="6FAA4342" w14:textId="77777777" w:rsidR="00C52C3C" w:rsidRPr="0026622B" w:rsidRDefault="00C52C3C" w:rsidP="00E65B91">
      <w:pPr>
        <w:pStyle w:val="CETReferencetext"/>
        <w:rPr>
          <w:lang w:val="en-US"/>
        </w:rPr>
      </w:pPr>
    </w:p>
    <w:p w14:paraId="5A13856B" w14:textId="77777777" w:rsidR="006B4888" w:rsidRPr="0026622B" w:rsidRDefault="006B4888" w:rsidP="006B4888">
      <w:pPr>
        <w:pStyle w:val="CETReferencetext"/>
        <w:rPr>
          <w:lang w:val="en-US"/>
        </w:rPr>
      </w:pPr>
    </w:p>
    <w:p w14:paraId="19C4FC68" w14:textId="77777777" w:rsidR="004628D2" w:rsidRPr="0026622B" w:rsidRDefault="004628D2" w:rsidP="00FA5F5F">
      <w:pPr>
        <w:pStyle w:val="CETHeading1"/>
        <w:numPr>
          <w:ilvl w:val="0"/>
          <w:numId w:val="0"/>
        </w:numPr>
      </w:pPr>
    </w:p>
    <w:sectPr w:rsidR="004628D2" w:rsidRPr="0026622B" w:rsidSect="008A444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B7BDE" w14:textId="77777777" w:rsidR="008A444E" w:rsidRDefault="008A444E" w:rsidP="004F5E36">
      <w:r>
        <w:separator/>
      </w:r>
    </w:p>
  </w:endnote>
  <w:endnote w:type="continuationSeparator" w:id="0">
    <w:p w14:paraId="38B4560C" w14:textId="77777777" w:rsidR="008A444E" w:rsidRDefault="008A444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55C0F" w14:textId="77777777" w:rsidR="008A444E" w:rsidRDefault="008A444E" w:rsidP="004F5E36">
      <w:r>
        <w:separator/>
      </w:r>
    </w:p>
  </w:footnote>
  <w:footnote w:type="continuationSeparator" w:id="0">
    <w:p w14:paraId="40655474" w14:textId="77777777" w:rsidR="008A444E" w:rsidRDefault="008A444E"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6DE159D"/>
    <w:multiLevelType w:val="hybridMultilevel"/>
    <w:tmpl w:val="DB389930"/>
    <w:lvl w:ilvl="0" w:tplc="53CAD0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2"/>
  </w:num>
  <w:num w:numId="14" w16cid:durableId="145903400">
    <w:abstractNumId w:val="19"/>
  </w:num>
  <w:num w:numId="15" w16cid:durableId="19162326">
    <w:abstractNumId w:val="21"/>
  </w:num>
  <w:num w:numId="16" w16cid:durableId="1977102699">
    <w:abstractNumId w:val="20"/>
  </w:num>
  <w:num w:numId="17" w16cid:durableId="860774865">
    <w:abstractNumId w:val="11"/>
  </w:num>
  <w:num w:numId="18" w16cid:durableId="313221457">
    <w:abstractNumId w:val="12"/>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12912047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MqkFADcUz/otAAAA"/>
  </w:docVars>
  <w:rsids>
    <w:rsidRoot w:val="000E414A"/>
    <w:rsid w:val="000027C0"/>
    <w:rsid w:val="000052FB"/>
    <w:rsid w:val="00005A19"/>
    <w:rsid w:val="000117CB"/>
    <w:rsid w:val="00021A46"/>
    <w:rsid w:val="000264F7"/>
    <w:rsid w:val="0003148D"/>
    <w:rsid w:val="00031EEC"/>
    <w:rsid w:val="00051566"/>
    <w:rsid w:val="00054288"/>
    <w:rsid w:val="000562A9"/>
    <w:rsid w:val="00062A9A"/>
    <w:rsid w:val="00064B0C"/>
    <w:rsid w:val="00065058"/>
    <w:rsid w:val="000700DC"/>
    <w:rsid w:val="00086C39"/>
    <w:rsid w:val="000970F4"/>
    <w:rsid w:val="000A03B2"/>
    <w:rsid w:val="000D0268"/>
    <w:rsid w:val="000D34BE"/>
    <w:rsid w:val="000D7D51"/>
    <w:rsid w:val="000E102F"/>
    <w:rsid w:val="000E36F1"/>
    <w:rsid w:val="000E3A73"/>
    <w:rsid w:val="000E414A"/>
    <w:rsid w:val="000F093C"/>
    <w:rsid w:val="000F787B"/>
    <w:rsid w:val="0011123F"/>
    <w:rsid w:val="0012091F"/>
    <w:rsid w:val="00126BC2"/>
    <w:rsid w:val="001278AA"/>
    <w:rsid w:val="001308B6"/>
    <w:rsid w:val="0013121F"/>
    <w:rsid w:val="00131FE6"/>
    <w:rsid w:val="0013263F"/>
    <w:rsid w:val="001331DF"/>
    <w:rsid w:val="00134DE4"/>
    <w:rsid w:val="0014034D"/>
    <w:rsid w:val="00144D16"/>
    <w:rsid w:val="00150E59"/>
    <w:rsid w:val="00152DE3"/>
    <w:rsid w:val="00164CF9"/>
    <w:rsid w:val="001667A6"/>
    <w:rsid w:val="00184AD6"/>
    <w:rsid w:val="001A0011"/>
    <w:rsid w:val="001A1153"/>
    <w:rsid w:val="001A28CB"/>
    <w:rsid w:val="001A4AF7"/>
    <w:rsid w:val="001B0349"/>
    <w:rsid w:val="001B1E93"/>
    <w:rsid w:val="001B65C1"/>
    <w:rsid w:val="001B6B37"/>
    <w:rsid w:val="001C684B"/>
    <w:rsid w:val="001D0CFB"/>
    <w:rsid w:val="001D21AF"/>
    <w:rsid w:val="001D53FC"/>
    <w:rsid w:val="001F32F1"/>
    <w:rsid w:val="001F35FC"/>
    <w:rsid w:val="001F42A5"/>
    <w:rsid w:val="001F460B"/>
    <w:rsid w:val="001F7B9D"/>
    <w:rsid w:val="00201C93"/>
    <w:rsid w:val="00214F68"/>
    <w:rsid w:val="002224B4"/>
    <w:rsid w:val="00237644"/>
    <w:rsid w:val="00241814"/>
    <w:rsid w:val="002447EF"/>
    <w:rsid w:val="00251550"/>
    <w:rsid w:val="00251C97"/>
    <w:rsid w:val="00263B05"/>
    <w:rsid w:val="0026622B"/>
    <w:rsid w:val="0027221A"/>
    <w:rsid w:val="0027313F"/>
    <w:rsid w:val="00275B61"/>
    <w:rsid w:val="00280FAF"/>
    <w:rsid w:val="00282656"/>
    <w:rsid w:val="0028738B"/>
    <w:rsid w:val="00295BD0"/>
    <w:rsid w:val="00296B83"/>
    <w:rsid w:val="00297E75"/>
    <w:rsid w:val="002A05AE"/>
    <w:rsid w:val="002A3895"/>
    <w:rsid w:val="002A754B"/>
    <w:rsid w:val="002B0F6A"/>
    <w:rsid w:val="002B123D"/>
    <w:rsid w:val="002B4015"/>
    <w:rsid w:val="002B78CE"/>
    <w:rsid w:val="002C0ED8"/>
    <w:rsid w:val="002C1F19"/>
    <w:rsid w:val="002C2FB6"/>
    <w:rsid w:val="002C5CBE"/>
    <w:rsid w:val="002E5FA7"/>
    <w:rsid w:val="002F3309"/>
    <w:rsid w:val="003008CE"/>
    <w:rsid w:val="003009B7"/>
    <w:rsid w:val="00300E56"/>
    <w:rsid w:val="0030152C"/>
    <w:rsid w:val="0030469C"/>
    <w:rsid w:val="00307865"/>
    <w:rsid w:val="00313590"/>
    <w:rsid w:val="00316831"/>
    <w:rsid w:val="00321CA6"/>
    <w:rsid w:val="00323763"/>
    <w:rsid w:val="00323C5F"/>
    <w:rsid w:val="00325CFA"/>
    <w:rsid w:val="00334C09"/>
    <w:rsid w:val="003723D4"/>
    <w:rsid w:val="00381905"/>
    <w:rsid w:val="00384CC8"/>
    <w:rsid w:val="003871FD"/>
    <w:rsid w:val="003A1E30"/>
    <w:rsid w:val="003A2829"/>
    <w:rsid w:val="003A7D1C"/>
    <w:rsid w:val="003B304B"/>
    <w:rsid w:val="003B3146"/>
    <w:rsid w:val="003B31F9"/>
    <w:rsid w:val="003D0F1C"/>
    <w:rsid w:val="003D6591"/>
    <w:rsid w:val="003F015E"/>
    <w:rsid w:val="00400414"/>
    <w:rsid w:val="0041446B"/>
    <w:rsid w:val="0044071E"/>
    <w:rsid w:val="0044329C"/>
    <w:rsid w:val="0045091C"/>
    <w:rsid w:val="00453E24"/>
    <w:rsid w:val="00457456"/>
    <w:rsid w:val="004577FE"/>
    <w:rsid w:val="00457B9C"/>
    <w:rsid w:val="0046164A"/>
    <w:rsid w:val="004628D2"/>
    <w:rsid w:val="00462DCD"/>
    <w:rsid w:val="004648AD"/>
    <w:rsid w:val="004703A9"/>
    <w:rsid w:val="00471939"/>
    <w:rsid w:val="004760DE"/>
    <w:rsid w:val="004763D7"/>
    <w:rsid w:val="0048041D"/>
    <w:rsid w:val="00485CF9"/>
    <w:rsid w:val="004A004E"/>
    <w:rsid w:val="004A1F79"/>
    <w:rsid w:val="004A24CF"/>
    <w:rsid w:val="004C3D1D"/>
    <w:rsid w:val="004C3D84"/>
    <w:rsid w:val="004C5ED3"/>
    <w:rsid w:val="004C7913"/>
    <w:rsid w:val="004E4DD6"/>
    <w:rsid w:val="004E6815"/>
    <w:rsid w:val="004F5E36"/>
    <w:rsid w:val="00507B47"/>
    <w:rsid w:val="00507BEF"/>
    <w:rsid w:val="00507CC9"/>
    <w:rsid w:val="00510FBA"/>
    <w:rsid w:val="005119A5"/>
    <w:rsid w:val="005149C5"/>
    <w:rsid w:val="005222F0"/>
    <w:rsid w:val="005278B7"/>
    <w:rsid w:val="00532016"/>
    <w:rsid w:val="005346C8"/>
    <w:rsid w:val="00543E7D"/>
    <w:rsid w:val="00547782"/>
    <w:rsid w:val="00547A68"/>
    <w:rsid w:val="005531C9"/>
    <w:rsid w:val="00556F2B"/>
    <w:rsid w:val="00557E00"/>
    <w:rsid w:val="005708E7"/>
    <w:rsid w:val="00570C43"/>
    <w:rsid w:val="00571C9F"/>
    <w:rsid w:val="005A5C46"/>
    <w:rsid w:val="005B2110"/>
    <w:rsid w:val="005B61E6"/>
    <w:rsid w:val="005C107B"/>
    <w:rsid w:val="005C77E1"/>
    <w:rsid w:val="005D668A"/>
    <w:rsid w:val="005D6A2F"/>
    <w:rsid w:val="005E1A82"/>
    <w:rsid w:val="005E794C"/>
    <w:rsid w:val="005F0A28"/>
    <w:rsid w:val="005F0E5E"/>
    <w:rsid w:val="005F403F"/>
    <w:rsid w:val="00600535"/>
    <w:rsid w:val="00610CD6"/>
    <w:rsid w:val="00620DEE"/>
    <w:rsid w:val="00621F92"/>
    <w:rsid w:val="0062280A"/>
    <w:rsid w:val="00625639"/>
    <w:rsid w:val="00631B33"/>
    <w:rsid w:val="0063666D"/>
    <w:rsid w:val="00637DFC"/>
    <w:rsid w:val="0064184D"/>
    <w:rsid w:val="006422CC"/>
    <w:rsid w:val="00660E3E"/>
    <w:rsid w:val="00662E74"/>
    <w:rsid w:val="00667BF4"/>
    <w:rsid w:val="00680C23"/>
    <w:rsid w:val="00693766"/>
    <w:rsid w:val="006A3281"/>
    <w:rsid w:val="006B31A0"/>
    <w:rsid w:val="006B4888"/>
    <w:rsid w:val="006C2E45"/>
    <w:rsid w:val="006C359C"/>
    <w:rsid w:val="006C5579"/>
    <w:rsid w:val="006D6E8B"/>
    <w:rsid w:val="006E0623"/>
    <w:rsid w:val="006E737D"/>
    <w:rsid w:val="006F5BE8"/>
    <w:rsid w:val="00707DD1"/>
    <w:rsid w:val="00713973"/>
    <w:rsid w:val="00720A24"/>
    <w:rsid w:val="007314B0"/>
    <w:rsid w:val="00731D17"/>
    <w:rsid w:val="00732386"/>
    <w:rsid w:val="0073514D"/>
    <w:rsid w:val="00742328"/>
    <w:rsid w:val="007447F3"/>
    <w:rsid w:val="00752661"/>
    <w:rsid w:val="0075499F"/>
    <w:rsid w:val="007661C8"/>
    <w:rsid w:val="00766266"/>
    <w:rsid w:val="0077098D"/>
    <w:rsid w:val="00776E2F"/>
    <w:rsid w:val="007913E6"/>
    <w:rsid w:val="007931FA"/>
    <w:rsid w:val="007A4861"/>
    <w:rsid w:val="007A7BBA"/>
    <w:rsid w:val="007B0C50"/>
    <w:rsid w:val="007B48F9"/>
    <w:rsid w:val="007C1A43"/>
    <w:rsid w:val="007D0951"/>
    <w:rsid w:val="007D50C9"/>
    <w:rsid w:val="007D6317"/>
    <w:rsid w:val="0080013E"/>
    <w:rsid w:val="00800EEA"/>
    <w:rsid w:val="00811309"/>
    <w:rsid w:val="00813288"/>
    <w:rsid w:val="008168FC"/>
    <w:rsid w:val="00830996"/>
    <w:rsid w:val="008345F1"/>
    <w:rsid w:val="008612AE"/>
    <w:rsid w:val="00865B07"/>
    <w:rsid w:val="008667EA"/>
    <w:rsid w:val="00867227"/>
    <w:rsid w:val="0087637F"/>
    <w:rsid w:val="00892494"/>
    <w:rsid w:val="00892AD5"/>
    <w:rsid w:val="00894F96"/>
    <w:rsid w:val="008A1512"/>
    <w:rsid w:val="008A444E"/>
    <w:rsid w:val="008B1DF6"/>
    <w:rsid w:val="008D32B9"/>
    <w:rsid w:val="008D433B"/>
    <w:rsid w:val="008D4A16"/>
    <w:rsid w:val="008D79B6"/>
    <w:rsid w:val="008E566E"/>
    <w:rsid w:val="0090161A"/>
    <w:rsid w:val="00901EB6"/>
    <w:rsid w:val="00904C62"/>
    <w:rsid w:val="0090643D"/>
    <w:rsid w:val="00922BA8"/>
    <w:rsid w:val="00924DAC"/>
    <w:rsid w:val="00927058"/>
    <w:rsid w:val="00942750"/>
    <w:rsid w:val="009450CE"/>
    <w:rsid w:val="009459BB"/>
    <w:rsid w:val="00947179"/>
    <w:rsid w:val="0095164B"/>
    <w:rsid w:val="00954090"/>
    <w:rsid w:val="009573E7"/>
    <w:rsid w:val="00963E05"/>
    <w:rsid w:val="00964A45"/>
    <w:rsid w:val="00967843"/>
    <w:rsid w:val="00967D54"/>
    <w:rsid w:val="00971028"/>
    <w:rsid w:val="00993B84"/>
    <w:rsid w:val="00996483"/>
    <w:rsid w:val="00996F5A"/>
    <w:rsid w:val="009B041A"/>
    <w:rsid w:val="009B42ED"/>
    <w:rsid w:val="009C0EF6"/>
    <w:rsid w:val="009C37C3"/>
    <w:rsid w:val="009C3D54"/>
    <w:rsid w:val="009C7C86"/>
    <w:rsid w:val="009D2FF7"/>
    <w:rsid w:val="009E7884"/>
    <w:rsid w:val="009E788A"/>
    <w:rsid w:val="009F0E08"/>
    <w:rsid w:val="00A1763D"/>
    <w:rsid w:val="00A17CEC"/>
    <w:rsid w:val="00A2723A"/>
    <w:rsid w:val="00A27EF0"/>
    <w:rsid w:val="00A42361"/>
    <w:rsid w:val="00A44B60"/>
    <w:rsid w:val="00A50B20"/>
    <w:rsid w:val="00A51390"/>
    <w:rsid w:val="00A51FDD"/>
    <w:rsid w:val="00A60D13"/>
    <w:rsid w:val="00A7223D"/>
    <w:rsid w:val="00A72745"/>
    <w:rsid w:val="00A76EFC"/>
    <w:rsid w:val="00A859E8"/>
    <w:rsid w:val="00A87D50"/>
    <w:rsid w:val="00A87F60"/>
    <w:rsid w:val="00A91010"/>
    <w:rsid w:val="00A97F29"/>
    <w:rsid w:val="00AA702E"/>
    <w:rsid w:val="00AA7D26"/>
    <w:rsid w:val="00AA7F75"/>
    <w:rsid w:val="00AB0964"/>
    <w:rsid w:val="00AB5011"/>
    <w:rsid w:val="00AB70AC"/>
    <w:rsid w:val="00AC5ED1"/>
    <w:rsid w:val="00AC7368"/>
    <w:rsid w:val="00AD16B9"/>
    <w:rsid w:val="00AD57A3"/>
    <w:rsid w:val="00AD627E"/>
    <w:rsid w:val="00AE377D"/>
    <w:rsid w:val="00AF0EBA"/>
    <w:rsid w:val="00B02C8A"/>
    <w:rsid w:val="00B17FBD"/>
    <w:rsid w:val="00B315A6"/>
    <w:rsid w:val="00B31813"/>
    <w:rsid w:val="00B33365"/>
    <w:rsid w:val="00B33F71"/>
    <w:rsid w:val="00B41EC3"/>
    <w:rsid w:val="00B57B36"/>
    <w:rsid w:val="00B57E6F"/>
    <w:rsid w:val="00B8666F"/>
    <w:rsid w:val="00B8686D"/>
    <w:rsid w:val="00B93F69"/>
    <w:rsid w:val="00BA56A7"/>
    <w:rsid w:val="00BB1DDC"/>
    <w:rsid w:val="00BC30C9"/>
    <w:rsid w:val="00BD077D"/>
    <w:rsid w:val="00BD6593"/>
    <w:rsid w:val="00BE22A5"/>
    <w:rsid w:val="00BE3E58"/>
    <w:rsid w:val="00BF140B"/>
    <w:rsid w:val="00C01616"/>
    <w:rsid w:val="00C0162B"/>
    <w:rsid w:val="00C068ED"/>
    <w:rsid w:val="00C10B90"/>
    <w:rsid w:val="00C2198B"/>
    <w:rsid w:val="00C22E0C"/>
    <w:rsid w:val="00C345B1"/>
    <w:rsid w:val="00C40142"/>
    <w:rsid w:val="00C472BF"/>
    <w:rsid w:val="00C52C3C"/>
    <w:rsid w:val="00C57182"/>
    <w:rsid w:val="00C57863"/>
    <w:rsid w:val="00C62C4E"/>
    <w:rsid w:val="00C640AF"/>
    <w:rsid w:val="00C655FD"/>
    <w:rsid w:val="00C729A5"/>
    <w:rsid w:val="00C75407"/>
    <w:rsid w:val="00C7543A"/>
    <w:rsid w:val="00C841C6"/>
    <w:rsid w:val="00C870A8"/>
    <w:rsid w:val="00C87D67"/>
    <w:rsid w:val="00C94434"/>
    <w:rsid w:val="00C95DD2"/>
    <w:rsid w:val="00CA0D75"/>
    <w:rsid w:val="00CA1C95"/>
    <w:rsid w:val="00CA5A9C"/>
    <w:rsid w:val="00CC2C1E"/>
    <w:rsid w:val="00CC4C20"/>
    <w:rsid w:val="00CC5883"/>
    <w:rsid w:val="00CD3517"/>
    <w:rsid w:val="00CD5FE2"/>
    <w:rsid w:val="00CE62BA"/>
    <w:rsid w:val="00CE7C68"/>
    <w:rsid w:val="00D02B4C"/>
    <w:rsid w:val="00D040C4"/>
    <w:rsid w:val="00D20AD1"/>
    <w:rsid w:val="00D229AC"/>
    <w:rsid w:val="00D2582C"/>
    <w:rsid w:val="00D46B7E"/>
    <w:rsid w:val="00D57C84"/>
    <w:rsid w:val="00D6057D"/>
    <w:rsid w:val="00D71640"/>
    <w:rsid w:val="00D836C5"/>
    <w:rsid w:val="00D84576"/>
    <w:rsid w:val="00D84CD4"/>
    <w:rsid w:val="00DA1399"/>
    <w:rsid w:val="00DA24C6"/>
    <w:rsid w:val="00DA4D7B"/>
    <w:rsid w:val="00DC70CB"/>
    <w:rsid w:val="00DD271C"/>
    <w:rsid w:val="00DE264A"/>
    <w:rsid w:val="00DF3944"/>
    <w:rsid w:val="00DF5072"/>
    <w:rsid w:val="00E02D18"/>
    <w:rsid w:val="00E03E92"/>
    <w:rsid w:val="00E041E7"/>
    <w:rsid w:val="00E06C72"/>
    <w:rsid w:val="00E22572"/>
    <w:rsid w:val="00E23CA1"/>
    <w:rsid w:val="00E271B6"/>
    <w:rsid w:val="00E409A8"/>
    <w:rsid w:val="00E50C12"/>
    <w:rsid w:val="00E61A62"/>
    <w:rsid w:val="00E65B91"/>
    <w:rsid w:val="00E7209D"/>
    <w:rsid w:val="00E72EAD"/>
    <w:rsid w:val="00E73B50"/>
    <w:rsid w:val="00E77223"/>
    <w:rsid w:val="00E8528B"/>
    <w:rsid w:val="00E85B94"/>
    <w:rsid w:val="00E85F77"/>
    <w:rsid w:val="00E86EE8"/>
    <w:rsid w:val="00E978D0"/>
    <w:rsid w:val="00EA4613"/>
    <w:rsid w:val="00EA7F91"/>
    <w:rsid w:val="00EB1523"/>
    <w:rsid w:val="00EC0E49"/>
    <w:rsid w:val="00EC101F"/>
    <w:rsid w:val="00EC1D9F"/>
    <w:rsid w:val="00EE0131"/>
    <w:rsid w:val="00EE17B0"/>
    <w:rsid w:val="00EE2B50"/>
    <w:rsid w:val="00EE696B"/>
    <w:rsid w:val="00EF06D9"/>
    <w:rsid w:val="00F3049E"/>
    <w:rsid w:val="00F30C64"/>
    <w:rsid w:val="00F32BA2"/>
    <w:rsid w:val="00F32CDB"/>
    <w:rsid w:val="00F565FE"/>
    <w:rsid w:val="00F57C44"/>
    <w:rsid w:val="00F63A70"/>
    <w:rsid w:val="00F63D8C"/>
    <w:rsid w:val="00F7534E"/>
    <w:rsid w:val="00F760F0"/>
    <w:rsid w:val="00F84548"/>
    <w:rsid w:val="00F8580E"/>
    <w:rsid w:val="00F93EDF"/>
    <w:rsid w:val="00FA1802"/>
    <w:rsid w:val="00FA21D0"/>
    <w:rsid w:val="00FA5F5F"/>
    <w:rsid w:val="00FB730C"/>
    <w:rsid w:val="00FC2695"/>
    <w:rsid w:val="00FC3E03"/>
    <w:rsid w:val="00FC3FC1"/>
    <w:rsid w:val="00FD43F0"/>
    <w:rsid w:val="00FD4528"/>
    <w:rsid w:val="00FE07DB"/>
    <w:rsid w:val="00FE293D"/>
    <w:rsid w:val="00FE6A0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grafodaLista">
    <w:name w:val="List Paragraph"/>
    <w:basedOn w:val="Normal"/>
    <w:uiPriority w:val="34"/>
    <w:rsid w:val="00280FAF"/>
    <w:pPr>
      <w:ind w:left="720"/>
      <w:contextualSpacing/>
    </w:pPr>
  </w:style>
  <w:style w:type="character" w:customStyle="1" w:styleId="gmail-apple-converted-space">
    <w:name w:val="gmail-apple-converted-space"/>
    <w:basedOn w:val="Fontepargpadro"/>
    <w:rsid w:val="00005A19"/>
  </w:style>
  <w:style w:type="character" w:styleId="MenoPendente">
    <w:name w:val="Unresolved Mention"/>
    <w:basedOn w:val="Fontepargpadro"/>
    <w:uiPriority w:val="99"/>
    <w:semiHidden/>
    <w:unhideWhenUsed/>
    <w:rsid w:val="00E271B6"/>
    <w:rPr>
      <w:color w:val="605E5C"/>
      <w:shd w:val="clear" w:color="auto" w:fill="E1DFDD"/>
    </w:rPr>
  </w:style>
  <w:style w:type="character" w:styleId="TextodoEspaoReservado">
    <w:name w:val="Placeholder Text"/>
    <w:basedOn w:val="Fontepargpadro"/>
    <w:uiPriority w:val="99"/>
    <w:semiHidden/>
    <w:rsid w:val="00B8666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42641">
      <w:bodyDiv w:val="1"/>
      <w:marLeft w:val="0"/>
      <w:marRight w:val="0"/>
      <w:marTop w:val="0"/>
      <w:marBottom w:val="0"/>
      <w:divBdr>
        <w:top w:val="none" w:sz="0" w:space="0" w:color="auto"/>
        <w:left w:val="none" w:sz="0" w:space="0" w:color="auto"/>
        <w:bottom w:val="none" w:sz="0" w:space="0" w:color="auto"/>
        <w:right w:val="none" w:sz="0" w:space="0" w:color="auto"/>
      </w:divBdr>
    </w:div>
    <w:div w:id="1914199298">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sv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svg"/><Relationship Id="rId20" Type="http://schemas.openxmlformats.org/officeDocument/2006/relationships/image" Target="media/image13.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svg"/><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3162</Words>
  <Characters>18028</Characters>
  <Application>Microsoft Office Word</Application>
  <DocSecurity>0</DocSecurity>
  <Lines>150</Lines>
  <Paragraphs>42</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Ingrid</cp:lastModifiedBy>
  <cp:revision>4</cp:revision>
  <cp:lastPrinted>2015-05-12T18:31:00Z</cp:lastPrinted>
  <dcterms:created xsi:type="dcterms:W3CDTF">2024-02-15T14:34:00Z</dcterms:created>
  <dcterms:modified xsi:type="dcterms:W3CDTF">2024-02-15T14:41:00Z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http://www.zotero.org/styles/biomass-and-bioenergy</vt:lpwstr>
  </property>
  <property fmtid="{D5CDD505-2E9C-101B-9397-08002B2CF9AE}" pid="5" name="Mendeley Recent Style Name 0_1">
    <vt:lpwstr>Biomass and Bioenergy</vt:lpwstr>
  </property>
  <property fmtid="{D5CDD505-2E9C-101B-9397-08002B2CF9AE}" pid="6" name="Mendeley Recent Style Id 1_1">
    <vt:lpwstr>http://www.zotero.org/styles/brazilian-journal-of-science-and-technology</vt:lpwstr>
  </property>
  <property fmtid="{D5CDD505-2E9C-101B-9397-08002B2CF9AE}" pid="7" name="Mendeley Recent Style Name 1_1">
    <vt:lpwstr>Brazilian Journal of Science and Technology</vt:lpwstr>
  </property>
  <property fmtid="{D5CDD505-2E9C-101B-9397-08002B2CF9AE}" pid="8" name="Mendeley Recent Style Id 2_1">
    <vt:lpwstr>http://www.zotero.org/styles/energy-conversion-and-management</vt:lpwstr>
  </property>
  <property fmtid="{D5CDD505-2E9C-101B-9397-08002B2CF9AE}" pid="9" name="Mendeley Recent Style Name 2_1">
    <vt:lpwstr>Energy Conversion and Management</vt:lpwstr>
  </property>
  <property fmtid="{D5CDD505-2E9C-101B-9397-08002B2CF9AE}" pid="10" name="Mendeley Recent Style Id 3_1">
    <vt:lpwstr>http://www.zotero.org/styles/associacao-brasileira-de-normas-tecnicas-eceme</vt:lpwstr>
  </property>
  <property fmtid="{D5CDD505-2E9C-101B-9397-08002B2CF9AE}" pid="11" name="Mendeley Recent Style Name 3_1">
    <vt:lpwstr>Escola de Comando e Estado-Maior do Exército - ABNT (Portuguese - Brazil)</vt:lpwstr>
  </property>
  <property fmtid="{D5CDD505-2E9C-101B-9397-08002B2CF9AE}" pid="12" name="Mendeley Recent Style Id 4_1">
    <vt:lpwstr>http://www.zotero.org/styles/industrial-crops-and-products</vt:lpwstr>
  </property>
  <property fmtid="{D5CDD505-2E9C-101B-9397-08002B2CF9AE}" pid="13" name="Mendeley Recent Style Name 4_1">
    <vt:lpwstr>Industrial Crops &amp; Products</vt:lpwstr>
  </property>
  <property fmtid="{D5CDD505-2E9C-101B-9397-08002B2CF9AE}" pid="14" name="Mendeley Recent Style Id 5_1">
    <vt:lpwstr>http://www.zotero.org/styles/renewable-and-sustainable-energy-reviews</vt:lpwstr>
  </property>
  <property fmtid="{D5CDD505-2E9C-101B-9397-08002B2CF9AE}" pid="15" name="Mendeley Recent Style Name 5_1">
    <vt:lpwstr>Renewable and Sustainable Energy Reviews</vt:lpwstr>
  </property>
  <property fmtid="{D5CDD505-2E9C-101B-9397-08002B2CF9AE}" pid="16" name="Mendeley Recent Style Id 6_1">
    <vt:lpwstr>http://www.zotero.org/styles/associacao-brasileira-de-normas-tecnicas-ufmg-face-full</vt:lpwstr>
  </property>
  <property fmtid="{D5CDD505-2E9C-101B-9397-08002B2CF9AE}" pid="17" name="Mendeley Recent Style Name 6_1">
    <vt:lpwstr>Universidade Federal de Minas Gerais - Faculdade de Ciências Econômicas - ABNT (autoria completa) (Portuguese - Brazil)</vt:lpwstr>
  </property>
  <property fmtid="{D5CDD505-2E9C-101B-9397-08002B2CF9AE}" pid="18" name="Mendeley Recent Style Id 7_1">
    <vt:lpwstr>http://www.zotero.org/styles/universidade-federal-do-espirito-santo-abnt-initials</vt:lpwstr>
  </property>
  <property fmtid="{D5CDD505-2E9C-101B-9397-08002B2CF9AE}" pid="19" name="Mendeley Recent Style Name 7_1">
    <vt:lpwstr>Universidade Federal do Espírito Santo - ABNT (autoria abreviada) (Portuguese - Brazil)</vt:lpwstr>
  </property>
  <property fmtid="{D5CDD505-2E9C-101B-9397-08002B2CF9AE}" pid="20" name="Mendeley Recent Style Id 8_1">
    <vt:lpwstr>http://www.zotero.org/styles/associacao-brasileira-de-normas-tecnicas-ufpr</vt:lpwstr>
  </property>
  <property fmtid="{D5CDD505-2E9C-101B-9397-08002B2CF9AE}" pid="21" name="Mendeley Recent Style Name 8_1">
    <vt:lpwstr>Universidade Federal do Paraná - ABNT (Portuguese - Brazil)</vt:lpwstr>
  </property>
  <property fmtid="{D5CDD505-2E9C-101B-9397-08002B2CF9AE}" pid="22" name="Mendeley Recent Style Id 9_1">
    <vt:lpwstr>http://www.zotero.org/styles/associacao-brasileira-de-normas-tecnicas-ufrgs</vt:lpwstr>
  </property>
  <property fmtid="{D5CDD505-2E9C-101B-9397-08002B2CF9AE}" pid="23" name="Mendeley Recent Style Name 9_1">
    <vt:lpwstr>Universidade Federal do Rio Grande do Sul - ABNT (autoria completa) (Português - Brasil)</vt:lpwstr>
  </property>
</Properties>
</file>