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15DAE12D"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843EAC">
              <w:rPr>
                <w:rFonts w:cs="Arial"/>
                <w:b/>
                <w:bCs/>
                <w:i/>
                <w:iCs/>
                <w:color w:val="000066"/>
                <w:sz w:val="22"/>
                <w:szCs w:val="22"/>
                <w:lang w:eastAsia="it-IT"/>
              </w:rPr>
              <w:t xml:space="preserve">    </w:t>
            </w:r>
            <w:r w:rsidR="004761E9">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DB3233">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475D992A" w:rsidR="00AA7D26" w:rsidRPr="006A23E9" w:rsidRDefault="00AA7D26" w:rsidP="00AA7D26">
            <w:pPr>
              <w:ind w:left="-107"/>
              <w:outlineLvl w:val="2"/>
              <w:rPr>
                <w:rFonts w:ascii="Tahoma" w:hAnsi="Tahoma" w:cs="Tahoma"/>
                <w:bCs/>
                <w:color w:val="000000"/>
                <w:sz w:val="14"/>
                <w:szCs w:val="14"/>
                <w:lang w:eastAsia="it-IT"/>
              </w:rPr>
            </w:pPr>
            <w:r w:rsidRPr="006A23E9">
              <w:rPr>
                <w:rFonts w:ascii="Tahoma" w:hAnsi="Tahoma" w:cs="Tahoma"/>
                <w:iCs/>
                <w:color w:val="333333"/>
                <w:sz w:val="14"/>
                <w:szCs w:val="14"/>
                <w:lang w:eastAsia="it-IT"/>
              </w:rPr>
              <w:t>Guest Editors:</w:t>
            </w:r>
            <w:r w:rsidRPr="006A23E9">
              <w:rPr>
                <w:rFonts w:ascii="Tahoma" w:hAnsi="Tahoma" w:cs="Tahoma"/>
                <w:color w:val="000000"/>
                <w:sz w:val="14"/>
                <w:szCs w:val="14"/>
                <w:shd w:val="clear" w:color="auto" w:fill="FFFFFF"/>
              </w:rPr>
              <w:t xml:space="preserve"> </w:t>
            </w:r>
            <w:r w:rsidR="006A23E9" w:rsidRPr="00946B70">
              <w:rPr>
                <w:rFonts w:ascii="Tahoma" w:hAnsi="Tahoma" w:cs="Tahoma"/>
                <w:color w:val="000000"/>
                <w:sz w:val="14"/>
                <w:szCs w:val="14"/>
                <w:shd w:val="clear" w:color="auto" w:fill="FFFFFF"/>
              </w:rPr>
              <w:t xml:space="preserve">Leonardo </w:t>
            </w:r>
            <w:proofErr w:type="spellStart"/>
            <w:r w:rsidR="006A23E9" w:rsidRPr="00946B70">
              <w:rPr>
                <w:rFonts w:ascii="Tahoma" w:hAnsi="Tahoma" w:cs="Tahoma"/>
                <w:color w:val="000000"/>
                <w:sz w:val="14"/>
                <w:szCs w:val="14"/>
                <w:shd w:val="clear" w:color="auto" w:fill="FFFFFF"/>
              </w:rPr>
              <w:t>Tognotti</w:t>
            </w:r>
            <w:proofErr w:type="spellEnd"/>
            <w:r w:rsidR="006A23E9" w:rsidRPr="00946B70">
              <w:rPr>
                <w:rFonts w:ascii="Tahoma" w:hAnsi="Tahoma" w:cs="Tahoma"/>
                <w:color w:val="000000"/>
                <w:sz w:val="14"/>
                <w:szCs w:val="14"/>
                <w:shd w:val="clear" w:color="auto" w:fill="FFFFFF"/>
              </w:rPr>
              <w:t xml:space="preserve">, </w:t>
            </w:r>
            <w:r w:rsidR="006A23E9" w:rsidRPr="00946B70">
              <w:rPr>
                <w:rFonts w:ascii="Tahoma" w:hAnsi="Tahoma" w:cs="Tahoma"/>
                <w:color w:val="000000"/>
                <w:sz w:val="14"/>
                <w:szCs w:val="14"/>
              </w:rPr>
              <w:t xml:space="preserve">Rubens </w:t>
            </w:r>
            <w:proofErr w:type="spellStart"/>
            <w:r w:rsidR="006A23E9" w:rsidRPr="00946B70">
              <w:rPr>
                <w:rFonts w:ascii="Tahoma" w:hAnsi="Tahoma" w:cs="Tahoma"/>
                <w:color w:val="000000"/>
                <w:sz w:val="14"/>
                <w:szCs w:val="14"/>
              </w:rPr>
              <w:t>Maciel</w:t>
            </w:r>
            <w:proofErr w:type="spellEnd"/>
            <w:r w:rsidR="006A23E9" w:rsidRPr="00946B70">
              <w:rPr>
                <w:rFonts w:ascii="Tahoma" w:hAnsi="Tahoma" w:cs="Tahoma"/>
                <w:color w:val="000000"/>
                <w:sz w:val="14"/>
                <w:szCs w:val="14"/>
              </w:rPr>
              <w:t xml:space="preserve"> Filho</w:t>
            </w:r>
            <w:r w:rsidR="006A23E9" w:rsidRPr="00946B70">
              <w:rPr>
                <w:rFonts w:ascii="Tahoma" w:hAnsi="Tahoma" w:cs="Tahoma"/>
                <w:color w:val="000000"/>
                <w:sz w:val="14"/>
                <w:szCs w:val="14"/>
                <w:shd w:val="clear" w:color="auto" w:fill="FFFFFF"/>
              </w:rPr>
              <w:t xml:space="preserve">, </w:t>
            </w:r>
            <w:proofErr w:type="spellStart"/>
            <w:r w:rsidR="006A23E9" w:rsidRPr="00946B70">
              <w:rPr>
                <w:rFonts w:ascii="Tahoma" w:hAnsi="Tahoma" w:cs="Tahoma"/>
                <w:color w:val="000000"/>
                <w:sz w:val="14"/>
                <w:szCs w:val="14"/>
              </w:rPr>
              <w:t>Viatcheslav</w:t>
            </w:r>
            <w:proofErr w:type="spellEnd"/>
            <w:r w:rsidR="006A23E9" w:rsidRPr="00946B70">
              <w:rPr>
                <w:rFonts w:ascii="Tahoma" w:hAnsi="Tahoma" w:cs="Tahoma"/>
                <w:color w:val="000000"/>
                <w:sz w:val="14"/>
                <w:szCs w:val="14"/>
              </w:rPr>
              <w:t xml:space="preserve"> </w:t>
            </w:r>
            <w:proofErr w:type="spellStart"/>
            <w:r w:rsidR="006A23E9" w:rsidRPr="00946B70">
              <w:rPr>
                <w:rFonts w:ascii="Tahoma" w:hAnsi="Tahoma" w:cs="Tahoma"/>
                <w:color w:val="000000"/>
                <w:sz w:val="14"/>
                <w:szCs w:val="14"/>
              </w:rPr>
              <w:t>Kafarov</w:t>
            </w:r>
            <w:proofErr w:type="spellEnd"/>
          </w:p>
          <w:p w14:paraId="1B0F1814" w14:textId="3AD74145"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843EAC">
              <w:rPr>
                <w:rFonts w:ascii="Tahoma" w:hAnsi="Tahoma" w:cs="Tahoma"/>
                <w:iCs/>
                <w:color w:val="333333"/>
                <w:sz w:val="14"/>
                <w:szCs w:val="14"/>
                <w:lang w:eastAsia="it-IT"/>
              </w:rPr>
              <w:t>4</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8B7C03" w:rsidRPr="000562A9">
              <w:rPr>
                <w:rFonts w:ascii="Tahoma" w:hAnsi="Tahoma" w:cs="Tahoma"/>
                <w:sz w:val="14"/>
                <w:szCs w:val="14"/>
              </w:rPr>
              <w:t>97</w:t>
            </w:r>
            <w:r w:rsidR="008B7C03">
              <w:rPr>
                <w:rFonts w:ascii="Tahoma" w:hAnsi="Tahoma" w:cs="Tahoma"/>
                <w:sz w:val="14"/>
                <w:szCs w:val="14"/>
              </w:rPr>
              <w:t>9</w:t>
            </w:r>
            <w:r w:rsidR="008B7C03" w:rsidRPr="000562A9">
              <w:rPr>
                <w:rFonts w:ascii="Tahoma" w:hAnsi="Tahoma" w:cs="Tahoma"/>
                <w:sz w:val="14"/>
                <w:szCs w:val="14"/>
              </w:rPr>
              <w:t>-</w:t>
            </w:r>
            <w:r w:rsidR="008B7C03">
              <w:rPr>
                <w:rFonts w:ascii="Tahoma" w:hAnsi="Tahoma" w:cs="Tahoma"/>
                <w:sz w:val="14"/>
                <w:szCs w:val="14"/>
              </w:rPr>
              <w:t>12</w:t>
            </w:r>
            <w:r w:rsidR="008B7C03" w:rsidRPr="000562A9">
              <w:rPr>
                <w:rFonts w:ascii="Tahoma" w:hAnsi="Tahoma" w:cs="Tahoma"/>
                <w:sz w:val="14"/>
                <w:szCs w:val="14"/>
              </w:rPr>
              <w:t>-</w:t>
            </w:r>
            <w:r w:rsidR="008B7C03">
              <w:rPr>
                <w:rFonts w:ascii="Tahoma" w:hAnsi="Tahoma" w:cs="Tahoma"/>
                <w:sz w:val="14"/>
                <w:szCs w:val="14"/>
              </w:rPr>
              <w:t>81206</w:t>
            </w:r>
            <w:r>
              <w:rPr>
                <w:rFonts w:ascii="Tahoma" w:hAnsi="Tahoma" w:cs="Tahoma"/>
                <w:sz w:val="14"/>
                <w:szCs w:val="14"/>
              </w:rPr>
              <w:t>-</w:t>
            </w:r>
            <w:r w:rsidR="00DB3233">
              <w:rPr>
                <w:rFonts w:ascii="Tahoma" w:hAnsi="Tahoma" w:cs="Tahoma"/>
                <w:sz w:val="14"/>
                <w:szCs w:val="14"/>
              </w:rPr>
              <w:t>09</w:t>
            </w:r>
            <w:r>
              <w:rPr>
                <w:rFonts w:ascii="Tahoma" w:hAnsi="Tahoma" w:cs="Tahoma"/>
                <w:sz w:val="14"/>
                <w:szCs w:val="14"/>
              </w:rPr>
              <w:t>-</w:t>
            </w:r>
            <w:r w:rsidR="00DB3233">
              <w:rPr>
                <w:rFonts w:ascii="Tahoma" w:hAnsi="Tahoma" w:cs="Tahoma"/>
                <w:sz w:val="14"/>
                <w:szCs w:val="14"/>
              </w:rPr>
              <w:t>0</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62C13D47" w:rsidR="00E978D0" w:rsidRPr="00B57B36" w:rsidRDefault="00CE639D" w:rsidP="00E978D0">
      <w:pPr>
        <w:pStyle w:val="CETTitle"/>
      </w:pPr>
      <w:r w:rsidRPr="00D64C25">
        <w:rPr>
          <w:rFonts w:eastAsiaTheme="minorHAnsi" w:cs="Arial"/>
          <w:color w:val="000000"/>
          <w:szCs w:val="32"/>
          <w:highlight w:val="yellow"/>
        </w:rPr>
        <w:t xml:space="preserve">Innovative </w:t>
      </w:r>
      <w:r w:rsidR="008E084A" w:rsidRPr="00D64C25">
        <w:rPr>
          <w:rFonts w:eastAsiaTheme="minorHAnsi" w:cs="Arial"/>
          <w:color w:val="000000"/>
          <w:szCs w:val="32"/>
          <w:highlight w:val="yellow"/>
        </w:rPr>
        <w:t>A</w:t>
      </w:r>
      <w:r w:rsidRPr="00D64C25">
        <w:rPr>
          <w:rFonts w:eastAsiaTheme="minorHAnsi" w:cs="Arial"/>
          <w:color w:val="000000"/>
          <w:szCs w:val="32"/>
          <w:highlight w:val="yellow"/>
        </w:rPr>
        <w:t xml:space="preserve">pplication of Kolbe </w:t>
      </w:r>
      <w:r w:rsidR="008E084A" w:rsidRPr="00D64C25">
        <w:rPr>
          <w:rFonts w:eastAsiaTheme="minorHAnsi" w:cs="Arial"/>
          <w:color w:val="000000"/>
          <w:szCs w:val="32"/>
          <w:highlight w:val="yellow"/>
        </w:rPr>
        <w:t>R</w:t>
      </w:r>
      <w:r w:rsidRPr="00D64C25">
        <w:rPr>
          <w:rFonts w:eastAsiaTheme="minorHAnsi" w:cs="Arial"/>
          <w:color w:val="000000"/>
          <w:szCs w:val="32"/>
          <w:highlight w:val="yellow"/>
        </w:rPr>
        <w:t xml:space="preserve">eaction on </w:t>
      </w:r>
      <w:r w:rsidR="008E084A" w:rsidRPr="00D64C25">
        <w:rPr>
          <w:rFonts w:eastAsiaTheme="minorHAnsi" w:cs="Arial"/>
          <w:color w:val="000000"/>
          <w:szCs w:val="32"/>
          <w:highlight w:val="yellow"/>
        </w:rPr>
        <w:t>C</w:t>
      </w:r>
      <w:r w:rsidR="007966C1" w:rsidRPr="00D64C25">
        <w:rPr>
          <w:rFonts w:eastAsiaTheme="minorHAnsi" w:cs="Arial"/>
          <w:color w:val="000000"/>
          <w:szCs w:val="32"/>
          <w:highlight w:val="yellow"/>
        </w:rPr>
        <w:t xml:space="preserve">onstituents of </w:t>
      </w:r>
      <w:r w:rsidR="008E084A" w:rsidRPr="00D64C25">
        <w:rPr>
          <w:rFonts w:eastAsiaTheme="minorHAnsi" w:cs="Arial"/>
          <w:color w:val="000000"/>
          <w:szCs w:val="32"/>
          <w:highlight w:val="yellow"/>
        </w:rPr>
        <w:t>P</w:t>
      </w:r>
      <w:r w:rsidR="007966C1" w:rsidRPr="00D64C25">
        <w:rPr>
          <w:rFonts w:eastAsiaTheme="minorHAnsi" w:cs="Arial"/>
          <w:color w:val="000000"/>
          <w:szCs w:val="32"/>
          <w:highlight w:val="yellow"/>
        </w:rPr>
        <w:t>lan</w:t>
      </w:r>
      <w:r w:rsidR="00C4524F" w:rsidRPr="00D64C25">
        <w:rPr>
          <w:rFonts w:eastAsiaTheme="minorHAnsi" w:cs="Arial"/>
          <w:color w:val="000000"/>
          <w:szCs w:val="32"/>
          <w:highlight w:val="yellow"/>
        </w:rPr>
        <w:t>t</w:t>
      </w:r>
      <w:r w:rsidRPr="00D64C25">
        <w:rPr>
          <w:rFonts w:eastAsiaTheme="minorHAnsi" w:cs="Arial"/>
          <w:color w:val="000000"/>
          <w:szCs w:val="32"/>
          <w:highlight w:val="yellow"/>
        </w:rPr>
        <w:t xml:space="preserve"> </w:t>
      </w:r>
      <w:r w:rsidR="008E084A" w:rsidRPr="00D64C25">
        <w:rPr>
          <w:rFonts w:eastAsiaTheme="minorHAnsi" w:cs="Arial"/>
          <w:color w:val="000000"/>
          <w:szCs w:val="32"/>
          <w:highlight w:val="yellow"/>
        </w:rPr>
        <w:t>O</w:t>
      </w:r>
      <w:r w:rsidRPr="00D64C25">
        <w:rPr>
          <w:rFonts w:eastAsiaTheme="minorHAnsi" w:cs="Arial"/>
          <w:color w:val="000000"/>
          <w:szCs w:val="32"/>
          <w:highlight w:val="yellow"/>
        </w:rPr>
        <w:t>ils</w:t>
      </w:r>
    </w:p>
    <w:p w14:paraId="0488FED2" w14:textId="5F460C6E" w:rsidR="00B57E6F" w:rsidRPr="009F6B3D" w:rsidRDefault="009F6B3D" w:rsidP="00B57E6F">
      <w:pPr>
        <w:pStyle w:val="CETAuthors"/>
        <w:rPr>
          <w:lang w:val="it-IT"/>
        </w:rPr>
      </w:pPr>
      <w:r w:rsidRPr="009F6B3D">
        <w:rPr>
          <w:lang w:val="it-IT"/>
        </w:rPr>
        <w:t>Haroon Ahmad*</w:t>
      </w:r>
      <w:r w:rsidR="00B57E6F" w:rsidRPr="009F6B3D">
        <w:rPr>
          <w:lang w:val="it-IT"/>
        </w:rPr>
        <w:t xml:space="preserve">, </w:t>
      </w:r>
      <w:r w:rsidRPr="009F6B3D">
        <w:rPr>
          <w:lang w:val="it-IT"/>
        </w:rPr>
        <w:t>Benedetta Bertolotti</w:t>
      </w:r>
      <w:r w:rsidR="00B57E6F" w:rsidRPr="009F6B3D">
        <w:rPr>
          <w:lang w:val="it-IT"/>
        </w:rPr>
        <w:t>,</w:t>
      </w:r>
      <w:r w:rsidRPr="009F6B3D">
        <w:rPr>
          <w:lang w:val="it-IT"/>
        </w:rPr>
        <w:t xml:space="preserve"> Isabella Natali Sora</w:t>
      </w:r>
    </w:p>
    <w:p w14:paraId="3D72B0B0" w14:textId="3E56C228" w:rsidR="00B57E6F" w:rsidRPr="00B57B36" w:rsidRDefault="009F6B3D" w:rsidP="00B57E6F">
      <w:pPr>
        <w:pStyle w:val="CETAddress"/>
      </w:pPr>
      <w:r>
        <w:rPr>
          <w:rFonts w:ascii="Helvetica" w:eastAsiaTheme="minorHAnsi" w:hAnsi="Helvetica" w:cs="Helvetica"/>
          <w:color w:val="000000"/>
          <w:szCs w:val="16"/>
        </w:rPr>
        <w:t>Department of Engineering and Applied Sciences</w:t>
      </w:r>
      <w:r w:rsidR="007966C1">
        <w:rPr>
          <w:rFonts w:ascii="Helvetica" w:eastAsiaTheme="minorHAnsi" w:hAnsi="Helvetica" w:cs="Helvetica"/>
          <w:color w:val="000000"/>
          <w:szCs w:val="16"/>
        </w:rPr>
        <w:t xml:space="preserve"> and CSGI</w:t>
      </w:r>
      <w:r>
        <w:rPr>
          <w:rFonts w:ascii="Helvetica" w:eastAsiaTheme="minorHAnsi" w:hAnsi="Helvetica" w:cs="Helvetica"/>
          <w:color w:val="000000"/>
          <w:szCs w:val="16"/>
        </w:rPr>
        <w:t>, University of Bergamo, 24044 Dalmine, BG, Italy</w:t>
      </w:r>
      <w:r w:rsidR="00B57E6F" w:rsidRPr="00B57B36">
        <w:t xml:space="preserve"> </w:t>
      </w:r>
    </w:p>
    <w:p w14:paraId="56D58417" w14:textId="77777777" w:rsidR="000672A0" w:rsidRDefault="00B57E6F" w:rsidP="000672A0">
      <w:pPr>
        <w:pStyle w:val="CETemail"/>
        <w:rPr>
          <w:rStyle w:val="Hyperlink"/>
        </w:rPr>
      </w:pPr>
      <w:r>
        <w:t xml:space="preserve"> </w:t>
      </w:r>
      <w:hyperlink r:id="rId10" w:history="1">
        <w:r w:rsidR="009F6B3D" w:rsidRPr="000A6D83">
          <w:rPr>
            <w:rStyle w:val="Hyperlink"/>
          </w:rPr>
          <w:t>haroon.ahmad@unibg.it</w:t>
        </w:r>
      </w:hyperlink>
    </w:p>
    <w:p w14:paraId="51342396" w14:textId="66990557" w:rsidR="007966C1" w:rsidRPr="006365CA" w:rsidRDefault="007966C1" w:rsidP="007966C1">
      <w:pPr>
        <w:pStyle w:val="CETHeading1"/>
        <w:numPr>
          <w:ilvl w:val="0"/>
          <w:numId w:val="0"/>
        </w:numPr>
        <w:jc w:val="both"/>
        <w:rPr>
          <w:rFonts w:cs="Arial"/>
          <w:b w:val="0"/>
          <w:bCs/>
          <w:color w:val="000000" w:themeColor="text1"/>
          <w:sz w:val="18"/>
          <w:szCs w:val="18"/>
        </w:rPr>
      </w:pPr>
      <w:r w:rsidRPr="006365CA">
        <w:rPr>
          <w:rFonts w:cs="Arial"/>
          <w:b w:val="0"/>
          <w:bCs/>
          <w:color w:val="000000" w:themeColor="text1"/>
          <w:sz w:val="18"/>
          <w:szCs w:val="18"/>
        </w:rPr>
        <w:t>This work presents the conversion of single and mixture of fatty acids (1:1) into defined chemical products using an electrolysis technique. Lauric acid and palmitic acid are used as substrates as both acids are principal constituents of different vegetable oils like coconut oil and palm oil. The impact of operating parameters such as current intensity (10 mA–100 mA), amount of KOH (0.4–1.7 eq.), electrolysis time (2–18 h), and different solvent environments on the process performance has been investigated in terms of chemicals production, especially focusing on the dimers yield. The achieved results show 65% and 23% of the dimers yield from the electrolysis of lauric acid and palmitic acid respectively, with nearly full dissociation of substrate acids, at 70 mA current intensity</w:t>
      </w:r>
      <w:r w:rsidR="007A62D9">
        <w:rPr>
          <w:rFonts w:cs="Arial"/>
          <w:b w:val="0"/>
          <w:bCs/>
          <w:color w:val="000000" w:themeColor="text1"/>
          <w:sz w:val="18"/>
          <w:szCs w:val="18"/>
        </w:rPr>
        <w:t xml:space="preserve"> with alternate polarity of 30 min</w:t>
      </w:r>
      <w:r w:rsidR="002F2AED">
        <w:rPr>
          <w:rFonts w:cs="Arial"/>
          <w:b w:val="0"/>
          <w:bCs/>
          <w:color w:val="000000" w:themeColor="text1"/>
          <w:sz w:val="18"/>
          <w:szCs w:val="18"/>
        </w:rPr>
        <w:t>utes</w:t>
      </w:r>
      <w:r w:rsidRPr="006365CA">
        <w:rPr>
          <w:rFonts w:cs="Arial"/>
          <w:b w:val="0"/>
          <w:bCs/>
          <w:color w:val="000000" w:themeColor="text1"/>
          <w:sz w:val="18"/>
          <w:szCs w:val="18"/>
        </w:rPr>
        <w:t>, 1.5 eq. of KOH, 6 h of electrolysis time in EtOH:MeOH:H</w:t>
      </w:r>
      <w:r w:rsidRPr="006365CA">
        <w:rPr>
          <w:rFonts w:cs="Arial"/>
          <w:b w:val="0"/>
          <w:bCs/>
          <w:color w:val="000000" w:themeColor="text1"/>
          <w:sz w:val="18"/>
          <w:szCs w:val="18"/>
          <w:vertAlign w:val="subscript"/>
        </w:rPr>
        <w:t>2</w:t>
      </w:r>
      <w:r w:rsidRPr="006365CA">
        <w:rPr>
          <w:rFonts w:cs="Arial"/>
          <w:b w:val="0"/>
          <w:bCs/>
          <w:color w:val="000000" w:themeColor="text1"/>
          <w:sz w:val="18"/>
          <w:szCs w:val="18"/>
        </w:rPr>
        <w:t xml:space="preserve">O solvent system. Whereas, using the same experimental conditions, the mixture of both acids (1:1) shows 45% of the dimers including </w:t>
      </w:r>
      <w:r w:rsidRPr="006365CA">
        <w:rPr>
          <w:rFonts w:cs="Arial"/>
          <w:b w:val="0"/>
          <w:bCs/>
          <w:i/>
          <w:iCs/>
          <w:color w:val="000000" w:themeColor="text1"/>
          <w:sz w:val="18"/>
          <w:szCs w:val="18"/>
        </w:rPr>
        <w:t>n</w:t>
      </w:r>
      <w:r w:rsidRPr="006365CA">
        <w:rPr>
          <w:rFonts w:cs="Arial"/>
          <w:b w:val="0"/>
          <w:bCs/>
          <w:color w:val="000000" w:themeColor="text1"/>
          <w:sz w:val="18"/>
          <w:szCs w:val="18"/>
        </w:rPr>
        <w:t>-</w:t>
      </w:r>
      <w:proofErr w:type="spellStart"/>
      <w:r w:rsidRPr="006365CA">
        <w:rPr>
          <w:rFonts w:cs="Arial"/>
          <w:b w:val="0"/>
          <w:bCs/>
          <w:color w:val="000000" w:themeColor="text1"/>
          <w:sz w:val="18"/>
          <w:szCs w:val="18"/>
        </w:rPr>
        <w:t>docosane</w:t>
      </w:r>
      <w:proofErr w:type="spellEnd"/>
      <w:r w:rsidRPr="006365CA">
        <w:rPr>
          <w:rFonts w:cs="Arial"/>
          <w:b w:val="0"/>
          <w:bCs/>
          <w:color w:val="000000" w:themeColor="text1"/>
          <w:sz w:val="18"/>
          <w:szCs w:val="18"/>
        </w:rPr>
        <w:t xml:space="preserve"> and </w:t>
      </w:r>
      <w:r w:rsidRPr="006365CA">
        <w:rPr>
          <w:rFonts w:cs="Arial"/>
          <w:b w:val="0"/>
          <w:bCs/>
          <w:i/>
          <w:iCs/>
          <w:color w:val="000000" w:themeColor="text1"/>
          <w:sz w:val="18"/>
          <w:szCs w:val="18"/>
        </w:rPr>
        <w:t>n</w:t>
      </w:r>
      <w:r w:rsidRPr="006365CA">
        <w:rPr>
          <w:rFonts w:cs="Arial"/>
          <w:b w:val="0"/>
          <w:bCs/>
          <w:color w:val="000000" w:themeColor="text1"/>
          <w:sz w:val="18"/>
          <w:szCs w:val="18"/>
        </w:rPr>
        <w:t xml:space="preserve">-triacontane as homocoupling and </w:t>
      </w:r>
      <w:r w:rsidRPr="006365CA">
        <w:rPr>
          <w:rFonts w:cs="Arial"/>
          <w:b w:val="0"/>
          <w:bCs/>
          <w:i/>
          <w:iCs/>
          <w:color w:val="000000" w:themeColor="text1"/>
          <w:sz w:val="18"/>
          <w:szCs w:val="18"/>
        </w:rPr>
        <w:t>n</w:t>
      </w:r>
      <w:r w:rsidRPr="006365CA">
        <w:rPr>
          <w:rFonts w:cs="Arial"/>
          <w:b w:val="0"/>
          <w:bCs/>
          <w:color w:val="000000" w:themeColor="text1"/>
          <w:sz w:val="18"/>
          <w:szCs w:val="18"/>
        </w:rPr>
        <w:t>-</w:t>
      </w:r>
      <w:proofErr w:type="spellStart"/>
      <w:r w:rsidRPr="006365CA">
        <w:rPr>
          <w:rFonts w:cs="Arial"/>
          <w:b w:val="0"/>
          <w:bCs/>
          <w:color w:val="000000" w:themeColor="text1"/>
          <w:sz w:val="18"/>
          <w:szCs w:val="18"/>
        </w:rPr>
        <w:t>hexacosane</w:t>
      </w:r>
      <w:proofErr w:type="spellEnd"/>
      <w:r w:rsidRPr="006365CA">
        <w:rPr>
          <w:rFonts w:cs="Arial"/>
          <w:b w:val="0"/>
          <w:bCs/>
          <w:color w:val="000000" w:themeColor="text1"/>
          <w:sz w:val="18"/>
          <w:szCs w:val="18"/>
        </w:rPr>
        <w:t xml:space="preserve"> as hetero-coupling, with nearly fully dissociation of acid substrate. </w:t>
      </w:r>
    </w:p>
    <w:p w14:paraId="476B2F2E" w14:textId="69DFFE85" w:rsidR="00600535" w:rsidRPr="006365CA" w:rsidRDefault="008D3285" w:rsidP="007E393D">
      <w:pPr>
        <w:pStyle w:val="CETHeading1"/>
        <w:numPr>
          <w:ilvl w:val="0"/>
          <w:numId w:val="0"/>
        </w:numPr>
        <w:rPr>
          <w:color w:val="000000" w:themeColor="text1"/>
          <w:lang w:val="en-GB"/>
        </w:rPr>
      </w:pPr>
      <w:r w:rsidRPr="006365CA">
        <w:rPr>
          <w:color w:val="000000" w:themeColor="text1"/>
          <w:lang w:val="en-GB"/>
        </w:rPr>
        <w:t xml:space="preserve">1. </w:t>
      </w:r>
      <w:r w:rsidR="00600535" w:rsidRPr="006365CA">
        <w:rPr>
          <w:color w:val="000000" w:themeColor="text1"/>
          <w:lang w:val="en-GB"/>
        </w:rPr>
        <w:t>Introduction</w:t>
      </w:r>
    </w:p>
    <w:p w14:paraId="59FA3549" w14:textId="0265C5E9" w:rsidR="007966C1" w:rsidRPr="006365CA" w:rsidRDefault="007966C1" w:rsidP="007966C1">
      <w:pPr>
        <w:pStyle w:val="CETListbullets"/>
        <w:ind w:left="113" w:firstLine="0"/>
        <w:rPr>
          <w:rFonts w:cs="Arial"/>
          <w:color w:val="000000" w:themeColor="text1"/>
          <w:szCs w:val="18"/>
          <w:lang w:val="en-US"/>
        </w:rPr>
      </w:pPr>
      <w:r w:rsidRPr="006365CA">
        <w:rPr>
          <w:rFonts w:cs="Arial"/>
          <w:color w:val="000000" w:themeColor="text1"/>
          <w:szCs w:val="18"/>
          <w:lang w:val="en-US"/>
        </w:rPr>
        <w:t xml:space="preserve">In recent </w:t>
      </w:r>
      <w:r w:rsidR="00EE0992">
        <w:rPr>
          <w:rFonts w:cs="Arial"/>
          <w:color w:val="000000" w:themeColor="text1"/>
          <w:szCs w:val="18"/>
          <w:lang w:val="en-US"/>
        </w:rPr>
        <w:t>times</w:t>
      </w:r>
      <w:r w:rsidRPr="006365CA">
        <w:rPr>
          <w:rFonts w:cs="Arial"/>
          <w:color w:val="000000" w:themeColor="text1"/>
          <w:szCs w:val="18"/>
          <w:lang w:val="en-US"/>
        </w:rPr>
        <w:t>,</w:t>
      </w:r>
      <w:r w:rsidRPr="006365CA">
        <w:rPr>
          <w:rFonts w:cs="Arial"/>
          <w:color w:val="000000" w:themeColor="text1"/>
          <w:szCs w:val="18"/>
        </w:rPr>
        <w:t xml:space="preserve"> </w:t>
      </w:r>
      <w:r w:rsidR="00EE0992">
        <w:rPr>
          <w:rFonts w:cs="Arial"/>
          <w:color w:val="000000" w:themeColor="text1"/>
          <w:szCs w:val="18"/>
        </w:rPr>
        <w:t>the</w:t>
      </w:r>
      <w:r w:rsidRPr="006365CA">
        <w:rPr>
          <w:rFonts w:cs="Arial"/>
          <w:color w:val="000000" w:themeColor="text1"/>
          <w:szCs w:val="18"/>
        </w:rPr>
        <w:t xml:space="preserve"> demand for clean, economically viable and renewable energy </w:t>
      </w:r>
      <w:r w:rsidR="00EE0992">
        <w:rPr>
          <w:rFonts w:cs="Arial"/>
          <w:color w:val="000000" w:themeColor="text1"/>
          <w:szCs w:val="18"/>
        </w:rPr>
        <w:t>sources</w:t>
      </w:r>
      <w:r w:rsidRPr="006365CA">
        <w:rPr>
          <w:rFonts w:cs="Arial"/>
          <w:color w:val="000000" w:themeColor="text1"/>
          <w:szCs w:val="18"/>
        </w:rPr>
        <w:t xml:space="preserve"> like biofuel </w:t>
      </w:r>
      <w:r w:rsidR="00EE0992">
        <w:rPr>
          <w:rFonts w:cs="Arial"/>
          <w:color w:val="000000" w:themeColor="text1"/>
          <w:szCs w:val="18"/>
        </w:rPr>
        <w:t>has</w:t>
      </w:r>
      <w:r w:rsidRPr="006365CA">
        <w:rPr>
          <w:rFonts w:cs="Arial"/>
          <w:color w:val="000000" w:themeColor="text1"/>
          <w:szCs w:val="18"/>
        </w:rPr>
        <w:t xml:space="preserve"> </w:t>
      </w:r>
      <w:r w:rsidR="00EE0992">
        <w:rPr>
          <w:rFonts w:cs="Arial"/>
          <w:color w:val="000000" w:themeColor="text1"/>
          <w:szCs w:val="18"/>
        </w:rPr>
        <w:t>risen</w:t>
      </w:r>
      <w:r w:rsidRPr="006365CA">
        <w:rPr>
          <w:rFonts w:cs="Arial"/>
          <w:color w:val="000000" w:themeColor="text1"/>
          <w:szCs w:val="18"/>
        </w:rPr>
        <w:t xml:space="preserve"> because of environmental concerns. </w:t>
      </w:r>
      <w:r w:rsidRPr="006365CA">
        <w:rPr>
          <w:rFonts w:cs="Arial"/>
          <w:color w:val="000000" w:themeColor="text1"/>
          <w:szCs w:val="18"/>
          <w:lang w:val="en-US"/>
        </w:rPr>
        <w:t>Biofuels are</w:t>
      </w:r>
      <w:r w:rsidRPr="006365CA">
        <w:rPr>
          <w:rFonts w:cs="Arial"/>
          <w:color w:val="000000" w:themeColor="text1"/>
          <w:szCs w:val="18"/>
        </w:rPr>
        <w:t xml:space="preserve"> energy source</w:t>
      </w:r>
      <w:r w:rsidRPr="006365CA">
        <w:rPr>
          <w:rFonts w:cs="Arial"/>
          <w:color w:val="000000" w:themeColor="text1"/>
          <w:szCs w:val="18"/>
          <w:lang w:val="en-US"/>
        </w:rPr>
        <w:t>s</w:t>
      </w:r>
      <w:r w:rsidRPr="006365CA">
        <w:rPr>
          <w:rFonts w:cs="Arial"/>
          <w:color w:val="000000" w:themeColor="text1"/>
          <w:szCs w:val="18"/>
        </w:rPr>
        <w:t xml:space="preserve"> </w:t>
      </w:r>
      <w:r w:rsidR="00EE0992">
        <w:rPr>
          <w:rFonts w:cs="Arial"/>
          <w:color w:val="000000" w:themeColor="text1"/>
          <w:szCs w:val="18"/>
          <w:lang w:val="en-US"/>
        </w:rPr>
        <w:t>that</w:t>
      </w:r>
      <w:r w:rsidRPr="006365CA">
        <w:rPr>
          <w:rFonts w:cs="Arial"/>
          <w:color w:val="000000" w:themeColor="text1"/>
          <w:szCs w:val="18"/>
          <w:lang w:val="en-US"/>
        </w:rPr>
        <w:t xml:space="preserve"> </w:t>
      </w:r>
      <w:r w:rsidRPr="006365CA">
        <w:rPr>
          <w:rFonts w:cs="Arial"/>
          <w:color w:val="000000" w:themeColor="text1"/>
          <w:szCs w:val="18"/>
        </w:rPr>
        <w:t xml:space="preserve">can be prepared from </w:t>
      </w:r>
      <w:r w:rsidRPr="006365CA">
        <w:rPr>
          <w:rFonts w:cs="Arial"/>
          <w:color w:val="000000" w:themeColor="text1"/>
          <w:szCs w:val="18"/>
          <w:lang w:val="en-US"/>
        </w:rPr>
        <w:t xml:space="preserve">waste cooking oil, animal fats and vegetable and plant oils </w:t>
      </w:r>
      <w:r w:rsidRPr="006365CA">
        <w:rPr>
          <w:rFonts w:cs="Arial"/>
          <w:color w:val="000000" w:themeColor="text1"/>
          <w:szCs w:val="18"/>
          <w:lang w:val="en-US"/>
        </w:rPr>
        <w:fldChar w:fldCharType="begin"/>
      </w:r>
      <w:r w:rsidRPr="006365CA">
        <w:rPr>
          <w:rFonts w:cs="Arial"/>
          <w:color w:val="000000" w:themeColor="text1"/>
          <w:szCs w:val="18"/>
          <w:lang w:val="en-US"/>
        </w:rPr>
        <w:instrText xml:space="preserve"> ADDIN ZOTERO_ITEM CSL_CITATION {"citationID":"tp8n9tLy","properties":{"formattedCitation":"(Ho et al., 2014)","plainCitation":"(Ho et al., 2014)","noteIndex":0},"citationItems":[{"id":9,"uris":["http://zotero.org/users/local/lPvvY3SE/items/2VRZRY2V"],"itemData":{"id":9,"type":"article-journal","abstract":"Rapid growth in both global energy demand and carbon dioxide emissions associated with the use of fossil fuels has driven the search for alternative sources which are renewable and have a lower environmental impact. This paper reviews the availability and bioenergy potentials of the current biomass feedstocks. These include (i) food crops such as sugarcane, corn and vegetable oils, classified as the first generation feedstocks, and (ii) lignocellulosic biomass derived from agricultural and forestry residues and municipal waste, as second generation feedstocks. The environmental and socioeconomic limitations of the first generation feedstocks have placed greater emphasis on the lignocellulosic biomass, of which the conversion technologies still faces major constraints to full commercial deployment. Key technical challenges and opportunities of the lignocellulosic biomass-to-bioenergy production are discussed in comparison with the first generation technologies. The potential of the emerging third generation biofuel from algal biomass is also reviewed.","container-title":"Bioresource Technology","DOI":"10.1016/j.biortech.2014.07.022","ISSN":"0960-8524","journalAbbreviation":"Bioresource Technology","page":"742-749","source":"ScienceDirect","title":"A mini review on renewable sources for biofuel","volume":"169","author":[{"family":"Ho","given":"Dang P."},{"family":"Ngo","given":"Huu Hao"},{"family":"Guo","given":"Wenshan"}],"issued":{"date-parts":[["2014",10,1]]}}}],"schema":"https://github.com/citation-style-language/schema/raw/master/csl-citation.json"} </w:instrText>
      </w:r>
      <w:r w:rsidRPr="006365CA">
        <w:rPr>
          <w:rFonts w:cs="Arial"/>
          <w:color w:val="000000" w:themeColor="text1"/>
          <w:szCs w:val="18"/>
          <w:lang w:val="en-US"/>
        </w:rPr>
        <w:fldChar w:fldCharType="separate"/>
      </w:r>
      <w:r w:rsidRPr="006365CA">
        <w:rPr>
          <w:rFonts w:cs="Arial"/>
          <w:noProof/>
          <w:color w:val="000000" w:themeColor="text1"/>
          <w:szCs w:val="18"/>
          <w:lang w:val="en-US"/>
        </w:rPr>
        <w:t>(Ho et al., 2014)</w:t>
      </w:r>
      <w:r w:rsidRPr="006365CA">
        <w:rPr>
          <w:rFonts w:cs="Arial"/>
          <w:color w:val="000000" w:themeColor="text1"/>
          <w:szCs w:val="18"/>
          <w:lang w:val="en-US"/>
        </w:rPr>
        <w:fldChar w:fldCharType="end"/>
      </w:r>
      <w:r w:rsidRPr="006365CA">
        <w:rPr>
          <w:rFonts w:cs="Arial"/>
          <w:color w:val="000000" w:themeColor="text1"/>
          <w:szCs w:val="18"/>
          <w:lang w:val="en-US"/>
        </w:rPr>
        <w:t xml:space="preserve">. </w:t>
      </w:r>
      <w:r w:rsidRPr="006365CA">
        <w:rPr>
          <w:rFonts w:cs="Arial"/>
          <w:color w:val="000000" w:themeColor="text1"/>
          <w:szCs w:val="18"/>
        </w:rPr>
        <w:t xml:space="preserve">The </w:t>
      </w:r>
      <w:r w:rsidR="00EE0992">
        <w:rPr>
          <w:rFonts w:cs="Arial"/>
          <w:color w:val="000000" w:themeColor="text1"/>
          <w:szCs w:val="18"/>
        </w:rPr>
        <w:t>high-energy</w:t>
      </w:r>
      <w:r w:rsidRPr="006365CA">
        <w:rPr>
          <w:rFonts w:cs="Arial"/>
          <w:color w:val="000000" w:themeColor="text1"/>
          <w:szCs w:val="18"/>
        </w:rPr>
        <w:t xml:space="preserve"> storage substances like fats and oils from plants and animals can be used to produce biofuels and other useful chemicals </w:t>
      </w:r>
      <w:r w:rsidRPr="006365CA">
        <w:rPr>
          <w:rFonts w:cs="Arial"/>
          <w:color w:val="000000" w:themeColor="text1"/>
          <w:szCs w:val="18"/>
        </w:rPr>
        <w:fldChar w:fldCharType="begin"/>
      </w:r>
      <w:r w:rsidRPr="003049EB">
        <w:rPr>
          <w:rFonts w:cs="Arial"/>
          <w:color w:val="000000" w:themeColor="text1"/>
          <w:szCs w:val="18"/>
          <w:lang w:val="en-US"/>
        </w:rPr>
        <w:instrText xml:space="preserve"> ADDIN ZOTERO_ITEM CSL_CITATION {"citationID":"eWszw5gC","properties":{"formattedCitation":"(Kalnes et al., 2007)","plainCitation":"(Kalnes et al., 2007)","noteIndex":0},"citationItems":[{"id":15,"uris":["http://zotero.org/users/local/lPvvY3SE/items/VI54NXFB"],"itemData":{"id":15,"type":"article-journal","abstract":"Environmentally-conscious design of processes and products is increasingly viewed as an important strategy in the sustainable development of new refining and chemical processes. This paper discusses a new process technology developed by UOP and Eni S.p.A; the UOP/Eni EcofiningTM process to produce green diesel from vegetable oil. This novel process utilizes catalytic saturation, hydrodeoxygenation, decarboxylation and hydroisomerization reactions to produce an isoparaffin-rich diesel fuel from renewable feedstock containing triglycerides and fatty acids. The resultant biofuel product has a high cetane value, a lower gravity, good cold flow properties and excellent storage stability. Green diesel is completely compatible for blending with the standard mix of petroleum-derived diesel fuels, thus providing significant value to the refiner. The process for producing green diesel operates at mild operating conditions and integrates well within existing petroleum refineries. In contrast to fatty acid methyl esters, where fuel properti</w:instrText>
      </w:r>
      <w:r w:rsidRPr="00C82F82">
        <w:rPr>
          <w:rFonts w:cs="Arial"/>
          <w:color w:val="000000" w:themeColor="text1"/>
          <w:szCs w:val="18"/>
          <w:lang w:val="en-US"/>
        </w:rPr>
        <w:instrText xml:space="preserve">es depend on feed origin and process configuration, green diesel product is independent of feed origin and the fully deoxygenated biofuel is readily blended with conventional diesel fuel. A life cycle assessment (LCA) of this promising new biofuel production technology has been undertaken to quantify the intrinsic benefits of green diesel production over the current practice of converting various forms of lipids to fatty acid methyl esters. This paper will describe the technology, discuss the results of the LCA study and summarize the advantages this new technology can offer over other processing routes.","container-title":"International Journal of Chemical Reactor Engineering","DOI":"10.2202/1542-6580.1554","ISSN":"1542-6580","issue":"1","language":"en","license":"De Gruyter expressly reserves the right to use all content for commercial text and data mining within the meaning of Section 44b of the German Copyright Act.","note":"publisher: De Gruyter","source":"www.degruyter.com","title":"Green Diesel: A Second Generation Biofuel","title-short":"Green Diesel","URL":"https://www.degruyter.com/document/doi/10.2202/1542-6580.1554/html","volume":"5","author":[{"family":"Kalnes","given":"Tom"},{"family":"Marker","given":"Terry"},{"family":"Shonnard","given":"David R."}],"accessed":{"date-parts":[["2024",1,26]]},"issued":{"date-parts":[["2007",9,14]]}}}],"schema":"https://github.com/citation-style-language/schema/raw/master/csl-citation.json"} </w:instrText>
      </w:r>
      <w:r w:rsidRPr="006365CA">
        <w:rPr>
          <w:rFonts w:cs="Arial"/>
          <w:color w:val="000000" w:themeColor="text1"/>
          <w:szCs w:val="18"/>
        </w:rPr>
        <w:fldChar w:fldCharType="separate"/>
      </w:r>
      <w:r w:rsidRPr="00C82F82">
        <w:rPr>
          <w:rFonts w:cs="Arial"/>
          <w:noProof/>
          <w:color w:val="000000" w:themeColor="text1"/>
          <w:szCs w:val="18"/>
          <w:lang w:val="en-US"/>
        </w:rPr>
        <w:t>(Kalnes et al., 2007)</w:t>
      </w:r>
      <w:r w:rsidRPr="006365CA">
        <w:rPr>
          <w:rFonts w:cs="Arial"/>
          <w:color w:val="000000" w:themeColor="text1"/>
          <w:szCs w:val="18"/>
        </w:rPr>
        <w:fldChar w:fldCharType="end"/>
      </w:r>
      <w:r w:rsidRPr="00C82F82">
        <w:rPr>
          <w:rFonts w:cs="Arial"/>
          <w:color w:val="000000" w:themeColor="text1"/>
          <w:szCs w:val="18"/>
          <w:lang w:val="en-US"/>
        </w:rPr>
        <w:t xml:space="preserve">. Biofuel has many advantages in comparison to petroleum such as low sulfur content, domestic origin, safer handling due to high flash point and biodegradability </w:t>
      </w:r>
      <w:r w:rsidRPr="006365CA">
        <w:rPr>
          <w:rFonts w:cs="Arial"/>
          <w:color w:val="000000" w:themeColor="text1"/>
          <w:szCs w:val="18"/>
          <w:lang w:val="en-US"/>
        </w:rPr>
        <w:fldChar w:fldCharType="begin"/>
      </w:r>
      <w:r w:rsidRPr="00C82F82">
        <w:rPr>
          <w:rFonts w:cs="Arial"/>
          <w:color w:val="000000" w:themeColor="text1"/>
          <w:szCs w:val="18"/>
          <w:lang w:val="en-US"/>
        </w:rPr>
        <w:instrText xml:space="preserve"> ADDIN ZOTERO_ITEM CSL_CITATION {"citationID":"6AilrEW1","properties":{"formattedCitation":"(Cai et al., 2015)","plainCitation":"(Cai et al., 2015)","noteIndex":0},"citationItems":[{"id":17,"uris":["http://zotero.org/users/local/lPvvY3SE/items/3A5LX6QI"],"itemData":{"id":17,"type":"article-journal","abstract":"A novel biodiesel production process using waste cooking oil (WCO) as feedstock was developed in this work. Free fatty acids (FFAs) from WCO were esterified by crude glycerol catalyzed by NaOH, which lowered the content of free fatty acids of WCO. The conversion of FFA in the WCO (acid value: 124.9mgKOH/g) to acylglycerols is 99.6% under the optimal conditions (1.4:1 molar ratio of glycerol to FFA, 4h, 210°C, catalyst loading 0.5wt.% based on WCO weight). After the transesterification of esterified WCO with methanol catalyzed by NaOH, the yield of the final product is 93.1wt.% with 98.6wt.% of fatty acid methyl ester (FAME). The crude glycerol and the ca</w:instrText>
      </w:r>
      <w:r w:rsidRPr="00A96BD1">
        <w:rPr>
          <w:rFonts w:cs="Arial"/>
          <w:color w:val="000000" w:themeColor="text1"/>
          <w:szCs w:val="18"/>
          <w:lang w:val="en-US"/>
        </w:rPr>
        <w:instrText>talyst from transesterification were recycled as reactant for esterification during the biodiesel production. Soap formed from the subsequent processes maintained a high catalyzing activity for FFA esterification after being recycled for 13 times. This new glycerol esterification process using alkali (soap) catalyst provides a promising solution to convert feedst</w:instrText>
      </w:r>
      <w:r w:rsidRPr="006365CA">
        <w:rPr>
          <w:rFonts w:cs="Arial"/>
          <w:color w:val="000000" w:themeColor="text1"/>
          <w:szCs w:val="18"/>
          <w:lang w:val="en-US"/>
        </w:rPr>
        <w:instrText xml:space="preserve">ock with high FFA levels to biodiesel. This biodiesel production process has distinct advantages compared with traditional two-step methods, including lower cost of catalyst for both esterification and transesterification processes, less energy consumption for methanol recovery, recycling of the glycerol byproduct and catalyst (soap), and no requirement of anti-corrosive equipment.","container-title":"Fuel Processing Technology","DOI":"10.1016/j.fuproc.2015.04.017","ISSN":"0378-3820","journalAbbreviation":"Fuel Processing Technology","page":"186-193","source":"ScienceDirect","title":"A two-step biodiesel production process from waste cooking oil via recycling crude glycerol esterification catalyzed by alkali catalyst","volume":"137","author":[{"family":"Cai","given":"Zi-Zhe"},{"family":"Wang","given":"Yong"},{"family":"Teng","given":"Ying-Lai"},{"family":"Chong","given":"Ka-Man"},{"family":"Wang","given":"Jia-Wei"},{"family":"Zhang","given":"Jie-Wen"},{"family":"Yang","given":"De-Po"}],"issued":{"date-parts":[["2015",9,1]]}}}],"schema":"https://github.com/citation-style-language/schema/raw/master/csl-citation.json"} </w:instrText>
      </w:r>
      <w:r w:rsidRPr="006365CA">
        <w:rPr>
          <w:rFonts w:cs="Arial"/>
          <w:color w:val="000000" w:themeColor="text1"/>
          <w:szCs w:val="18"/>
          <w:lang w:val="en-US"/>
        </w:rPr>
        <w:fldChar w:fldCharType="separate"/>
      </w:r>
      <w:r w:rsidRPr="006365CA">
        <w:rPr>
          <w:rFonts w:cs="Arial"/>
          <w:noProof/>
          <w:color w:val="000000" w:themeColor="text1"/>
          <w:szCs w:val="18"/>
          <w:lang w:val="en-US"/>
        </w:rPr>
        <w:t>(Cai et al., 2015)</w:t>
      </w:r>
      <w:r w:rsidRPr="006365CA">
        <w:rPr>
          <w:rFonts w:cs="Arial"/>
          <w:color w:val="000000" w:themeColor="text1"/>
          <w:szCs w:val="18"/>
          <w:lang w:val="en-US"/>
        </w:rPr>
        <w:fldChar w:fldCharType="end"/>
      </w:r>
      <w:r w:rsidRPr="006365CA">
        <w:rPr>
          <w:rFonts w:cs="Arial"/>
          <w:color w:val="000000" w:themeColor="text1"/>
          <w:szCs w:val="18"/>
          <w:lang w:val="en-US"/>
        </w:rPr>
        <w:t xml:space="preserve">. One barrier to biofuel commercialization is the high production cost i.e., only the raw materials </w:t>
      </w:r>
      <w:r w:rsidR="00EE0992">
        <w:rPr>
          <w:rFonts w:cs="Arial"/>
          <w:color w:val="000000" w:themeColor="text1"/>
          <w:szCs w:val="18"/>
          <w:lang w:val="en-US"/>
        </w:rPr>
        <w:t>account</w:t>
      </w:r>
      <w:r w:rsidRPr="006365CA">
        <w:rPr>
          <w:rFonts w:cs="Arial"/>
          <w:color w:val="000000" w:themeColor="text1"/>
          <w:szCs w:val="18"/>
          <w:lang w:val="en-US"/>
        </w:rPr>
        <w:t xml:space="preserve"> for nearly 80% cost </w:t>
      </w:r>
      <w:r w:rsidR="00EE0992">
        <w:rPr>
          <w:rFonts w:cs="Arial"/>
          <w:color w:val="000000" w:themeColor="text1"/>
          <w:szCs w:val="18"/>
          <w:lang w:val="en-US"/>
        </w:rPr>
        <w:t>of</w:t>
      </w:r>
      <w:r w:rsidRPr="006365CA">
        <w:rPr>
          <w:rFonts w:cs="Arial"/>
          <w:color w:val="000000" w:themeColor="text1"/>
          <w:szCs w:val="18"/>
          <w:lang w:val="en-US"/>
        </w:rPr>
        <w:t xml:space="preserve"> producing biofuels </w:t>
      </w:r>
      <w:r w:rsidRPr="006365CA">
        <w:rPr>
          <w:rFonts w:cs="Arial"/>
          <w:color w:val="000000" w:themeColor="text1"/>
          <w:szCs w:val="18"/>
          <w:lang w:val="en-US"/>
        </w:rPr>
        <w:fldChar w:fldCharType="begin"/>
      </w:r>
      <w:r w:rsidRPr="006365CA">
        <w:rPr>
          <w:rFonts w:cs="Arial"/>
          <w:color w:val="000000" w:themeColor="text1"/>
          <w:szCs w:val="18"/>
          <w:lang w:val="en-US"/>
        </w:rPr>
        <w:instrText xml:space="preserve"> ADDIN ZOTERO_ITEM CSL_CITATION {"citationID":"ojSfs561","properties":{"formattedCitation":"(Semwal et al., 2011)","plainCitation":"(Semwal et al., 2011)","noteIndex":0},"citationItems":[{"id":21,"uris":["http://zotero.org/users/local/lPvvY3SE/items/ZK4DF9U3"],"itemData":{"id":21,"type":"article-journal","abstract":"The production and use of biodiesel has seen a quantum jump in the recent past due to benefits associated with its ability to mitigate greenhouse gas (GHG). There are large number of commercial plants producing biodiesel by transesterification of vegetable oils and fats based on base catalyzed (caustic) homogeneous transesterification of oils. However, homogeneous process needs steps of glycerol separation, washings, very stringent and extremely low limits of Na, K, glycerides and moisture limits in biodiesel. Heterogeneous catalyzed production of biodiesel has emerged as a preferred route as it is environmentally benign needs no water washing and product separation is much easier. The present report is review of the progress made in development of heterogeneous catalysts suitable for biodiesel production. This review shall help in selection of suitable catalysts and the optimum conditions for biodiesel production.","container-title":"Bioresource Technology","DOI":"10.1016/j.biortech.2010.10.080","ISSN":"0960-8524","issue":"3","journalAbbreviation":"Bioresource Technology","page":"2151-2161","source":"ScienceDirect","title":"Biodiesel production using heterogeneous catalysts","volume":"102","author":[{"family":"Semwal","given":"Surbhi"},{"family":"Arora","given":"Ajay K."},{"family":"Badoni","given":"Rajendra P."},{"family":"Tuli","given":"Deepak K."}],"issued":{"date-parts":[["2011",2,1]]}}}],"schema":"https://github.com/citation-style-language/schema/raw/master/csl-citation.json"} </w:instrText>
      </w:r>
      <w:r w:rsidRPr="006365CA">
        <w:rPr>
          <w:rFonts w:cs="Arial"/>
          <w:color w:val="000000" w:themeColor="text1"/>
          <w:szCs w:val="18"/>
          <w:lang w:val="en-US"/>
        </w:rPr>
        <w:fldChar w:fldCharType="separate"/>
      </w:r>
      <w:r w:rsidRPr="006365CA">
        <w:rPr>
          <w:rFonts w:cs="Arial"/>
          <w:noProof/>
          <w:color w:val="000000" w:themeColor="text1"/>
          <w:szCs w:val="18"/>
          <w:lang w:val="en-US"/>
        </w:rPr>
        <w:t>(Semwal et al., 2011)</w:t>
      </w:r>
      <w:r w:rsidRPr="006365CA">
        <w:rPr>
          <w:rFonts w:cs="Arial"/>
          <w:color w:val="000000" w:themeColor="text1"/>
          <w:szCs w:val="18"/>
          <w:lang w:val="en-US"/>
        </w:rPr>
        <w:fldChar w:fldCharType="end"/>
      </w:r>
      <w:r w:rsidRPr="006365CA">
        <w:rPr>
          <w:rFonts w:cs="Arial"/>
          <w:color w:val="000000" w:themeColor="text1"/>
          <w:szCs w:val="18"/>
          <w:lang w:val="en-US"/>
        </w:rPr>
        <w:t xml:space="preserve">. </w:t>
      </w:r>
    </w:p>
    <w:p w14:paraId="094DBFBA" w14:textId="15663AAA" w:rsidR="007966C1" w:rsidRPr="006365CA" w:rsidRDefault="007966C1" w:rsidP="007966C1">
      <w:pPr>
        <w:pStyle w:val="CETListbullets"/>
        <w:ind w:left="113" w:firstLine="0"/>
        <w:rPr>
          <w:rFonts w:cs="Arial"/>
          <w:color w:val="000000" w:themeColor="text1"/>
          <w:szCs w:val="18"/>
        </w:rPr>
      </w:pPr>
      <w:r w:rsidRPr="006365CA">
        <w:rPr>
          <w:rFonts w:cs="Arial"/>
          <w:color w:val="000000" w:themeColor="text1"/>
          <w:szCs w:val="18"/>
          <w:lang w:val="en-US"/>
        </w:rPr>
        <w:t xml:space="preserve">The are many approaches </w:t>
      </w:r>
      <w:proofErr w:type="gramStart"/>
      <w:r w:rsidRPr="006365CA">
        <w:rPr>
          <w:rFonts w:cs="Arial"/>
          <w:color w:val="000000" w:themeColor="text1"/>
          <w:szCs w:val="18"/>
          <w:lang w:val="en-US"/>
        </w:rPr>
        <w:t>for the production of</w:t>
      </w:r>
      <w:proofErr w:type="gramEnd"/>
      <w:r w:rsidRPr="006365CA">
        <w:rPr>
          <w:rFonts w:cs="Arial"/>
          <w:color w:val="000000" w:themeColor="text1"/>
          <w:szCs w:val="18"/>
          <w:lang w:val="en-US"/>
        </w:rPr>
        <w:t xml:space="preserve"> biofuels. The most common and conventional method is the transesterification method, in which biofuel is straightforwardly produced using an acid or base catalyst in shorter chain alcohols like methanol </w:t>
      </w:r>
      <w:r w:rsidRPr="006365CA">
        <w:rPr>
          <w:rFonts w:cs="Arial"/>
          <w:color w:val="000000" w:themeColor="text1"/>
          <w:szCs w:val="18"/>
          <w:lang w:val="en-US"/>
        </w:rPr>
        <w:fldChar w:fldCharType="begin"/>
      </w:r>
      <w:r w:rsidRPr="006365CA">
        <w:rPr>
          <w:rFonts w:cs="Arial"/>
          <w:color w:val="000000" w:themeColor="text1"/>
          <w:szCs w:val="18"/>
          <w:lang w:val="en-US"/>
        </w:rPr>
        <w:instrText xml:space="preserve"> ADDIN ZOTERO_ITEM CSL_CITATION {"citationID":"bYXo9Hcx","properties":{"formattedCitation":"(Mansir et al., 2017)","plainCitation":"(Mansir et al., 2017)","noteIndex":0},"citationItems":[{"id":23,"uris":["http://zotero.org/users/local/lPvvY3SE/items/KVPJKEV8"],"itemData":{"id":23,"type":"article-journal","abstract":"The conventional fossil fuel reserves are continually declining worldwide and therefore posing greater challenges to the future of the energy sources. Biofuel alternatives were found promising to replace the diminishing fossil fuels. However, conversion of edible vegetable oils to biodiesel using homogeneous acids and base catalysts is now considered as indefensible for the future particularly due to food versus fuel competition and other environmental problems related to catalyst system and feedstock. This review has discussed the progression in research and growth related to heterogeneous catalysts used for biodiesel production for low grade feedstocks. The heterogeneous base catalysts have revealed effective way to produce biodiesel, but it has the limitation of being sensitive to high free fatty acid (FFA) or low grade feedstocks. Alternatively, solid acid catalysts are capable of converting the low grade feedstocks to biodiesel in the presence of active acid sites. The paper presents a comprehensive review towards the investigation of solid acid catalyst performance on low grade feedstock, their category, properties, advantages, limitations and possible remedy to their drawbacks for biodiesel production.","collection-title":"Sustainable Biofuels","container-title":"Energy Conversion and Management","DOI":"10.1016/j.enconman.2016.07.037","ISSN":"0196-8904","journalAbbreviation":"Energy Conversion and Management","page":"171-182","source":"ScienceDirect","title":"Investigation of heterogeneous solid acid catalyst performance on low grade feedstocks for biodiesel production: A review","title-short":"Investigation of heterogeneous solid acid catalyst performance on low grade feedstocks for biodiesel production","volume":"141","author":[{"family":"Mansir","given":"Nasar"},{"family":"Taufiq-Yap","given":"Yun Hin"},{"family":"Rashid","given":"Umer"},{"family":"Lokman","given":"Ibrahim M."}],"issued":{"date-parts":[["2017",6,1]]}}}],"schema":"https://github.com/citation-style-language/schema/raw/master/csl-citation.json"} </w:instrText>
      </w:r>
      <w:r w:rsidRPr="006365CA">
        <w:rPr>
          <w:rFonts w:cs="Arial"/>
          <w:color w:val="000000" w:themeColor="text1"/>
          <w:szCs w:val="18"/>
          <w:lang w:val="en-US"/>
        </w:rPr>
        <w:fldChar w:fldCharType="separate"/>
      </w:r>
      <w:r w:rsidRPr="006365CA">
        <w:rPr>
          <w:rFonts w:cs="Arial"/>
          <w:noProof/>
          <w:color w:val="000000" w:themeColor="text1"/>
          <w:szCs w:val="18"/>
          <w:lang w:val="en-US"/>
        </w:rPr>
        <w:t>(Mansir et al., 2017)</w:t>
      </w:r>
      <w:r w:rsidRPr="006365CA">
        <w:rPr>
          <w:rFonts w:cs="Arial"/>
          <w:color w:val="000000" w:themeColor="text1"/>
          <w:szCs w:val="18"/>
          <w:lang w:val="en-US"/>
        </w:rPr>
        <w:fldChar w:fldCharType="end"/>
      </w:r>
      <w:r w:rsidRPr="006365CA">
        <w:rPr>
          <w:rFonts w:cs="Arial"/>
          <w:color w:val="000000" w:themeColor="text1"/>
          <w:szCs w:val="18"/>
          <w:lang w:val="en-US"/>
        </w:rPr>
        <w:t xml:space="preserve">. </w:t>
      </w:r>
      <w:r w:rsidRPr="006365CA">
        <w:rPr>
          <w:rFonts w:cs="Arial"/>
          <w:color w:val="000000" w:themeColor="text1"/>
          <w:szCs w:val="18"/>
        </w:rPr>
        <w:t xml:space="preserve">The other pathways include thermal cracking </w:t>
      </w:r>
      <w:r w:rsidRPr="006365CA">
        <w:rPr>
          <w:rFonts w:cs="Arial"/>
          <w:color w:val="000000" w:themeColor="text1"/>
          <w:szCs w:val="18"/>
        </w:rPr>
        <w:fldChar w:fldCharType="begin"/>
      </w:r>
      <w:r w:rsidRPr="006365CA">
        <w:rPr>
          <w:rFonts w:cs="Arial"/>
          <w:color w:val="000000" w:themeColor="text1"/>
          <w:szCs w:val="18"/>
        </w:rPr>
        <w:instrText xml:space="preserve"> ADDIN ZOTERO_ITEM CSL_CITATION {"citationID":"ZBmp3qoe","properties":{"formattedCitation":"(Weisz et al., 1979)","plainCitation":"(Weisz et al., 1979)","noteIndex":0},"citationItems":[{"id":25,"uris":["http://zotero.org/users/local/lPvvY3SE/items/XJP4RR5T"],"itemData":{"id":25,"type":"article-journal","abstract":"Shape-selective hydrocarbon catalysis, such as the conversion capability of zealite catalysts of the ZSM-5 type to produce high-grade gasoline from methanol, can be extended to produce a similar gasoline or aromatics from plant extracts. Examples are rubber latex, corn oil, and peanut oil. Novel mechanisms for shape-selective reaction sequences are demonstrated.","container-title":"Science","DOI":"10.1126/science.206.4414.57","issue":"4414","note":"publisher: American Association for the Advancement of Science","page":"57-58","source":"science.org (Atypon)","title":"Catalytic Production of High-Grade Fuel (Gasoline) from Biomass Compounds by Shape-Selective Catalysis","volume":"206","author":[{"family":"Weisz","given":"Paul B."},{"family":"Haag","given":"Werner O."},{"family":"Rodewald","given":"Paul G."}],"issued":{"date-parts":[["1979",10,5]]}}}],"schema":"https://github.com/citation-style-language/schema/raw/master/csl-citation.json"} </w:instrText>
      </w:r>
      <w:r w:rsidRPr="006365CA">
        <w:rPr>
          <w:rFonts w:cs="Arial"/>
          <w:color w:val="000000" w:themeColor="text1"/>
          <w:szCs w:val="18"/>
        </w:rPr>
        <w:fldChar w:fldCharType="separate"/>
      </w:r>
      <w:r w:rsidRPr="006365CA">
        <w:rPr>
          <w:rFonts w:cs="Arial"/>
          <w:noProof/>
          <w:color w:val="000000" w:themeColor="text1"/>
          <w:szCs w:val="18"/>
        </w:rPr>
        <w:t>(Weisz et al., 1979)</w:t>
      </w:r>
      <w:r w:rsidRPr="006365CA">
        <w:rPr>
          <w:rFonts w:cs="Arial"/>
          <w:color w:val="000000" w:themeColor="text1"/>
          <w:szCs w:val="18"/>
        </w:rPr>
        <w:fldChar w:fldCharType="end"/>
      </w:r>
      <w:r w:rsidRPr="006365CA">
        <w:rPr>
          <w:rFonts w:cs="Arial"/>
          <w:color w:val="000000" w:themeColor="text1"/>
          <w:szCs w:val="18"/>
        </w:rPr>
        <w:t xml:space="preserve">, combustion of raw oil and electrolysis methods </w:t>
      </w:r>
      <w:r w:rsidRPr="006365CA">
        <w:rPr>
          <w:rFonts w:cs="Arial"/>
          <w:color w:val="000000" w:themeColor="text1"/>
          <w:szCs w:val="18"/>
        </w:rPr>
        <w:fldChar w:fldCharType="begin"/>
      </w:r>
      <w:r w:rsidRPr="006365CA">
        <w:rPr>
          <w:rFonts w:cs="Arial"/>
          <w:color w:val="000000" w:themeColor="text1"/>
          <w:szCs w:val="18"/>
        </w:rPr>
        <w:instrText xml:space="preserve"> ADDIN ZOTERO_ITEM CSL_CITATION {"citationID":"C3kDqtg0","properties":{"formattedCitation":"(Fereidooni et al., 2018)","plainCitation":"(Fereidooni et al., 2018)","noteIndex":0},"citationItems":[{"id":28,"uris":["http://zotero.org/users/local/lPvvY3SE/items/A3QX5D8E"],"itemData":{"id":28,"type":"article-journal","abstract":"Biodiesel produced form waste cooking oil (WCO) has increasingly attracted the attentions as an alternative fuel due to lower particulate emissions and other beneficial factors such as low cost. The present study investigated the production of biodiesel (BFD) as one of the effective methods in solving energy crises and environmental pollution. To increase the consumption of biofuels, a high yield biodiesels (96%) was produced as an alternative to fossil fuels by electrolysis method using graphite electrodes through trans-esterification reaction of WCO and KOH in presence of methanol. This reaction was done in 2 h without side saponification reaction. Biodiesel decreases the environmental effects of waste oil and can cause a new application for using the waste oil. The effect of the catalysis amount, oil/alcohol molar ratio, the amount of co-solvent, water amount, reaction temperature, voltage and the reaction time on biodiesel production were investigated confirming this method as a highly effective way for obtaining high yields. Increasing the catalyst beyond a known level decreases the reaction yield due to saponification side reactions; in consequence, an optimum amount of the catalyst should be used. Without inserting the electricity current in the environment temperature, trans-esterification reaction is done slightly in a long time but proper voltage should be used to obtain high yield, complete the reaction and decrease the reaction time. The purpose of this study is to show that the rheology of the biodiesel is a strong function of the shear history.","container-title":"Renewable Energy","DOI":"10.1016/j.renene.2017.08.067","ISSN":"0960-1481","journalAbbreviation":"Renewable Energy","page":"183-193","source":"ScienceDirect","title":"Trans-esterification of waste cooking oil with methanol by electrolysis process using KOH","volume":"116","author":[{"family":"Fereidooni","given":"Leila"},{"family":"Tahvildari","given":"Kambiz"},{"family":"Mehrpooya","given":"Mehdi"}],"issued":{"date-parts":[["2018",2,1]]}}}],"schema":"https://github.com/citation-style-language/schema/raw/master/csl-citation.json"} </w:instrText>
      </w:r>
      <w:r w:rsidRPr="006365CA">
        <w:rPr>
          <w:rFonts w:cs="Arial"/>
          <w:color w:val="000000" w:themeColor="text1"/>
          <w:szCs w:val="18"/>
        </w:rPr>
        <w:fldChar w:fldCharType="separate"/>
      </w:r>
      <w:r w:rsidRPr="006365CA">
        <w:rPr>
          <w:rFonts w:cs="Arial"/>
          <w:noProof/>
          <w:color w:val="000000" w:themeColor="text1"/>
          <w:szCs w:val="18"/>
        </w:rPr>
        <w:t>(Fereidooni et al., 2018)</w:t>
      </w:r>
      <w:r w:rsidRPr="006365CA">
        <w:rPr>
          <w:rFonts w:cs="Arial"/>
          <w:color w:val="000000" w:themeColor="text1"/>
          <w:szCs w:val="18"/>
        </w:rPr>
        <w:fldChar w:fldCharType="end"/>
      </w:r>
      <w:r w:rsidRPr="006365CA">
        <w:rPr>
          <w:rFonts w:cs="Arial"/>
          <w:color w:val="000000" w:themeColor="text1"/>
          <w:szCs w:val="18"/>
        </w:rPr>
        <w:t xml:space="preserve">. In the electrolysis method has the advantages of </w:t>
      </w:r>
      <w:r w:rsidR="00EE0992">
        <w:rPr>
          <w:rFonts w:cs="Arial"/>
          <w:color w:val="000000" w:themeColor="text1"/>
          <w:szCs w:val="18"/>
        </w:rPr>
        <w:t>time-saving</w:t>
      </w:r>
      <w:r w:rsidRPr="006365CA">
        <w:rPr>
          <w:rFonts w:cs="Arial"/>
          <w:color w:val="000000" w:themeColor="text1"/>
          <w:szCs w:val="18"/>
        </w:rPr>
        <w:t xml:space="preserve">, reduced energy usage and no need </w:t>
      </w:r>
      <w:r w:rsidR="00EE0992">
        <w:rPr>
          <w:rFonts w:cs="Arial"/>
          <w:color w:val="000000" w:themeColor="text1"/>
          <w:szCs w:val="18"/>
        </w:rPr>
        <w:t>for</w:t>
      </w:r>
      <w:r w:rsidRPr="006365CA">
        <w:rPr>
          <w:rFonts w:cs="Arial"/>
          <w:color w:val="000000" w:themeColor="text1"/>
          <w:szCs w:val="18"/>
        </w:rPr>
        <w:t xml:space="preserve"> purification stages for dewatering </w:t>
      </w:r>
      <w:r w:rsidRPr="006365CA">
        <w:rPr>
          <w:rFonts w:cs="Arial"/>
          <w:color w:val="000000" w:themeColor="text1"/>
          <w:szCs w:val="18"/>
        </w:rPr>
        <w:fldChar w:fldCharType="begin"/>
      </w:r>
      <w:r w:rsidRPr="006365CA">
        <w:rPr>
          <w:rFonts w:cs="Arial"/>
          <w:color w:val="000000" w:themeColor="text1"/>
          <w:szCs w:val="18"/>
        </w:rPr>
        <w:instrText xml:space="preserve"> ADDIN ZOTERO_ITEM CSL_CITATION {"citationID":"loZ7dguC","properties":{"formattedCitation":"(Putra et al., 2015)","plainCitation":"(Putra et al., 2015)","noteIndex":0},"citationItems":[{"id":30,"uris":["http://zotero.org/users/local/lPvvY3SE/items/A3GGM9E7"],"itemData":{"id":30,"type":"article-journal","abstract":"The conversion of fatty acid methyl ester from used cooking oil with a organocatalyst chitosan by using electrolysis process had been investigated. Fatty acid methyl ester yield was influenced by electrolysis time (2h, 4h, and 6h), chitosan mass ratio (5wt. %, 10wt. % and 15wt. %), co-solvent type (i.e. Tween 80 and Tetrahydrofuran) and methanol-to-oil molar ratio. The evaluation of the process was followed by GC-MS, determining the fatty acid methyl ester ratio at different operation variables. The results showed that the conversion of fatty acid methyl ester from used-cooking oil was obtained for 35.4% in 4h electrolysis process. When the combined use of electrolysis process and 10% chitosan was applied in 4h, the conversion of fatty acid methyl ester increased up to 59.1%. However, the optimum conversion process was achieved without use of co-solvent.","collection-title":"Conference and Exhibition Indonesia - New and Renewable Energy and Energy Conservation (The 3rd Indo EBTKE-ConEx 2014)","container-title":"Energy Procedia","DOI":"10.1016/j.egypro.2015.01.057","ISSN":"1876-6102","journalAbbreviation":"Energy Procedia","page":"309-316","source":"ScienceDirect","title":"Conversion of Methyl Ester from Used Cooking Oil: The Combined Use of Electrolysis Process and Chitosan","title-short":"Conversion of Methyl Ester from Used Cooking Oil","volume":"65","author":[{"family":"Putra","given":"Rudy Syah"},{"family":"Hartono","given":"Puji"},{"family":"Julianto","given":"Tatang Shabur"}],"issued":{"date-parts":[["2015",1,1]]}}}],"schema":"https://github.com/citation-style-language/schema/raw/master/csl-citation.json"} </w:instrText>
      </w:r>
      <w:r w:rsidRPr="006365CA">
        <w:rPr>
          <w:rFonts w:cs="Arial"/>
          <w:color w:val="000000" w:themeColor="text1"/>
          <w:szCs w:val="18"/>
        </w:rPr>
        <w:fldChar w:fldCharType="separate"/>
      </w:r>
      <w:r w:rsidRPr="006365CA">
        <w:rPr>
          <w:rFonts w:cs="Arial"/>
          <w:noProof/>
          <w:color w:val="000000" w:themeColor="text1"/>
          <w:szCs w:val="18"/>
        </w:rPr>
        <w:t>(Putra et al., 2015)</w:t>
      </w:r>
      <w:r w:rsidRPr="006365CA">
        <w:rPr>
          <w:rFonts w:cs="Arial"/>
          <w:color w:val="000000" w:themeColor="text1"/>
          <w:szCs w:val="18"/>
        </w:rPr>
        <w:fldChar w:fldCharType="end"/>
      </w:r>
      <w:r w:rsidRPr="006365CA">
        <w:rPr>
          <w:rFonts w:cs="Arial"/>
          <w:color w:val="000000" w:themeColor="text1"/>
          <w:szCs w:val="18"/>
        </w:rPr>
        <w:t xml:space="preserve">. Different electrochemistry reactions like anodic coupling of biomolecules </w:t>
      </w:r>
      <w:r w:rsidRPr="006365CA">
        <w:rPr>
          <w:rFonts w:cs="Arial"/>
          <w:color w:val="000000" w:themeColor="text1"/>
          <w:szCs w:val="18"/>
        </w:rPr>
        <w:fldChar w:fldCharType="begin"/>
      </w:r>
      <w:r w:rsidRPr="006365CA">
        <w:rPr>
          <w:rFonts w:cs="Arial"/>
          <w:color w:val="000000" w:themeColor="text1"/>
          <w:szCs w:val="18"/>
        </w:rPr>
        <w:instrText xml:space="preserve"> ADDIN ZOTERO_ITEM CSL_CITATION {"citationID":"TqyZTHWA","properties":{"formattedCitation":"(Kirste et al., 2012)","plainCitation":"(Kirste et al., 2012)","noteIndex":0},"citationItems":[{"id":32,"uris":["http://zotero.org/users/local/lPvvY3SE/items/J2VKHJRT"],"itemData":{"id":32,"type":"article-journal","abstract":"C,C cross-coupling reactions for the synthesis of nonsymmetrical biaryls represent one of the most significant transformations in contemporary organic chemistry. A variety of useful synthetic methods have been developed in recent decades, since nonsymmetrical biaryls play an evident role in natural product synthesis, as ligand systems in homogeneous catalysis and materials science. Transformation of simple arenes by direct C,H activation belongs to the cutting-edge strategies for creating biaryls; in particular the 2-fold C,H activation is of significant interest. However, in most examples very costly noble metal catalysts, ligand systems, and significant amount of waste-producing oxidants are required. Electrochemical procedures are considered as inherently “green” methods, because only electrons are required and therefore, no reagent waste is produced. Here, we report a metal-free electrochemical method for cross-coupling between phenols and arenes using boron-doped diamond (BDD) anodes in fluorinated media. Our sustainable approach requires no leaving functionalities. Employing water or methanol as mediator represents the key improvement for achieving nonsymmetrical biaryls with superb selectivity and synthetic attractive yields.","container-title":"Journal of the American Chemical Society","DOI":"10.1021/ja211005g","ISSN":"0002-7863","issue":"7","journalAbbreviation":"J. Am. Chem. Soc.","note":"publisher: American Chemical Society","page":"3571-3576","source":"ACS Publications","title":"Efficient Anodic and Direct Phenol-Arene C,C Cross-Coupling: The Benign Role of Water or Methanol","title-short":"Efficient Anodic and Direct Phenol-Arene C,C Cross-Coupling","volume":"134","author":[{"family":"Kirste","given":"Axel"},{"family":"Elsler","given":"Bernd"},{"family":"Schnakenburg","given":"Gregor"},{"family":"Waldvogel","given":"Siegfried R."}],"issued":{"date-parts":[["2012",2,22]]}}}],"schema":"https://github.com/citation-style-language/schema/raw/master/csl-citation.json"} </w:instrText>
      </w:r>
      <w:r w:rsidRPr="006365CA">
        <w:rPr>
          <w:rFonts w:cs="Arial"/>
          <w:color w:val="000000" w:themeColor="text1"/>
          <w:szCs w:val="18"/>
        </w:rPr>
        <w:fldChar w:fldCharType="separate"/>
      </w:r>
      <w:r w:rsidRPr="006365CA">
        <w:rPr>
          <w:rFonts w:cs="Arial"/>
          <w:noProof/>
          <w:color w:val="000000" w:themeColor="text1"/>
          <w:szCs w:val="18"/>
        </w:rPr>
        <w:t>(Kirste et al., 2012)</w:t>
      </w:r>
      <w:r w:rsidRPr="006365CA">
        <w:rPr>
          <w:rFonts w:cs="Arial"/>
          <w:color w:val="000000" w:themeColor="text1"/>
          <w:szCs w:val="18"/>
        </w:rPr>
        <w:fldChar w:fldCharType="end"/>
      </w:r>
      <w:r w:rsidRPr="006365CA">
        <w:rPr>
          <w:rFonts w:cs="Arial"/>
          <w:color w:val="000000" w:themeColor="text1"/>
          <w:szCs w:val="18"/>
        </w:rPr>
        <w:t xml:space="preserve">, cathodic decarboxylation </w:t>
      </w:r>
      <w:r w:rsidRPr="006365CA">
        <w:rPr>
          <w:rFonts w:cs="Arial"/>
          <w:color w:val="000000" w:themeColor="text1"/>
          <w:szCs w:val="18"/>
        </w:rPr>
        <w:fldChar w:fldCharType="begin"/>
      </w:r>
      <w:r w:rsidRPr="006365CA">
        <w:rPr>
          <w:rFonts w:cs="Arial"/>
          <w:color w:val="000000" w:themeColor="text1"/>
          <w:szCs w:val="18"/>
        </w:rPr>
        <w:instrText xml:space="preserve"> ADDIN ZOTERO_ITEM CSL_CITATION {"citationID":"zysHFQc0","properties":{"formattedCitation":"(Hegner et al., 2019)","plainCitation":"(Hegner et al., 2019)","noteIndex":0},"citationItems":[{"id":34,"uris":["http://zotero.org/users/local/lPvvY3SE/items/4ZJAEK4L"],"itemData":{"id":34,"type":"article-journal","abstract":"The coupling of electrochemical CO2 reduction to formate with the microbial biosynthesis of valuable products is promising for exploiting CO2 as well as to store excess renewable electricity. Here, electrochemical CO2 reduction to formate at bioprocess-compatible conditions was transferred from the scale of 50 mL electrochemical cells to 1 L electrobioreactors. In the 1 L electrobioreactor, a reproducible coulombic efficiency of 74.9±5.5 % and formate production rate of 0.038±0.005 mmol h−1 cm−2 could be achieved. Autoclaving by standard steam sterilization was shown to negatively affect the reliability of the process performance and, therefore, needs further investigation. However, mass transfer is not limiting for the process performance. Thus, the coupling of electrochemical CO2 reduction to formate with microbial biosynthesis in sterile conditions at technical scale can be targeted in the future.","container-title":"ChemElectroChem","DOI":"10.1002/celc.201900526","ISSN":"2196-0216","issue":"14","language":"en","license":"© 2019 The Authors. Published by Wiley-VCH Verlag GmbH &amp; Co. KGaA.","note":"_eprint: https://onlinelibrary.wiley.com/doi/pdf/10.1002/celc.201900526","page":"3731-3735","source":"Wiley Online Library","title":"Engineering electrochemical CO2 reduction to formate under bioprocess-compatible conditions to bioreactor scale","volume":"6","author":[{"family":"Hegner","given":"Richard"},{"family":"Neubert","given":"Katharina"},{"family":"Rosa","given":"Luis F. M."},{"family":"Harnisch","given":"Falk"}],"issued":{"date-parts":[["2019"]]}}}],"schema":"https://github.com/citation-style-language/schema/raw/master/csl-citation.json"} </w:instrText>
      </w:r>
      <w:r w:rsidRPr="006365CA">
        <w:rPr>
          <w:rFonts w:cs="Arial"/>
          <w:color w:val="000000" w:themeColor="text1"/>
          <w:szCs w:val="18"/>
        </w:rPr>
        <w:fldChar w:fldCharType="separate"/>
      </w:r>
      <w:r w:rsidRPr="006365CA">
        <w:rPr>
          <w:rFonts w:cs="Arial"/>
          <w:noProof/>
          <w:color w:val="000000" w:themeColor="text1"/>
          <w:szCs w:val="18"/>
        </w:rPr>
        <w:t>(Hegner et al., 2019)</w:t>
      </w:r>
      <w:r w:rsidRPr="006365CA">
        <w:rPr>
          <w:rFonts w:cs="Arial"/>
          <w:color w:val="000000" w:themeColor="text1"/>
          <w:szCs w:val="18"/>
        </w:rPr>
        <w:fldChar w:fldCharType="end"/>
      </w:r>
      <w:r w:rsidRPr="006365CA">
        <w:rPr>
          <w:rFonts w:cs="Arial"/>
          <w:color w:val="000000" w:themeColor="text1"/>
          <w:szCs w:val="18"/>
        </w:rPr>
        <w:t xml:space="preserve">, and </w:t>
      </w:r>
      <w:r w:rsidR="00EE0992">
        <w:rPr>
          <w:rFonts w:cs="Arial"/>
          <w:color w:val="000000" w:themeColor="text1"/>
          <w:szCs w:val="18"/>
        </w:rPr>
        <w:t>hydrogenation</w:t>
      </w:r>
      <w:r w:rsidRPr="006365CA">
        <w:rPr>
          <w:rFonts w:cs="Arial"/>
          <w:color w:val="000000" w:themeColor="text1"/>
          <w:szCs w:val="18"/>
        </w:rPr>
        <w:t xml:space="preserve"> reactions are on the frontline. The anodic decarboxylation of carboxylic acids also known as Kolbe electrolysis shows a great potential for the development of electro-biorefineries.</w:t>
      </w:r>
    </w:p>
    <w:p w14:paraId="06C0FA65" w14:textId="7AF9C474" w:rsidR="007966C1" w:rsidRPr="006365CA" w:rsidRDefault="007966C1" w:rsidP="007966C1">
      <w:pPr>
        <w:pStyle w:val="CETListbullets"/>
        <w:ind w:left="113" w:firstLine="0"/>
        <w:rPr>
          <w:rFonts w:cs="Arial"/>
          <w:color w:val="000000" w:themeColor="text1"/>
          <w:szCs w:val="18"/>
          <w:lang w:val="en-US"/>
        </w:rPr>
      </w:pPr>
      <w:r w:rsidRPr="006365CA">
        <w:rPr>
          <w:rFonts w:cs="Arial"/>
          <w:color w:val="000000" w:themeColor="text1"/>
          <w:szCs w:val="18"/>
        </w:rPr>
        <w:t xml:space="preserve">The Kolbe electrolysis which </w:t>
      </w:r>
      <w:r w:rsidR="00EE0992">
        <w:rPr>
          <w:rFonts w:cs="Arial"/>
          <w:color w:val="000000" w:themeColor="text1"/>
          <w:szCs w:val="18"/>
        </w:rPr>
        <w:t>was</w:t>
      </w:r>
      <w:r w:rsidRPr="006365CA">
        <w:rPr>
          <w:rFonts w:cs="Arial"/>
          <w:color w:val="000000" w:themeColor="text1"/>
          <w:szCs w:val="18"/>
        </w:rPr>
        <w:t xml:space="preserve"> discovered in the 19</w:t>
      </w:r>
      <w:r w:rsidRPr="006365CA">
        <w:rPr>
          <w:rFonts w:cs="Arial"/>
          <w:color w:val="000000" w:themeColor="text1"/>
          <w:szCs w:val="18"/>
          <w:vertAlign w:val="superscript"/>
        </w:rPr>
        <w:t>th</w:t>
      </w:r>
      <w:r w:rsidRPr="006365CA">
        <w:rPr>
          <w:rFonts w:cs="Arial"/>
          <w:color w:val="000000" w:themeColor="text1"/>
          <w:szCs w:val="18"/>
        </w:rPr>
        <w:t xml:space="preserve"> century is </w:t>
      </w:r>
      <w:r w:rsidR="00EE0992">
        <w:rPr>
          <w:rFonts w:cs="Arial"/>
          <w:color w:val="000000" w:themeColor="text1"/>
          <w:szCs w:val="18"/>
        </w:rPr>
        <w:t>an</w:t>
      </w:r>
      <w:r w:rsidRPr="006365CA">
        <w:rPr>
          <w:rFonts w:cs="Arial"/>
          <w:color w:val="000000" w:themeColor="text1"/>
          <w:szCs w:val="18"/>
        </w:rPr>
        <w:t xml:space="preserve"> environmentally friendly pathway because it can be conducted in aqueous solutions and at room temperature. </w:t>
      </w:r>
      <w:r w:rsidRPr="006365CA">
        <w:rPr>
          <w:rFonts w:cs="Arial"/>
          <w:color w:val="000000" w:themeColor="text1"/>
          <w:szCs w:val="18"/>
          <w:lang w:val="en-US"/>
        </w:rPr>
        <w:t xml:space="preserve">Until now, many studies on the conditions of the Kolbe electrolysis reaction have been carried out for tuning the selectivity of the specific reaction pathway. The concentration of fatty acid, current density, electrode material, temperature, solvent </w:t>
      </w:r>
      <w:proofErr w:type="gramStart"/>
      <w:r w:rsidRPr="006365CA">
        <w:rPr>
          <w:rFonts w:cs="Arial"/>
          <w:color w:val="000000" w:themeColor="text1"/>
          <w:szCs w:val="18"/>
          <w:lang w:val="en-US"/>
        </w:rPr>
        <w:t>nature</w:t>
      </w:r>
      <w:proofErr w:type="gramEnd"/>
      <w:r w:rsidRPr="006365CA">
        <w:rPr>
          <w:rFonts w:cs="Arial"/>
          <w:color w:val="000000" w:themeColor="text1"/>
          <w:szCs w:val="18"/>
          <w:lang w:val="en-US"/>
        </w:rPr>
        <w:t xml:space="preserve"> and pH value are found to have </w:t>
      </w:r>
      <w:r w:rsidR="00EE0992">
        <w:rPr>
          <w:rFonts w:cs="Arial"/>
          <w:color w:val="000000" w:themeColor="text1"/>
          <w:szCs w:val="18"/>
          <w:lang w:val="en-US"/>
        </w:rPr>
        <w:t xml:space="preserve">a </w:t>
      </w:r>
      <w:r w:rsidRPr="006365CA">
        <w:rPr>
          <w:rFonts w:cs="Arial"/>
          <w:color w:val="000000" w:themeColor="text1"/>
          <w:szCs w:val="18"/>
          <w:lang w:val="en-US"/>
        </w:rPr>
        <w:t>broad effect on the selectivity of the products.</w:t>
      </w:r>
    </w:p>
    <w:p w14:paraId="3452B488" w14:textId="1D542D0D" w:rsidR="007966C1" w:rsidRPr="006365CA" w:rsidRDefault="007966C1" w:rsidP="007966C1">
      <w:pPr>
        <w:pStyle w:val="CETListbullets"/>
        <w:ind w:left="113" w:firstLine="0"/>
        <w:rPr>
          <w:rFonts w:cs="Arial"/>
          <w:color w:val="000000" w:themeColor="text1"/>
          <w:szCs w:val="18"/>
          <w:lang w:val="en-US"/>
        </w:rPr>
      </w:pPr>
      <w:r w:rsidRPr="006365CA">
        <w:rPr>
          <w:rFonts w:cs="Arial"/>
          <w:color w:val="000000" w:themeColor="text1"/>
          <w:szCs w:val="18"/>
          <w:lang w:val="en-US"/>
        </w:rPr>
        <w:t xml:space="preserve">Many researchers utilize the Kolbe electrolysis for many different applications, especially to open a way for direct electrolysis on the bio-resources into biofuels. For example, </w:t>
      </w:r>
      <w:r w:rsidRPr="006365CA">
        <w:rPr>
          <w:rFonts w:cs="Arial"/>
          <w:color w:val="000000" w:themeColor="text1"/>
          <w:szCs w:val="18"/>
          <w:lang w:val="en-US"/>
        </w:rPr>
        <w:fldChar w:fldCharType="begin"/>
      </w:r>
      <w:r w:rsidRPr="006365CA">
        <w:rPr>
          <w:rFonts w:cs="Arial"/>
          <w:color w:val="000000" w:themeColor="text1"/>
          <w:szCs w:val="18"/>
          <w:lang w:val="en-US"/>
        </w:rPr>
        <w:instrText xml:space="preserve"> ADDIN ZOTERO_ITEM CSL_CITATION {"citationID":"eb4z2HDh","properties":{"formattedCitation":"(R. dos Santos et al., 2015)","plainCitation":"(R. dos Santos et al., 2015)","noteIndex":0},"citationItems":[{"id":39,"uris":["http://zotero.org/users/local/lPvvY3SE/items/W4BIVCNB"],"itemData":{"id":39,"type":"article-journal","abstract":"Electroorganic synthesis can be exploited for the production of biofuels from fatty acids and triglycerides. With Coulomb efficiencies (CE) of up to 50 %, the electrochemical decarboxylation of fatty acids in methanolic and ethanolic solutions leads to the formation of diesel-like olefin/ether mixtures. Triglycerides can be directly converted in aqueous solutions by using sonoelectrochemistry, with olefins as the main products (with a CE of more than 20 %). The latter reaction, however, is terminated at around 50 % substrate conversion by the produced side-product glycerol. An energy analysis shows that the electrochemical olefin synthesis can be an energetically competitive, sustainable, and—in comparison with established processes—economically feasible alternative for the exploitation of fats and oils for biofuel production.","container-title":"ChemSusChem","DOI":"10.1002/cssc.201403249","ISSN":"1864-564X","issue":"5","language":"en","license":"© 2015 WILEY-VCH Verlag GmbH &amp; Co. KGaA, Weinheim","note":"_eprint: https://onlinelibrary.wiley.com/doi/pdf/10.1002/cssc.201403249","page":"886-893","source":"Wiley Online Library","title":"Electrochemistry for Biofuel Generation: Transformation of Fatty Acids and Triglycerides to Diesel-Like Olefin/Ether Mixtures and Olefins","title-short":"Electrochemistry for Biofuel Generation","volume":"8","author":[{"family":"R. dos Santos","given":"Tatiane"},{"family":"Harnisch","given":"Falk"},{"family":"Nilges","given":"Peter"},{"family":"Schröder","given":"Uwe"}],"issued":{"date-parts":[["2015"]]}}}],"schema":"https://github.com/citation-style-language/schema/raw/master/csl-citation.json"} </w:instrText>
      </w:r>
      <w:r w:rsidRPr="006365CA">
        <w:rPr>
          <w:rFonts w:cs="Arial"/>
          <w:color w:val="000000" w:themeColor="text1"/>
          <w:szCs w:val="18"/>
          <w:lang w:val="en-US"/>
        </w:rPr>
        <w:fldChar w:fldCharType="separate"/>
      </w:r>
      <w:r w:rsidRPr="006365CA">
        <w:rPr>
          <w:rFonts w:cs="Arial"/>
          <w:noProof/>
          <w:color w:val="000000" w:themeColor="text1"/>
          <w:szCs w:val="18"/>
          <w:lang w:val="en-US"/>
        </w:rPr>
        <w:t>(R. dos Santos et al., 2015)</w:t>
      </w:r>
      <w:r w:rsidRPr="006365CA">
        <w:rPr>
          <w:rFonts w:cs="Arial"/>
          <w:color w:val="000000" w:themeColor="text1"/>
          <w:szCs w:val="18"/>
          <w:lang w:val="en-US"/>
        </w:rPr>
        <w:fldChar w:fldCharType="end"/>
      </w:r>
      <w:r w:rsidRPr="006365CA">
        <w:rPr>
          <w:rFonts w:cs="Arial"/>
          <w:color w:val="000000" w:themeColor="text1"/>
          <w:szCs w:val="18"/>
          <w:lang w:val="en-US"/>
        </w:rPr>
        <w:t xml:space="preserve"> investigated the conversion of fatty acids and triglycerides in organic and aqueous solvents into ether and olefins. </w:t>
      </w:r>
      <w:r w:rsidRPr="006365CA">
        <w:rPr>
          <w:rFonts w:cs="Arial"/>
          <w:color w:val="000000" w:themeColor="text1"/>
          <w:szCs w:val="18"/>
          <w:lang w:val="en-US"/>
        </w:rPr>
        <w:fldChar w:fldCharType="begin"/>
      </w:r>
      <w:r w:rsidRPr="006365CA">
        <w:rPr>
          <w:rFonts w:cs="Arial"/>
          <w:color w:val="000000" w:themeColor="text1"/>
          <w:szCs w:val="18"/>
          <w:lang w:val="en-US"/>
        </w:rPr>
        <w:instrText xml:space="preserve"> ADDIN ZOTERO_ITEM CSL_CITATION {"citationID":"L7or8l0c","properties":{"formattedCitation":"(Meyers et al., 2019)","plainCitation":"(Meyers et al., 2019)","noteIndex":0},"citationItems":[{"id":42,"uris":["http://zotero.org/users/local/lPvvY3SE/items/GQLPELEX"],"itemData":{"id":42,"type":"article-journal","abstract":"3-Hydroxy decanoic acid (3-HDA), derivable from glucose or xylose waste-streams, was successfully upgraded electrochemically into a drop-in oxygenate with promising fuel characteristics. Properties such as a cetane number of 63 together with a suitable flash point and cold filter plugging point qualify the mixture for high blending ratios with fossil diesel or Fischer–Tropsch diesel. The individual C9 oxygenates are otherwise only accessible by hydroformylation. Under optimised conditions, anodic decarboxylation of 3-HDA allowed near full conversion and over 95% total yield after 30 minutes. Further, direct electrochemical 3-HDA conversion of a fermentation broth was demonstrated. This allows for a substantial reduction of unit operations and energy requirements, highlighting the potential of integrating electrochemistry and biotechnology into future bio-refineries.","container-title":"Energy &amp; Environmental Science","DOI":"10.1039/C9EE01485C","ISSN":"1754-5706","issue":"8","journalAbbreviation":"Energy Environ. Sci.","language":"en","note":"publisher: The Royal Society of Chemistry","page":"2406-2411","source":"pubs.rsc.org","title":"Electrochemical conversion of a bio-derivable hydroxy acid to a drop-in oxygenate diesel fuel","volume":"12","author":[{"family":"Meyers","given":"Jérôme"},{"family":"Mensah","given":"Joel B."},{"family":"Holzhäuser","given":"F. Joschka"},{"family":"Omari","given":"Ahmad"},{"family":"Blesken","given":"Christian C."},{"family":"Tiso","given":"Till"},{"family":"Palkovits","given":"Stefan"},{"family":"Blank","given":"Lars M."},{"family":"Pischinger","given":"Stefan"},{"family":"Palkovits","given":"Regina"}],"issued":{"date-parts":[["2019",8,7]]}}}],"schema":"https://github.com/citation-style-language/schema/raw/master/csl-citation.json"} </w:instrText>
      </w:r>
      <w:r w:rsidRPr="006365CA">
        <w:rPr>
          <w:rFonts w:cs="Arial"/>
          <w:color w:val="000000" w:themeColor="text1"/>
          <w:szCs w:val="18"/>
          <w:lang w:val="en-US"/>
        </w:rPr>
        <w:fldChar w:fldCharType="separate"/>
      </w:r>
      <w:r w:rsidRPr="006365CA">
        <w:rPr>
          <w:rFonts w:cs="Arial"/>
          <w:noProof/>
          <w:color w:val="000000" w:themeColor="text1"/>
          <w:szCs w:val="18"/>
          <w:lang w:val="en-US"/>
        </w:rPr>
        <w:t>(Meyers et al., 2019)</w:t>
      </w:r>
      <w:r w:rsidRPr="006365CA">
        <w:rPr>
          <w:rFonts w:cs="Arial"/>
          <w:color w:val="000000" w:themeColor="text1"/>
          <w:szCs w:val="18"/>
          <w:lang w:val="en-US"/>
        </w:rPr>
        <w:fldChar w:fldCharType="end"/>
      </w:r>
      <w:r w:rsidRPr="006365CA">
        <w:rPr>
          <w:rFonts w:cs="Arial"/>
          <w:color w:val="000000" w:themeColor="text1"/>
          <w:szCs w:val="18"/>
          <w:lang w:val="en-US"/>
        </w:rPr>
        <w:t xml:space="preserve"> investigated the Kolbe electrolysis of </w:t>
      </w:r>
      <w:r w:rsidRPr="006365CA">
        <w:rPr>
          <w:rFonts w:cs="Arial"/>
          <w:color w:val="000000" w:themeColor="text1"/>
          <w:szCs w:val="18"/>
        </w:rPr>
        <w:t>3-hydroxy-decanoic acid</w:t>
      </w:r>
      <w:r w:rsidRPr="006365CA">
        <w:rPr>
          <w:rFonts w:cs="Arial"/>
          <w:color w:val="000000" w:themeColor="text1"/>
          <w:szCs w:val="18"/>
          <w:lang w:val="en-US"/>
        </w:rPr>
        <w:t xml:space="preserve"> into diesel like fuels. </w:t>
      </w:r>
      <w:r w:rsidRPr="006365CA">
        <w:rPr>
          <w:rFonts w:cs="Arial"/>
          <w:color w:val="000000" w:themeColor="text1"/>
          <w:szCs w:val="18"/>
          <w:lang w:val="en-US"/>
        </w:rPr>
        <w:lastRenderedPageBreak/>
        <w:fldChar w:fldCharType="begin"/>
      </w:r>
      <w:r w:rsidRPr="006365CA">
        <w:rPr>
          <w:rFonts w:cs="Arial"/>
          <w:color w:val="000000" w:themeColor="text1"/>
          <w:szCs w:val="18"/>
          <w:lang w:val="en-US"/>
        </w:rPr>
        <w:instrText xml:space="preserve"> ADDIN ZOTERO_ITEM CSL_CITATION {"citationID":"Uetq0OUj","properties":{"formattedCitation":"(Joschka\\uc0\\u160{}Holzh\\uc0\\u228{}user et al., 2019)","plainCitation":"(Joschka Holzhäuser et al., 2019)","dontUpdate":true,"noteIndex":0},"citationItems":[{"id":44,"uris":["http://zotero.org/users/local/lPvvY3SE/items/3NSWD2J6"],"itemData":{"id":44,"type":"article-journal","container-title":"Green Chemistry","DOI":"10.1039/C8GC03745K","issue":"9","language":"en","note":"publisher: Royal Society of Chemistry","page":"2334-2344","source":"pubs.rsc.org","title":"Electrochemical cross-coupling of biogenic di-acids for sustainable fuel production","volume":"21","author":[{"family":"Joschka Holzhäuser","given":"F."},{"family":"Creusen","given":"Guido"},{"family":"Moos","given":"Gilles"},{"family":"Dahmen","given":"Manuel"},{"family":"König","given":"Andrea"},{"family":"Artz","given":"Jens"},{"family":"Palkovits","given":"Stefan"},{"family":"Palkovits","given":"Regina"}],"issued":{"date-parts":[["2019"]]}}}],"schema":"https://github.com/citation-style-language/schema/raw/master/csl-citation.json"} </w:instrText>
      </w:r>
      <w:r w:rsidRPr="006365CA">
        <w:rPr>
          <w:rFonts w:cs="Arial"/>
          <w:color w:val="000000" w:themeColor="text1"/>
          <w:szCs w:val="18"/>
          <w:lang w:val="en-US"/>
        </w:rPr>
        <w:fldChar w:fldCharType="separate"/>
      </w:r>
      <w:r w:rsidRPr="006365CA">
        <w:rPr>
          <w:rFonts w:cs="Arial"/>
          <w:color w:val="000000" w:themeColor="text1"/>
        </w:rPr>
        <w:t>Joschka Holzhäuser et al., (2019)</w:t>
      </w:r>
      <w:r w:rsidRPr="006365CA">
        <w:rPr>
          <w:rFonts w:cs="Arial"/>
          <w:color w:val="000000" w:themeColor="text1"/>
          <w:szCs w:val="18"/>
          <w:lang w:val="en-US"/>
        </w:rPr>
        <w:fldChar w:fldCharType="end"/>
      </w:r>
      <w:r w:rsidRPr="006365CA">
        <w:rPr>
          <w:rFonts w:cs="Arial"/>
          <w:color w:val="000000" w:themeColor="text1"/>
          <w:szCs w:val="18"/>
          <w:lang w:val="en-US"/>
        </w:rPr>
        <w:t xml:space="preserve"> investigated the direct electrocatalytic conversion of lignocellulose biomass for fuel production. </w:t>
      </w:r>
      <w:r w:rsidRPr="006365CA">
        <w:rPr>
          <w:rFonts w:cs="Arial"/>
          <w:color w:val="000000" w:themeColor="text1"/>
          <w:szCs w:val="18"/>
          <w:lang w:val="en-US"/>
        </w:rPr>
        <w:fldChar w:fldCharType="begin"/>
      </w:r>
      <w:r w:rsidRPr="006365CA">
        <w:rPr>
          <w:rFonts w:cs="Arial"/>
          <w:color w:val="000000" w:themeColor="text1"/>
          <w:szCs w:val="18"/>
          <w:lang w:val="en-US"/>
        </w:rPr>
        <w:instrText xml:space="preserve"> ADDIN ZOTERO_ITEM CSL_CITATION {"citationID":"75l36Ips","properties":{"formattedCitation":"(Nilges et al., 2012)","plainCitation":"(Nilges et al., 2012)","noteIndex":0},"citationItems":[{"id":46,"uris":["http://zotero.org/users/local/lPvvY3SE/items/VQRJ4IIH"],"itemData":{"id":46,"type":"article-journal","container-title":"Energy &amp; Environmental Science","DOI":"10.1039/C1EE02685B","issue":"1","language":"en","note":"publisher: Royal Society of Chemistry","page":"5231-5235","source":"pubs.rsc.org","title":"Electrochemistry for biofuel generation: Electrochemical conversion of levulinic acid to octane","title-short":"Electrochemistry for biofuel generation","volume":"5","author":[{"family":"Nilges","given":"Peter"},{"family":"Santos","given":"Tatiane R.","dropping-particle":"dos"},{"family":"Harnisch","given":"Falk"},{"family":"Schröder","given":"Uwe"}],"issued":{"date-parts":[["2012"]]}}}],"schema":"https://github.com/citation-style-language/schema/raw/master/csl-citation.json"} </w:instrText>
      </w:r>
      <w:r w:rsidRPr="006365CA">
        <w:rPr>
          <w:rFonts w:cs="Arial"/>
          <w:color w:val="000000" w:themeColor="text1"/>
          <w:szCs w:val="18"/>
          <w:lang w:val="en-US"/>
        </w:rPr>
        <w:fldChar w:fldCharType="separate"/>
      </w:r>
      <w:r w:rsidRPr="006365CA">
        <w:rPr>
          <w:rFonts w:cs="Arial"/>
          <w:noProof/>
          <w:color w:val="000000" w:themeColor="text1"/>
          <w:szCs w:val="18"/>
          <w:lang w:val="en-US"/>
        </w:rPr>
        <w:t>(Nilges et al., 2012)</w:t>
      </w:r>
      <w:r w:rsidRPr="006365CA">
        <w:rPr>
          <w:rFonts w:cs="Arial"/>
          <w:color w:val="000000" w:themeColor="text1"/>
          <w:szCs w:val="18"/>
          <w:lang w:val="en-US"/>
        </w:rPr>
        <w:fldChar w:fldCharType="end"/>
      </w:r>
      <w:r w:rsidRPr="006365CA">
        <w:rPr>
          <w:rFonts w:cs="Arial"/>
          <w:color w:val="000000" w:themeColor="text1"/>
          <w:szCs w:val="18"/>
          <w:lang w:val="en-US"/>
        </w:rPr>
        <w:t xml:space="preserve"> used </w:t>
      </w:r>
      <w:r w:rsidR="00EE0992">
        <w:rPr>
          <w:rFonts w:cs="Arial"/>
          <w:color w:val="000000" w:themeColor="text1"/>
          <w:szCs w:val="18"/>
          <w:lang w:val="en-US"/>
        </w:rPr>
        <w:t>two-step</w:t>
      </w:r>
      <w:r w:rsidRPr="006365CA">
        <w:rPr>
          <w:rFonts w:cs="Arial"/>
          <w:color w:val="000000" w:themeColor="text1"/>
          <w:szCs w:val="18"/>
          <w:lang w:val="en-US"/>
        </w:rPr>
        <w:t xml:space="preserve"> electrochemical conversion </w:t>
      </w:r>
      <w:proofErr w:type="gramStart"/>
      <w:r w:rsidRPr="006365CA">
        <w:rPr>
          <w:rFonts w:cs="Arial"/>
          <w:color w:val="000000" w:themeColor="text1"/>
          <w:szCs w:val="18"/>
          <w:lang w:val="en-US"/>
        </w:rPr>
        <w:t>for the production of</w:t>
      </w:r>
      <w:proofErr w:type="gramEnd"/>
      <w:r w:rsidRPr="006365CA">
        <w:rPr>
          <w:rFonts w:cs="Arial"/>
          <w:color w:val="000000" w:themeColor="text1"/>
          <w:szCs w:val="18"/>
          <w:lang w:val="en-US"/>
        </w:rPr>
        <w:t xml:space="preserve"> octane as a fuel from levulinic acid through valeric acid.</w:t>
      </w:r>
    </w:p>
    <w:p w14:paraId="63E495F4" w14:textId="7B50C37F" w:rsidR="007966C1" w:rsidRPr="006365CA" w:rsidRDefault="007966C1" w:rsidP="007966C1">
      <w:pPr>
        <w:pStyle w:val="CETListbullets"/>
        <w:ind w:left="113" w:firstLine="0"/>
        <w:rPr>
          <w:rFonts w:cs="Arial"/>
          <w:color w:val="000000" w:themeColor="text1"/>
          <w:szCs w:val="18"/>
          <w:lang w:val="en-US"/>
        </w:rPr>
      </w:pPr>
      <w:r w:rsidRPr="006365CA">
        <w:rPr>
          <w:rFonts w:cs="Arial"/>
          <w:color w:val="000000" w:themeColor="text1"/>
          <w:szCs w:val="18"/>
          <w:lang w:val="en-US"/>
        </w:rPr>
        <w:t xml:space="preserve">A common restriction in the electrochemical process for the conversion of biomass feedstock is their solubility. Therefore, a recent trend in the Kolbe electrolysis is to use the process in combination with biological, </w:t>
      </w:r>
      <w:proofErr w:type="gramStart"/>
      <w:r w:rsidRPr="006365CA">
        <w:rPr>
          <w:rFonts w:cs="Arial"/>
          <w:color w:val="000000" w:themeColor="text1"/>
          <w:szCs w:val="18"/>
          <w:lang w:val="en-US"/>
        </w:rPr>
        <w:t>chemical</w:t>
      </w:r>
      <w:proofErr w:type="gramEnd"/>
      <w:r w:rsidRPr="006365CA">
        <w:rPr>
          <w:rFonts w:cs="Arial"/>
          <w:color w:val="000000" w:themeColor="text1"/>
          <w:szCs w:val="18"/>
          <w:lang w:val="en-US"/>
        </w:rPr>
        <w:t xml:space="preserve"> or thermal pretreatment processes for the conversion of biomass into biofuels. Recently, </w:t>
      </w:r>
      <w:r w:rsidRPr="006365CA">
        <w:rPr>
          <w:rFonts w:cs="Arial"/>
          <w:color w:val="000000" w:themeColor="text1"/>
          <w:szCs w:val="18"/>
          <w:lang w:val="en-US"/>
        </w:rPr>
        <w:fldChar w:fldCharType="begin"/>
      </w:r>
      <w:r w:rsidRPr="006365CA">
        <w:rPr>
          <w:rFonts w:cs="Arial"/>
          <w:color w:val="000000" w:themeColor="text1"/>
          <w:szCs w:val="18"/>
          <w:lang w:val="en-US"/>
        </w:rPr>
        <w:instrText xml:space="preserve"> ADDIN ZOTERO_ITEM CSL_CITATION {"citationID":"DqEE9oMt","properties":{"formattedCitation":"(Urban et al., 2017)","plainCitation":"(Urban et al., 2017)","noteIndex":0},"citationItems":[{"id":48,"uris":["http://zotero.org/users/local/lPvvY3SE/items/SB8NCAMU"],"itemData":{"id":48,"type":"article-journal","abstract":"Renewable electrical energy production, such as wind power or photovoltaics, faces temporal fluctuations and spatial separation of source and sink creating the need for suitable storage and conversion technologies. Furthermore, a bio-based economy needs technologies allowing the on-demand and on-site conversion of biomass to platform chemicals and chemical energy carriers. This study combines microbial and electrochemical conversions, allowing production of chemicals from biomass and electricity. Carboxylic acids (CAs) are produced by anaerobic conversion of a renewable feedstock with reactor microbiomes. CAs are subsequently electrochemically upgraded to yield energy-dense alkanes. We present a proof-of-concept based on experimental data for each step in two independent case studies at laboratory scale. During continuous CA fermentation from corn beer, mainly n-caproic and n-caprylic acid were produced yielding in total 0.638 g COD g−1 COD [CA/corn beer]. A batch system fed with corn silage yielded mainly n-butyric acid (0.207 g COD g−1 COD [CA/corn silage]), and some n-caproic acid (0.030 g COD g−1 COD [CA/corn silage]). The CAs were removed from the fermentation broth using a pertraction system. Subsequently, the CAs were electrochemically converted via Kolbe reaction and other reaction pathways. Depending on the carbon chain length of the CAs, liquid alkanes (from medium-chain CAs) or gaseous alkanes and alcohols (from short-chain CAs) were gained. Coulombic efficiencies of up to 80% were achieved despite the alkaline (pH 9) electrolysis conditions that are dictated by the pertraction system. Remarkably, CAs with a carbon chain length of six or more C-atoms were successfully converted to liquid alkanes at a high yield (in total: 0.480 g COD g−1 COD [hydrocarbon/corn beer]). This was achieved at an energy input of only 0.100 kW h per mol of converted CA (considering the electrochemical half cell reaction). Noteworthily, the electrochemical CA conversion is much faster than the CA fermentation, allowing intermittent electrolysis during periods of excess electrical power. We demonstrate that the finally gained product is suitable as a drop-in fuel without any further downstream processing. The future general potential as well as requirements for the concept are discussed.","container-title":"Energy &amp; Environmental Science","DOI":"10.1039/C7EE01303E","ISSN":"1754-5706","issue":"10","journalAbbreviation":"Energy Environ. Sci.","language":"en","note":"publisher: The Royal Society of Chemistry","page":"2231-2244","source":"pubs.rsc.org","title":"Production of drop-in fuels from biomass at high selectivity by combined microbial and electrochemical conversion","volume":"10","author":[{"family":"Urban","given":"Carolin"},{"family":"Xu","given":"Jiajie"},{"family":"Sträuber","given":"Heike"},{"family":"Dantas","given":"Tatiane R. dos Santos"},{"family":"Mühlenberg","given":"Jana"},{"family":"Härtig","given":"Claus"},{"family":"Angenent","given":"Largus T."},{"family":"Harnisch","given":"Falk"}],"issued":{"date-parts":[["2017",10,11]]}}}],"schema":"https://github.com/citation-style-language/schema/raw/master/csl-citation.json"} </w:instrText>
      </w:r>
      <w:r w:rsidRPr="006365CA">
        <w:rPr>
          <w:rFonts w:cs="Arial"/>
          <w:color w:val="000000" w:themeColor="text1"/>
          <w:szCs w:val="18"/>
          <w:lang w:val="en-US"/>
        </w:rPr>
        <w:fldChar w:fldCharType="separate"/>
      </w:r>
      <w:r w:rsidRPr="006365CA">
        <w:rPr>
          <w:rFonts w:cs="Arial"/>
          <w:noProof/>
          <w:color w:val="000000" w:themeColor="text1"/>
          <w:szCs w:val="18"/>
          <w:lang w:val="en-US"/>
        </w:rPr>
        <w:t>(Urban et al., 2017)</w:t>
      </w:r>
      <w:r w:rsidRPr="006365CA">
        <w:rPr>
          <w:rFonts w:cs="Arial"/>
          <w:color w:val="000000" w:themeColor="text1"/>
          <w:szCs w:val="18"/>
          <w:lang w:val="en-US"/>
        </w:rPr>
        <w:fldChar w:fldCharType="end"/>
      </w:r>
      <w:r w:rsidRPr="006365CA">
        <w:rPr>
          <w:rFonts w:cs="Arial"/>
          <w:color w:val="000000" w:themeColor="text1"/>
          <w:szCs w:val="18"/>
          <w:lang w:val="en-US"/>
        </w:rPr>
        <w:t xml:space="preserve"> </w:t>
      </w:r>
      <w:r w:rsidRPr="006365CA">
        <w:rPr>
          <w:rFonts w:cs="Arial"/>
          <w:color w:val="000000" w:themeColor="text1"/>
          <w:szCs w:val="18"/>
        </w:rPr>
        <w:t xml:space="preserve">successfully proved the conversion of corn beer to a hydrocarbon mixture as a drop-in-fuel by using combined microbial and electrolysis methods. Similarly, </w:t>
      </w:r>
      <w:r w:rsidRPr="006365CA">
        <w:rPr>
          <w:rFonts w:cs="Arial"/>
          <w:color w:val="000000" w:themeColor="text1"/>
          <w:szCs w:val="18"/>
        </w:rPr>
        <w:fldChar w:fldCharType="begin"/>
      </w:r>
      <w:r w:rsidRPr="006365CA">
        <w:rPr>
          <w:rFonts w:cs="Arial"/>
          <w:color w:val="000000" w:themeColor="text1"/>
          <w:szCs w:val="18"/>
        </w:rPr>
        <w:instrText xml:space="preserve"> ADDIN ZOTERO_ITEM CSL_CITATION {"citationID":"qTW26IXC","properties":{"formattedCitation":"(Teetz et al., 2022)","plainCitation":"(Teetz et al., 2022)","noteIndex":0},"citationItems":[{"id":50,"uris":["http://zotero.org/users/local/lPvvY3SE/items/AZ5GD9Q4"],"itemData":{"id":50,"type":"article-journal","abstract":"The chemical industry is transitioning to more sustainable and biobased processes. One key element of this transition is coupling energy fluxes and feedstock utilization for optimizing processes, routes and efficiencies. Here, we show for the first time the coupling of the Kolbe electrolysis at the anode with a subsequent microbial conversion of the cathodically produced co-product hydrogen. Kolbe electrolysis of valeric acid yields the liquid drop-in fuel additive n-octane. Subsequently, the solvent isopropanol is produced by resting Cupriavidus necator cells using gaseous electrolysis products (esp. CO2 and H2). The resting microbial cells show carbon efficiencies of up to 41 % and Coulombic/Faradaic efficiencies of 60 % and 80 % for anodic and cathodic reactions, respectively. The implementation of a paired electrolyser resulted in superior process performances with overall efficiencies of up to 64.4 %.","container-title":"Angewandte Chemie International Edition","DOI":"10.1002/anie.202210596","ISSN":"1521-3773","issue":"50","language":"en","license":"© 2022 The Authors. Angewandte Chemie International Edition published by Wiley-VCH GmbH","note":"_eprint: https://onlinelibrary.wiley.com/doi/pdf/10.1002/anie.202210596","page":"e202210596","source":"Wiley Online Library","title":"Upgrading Kolbe Electrolysis—Highly Efficient Production of Green Fuels and Solvents by Coupling Biosynthesis and Electrosynthesis","volume":"61","author":[{"family":"Teetz","given":"Niklas"},{"family":"Holtmann","given":"Dirk"},{"family":"Harnisch","given":"Falk"},{"family":"Stöckl","given":"Markus"}],"issued":{"date-parts":[["2022"]]}}}],"schema":"https://github.com/citation-style-language/schema/raw/master/csl-citation.json"} </w:instrText>
      </w:r>
      <w:r w:rsidRPr="006365CA">
        <w:rPr>
          <w:rFonts w:cs="Arial"/>
          <w:color w:val="000000" w:themeColor="text1"/>
          <w:szCs w:val="18"/>
        </w:rPr>
        <w:fldChar w:fldCharType="separate"/>
      </w:r>
      <w:r w:rsidRPr="006365CA">
        <w:rPr>
          <w:rFonts w:cs="Arial"/>
          <w:noProof/>
          <w:color w:val="000000" w:themeColor="text1"/>
          <w:szCs w:val="18"/>
        </w:rPr>
        <w:t>(Teetz et al., 2022)</w:t>
      </w:r>
      <w:r w:rsidRPr="006365CA">
        <w:rPr>
          <w:rFonts w:cs="Arial"/>
          <w:color w:val="000000" w:themeColor="text1"/>
          <w:szCs w:val="18"/>
        </w:rPr>
        <w:fldChar w:fldCharType="end"/>
      </w:r>
      <w:r w:rsidRPr="006365CA">
        <w:rPr>
          <w:rFonts w:cs="Arial"/>
          <w:color w:val="000000" w:themeColor="text1"/>
          <w:szCs w:val="18"/>
        </w:rPr>
        <w:t xml:space="preserve"> produces green fuels and solvents by utilizing the combination of biosynthesis and electrosynthesis. The second challenge for the direct electrochemical conversion of biomass is </w:t>
      </w:r>
      <w:r w:rsidR="006226DE">
        <w:rPr>
          <w:rFonts w:cs="Arial"/>
          <w:color w:val="000000" w:themeColor="text1"/>
          <w:szCs w:val="18"/>
        </w:rPr>
        <w:t>its</w:t>
      </w:r>
      <w:r w:rsidRPr="006365CA">
        <w:rPr>
          <w:rFonts w:cs="Arial"/>
          <w:color w:val="000000" w:themeColor="text1"/>
          <w:szCs w:val="18"/>
        </w:rPr>
        <w:t xml:space="preserve"> complex structure. Therefore, it</w:t>
      </w:r>
      <w:r w:rsidRPr="006365CA">
        <w:rPr>
          <w:rFonts w:cs="Arial"/>
          <w:color w:val="000000" w:themeColor="text1"/>
          <w:szCs w:val="18"/>
          <w:lang w:val="en-US"/>
        </w:rPr>
        <w:t xml:space="preserve"> is important to ensure the contact between substrate and electrode for the efficient conversion. A very important work for understanding the mechanism of homo- and hetero-coupling of bio-based mixture of fatty acids providing full detail of electrons transfers and </w:t>
      </w:r>
      <w:r w:rsidR="006226DE">
        <w:rPr>
          <w:rFonts w:cs="Arial"/>
          <w:color w:val="000000" w:themeColor="text1"/>
          <w:szCs w:val="18"/>
          <w:lang w:val="en-US"/>
        </w:rPr>
        <w:t>product</w:t>
      </w:r>
      <w:r w:rsidRPr="006365CA">
        <w:rPr>
          <w:rFonts w:cs="Arial"/>
          <w:color w:val="000000" w:themeColor="text1"/>
          <w:szCs w:val="18"/>
          <w:lang w:val="en-US"/>
        </w:rPr>
        <w:t xml:space="preserve"> formation was done by </w:t>
      </w:r>
      <w:r w:rsidRPr="006365CA">
        <w:rPr>
          <w:rFonts w:cs="Arial"/>
          <w:color w:val="000000" w:themeColor="text1"/>
          <w:szCs w:val="18"/>
          <w:lang w:val="en-US"/>
        </w:rPr>
        <w:fldChar w:fldCharType="begin"/>
      </w:r>
      <w:r w:rsidRPr="006365CA">
        <w:rPr>
          <w:rFonts w:cs="Arial"/>
          <w:color w:val="000000" w:themeColor="text1"/>
          <w:szCs w:val="18"/>
          <w:lang w:val="en-US"/>
        </w:rPr>
        <w:instrText xml:space="preserve"> ADDIN ZOTERO_ITEM CSL_CITATION {"citationID":"EEcKEbF2","properties":{"formattedCitation":"(Neubert et al., 2022)","plainCitation":"(Neubert et al., 2022)","noteIndex":0},"citationItems":[{"id":53,"uris":["http://zotero.org/users/local/lPvvY3SE/items/BIILX9RT"],"itemData":{"id":53,"type":"article-journal","abstract":"Mixtures of n-carboxylic acids (n-CA) as derived from microbial conversion of waste biomass were converted to bio-fuel using Kolbe electrolysis. While providing full carbon and electron balances, key parameters like electrolysis time, chain length of n-CA, and pH were investigated for their influence on reaction efficiency. Electrolysis of n-hexanoic acid showed the highest coulombic efficiency (CE) of 58.9±16.4 % (n=4) for liquid fuel production among individually tested n-CA. Duration of the electrolysis was varied within a range of 0.27 to 1.02 faraday equivalents without loss of efficiency. Noteworthy, CE increased to around 70 % by hetero-coupling when electrolysing n-CA mixtures regardless of the applied pH. Thus, 1 L of fuel could be produced from 12.4 mol of n-CA mixture using 5.02 kWh (&lt;1 € L−1). Thus, a coupling with microbial processes producing n-CA mixtures from different organic substrates and waste is more than promising.","container-title":"ChemSusChem","DOI":"10.1002/cssc.202201426","ISSN":"1864-564X","issue":"21","language":"en","license":"© 2022 The Authors. ChemSusChem published by Wiley-VCH GmbH","note":"_eprint: https://onlinelibrary.wiley.com/doi/pdf/10.1002/cssc.202201426","page":"e202201426","source":"Wiley Online Library","title":"Hetero-Coupling of Bio-Based Medium-Chain Carboxylic Acids by Kolbe Electrolysis Enables High Fuel Yield and Efficiency","volume":"15","author":[{"family":"Neubert","given":"Katharina"},{"family":"Hell","given":"Max"},{"family":"Chávez Morejón","given":"Micjel"},{"family":"Harnisch","given":"Falk"}],"issued":{"date-parts":[["2022"]]}}}],"schema":"https://github.com/citation-style-language/schema/raw/master/csl-citation.json"} </w:instrText>
      </w:r>
      <w:r w:rsidRPr="006365CA">
        <w:rPr>
          <w:rFonts w:cs="Arial"/>
          <w:color w:val="000000" w:themeColor="text1"/>
          <w:szCs w:val="18"/>
          <w:lang w:val="en-US"/>
        </w:rPr>
        <w:fldChar w:fldCharType="separate"/>
      </w:r>
      <w:r w:rsidRPr="006365CA">
        <w:rPr>
          <w:rFonts w:cs="Arial"/>
          <w:noProof/>
          <w:color w:val="000000" w:themeColor="text1"/>
          <w:szCs w:val="18"/>
          <w:lang w:val="en-US"/>
        </w:rPr>
        <w:t>(Neubert et al., 2022)</w:t>
      </w:r>
      <w:r w:rsidRPr="006365CA">
        <w:rPr>
          <w:rFonts w:cs="Arial"/>
          <w:color w:val="000000" w:themeColor="text1"/>
          <w:szCs w:val="18"/>
          <w:lang w:val="en-US"/>
        </w:rPr>
        <w:fldChar w:fldCharType="end"/>
      </w:r>
      <w:r w:rsidRPr="006365CA">
        <w:rPr>
          <w:rFonts w:cs="Arial"/>
          <w:color w:val="000000" w:themeColor="text1"/>
          <w:szCs w:val="18"/>
          <w:lang w:val="en-US"/>
        </w:rPr>
        <w:t xml:space="preserve">. </w:t>
      </w:r>
    </w:p>
    <w:p w14:paraId="53599598" w14:textId="42FF4C40" w:rsidR="007966C1" w:rsidRPr="006365CA" w:rsidRDefault="007966C1" w:rsidP="007966C1">
      <w:pPr>
        <w:pStyle w:val="CETListbullets"/>
        <w:ind w:left="113" w:firstLine="0"/>
        <w:rPr>
          <w:rFonts w:cs="Arial"/>
          <w:color w:val="000000" w:themeColor="text1"/>
          <w:szCs w:val="18"/>
          <w:lang w:val="en-US"/>
        </w:rPr>
      </w:pPr>
      <w:r w:rsidRPr="006365CA">
        <w:rPr>
          <w:rFonts w:cs="Arial"/>
          <w:color w:val="000000" w:themeColor="text1"/>
          <w:szCs w:val="18"/>
          <w:lang w:val="en-US"/>
        </w:rPr>
        <w:t xml:space="preserve">This study describes the Kolbe electrolysis of single </w:t>
      </w:r>
      <w:r w:rsidR="006226DE">
        <w:rPr>
          <w:rFonts w:cs="Arial"/>
          <w:color w:val="000000" w:themeColor="text1"/>
          <w:szCs w:val="18"/>
          <w:lang w:val="en-US"/>
        </w:rPr>
        <w:t>long-chain</w:t>
      </w:r>
      <w:r w:rsidRPr="006365CA">
        <w:rPr>
          <w:rFonts w:cs="Arial"/>
          <w:color w:val="000000" w:themeColor="text1"/>
          <w:szCs w:val="18"/>
          <w:lang w:val="en-US"/>
        </w:rPr>
        <w:t xml:space="preserve"> carboxylic acids (lauric and palmitic acids) that are the essential parts of different vegetable oils. Lauric acid is the main constituent of coconut oil (45,4 g/100 g </w:t>
      </w:r>
      <w:proofErr w:type="spellStart"/>
      <w:r w:rsidRPr="006365CA">
        <w:rPr>
          <w:rFonts w:cs="Arial"/>
          <w:color w:val="000000" w:themeColor="text1"/>
          <w:szCs w:val="18"/>
          <w:lang w:val="en-US"/>
        </w:rPr>
        <w:t>f.a.</w:t>
      </w:r>
      <w:r w:rsidRPr="006365CA">
        <w:rPr>
          <w:rFonts w:cs="Arial"/>
          <w:color w:val="000000" w:themeColor="text1"/>
          <w:szCs w:val="18"/>
          <w:vertAlign w:val="subscript"/>
          <w:lang w:val="en-US"/>
        </w:rPr>
        <w:t>tot</w:t>
      </w:r>
      <w:proofErr w:type="spellEnd"/>
      <w:r w:rsidRPr="006365CA">
        <w:rPr>
          <w:rFonts w:cs="Arial"/>
          <w:color w:val="000000" w:themeColor="text1"/>
          <w:szCs w:val="18"/>
          <w:lang w:val="en-US"/>
        </w:rPr>
        <w:t xml:space="preserve">, where </w:t>
      </w:r>
      <w:proofErr w:type="spellStart"/>
      <w:r w:rsidRPr="006365CA">
        <w:rPr>
          <w:rFonts w:cs="Arial"/>
          <w:color w:val="000000" w:themeColor="text1"/>
          <w:szCs w:val="18"/>
          <w:lang w:val="en-US"/>
        </w:rPr>
        <w:t>f.a.</w:t>
      </w:r>
      <w:r w:rsidRPr="006365CA">
        <w:rPr>
          <w:rFonts w:cs="Arial"/>
          <w:color w:val="000000" w:themeColor="text1"/>
          <w:szCs w:val="18"/>
          <w:vertAlign w:val="subscript"/>
          <w:lang w:val="en-US"/>
        </w:rPr>
        <w:t>tot</w:t>
      </w:r>
      <w:proofErr w:type="spellEnd"/>
      <w:r w:rsidRPr="006365CA">
        <w:rPr>
          <w:rFonts w:cs="Arial"/>
          <w:color w:val="000000" w:themeColor="text1"/>
          <w:szCs w:val="18"/>
          <w:lang w:val="en-US"/>
        </w:rPr>
        <w:t xml:space="preserve"> is the total of fatty acids) and of palm-kernel oil (46,9 g/100 g </w:t>
      </w:r>
      <w:proofErr w:type="spellStart"/>
      <w:r w:rsidRPr="006365CA">
        <w:rPr>
          <w:rFonts w:cs="Arial"/>
          <w:color w:val="000000" w:themeColor="text1"/>
          <w:szCs w:val="18"/>
          <w:lang w:val="en-US"/>
        </w:rPr>
        <w:t>f.a.</w:t>
      </w:r>
      <w:r w:rsidRPr="006365CA">
        <w:rPr>
          <w:rFonts w:cs="Arial"/>
          <w:color w:val="000000" w:themeColor="text1"/>
          <w:szCs w:val="18"/>
          <w:vertAlign w:val="subscript"/>
          <w:lang w:val="en-US"/>
        </w:rPr>
        <w:t>tot</w:t>
      </w:r>
      <w:proofErr w:type="spellEnd"/>
      <w:r w:rsidRPr="006365CA">
        <w:rPr>
          <w:rFonts w:cs="Arial"/>
          <w:color w:val="000000" w:themeColor="text1"/>
          <w:szCs w:val="18"/>
          <w:lang w:val="en-US"/>
        </w:rPr>
        <w:t xml:space="preserve">). Palmitic acid constitutes 40,1 g/100 g </w:t>
      </w:r>
      <w:proofErr w:type="spellStart"/>
      <w:r w:rsidRPr="006365CA">
        <w:rPr>
          <w:rFonts w:cs="Arial"/>
          <w:color w:val="000000" w:themeColor="text1"/>
          <w:szCs w:val="18"/>
          <w:lang w:val="en-US"/>
        </w:rPr>
        <w:t>f.a.</w:t>
      </w:r>
      <w:r w:rsidRPr="006365CA">
        <w:rPr>
          <w:rFonts w:cs="Arial"/>
          <w:color w:val="000000" w:themeColor="text1"/>
          <w:szCs w:val="18"/>
          <w:vertAlign w:val="subscript"/>
          <w:lang w:val="en-US"/>
        </w:rPr>
        <w:t>tot</w:t>
      </w:r>
      <w:proofErr w:type="spellEnd"/>
      <w:r w:rsidRPr="006365CA">
        <w:rPr>
          <w:rFonts w:cs="Arial"/>
          <w:color w:val="000000" w:themeColor="text1"/>
          <w:szCs w:val="18"/>
          <w:lang w:val="en-US"/>
        </w:rPr>
        <w:t xml:space="preserve"> of palm oil</w:t>
      </w:r>
      <w:r w:rsidR="00476AF6">
        <w:rPr>
          <w:rFonts w:cs="Arial"/>
          <w:color w:val="000000" w:themeColor="text1"/>
          <w:szCs w:val="18"/>
          <w:lang w:val="en-US"/>
        </w:rPr>
        <w:t xml:space="preserve"> </w:t>
      </w:r>
      <w:r w:rsidR="00476AF6">
        <w:rPr>
          <w:rFonts w:cs="Arial"/>
          <w:color w:val="000000" w:themeColor="text1"/>
          <w:szCs w:val="18"/>
          <w:lang w:val="en-US"/>
        </w:rPr>
        <w:fldChar w:fldCharType="begin"/>
      </w:r>
      <w:r w:rsidR="00476AF6">
        <w:rPr>
          <w:rFonts w:cs="Arial"/>
          <w:color w:val="000000" w:themeColor="text1"/>
          <w:szCs w:val="18"/>
          <w:lang w:val="en-US"/>
        </w:rPr>
        <w:instrText xml:space="preserve"> ADDIN ZOTERO_ITEM CSL_CITATION {"citationID":"8TmR1O1z","properties":{"formattedCitation":"(Johnstone, 1991)","plainCitation":"(Johnstone, 1991)","noteIndex":0},"citationItems":[{"id":66,"uris":["http://zotero.org/users/local/lPvvY3SE/items/XMBAM9YY"],"itemData":{"id":66,"type":"article-journal","container-title":"Journal of Chemical Technology &amp; Biotechnology","DOI":"10.1002/jctb.280500215","ISSN":"1097-4660","issue":"2","language":"en","license":"Copyright © 1991 Society of Chemical Industry","note":"_eprint: https://onlinelibrary.wiley.com/doi/pdf/10.1002/jctb.280500215","page":"294-295","source":"Wiley Online Library","title":"CRC Handbook of Chemistry and Physics—69th Edition Editor in Chief R. C. Weast, CRC Press Inc., Boca Raton, Florida, 1988, pp. 2400, price £57.50. ISBN 0–8493–0369–5","volume":"50","author":[{"family":"Johnstone","given":"A. H."}],"issued":{"date-parts":[["1991"]]}}}],"schema":"https://github.com/citation-style-language/schema/raw/master/csl-citation.json"} </w:instrText>
      </w:r>
      <w:r w:rsidR="00476AF6">
        <w:rPr>
          <w:rFonts w:cs="Arial"/>
          <w:color w:val="000000" w:themeColor="text1"/>
          <w:szCs w:val="18"/>
          <w:lang w:val="en-US"/>
        </w:rPr>
        <w:fldChar w:fldCharType="separate"/>
      </w:r>
      <w:r w:rsidR="00476AF6">
        <w:rPr>
          <w:rFonts w:cs="Arial"/>
          <w:noProof/>
          <w:color w:val="000000" w:themeColor="text1"/>
          <w:szCs w:val="18"/>
          <w:lang w:val="en-US"/>
        </w:rPr>
        <w:t>(Johnstone, 1991)</w:t>
      </w:r>
      <w:r w:rsidR="00476AF6">
        <w:rPr>
          <w:rFonts w:cs="Arial"/>
          <w:color w:val="000000" w:themeColor="text1"/>
          <w:szCs w:val="18"/>
          <w:lang w:val="en-US"/>
        </w:rPr>
        <w:fldChar w:fldCharType="end"/>
      </w:r>
      <w:r w:rsidRPr="006365CA">
        <w:rPr>
          <w:rFonts w:cs="Arial"/>
          <w:color w:val="000000" w:themeColor="text1"/>
          <w:szCs w:val="18"/>
          <w:lang w:val="en-US"/>
        </w:rPr>
        <w:t xml:space="preserve">. These acids are commonly obtained from vegetable oils through biological conversion, and thereof the electrolysis on the mixture of carboxylic acids is also performed. Since using the mixture of carboxylic acids can be a representative for the implementation of combined electrochemical with biological process. The electrolysis of single and mixture of carboxylic acids were conducted </w:t>
      </w:r>
      <w:proofErr w:type="gramStart"/>
      <w:r w:rsidRPr="006365CA">
        <w:rPr>
          <w:rFonts w:cs="Arial"/>
          <w:color w:val="000000" w:themeColor="text1"/>
          <w:szCs w:val="18"/>
          <w:lang w:val="en-US"/>
        </w:rPr>
        <w:t>for the production of</w:t>
      </w:r>
      <w:proofErr w:type="gramEnd"/>
      <w:r w:rsidRPr="006365CA">
        <w:rPr>
          <w:rFonts w:cs="Arial"/>
          <w:color w:val="000000" w:themeColor="text1"/>
          <w:szCs w:val="18"/>
          <w:lang w:val="en-US"/>
        </w:rPr>
        <w:t xml:space="preserve"> long chain hydrocarbons as a result of homo- and hetero-coupling of radicals, which have many industrial applications like diesel and heavy fuel production, waxes and lubricants, pharmaceutical and agrochemicals etc. The effect of different parameters on the electrolysis of single/mixture of carboxylic acids and their product distribution were investigated.</w:t>
      </w:r>
    </w:p>
    <w:p w14:paraId="5CD22D8A" w14:textId="77777777" w:rsidR="0047320F" w:rsidRPr="006365CA" w:rsidRDefault="0047320F" w:rsidP="00BD5543">
      <w:pPr>
        <w:pStyle w:val="CETListbullets"/>
        <w:ind w:left="113" w:firstLine="0"/>
        <w:rPr>
          <w:rFonts w:cs="Arial"/>
          <w:color w:val="000000" w:themeColor="text1"/>
          <w:szCs w:val="18"/>
          <w:lang w:val="en-US"/>
        </w:rPr>
      </w:pPr>
    </w:p>
    <w:p w14:paraId="27A00E48" w14:textId="7A78EF95" w:rsidR="00BD5543" w:rsidRPr="008E084A" w:rsidRDefault="007E393D" w:rsidP="007E393D">
      <w:pPr>
        <w:pStyle w:val="CETListbullets"/>
        <w:rPr>
          <w:rFonts w:cs="Arial"/>
          <w:b/>
          <w:bCs/>
          <w:color w:val="000000" w:themeColor="text1"/>
          <w:sz w:val="20"/>
        </w:rPr>
      </w:pPr>
      <w:r w:rsidRPr="008E084A">
        <w:rPr>
          <w:rFonts w:cs="Arial"/>
          <w:b/>
          <w:bCs/>
          <w:color w:val="000000" w:themeColor="text1"/>
          <w:sz w:val="20"/>
        </w:rPr>
        <w:t xml:space="preserve">2. </w:t>
      </w:r>
      <w:r w:rsidR="00BD5543" w:rsidRPr="008E084A">
        <w:rPr>
          <w:rFonts w:cs="Arial"/>
          <w:b/>
          <w:bCs/>
          <w:color w:val="000000" w:themeColor="text1"/>
          <w:sz w:val="20"/>
        </w:rPr>
        <w:t>Materials</w:t>
      </w:r>
    </w:p>
    <w:p w14:paraId="3DC1DB70" w14:textId="77777777" w:rsidR="007966C1" w:rsidRPr="006365CA" w:rsidRDefault="007966C1" w:rsidP="007966C1">
      <w:pPr>
        <w:pStyle w:val="CETListbullets"/>
        <w:ind w:left="113" w:firstLine="0"/>
        <w:rPr>
          <w:rFonts w:cs="Arial"/>
          <w:color w:val="000000" w:themeColor="text1"/>
          <w:szCs w:val="18"/>
        </w:rPr>
      </w:pPr>
      <w:r w:rsidRPr="006365CA">
        <w:rPr>
          <w:rFonts w:cs="Arial"/>
          <w:color w:val="000000" w:themeColor="text1"/>
          <w:szCs w:val="18"/>
        </w:rPr>
        <w:t>Lauric acid (</w:t>
      </w:r>
      <w:r w:rsidRPr="006365CA">
        <w:rPr>
          <w:rFonts w:cs="Arial"/>
          <w:i/>
          <w:iCs/>
          <w:color w:val="000000" w:themeColor="text1"/>
          <w:szCs w:val="18"/>
          <w:shd w:val="clear" w:color="auto" w:fill="F8F9FA"/>
        </w:rPr>
        <w:t>n</w:t>
      </w:r>
      <w:r w:rsidRPr="006365CA">
        <w:rPr>
          <w:rFonts w:cs="Arial"/>
          <w:color w:val="000000" w:themeColor="text1"/>
          <w:szCs w:val="18"/>
          <w:shd w:val="clear" w:color="auto" w:fill="F8F9FA"/>
        </w:rPr>
        <w:t xml:space="preserve">-dodecanoic acid, </w:t>
      </w:r>
      <w:r w:rsidRPr="006365CA">
        <w:rPr>
          <w:rFonts w:cs="Arial"/>
          <w:color w:val="000000" w:themeColor="text1"/>
          <w:szCs w:val="18"/>
        </w:rPr>
        <w:t>C</w:t>
      </w:r>
      <w:r w:rsidRPr="006365CA">
        <w:rPr>
          <w:rFonts w:cs="Arial"/>
          <w:color w:val="000000" w:themeColor="text1"/>
          <w:sz w:val="12"/>
          <w:szCs w:val="12"/>
        </w:rPr>
        <w:t>12</w:t>
      </w:r>
      <w:r w:rsidRPr="006365CA">
        <w:rPr>
          <w:rFonts w:cs="Arial"/>
          <w:color w:val="000000" w:themeColor="text1"/>
          <w:szCs w:val="18"/>
        </w:rPr>
        <w:t>H</w:t>
      </w:r>
      <w:r w:rsidRPr="006365CA">
        <w:rPr>
          <w:rFonts w:cs="Arial"/>
          <w:color w:val="000000" w:themeColor="text1"/>
          <w:sz w:val="12"/>
          <w:szCs w:val="12"/>
        </w:rPr>
        <w:t>24</w:t>
      </w:r>
      <w:r w:rsidRPr="006365CA">
        <w:rPr>
          <w:rFonts w:cs="Arial"/>
          <w:color w:val="000000" w:themeColor="text1"/>
          <w:szCs w:val="18"/>
        </w:rPr>
        <w:t>O</w:t>
      </w:r>
      <w:r w:rsidRPr="006365CA">
        <w:rPr>
          <w:rFonts w:cs="Arial"/>
          <w:color w:val="000000" w:themeColor="text1"/>
          <w:szCs w:val="18"/>
          <w:vertAlign w:val="subscript"/>
        </w:rPr>
        <w:t>2</w:t>
      </w:r>
      <w:r w:rsidRPr="006365CA">
        <w:rPr>
          <w:rFonts w:cs="Arial"/>
          <w:color w:val="000000" w:themeColor="text1"/>
          <w:szCs w:val="18"/>
        </w:rPr>
        <w:t>, 97 %, white powder), palmitic acid (</w:t>
      </w:r>
      <w:proofErr w:type="spellStart"/>
      <w:r w:rsidRPr="006365CA">
        <w:rPr>
          <w:rFonts w:cs="Arial"/>
          <w:color w:val="000000" w:themeColor="text1"/>
          <w:szCs w:val="18"/>
          <w:shd w:val="clear" w:color="auto" w:fill="F8F9FA"/>
        </w:rPr>
        <w:t>hexadecanoic</w:t>
      </w:r>
      <w:proofErr w:type="spellEnd"/>
      <w:r w:rsidRPr="006365CA">
        <w:rPr>
          <w:rFonts w:cs="Arial"/>
          <w:color w:val="000000" w:themeColor="text1"/>
          <w:szCs w:val="18"/>
          <w:shd w:val="clear" w:color="auto" w:fill="F8F9FA"/>
        </w:rPr>
        <w:t xml:space="preserve"> acid, </w:t>
      </w:r>
      <w:r w:rsidRPr="006365CA">
        <w:rPr>
          <w:rFonts w:cs="Arial"/>
          <w:color w:val="000000" w:themeColor="text1"/>
          <w:szCs w:val="18"/>
        </w:rPr>
        <w:t>C</w:t>
      </w:r>
      <w:r w:rsidRPr="006365CA">
        <w:rPr>
          <w:rFonts w:cs="Arial"/>
          <w:color w:val="000000" w:themeColor="text1"/>
          <w:szCs w:val="18"/>
          <w:vertAlign w:val="subscript"/>
        </w:rPr>
        <w:t>16</w:t>
      </w:r>
      <w:r w:rsidRPr="006365CA">
        <w:rPr>
          <w:rFonts w:cs="Arial"/>
          <w:color w:val="000000" w:themeColor="text1"/>
          <w:szCs w:val="18"/>
        </w:rPr>
        <w:t>H</w:t>
      </w:r>
      <w:r w:rsidRPr="006365CA">
        <w:rPr>
          <w:rFonts w:cs="Arial"/>
          <w:color w:val="000000" w:themeColor="text1"/>
          <w:szCs w:val="18"/>
          <w:vertAlign w:val="subscript"/>
        </w:rPr>
        <w:t>32</w:t>
      </w:r>
      <w:r w:rsidRPr="006365CA">
        <w:rPr>
          <w:rFonts w:cs="Arial"/>
          <w:color w:val="000000" w:themeColor="text1"/>
          <w:szCs w:val="18"/>
        </w:rPr>
        <w:t>O</w:t>
      </w:r>
      <w:r w:rsidRPr="006365CA">
        <w:rPr>
          <w:rFonts w:cs="Arial"/>
          <w:color w:val="000000" w:themeColor="text1"/>
          <w:szCs w:val="18"/>
          <w:vertAlign w:val="subscript"/>
        </w:rPr>
        <w:t>2</w:t>
      </w:r>
      <w:r w:rsidRPr="006365CA">
        <w:rPr>
          <w:rFonts w:cs="Arial"/>
          <w:color w:val="000000" w:themeColor="text1"/>
          <w:szCs w:val="18"/>
        </w:rPr>
        <w:t>, 97 %, white scales), potassium hydroxide (KOH, 97 %,) ethyl acetate (99.5 %) methanol (MeOH, 99.5 %), ethanol (EtOH, 99.5 %), and hexane (n-hexane, 99.5 %), were used as purchased (Sigma-Aldrich).</w:t>
      </w:r>
    </w:p>
    <w:p w14:paraId="510C210B" w14:textId="77777777" w:rsidR="007966C1" w:rsidRPr="006365CA" w:rsidRDefault="007966C1" w:rsidP="007966C1">
      <w:pPr>
        <w:pStyle w:val="CETListbullets"/>
        <w:ind w:left="113" w:firstLine="0"/>
        <w:rPr>
          <w:rFonts w:cs="Arial"/>
          <w:color w:val="000000" w:themeColor="text1"/>
          <w:szCs w:val="18"/>
        </w:rPr>
      </w:pPr>
    </w:p>
    <w:p w14:paraId="595C762A" w14:textId="38DFD450" w:rsidR="007966C1" w:rsidRPr="008E084A" w:rsidRDefault="007966C1" w:rsidP="007966C1">
      <w:pPr>
        <w:pStyle w:val="CETListbullets"/>
        <w:rPr>
          <w:rFonts w:cs="Arial"/>
          <w:color w:val="000000" w:themeColor="text1"/>
          <w:sz w:val="20"/>
          <w:lang w:val="en-US"/>
        </w:rPr>
      </w:pPr>
      <w:r w:rsidRPr="008E084A">
        <w:rPr>
          <w:rFonts w:cs="Arial"/>
          <w:b/>
          <w:bCs/>
          <w:color w:val="000000" w:themeColor="text1"/>
          <w:sz w:val="20"/>
        </w:rPr>
        <w:t>3. Experimental setup and procedure</w:t>
      </w:r>
    </w:p>
    <w:p w14:paraId="4B2E1AEC" w14:textId="016F1CE0" w:rsidR="007966C1" w:rsidRPr="006365CA" w:rsidRDefault="007966C1" w:rsidP="007966C1">
      <w:pPr>
        <w:pStyle w:val="CETListbullets"/>
        <w:ind w:left="113" w:firstLine="0"/>
        <w:rPr>
          <w:rFonts w:cs="Arial"/>
          <w:color w:val="000000" w:themeColor="text1"/>
          <w:szCs w:val="18"/>
        </w:rPr>
      </w:pPr>
      <w:r w:rsidRPr="006365CA">
        <w:rPr>
          <w:rFonts w:cs="Arial"/>
          <w:color w:val="000000" w:themeColor="text1"/>
          <w:szCs w:val="18"/>
        </w:rPr>
        <w:t>All the experiments were conducted using a galvanostatic/potentiostatic controlled system, commercially available, easy to use ElectraSyn 2.0 (IKA®), figure 1a. Two non-commercial platinum electrodes were used, as working and counter electrodes, to overcome the electrode damage observed during prolonged electrolysis arising when a commercial Pt-coated electrode is used</w:t>
      </w:r>
      <w:r w:rsidR="003F140F">
        <w:rPr>
          <w:rFonts w:cs="Arial"/>
          <w:color w:val="000000" w:themeColor="text1"/>
          <w:szCs w:val="18"/>
        </w:rPr>
        <w:t xml:space="preserve"> </w:t>
      </w:r>
      <w:r w:rsidR="003F140F">
        <w:rPr>
          <w:rFonts w:cs="Arial"/>
          <w:color w:val="000000" w:themeColor="text1"/>
          <w:szCs w:val="18"/>
        </w:rPr>
        <w:fldChar w:fldCharType="begin"/>
      </w:r>
      <w:r w:rsidR="003F140F">
        <w:rPr>
          <w:rFonts w:cs="Arial"/>
          <w:color w:val="000000" w:themeColor="text1"/>
          <w:szCs w:val="18"/>
        </w:rPr>
        <w:instrText xml:space="preserve"> ADDIN ZOTERO_ITEM CSL_CITATION {"citationID":"Dh2eTEbq","properties":{"formattedCitation":"(Ahmad et al., 2023)","plainCitation":"(Ahmad et al., 2023)","noteIndex":0},"citationItems":[{"id":56,"uris":["http://zotero.org/users/local/lPvvY3SE/items/PTH4REQ2"],"itemData":{"id":56,"type":"article-journal","abstract":"Lauric acid (n-dodecanoic acid), a saturated compound derived from animal fats and vegetable oils, can be used as a feedstock for lubricant production. In this work, the production of n-docosane from lauric acid via Kolbe electrolysis was studied using two commercially available electrodes in order to optimize the procedure and also to assess the performance of such electrodes for the production of n-docosane. The optimization study was performed using a compact ElectraSyn 2.0 setup which is commercially available and easy to use. The utilization of the equipment with a regulated power supply, electrodes and other components makes the procedure easily repeatable. The effect of essential parameters influencing the yield of n-docosane was pinpointed in relation to the performance of two different commercial electrodes (platinum- and gold-coated copper). A green, cost-effective and safe electrochemical approach for the production of n-docosane with 45% product yield was obtained using Pt-coated copper electrodes. However, electrode damage and consequent declining performance were also observed during prolonged electrolysis. The confirmation through XRD analysis of the appearance of platinum, gold and copper particles in the solution indicates that such electrodes present a problem of limited durability when used as anodes in synthetic organic reactions.","container-title":"Chemical Engineering Transactions","DOI":"10.3303/CET2398018","ISSN":"2283-9216","language":"en","license":"Copyright (c) 2023 AIDIC Servizi Srl","page":"105-110","source":"www.cetjournal.it","title":"Electrochemical Conversion of Lauric Acid Through Kolbe Electrolysis for the Synthesis of N-docosane","volume":"98","author":[{"family":"Ahmad","given":"Haroon"},{"family":"Pelosato","given":"Renato"},{"family":"Sora","given":"Isabella Natali"},{"family":"Fontana","given":"Francesca"}],"issued":{"date-parts":[["2023",4,30]]}}}],"schema":"https://github.com/citation-style-language/schema/raw/master/csl-citation.json"} </w:instrText>
      </w:r>
      <w:r w:rsidR="003F140F">
        <w:rPr>
          <w:rFonts w:cs="Arial"/>
          <w:color w:val="000000" w:themeColor="text1"/>
          <w:szCs w:val="18"/>
        </w:rPr>
        <w:fldChar w:fldCharType="separate"/>
      </w:r>
      <w:r w:rsidR="003F140F">
        <w:rPr>
          <w:rFonts w:cs="Arial"/>
          <w:noProof/>
          <w:color w:val="000000" w:themeColor="text1"/>
          <w:szCs w:val="18"/>
        </w:rPr>
        <w:t>(Ahmad et al., 2023)</w:t>
      </w:r>
      <w:r w:rsidR="003F140F">
        <w:rPr>
          <w:rFonts w:cs="Arial"/>
          <w:color w:val="000000" w:themeColor="text1"/>
          <w:szCs w:val="18"/>
        </w:rPr>
        <w:fldChar w:fldCharType="end"/>
      </w:r>
      <w:r w:rsidRPr="006365CA">
        <w:rPr>
          <w:rFonts w:cs="Arial"/>
          <w:color w:val="000000" w:themeColor="text1"/>
          <w:szCs w:val="18"/>
        </w:rPr>
        <w:t xml:space="preserve"> (figure 1b). The dimensions (W x L x H) of both electrodes were 0.7cm x 5.3cm x 0.04cm, the total geometrical surface area was 7.9 cm</w:t>
      </w:r>
      <w:r w:rsidRPr="006365CA">
        <w:rPr>
          <w:rFonts w:cs="Arial"/>
          <w:color w:val="000000" w:themeColor="text1"/>
          <w:szCs w:val="18"/>
          <w:vertAlign w:val="superscript"/>
        </w:rPr>
        <w:t>2</w:t>
      </w:r>
      <w:r w:rsidRPr="006365CA">
        <w:rPr>
          <w:rFonts w:cs="Arial"/>
          <w:color w:val="000000" w:themeColor="text1"/>
          <w:szCs w:val="18"/>
        </w:rPr>
        <w:t xml:space="preserve"> and 5 mm the gap between the electrodes.</w:t>
      </w:r>
      <w:r w:rsidRPr="006365CA">
        <w:rPr>
          <w:rFonts w:cs="Arial"/>
          <w:color w:val="000000" w:themeColor="text1"/>
          <w:szCs w:val="18"/>
          <w:vertAlign w:val="superscript"/>
        </w:rPr>
        <w:t xml:space="preserve"> </w:t>
      </w:r>
      <w:r w:rsidRPr="006365CA">
        <w:rPr>
          <w:rFonts w:cs="Arial"/>
          <w:color w:val="000000" w:themeColor="text1"/>
          <w:szCs w:val="18"/>
        </w:rPr>
        <w:t>In a detailed procedure, a 20 mL vial with a magnetic bar was sequentially charged with acid i.e., lauric acid (C</w:t>
      </w:r>
      <w:r w:rsidRPr="006365CA">
        <w:rPr>
          <w:rFonts w:cs="Arial"/>
          <w:color w:val="000000" w:themeColor="text1"/>
          <w:szCs w:val="18"/>
          <w:vertAlign w:val="subscript"/>
        </w:rPr>
        <w:t>12</w:t>
      </w:r>
      <w:r w:rsidRPr="006365CA">
        <w:rPr>
          <w:rFonts w:cs="Arial"/>
          <w:color w:val="000000" w:themeColor="text1"/>
          <w:szCs w:val="18"/>
        </w:rPr>
        <w:t>H</w:t>
      </w:r>
      <w:r w:rsidRPr="006365CA">
        <w:rPr>
          <w:rFonts w:cs="Arial"/>
          <w:color w:val="000000" w:themeColor="text1"/>
          <w:szCs w:val="18"/>
          <w:vertAlign w:val="subscript"/>
        </w:rPr>
        <w:t>24</w:t>
      </w:r>
      <w:r w:rsidRPr="006365CA">
        <w:rPr>
          <w:rFonts w:cs="Arial"/>
          <w:color w:val="000000" w:themeColor="text1"/>
          <w:szCs w:val="18"/>
        </w:rPr>
        <w:t>O</w:t>
      </w:r>
      <w:r w:rsidRPr="006365CA">
        <w:rPr>
          <w:rFonts w:cs="Arial"/>
          <w:color w:val="000000" w:themeColor="text1"/>
          <w:szCs w:val="18"/>
          <w:vertAlign w:val="subscript"/>
        </w:rPr>
        <w:t>2</w:t>
      </w:r>
      <w:r w:rsidRPr="006365CA">
        <w:rPr>
          <w:rFonts w:cs="Arial"/>
          <w:color w:val="000000" w:themeColor="text1"/>
          <w:szCs w:val="18"/>
        </w:rPr>
        <w:t>), palmitic acid (C</w:t>
      </w:r>
      <w:r w:rsidRPr="006365CA">
        <w:rPr>
          <w:rFonts w:cs="Arial"/>
          <w:color w:val="000000" w:themeColor="text1"/>
          <w:szCs w:val="18"/>
          <w:vertAlign w:val="subscript"/>
        </w:rPr>
        <w:t>16</w:t>
      </w:r>
      <w:r w:rsidRPr="006365CA">
        <w:rPr>
          <w:rFonts w:cs="Arial"/>
          <w:color w:val="000000" w:themeColor="text1"/>
          <w:szCs w:val="18"/>
        </w:rPr>
        <w:t>H</w:t>
      </w:r>
      <w:r w:rsidRPr="006365CA">
        <w:rPr>
          <w:rFonts w:cs="Arial"/>
          <w:color w:val="000000" w:themeColor="text1"/>
          <w:szCs w:val="18"/>
          <w:vertAlign w:val="subscript"/>
        </w:rPr>
        <w:t>32</w:t>
      </w:r>
      <w:r w:rsidRPr="006365CA">
        <w:rPr>
          <w:rFonts w:cs="Arial"/>
          <w:color w:val="000000" w:themeColor="text1"/>
          <w:szCs w:val="18"/>
        </w:rPr>
        <w:t>O</w:t>
      </w:r>
      <w:r w:rsidRPr="006365CA">
        <w:rPr>
          <w:rFonts w:cs="Arial"/>
          <w:color w:val="000000" w:themeColor="text1"/>
          <w:szCs w:val="18"/>
          <w:vertAlign w:val="subscript"/>
        </w:rPr>
        <w:t>2</w:t>
      </w:r>
      <w:r w:rsidRPr="006365CA">
        <w:rPr>
          <w:rFonts w:cs="Arial"/>
          <w:color w:val="000000" w:themeColor="text1"/>
          <w:szCs w:val="18"/>
        </w:rPr>
        <w:t>), mixture C</w:t>
      </w:r>
      <w:r w:rsidRPr="006365CA">
        <w:rPr>
          <w:rFonts w:cs="Arial"/>
          <w:color w:val="000000" w:themeColor="text1"/>
          <w:szCs w:val="18"/>
          <w:vertAlign w:val="subscript"/>
        </w:rPr>
        <w:t>12</w:t>
      </w:r>
      <w:r w:rsidRPr="006365CA">
        <w:rPr>
          <w:rFonts w:cs="Arial"/>
          <w:color w:val="000000" w:themeColor="text1"/>
          <w:szCs w:val="18"/>
        </w:rPr>
        <w:t>:C</w:t>
      </w:r>
      <w:r w:rsidRPr="006365CA">
        <w:rPr>
          <w:rFonts w:cs="Arial"/>
          <w:color w:val="000000" w:themeColor="text1"/>
          <w:szCs w:val="18"/>
          <w:vertAlign w:val="subscript"/>
        </w:rPr>
        <w:t xml:space="preserve">16 </w:t>
      </w:r>
      <w:r w:rsidRPr="006365CA">
        <w:rPr>
          <w:rFonts w:cs="Arial"/>
          <w:color w:val="000000" w:themeColor="text1"/>
          <w:szCs w:val="18"/>
        </w:rPr>
        <w:t xml:space="preserve">(1:1), KOH and solvent. Then, the electrodes were inserted in the vial, which was closed with a cap, and the reaction mixture was stirred for 5 minutes at 500 rpm. Next, the vial </w:t>
      </w:r>
      <w:proofErr w:type="gramStart"/>
      <w:r w:rsidRPr="006365CA">
        <w:rPr>
          <w:rFonts w:cs="Arial"/>
          <w:color w:val="000000" w:themeColor="text1"/>
          <w:szCs w:val="18"/>
        </w:rPr>
        <w:t>was connected with</w:t>
      </w:r>
      <w:proofErr w:type="gramEnd"/>
      <w:r w:rsidRPr="006365CA">
        <w:rPr>
          <w:rFonts w:cs="Arial"/>
          <w:color w:val="000000" w:themeColor="text1"/>
          <w:szCs w:val="18"/>
        </w:rPr>
        <w:t xml:space="preserve"> the ElectraSyn 2.0 setup, and the experiment was carried out at room temperature with the stirring at 600 rpm. </w:t>
      </w:r>
      <w:r w:rsidR="00BF4B05" w:rsidRPr="009677A2">
        <w:rPr>
          <w:rFonts w:cs="Arial"/>
          <w:color w:val="000000" w:themeColor="text1"/>
          <w:szCs w:val="18"/>
          <w:highlight w:val="yellow"/>
        </w:rPr>
        <w:t xml:space="preserve">All the experiments were conducted in a </w:t>
      </w:r>
      <w:r w:rsidR="00C82F82">
        <w:rPr>
          <w:rFonts w:cs="Arial"/>
          <w:color w:val="000000" w:themeColor="text1"/>
          <w:szCs w:val="18"/>
          <w:highlight w:val="yellow"/>
        </w:rPr>
        <w:t>duplicate trail and the final value was taken as an average</w:t>
      </w:r>
      <w:r w:rsidR="00BF4B05" w:rsidRPr="009677A2">
        <w:rPr>
          <w:rFonts w:cs="Arial"/>
          <w:color w:val="000000" w:themeColor="text1"/>
          <w:szCs w:val="18"/>
          <w:highlight w:val="yellow"/>
        </w:rPr>
        <w:t>.</w:t>
      </w:r>
      <w:r w:rsidR="00BF4B05">
        <w:rPr>
          <w:rFonts w:cs="Arial"/>
          <w:color w:val="000000" w:themeColor="text1"/>
          <w:szCs w:val="18"/>
        </w:rPr>
        <w:t xml:space="preserve"> </w:t>
      </w:r>
      <w:r w:rsidRPr="006365CA">
        <w:rPr>
          <w:rFonts w:cs="Arial"/>
          <w:color w:val="000000" w:themeColor="text1"/>
          <w:szCs w:val="18"/>
        </w:rPr>
        <w:t>After completion, the mixture was transferred quantitively to a round-bottom flask, and the solvent was evaporated by rotary evaporator. The residues were then treated with acidified water to transform</w:t>
      </w:r>
      <w:r w:rsidR="00790C9A" w:rsidRPr="006365CA">
        <w:rPr>
          <w:rFonts w:cs="Arial"/>
          <w:color w:val="000000" w:themeColor="text1"/>
          <w:szCs w:val="18"/>
        </w:rPr>
        <w:t xml:space="preserve"> laurate and palmitate salts back</w:t>
      </w:r>
      <w:r w:rsidRPr="006365CA">
        <w:rPr>
          <w:rFonts w:cs="Arial"/>
          <w:color w:val="000000" w:themeColor="text1"/>
          <w:szCs w:val="18"/>
        </w:rPr>
        <w:t xml:space="preserve"> into corresponding acids and the organic layer was extracted with ethyl acetate. The organic phase was dried with sodium </w:t>
      </w:r>
      <w:proofErr w:type="spellStart"/>
      <w:r w:rsidRPr="006365CA">
        <w:rPr>
          <w:rFonts w:cs="Arial"/>
          <w:color w:val="000000" w:themeColor="text1"/>
          <w:szCs w:val="18"/>
        </w:rPr>
        <w:t>sulfate</w:t>
      </w:r>
      <w:proofErr w:type="spellEnd"/>
      <w:r w:rsidRPr="006365CA">
        <w:rPr>
          <w:rFonts w:cs="Arial"/>
          <w:color w:val="000000" w:themeColor="text1"/>
          <w:szCs w:val="18"/>
        </w:rPr>
        <w:t xml:space="preserve"> and then </w:t>
      </w:r>
      <w:proofErr w:type="spellStart"/>
      <w:r w:rsidR="006226DE">
        <w:rPr>
          <w:rFonts w:cs="Arial"/>
          <w:color w:val="000000" w:themeColor="text1"/>
          <w:szCs w:val="18"/>
        </w:rPr>
        <w:t>analyzed</w:t>
      </w:r>
      <w:proofErr w:type="spellEnd"/>
      <w:r w:rsidRPr="006365CA">
        <w:rPr>
          <w:rFonts w:cs="Arial"/>
          <w:color w:val="000000" w:themeColor="text1"/>
          <w:szCs w:val="18"/>
        </w:rPr>
        <w:t xml:space="preserve"> by g</w:t>
      </w:r>
      <w:r w:rsidRPr="006365CA">
        <w:rPr>
          <w:color w:val="000000" w:themeColor="text1"/>
        </w:rPr>
        <w:t>as chromatography-mass spectrometry (GC/MS)</w:t>
      </w:r>
      <w:r w:rsidRPr="006365CA">
        <w:rPr>
          <w:rFonts w:cs="Arial"/>
          <w:color w:val="000000" w:themeColor="text1"/>
          <w:szCs w:val="18"/>
        </w:rPr>
        <w:t xml:space="preserve"> to determine the product distribution. The GC/MS analysis was performed on an Agilent 6850 chromatography instrument equipped with a</w:t>
      </w:r>
      <w:r w:rsidR="008A6FE3" w:rsidRPr="006365CA">
        <w:rPr>
          <w:rFonts w:cs="Arial"/>
          <w:color w:val="000000" w:themeColor="text1"/>
          <w:szCs w:val="18"/>
        </w:rPr>
        <w:t>n</w:t>
      </w:r>
      <w:r w:rsidRPr="006365CA">
        <w:rPr>
          <w:rFonts w:cs="Arial"/>
          <w:color w:val="000000" w:themeColor="text1"/>
          <w:szCs w:val="18"/>
        </w:rPr>
        <w:t xml:space="preserve"> Agilent 5975N mass spectrometer.</w:t>
      </w:r>
    </w:p>
    <w:p w14:paraId="6CE1C630" w14:textId="68077A09" w:rsidR="00B32F53" w:rsidRPr="006365CA" w:rsidRDefault="00B32F53" w:rsidP="00B32F53">
      <w:pPr>
        <w:pStyle w:val="CETListbullets"/>
        <w:ind w:left="113" w:firstLine="0"/>
        <w:jc w:val="left"/>
        <w:rPr>
          <w:rFonts w:cs="Arial"/>
          <w:color w:val="000000" w:themeColor="text1"/>
          <w:szCs w:val="18"/>
        </w:rPr>
      </w:pPr>
      <w:r w:rsidRPr="006365CA">
        <w:rPr>
          <w:rFonts w:cs="Arial"/>
          <w:noProof/>
          <w:color w:val="000000" w:themeColor="text1"/>
          <w:szCs w:val="18"/>
        </w:rPr>
        <w:drawing>
          <wp:inline distT="0" distB="0" distL="0" distR="0" wp14:anchorId="01E19872" wp14:editId="7DF9F309">
            <wp:extent cx="2245981" cy="1398233"/>
            <wp:effectExtent l="0" t="0" r="0" b="0"/>
            <wp:docPr id="1510057592" name="Picture 1" descr="A close-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057592" name="Picture 1" descr="A close-up of a devic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1400" cy="1613273"/>
                    </a:xfrm>
                    <a:prstGeom prst="rect">
                      <a:avLst/>
                    </a:prstGeom>
                  </pic:spPr>
                </pic:pic>
              </a:graphicData>
            </a:graphic>
          </wp:inline>
        </w:drawing>
      </w:r>
    </w:p>
    <w:p w14:paraId="01F197C8" w14:textId="3C0C2589" w:rsidR="00B32F53" w:rsidRPr="006365CA" w:rsidRDefault="00BE67F1" w:rsidP="00BE67F1">
      <w:pPr>
        <w:pStyle w:val="CETListbullets"/>
        <w:ind w:left="113" w:firstLine="0"/>
        <w:jc w:val="left"/>
        <w:rPr>
          <w:rFonts w:cs="Arial"/>
          <w:i/>
          <w:iCs/>
          <w:color w:val="000000" w:themeColor="text1"/>
          <w:szCs w:val="18"/>
          <w:lang w:val="en-US"/>
        </w:rPr>
      </w:pPr>
      <w:r w:rsidRPr="006365CA">
        <w:rPr>
          <w:rFonts w:cs="Arial"/>
          <w:i/>
          <w:iCs/>
          <w:color w:val="000000" w:themeColor="text1"/>
          <w:szCs w:val="18"/>
          <w:lang w:val="en-US"/>
        </w:rPr>
        <w:t>Figure 1: (a) ElectraSyn 2.0 instrument (b) Non-commercial platinum electrodes</w:t>
      </w:r>
      <w:r w:rsidR="004876D6" w:rsidRPr="006365CA">
        <w:rPr>
          <w:rFonts w:cs="Arial"/>
          <w:i/>
          <w:iCs/>
          <w:color w:val="000000" w:themeColor="text1"/>
          <w:szCs w:val="18"/>
          <w:lang w:val="en-US"/>
        </w:rPr>
        <w:t>.</w:t>
      </w:r>
    </w:p>
    <w:p w14:paraId="18A8C671" w14:textId="64FC29E3" w:rsidR="00997915" w:rsidRPr="006365CA" w:rsidRDefault="008D3285" w:rsidP="00997915">
      <w:pPr>
        <w:pStyle w:val="CETListbullets"/>
        <w:ind w:left="113" w:firstLine="0"/>
        <w:rPr>
          <w:rFonts w:cs="Arial"/>
          <w:b/>
          <w:bCs/>
          <w:color w:val="000000" w:themeColor="text1"/>
          <w:sz w:val="20"/>
        </w:rPr>
      </w:pPr>
      <w:r w:rsidRPr="006365CA">
        <w:rPr>
          <w:rFonts w:cs="Arial"/>
          <w:b/>
          <w:bCs/>
          <w:color w:val="000000" w:themeColor="text1"/>
          <w:sz w:val="20"/>
        </w:rPr>
        <w:lastRenderedPageBreak/>
        <w:t xml:space="preserve">4. </w:t>
      </w:r>
      <w:r w:rsidR="00997915" w:rsidRPr="006365CA">
        <w:rPr>
          <w:rFonts w:cs="Arial"/>
          <w:b/>
          <w:bCs/>
          <w:color w:val="000000" w:themeColor="text1"/>
          <w:sz w:val="20"/>
        </w:rPr>
        <w:t>Results and discussion</w:t>
      </w:r>
    </w:p>
    <w:p w14:paraId="6A999822" w14:textId="3FBA3125" w:rsidR="00997915" w:rsidRPr="006365CA" w:rsidRDefault="008D3285" w:rsidP="00997915">
      <w:pPr>
        <w:pStyle w:val="CETListbullets"/>
        <w:ind w:left="113" w:firstLine="0"/>
        <w:rPr>
          <w:rFonts w:cs="Arial"/>
          <w:b/>
          <w:bCs/>
          <w:color w:val="000000" w:themeColor="text1"/>
          <w:szCs w:val="18"/>
          <w:lang w:val="en-US"/>
        </w:rPr>
      </w:pPr>
      <w:r w:rsidRPr="006365CA">
        <w:rPr>
          <w:rFonts w:cs="Arial"/>
          <w:b/>
          <w:bCs/>
          <w:color w:val="000000" w:themeColor="text1"/>
          <w:szCs w:val="18"/>
          <w:lang w:val="en-US"/>
        </w:rPr>
        <w:t xml:space="preserve">4.1. </w:t>
      </w:r>
      <w:r w:rsidR="00997915" w:rsidRPr="006365CA">
        <w:rPr>
          <w:rFonts w:cs="Arial"/>
          <w:b/>
          <w:bCs/>
          <w:color w:val="000000" w:themeColor="text1"/>
          <w:szCs w:val="18"/>
          <w:lang w:val="en-US"/>
        </w:rPr>
        <w:t>Kolbe electrolysis of lauric acid</w:t>
      </w:r>
    </w:p>
    <w:p w14:paraId="48029577" w14:textId="2C3BBF71" w:rsidR="001468D4" w:rsidRPr="006365CA" w:rsidRDefault="001468D4" w:rsidP="001468D4">
      <w:pPr>
        <w:pStyle w:val="CETListbullets"/>
        <w:spacing w:line="240" w:lineRule="auto"/>
        <w:ind w:left="113" w:firstLine="0"/>
        <w:rPr>
          <w:rFonts w:cs="Arial"/>
          <w:color w:val="000000" w:themeColor="text1"/>
          <w:szCs w:val="18"/>
        </w:rPr>
      </w:pPr>
      <w:r w:rsidRPr="006365CA">
        <w:rPr>
          <w:rFonts w:cs="Arial"/>
          <w:color w:val="000000" w:themeColor="text1"/>
          <w:szCs w:val="18"/>
        </w:rPr>
        <w:t xml:space="preserve">Four factors (electrolysis conditions and reaction parameters) were studied for the electrolysis of lauric acid: (1) current intensity; (2) KOH loading; (3) electrolysis duration; and (4) the </w:t>
      </w:r>
      <w:r w:rsidRPr="006365CA">
        <w:rPr>
          <w:rFonts w:cs="Arial"/>
          <w:color w:val="000000" w:themeColor="text1"/>
          <w:szCs w:val="18"/>
          <w:lang w:val="en-US"/>
        </w:rPr>
        <w:t>nature</w:t>
      </w:r>
      <w:r w:rsidRPr="006365CA">
        <w:rPr>
          <w:rFonts w:cs="Arial"/>
          <w:color w:val="000000" w:themeColor="text1"/>
          <w:szCs w:val="18"/>
        </w:rPr>
        <w:t xml:space="preserve"> of the solvent. The first set of tests examined the impact </w:t>
      </w:r>
      <w:r w:rsidR="0033034F" w:rsidRPr="006365CA">
        <w:rPr>
          <w:rFonts w:cs="Arial"/>
          <w:color w:val="000000" w:themeColor="text1"/>
          <w:szCs w:val="18"/>
        </w:rPr>
        <w:t>of constant current intensity within the range of 10 mA to 100 mA</w:t>
      </w:r>
      <w:r w:rsidRPr="006365CA">
        <w:rPr>
          <w:rFonts w:cs="Arial"/>
          <w:color w:val="000000" w:themeColor="text1"/>
          <w:szCs w:val="18"/>
        </w:rPr>
        <w:t xml:space="preserve"> </w:t>
      </w:r>
      <w:r w:rsidR="0033034F" w:rsidRPr="006365CA">
        <w:rPr>
          <w:rFonts w:cs="Arial"/>
          <w:color w:val="000000" w:themeColor="text1"/>
          <w:szCs w:val="18"/>
        </w:rPr>
        <w:t xml:space="preserve">with </w:t>
      </w:r>
      <w:r w:rsidR="003B3199" w:rsidRPr="006365CA">
        <w:rPr>
          <w:rFonts w:cs="Arial"/>
          <w:color w:val="000000" w:themeColor="text1"/>
          <w:szCs w:val="18"/>
        </w:rPr>
        <w:t xml:space="preserve">an </w:t>
      </w:r>
      <w:r w:rsidR="0033034F" w:rsidRPr="006365CA">
        <w:rPr>
          <w:rFonts w:cs="Arial"/>
          <w:color w:val="000000" w:themeColor="text1"/>
          <w:szCs w:val="18"/>
        </w:rPr>
        <w:t>alternate polarity</w:t>
      </w:r>
      <w:r w:rsidR="008A4E19">
        <w:rPr>
          <w:rFonts w:cs="Arial"/>
          <w:color w:val="000000" w:themeColor="text1"/>
          <w:szCs w:val="18"/>
        </w:rPr>
        <w:t xml:space="preserve"> (AP)</w:t>
      </w:r>
      <w:r w:rsidR="0033034F" w:rsidRPr="006365CA">
        <w:rPr>
          <w:rFonts w:cs="Arial"/>
          <w:color w:val="000000" w:themeColor="text1"/>
          <w:szCs w:val="18"/>
        </w:rPr>
        <w:t xml:space="preserve"> after each 30 minutes</w:t>
      </w:r>
      <w:r w:rsidRPr="006365CA">
        <w:rPr>
          <w:rFonts w:cs="Arial"/>
          <w:color w:val="000000" w:themeColor="text1"/>
          <w:szCs w:val="18"/>
        </w:rPr>
        <w:t xml:space="preserve">. The remaining parameters remained constant, with the following values: </w:t>
      </w:r>
      <w:r w:rsidR="0033034F" w:rsidRPr="006365CA">
        <w:rPr>
          <w:rFonts w:cs="Arial"/>
          <w:color w:val="000000" w:themeColor="text1"/>
          <w:szCs w:val="18"/>
        </w:rPr>
        <w:t xml:space="preserve">0.7 mmol </w:t>
      </w:r>
      <w:r w:rsidRPr="006365CA">
        <w:rPr>
          <w:rFonts w:cs="Arial"/>
          <w:color w:val="000000" w:themeColor="text1"/>
          <w:szCs w:val="18"/>
        </w:rPr>
        <w:t>lauric acid, 0.4 eq. of KOH, MeOH as the solvent, and 6 h for electrolysis.</w:t>
      </w:r>
      <w:r w:rsidRPr="006365CA">
        <w:rPr>
          <w:rFonts w:cs="Arial"/>
          <w:color w:val="000000" w:themeColor="text1"/>
          <w:szCs w:val="18"/>
          <w:lang w:val="en-US"/>
        </w:rPr>
        <w:t xml:space="preserve"> </w:t>
      </w:r>
      <w:r w:rsidRPr="006365CA">
        <w:rPr>
          <w:rFonts w:cs="Arial"/>
          <w:color w:val="000000" w:themeColor="text1"/>
          <w:szCs w:val="18"/>
        </w:rPr>
        <w:t xml:space="preserve">Figure 2a displays a product spectrum that includes the formation of </w:t>
      </w:r>
      <w:proofErr w:type="spellStart"/>
      <w:r w:rsidRPr="006365CA">
        <w:rPr>
          <w:rFonts w:cs="Arial"/>
          <w:color w:val="000000" w:themeColor="text1"/>
          <w:szCs w:val="18"/>
        </w:rPr>
        <w:t>docosane</w:t>
      </w:r>
      <w:proofErr w:type="spellEnd"/>
      <w:r w:rsidRPr="006365CA">
        <w:rPr>
          <w:rFonts w:cs="Arial"/>
          <w:color w:val="000000" w:themeColor="text1"/>
          <w:szCs w:val="18"/>
        </w:rPr>
        <w:t xml:space="preserve"> as a dimer, undecane and undecene as other hydrocarbons resulting from the disproportionation of radicals, undecanol as alcohol, and undecanal as aldehydes. Alkene and ester formation is presumably caused by a small degree of carbocation generation known as non-Kolbe or Hofer-</w:t>
      </w:r>
      <w:proofErr w:type="spellStart"/>
      <w:r w:rsidRPr="006365CA">
        <w:rPr>
          <w:rFonts w:cs="Arial"/>
          <w:color w:val="000000" w:themeColor="text1"/>
          <w:szCs w:val="18"/>
        </w:rPr>
        <w:t>Moes</w:t>
      </w:r>
      <w:r w:rsidR="00696142">
        <w:rPr>
          <w:rFonts w:cs="Arial"/>
          <w:color w:val="000000" w:themeColor="text1"/>
          <w:szCs w:val="18"/>
        </w:rPr>
        <w:t>t</w:t>
      </w:r>
      <w:proofErr w:type="spellEnd"/>
      <w:r w:rsidRPr="006365CA">
        <w:rPr>
          <w:rFonts w:cs="Arial"/>
          <w:color w:val="000000" w:themeColor="text1"/>
          <w:szCs w:val="18"/>
        </w:rPr>
        <w:t xml:space="preserve"> reaction. Because a significant quantity of unreacted lauric acid was detected in the product distribution, it was determined that, when employing MeOH as the solvent system at 0.4 eq. of KOH, there was a small conversion rate of lauric acid even at higher current intensities. A </w:t>
      </w:r>
      <w:r w:rsidR="006226DE">
        <w:rPr>
          <w:rFonts w:cs="Arial"/>
          <w:color w:val="000000" w:themeColor="text1"/>
          <w:szCs w:val="18"/>
        </w:rPr>
        <w:t>small</w:t>
      </w:r>
      <w:r w:rsidRPr="006365CA">
        <w:rPr>
          <w:rFonts w:cs="Arial"/>
          <w:color w:val="000000" w:themeColor="text1"/>
          <w:szCs w:val="18"/>
        </w:rPr>
        <w:t xml:space="preserve"> portion of the peaks that were undetected by GC/MS in the trials with current intensities of 70 mA and 85 mA emerged and are named undetected peaks.</w:t>
      </w:r>
    </w:p>
    <w:p w14:paraId="262CDC6F" w14:textId="0FE48A5F" w:rsidR="001468D4" w:rsidRPr="006365CA" w:rsidRDefault="001468D4" w:rsidP="001468D4">
      <w:pPr>
        <w:pStyle w:val="CETListbullets"/>
        <w:spacing w:line="240" w:lineRule="auto"/>
        <w:ind w:left="113" w:firstLine="0"/>
        <w:rPr>
          <w:rFonts w:cs="Arial"/>
          <w:color w:val="000000" w:themeColor="text1"/>
          <w:szCs w:val="18"/>
        </w:rPr>
      </w:pPr>
      <w:r w:rsidRPr="006365CA">
        <w:rPr>
          <w:rFonts w:cs="Arial"/>
          <w:color w:val="000000" w:themeColor="text1"/>
          <w:szCs w:val="18"/>
        </w:rPr>
        <w:t xml:space="preserve">The impact of KOH loading (0.4, 0.7, 1, 1.3, and 1.5 eq.) was then examined while keeping constant the remaining parameters as </w:t>
      </w:r>
      <w:r w:rsidR="00D05CE0" w:rsidRPr="006365CA">
        <w:rPr>
          <w:rFonts w:cs="Arial"/>
          <w:color w:val="000000" w:themeColor="text1"/>
          <w:szCs w:val="18"/>
        </w:rPr>
        <w:t>0.7 mmol</w:t>
      </w:r>
      <w:r w:rsidRPr="006365CA">
        <w:rPr>
          <w:rFonts w:cs="Arial"/>
          <w:color w:val="000000" w:themeColor="text1"/>
          <w:szCs w:val="18"/>
        </w:rPr>
        <w:t xml:space="preserve"> acid, 70 mA of current intensity</w:t>
      </w:r>
      <w:r w:rsidR="00164CA5">
        <w:rPr>
          <w:rFonts w:cs="Arial"/>
          <w:color w:val="000000" w:themeColor="text1"/>
          <w:szCs w:val="18"/>
        </w:rPr>
        <w:t xml:space="preserve"> (</w:t>
      </w:r>
      <w:r w:rsidR="00164CA5" w:rsidRPr="003C698E">
        <w:rPr>
          <w:rFonts w:cs="Arial"/>
          <w:color w:val="000000" w:themeColor="text1"/>
          <w:szCs w:val="18"/>
          <w:highlight w:val="yellow"/>
        </w:rPr>
        <w:t>AP=30 min</w:t>
      </w:r>
      <w:r w:rsidR="00164CA5">
        <w:rPr>
          <w:rFonts w:cs="Arial"/>
          <w:color w:val="000000" w:themeColor="text1"/>
          <w:szCs w:val="18"/>
        </w:rPr>
        <w:t>)</w:t>
      </w:r>
      <w:r w:rsidRPr="006365CA">
        <w:rPr>
          <w:rFonts w:cs="Arial"/>
          <w:color w:val="000000" w:themeColor="text1"/>
          <w:szCs w:val="18"/>
        </w:rPr>
        <w:t>, MeOH as the solvent, and a 6 h electrolysis time. Figure 2b illustrates that using 0.4 eq. of KOH results in a greater dimer yield (19%); nonetheless, overall, the conversion rate was low, with almost 80% of the unreacted acid remaining visible in all experiments. Aldehydes, alcohol, and a lower quantity of other hydrocarbons were also produced.</w:t>
      </w:r>
    </w:p>
    <w:p w14:paraId="2E10C568" w14:textId="77777777" w:rsidR="007D79D6" w:rsidRPr="006365CA" w:rsidRDefault="007D79D6" w:rsidP="00892316">
      <w:pPr>
        <w:pStyle w:val="CETListbullets"/>
        <w:spacing w:line="240" w:lineRule="auto"/>
        <w:ind w:left="113" w:firstLine="0"/>
        <w:rPr>
          <w:rFonts w:cs="Arial"/>
          <w:color w:val="000000" w:themeColor="text1"/>
          <w:szCs w:val="18"/>
        </w:rPr>
      </w:pPr>
    </w:p>
    <w:p w14:paraId="1D810F59" w14:textId="77777777" w:rsidR="00137D40" w:rsidRPr="006365CA" w:rsidRDefault="00B32F53" w:rsidP="00137D40">
      <w:pPr>
        <w:pStyle w:val="CETListbullets"/>
        <w:ind w:left="113" w:firstLine="0"/>
        <w:jc w:val="left"/>
        <w:rPr>
          <w:rFonts w:cs="Arial"/>
          <w:b/>
          <w:bCs/>
          <w:color w:val="000000" w:themeColor="text1"/>
          <w:szCs w:val="18"/>
          <w:lang w:val="en-US"/>
        </w:rPr>
      </w:pPr>
      <w:r w:rsidRPr="006365CA">
        <w:rPr>
          <w:rFonts w:cs="Arial"/>
          <w:b/>
          <w:bCs/>
          <w:noProof/>
          <w:color w:val="000000" w:themeColor="text1"/>
          <w:szCs w:val="18"/>
          <w:lang w:val="en-US"/>
          <w14:ligatures w14:val="standardContextual"/>
        </w:rPr>
        <w:drawing>
          <wp:inline distT="0" distB="0" distL="0" distR="0" wp14:anchorId="64D7229D" wp14:editId="09D32645">
            <wp:extent cx="4821936" cy="2609726"/>
            <wp:effectExtent l="0" t="0" r="0" b="0"/>
            <wp:docPr id="851560433" name="Picture 1" descr="A group of different colored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560433" name="Picture 1" descr="A group of different colored bars&#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122366" cy="2772325"/>
                    </a:xfrm>
                    <a:prstGeom prst="rect">
                      <a:avLst/>
                    </a:prstGeom>
                  </pic:spPr>
                </pic:pic>
              </a:graphicData>
            </a:graphic>
          </wp:inline>
        </w:drawing>
      </w:r>
    </w:p>
    <w:p w14:paraId="2A07A1BF" w14:textId="6C6A29EE" w:rsidR="00137D40" w:rsidRPr="006365CA" w:rsidRDefault="00651ECC" w:rsidP="00137D40">
      <w:pPr>
        <w:pStyle w:val="CETListbullets"/>
        <w:ind w:left="113" w:firstLine="0"/>
        <w:jc w:val="left"/>
        <w:rPr>
          <w:rFonts w:cs="Arial"/>
          <w:i/>
          <w:iCs/>
          <w:color w:val="000000" w:themeColor="text1"/>
          <w:szCs w:val="18"/>
          <w:lang w:val="en-US"/>
        </w:rPr>
      </w:pPr>
      <w:r w:rsidRPr="006365CA">
        <w:rPr>
          <w:rFonts w:cs="Arial"/>
          <w:i/>
          <w:iCs/>
          <w:color w:val="000000" w:themeColor="text1"/>
          <w:szCs w:val="18"/>
          <w:lang w:val="en-US"/>
        </w:rPr>
        <w:t xml:space="preserve">Figure 2: Kolbe electrolysis of lauric acid investigating the </w:t>
      </w:r>
      <w:r w:rsidR="00137D40" w:rsidRPr="006365CA">
        <w:rPr>
          <w:rFonts w:cs="Arial"/>
          <w:i/>
          <w:iCs/>
          <w:color w:val="000000" w:themeColor="text1"/>
          <w:szCs w:val="18"/>
          <w:lang w:val="en-US"/>
        </w:rPr>
        <w:t>influence</w:t>
      </w:r>
      <w:r w:rsidRPr="006365CA">
        <w:rPr>
          <w:rFonts w:cs="Arial"/>
          <w:i/>
          <w:iCs/>
          <w:color w:val="000000" w:themeColor="text1"/>
          <w:szCs w:val="18"/>
          <w:lang w:val="en-US"/>
        </w:rPr>
        <w:t xml:space="preserve"> parameters (a) effect of current intensity (b) effect of KOH (c) effect of time and (d) effect of solvent environment.</w:t>
      </w:r>
    </w:p>
    <w:p w14:paraId="5ECBC130" w14:textId="304D8C2F" w:rsidR="00651ECC" w:rsidRPr="006365CA" w:rsidRDefault="00651ECC" w:rsidP="00137D40">
      <w:pPr>
        <w:pStyle w:val="CETListbullets"/>
        <w:ind w:left="113" w:firstLine="0"/>
        <w:jc w:val="left"/>
        <w:rPr>
          <w:rFonts w:cs="Arial"/>
          <w:i/>
          <w:iCs/>
          <w:color w:val="000000" w:themeColor="text1"/>
          <w:szCs w:val="18"/>
          <w:lang w:val="en-US"/>
        </w:rPr>
      </w:pPr>
      <w:r w:rsidRPr="006365CA">
        <w:rPr>
          <w:rFonts w:cs="Arial"/>
          <w:i/>
          <w:iCs/>
          <w:color w:val="000000" w:themeColor="text1"/>
          <w:szCs w:val="18"/>
          <w:lang w:val="en-US"/>
        </w:rPr>
        <w:t xml:space="preserve"> </w:t>
      </w:r>
    </w:p>
    <w:p w14:paraId="6DE5E34C" w14:textId="1CB11521" w:rsidR="008778D1" w:rsidRPr="006365CA" w:rsidRDefault="008778D1" w:rsidP="008778D1">
      <w:pPr>
        <w:pStyle w:val="CETListbullets"/>
        <w:ind w:left="113" w:firstLine="0"/>
        <w:rPr>
          <w:rFonts w:cs="Arial"/>
          <w:color w:val="000000" w:themeColor="text1"/>
          <w:szCs w:val="18"/>
          <w:lang w:val="en-US"/>
        </w:rPr>
      </w:pPr>
      <w:r w:rsidRPr="006365CA">
        <w:rPr>
          <w:rFonts w:cs="Arial"/>
          <w:color w:val="000000" w:themeColor="text1"/>
          <w:szCs w:val="18"/>
          <w:lang w:val="en-US"/>
        </w:rPr>
        <w:t>The next series of experiments were to investigate the effect of electrolysis time from 2-18 h and other condition</w:t>
      </w:r>
      <w:r w:rsidR="00174029" w:rsidRPr="006365CA">
        <w:rPr>
          <w:rFonts w:cs="Arial"/>
          <w:color w:val="000000" w:themeColor="text1"/>
          <w:szCs w:val="18"/>
          <w:lang w:val="en-US"/>
        </w:rPr>
        <w:t>s</w:t>
      </w:r>
      <w:r w:rsidRPr="006365CA">
        <w:rPr>
          <w:rFonts w:cs="Arial"/>
          <w:color w:val="000000" w:themeColor="text1"/>
          <w:szCs w:val="18"/>
          <w:lang w:val="en-US"/>
        </w:rPr>
        <w:t xml:space="preserve"> were constant like 0.4 eq. of KOH, MeOH as solvent and current intensity of 70 mA</w:t>
      </w:r>
      <w:r w:rsidR="000F20CA">
        <w:rPr>
          <w:rFonts w:cs="Arial"/>
          <w:color w:val="000000" w:themeColor="text1"/>
          <w:szCs w:val="18"/>
          <w:lang w:val="en-US"/>
        </w:rPr>
        <w:t xml:space="preserve"> (</w:t>
      </w:r>
      <w:r w:rsidR="000F20CA" w:rsidRPr="003C698E">
        <w:rPr>
          <w:rFonts w:cs="Arial"/>
          <w:color w:val="000000" w:themeColor="text1"/>
          <w:szCs w:val="18"/>
          <w:highlight w:val="yellow"/>
          <w:lang w:val="en-US"/>
        </w:rPr>
        <w:t>AP=30 min</w:t>
      </w:r>
      <w:r w:rsidR="000F20CA">
        <w:rPr>
          <w:rFonts w:cs="Arial"/>
          <w:color w:val="000000" w:themeColor="text1"/>
          <w:szCs w:val="18"/>
          <w:lang w:val="en-US"/>
        </w:rPr>
        <w:t>)</w:t>
      </w:r>
      <w:r w:rsidRPr="006365CA">
        <w:rPr>
          <w:rFonts w:cs="Arial"/>
          <w:color w:val="000000" w:themeColor="text1"/>
          <w:szCs w:val="18"/>
          <w:lang w:val="en-US"/>
        </w:rPr>
        <w:t xml:space="preserve">. As shown in figure 2c, using MeOH as a solvent and 0.4 eq. of KOH, the conversion rate was very modest after 8 h or more of electrolysis. Therefore, the impact of different solvent types was investigated </w:t>
      </w:r>
      <w:proofErr w:type="gramStart"/>
      <w:r w:rsidRPr="006365CA">
        <w:rPr>
          <w:rFonts w:cs="Arial"/>
          <w:color w:val="000000" w:themeColor="text1"/>
          <w:szCs w:val="18"/>
          <w:lang w:val="en-US"/>
        </w:rPr>
        <w:t>in an effort to</w:t>
      </w:r>
      <w:proofErr w:type="gramEnd"/>
      <w:r w:rsidRPr="006365CA">
        <w:rPr>
          <w:rFonts w:cs="Arial"/>
          <w:color w:val="000000" w:themeColor="text1"/>
          <w:szCs w:val="18"/>
          <w:lang w:val="en-US"/>
        </w:rPr>
        <w:t xml:space="preserve"> boost the conversion rate. </w:t>
      </w:r>
    </w:p>
    <w:p w14:paraId="5D81B415" w14:textId="7FE8D9DF" w:rsidR="00137D40" w:rsidRPr="006365CA" w:rsidRDefault="008778D1" w:rsidP="00423B5A">
      <w:pPr>
        <w:pStyle w:val="CETListbullets"/>
        <w:ind w:left="113" w:firstLine="0"/>
        <w:rPr>
          <w:rFonts w:cs="Arial"/>
          <w:color w:val="000000" w:themeColor="text1"/>
          <w:szCs w:val="18"/>
          <w:lang w:val="en-US"/>
        </w:rPr>
      </w:pPr>
      <w:r w:rsidRPr="006365CA">
        <w:rPr>
          <w:rFonts w:cs="Arial"/>
          <w:color w:val="000000" w:themeColor="text1"/>
          <w:szCs w:val="18"/>
        </w:rPr>
        <w:t>Table 1 displays the specifics of each experiment's solvent type, KOH amount, and dimer yield percentage. These studies were all carried out with an acid content of 0.7 mmol, a constant current intensity of 70 mA</w:t>
      </w:r>
      <w:r w:rsidR="004224D1">
        <w:rPr>
          <w:rFonts w:cs="Arial"/>
          <w:color w:val="000000" w:themeColor="text1"/>
          <w:szCs w:val="18"/>
        </w:rPr>
        <w:t xml:space="preserve"> (</w:t>
      </w:r>
      <w:r w:rsidR="004224D1" w:rsidRPr="003C698E">
        <w:rPr>
          <w:rFonts w:cs="Arial"/>
          <w:color w:val="000000" w:themeColor="text1"/>
          <w:szCs w:val="18"/>
          <w:highlight w:val="yellow"/>
        </w:rPr>
        <w:t>AP=30 min</w:t>
      </w:r>
      <w:r w:rsidR="004224D1">
        <w:rPr>
          <w:rFonts w:cs="Arial"/>
          <w:color w:val="000000" w:themeColor="text1"/>
          <w:szCs w:val="18"/>
        </w:rPr>
        <w:t>)</w:t>
      </w:r>
      <w:r w:rsidRPr="006365CA">
        <w:rPr>
          <w:rFonts w:cs="Arial"/>
          <w:color w:val="000000" w:themeColor="text1"/>
          <w:szCs w:val="18"/>
        </w:rPr>
        <w:t xml:space="preserve">, and an electrolysis duration of 6 h. As shown in Figure 2d, the best results, with the highest dimer yield of 69% and 65%, as well as the highest degree of acid dissociation, were produced using </w:t>
      </w:r>
      <w:proofErr w:type="spellStart"/>
      <w:r w:rsidRPr="006365CA">
        <w:rPr>
          <w:rFonts w:cs="Arial"/>
          <w:color w:val="000000" w:themeColor="text1"/>
          <w:szCs w:val="18"/>
        </w:rPr>
        <w:t>hexane:EtOH:Water</w:t>
      </w:r>
      <w:proofErr w:type="spellEnd"/>
      <w:r w:rsidRPr="006365CA">
        <w:rPr>
          <w:rFonts w:cs="Arial"/>
          <w:color w:val="000000" w:themeColor="text1"/>
          <w:szCs w:val="18"/>
        </w:rPr>
        <w:t xml:space="preserve"> and EtOH:MeOH:Water as solvents, respectively (table 1- entries 8, 9). The solvent system Hexane:EtOH:Water produces mostly dimers (n-</w:t>
      </w:r>
      <w:proofErr w:type="spellStart"/>
      <w:r w:rsidRPr="006365CA">
        <w:rPr>
          <w:rFonts w:cs="Arial"/>
          <w:color w:val="000000" w:themeColor="text1"/>
          <w:szCs w:val="18"/>
        </w:rPr>
        <w:t>docosane</w:t>
      </w:r>
      <w:proofErr w:type="spellEnd"/>
      <w:r w:rsidRPr="006365CA">
        <w:rPr>
          <w:rFonts w:cs="Arial"/>
          <w:color w:val="000000" w:themeColor="text1"/>
          <w:szCs w:val="18"/>
        </w:rPr>
        <w:t>), accounting for 69% of the product; alcohol (undecanol) accounts for 17%; aldehydes (undecanal) accounts for 12%; and unreacted acids make up a very small percentage. Comparably, larger levels of dimer (n-</w:t>
      </w:r>
      <w:proofErr w:type="spellStart"/>
      <w:r w:rsidRPr="006365CA">
        <w:rPr>
          <w:rFonts w:cs="Arial"/>
          <w:color w:val="000000" w:themeColor="text1"/>
          <w:szCs w:val="18"/>
        </w:rPr>
        <w:t>docosane</w:t>
      </w:r>
      <w:proofErr w:type="spellEnd"/>
      <w:r w:rsidRPr="006365CA">
        <w:rPr>
          <w:rFonts w:cs="Arial"/>
          <w:color w:val="000000" w:themeColor="text1"/>
          <w:szCs w:val="18"/>
        </w:rPr>
        <w:t xml:space="preserve">) at 65%, alcohols (undecanol) at 18%, aldehydes (undecanal) at 14%, acids (n-1) (undecanoic acid) at 1%, and very few unreacted acids were formed in the EtOH:MeOH:Water solvent system. These results imply that </w:t>
      </w:r>
      <w:proofErr w:type="gramStart"/>
      <w:r w:rsidRPr="006365CA">
        <w:rPr>
          <w:rFonts w:cs="Arial"/>
          <w:color w:val="000000" w:themeColor="text1"/>
          <w:szCs w:val="18"/>
        </w:rPr>
        <w:t>both of these</w:t>
      </w:r>
      <w:proofErr w:type="gramEnd"/>
      <w:r w:rsidRPr="006365CA">
        <w:rPr>
          <w:rFonts w:cs="Arial"/>
          <w:color w:val="000000" w:themeColor="text1"/>
          <w:szCs w:val="18"/>
        </w:rPr>
        <w:t xml:space="preserve"> mixtures of solvents are highly efficient in electrolyzing lauric acid, and that the solvents' chemical makeup has a significant impact on the number and diversity of products that are produced.</w:t>
      </w:r>
    </w:p>
    <w:p w14:paraId="35DB9EC7" w14:textId="77777777" w:rsidR="008778D1" w:rsidRPr="006365CA" w:rsidRDefault="008778D1" w:rsidP="00423B5A">
      <w:pPr>
        <w:pStyle w:val="CETListbullets"/>
        <w:rPr>
          <w:rFonts w:cs="Arial"/>
          <w:i/>
          <w:iCs/>
          <w:color w:val="000000" w:themeColor="text1"/>
          <w:szCs w:val="18"/>
          <w:lang w:val="en-US"/>
        </w:rPr>
      </w:pPr>
      <w:r w:rsidRPr="006365CA">
        <w:rPr>
          <w:rFonts w:cs="Arial"/>
          <w:i/>
          <w:iCs/>
          <w:color w:val="000000" w:themeColor="text1"/>
          <w:szCs w:val="18"/>
          <w:lang w:val="en-US"/>
        </w:rPr>
        <w:lastRenderedPageBreak/>
        <w:t>Table 1: Reaction conditions and resulting GC dimer yield (%) for investigating the effect of solvent nature on the electrolysis of lauric acid.</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709"/>
        <w:gridCol w:w="3260"/>
        <w:gridCol w:w="993"/>
        <w:gridCol w:w="850"/>
      </w:tblGrid>
      <w:tr w:rsidR="006365CA" w:rsidRPr="006365CA" w14:paraId="4E9DA383" w14:textId="77777777" w:rsidTr="00AA0024">
        <w:trPr>
          <w:trHeight w:val="154"/>
        </w:trPr>
        <w:tc>
          <w:tcPr>
            <w:tcW w:w="709" w:type="dxa"/>
            <w:tcBorders>
              <w:top w:val="single" w:sz="12" w:space="0" w:color="008000"/>
              <w:bottom w:val="single" w:sz="6" w:space="0" w:color="008000"/>
            </w:tcBorders>
            <w:shd w:val="clear" w:color="auto" w:fill="FFFFFF"/>
          </w:tcPr>
          <w:p w14:paraId="52F2801D" w14:textId="77777777" w:rsidR="00BC1C59" w:rsidRPr="00F11AD2" w:rsidRDefault="00BC1C59">
            <w:pPr>
              <w:pStyle w:val="CETBodytext"/>
              <w:rPr>
                <w:color w:val="000000" w:themeColor="text1"/>
                <w:lang w:val="en-GB"/>
              </w:rPr>
            </w:pPr>
            <w:r w:rsidRPr="00F11AD2">
              <w:rPr>
                <w:rFonts w:cs="Arial"/>
                <w:color w:val="000000" w:themeColor="text1"/>
                <w:kern w:val="24"/>
                <w:szCs w:val="18"/>
              </w:rPr>
              <w:t>Entry</w:t>
            </w:r>
          </w:p>
        </w:tc>
        <w:tc>
          <w:tcPr>
            <w:tcW w:w="3260" w:type="dxa"/>
            <w:tcBorders>
              <w:top w:val="single" w:sz="12" w:space="0" w:color="008000"/>
              <w:bottom w:val="single" w:sz="6" w:space="0" w:color="008000"/>
            </w:tcBorders>
            <w:shd w:val="clear" w:color="auto" w:fill="FFFFFF"/>
          </w:tcPr>
          <w:p w14:paraId="3C29B4B3" w14:textId="77777777" w:rsidR="00BC1C59" w:rsidRPr="00F11AD2" w:rsidRDefault="00BC1C59">
            <w:pPr>
              <w:pStyle w:val="CETBodytext"/>
              <w:rPr>
                <w:color w:val="000000" w:themeColor="text1"/>
                <w:lang w:val="en-GB"/>
              </w:rPr>
            </w:pPr>
            <w:r w:rsidRPr="00F11AD2">
              <w:rPr>
                <w:rFonts w:cs="Arial"/>
                <w:color w:val="000000" w:themeColor="text1"/>
                <w:kern w:val="24"/>
                <w:szCs w:val="18"/>
              </w:rPr>
              <w:t>Solvent %</w:t>
            </w:r>
          </w:p>
        </w:tc>
        <w:tc>
          <w:tcPr>
            <w:tcW w:w="993" w:type="dxa"/>
            <w:tcBorders>
              <w:top w:val="single" w:sz="12" w:space="0" w:color="008000"/>
              <w:bottom w:val="single" w:sz="6" w:space="0" w:color="008000"/>
            </w:tcBorders>
            <w:shd w:val="clear" w:color="auto" w:fill="FFFFFF"/>
          </w:tcPr>
          <w:p w14:paraId="2705FA8A" w14:textId="77777777" w:rsidR="00BC1C59" w:rsidRPr="00F11AD2" w:rsidRDefault="00BC1C59">
            <w:pPr>
              <w:pStyle w:val="CETBodytext"/>
              <w:rPr>
                <w:color w:val="000000" w:themeColor="text1"/>
                <w:lang w:val="en-GB"/>
              </w:rPr>
            </w:pPr>
            <w:r w:rsidRPr="00F11AD2">
              <w:rPr>
                <w:rFonts w:cs="Arial"/>
                <w:color w:val="000000" w:themeColor="text1"/>
                <w:kern w:val="24"/>
                <w:szCs w:val="18"/>
              </w:rPr>
              <w:t>KOH eq.</w:t>
            </w:r>
          </w:p>
        </w:tc>
        <w:tc>
          <w:tcPr>
            <w:tcW w:w="850" w:type="dxa"/>
            <w:tcBorders>
              <w:top w:val="single" w:sz="12" w:space="0" w:color="008000"/>
              <w:bottom w:val="single" w:sz="6" w:space="0" w:color="008000"/>
            </w:tcBorders>
            <w:shd w:val="clear" w:color="auto" w:fill="FFFFFF"/>
          </w:tcPr>
          <w:p w14:paraId="2B694CDC" w14:textId="77777777" w:rsidR="00BC1C59" w:rsidRPr="00F11AD2" w:rsidRDefault="00BC1C59">
            <w:pPr>
              <w:pStyle w:val="CETBodytext"/>
              <w:ind w:right="-1"/>
              <w:rPr>
                <w:rFonts w:cs="Arial"/>
                <w:color w:val="000000" w:themeColor="text1"/>
                <w:szCs w:val="18"/>
                <w:lang w:val="en-GB"/>
              </w:rPr>
            </w:pPr>
            <w:r w:rsidRPr="00F11AD2">
              <w:rPr>
                <w:rFonts w:cs="Arial"/>
                <w:color w:val="000000" w:themeColor="text1"/>
                <w:kern w:val="24"/>
                <w:szCs w:val="18"/>
              </w:rPr>
              <w:t>Dimer %</w:t>
            </w:r>
          </w:p>
        </w:tc>
      </w:tr>
      <w:tr w:rsidR="006365CA" w:rsidRPr="006365CA" w14:paraId="5B5088DA" w14:textId="77777777" w:rsidTr="00AA0024">
        <w:trPr>
          <w:trHeight w:val="229"/>
        </w:trPr>
        <w:tc>
          <w:tcPr>
            <w:tcW w:w="709" w:type="dxa"/>
            <w:shd w:val="clear" w:color="auto" w:fill="FFFFFF"/>
          </w:tcPr>
          <w:p w14:paraId="1096B1FC" w14:textId="77777777" w:rsidR="00BC1C59" w:rsidRPr="006365CA" w:rsidRDefault="00BC1C59">
            <w:pPr>
              <w:pStyle w:val="CETBodytext"/>
              <w:rPr>
                <w:color w:val="000000" w:themeColor="text1"/>
                <w:lang w:val="en-GB"/>
              </w:rPr>
            </w:pPr>
            <w:r w:rsidRPr="006365CA">
              <w:rPr>
                <w:rFonts w:cs="Arial"/>
                <w:color w:val="000000" w:themeColor="text1"/>
                <w:szCs w:val="18"/>
              </w:rPr>
              <w:t>1</w:t>
            </w:r>
          </w:p>
        </w:tc>
        <w:tc>
          <w:tcPr>
            <w:tcW w:w="3260" w:type="dxa"/>
            <w:shd w:val="clear" w:color="auto" w:fill="FFFFFF"/>
            <w:vAlign w:val="bottom"/>
          </w:tcPr>
          <w:p w14:paraId="0036CF6A" w14:textId="77777777" w:rsidR="00BC1C59" w:rsidRPr="006365CA" w:rsidRDefault="00BC1C59">
            <w:pPr>
              <w:pStyle w:val="CETBodytext"/>
              <w:rPr>
                <w:color w:val="000000" w:themeColor="text1"/>
                <w:lang w:val="en-GB"/>
              </w:rPr>
            </w:pPr>
            <w:r w:rsidRPr="006365CA">
              <w:rPr>
                <w:rFonts w:cs="Arial"/>
                <w:color w:val="000000" w:themeColor="text1"/>
                <w:kern w:val="24"/>
                <w:szCs w:val="18"/>
                <w:lang w:val="en-GB"/>
              </w:rPr>
              <w:t>MeOH</w:t>
            </w:r>
          </w:p>
        </w:tc>
        <w:tc>
          <w:tcPr>
            <w:tcW w:w="993" w:type="dxa"/>
            <w:shd w:val="clear" w:color="auto" w:fill="FFFFFF"/>
          </w:tcPr>
          <w:p w14:paraId="51BFD831" w14:textId="77777777" w:rsidR="00BC1C59" w:rsidRPr="006365CA" w:rsidRDefault="00BC1C59">
            <w:pPr>
              <w:pStyle w:val="CETBodytext"/>
              <w:rPr>
                <w:color w:val="000000" w:themeColor="text1"/>
                <w:lang w:val="en-GB"/>
              </w:rPr>
            </w:pPr>
            <w:r w:rsidRPr="006365CA">
              <w:rPr>
                <w:rFonts w:cs="Arial"/>
                <w:color w:val="000000" w:themeColor="text1"/>
                <w:kern w:val="24"/>
                <w:szCs w:val="18"/>
              </w:rPr>
              <w:t>0.4</w:t>
            </w:r>
          </w:p>
        </w:tc>
        <w:tc>
          <w:tcPr>
            <w:tcW w:w="850" w:type="dxa"/>
            <w:shd w:val="clear" w:color="auto" w:fill="FFFFFF"/>
          </w:tcPr>
          <w:p w14:paraId="47D5C2F8" w14:textId="77777777" w:rsidR="00BC1C59" w:rsidRPr="006365CA" w:rsidRDefault="00BC1C59">
            <w:pPr>
              <w:pStyle w:val="CETBodytext"/>
              <w:ind w:right="-1"/>
              <w:rPr>
                <w:rFonts w:cs="Arial"/>
                <w:color w:val="000000" w:themeColor="text1"/>
                <w:szCs w:val="18"/>
                <w:lang w:val="en-GB"/>
              </w:rPr>
            </w:pPr>
            <w:r w:rsidRPr="006365CA">
              <w:rPr>
                <w:rFonts w:cs="Arial"/>
                <w:color w:val="000000" w:themeColor="text1"/>
                <w:kern w:val="24"/>
                <w:szCs w:val="18"/>
              </w:rPr>
              <w:t>25</w:t>
            </w:r>
          </w:p>
        </w:tc>
      </w:tr>
      <w:tr w:rsidR="006365CA" w:rsidRPr="006365CA" w14:paraId="77603072" w14:textId="77777777" w:rsidTr="00AA0024">
        <w:trPr>
          <w:trHeight w:val="229"/>
        </w:trPr>
        <w:tc>
          <w:tcPr>
            <w:tcW w:w="709" w:type="dxa"/>
            <w:shd w:val="clear" w:color="auto" w:fill="FFFFFF"/>
          </w:tcPr>
          <w:p w14:paraId="3B9EFB6C" w14:textId="77777777" w:rsidR="00BC1C59" w:rsidRPr="006365CA" w:rsidRDefault="00BC1C59">
            <w:pPr>
              <w:pStyle w:val="CETBodytext"/>
              <w:rPr>
                <w:color w:val="000000" w:themeColor="text1"/>
                <w:lang w:val="en-GB"/>
              </w:rPr>
            </w:pPr>
            <w:r w:rsidRPr="006365CA">
              <w:rPr>
                <w:rFonts w:cs="Arial"/>
                <w:color w:val="000000" w:themeColor="text1"/>
                <w:szCs w:val="18"/>
              </w:rPr>
              <w:t>2</w:t>
            </w:r>
          </w:p>
        </w:tc>
        <w:tc>
          <w:tcPr>
            <w:tcW w:w="3260" w:type="dxa"/>
            <w:shd w:val="clear" w:color="auto" w:fill="FFFFFF"/>
            <w:vAlign w:val="bottom"/>
          </w:tcPr>
          <w:p w14:paraId="5D202B1C" w14:textId="77777777" w:rsidR="00BC1C59" w:rsidRPr="006365CA" w:rsidRDefault="00BC1C59">
            <w:pPr>
              <w:pStyle w:val="CETBodytext"/>
              <w:rPr>
                <w:color w:val="000000" w:themeColor="text1"/>
                <w:lang w:val="en-GB"/>
              </w:rPr>
            </w:pPr>
            <w:r w:rsidRPr="006365CA">
              <w:rPr>
                <w:rFonts w:cs="Arial"/>
                <w:color w:val="000000" w:themeColor="text1"/>
                <w:kern w:val="24"/>
                <w:szCs w:val="18"/>
                <w:lang w:val="en-GB"/>
              </w:rPr>
              <w:t>EtOH</w:t>
            </w:r>
          </w:p>
        </w:tc>
        <w:tc>
          <w:tcPr>
            <w:tcW w:w="993" w:type="dxa"/>
            <w:shd w:val="clear" w:color="auto" w:fill="FFFFFF"/>
          </w:tcPr>
          <w:p w14:paraId="3622B8F3" w14:textId="77777777" w:rsidR="00BC1C59" w:rsidRPr="006365CA" w:rsidRDefault="00BC1C59">
            <w:pPr>
              <w:pStyle w:val="CETBodytext"/>
              <w:rPr>
                <w:color w:val="000000" w:themeColor="text1"/>
                <w:lang w:val="en-GB"/>
              </w:rPr>
            </w:pPr>
            <w:r w:rsidRPr="006365CA">
              <w:rPr>
                <w:rFonts w:cs="Arial"/>
                <w:color w:val="000000" w:themeColor="text1"/>
                <w:kern w:val="24"/>
                <w:szCs w:val="18"/>
              </w:rPr>
              <w:t>0.4</w:t>
            </w:r>
          </w:p>
        </w:tc>
        <w:tc>
          <w:tcPr>
            <w:tcW w:w="850" w:type="dxa"/>
            <w:shd w:val="clear" w:color="auto" w:fill="FFFFFF"/>
          </w:tcPr>
          <w:p w14:paraId="6D1E0BB4" w14:textId="77777777" w:rsidR="00BC1C59" w:rsidRPr="006365CA" w:rsidRDefault="00BC1C59">
            <w:pPr>
              <w:pStyle w:val="CETBodytext"/>
              <w:ind w:right="-1"/>
              <w:rPr>
                <w:rFonts w:cs="Arial"/>
                <w:color w:val="000000" w:themeColor="text1"/>
                <w:szCs w:val="18"/>
                <w:lang w:val="en-GB"/>
              </w:rPr>
            </w:pPr>
            <w:r w:rsidRPr="006365CA">
              <w:rPr>
                <w:rFonts w:cs="Arial"/>
                <w:color w:val="000000" w:themeColor="text1"/>
                <w:kern w:val="24"/>
                <w:szCs w:val="18"/>
              </w:rPr>
              <w:t>30</w:t>
            </w:r>
          </w:p>
        </w:tc>
      </w:tr>
      <w:tr w:rsidR="006365CA" w:rsidRPr="006365CA" w14:paraId="01BDEDBA" w14:textId="77777777" w:rsidTr="00AA0024">
        <w:trPr>
          <w:trHeight w:val="242"/>
        </w:trPr>
        <w:tc>
          <w:tcPr>
            <w:tcW w:w="709" w:type="dxa"/>
            <w:shd w:val="clear" w:color="auto" w:fill="FFFFFF"/>
          </w:tcPr>
          <w:p w14:paraId="402F7BA7" w14:textId="77777777" w:rsidR="00BC1C59" w:rsidRPr="006365CA" w:rsidRDefault="00BC1C59">
            <w:pPr>
              <w:pStyle w:val="CETBodytext"/>
              <w:ind w:right="-1"/>
              <w:rPr>
                <w:rFonts w:cs="Arial"/>
                <w:color w:val="000000" w:themeColor="text1"/>
                <w:szCs w:val="18"/>
                <w:lang w:val="en-GB"/>
              </w:rPr>
            </w:pPr>
            <w:r w:rsidRPr="006365CA">
              <w:rPr>
                <w:rFonts w:cs="Arial"/>
                <w:color w:val="000000" w:themeColor="text1"/>
                <w:szCs w:val="18"/>
              </w:rPr>
              <w:t>3</w:t>
            </w:r>
          </w:p>
        </w:tc>
        <w:tc>
          <w:tcPr>
            <w:tcW w:w="3260" w:type="dxa"/>
            <w:shd w:val="clear" w:color="auto" w:fill="FFFFFF"/>
            <w:vAlign w:val="bottom"/>
          </w:tcPr>
          <w:p w14:paraId="78A78144" w14:textId="77777777" w:rsidR="00BC1C59" w:rsidRPr="006365CA" w:rsidRDefault="00BC1C59">
            <w:pPr>
              <w:pStyle w:val="CETBodytext"/>
              <w:ind w:right="-1"/>
              <w:rPr>
                <w:rFonts w:cs="Arial"/>
                <w:color w:val="000000" w:themeColor="text1"/>
                <w:szCs w:val="18"/>
                <w:lang w:val="en-GB"/>
              </w:rPr>
            </w:pPr>
            <w:r w:rsidRPr="006365CA">
              <w:rPr>
                <w:rFonts w:cs="Arial"/>
                <w:color w:val="000000" w:themeColor="text1"/>
                <w:kern w:val="24"/>
                <w:szCs w:val="18"/>
                <w:lang w:val="en-GB"/>
              </w:rPr>
              <w:t>MeOH:EtOH (50:50)</w:t>
            </w:r>
          </w:p>
        </w:tc>
        <w:tc>
          <w:tcPr>
            <w:tcW w:w="993" w:type="dxa"/>
            <w:shd w:val="clear" w:color="auto" w:fill="FFFFFF"/>
          </w:tcPr>
          <w:p w14:paraId="4D171878" w14:textId="77777777" w:rsidR="00BC1C59" w:rsidRPr="006365CA" w:rsidRDefault="00BC1C59">
            <w:pPr>
              <w:pStyle w:val="CETBodytext"/>
              <w:ind w:right="-1"/>
              <w:rPr>
                <w:rFonts w:cs="Arial"/>
                <w:color w:val="000000" w:themeColor="text1"/>
                <w:szCs w:val="18"/>
                <w:lang w:val="en-GB"/>
              </w:rPr>
            </w:pPr>
            <w:r w:rsidRPr="006365CA">
              <w:rPr>
                <w:rFonts w:cs="Arial"/>
                <w:color w:val="000000" w:themeColor="text1"/>
                <w:kern w:val="24"/>
                <w:szCs w:val="18"/>
              </w:rPr>
              <w:t>0.4</w:t>
            </w:r>
          </w:p>
        </w:tc>
        <w:tc>
          <w:tcPr>
            <w:tcW w:w="850" w:type="dxa"/>
            <w:shd w:val="clear" w:color="auto" w:fill="FFFFFF"/>
          </w:tcPr>
          <w:p w14:paraId="0A129CB9" w14:textId="77777777" w:rsidR="00BC1C59" w:rsidRPr="006365CA" w:rsidRDefault="00BC1C59">
            <w:pPr>
              <w:pStyle w:val="CETBodytext"/>
              <w:ind w:right="-1"/>
              <w:rPr>
                <w:rFonts w:cs="Arial"/>
                <w:color w:val="000000" w:themeColor="text1"/>
                <w:szCs w:val="18"/>
                <w:lang w:val="en-GB"/>
              </w:rPr>
            </w:pPr>
            <w:r w:rsidRPr="006365CA">
              <w:rPr>
                <w:rFonts w:cs="Arial"/>
                <w:color w:val="000000" w:themeColor="text1"/>
                <w:kern w:val="24"/>
                <w:szCs w:val="18"/>
              </w:rPr>
              <w:t>28</w:t>
            </w:r>
          </w:p>
        </w:tc>
      </w:tr>
      <w:tr w:rsidR="006365CA" w:rsidRPr="006365CA" w14:paraId="662DAC3D" w14:textId="77777777" w:rsidTr="00AA0024">
        <w:trPr>
          <w:trHeight w:val="229"/>
        </w:trPr>
        <w:tc>
          <w:tcPr>
            <w:tcW w:w="709" w:type="dxa"/>
            <w:shd w:val="clear" w:color="auto" w:fill="FFFFFF"/>
          </w:tcPr>
          <w:p w14:paraId="6E55A021" w14:textId="77777777" w:rsidR="00BC1C59" w:rsidRPr="006365CA" w:rsidRDefault="00BC1C59">
            <w:pPr>
              <w:pStyle w:val="CETBodytext"/>
              <w:ind w:right="-1"/>
              <w:rPr>
                <w:rFonts w:cs="Arial"/>
                <w:color w:val="000000" w:themeColor="text1"/>
                <w:szCs w:val="18"/>
                <w:lang w:val="en-GB"/>
              </w:rPr>
            </w:pPr>
            <w:r w:rsidRPr="006365CA">
              <w:rPr>
                <w:rFonts w:cs="Arial"/>
                <w:color w:val="000000" w:themeColor="text1"/>
                <w:szCs w:val="18"/>
              </w:rPr>
              <w:t>4</w:t>
            </w:r>
          </w:p>
        </w:tc>
        <w:tc>
          <w:tcPr>
            <w:tcW w:w="3260" w:type="dxa"/>
            <w:shd w:val="clear" w:color="auto" w:fill="FFFFFF"/>
            <w:vAlign w:val="bottom"/>
          </w:tcPr>
          <w:p w14:paraId="65ED0E98" w14:textId="77777777" w:rsidR="00BC1C59" w:rsidRPr="006365CA" w:rsidRDefault="00BC1C59">
            <w:pPr>
              <w:pStyle w:val="CETBodytext"/>
              <w:ind w:right="-1"/>
              <w:rPr>
                <w:rFonts w:cs="Arial"/>
                <w:color w:val="000000" w:themeColor="text1"/>
                <w:szCs w:val="18"/>
                <w:lang w:val="en-GB"/>
              </w:rPr>
            </w:pPr>
            <w:r w:rsidRPr="006365CA">
              <w:rPr>
                <w:rFonts w:cs="Arial"/>
                <w:color w:val="000000" w:themeColor="text1"/>
                <w:kern w:val="24"/>
                <w:szCs w:val="18"/>
                <w:lang w:val="en-GB"/>
              </w:rPr>
              <w:t>MeOH:EtOH (33.33:66.66)</w:t>
            </w:r>
          </w:p>
        </w:tc>
        <w:tc>
          <w:tcPr>
            <w:tcW w:w="993" w:type="dxa"/>
            <w:shd w:val="clear" w:color="auto" w:fill="FFFFFF"/>
          </w:tcPr>
          <w:p w14:paraId="5255D0AF" w14:textId="77777777" w:rsidR="00BC1C59" w:rsidRPr="006365CA" w:rsidRDefault="00BC1C59">
            <w:pPr>
              <w:pStyle w:val="CETBodytext"/>
              <w:ind w:right="-1"/>
              <w:rPr>
                <w:rFonts w:cs="Arial"/>
                <w:color w:val="000000" w:themeColor="text1"/>
                <w:szCs w:val="18"/>
                <w:lang w:val="en-GB"/>
              </w:rPr>
            </w:pPr>
            <w:r w:rsidRPr="006365CA">
              <w:rPr>
                <w:rFonts w:cs="Arial"/>
                <w:color w:val="000000" w:themeColor="text1"/>
                <w:kern w:val="24"/>
                <w:szCs w:val="18"/>
              </w:rPr>
              <w:t>0.4</w:t>
            </w:r>
          </w:p>
        </w:tc>
        <w:tc>
          <w:tcPr>
            <w:tcW w:w="850" w:type="dxa"/>
            <w:shd w:val="clear" w:color="auto" w:fill="FFFFFF"/>
          </w:tcPr>
          <w:p w14:paraId="41339FE4" w14:textId="77777777" w:rsidR="00BC1C59" w:rsidRPr="006365CA" w:rsidRDefault="00BC1C59">
            <w:pPr>
              <w:pStyle w:val="CETBodytext"/>
              <w:ind w:right="-1"/>
              <w:rPr>
                <w:rFonts w:cs="Arial"/>
                <w:color w:val="000000" w:themeColor="text1"/>
                <w:szCs w:val="18"/>
                <w:lang w:val="en-GB"/>
              </w:rPr>
            </w:pPr>
            <w:r w:rsidRPr="006365CA">
              <w:rPr>
                <w:rFonts w:cs="Arial"/>
                <w:color w:val="000000" w:themeColor="text1"/>
                <w:kern w:val="24"/>
                <w:szCs w:val="18"/>
              </w:rPr>
              <w:t>25</w:t>
            </w:r>
          </w:p>
        </w:tc>
      </w:tr>
      <w:tr w:rsidR="006365CA" w:rsidRPr="006365CA" w14:paraId="164712DD" w14:textId="77777777" w:rsidTr="00AA0024">
        <w:trPr>
          <w:trHeight w:val="229"/>
        </w:trPr>
        <w:tc>
          <w:tcPr>
            <w:tcW w:w="709" w:type="dxa"/>
            <w:shd w:val="clear" w:color="auto" w:fill="FFFFFF"/>
          </w:tcPr>
          <w:p w14:paraId="01358325" w14:textId="77777777" w:rsidR="00BC1C59" w:rsidRPr="006365CA" w:rsidRDefault="00BC1C59">
            <w:pPr>
              <w:pStyle w:val="CETBodytext"/>
              <w:ind w:right="-1"/>
              <w:rPr>
                <w:rFonts w:cs="Arial"/>
                <w:color w:val="000000" w:themeColor="text1"/>
                <w:szCs w:val="18"/>
                <w:lang w:val="en-GB"/>
              </w:rPr>
            </w:pPr>
            <w:r w:rsidRPr="006365CA">
              <w:rPr>
                <w:rFonts w:cs="Arial"/>
                <w:color w:val="000000" w:themeColor="text1"/>
                <w:szCs w:val="18"/>
              </w:rPr>
              <w:t>5</w:t>
            </w:r>
          </w:p>
        </w:tc>
        <w:tc>
          <w:tcPr>
            <w:tcW w:w="3260" w:type="dxa"/>
            <w:shd w:val="clear" w:color="auto" w:fill="FFFFFF"/>
            <w:vAlign w:val="bottom"/>
          </w:tcPr>
          <w:p w14:paraId="7CF4D3E4" w14:textId="77777777" w:rsidR="00BC1C59" w:rsidRPr="006365CA" w:rsidRDefault="00BC1C59">
            <w:pPr>
              <w:pStyle w:val="CETBodytext"/>
              <w:ind w:right="-1"/>
              <w:rPr>
                <w:rFonts w:cs="Arial"/>
                <w:color w:val="000000" w:themeColor="text1"/>
                <w:szCs w:val="18"/>
                <w:lang w:val="en-GB"/>
              </w:rPr>
            </w:pPr>
            <w:r w:rsidRPr="006365CA">
              <w:rPr>
                <w:rFonts w:cs="Arial"/>
                <w:color w:val="000000" w:themeColor="text1"/>
                <w:kern w:val="24"/>
                <w:szCs w:val="18"/>
                <w:lang w:val="en-GB"/>
              </w:rPr>
              <w:t>MeOH:EtOH (25:75)</w:t>
            </w:r>
          </w:p>
        </w:tc>
        <w:tc>
          <w:tcPr>
            <w:tcW w:w="993" w:type="dxa"/>
            <w:shd w:val="clear" w:color="auto" w:fill="FFFFFF"/>
          </w:tcPr>
          <w:p w14:paraId="5771CD89" w14:textId="77777777" w:rsidR="00BC1C59" w:rsidRPr="006365CA" w:rsidRDefault="00BC1C59">
            <w:pPr>
              <w:pStyle w:val="CETBodytext"/>
              <w:ind w:right="-1"/>
              <w:rPr>
                <w:rFonts w:cs="Arial"/>
                <w:color w:val="000000" w:themeColor="text1"/>
                <w:szCs w:val="18"/>
                <w:lang w:val="en-GB"/>
              </w:rPr>
            </w:pPr>
            <w:r w:rsidRPr="006365CA">
              <w:rPr>
                <w:rFonts w:cs="Arial"/>
                <w:color w:val="000000" w:themeColor="text1"/>
                <w:kern w:val="24"/>
                <w:szCs w:val="18"/>
              </w:rPr>
              <w:t>0.4</w:t>
            </w:r>
          </w:p>
        </w:tc>
        <w:tc>
          <w:tcPr>
            <w:tcW w:w="850" w:type="dxa"/>
            <w:shd w:val="clear" w:color="auto" w:fill="FFFFFF"/>
          </w:tcPr>
          <w:p w14:paraId="43E6E1CD" w14:textId="77777777" w:rsidR="00BC1C59" w:rsidRPr="006365CA" w:rsidRDefault="00BC1C59">
            <w:pPr>
              <w:pStyle w:val="CETBodytext"/>
              <w:ind w:right="-1"/>
              <w:rPr>
                <w:rFonts w:cs="Arial"/>
                <w:color w:val="000000" w:themeColor="text1"/>
                <w:szCs w:val="18"/>
                <w:lang w:val="en-GB"/>
              </w:rPr>
            </w:pPr>
            <w:r w:rsidRPr="006365CA">
              <w:rPr>
                <w:rFonts w:cs="Arial"/>
                <w:color w:val="000000" w:themeColor="text1"/>
                <w:kern w:val="24"/>
                <w:szCs w:val="18"/>
              </w:rPr>
              <w:t>27</w:t>
            </w:r>
          </w:p>
        </w:tc>
      </w:tr>
      <w:tr w:rsidR="006365CA" w:rsidRPr="006365CA" w14:paraId="71C00D1F" w14:textId="77777777" w:rsidTr="00AA0024">
        <w:trPr>
          <w:trHeight w:val="229"/>
        </w:trPr>
        <w:tc>
          <w:tcPr>
            <w:tcW w:w="709" w:type="dxa"/>
            <w:shd w:val="clear" w:color="auto" w:fill="FFFFFF"/>
          </w:tcPr>
          <w:p w14:paraId="3FAB741D" w14:textId="77777777" w:rsidR="00BC1C59" w:rsidRPr="006365CA" w:rsidRDefault="00BC1C59">
            <w:pPr>
              <w:pStyle w:val="CETBodytext"/>
              <w:ind w:right="-1"/>
              <w:rPr>
                <w:rFonts w:cs="Arial"/>
                <w:color w:val="000000" w:themeColor="text1"/>
                <w:szCs w:val="18"/>
                <w:lang w:val="en-GB"/>
              </w:rPr>
            </w:pPr>
            <w:r w:rsidRPr="006365CA">
              <w:rPr>
                <w:rFonts w:cs="Arial"/>
                <w:color w:val="000000" w:themeColor="text1"/>
                <w:szCs w:val="18"/>
              </w:rPr>
              <w:t>6</w:t>
            </w:r>
          </w:p>
        </w:tc>
        <w:tc>
          <w:tcPr>
            <w:tcW w:w="3260" w:type="dxa"/>
            <w:shd w:val="clear" w:color="auto" w:fill="FFFFFF"/>
            <w:vAlign w:val="bottom"/>
          </w:tcPr>
          <w:p w14:paraId="2F924F7B" w14:textId="77777777" w:rsidR="00BC1C59" w:rsidRPr="006365CA" w:rsidRDefault="00BC1C59">
            <w:pPr>
              <w:pStyle w:val="CETBodytext"/>
              <w:ind w:right="-1"/>
              <w:rPr>
                <w:rFonts w:cs="Arial"/>
                <w:color w:val="000000" w:themeColor="text1"/>
                <w:szCs w:val="18"/>
                <w:lang w:val="en-GB"/>
              </w:rPr>
            </w:pPr>
            <w:r w:rsidRPr="006365CA">
              <w:rPr>
                <w:rFonts w:cs="Arial"/>
                <w:color w:val="000000" w:themeColor="text1"/>
                <w:kern w:val="24"/>
                <w:szCs w:val="18"/>
                <w:lang w:val="en-GB"/>
              </w:rPr>
              <w:t>MeOH:EtOH (75:25)</w:t>
            </w:r>
          </w:p>
        </w:tc>
        <w:tc>
          <w:tcPr>
            <w:tcW w:w="993" w:type="dxa"/>
            <w:shd w:val="clear" w:color="auto" w:fill="FFFFFF"/>
          </w:tcPr>
          <w:p w14:paraId="1AFFFE73" w14:textId="77777777" w:rsidR="00BC1C59" w:rsidRPr="006365CA" w:rsidRDefault="00BC1C59">
            <w:pPr>
              <w:pStyle w:val="CETBodytext"/>
              <w:ind w:right="-1"/>
              <w:rPr>
                <w:rFonts w:cs="Arial"/>
                <w:color w:val="000000" w:themeColor="text1"/>
                <w:szCs w:val="18"/>
                <w:lang w:val="en-GB"/>
              </w:rPr>
            </w:pPr>
            <w:r w:rsidRPr="006365CA">
              <w:rPr>
                <w:rFonts w:cs="Arial"/>
                <w:color w:val="000000" w:themeColor="text1"/>
                <w:kern w:val="24"/>
                <w:szCs w:val="18"/>
              </w:rPr>
              <w:t>0.4</w:t>
            </w:r>
          </w:p>
        </w:tc>
        <w:tc>
          <w:tcPr>
            <w:tcW w:w="850" w:type="dxa"/>
            <w:shd w:val="clear" w:color="auto" w:fill="FFFFFF"/>
          </w:tcPr>
          <w:p w14:paraId="69D1304E" w14:textId="77777777" w:rsidR="00BC1C59" w:rsidRPr="006365CA" w:rsidRDefault="00BC1C59">
            <w:pPr>
              <w:pStyle w:val="CETBodytext"/>
              <w:ind w:right="-1"/>
              <w:rPr>
                <w:rFonts w:cs="Arial"/>
                <w:color w:val="000000" w:themeColor="text1"/>
                <w:szCs w:val="18"/>
                <w:lang w:val="en-GB"/>
              </w:rPr>
            </w:pPr>
            <w:r w:rsidRPr="006365CA">
              <w:rPr>
                <w:rFonts w:cs="Arial"/>
                <w:color w:val="000000" w:themeColor="text1"/>
                <w:kern w:val="24"/>
                <w:szCs w:val="18"/>
              </w:rPr>
              <w:t>29</w:t>
            </w:r>
          </w:p>
        </w:tc>
      </w:tr>
      <w:tr w:rsidR="006365CA" w:rsidRPr="006365CA" w14:paraId="1D7E2BDA" w14:textId="77777777" w:rsidTr="00AA0024">
        <w:trPr>
          <w:trHeight w:val="68"/>
        </w:trPr>
        <w:tc>
          <w:tcPr>
            <w:tcW w:w="709" w:type="dxa"/>
            <w:shd w:val="clear" w:color="auto" w:fill="FFFFFF"/>
          </w:tcPr>
          <w:p w14:paraId="6FC4607C" w14:textId="77777777" w:rsidR="00BC1C59" w:rsidRPr="006365CA" w:rsidRDefault="00BC1C59">
            <w:pPr>
              <w:pStyle w:val="CETBodytext"/>
              <w:ind w:right="-1"/>
              <w:rPr>
                <w:rFonts w:cs="Arial"/>
                <w:color w:val="000000" w:themeColor="text1"/>
                <w:szCs w:val="18"/>
                <w:lang w:val="en-GB"/>
              </w:rPr>
            </w:pPr>
            <w:r w:rsidRPr="006365CA">
              <w:rPr>
                <w:rFonts w:cs="Arial"/>
                <w:color w:val="000000" w:themeColor="text1"/>
                <w:szCs w:val="18"/>
              </w:rPr>
              <w:t>7</w:t>
            </w:r>
          </w:p>
        </w:tc>
        <w:tc>
          <w:tcPr>
            <w:tcW w:w="3260" w:type="dxa"/>
            <w:shd w:val="clear" w:color="auto" w:fill="FFFFFF"/>
          </w:tcPr>
          <w:p w14:paraId="5BB66969" w14:textId="77777777" w:rsidR="00BC1C59" w:rsidRPr="006365CA" w:rsidRDefault="00BC1C59">
            <w:pPr>
              <w:pStyle w:val="CETBodytext"/>
              <w:ind w:right="-1"/>
              <w:rPr>
                <w:rFonts w:cs="Arial"/>
                <w:color w:val="000000" w:themeColor="text1"/>
                <w:szCs w:val="18"/>
                <w:lang w:val="en-GB"/>
              </w:rPr>
            </w:pPr>
            <w:r w:rsidRPr="006365CA">
              <w:rPr>
                <w:rFonts w:cs="Arial"/>
                <w:color w:val="000000" w:themeColor="text1"/>
                <w:kern w:val="24"/>
                <w:szCs w:val="18"/>
              </w:rPr>
              <w:t>MeOH:EtOH:H</w:t>
            </w:r>
            <w:r w:rsidRPr="006365CA">
              <w:rPr>
                <w:rFonts w:cs="Arial"/>
                <w:color w:val="000000" w:themeColor="text1"/>
                <w:kern w:val="24"/>
                <w:position w:val="-7"/>
                <w:szCs w:val="18"/>
                <w:vertAlign w:val="subscript"/>
              </w:rPr>
              <w:t>2</w:t>
            </w:r>
            <w:r w:rsidRPr="006365CA">
              <w:rPr>
                <w:rFonts w:cs="Arial"/>
                <w:color w:val="000000" w:themeColor="text1"/>
                <w:kern w:val="24"/>
                <w:szCs w:val="18"/>
              </w:rPr>
              <w:t>O (38.89:38.89:22.22)</w:t>
            </w:r>
          </w:p>
        </w:tc>
        <w:tc>
          <w:tcPr>
            <w:tcW w:w="993" w:type="dxa"/>
            <w:shd w:val="clear" w:color="auto" w:fill="FFFFFF"/>
          </w:tcPr>
          <w:p w14:paraId="7FF6BE6D" w14:textId="77777777" w:rsidR="00BC1C59" w:rsidRPr="006365CA" w:rsidRDefault="00BC1C59">
            <w:pPr>
              <w:pStyle w:val="CETBodytext"/>
              <w:ind w:right="-1"/>
              <w:rPr>
                <w:rFonts w:cs="Arial"/>
                <w:color w:val="000000" w:themeColor="text1"/>
                <w:szCs w:val="18"/>
                <w:lang w:val="en-GB"/>
              </w:rPr>
            </w:pPr>
            <w:r w:rsidRPr="006365CA">
              <w:rPr>
                <w:rFonts w:cs="Arial"/>
                <w:color w:val="000000" w:themeColor="text1"/>
                <w:kern w:val="24"/>
                <w:szCs w:val="18"/>
              </w:rPr>
              <w:t>0.4</w:t>
            </w:r>
          </w:p>
        </w:tc>
        <w:tc>
          <w:tcPr>
            <w:tcW w:w="850" w:type="dxa"/>
            <w:shd w:val="clear" w:color="auto" w:fill="FFFFFF"/>
          </w:tcPr>
          <w:p w14:paraId="37F46145" w14:textId="77777777" w:rsidR="00BC1C59" w:rsidRPr="006365CA" w:rsidRDefault="00BC1C59">
            <w:pPr>
              <w:pStyle w:val="CETBodytext"/>
              <w:ind w:right="-1"/>
              <w:rPr>
                <w:rFonts w:cs="Arial"/>
                <w:color w:val="000000" w:themeColor="text1"/>
                <w:szCs w:val="18"/>
                <w:lang w:val="en-GB"/>
              </w:rPr>
            </w:pPr>
            <w:r w:rsidRPr="006365CA">
              <w:rPr>
                <w:rFonts w:cs="Arial"/>
                <w:color w:val="000000" w:themeColor="text1"/>
                <w:kern w:val="24"/>
                <w:szCs w:val="18"/>
              </w:rPr>
              <w:t>17</w:t>
            </w:r>
          </w:p>
        </w:tc>
      </w:tr>
      <w:tr w:rsidR="006365CA" w:rsidRPr="006365CA" w14:paraId="17096D27" w14:textId="77777777" w:rsidTr="00AA0024">
        <w:trPr>
          <w:trHeight w:val="72"/>
        </w:trPr>
        <w:tc>
          <w:tcPr>
            <w:tcW w:w="709" w:type="dxa"/>
            <w:shd w:val="clear" w:color="auto" w:fill="FFFFFF"/>
          </w:tcPr>
          <w:p w14:paraId="412D2E7B" w14:textId="10E9A7CC" w:rsidR="00BC1C59" w:rsidRPr="006365CA" w:rsidRDefault="004C7654">
            <w:pPr>
              <w:pStyle w:val="CETBodytext"/>
              <w:ind w:right="-1"/>
              <w:rPr>
                <w:rFonts w:cs="Arial"/>
                <w:color w:val="000000" w:themeColor="text1"/>
                <w:szCs w:val="18"/>
                <w:lang w:val="en-GB"/>
              </w:rPr>
            </w:pPr>
            <w:r w:rsidRPr="006365CA">
              <w:rPr>
                <w:rFonts w:cs="Arial"/>
                <w:color w:val="000000" w:themeColor="text1"/>
                <w:szCs w:val="18"/>
              </w:rPr>
              <w:t>8</w:t>
            </w:r>
          </w:p>
        </w:tc>
        <w:tc>
          <w:tcPr>
            <w:tcW w:w="3260" w:type="dxa"/>
            <w:shd w:val="clear" w:color="auto" w:fill="FFFFFF"/>
          </w:tcPr>
          <w:p w14:paraId="7D5CEA70" w14:textId="77777777" w:rsidR="00BC1C59" w:rsidRPr="006365CA" w:rsidRDefault="00BC1C59">
            <w:pPr>
              <w:pStyle w:val="CETBodytext"/>
              <w:ind w:right="-1"/>
              <w:rPr>
                <w:rFonts w:cs="Arial"/>
                <w:color w:val="000000" w:themeColor="text1"/>
                <w:szCs w:val="18"/>
                <w:lang w:val="en-GB"/>
              </w:rPr>
            </w:pPr>
            <w:r w:rsidRPr="006365CA">
              <w:rPr>
                <w:rFonts w:cs="Arial"/>
                <w:color w:val="000000" w:themeColor="text1"/>
                <w:kern w:val="24"/>
                <w:szCs w:val="18"/>
              </w:rPr>
              <w:t>MeOH:EtOH:H</w:t>
            </w:r>
            <w:r w:rsidRPr="006365CA">
              <w:rPr>
                <w:rFonts w:cs="Arial"/>
                <w:color w:val="000000" w:themeColor="text1"/>
                <w:kern w:val="24"/>
                <w:position w:val="-7"/>
                <w:szCs w:val="18"/>
                <w:vertAlign w:val="subscript"/>
              </w:rPr>
              <w:t>2</w:t>
            </w:r>
            <w:r w:rsidRPr="006365CA">
              <w:rPr>
                <w:rFonts w:cs="Arial"/>
                <w:color w:val="000000" w:themeColor="text1"/>
                <w:kern w:val="24"/>
                <w:szCs w:val="18"/>
              </w:rPr>
              <w:t>O (16.67:16.67:66.67)</w:t>
            </w:r>
          </w:p>
        </w:tc>
        <w:tc>
          <w:tcPr>
            <w:tcW w:w="993" w:type="dxa"/>
            <w:shd w:val="clear" w:color="auto" w:fill="FFFFFF"/>
          </w:tcPr>
          <w:p w14:paraId="709ACF02" w14:textId="77777777" w:rsidR="00BC1C59" w:rsidRPr="006365CA" w:rsidRDefault="00BC1C59">
            <w:pPr>
              <w:pStyle w:val="CETBodytext"/>
              <w:ind w:right="-1"/>
              <w:rPr>
                <w:rFonts w:cs="Arial"/>
                <w:color w:val="000000" w:themeColor="text1"/>
                <w:szCs w:val="18"/>
                <w:lang w:val="en-GB"/>
              </w:rPr>
            </w:pPr>
            <w:r w:rsidRPr="006365CA">
              <w:rPr>
                <w:rFonts w:cs="Arial"/>
                <w:color w:val="000000" w:themeColor="text1"/>
                <w:kern w:val="24"/>
                <w:szCs w:val="18"/>
              </w:rPr>
              <w:t>1.5</w:t>
            </w:r>
          </w:p>
        </w:tc>
        <w:tc>
          <w:tcPr>
            <w:tcW w:w="850" w:type="dxa"/>
            <w:shd w:val="clear" w:color="auto" w:fill="FFFFFF"/>
          </w:tcPr>
          <w:p w14:paraId="7E047762" w14:textId="77777777" w:rsidR="00BC1C59" w:rsidRPr="006365CA" w:rsidRDefault="00BC1C59">
            <w:pPr>
              <w:pStyle w:val="CETBodytext"/>
              <w:ind w:right="-1"/>
              <w:rPr>
                <w:rFonts w:cs="Arial"/>
                <w:color w:val="000000" w:themeColor="text1"/>
                <w:szCs w:val="18"/>
                <w:lang w:val="en-GB"/>
              </w:rPr>
            </w:pPr>
            <w:r w:rsidRPr="006365CA">
              <w:rPr>
                <w:rFonts w:cs="Arial"/>
                <w:color w:val="000000" w:themeColor="text1"/>
                <w:kern w:val="24"/>
                <w:szCs w:val="18"/>
              </w:rPr>
              <w:t>65</w:t>
            </w:r>
          </w:p>
        </w:tc>
      </w:tr>
      <w:tr w:rsidR="006365CA" w:rsidRPr="006365CA" w14:paraId="3354213B" w14:textId="77777777" w:rsidTr="00AA0024">
        <w:trPr>
          <w:trHeight w:val="72"/>
        </w:trPr>
        <w:tc>
          <w:tcPr>
            <w:tcW w:w="709" w:type="dxa"/>
            <w:shd w:val="clear" w:color="auto" w:fill="FFFFFF"/>
          </w:tcPr>
          <w:p w14:paraId="5FAD3DE5" w14:textId="459F2A43" w:rsidR="00BC1C59" w:rsidRPr="006365CA" w:rsidRDefault="004C7654">
            <w:pPr>
              <w:pStyle w:val="CETBodytext"/>
              <w:ind w:right="-1"/>
              <w:rPr>
                <w:rFonts w:cs="Arial"/>
                <w:color w:val="000000" w:themeColor="text1"/>
                <w:szCs w:val="18"/>
                <w:lang w:val="en-GB"/>
              </w:rPr>
            </w:pPr>
            <w:r w:rsidRPr="006365CA">
              <w:rPr>
                <w:rFonts w:cs="Arial"/>
                <w:color w:val="000000" w:themeColor="text1"/>
                <w:szCs w:val="18"/>
              </w:rPr>
              <w:t>9</w:t>
            </w:r>
          </w:p>
        </w:tc>
        <w:tc>
          <w:tcPr>
            <w:tcW w:w="3260" w:type="dxa"/>
            <w:shd w:val="clear" w:color="auto" w:fill="FFFFFF"/>
          </w:tcPr>
          <w:p w14:paraId="142C5409" w14:textId="77777777" w:rsidR="00BC1C59" w:rsidRPr="006365CA" w:rsidRDefault="00BC1C59">
            <w:pPr>
              <w:pStyle w:val="CETBodytext"/>
              <w:ind w:right="-1"/>
              <w:rPr>
                <w:rFonts w:cs="Arial"/>
                <w:color w:val="000000" w:themeColor="text1"/>
                <w:szCs w:val="18"/>
                <w:lang w:val="en-GB"/>
              </w:rPr>
            </w:pPr>
            <w:r w:rsidRPr="006365CA">
              <w:rPr>
                <w:rFonts w:cs="Arial"/>
                <w:color w:val="000000" w:themeColor="text1"/>
                <w:kern w:val="24"/>
                <w:szCs w:val="18"/>
              </w:rPr>
              <w:t>Hexane:EtOH:H</w:t>
            </w:r>
            <w:r w:rsidRPr="006365CA">
              <w:rPr>
                <w:rFonts w:cs="Arial"/>
                <w:color w:val="000000" w:themeColor="text1"/>
                <w:kern w:val="24"/>
                <w:position w:val="-7"/>
                <w:szCs w:val="18"/>
                <w:vertAlign w:val="subscript"/>
              </w:rPr>
              <w:t>2</w:t>
            </w:r>
            <w:r w:rsidRPr="006365CA">
              <w:rPr>
                <w:rFonts w:cs="Arial"/>
                <w:color w:val="000000" w:themeColor="text1"/>
                <w:kern w:val="24"/>
                <w:szCs w:val="18"/>
              </w:rPr>
              <w:t>O (38.89:38.89:22.22)</w:t>
            </w:r>
          </w:p>
        </w:tc>
        <w:tc>
          <w:tcPr>
            <w:tcW w:w="993" w:type="dxa"/>
            <w:shd w:val="clear" w:color="auto" w:fill="FFFFFF"/>
          </w:tcPr>
          <w:p w14:paraId="03A08895" w14:textId="77777777" w:rsidR="00BC1C59" w:rsidRPr="006365CA" w:rsidRDefault="00BC1C59">
            <w:pPr>
              <w:pStyle w:val="CETBodytext"/>
              <w:ind w:right="-1"/>
              <w:rPr>
                <w:rFonts w:cs="Arial"/>
                <w:color w:val="000000" w:themeColor="text1"/>
                <w:szCs w:val="18"/>
                <w:lang w:val="en-GB"/>
              </w:rPr>
            </w:pPr>
            <w:r w:rsidRPr="006365CA">
              <w:rPr>
                <w:rFonts w:cs="Arial"/>
                <w:color w:val="000000" w:themeColor="text1"/>
                <w:kern w:val="24"/>
                <w:szCs w:val="18"/>
              </w:rPr>
              <w:t>1.5</w:t>
            </w:r>
          </w:p>
        </w:tc>
        <w:tc>
          <w:tcPr>
            <w:tcW w:w="850" w:type="dxa"/>
            <w:shd w:val="clear" w:color="auto" w:fill="FFFFFF"/>
          </w:tcPr>
          <w:p w14:paraId="40A46F28" w14:textId="77777777" w:rsidR="00BC1C59" w:rsidRPr="006365CA" w:rsidRDefault="00BC1C59">
            <w:pPr>
              <w:pStyle w:val="CETBodytext"/>
              <w:ind w:right="-1"/>
              <w:rPr>
                <w:rFonts w:cs="Arial"/>
                <w:color w:val="000000" w:themeColor="text1"/>
                <w:szCs w:val="18"/>
                <w:lang w:val="en-GB"/>
              </w:rPr>
            </w:pPr>
            <w:r w:rsidRPr="006365CA">
              <w:rPr>
                <w:rFonts w:cs="Arial"/>
                <w:color w:val="000000" w:themeColor="text1"/>
                <w:kern w:val="24"/>
                <w:szCs w:val="18"/>
              </w:rPr>
              <w:t>69</w:t>
            </w:r>
          </w:p>
        </w:tc>
      </w:tr>
    </w:tbl>
    <w:p w14:paraId="6130FF14" w14:textId="77777777" w:rsidR="007E393D" w:rsidRPr="006365CA" w:rsidRDefault="007E393D" w:rsidP="007E393D">
      <w:pPr>
        <w:pStyle w:val="CETListbullets"/>
        <w:ind w:left="0" w:firstLine="0"/>
        <w:rPr>
          <w:rFonts w:cs="Arial"/>
          <w:b/>
          <w:bCs/>
          <w:color w:val="000000" w:themeColor="text1"/>
          <w:szCs w:val="18"/>
          <w:lang w:val="en-US"/>
        </w:rPr>
      </w:pPr>
    </w:p>
    <w:p w14:paraId="768CA939" w14:textId="5A5310D9" w:rsidR="00F82A02" w:rsidRPr="006365CA" w:rsidRDefault="008D3285" w:rsidP="007E393D">
      <w:pPr>
        <w:pStyle w:val="CETListbullets"/>
        <w:ind w:left="0" w:firstLine="0"/>
        <w:rPr>
          <w:rFonts w:cs="Arial"/>
          <w:b/>
          <w:bCs/>
          <w:color w:val="000000" w:themeColor="text1"/>
          <w:szCs w:val="18"/>
          <w:lang w:val="en-US"/>
        </w:rPr>
      </w:pPr>
      <w:r w:rsidRPr="006365CA">
        <w:rPr>
          <w:rFonts w:cs="Arial"/>
          <w:b/>
          <w:bCs/>
          <w:color w:val="000000" w:themeColor="text1"/>
          <w:szCs w:val="18"/>
          <w:lang w:val="en-US"/>
        </w:rPr>
        <w:t xml:space="preserve">4.2. </w:t>
      </w:r>
      <w:r w:rsidR="004B096E" w:rsidRPr="006365CA">
        <w:rPr>
          <w:rFonts w:cs="Arial"/>
          <w:b/>
          <w:bCs/>
          <w:color w:val="000000" w:themeColor="text1"/>
          <w:szCs w:val="18"/>
          <w:lang w:val="en-US"/>
        </w:rPr>
        <w:t>Kolbe electrolysis of palmitic acid</w:t>
      </w:r>
    </w:p>
    <w:p w14:paraId="5A3C4F63" w14:textId="52FFB1A0" w:rsidR="008778D1" w:rsidRPr="006365CA" w:rsidRDefault="008778D1" w:rsidP="008778D1">
      <w:pPr>
        <w:pStyle w:val="CETListbullets"/>
        <w:ind w:left="113" w:firstLine="0"/>
        <w:rPr>
          <w:rFonts w:cs="Arial"/>
          <w:color w:val="000000" w:themeColor="text1"/>
          <w:szCs w:val="18"/>
          <w:lang w:val="en-US"/>
        </w:rPr>
      </w:pPr>
      <w:r w:rsidRPr="006365CA">
        <w:rPr>
          <w:rFonts w:cs="Arial"/>
          <w:color w:val="000000" w:themeColor="text1"/>
          <w:szCs w:val="18"/>
          <w:lang w:val="en-US"/>
        </w:rPr>
        <w:t xml:space="preserve">Once the reaction conditions were fixed from the electrolysis of lauric acid, the same parameters were applied </w:t>
      </w:r>
      <w:r w:rsidR="006226DE">
        <w:rPr>
          <w:rFonts w:cs="Arial"/>
          <w:color w:val="000000" w:themeColor="text1"/>
          <w:szCs w:val="18"/>
          <w:lang w:val="en-US"/>
        </w:rPr>
        <w:t>to</w:t>
      </w:r>
      <w:r w:rsidRPr="006365CA">
        <w:rPr>
          <w:rFonts w:cs="Arial"/>
          <w:color w:val="000000" w:themeColor="text1"/>
          <w:szCs w:val="18"/>
          <w:lang w:val="en-US"/>
        </w:rPr>
        <w:t xml:space="preserve"> the electrolysis of palmitic acid. </w:t>
      </w:r>
      <w:r w:rsidRPr="006365CA">
        <w:rPr>
          <w:rFonts w:cs="Arial"/>
          <w:color w:val="000000" w:themeColor="text1"/>
          <w:szCs w:val="18"/>
        </w:rPr>
        <w:t xml:space="preserve">Table 2 displays the specifics of the reaction conditions, and </w:t>
      </w:r>
      <w:r w:rsidR="006226DE">
        <w:rPr>
          <w:rFonts w:cs="Arial"/>
          <w:color w:val="000000" w:themeColor="text1"/>
          <w:szCs w:val="18"/>
        </w:rPr>
        <w:t>Figure</w:t>
      </w:r>
      <w:r w:rsidRPr="006365CA">
        <w:rPr>
          <w:rFonts w:cs="Arial"/>
          <w:color w:val="000000" w:themeColor="text1"/>
          <w:szCs w:val="18"/>
        </w:rPr>
        <w:t xml:space="preserve"> 3 displays the product distribution. Dimers make up </w:t>
      </w:r>
      <w:proofErr w:type="gramStart"/>
      <w:r w:rsidRPr="006365CA">
        <w:rPr>
          <w:rFonts w:cs="Arial"/>
          <w:color w:val="000000" w:themeColor="text1"/>
          <w:szCs w:val="18"/>
        </w:rPr>
        <w:t>the majority of</w:t>
      </w:r>
      <w:proofErr w:type="gramEnd"/>
      <w:r w:rsidRPr="006365CA">
        <w:rPr>
          <w:rFonts w:cs="Arial"/>
          <w:color w:val="000000" w:themeColor="text1"/>
          <w:szCs w:val="18"/>
        </w:rPr>
        <w:t xml:space="preserve"> the product in the </w:t>
      </w:r>
      <w:proofErr w:type="spellStart"/>
      <w:r w:rsidRPr="006365CA">
        <w:rPr>
          <w:rFonts w:cs="Arial"/>
          <w:color w:val="000000" w:themeColor="text1"/>
          <w:szCs w:val="18"/>
        </w:rPr>
        <w:t>MeOH:EtOH:Water</w:t>
      </w:r>
      <w:proofErr w:type="spellEnd"/>
      <w:r w:rsidRPr="006365CA">
        <w:rPr>
          <w:rFonts w:cs="Arial"/>
          <w:color w:val="000000" w:themeColor="text1"/>
          <w:szCs w:val="18"/>
        </w:rPr>
        <w:t xml:space="preserve"> solvent system, with 23%, followed by “other hydrocarbons” (19.5%) and alcohols (18%). The Hexane:EtOH:Water system produces 15% of dimers and 30% of other hydrocarbons. The larger percentages of dimers (9%), alcohol (20%), and aldehydes (21.79%) are produced in the EtOH:Water solvent environment. Since the solution was not homogenous, as indicated in </w:t>
      </w:r>
      <w:r w:rsidR="006226DE">
        <w:rPr>
          <w:rFonts w:cs="Arial"/>
          <w:color w:val="000000" w:themeColor="text1"/>
          <w:szCs w:val="18"/>
        </w:rPr>
        <w:t>Table</w:t>
      </w:r>
      <w:r w:rsidRPr="006365CA">
        <w:rPr>
          <w:rFonts w:cs="Arial"/>
          <w:color w:val="000000" w:themeColor="text1"/>
          <w:szCs w:val="18"/>
        </w:rPr>
        <w:t xml:space="preserve"> 2 (entry 3), the quantity of KOH was raised from 1.5 eq. to 1.7 eq. These results led to the conclusion that the selectivity and distribution of a particular product are significantly influenced by the nature of </w:t>
      </w:r>
      <w:r w:rsidR="006226DE">
        <w:rPr>
          <w:rFonts w:cs="Arial"/>
          <w:color w:val="000000" w:themeColor="text1"/>
          <w:szCs w:val="18"/>
        </w:rPr>
        <w:t xml:space="preserve">the </w:t>
      </w:r>
      <w:r w:rsidRPr="006365CA">
        <w:rPr>
          <w:rFonts w:cs="Arial"/>
          <w:color w:val="000000" w:themeColor="text1"/>
          <w:szCs w:val="18"/>
        </w:rPr>
        <w:t>solvent.</w:t>
      </w:r>
      <w:r w:rsidR="00525820">
        <w:rPr>
          <w:rFonts w:cs="Arial"/>
          <w:color w:val="000000" w:themeColor="text1"/>
          <w:szCs w:val="18"/>
        </w:rPr>
        <w:t xml:space="preserve"> </w:t>
      </w:r>
      <w:r w:rsidR="00525820" w:rsidRPr="001F1D7C">
        <w:rPr>
          <w:rFonts w:cs="Arial"/>
          <w:color w:val="000000" w:themeColor="text1"/>
          <w:szCs w:val="18"/>
          <w:highlight w:val="yellow"/>
        </w:rPr>
        <w:fldChar w:fldCharType="begin"/>
      </w:r>
      <w:r w:rsidR="00525820" w:rsidRPr="001F1D7C">
        <w:rPr>
          <w:rFonts w:cs="Arial"/>
          <w:color w:val="000000" w:themeColor="text1"/>
          <w:szCs w:val="18"/>
          <w:highlight w:val="yellow"/>
        </w:rPr>
        <w:instrText xml:space="preserve"> ADDIN ZOTERO_ITEM CSL_CITATION {"citationID":"0qnn1MMM","properties":{"formattedCitation":"(Zhang et al., 2018)","plainCitation":"(Zhang et al., 2018)","noteIndex":0},"citationItems":[{"id":62,"uris":["http://zotero.org/users/local/lPvvY3SE/items/AGQ3K6XW"],"itemData":{"id":62,"type":"article-journal","abstract":"Fatty acids in vegetable oils and animal fats are a potential feedstock for the production of synthetic waxes, and this kind of waxes can be a substitute for petroleum waxes in the future because the feedstock is renewable. This paper described an optimization study on the production of n-triacontane (NTA) from palmitic acid via Kolbe electrolysis using a biphasic solvent system (H2O/MeOH as aqueous phase, petroleum ether as organic phase). Response surface methodology (RSM) and Taguchi methodology (TM) were employed to research the production of NTA affected by amounts of KOH, reaction temperature, cell voltage and reaction time. On the basis of analysis of variance and range analysis of the two methods above, the maximum NTA yield was achieved at amounts of KOH of 1.3 equiv., reaction temperature of 57 °C, cell voltage of 20.0 V and reaction time of 20 h for RSM; while the amounts of KOH of 1.3 equiv., reaction temperature of 55 °C, cell voltage of 20.0 V and reaction time of 20 h for TM. Under these optimal conditions, the experimental yields of NTA were 69.5% and 64.7% for RSM and TM, respectively. The final product met the relevant standards of the needle penetration, lead, water soluble acids and alkalis, odor and polycyclic aromatic hydrocarbons by referring to Chinese waxes product standards. The results showed strong potential market applications of Kolbe electrolysis waxes.","container-title":"Journal of Electroanalytical Chemistry","DOI":"10.1016/j.jelechem.2018.05.018","ISSN":"1572-6657","journalAbbreviation":"Journal of Electroanalytical Chemistry","page":"73-80","source":"ScienceDirect","title":"Electrochemical conversion of palmitic acid via Kolbe electrolysis for synthesis of n-triacontane","volume":"822","author":[{"family":"Zhang","given":"Yimeng"},{"family":"Liu","given":"Guangrui"},{"family":"Wu","given":"Jinhu"}],"issued":{"date-parts":[["2018",8,1]]}}}],"schema":"https://github.com/citation-style-language/schema/raw/master/csl-citation.json"} </w:instrText>
      </w:r>
      <w:r w:rsidR="00525820" w:rsidRPr="001F1D7C">
        <w:rPr>
          <w:rFonts w:cs="Arial"/>
          <w:color w:val="000000" w:themeColor="text1"/>
          <w:szCs w:val="18"/>
          <w:highlight w:val="yellow"/>
        </w:rPr>
        <w:fldChar w:fldCharType="separate"/>
      </w:r>
      <w:r w:rsidR="00525820" w:rsidRPr="001F1D7C">
        <w:rPr>
          <w:rFonts w:cs="Arial"/>
          <w:noProof/>
          <w:color w:val="000000" w:themeColor="text1"/>
          <w:szCs w:val="18"/>
          <w:highlight w:val="yellow"/>
        </w:rPr>
        <w:t>(Zhang et al., 2018)</w:t>
      </w:r>
      <w:r w:rsidR="00525820" w:rsidRPr="001F1D7C">
        <w:rPr>
          <w:rFonts w:cs="Arial"/>
          <w:color w:val="000000" w:themeColor="text1"/>
          <w:szCs w:val="18"/>
          <w:highlight w:val="yellow"/>
        </w:rPr>
        <w:fldChar w:fldCharType="end"/>
      </w:r>
      <w:r w:rsidRPr="001F1D7C">
        <w:rPr>
          <w:rFonts w:cs="Arial"/>
          <w:color w:val="000000" w:themeColor="text1"/>
          <w:szCs w:val="18"/>
          <w:highlight w:val="yellow"/>
        </w:rPr>
        <w:t xml:space="preserve"> </w:t>
      </w:r>
      <w:r w:rsidR="00B33585" w:rsidRPr="001F1D7C">
        <w:rPr>
          <w:rFonts w:cs="Arial"/>
          <w:color w:val="000000" w:themeColor="text1"/>
          <w:szCs w:val="18"/>
          <w:highlight w:val="yellow"/>
        </w:rPr>
        <w:t>in</w:t>
      </w:r>
      <w:r w:rsidR="00B33585" w:rsidRPr="00DB1EE1">
        <w:rPr>
          <w:rFonts w:cs="Arial"/>
          <w:color w:val="000000" w:themeColor="text1"/>
          <w:szCs w:val="18"/>
          <w:highlight w:val="yellow"/>
        </w:rPr>
        <w:t>vestigated the electrolysis of palmitic acid using platinum foil electrodes and biphasic solvent system</w:t>
      </w:r>
      <w:r w:rsidR="00B33585">
        <w:rPr>
          <w:rFonts w:cs="Arial"/>
          <w:color w:val="000000" w:themeColor="text1"/>
          <w:szCs w:val="18"/>
          <w:highlight w:val="yellow"/>
        </w:rPr>
        <w:t xml:space="preserve"> (H</w:t>
      </w:r>
      <w:r w:rsidR="00B33585" w:rsidRPr="00DB1EE1">
        <w:rPr>
          <w:rFonts w:cs="Arial"/>
          <w:color w:val="000000" w:themeColor="text1"/>
          <w:szCs w:val="18"/>
          <w:highlight w:val="yellow"/>
          <w:vertAlign w:val="subscript"/>
        </w:rPr>
        <w:t>2</w:t>
      </w:r>
      <w:r w:rsidR="00B33585">
        <w:rPr>
          <w:rFonts w:cs="Arial"/>
          <w:color w:val="000000" w:themeColor="text1"/>
          <w:szCs w:val="18"/>
          <w:highlight w:val="yellow"/>
        </w:rPr>
        <w:t>O:MeOH:</w:t>
      </w:r>
      <w:r w:rsidR="007D540C">
        <w:rPr>
          <w:rFonts w:cs="Arial"/>
          <w:color w:val="000000" w:themeColor="text1"/>
          <w:szCs w:val="18"/>
          <w:highlight w:val="yellow"/>
        </w:rPr>
        <w:t>petroleum ether</w:t>
      </w:r>
      <w:r w:rsidR="00B33585">
        <w:rPr>
          <w:rFonts w:cs="Arial"/>
          <w:color w:val="000000" w:themeColor="text1"/>
          <w:szCs w:val="18"/>
          <w:highlight w:val="yellow"/>
        </w:rPr>
        <w:t>)</w:t>
      </w:r>
      <w:r w:rsidR="00B33585" w:rsidRPr="00DB1EE1">
        <w:rPr>
          <w:rFonts w:cs="Arial"/>
          <w:color w:val="000000" w:themeColor="text1"/>
          <w:szCs w:val="18"/>
          <w:highlight w:val="yellow"/>
        </w:rPr>
        <w:t xml:space="preserve"> </w:t>
      </w:r>
      <w:r w:rsidR="00B33585">
        <w:rPr>
          <w:rFonts w:cs="Arial"/>
          <w:color w:val="000000" w:themeColor="text1"/>
          <w:szCs w:val="18"/>
          <w:highlight w:val="yellow"/>
        </w:rPr>
        <w:t>with</w:t>
      </w:r>
      <w:r w:rsidR="00B33585" w:rsidRPr="00DB1EE1">
        <w:rPr>
          <w:rFonts w:cs="Arial"/>
          <w:color w:val="000000" w:themeColor="text1"/>
          <w:szCs w:val="18"/>
          <w:highlight w:val="yellow"/>
        </w:rPr>
        <w:t xml:space="preserve"> 1.5 eq. of KOH </w:t>
      </w:r>
      <w:r w:rsidR="0064280F">
        <w:rPr>
          <w:rFonts w:cs="Arial"/>
          <w:color w:val="000000" w:themeColor="text1"/>
          <w:szCs w:val="18"/>
          <w:highlight w:val="yellow"/>
        </w:rPr>
        <w:t>achieved</w:t>
      </w:r>
      <w:r w:rsidR="00B33585" w:rsidRPr="00DB1EE1">
        <w:rPr>
          <w:rFonts w:cs="Arial"/>
          <w:color w:val="000000" w:themeColor="text1"/>
          <w:szCs w:val="18"/>
          <w:highlight w:val="yellow"/>
        </w:rPr>
        <w:t xml:space="preserve"> 27% of </w:t>
      </w:r>
      <w:r w:rsidR="00B33585">
        <w:rPr>
          <w:rFonts w:cs="Arial"/>
          <w:color w:val="000000" w:themeColor="text1"/>
          <w:szCs w:val="18"/>
          <w:highlight w:val="yellow"/>
        </w:rPr>
        <w:t>dimers yield</w:t>
      </w:r>
      <w:r w:rsidR="00B33585" w:rsidRPr="00DB1EE1">
        <w:rPr>
          <w:rFonts w:cs="Arial"/>
          <w:color w:val="000000" w:themeColor="text1"/>
          <w:szCs w:val="18"/>
          <w:highlight w:val="yellow"/>
        </w:rPr>
        <w:t>.</w:t>
      </w:r>
      <w:r w:rsidR="00B33585">
        <w:rPr>
          <w:rFonts w:cs="Arial"/>
          <w:color w:val="000000" w:themeColor="text1"/>
          <w:szCs w:val="18"/>
        </w:rPr>
        <w:t xml:space="preserve"> </w:t>
      </w:r>
      <w:r w:rsidRPr="006365CA">
        <w:rPr>
          <w:rFonts w:cs="Arial"/>
          <w:color w:val="000000" w:themeColor="text1"/>
          <w:szCs w:val="18"/>
        </w:rPr>
        <w:t xml:space="preserve">A solvent system with a greater water content and a lower alcohol content produces a larger percentage of dimers, whereas a solvent system with a high alcohol content and a low water content produces a higher concentration of alcohol and aldehyde. </w:t>
      </w:r>
      <w:r w:rsidRPr="006365CA">
        <w:rPr>
          <w:rFonts w:cs="Arial"/>
          <w:color w:val="000000" w:themeColor="text1"/>
          <w:szCs w:val="18"/>
          <w:lang w:val="en-US"/>
        </w:rPr>
        <w:t>The details of the observed products are shown in table 3.</w:t>
      </w:r>
      <w:r w:rsidR="00B33585">
        <w:rPr>
          <w:rFonts w:cs="Arial"/>
          <w:color w:val="000000" w:themeColor="text1"/>
          <w:szCs w:val="18"/>
          <w:lang w:val="en-US"/>
        </w:rPr>
        <w:t xml:space="preserve"> </w:t>
      </w:r>
    </w:p>
    <w:p w14:paraId="361983D3" w14:textId="7590D5AA" w:rsidR="006517B5" w:rsidRPr="006365CA" w:rsidRDefault="006517B5" w:rsidP="004876D6">
      <w:pPr>
        <w:pStyle w:val="CETListbullets"/>
        <w:ind w:left="113" w:firstLine="0"/>
        <w:rPr>
          <w:rFonts w:cs="Arial"/>
          <w:color w:val="000000" w:themeColor="text1"/>
          <w:szCs w:val="18"/>
          <w:lang w:val="en-US"/>
        </w:rPr>
      </w:pPr>
      <w:r w:rsidRPr="006365CA">
        <w:rPr>
          <w:rFonts w:cs="Arial"/>
          <w:color w:val="000000" w:themeColor="text1"/>
          <w:szCs w:val="18"/>
          <w:lang w:val="en-US"/>
        </w:rPr>
        <w:t xml:space="preserve"> </w:t>
      </w:r>
    </w:p>
    <w:p w14:paraId="34B0E76D" w14:textId="77777777" w:rsidR="002C5D8D" w:rsidRPr="006365CA" w:rsidRDefault="002C5D8D" w:rsidP="002C5D8D">
      <w:pPr>
        <w:pStyle w:val="CETListbullets"/>
        <w:ind w:left="113" w:firstLine="0"/>
        <w:rPr>
          <w:rFonts w:cs="Arial"/>
          <w:i/>
          <w:iCs/>
          <w:color w:val="000000" w:themeColor="text1"/>
          <w:szCs w:val="18"/>
          <w:lang w:val="en-US"/>
        </w:rPr>
      </w:pPr>
      <w:r w:rsidRPr="006365CA">
        <w:rPr>
          <w:rFonts w:cs="Arial"/>
          <w:i/>
          <w:iCs/>
          <w:color w:val="000000" w:themeColor="text1"/>
          <w:szCs w:val="18"/>
          <w:lang w:val="en-US"/>
        </w:rPr>
        <w:t>Table 2: Experimental conditions for the electrolysis of palmitic acid and GC dimer yield (%)</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709"/>
        <w:gridCol w:w="681"/>
        <w:gridCol w:w="3260"/>
        <w:gridCol w:w="851"/>
        <w:gridCol w:w="850"/>
      </w:tblGrid>
      <w:tr w:rsidR="006365CA" w:rsidRPr="006365CA" w14:paraId="3E609D0E" w14:textId="1D90F26F" w:rsidTr="00C77DC9">
        <w:trPr>
          <w:trHeight w:val="102"/>
        </w:trPr>
        <w:tc>
          <w:tcPr>
            <w:tcW w:w="709" w:type="dxa"/>
            <w:tcBorders>
              <w:top w:val="single" w:sz="12" w:space="0" w:color="008000"/>
              <w:bottom w:val="single" w:sz="6" w:space="0" w:color="008000"/>
            </w:tcBorders>
            <w:shd w:val="clear" w:color="auto" w:fill="FFFFFF"/>
          </w:tcPr>
          <w:p w14:paraId="619E1CC4" w14:textId="77777777" w:rsidR="003D62CC" w:rsidRPr="00F11AD2" w:rsidRDefault="003D62CC">
            <w:pPr>
              <w:pStyle w:val="CETBodytext"/>
              <w:rPr>
                <w:color w:val="000000" w:themeColor="text1"/>
                <w:lang w:val="en-GB"/>
              </w:rPr>
            </w:pPr>
            <w:r w:rsidRPr="00F11AD2">
              <w:rPr>
                <w:rFonts w:cs="Arial"/>
                <w:color w:val="000000" w:themeColor="text1"/>
                <w:kern w:val="24"/>
                <w:szCs w:val="18"/>
              </w:rPr>
              <w:t>Entry</w:t>
            </w:r>
          </w:p>
        </w:tc>
        <w:tc>
          <w:tcPr>
            <w:tcW w:w="681" w:type="dxa"/>
            <w:tcBorders>
              <w:top w:val="single" w:sz="12" w:space="0" w:color="008000"/>
              <w:bottom w:val="single" w:sz="6" w:space="0" w:color="008000"/>
            </w:tcBorders>
            <w:shd w:val="clear" w:color="auto" w:fill="FFFFFF"/>
          </w:tcPr>
          <w:p w14:paraId="09C270F6" w14:textId="71EBB715" w:rsidR="003D62CC" w:rsidRPr="00F11AD2" w:rsidRDefault="00C77DC9">
            <w:pPr>
              <w:pStyle w:val="CETBodytext"/>
              <w:rPr>
                <w:color w:val="000000" w:themeColor="text1"/>
                <w:lang w:val="en-GB"/>
              </w:rPr>
            </w:pPr>
            <w:r w:rsidRPr="00F11AD2">
              <w:rPr>
                <w:rFonts w:cs="Arial"/>
                <w:color w:val="000000" w:themeColor="text1"/>
                <w:kern w:val="24"/>
                <w:szCs w:val="18"/>
              </w:rPr>
              <w:t>mm</w:t>
            </w:r>
            <w:r w:rsidR="003D62CC" w:rsidRPr="00F11AD2">
              <w:rPr>
                <w:rFonts w:cs="Arial"/>
                <w:color w:val="000000" w:themeColor="text1"/>
                <w:kern w:val="24"/>
                <w:szCs w:val="18"/>
              </w:rPr>
              <w:t>ol</w:t>
            </w:r>
          </w:p>
        </w:tc>
        <w:tc>
          <w:tcPr>
            <w:tcW w:w="3260" w:type="dxa"/>
            <w:tcBorders>
              <w:top w:val="single" w:sz="12" w:space="0" w:color="008000"/>
              <w:bottom w:val="single" w:sz="6" w:space="0" w:color="008000"/>
            </w:tcBorders>
            <w:shd w:val="clear" w:color="auto" w:fill="FFFFFF"/>
          </w:tcPr>
          <w:p w14:paraId="0374341C" w14:textId="77777777" w:rsidR="003D62CC" w:rsidRPr="00F11AD2" w:rsidRDefault="003D62CC">
            <w:pPr>
              <w:pStyle w:val="CETBodytext"/>
              <w:rPr>
                <w:color w:val="000000" w:themeColor="text1"/>
                <w:lang w:val="en-GB"/>
              </w:rPr>
            </w:pPr>
            <w:r w:rsidRPr="00F11AD2">
              <w:rPr>
                <w:rFonts w:cs="Arial"/>
                <w:color w:val="000000" w:themeColor="text1"/>
                <w:kern w:val="24"/>
                <w:szCs w:val="18"/>
              </w:rPr>
              <w:t>Solvent%</w:t>
            </w:r>
          </w:p>
        </w:tc>
        <w:tc>
          <w:tcPr>
            <w:tcW w:w="851" w:type="dxa"/>
            <w:tcBorders>
              <w:top w:val="single" w:sz="12" w:space="0" w:color="008000"/>
              <w:bottom w:val="single" w:sz="6" w:space="0" w:color="008000"/>
            </w:tcBorders>
            <w:shd w:val="clear" w:color="auto" w:fill="FFFFFF"/>
          </w:tcPr>
          <w:p w14:paraId="1BFFC621" w14:textId="77777777" w:rsidR="003D62CC" w:rsidRPr="00F11AD2" w:rsidRDefault="003D62CC">
            <w:pPr>
              <w:pStyle w:val="CETBodytext"/>
              <w:ind w:right="-1"/>
              <w:rPr>
                <w:rFonts w:cs="Arial"/>
                <w:color w:val="000000" w:themeColor="text1"/>
                <w:szCs w:val="18"/>
                <w:lang w:val="en-GB"/>
              </w:rPr>
            </w:pPr>
            <w:r w:rsidRPr="00F11AD2">
              <w:rPr>
                <w:rFonts w:cs="Arial"/>
                <w:color w:val="000000" w:themeColor="text1"/>
                <w:kern w:val="24"/>
                <w:szCs w:val="18"/>
              </w:rPr>
              <w:t>KOH eq.</w:t>
            </w:r>
          </w:p>
        </w:tc>
        <w:tc>
          <w:tcPr>
            <w:tcW w:w="850" w:type="dxa"/>
            <w:tcBorders>
              <w:top w:val="single" w:sz="12" w:space="0" w:color="008000"/>
              <w:bottom w:val="single" w:sz="6" w:space="0" w:color="008000"/>
            </w:tcBorders>
            <w:shd w:val="clear" w:color="auto" w:fill="FFFFFF"/>
          </w:tcPr>
          <w:p w14:paraId="5CB13B87" w14:textId="7CD91F0F" w:rsidR="003D62CC" w:rsidRPr="00F11AD2" w:rsidRDefault="003D62CC">
            <w:pPr>
              <w:pStyle w:val="CETBodytext"/>
              <w:ind w:right="-1"/>
              <w:rPr>
                <w:rFonts w:cs="Arial"/>
                <w:color w:val="000000" w:themeColor="text1"/>
                <w:kern w:val="24"/>
                <w:szCs w:val="18"/>
              </w:rPr>
            </w:pPr>
            <w:r w:rsidRPr="00F11AD2">
              <w:rPr>
                <w:rFonts w:cs="Arial"/>
                <w:color w:val="000000" w:themeColor="text1"/>
                <w:kern w:val="24"/>
                <w:szCs w:val="18"/>
              </w:rPr>
              <w:t>Dimer %</w:t>
            </w:r>
          </w:p>
        </w:tc>
      </w:tr>
      <w:tr w:rsidR="006365CA" w:rsidRPr="006365CA" w14:paraId="2E135233" w14:textId="16459485" w:rsidTr="00C77DC9">
        <w:trPr>
          <w:trHeight w:val="229"/>
        </w:trPr>
        <w:tc>
          <w:tcPr>
            <w:tcW w:w="709" w:type="dxa"/>
            <w:shd w:val="clear" w:color="auto" w:fill="FFFFFF"/>
          </w:tcPr>
          <w:p w14:paraId="1B75FD5A" w14:textId="77777777" w:rsidR="003D62CC" w:rsidRPr="006365CA" w:rsidRDefault="003D62CC">
            <w:pPr>
              <w:pStyle w:val="CETBodytext"/>
              <w:rPr>
                <w:color w:val="000000" w:themeColor="text1"/>
                <w:lang w:val="en-GB"/>
              </w:rPr>
            </w:pPr>
            <w:r w:rsidRPr="006365CA">
              <w:rPr>
                <w:rFonts w:cs="Arial"/>
                <w:color w:val="000000" w:themeColor="text1"/>
                <w:kern w:val="24"/>
                <w:szCs w:val="18"/>
              </w:rPr>
              <w:t>1</w:t>
            </w:r>
          </w:p>
        </w:tc>
        <w:tc>
          <w:tcPr>
            <w:tcW w:w="681" w:type="dxa"/>
            <w:shd w:val="clear" w:color="auto" w:fill="FFFFFF"/>
          </w:tcPr>
          <w:p w14:paraId="18852251" w14:textId="77777777" w:rsidR="003D62CC" w:rsidRPr="006365CA" w:rsidRDefault="003D62CC">
            <w:pPr>
              <w:pStyle w:val="CETBodytext"/>
              <w:rPr>
                <w:color w:val="000000" w:themeColor="text1"/>
                <w:lang w:val="en-GB"/>
              </w:rPr>
            </w:pPr>
            <w:r w:rsidRPr="006365CA">
              <w:rPr>
                <w:rFonts w:cs="Arial"/>
                <w:color w:val="000000" w:themeColor="text1"/>
                <w:kern w:val="24"/>
                <w:szCs w:val="18"/>
              </w:rPr>
              <w:t>0.7</w:t>
            </w:r>
          </w:p>
        </w:tc>
        <w:tc>
          <w:tcPr>
            <w:tcW w:w="3260" w:type="dxa"/>
            <w:shd w:val="clear" w:color="auto" w:fill="FFFFFF"/>
          </w:tcPr>
          <w:p w14:paraId="46822EE1" w14:textId="77777777" w:rsidR="003D62CC" w:rsidRPr="006365CA" w:rsidRDefault="003D62CC">
            <w:pPr>
              <w:pStyle w:val="CETBodytext"/>
              <w:rPr>
                <w:color w:val="000000" w:themeColor="text1"/>
                <w:lang w:val="en-GB"/>
              </w:rPr>
            </w:pPr>
            <w:r w:rsidRPr="006365CA">
              <w:rPr>
                <w:rFonts w:cs="Arial"/>
                <w:color w:val="000000" w:themeColor="text1"/>
                <w:kern w:val="24"/>
                <w:szCs w:val="18"/>
              </w:rPr>
              <w:t>EtOH:MeOH:H</w:t>
            </w:r>
            <w:r w:rsidRPr="006365CA">
              <w:rPr>
                <w:rFonts w:cs="Arial"/>
                <w:color w:val="000000" w:themeColor="text1"/>
                <w:kern w:val="24"/>
                <w:position w:val="-7"/>
                <w:szCs w:val="18"/>
                <w:vertAlign w:val="subscript"/>
              </w:rPr>
              <w:t>2</w:t>
            </w:r>
            <w:r w:rsidRPr="006365CA">
              <w:rPr>
                <w:rFonts w:cs="Arial"/>
                <w:color w:val="000000" w:themeColor="text1"/>
                <w:kern w:val="24"/>
                <w:szCs w:val="18"/>
              </w:rPr>
              <w:t>O (16.67:16.67:66.67)</w:t>
            </w:r>
          </w:p>
        </w:tc>
        <w:tc>
          <w:tcPr>
            <w:tcW w:w="851" w:type="dxa"/>
            <w:shd w:val="clear" w:color="auto" w:fill="FFFFFF"/>
          </w:tcPr>
          <w:p w14:paraId="0B4D4316" w14:textId="77777777" w:rsidR="003D62CC" w:rsidRPr="006365CA" w:rsidRDefault="003D62CC">
            <w:pPr>
              <w:pStyle w:val="CETBodytext"/>
              <w:ind w:right="-1"/>
              <w:rPr>
                <w:rFonts w:cs="Arial"/>
                <w:color w:val="000000" w:themeColor="text1"/>
                <w:szCs w:val="18"/>
                <w:lang w:val="en-GB"/>
              </w:rPr>
            </w:pPr>
            <w:r w:rsidRPr="006365CA">
              <w:rPr>
                <w:rFonts w:cs="Arial"/>
                <w:color w:val="000000" w:themeColor="text1"/>
                <w:kern w:val="24"/>
                <w:szCs w:val="18"/>
              </w:rPr>
              <w:t>1.5</w:t>
            </w:r>
          </w:p>
        </w:tc>
        <w:tc>
          <w:tcPr>
            <w:tcW w:w="850" w:type="dxa"/>
            <w:shd w:val="clear" w:color="auto" w:fill="FFFFFF"/>
          </w:tcPr>
          <w:p w14:paraId="065F6A11" w14:textId="5C01E3DB" w:rsidR="003D62CC" w:rsidRPr="006365CA" w:rsidRDefault="00B20070">
            <w:pPr>
              <w:pStyle w:val="CETBodytext"/>
              <w:ind w:right="-1"/>
              <w:rPr>
                <w:rFonts w:cs="Arial"/>
                <w:color w:val="000000" w:themeColor="text1"/>
                <w:kern w:val="24"/>
                <w:szCs w:val="18"/>
              </w:rPr>
            </w:pPr>
            <w:r w:rsidRPr="006365CA">
              <w:rPr>
                <w:rFonts w:cs="Arial"/>
                <w:color w:val="000000" w:themeColor="text1"/>
                <w:kern w:val="24"/>
                <w:szCs w:val="18"/>
              </w:rPr>
              <w:t>23</w:t>
            </w:r>
          </w:p>
        </w:tc>
      </w:tr>
      <w:tr w:rsidR="006365CA" w:rsidRPr="006365CA" w14:paraId="578E3C6E" w14:textId="1574C70D" w:rsidTr="00C77DC9">
        <w:trPr>
          <w:trHeight w:val="229"/>
        </w:trPr>
        <w:tc>
          <w:tcPr>
            <w:tcW w:w="709" w:type="dxa"/>
            <w:shd w:val="clear" w:color="auto" w:fill="FFFFFF"/>
          </w:tcPr>
          <w:p w14:paraId="364532A3" w14:textId="77777777" w:rsidR="003D62CC" w:rsidRPr="006365CA" w:rsidRDefault="003D62CC">
            <w:pPr>
              <w:pStyle w:val="CETBodytext"/>
              <w:rPr>
                <w:color w:val="000000" w:themeColor="text1"/>
                <w:lang w:val="en-GB"/>
              </w:rPr>
            </w:pPr>
            <w:r w:rsidRPr="006365CA">
              <w:rPr>
                <w:rFonts w:cs="Arial"/>
                <w:color w:val="000000" w:themeColor="text1"/>
                <w:szCs w:val="18"/>
              </w:rPr>
              <w:t>2</w:t>
            </w:r>
          </w:p>
        </w:tc>
        <w:tc>
          <w:tcPr>
            <w:tcW w:w="681" w:type="dxa"/>
            <w:shd w:val="clear" w:color="auto" w:fill="FFFFFF"/>
          </w:tcPr>
          <w:p w14:paraId="17B47554" w14:textId="77777777" w:rsidR="003D62CC" w:rsidRPr="006365CA" w:rsidRDefault="003D62CC">
            <w:pPr>
              <w:pStyle w:val="CETBodytext"/>
              <w:rPr>
                <w:color w:val="000000" w:themeColor="text1"/>
                <w:lang w:val="en-GB"/>
              </w:rPr>
            </w:pPr>
            <w:r w:rsidRPr="006365CA">
              <w:rPr>
                <w:rFonts w:cs="Arial"/>
                <w:color w:val="000000" w:themeColor="text1"/>
                <w:kern w:val="24"/>
                <w:szCs w:val="18"/>
              </w:rPr>
              <w:t>0.7</w:t>
            </w:r>
          </w:p>
        </w:tc>
        <w:tc>
          <w:tcPr>
            <w:tcW w:w="3260" w:type="dxa"/>
            <w:shd w:val="clear" w:color="auto" w:fill="FFFFFF"/>
          </w:tcPr>
          <w:p w14:paraId="0105D064" w14:textId="77777777" w:rsidR="003D62CC" w:rsidRPr="006365CA" w:rsidRDefault="003D62CC">
            <w:pPr>
              <w:pStyle w:val="CETBodytext"/>
              <w:rPr>
                <w:color w:val="000000" w:themeColor="text1"/>
                <w:lang w:val="en-GB"/>
              </w:rPr>
            </w:pPr>
            <w:r w:rsidRPr="006365CA">
              <w:rPr>
                <w:rFonts w:cs="Arial"/>
                <w:color w:val="000000" w:themeColor="text1"/>
                <w:kern w:val="24"/>
                <w:szCs w:val="18"/>
              </w:rPr>
              <w:t>Hexane:EtOH:H</w:t>
            </w:r>
            <w:r w:rsidRPr="006365CA">
              <w:rPr>
                <w:rFonts w:cs="Arial"/>
                <w:color w:val="000000" w:themeColor="text1"/>
                <w:kern w:val="24"/>
                <w:position w:val="-7"/>
                <w:szCs w:val="18"/>
                <w:vertAlign w:val="subscript"/>
              </w:rPr>
              <w:t>2</w:t>
            </w:r>
            <w:r w:rsidRPr="006365CA">
              <w:rPr>
                <w:rFonts w:cs="Arial"/>
                <w:color w:val="000000" w:themeColor="text1"/>
                <w:kern w:val="24"/>
                <w:szCs w:val="18"/>
              </w:rPr>
              <w:t>O (38.89:38.89:22.22)</w:t>
            </w:r>
          </w:p>
        </w:tc>
        <w:tc>
          <w:tcPr>
            <w:tcW w:w="851" w:type="dxa"/>
            <w:shd w:val="clear" w:color="auto" w:fill="FFFFFF"/>
          </w:tcPr>
          <w:p w14:paraId="57183AA2" w14:textId="77777777" w:rsidR="003D62CC" w:rsidRPr="006365CA" w:rsidRDefault="003D62CC">
            <w:pPr>
              <w:pStyle w:val="CETBodytext"/>
              <w:ind w:right="-1"/>
              <w:rPr>
                <w:rFonts w:cs="Arial"/>
                <w:color w:val="000000" w:themeColor="text1"/>
                <w:szCs w:val="18"/>
                <w:lang w:val="en-GB"/>
              </w:rPr>
            </w:pPr>
            <w:r w:rsidRPr="006365CA">
              <w:rPr>
                <w:rFonts w:cs="Arial"/>
                <w:color w:val="000000" w:themeColor="text1"/>
                <w:kern w:val="24"/>
                <w:szCs w:val="18"/>
              </w:rPr>
              <w:t>1.5</w:t>
            </w:r>
          </w:p>
        </w:tc>
        <w:tc>
          <w:tcPr>
            <w:tcW w:w="850" w:type="dxa"/>
            <w:shd w:val="clear" w:color="auto" w:fill="FFFFFF"/>
          </w:tcPr>
          <w:p w14:paraId="3C04EC07" w14:textId="45A540FF" w:rsidR="003D62CC" w:rsidRPr="006365CA" w:rsidRDefault="00B20070">
            <w:pPr>
              <w:pStyle w:val="CETBodytext"/>
              <w:ind w:right="-1"/>
              <w:rPr>
                <w:rFonts w:cs="Arial"/>
                <w:color w:val="000000" w:themeColor="text1"/>
                <w:kern w:val="24"/>
                <w:szCs w:val="18"/>
              </w:rPr>
            </w:pPr>
            <w:r w:rsidRPr="006365CA">
              <w:rPr>
                <w:rFonts w:cs="Arial"/>
                <w:color w:val="000000" w:themeColor="text1"/>
                <w:kern w:val="24"/>
                <w:szCs w:val="18"/>
              </w:rPr>
              <w:t>15</w:t>
            </w:r>
          </w:p>
        </w:tc>
      </w:tr>
      <w:tr w:rsidR="006365CA" w:rsidRPr="006365CA" w14:paraId="78979029" w14:textId="23DFAC20" w:rsidTr="00C77DC9">
        <w:trPr>
          <w:trHeight w:val="56"/>
        </w:trPr>
        <w:tc>
          <w:tcPr>
            <w:tcW w:w="709" w:type="dxa"/>
            <w:shd w:val="clear" w:color="auto" w:fill="FFFFFF"/>
          </w:tcPr>
          <w:p w14:paraId="06B13CA1" w14:textId="77777777" w:rsidR="003D62CC" w:rsidRPr="006365CA" w:rsidRDefault="003D62CC">
            <w:pPr>
              <w:pStyle w:val="CETBodytext"/>
              <w:ind w:right="-1"/>
              <w:rPr>
                <w:rFonts w:cs="Arial"/>
                <w:color w:val="000000" w:themeColor="text1"/>
                <w:szCs w:val="18"/>
                <w:lang w:val="en-GB"/>
              </w:rPr>
            </w:pPr>
            <w:r w:rsidRPr="006365CA">
              <w:rPr>
                <w:rFonts w:cs="Arial"/>
                <w:color w:val="000000" w:themeColor="text1"/>
                <w:szCs w:val="18"/>
              </w:rPr>
              <w:t>3</w:t>
            </w:r>
          </w:p>
        </w:tc>
        <w:tc>
          <w:tcPr>
            <w:tcW w:w="681" w:type="dxa"/>
            <w:shd w:val="clear" w:color="auto" w:fill="FFFFFF"/>
          </w:tcPr>
          <w:p w14:paraId="586F98D8" w14:textId="77777777" w:rsidR="003D62CC" w:rsidRPr="006365CA" w:rsidRDefault="003D62CC">
            <w:pPr>
              <w:pStyle w:val="CETBodytext"/>
              <w:ind w:right="-1"/>
              <w:rPr>
                <w:rFonts w:cs="Arial"/>
                <w:color w:val="000000" w:themeColor="text1"/>
                <w:szCs w:val="18"/>
                <w:lang w:val="en-GB"/>
              </w:rPr>
            </w:pPr>
            <w:r w:rsidRPr="006365CA">
              <w:rPr>
                <w:rFonts w:cs="Arial"/>
                <w:color w:val="000000" w:themeColor="text1"/>
                <w:kern w:val="24"/>
                <w:szCs w:val="18"/>
              </w:rPr>
              <w:t>0.7</w:t>
            </w:r>
          </w:p>
        </w:tc>
        <w:tc>
          <w:tcPr>
            <w:tcW w:w="3260" w:type="dxa"/>
            <w:shd w:val="clear" w:color="auto" w:fill="FFFFFF"/>
          </w:tcPr>
          <w:p w14:paraId="4C4784B0" w14:textId="77777777" w:rsidR="003D62CC" w:rsidRPr="006365CA" w:rsidRDefault="003D62CC">
            <w:pPr>
              <w:pStyle w:val="CETBodytext"/>
              <w:ind w:right="-1"/>
              <w:rPr>
                <w:rFonts w:cs="Arial"/>
                <w:color w:val="000000" w:themeColor="text1"/>
                <w:szCs w:val="18"/>
                <w:lang w:val="en-GB"/>
              </w:rPr>
            </w:pPr>
            <w:r w:rsidRPr="006365CA">
              <w:rPr>
                <w:rFonts w:cs="Arial"/>
                <w:color w:val="000000" w:themeColor="text1"/>
                <w:kern w:val="24"/>
                <w:szCs w:val="18"/>
              </w:rPr>
              <w:t>EtOH:H</w:t>
            </w:r>
            <w:r w:rsidRPr="006365CA">
              <w:rPr>
                <w:rFonts w:cs="Arial"/>
                <w:color w:val="000000" w:themeColor="text1"/>
                <w:kern w:val="24"/>
                <w:position w:val="-7"/>
                <w:szCs w:val="18"/>
                <w:vertAlign w:val="subscript"/>
              </w:rPr>
              <w:t>2</w:t>
            </w:r>
            <w:r w:rsidRPr="006365CA">
              <w:rPr>
                <w:rFonts w:cs="Arial"/>
                <w:color w:val="000000" w:themeColor="text1"/>
                <w:kern w:val="24"/>
                <w:szCs w:val="18"/>
              </w:rPr>
              <w:t>O (66.67:33.33)</w:t>
            </w:r>
          </w:p>
        </w:tc>
        <w:tc>
          <w:tcPr>
            <w:tcW w:w="851" w:type="dxa"/>
            <w:shd w:val="clear" w:color="auto" w:fill="FFFFFF"/>
          </w:tcPr>
          <w:p w14:paraId="6EBA3531" w14:textId="77777777" w:rsidR="003D62CC" w:rsidRPr="006365CA" w:rsidRDefault="003D62CC">
            <w:pPr>
              <w:pStyle w:val="CETBodytext"/>
              <w:ind w:right="-1"/>
              <w:rPr>
                <w:rFonts w:cs="Arial"/>
                <w:color w:val="000000" w:themeColor="text1"/>
                <w:szCs w:val="18"/>
                <w:lang w:val="en-GB"/>
              </w:rPr>
            </w:pPr>
            <w:r w:rsidRPr="006365CA">
              <w:rPr>
                <w:rFonts w:cs="Arial"/>
                <w:color w:val="000000" w:themeColor="text1"/>
                <w:kern w:val="24"/>
                <w:szCs w:val="18"/>
              </w:rPr>
              <w:t>1.7</w:t>
            </w:r>
          </w:p>
        </w:tc>
        <w:tc>
          <w:tcPr>
            <w:tcW w:w="850" w:type="dxa"/>
            <w:shd w:val="clear" w:color="auto" w:fill="FFFFFF"/>
          </w:tcPr>
          <w:p w14:paraId="56DB0A76" w14:textId="6FBB5139" w:rsidR="003D62CC" w:rsidRPr="006365CA" w:rsidRDefault="00B20070">
            <w:pPr>
              <w:pStyle w:val="CETBodytext"/>
              <w:ind w:right="-1"/>
              <w:rPr>
                <w:rFonts w:cs="Arial"/>
                <w:color w:val="000000" w:themeColor="text1"/>
                <w:kern w:val="24"/>
                <w:szCs w:val="18"/>
              </w:rPr>
            </w:pPr>
            <w:r w:rsidRPr="006365CA">
              <w:rPr>
                <w:rFonts w:cs="Arial"/>
                <w:color w:val="000000" w:themeColor="text1"/>
                <w:kern w:val="24"/>
                <w:szCs w:val="18"/>
              </w:rPr>
              <w:t>9</w:t>
            </w:r>
          </w:p>
        </w:tc>
      </w:tr>
    </w:tbl>
    <w:p w14:paraId="737F4E01" w14:textId="77777777" w:rsidR="00FC62D0" w:rsidRDefault="00FC62D0" w:rsidP="00FC62D0">
      <w:pPr>
        <w:pStyle w:val="CETListbullets"/>
        <w:ind w:left="0" w:firstLine="0"/>
        <w:rPr>
          <w:rFonts w:cs="Arial"/>
          <w:color w:val="000000" w:themeColor="text1"/>
          <w:szCs w:val="18"/>
          <w:lang w:val="en-US"/>
        </w:rPr>
      </w:pPr>
    </w:p>
    <w:p w14:paraId="1591FF76" w14:textId="77777777" w:rsidR="00DD38D6" w:rsidRPr="006365CA" w:rsidRDefault="00DD38D6" w:rsidP="00FC62D0">
      <w:pPr>
        <w:pStyle w:val="CETListbullets"/>
        <w:ind w:left="0" w:firstLine="0"/>
        <w:rPr>
          <w:rFonts w:cs="Arial"/>
          <w:color w:val="000000" w:themeColor="text1"/>
          <w:szCs w:val="18"/>
          <w:lang w:val="en-US"/>
        </w:rPr>
      </w:pPr>
    </w:p>
    <w:p w14:paraId="6EB07569" w14:textId="77777777" w:rsidR="00951AAC" w:rsidRPr="006365CA" w:rsidRDefault="00FC62D0" w:rsidP="00951AAC">
      <w:pPr>
        <w:pStyle w:val="CETListbullets"/>
        <w:ind w:left="0" w:firstLine="0"/>
        <w:jc w:val="left"/>
        <w:rPr>
          <w:rFonts w:cs="Arial"/>
          <w:b/>
          <w:bCs/>
          <w:color w:val="000000" w:themeColor="text1"/>
          <w:szCs w:val="18"/>
          <w:lang w:val="en-US"/>
        </w:rPr>
      </w:pPr>
      <w:r w:rsidRPr="006365CA">
        <w:rPr>
          <w:rFonts w:cs="Arial"/>
          <w:noProof/>
          <w:color w:val="000000" w:themeColor="text1"/>
          <w:szCs w:val="18"/>
        </w:rPr>
        <w:drawing>
          <wp:inline distT="0" distB="0" distL="0" distR="0" wp14:anchorId="60AAF13C" wp14:editId="69FDEBB7">
            <wp:extent cx="4147185" cy="1085850"/>
            <wp:effectExtent l="0" t="0" r="5715" b="0"/>
            <wp:docPr id="1523874673" name="Chart 1">
              <a:extLst xmlns:a="http://schemas.openxmlformats.org/drawingml/2006/main">
                <a:ext uri="{FF2B5EF4-FFF2-40B4-BE49-F238E27FC236}">
                  <a16:creationId xmlns:a16="http://schemas.microsoft.com/office/drawing/2014/main" id="{5ED8E036-BE0B-308D-0011-B49D21E175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B31AC8D" w14:textId="19320E4E" w:rsidR="00FC62D0" w:rsidRDefault="00362170" w:rsidP="00174029">
      <w:pPr>
        <w:pStyle w:val="CETListbullets"/>
        <w:ind w:left="0" w:firstLine="0"/>
        <w:rPr>
          <w:rFonts w:cs="Arial"/>
          <w:i/>
          <w:iCs/>
          <w:color w:val="000000" w:themeColor="text1"/>
          <w:kern w:val="24"/>
          <w:szCs w:val="18"/>
          <w:lang w:val="en-US"/>
        </w:rPr>
      </w:pPr>
      <w:r w:rsidRPr="006365CA">
        <w:rPr>
          <w:rFonts w:cs="Arial"/>
          <w:i/>
          <w:iCs/>
          <w:color w:val="000000" w:themeColor="text1"/>
          <w:szCs w:val="18"/>
          <w:lang w:val="en-US"/>
        </w:rPr>
        <w:t>Figure 3: Product distribution of electrolysis of palmitic acid using different solvent environments. The experimental conditions for each entry are as follows, Time = 6 hours, current intensity = 70 mA</w:t>
      </w:r>
      <w:r w:rsidR="00E0002D">
        <w:rPr>
          <w:rFonts w:cs="Arial"/>
          <w:i/>
          <w:iCs/>
          <w:color w:val="000000" w:themeColor="text1"/>
          <w:szCs w:val="18"/>
          <w:lang w:val="en-US"/>
        </w:rPr>
        <w:t xml:space="preserve"> (</w:t>
      </w:r>
      <w:r w:rsidR="00E0002D" w:rsidRPr="003C698E">
        <w:rPr>
          <w:rFonts w:cs="Arial"/>
          <w:i/>
          <w:iCs/>
          <w:color w:val="000000" w:themeColor="text1"/>
          <w:szCs w:val="18"/>
          <w:highlight w:val="yellow"/>
          <w:lang w:val="en-US"/>
        </w:rPr>
        <w:t>AP=30 min</w:t>
      </w:r>
      <w:r w:rsidR="00E0002D">
        <w:rPr>
          <w:rFonts w:cs="Arial"/>
          <w:i/>
          <w:iCs/>
          <w:color w:val="000000" w:themeColor="text1"/>
          <w:szCs w:val="18"/>
          <w:lang w:val="en-US"/>
        </w:rPr>
        <w:t>)</w:t>
      </w:r>
      <w:r w:rsidRPr="006365CA">
        <w:rPr>
          <w:rFonts w:cs="Arial"/>
          <w:i/>
          <w:iCs/>
          <w:color w:val="000000" w:themeColor="text1"/>
          <w:szCs w:val="18"/>
          <w:lang w:val="en-US"/>
        </w:rPr>
        <w:t xml:space="preserve">, 1.5 eq. of KOH for </w:t>
      </w:r>
      <w:r w:rsidRPr="006365CA">
        <w:rPr>
          <w:rFonts w:cs="Arial"/>
          <w:i/>
          <w:iCs/>
          <w:color w:val="000000" w:themeColor="text1"/>
          <w:kern w:val="24"/>
          <w:szCs w:val="18"/>
          <w:lang w:val="en-US"/>
        </w:rPr>
        <w:t>Et</w:t>
      </w:r>
      <w:r w:rsidRPr="006365CA">
        <w:rPr>
          <w:rFonts w:cs="Arial"/>
          <w:i/>
          <w:iCs/>
          <w:color w:val="000000" w:themeColor="text1"/>
          <w:kern w:val="24"/>
          <w:szCs w:val="18"/>
        </w:rPr>
        <w:t>OH:</w:t>
      </w:r>
      <w:r w:rsidRPr="006365CA">
        <w:rPr>
          <w:rFonts w:cs="Arial"/>
          <w:i/>
          <w:iCs/>
          <w:color w:val="000000" w:themeColor="text1"/>
          <w:kern w:val="24"/>
          <w:szCs w:val="18"/>
          <w:lang w:val="en-US"/>
        </w:rPr>
        <w:t>Me</w:t>
      </w:r>
      <w:r w:rsidRPr="006365CA">
        <w:rPr>
          <w:rFonts w:cs="Arial"/>
          <w:i/>
          <w:iCs/>
          <w:color w:val="000000" w:themeColor="text1"/>
          <w:kern w:val="24"/>
          <w:szCs w:val="18"/>
        </w:rPr>
        <w:t>OH:H</w:t>
      </w:r>
      <w:r w:rsidRPr="006365CA">
        <w:rPr>
          <w:rFonts w:cs="Arial"/>
          <w:i/>
          <w:iCs/>
          <w:color w:val="000000" w:themeColor="text1"/>
          <w:kern w:val="24"/>
          <w:position w:val="-7"/>
          <w:szCs w:val="18"/>
          <w:vertAlign w:val="subscript"/>
        </w:rPr>
        <w:t>2</w:t>
      </w:r>
      <w:r w:rsidRPr="006365CA">
        <w:rPr>
          <w:rFonts w:cs="Arial"/>
          <w:i/>
          <w:iCs/>
          <w:color w:val="000000" w:themeColor="text1"/>
          <w:kern w:val="24"/>
          <w:szCs w:val="18"/>
        </w:rPr>
        <w:t>O</w:t>
      </w:r>
      <w:r w:rsidRPr="006365CA">
        <w:rPr>
          <w:rFonts w:cs="Arial"/>
          <w:i/>
          <w:iCs/>
          <w:color w:val="000000" w:themeColor="text1"/>
          <w:kern w:val="24"/>
          <w:szCs w:val="18"/>
          <w:lang w:val="en-US"/>
        </w:rPr>
        <w:t xml:space="preserve"> and </w:t>
      </w:r>
      <w:r w:rsidRPr="006365CA">
        <w:rPr>
          <w:rFonts w:cs="Arial"/>
          <w:i/>
          <w:iCs/>
          <w:color w:val="000000" w:themeColor="text1"/>
          <w:kern w:val="24"/>
          <w:szCs w:val="18"/>
        </w:rPr>
        <w:t>Hexane:EtOH:H</w:t>
      </w:r>
      <w:r w:rsidRPr="006365CA">
        <w:rPr>
          <w:rFonts w:cs="Arial"/>
          <w:i/>
          <w:iCs/>
          <w:color w:val="000000" w:themeColor="text1"/>
          <w:kern w:val="24"/>
          <w:position w:val="-7"/>
          <w:szCs w:val="18"/>
          <w:vertAlign w:val="subscript"/>
        </w:rPr>
        <w:t>2</w:t>
      </w:r>
      <w:r w:rsidRPr="006365CA">
        <w:rPr>
          <w:rFonts w:cs="Arial"/>
          <w:i/>
          <w:iCs/>
          <w:color w:val="000000" w:themeColor="text1"/>
          <w:kern w:val="24"/>
          <w:szCs w:val="18"/>
        </w:rPr>
        <w:t>O</w:t>
      </w:r>
      <w:r w:rsidRPr="006365CA">
        <w:rPr>
          <w:rFonts w:cs="Arial"/>
          <w:i/>
          <w:iCs/>
          <w:color w:val="000000" w:themeColor="text1"/>
          <w:kern w:val="24"/>
          <w:szCs w:val="18"/>
          <w:lang w:val="en-US"/>
        </w:rPr>
        <w:t xml:space="preserve"> while 1.7 eq. for </w:t>
      </w:r>
      <w:r w:rsidRPr="006365CA">
        <w:rPr>
          <w:rFonts w:cs="Arial"/>
          <w:i/>
          <w:iCs/>
          <w:color w:val="000000" w:themeColor="text1"/>
          <w:kern w:val="24"/>
          <w:szCs w:val="18"/>
        </w:rPr>
        <w:t>EtOH:H</w:t>
      </w:r>
      <w:r w:rsidRPr="006365CA">
        <w:rPr>
          <w:rFonts w:cs="Arial"/>
          <w:i/>
          <w:iCs/>
          <w:color w:val="000000" w:themeColor="text1"/>
          <w:kern w:val="24"/>
          <w:position w:val="-7"/>
          <w:szCs w:val="18"/>
          <w:vertAlign w:val="subscript"/>
        </w:rPr>
        <w:t>2</w:t>
      </w:r>
      <w:r w:rsidRPr="006365CA">
        <w:rPr>
          <w:rFonts w:cs="Arial"/>
          <w:i/>
          <w:iCs/>
          <w:color w:val="000000" w:themeColor="text1"/>
          <w:kern w:val="24"/>
          <w:szCs w:val="18"/>
        </w:rPr>
        <w:t>O</w:t>
      </w:r>
      <w:r w:rsidRPr="006365CA">
        <w:rPr>
          <w:rFonts w:cs="Arial"/>
          <w:i/>
          <w:iCs/>
          <w:color w:val="000000" w:themeColor="text1"/>
          <w:kern w:val="24"/>
          <w:szCs w:val="18"/>
          <w:lang w:val="en-US"/>
        </w:rPr>
        <w:t xml:space="preserve"> solvent system.</w:t>
      </w:r>
    </w:p>
    <w:p w14:paraId="7473B188" w14:textId="77777777" w:rsidR="00DD38D6" w:rsidRPr="006365CA" w:rsidRDefault="00DD38D6" w:rsidP="00174029">
      <w:pPr>
        <w:pStyle w:val="CETListbullets"/>
        <w:ind w:left="0" w:firstLine="0"/>
        <w:rPr>
          <w:rFonts w:cs="Arial"/>
          <w:i/>
          <w:iCs/>
          <w:color w:val="000000" w:themeColor="text1"/>
          <w:szCs w:val="18"/>
          <w:lang w:val="en-US"/>
        </w:rPr>
      </w:pPr>
    </w:p>
    <w:p w14:paraId="3961B52A" w14:textId="45C6F5D7" w:rsidR="00AE709B" w:rsidRPr="006365CA" w:rsidRDefault="00AE709B" w:rsidP="00AE709B">
      <w:pPr>
        <w:rPr>
          <w:rFonts w:cs="Arial"/>
          <w:i/>
          <w:iCs/>
          <w:color w:val="000000" w:themeColor="text1"/>
          <w:szCs w:val="18"/>
          <w:lang w:val="en-US"/>
        </w:rPr>
      </w:pPr>
      <w:r w:rsidRPr="006365CA">
        <w:rPr>
          <w:rFonts w:cs="Arial"/>
          <w:i/>
          <w:iCs/>
          <w:color w:val="000000" w:themeColor="text1"/>
          <w:szCs w:val="18"/>
          <w:lang w:val="en-US"/>
        </w:rPr>
        <w:t>Table 3: Summ</w:t>
      </w:r>
      <w:r w:rsidR="00DC3F94">
        <w:rPr>
          <w:rFonts w:cs="Arial"/>
          <w:i/>
          <w:iCs/>
          <w:color w:val="000000" w:themeColor="text1"/>
          <w:szCs w:val="18"/>
          <w:lang w:val="en-US"/>
        </w:rPr>
        <w:t>a</w:t>
      </w:r>
      <w:r w:rsidRPr="006365CA">
        <w:rPr>
          <w:rFonts w:cs="Arial"/>
          <w:i/>
          <w:iCs/>
          <w:color w:val="000000" w:themeColor="text1"/>
          <w:szCs w:val="18"/>
          <w:lang w:val="en-US"/>
        </w:rPr>
        <w:t>ry of product observed from the electrolysis of palmitic acid.</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843"/>
        <w:gridCol w:w="4718"/>
      </w:tblGrid>
      <w:tr w:rsidR="006365CA" w:rsidRPr="006365CA" w14:paraId="118BC7BD" w14:textId="77777777" w:rsidTr="0041295E">
        <w:trPr>
          <w:trHeight w:val="136"/>
        </w:trPr>
        <w:tc>
          <w:tcPr>
            <w:tcW w:w="1843" w:type="dxa"/>
            <w:tcBorders>
              <w:top w:val="single" w:sz="12" w:space="0" w:color="008000"/>
              <w:bottom w:val="single" w:sz="6" w:space="0" w:color="008000"/>
            </w:tcBorders>
            <w:shd w:val="clear" w:color="auto" w:fill="FFFFFF"/>
          </w:tcPr>
          <w:p w14:paraId="4A5EF435" w14:textId="77777777" w:rsidR="00AE709B" w:rsidRPr="00F11AD2" w:rsidRDefault="00AE709B">
            <w:pPr>
              <w:pStyle w:val="CETBodytext"/>
              <w:rPr>
                <w:color w:val="000000" w:themeColor="text1"/>
                <w:lang w:val="en-GB"/>
              </w:rPr>
            </w:pPr>
            <w:r w:rsidRPr="00F11AD2">
              <w:rPr>
                <w:rFonts w:cs="Arial"/>
                <w:color w:val="000000" w:themeColor="text1"/>
                <w:szCs w:val="18"/>
              </w:rPr>
              <w:t>Product</w:t>
            </w:r>
          </w:p>
        </w:tc>
        <w:tc>
          <w:tcPr>
            <w:tcW w:w="4718" w:type="dxa"/>
            <w:tcBorders>
              <w:top w:val="single" w:sz="12" w:space="0" w:color="008000"/>
              <w:bottom w:val="single" w:sz="6" w:space="0" w:color="008000"/>
            </w:tcBorders>
            <w:shd w:val="clear" w:color="auto" w:fill="FFFFFF"/>
          </w:tcPr>
          <w:p w14:paraId="37CB6919" w14:textId="77777777" w:rsidR="00AE709B" w:rsidRPr="00F11AD2" w:rsidRDefault="00AE709B">
            <w:pPr>
              <w:pStyle w:val="CETBodytext"/>
              <w:rPr>
                <w:color w:val="000000" w:themeColor="text1"/>
                <w:lang w:val="en-GB"/>
              </w:rPr>
            </w:pPr>
            <w:r w:rsidRPr="00F11AD2">
              <w:rPr>
                <w:rFonts w:cs="Arial"/>
                <w:color w:val="000000" w:themeColor="text1"/>
                <w:szCs w:val="18"/>
              </w:rPr>
              <w:t>Example</w:t>
            </w:r>
          </w:p>
        </w:tc>
      </w:tr>
      <w:tr w:rsidR="006365CA" w:rsidRPr="006365CA" w14:paraId="23D95BC6" w14:textId="77777777">
        <w:trPr>
          <w:trHeight w:val="224"/>
        </w:trPr>
        <w:tc>
          <w:tcPr>
            <w:tcW w:w="1843" w:type="dxa"/>
            <w:shd w:val="clear" w:color="auto" w:fill="FFFFFF"/>
          </w:tcPr>
          <w:p w14:paraId="3A7A6777" w14:textId="77777777" w:rsidR="00AE709B" w:rsidRPr="006365CA" w:rsidRDefault="00AE709B">
            <w:pPr>
              <w:pStyle w:val="CETBodytext"/>
              <w:rPr>
                <w:color w:val="000000" w:themeColor="text1"/>
                <w:lang w:val="en-GB"/>
              </w:rPr>
            </w:pPr>
            <w:r w:rsidRPr="006365CA">
              <w:rPr>
                <w:rFonts w:cs="Arial"/>
                <w:color w:val="000000" w:themeColor="text1"/>
                <w:szCs w:val="18"/>
              </w:rPr>
              <w:t>Dimer</w:t>
            </w:r>
          </w:p>
        </w:tc>
        <w:tc>
          <w:tcPr>
            <w:tcW w:w="4718" w:type="dxa"/>
            <w:shd w:val="clear" w:color="auto" w:fill="FFFFFF"/>
          </w:tcPr>
          <w:p w14:paraId="04E016DA" w14:textId="77777777" w:rsidR="00AE709B" w:rsidRPr="006365CA" w:rsidRDefault="00AE709B">
            <w:pPr>
              <w:pStyle w:val="CETBodytext"/>
              <w:rPr>
                <w:color w:val="000000" w:themeColor="text1"/>
                <w:lang w:val="en-GB"/>
              </w:rPr>
            </w:pPr>
            <w:r w:rsidRPr="006365CA">
              <w:rPr>
                <w:rFonts w:cs="Arial"/>
                <w:color w:val="000000" w:themeColor="text1"/>
                <w:szCs w:val="18"/>
              </w:rPr>
              <w:t>Triacontane</w:t>
            </w:r>
          </w:p>
        </w:tc>
      </w:tr>
      <w:tr w:rsidR="006365CA" w:rsidRPr="006365CA" w14:paraId="2402A887" w14:textId="77777777">
        <w:trPr>
          <w:trHeight w:val="224"/>
        </w:trPr>
        <w:tc>
          <w:tcPr>
            <w:tcW w:w="1843" w:type="dxa"/>
            <w:shd w:val="clear" w:color="auto" w:fill="FFFFFF"/>
          </w:tcPr>
          <w:p w14:paraId="64A285B5" w14:textId="77777777" w:rsidR="00AE709B" w:rsidRPr="006365CA" w:rsidRDefault="00AE709B">
            <w:pPr>
              <w:pStyle w:val="CETBodytext"/>
              <w:rPr>
                <w:color w:val="000000" w:themeColor="text1"/>
                <w:lang w:val="en-GB"/>
              </w:rPr>
            </w:pPr>
            <w:r w:rsidRPr="006365CA">
              <w:rPr>
                <w:rFonts w:cs="Arial"/>
                <w:color w:val="000000" w:themeColor="text1"/>
                <w:szCs w:val="18"/>
              </w:rPr>
              <w:t>Other Hydrocarbon</w:t>
            </w:r>
          </w:p>
        </w:tc>
        <w:tc>
          <w:tcPr>
            <w:tcW w:w="4718" w:type="dxa"/>
            <w:shd w:val="clear" w:color="auto" w:fill="FFFFFF"/>
          </w:tcPr>
          <w:p w14:paraId="49F0553C" w14:textId="77777777" w:rsidR="00AE709B" w:rsidRPr="006365CA" w:rsidRDefault="00AE709B">
            <w:pPr>
              <w:pStyle w:val="CETBodytext"/>
              <w:rPr>
                <w:color w:val="000000" w:themeColor="text1"/>
                <w:lang w:val="en-GB"/>
              </w:rPr>
            </w:pPr>
            <w:r w:rsidRPr="006365CA">
              <w:rPr>
                <w:rFonts w:cs="Arial"/>
                <w:color w:val="000000" w:themeColor="text1"/>
                <w:szCs w:val="18"/>
              </w:rPr>
              <w:t>Pentadecane, Pentadecene, Hexadecane, Tetradecane</w:t>
            </w:r>
          </w:p>
        </w:tc>
      </w:tr>
      <w:tr w:rsidR="006365CA" w:rsidRPr="006365CA" w14:paraId="37BBD331" w14:textId="77777777">
        <w:trPr>
          <w:trHeight w:val="236"/>
        </w:trPr>
        <w:tc>
          <w:tcPr>
            <w:tcW w:w="1843" w:type="dxa"/>
            <w:shd w:val="clear" w:color="auto" w:fill="FFFFFF"/>
          </w:tcPr>
          <w:p w14:paraId="150812B2" w14:textId="77777777" w:rsidR="00AE709B" w:rsidRPr="006365CA" w:rsidRDefault="00AE709B">
            <w:pPr>
              <w:pStyle w:val="CETBodytext"/>
              <w:ind w:right="-1"/>
              <w:rPr>
                <w:rFonts w:cs="Arial"/>
                <w:color w:val="000000" w:themeColor="text1"/>
                <w:szCs w:val="18"/>
                <w:lang w:val="en-GB"/>
              </w:rPr>
            </w:pPr>
            <w:r w:rsidRPr="006365CA">
              <w:rPr>
                <w:rFonts w:cs="Arial"/>
                <w:color w:val="000000" w:themeColor="text1"/>
                <w:szCs w:val="18"/>
              </w:rPr>
              <w:t>Alcohol</w:t>
            </w:r>
          </w:p>
        </w:tc>
        <w:tc>
          <w:tcPr>
            <w:tcW w:w="4718" w:type="dxa"/>
            <w:shd w:val="clear" w:color="auto" w:fill="FFFFFF"/>
          </w:tcPr>
          <w:p w14:paraId="71C1ED5C" w14:textId="77777777" w:rsidR="00AE709B" w:rsidRPr="006365CA" w:rsidRDefault="00AE709B">
            <w:pPr>
              <w:pStyle w:val="CETBodytext"/>
              <w:ind w:right="-1"/>
              <w:rPr>
                <w:rFonts w:cs="Arial"/>
                <w:color w:val="000000" w:themeColor="text1"/>
                <w:szCs w:val="18"/>
                <w:lang w:val="en-GB"/>
              </w:rPr>
            </w:pPr>
            <w:r w:rsidRPr="006365CA">
              <w:rPr>
                <w:rFonts w:cs="Arial"/>
                <w:color w:val="000000" w:themeColor="text1"/>
                <w:szCs w:val="18"/>
              </w:rPr>
              <w:t>Pentadecanol, Hexadecanol</w:t>
            </w:r>
          </w:p>
        </w:tc>
      </w:tr>
      <w:tr w:rsidR="006365CA" w:rsidRPr="006365CA" w14:paraId="46A388D9" w14:textId="77777777">
        <w:trPr>
          <w:trHeight w:val="236"/>
        </w:trPr>
        <w:tc>
          <w:tcPr>
            <w:tcW w:w="1843" w:type="dxa"/>
            <w:shd w:val="clear" w:color="auto" w:fill="FFFFFF"/>
          </w:tcPr>
          <w:p w14:paraId="3BA1C083" w14:textId="77777777" w:rsidR="00AE709B" w:rsidRPr="006365CA" w:rsidRDefault="00AE709B">
            <w:pPr>
              <w:pStyle w:val="CETBodytext"/>
              <w:ind w:right="-1"/>
              <w:rPr>
                <w:rFonts w:cs="Arial"/>
                <w:color w:val="000000" w:themeColor="text1"/>
                <w:szCs w:val="18"/>
              </w:rPr>
            </w:pPr>
            <w:r w:rsidRPr="006365CA">
              <w:rPr>
                <w:rFonts w:cs="Arial"/>
                <w:color w:val="000000" w:themeColor="text1"/>
                <w:szCs w:val="18"/>
              </w:rPr>
              <w:t>Aldehyde</w:t>
            </w:r>
          </w:p>
        </w:tc>
        <w:tc>
          <w:tcPr>
            <w:tcW w:w="4718" w:type="dxa"/>
            <w:shd w:val="clear" w:color="auto" w:fill="FFFFFF"/>
          </w:tcPr>
          <w:p w14:paraId="476346E5" w14:textId="77777777" w:rsidR="00AE709B" w:rsidRPr="006365CA" w:rsidRDefault="00AE709B">
            <w:pPr>
              <w:pStyle w:val="CETBodytext"/>
              <w:ind w:right="-1"/>
              <w:rPr>
                <w:rFonts w:cs="Arial"/>
                <w:color w:val="000000" w:themeColor="text1"/>
                <w:kern w:val="24"/>
                <w:szCs w:val="18"/>
              </w:rPr>
            </w:pPr>
            <w:r w:rsidRPr="006365CA">
              <w:rPr>
                <w:rFonts w:cs="Arial"/>
                <w:color w:val="000000" w:themeColor="text1"/>
                <w:szCs w:val="18"/>
              </w:rPr>
              <w:t>Pentadecanal, Hexadecanal</w:t>
            </w:r>
          </w:p>
        </w:tc>
      </w:tr>
      <w:tr w:rsidR="006365CA" w:rsidRPr="006365CA" w14:paraId="4021CCF6" w14:textId="77777777">
        <w:trPr>
          <w:trHeight w:val="236"/>
        </w:trPr>
        <w:tc>
          <w:tcPr>
            <w:tcW w:w="1843" w:type="dxa"/>
            <w:shd w:val="clear" w:color="auto" w:fill="FFFFFF"/>
          </w:tcPr>
          <w:p w14:paraId="0AC5B584" w14:textId="77777777" w:rsidR="00AE709B" w:rsidRPr="006365CA" w:rsidRDefault="00AE709B">
            <w:pPr>
              <w:pStyle w:val="CETBodytext"/>
              <w:ind w:right="-1"/>
              <w:rPr>
                <w:rFonts w:cs="Arial"/>
                <w:color w:val="000000" w:themeColor="text1"/>
                <w:szCs w:val="18"/>
              </w:rPr>
            </w:pPr>
            <w:r w:rsidRPr="006365CA">
              <w:rPr>
                <w:rFonts w:cs="Arial"/>
                <w:color w:val="000000" w:themeColor="text1"/>
                <w:szCs w:val="18"/>
              </w:rPr>
              <w:t>Esters</w:t>
            </w:r>
          </w:p>
        </w:tc>
        <w:tc>
          <w:tcPr>
            <w:tcW w:w="4718" w:type="dxa"/>
            <w:shd w:val="clear" w:color="auto" w:fill="FFFFFF"/>
          </w:tcPr>
          <w:p w14:paraId="5DD143C5" w14:textId="77777777" w:rsidR="00AE709B" w:rsidRPr="006365CA" w:rsidRDefault="00AE709B">
            <w:pPr>
              <w:pStyle w:val="CETBodytext"/>
              <w:ind w:right="-1"/>
              <w:rPr>
                <w:rFonts w:cs="Arial"/>
                <w:color w:val="000000" w:themeColor="text1"/>
                <w:kern w:val="24"/>
                <w:szCs w:val="18"/>
              </w:rPr>
            </w:pPr>
            <w:r w:rsidRPr="006365CA">
              <w:rPr>
                <w:rFonts w:cs="Arial"/>
                <w:color w:val="000000" w:themeColor="text1"/>
                <w:szCs w:val="18"/>
              </w:rPr>
              <w:t>Pentadecanoic acid, methyl ester</w:t>
            </w:r>
          </w:p>
        </w:tc>
      </w:tr>
      <w:tr w:rsidR="006365CA" w:rsidRPr="006365CA" w14:paraId="05C958AB" w14:textId="77777777">
        <w:trPr>
          <w:trHeight w:val="236"/>
        </w:trPr>
        <w:tc>
          <w:tcPr>
            <w:tcW w:w="1843" w:type="dxa"/>
            <w:shd w:val="clear" w:color="auto" w:fill="FFFFFF"/>
          </w:tcPr>
          <w:p w14:paraId="6BC0BE86" w14:textId="77777777" w:rsidR="00AE709B" w:rsidRPr="006365CA" w:rsidRDefault="00AE709B">
            <w:pPr>
              <w:pStyle w:val="CETBodytext"/>
              <w:ind w:right="-1"/>
              <w:rPr>
                <w:rFonts w:cs="Arial"/>
                <w:color w:val="000000" w:themeColor="text1"/>
                <w:szCs w:val="18"/>
              </w:rPr>
            </w:pPr>
            <w:r w:rsidRPr="006365CA">
              <w:rPr>
                <w:rFonts w:cs="Arial"/>
                <w:color w:val="000000" w:themeColor="text1"/>
                <w:szCs w:val="18"/>
              </w:rPr>
              <w:t>Acid (n-1)</w:t>
            </w:r>
          </w:p>
        </w:tc>
        <w:tc>
          <w:tcPr>
            <w:tcW w:w="4718" w:type="dxa"/>
            <w:shd w:val="clear" w:color="auto" w:fill="FFFFFF"/>
          </w:tcPr>
          <w:p w14:paraId="5C5A0D9E" w14:textId="77777777" w:rsidR="00AE709B" w:rsidRPr="006365CA" w:rsidRDefault="00AE709B">
            <w:pPr>
              <w:pStyle w:val="CETBodytext"/>
              <w:ind w:right="-1"/>
              <w:rPr>
                <w:rFonts w:cs="Arial"/>
                <w:color w:val="000000" w:themeColor="text1"/>
                <w:kern w:val="24"/>
                <w:szCs w:val="18"/>
              </w:rPr>
            </w:pPr>
            <w:r w:rsidRPr="006365CA">
              <w:rPr>
                <w:rFonts w:cs="Arial"/>
                <w:color w:val="000000" w:themeColor="text1"/>
                <w:szCs w:val="18"/>
              </w:rPr>
              <w:t>Pentadecanoic acid</w:t>
            </w:r>
          </w:p>
        </w:tc>
      </w:tr>
    </w:tbl>
    <w:p w14:paraId="6B39AA2C" w14:textId="305B8AF9" w:rsidR="004B096E" w:rsidRPr="006365CA" w:rsidRDefault="008D3285" w:rsidP="004E7EC7">
      <w:pPr>
        <w:pStyle w:val="CETListbullets"/>
        <w:ind w:left="0" w:firstLine="0"/>
        <w:rPr>
          <w:rFonts w:cs="Arial"/>
          <w:b/>
          <w:bCs/>
          <w:color w:val="000000" w:themeColor="text1"/>
          <w:szCs w:val="18"/>
          <w:lang w:val="en-US"/>
        </w:rPr>
      </w:pPr>
      <w:r w:rsidRPr="006365CA">
        <w:rPr>
          <w:rFonts w:cs="Arial"/>
          <w:b/>
          <w:bCs/>
          <w:color w:val="000000" w:themeColor="text1"/>
          <w:szCs w:val="18"/>
          <w:lang w:val="en-US"/>
        </w:rPr>
        <w:lastRenderedPageBreak/>
        <w:t xml:space="preserve">4.3. </w:t>
      </w:r>
      <w:r w:rsidR="004B096E" w:rsidRPr="006365CA">
        <w:rPr>
          <w:rFonts w:cs="Arial"/>
          <w:b/>
          <w:bCs/>
          <w:color w:val="000000" w:themeColor="text1"/>
          <w:szCs w:val="18"/>
          <w:lang w:val="en-US"/>
        </w:rPr>
        <w:t>Kolbe Electrolysis of Mixture of Acids</w:t>
      </w:r>
    </w:p>
    <w:p w14:paraId="7072DF35" w14:textId="3ECF37FA" w:rsidR="002C5D8D" w:rsidRPr="006365CA" w:rsidRDefault="002C5D8D" w:rsidP="002C5D8D">
      <w:pPr>
        <w:pStyle w:val="CETListbullets"/>
        <w:ind w:left="113" w:firstLine="0"/>
        <w:rPr>
          <w:rFonts w:cs="Arial"/>
          <w:color w:val="000000" w:themeColor="text1"/>
          <w:szCs w:val="18"/>
          <w:lang w:val="en-US"/>
        </w:rPr>
      </w:pPr>
      <w:r w:rsidRPr="006365CA">
        <w:rPr>
          <w:rFonts w:cs="Arial"/>
          <w:color w:val="000000" w:themeColor="text1"/>
          <w:szCs w:val="18"/>
        </w:rPr>
        <w:t xml:space="preserve">Following the conclusion of the lauric acid and palmitic acid electrolysis tests, the two acids </w:t>
      </w:r>
      <w:r w:rsidR="006226DE">
        <w:rPr>
          <w:rFonts w:cs="Arial"/>
          <w:color w:val="000000" w:themeColor="text1"/>
          <w:szCs w:val="18"/>
        </w:rPr>
        <w:t>were</w:t>
      </w:r>
      <w:r w:rsidRPr="006365CA">
        <w:rPr>
          <w:rFonts w:cs="Arial"/>
          <w:color w:val="000000" w:themeColor="text1"/>
          <w:szCs w:val="18"/>
        </w:rPr>
        <w:t xml:space="preserve"> mixed ratio (1:1) to examine the distribution trend of the products, particularly the formation of dimers. Table 4 displays the experimental parameters as well as the dimer yield (%) of </w:t>
      </w:r>
      <w:proofErr w:type="spellStart"/>
      <w:r w:rsidRPr="006365CA">
        <w:rPr>
          <w:rFonts w:cs="Arial"/>
          <w:color w:val="000000" w:themeColor="text1"/>
          <w:szCs w:val="18"/>
        </w:rPr>
        <w:t>docosane</w:t>
      </w:r>
      <w:proofErr w:type="spellEnd"/>
      <w:r w:rsidRPr="006365CA">
        <w:rPr>
          <w:rFonts w:cs="Arial"/>
          <w:color w:val="000000" w:themeColor="text1"/>
          <w:szCs w:val="18"/>
        </w:rPr>
        <w:t xml:space="preserve">, triacontane and </w:t>
      </w:r>
      <w:proofErr w:type="spellStart"/>
      <w:r w:rsidRPr="006365CA">
        <w:rPr>
          <w:rFonts w:cs="Arial"/>
          <w:color w:val="000000" w:themeColor="text1"/>
          <w:szCs w:val="18"/>
        </w:rPr>
        <w:t>hexacosane</w:t>
      </w:r>
      <w:proofErr w:type="spellEnd"/>
      <w:r w:rsidRPr="006365CA">
        <w:rPr>
          <w:rFonts w:cs="Arial"/>
          <w:color w:val="000000" w:themeColor="text1"/>
          <w:szCs w:val="18"/>
        </w:rPr>
        <w:t xml:space="preserve">. </w:t>
      </w:r>
      <w:r w:rsidRPr="006365CA">
        <w:rPr>
          <w:rFonts w:cs="Arial"/>
          <w:color w:val="000000" w:themeColor="text1"/>
          <w:szCs w:val="18"/>
          <w:lang w:val="en-US"/>
        </w:rPr>
        <w:t xml:space="preserve">As expected, a broad spectrum of product distribution was observed when using </w:t>
      </w:r>
      <w:r w:rsidR="006226DE">
        <w:rPr>
          <w:rFonts w:cs="Arial"/>
          <w:color w:val="000000" w:themeColor="text1"/>
          <w:szCs w:val="18"/>
          <w:lang w:val="en-US"/>
        </w:rPr>
        <w:t xml:space="preserve">a </w:t>
      </w:r>
      <w:r w:rsidRPr="006365CA">
        <w:rPr>
          <w:rFonts w:cs="Arial"/>
          <w:color w:val="000000" w:themeColor="text1"/>
          <w:szCs w:val="18"/>
          <w:lang w:val="en-US"/>
        </w:rPr>
        <w:t xml:space="preserve">mixture of acids as compared to single acid electrolysis because of the higher possible combination of formed radicals. When using the mixture of acids, the dimers were formed either by homocoupling i.e., </w:t>
      </w:r>
      <w:r w:rsidR="006226DE">
        <w:rPr>
          <w:rFonts w:cs="Arial"/>
          <w:color w:val="000000" w:themeColor="text1"/>
          <w:szCs w:val="18"/>
          <w:lang w:val="en-US"/>
        </w:rPr>
        <w:t xml:space="preserve">a </w:t>
      </w:r>
      <w:r w:rsidRPr="006365CA">
        <w:rPr>
          <w:rFonts w:cs="Arial"/>
          <w:color w:val="000000" w:themeColor="text1"/>
          <w:szCs w:val="18"/>
          <w:lang w:val="en-US"/>
        </w:rPr>
        <w:t xml:space="preserve">combination of radicals of the same chain length or by hetero-coupling i.e., </w:t>
      </w:r>
      <w:r w:rsidR="006226DE">
        <w:rPr>
          <w:rFonts w:cs="Arial"/>
          <w:color w:val="000000" w:themeColor="text1"/>
          <w:szCs w:val="18"/>
          <w:lang w:val="en-US"/>
        </w:rPr>
        <w:t xml:space="preserve">a </w:t>
      </w:r>
      <w:r w:rsidRPr="006365CA">
        <w:rPr>
          <w:rFonts w:cs="Arial"/>
          <w:color w:val="000000" w:themeColor="text1"/>
          <w:szCs w:val="18"/>
          <w:lang w:val="en-US"/>
        </w:rPr>
        <w:t xml:space="preserve">combination of radicals of two different chain </w:t>
      </w:r>
      <w:r w:rsidR="006226DE">
        <w:rPr>
          <w:rFonts w:cs="Arial"/>
          <w:color w:val="000000" w:themeColor="text1"/>
          <w:szCs w:val="18"/>
          <w:lang w:val="en-US"/>
        </w:rPr>
        <w:t>lengths</w:t>
      </w:r>
      <w:r w:rsidRPr="006365CA">
        <w:rPr>
          <w:rFonts w:cs="Arial"/>
          <w:color w:val="000000" w:themeColor="text1"/>
          <w:szCs w:val="18"/>
          <w:lang w:val="en-US"/>
        </w:rPr>
        <w:t xml:space="preserve">. The dimers </w:t>
      </w:r>
      <w:proofErr w:type="spellStart"/>
      <w:r w:rsidRPr="006365CA">
        <w:rPr>
          <w:rFonts w:cs="Arial"/>
          <w:color w:val="000000" w:themeColor="text1"/>
          <w:szCs w:val="18"/>
          <w:lang w:val="en-US"/>
        </w:rPr>
        <w:t>docosane</w:t>
      </w:r>
      <w:proofErr w:type="spellEnd"/>
      <w:r w:rsidRPr="006365CA">
        <w:rPr>
          <w:rFonts w:cs="Arial"/>
          <w:color w:val="000000" w:themeColor="text1"/>
          <w:szCs w:val="18"/>
          <w:lang w:val="en-US"/>
        </w:rPr>
        <w:t xml:space="preserve"> (C</w:t>
      </w:r>
      <w:r w:rsidRPr="006365CA">
        <w:rPr>
          <w:rFonts w:cs="Arial"/>
          <w:color w:val="000000" w:themeColor="text1"/>
          <w:szCs w:val="18"/>
          <w:vertAlign w:val="subscript"/>
          <w:lang w:val="en-US"/>
        </w:rPr>
        <w:t>22</w:t>
      </w:r>
      <w:r w:rsidRPr="006365CA">
        <w:rPr>
          <w:rFonts w:cs="Arial"/>
          <w:color w:val="000000" w:themeColor="text1"/>
          <w:szCs w:val="18"/>
          <w:lang w:val="en-US"/>
        </w:rPr>
        <w:t>) and triacontane (C</w:t>
      </w:r>
      <w:r w:rsidRPr="006365CA">
        <w:rPr>
          <w:rFonts w:cs="Arial"/>
          <w:color w:val="000000" w:themeColor="text1"/>
          <w:szCs w:val="18"/>
          <w:vertAlign w:val="subscript"/>
          <w:lang w:val="en-US"/>
        </w:rPr>
        <w:t>30</w:t>
      </w:r>
      <w:r w:rsidRPr="006365CA">
        <w:rPr>
          <w:rFonts w:cs="Arial"/>
          <w:color w:val="000000" w:themeColor="text1"/>
          <w:szCs w:val="18"/>
          <w:lang w:val="en-US"/>
        </w:rPr>
        <w:t>) were formed by the combination homocoupling of C</w:t>
      </w:r>
      <w:r w:rsidRPr="006365CA">
        <w:rPr>
          <w:rFonts w:cs="Arial"/>
          <w:color w:val="000000" w:themeColor="text1"/>
          <w:szCs w:val="18"/>
          <w:vertAlign w:val="subscript"/>
          <w:lang w:val="en-US"/>
        </w:rPr>
        <w:t>11</w:t>
      </w:r>
      <w:r w:rsidRPr="006365CA">
        <w:rPr>
          <w:rFonts w:cs="Arial"/>
          <w:color w:val="000000" w:themeColor="text1"/>
          <w:szCs w:val="18"/>
          <w:lang w:val="en-US"/>
        </w:rPr>
        <w:t xml:space="preserve"> and C</w:t>
      </w:r>
      <w:r w:rsidRPr="006365CA">
        <w:rPr>
          <w:rFonts w:cs="Arial"/>
          <w:color w:val="000000" w:themeColor="text1"/>
          <w:szCs w:val="18"/>
          <w:vertAlign w:val="subscript"/>
          <w:lang w:val="en-US"/>
        </w:rPr>
        <w:t>15</w:t>
      </w:r>
      <w:r w:rsidRPr="006365CA">
        <w:rPr>
          <w:rFonts w:cs="Arial"/>
          <w:color w:val="000000" w:themeColor="text1"/>
          <w:szCs w:val="18"/>
          <w:lang w:val="en-US"/>
        </w:rPr>
        <w:t xml:space="preserve"> radicals, respectively, and </w:t>
      </w:r>
      <w:proofErr w:type="spellStart"/>
      <w:r w:rsidRPr="006365CA">
        <w:rPr>
          <w:rFonts w:cs="Arial"/>
          <w:color w:val="000000" w:themeColor="text1"/>
          <w:szCs w:val="18"/>
          <w:lang w:val="en-US"/>
        </w:rPr>
        <w:t>hexacosane</w:t>
      </w:r>
      <w:proofErr w:type="spellEnd"/>
      <w:r w:rsidRPr="006365CA">
        <w:rPr>
          <w:rFonts w:cs="Arial"/>
          <w:color w:val="000000" w:themeColor="text1"/>
          <w:szCs w:val="18"/>
          <w:lang w:val="en-US"/>
        </w:rPr>
        <w:t xml:space="preserve"> was formed by hetero-coupling of C</w:t>
      </w:r>
      <w:r w:rsidRPr="006365CA">
        <w:rPr>
          <w:rFonts w:cs="Arial"/>
          <w:color w:val="000000" w:themeColor="text1"/>
          <w:szCs w:val="18"/>
          <w:vertAlign w:val="subscript"/>
          <w:lang w:val="en-US"/>
        </w:rPr>
        <w:t>11</w:t>
      </w:r>
      <w:r w:rsidRPr="006365CA">
        <w:rPr>
          <w:rFonts w:cs="Arial"/>
          <w:color w:val="000000" w:themeColor="text1"/>
          <w:szCs w:val="18"/>
          <w:lang w:val="en-US"/>
        </w:rPr>
        <w:t xml:space="preserve"> and C</w:t>
      </w:r>
      <w:r w:rsidRPr="006365CA">
        <w:rPr>
          <w:rFonts w:cs="Arial"/>
          <w:color w:val="000000" w:themeColor="text1"/>
          <w:szCs w:val="18"/>
          <w:vertAlign w:val="subscript"/>
          <w:lang w:val="en-US"/>
        </w:rPr>
        <w:t>15</w:t>
      </w:r>
      <w:r w:rsidRPr="006365CA">
        <w:rPr>
          <w:rFonts w:cs="Arial"/>
          <w:color w:val="000000" w:themeColor="text1"/>
          <w:szCs w:val="18"/>
          <w:lang w:val="en-US"/>
        </w:rPr>
        <w:t xml:space="preserve"> radicals. </w:t>
      </w:r>
    </w:p>
    <w:p w14:paraId="01E9F5E2" w14:textId="4141D597" w:rsidR="002C5D8D" w:rsidRPr="006365CA" w:rsidRDefault="002C5D8D" w:rsidP="002C5D8D">
      <w:pPr>
        <w:pStyle w:val="CETListbullets"/>
        <w:ind w:left="113" w:firstLine="0"/>
        <w:rPr>
          <w:rFonts w:cs="Arial"/>
          <w:color w:val="000000" w:themeColor="text1"/>
          <w:szCs w:val="18"/>
          <w:lang w:val="en-US"/>
        </w:rPr>
      </w:pPr>
      <w:r w:rsidRPr="006365CA">
        <w:rPr>
          <w:rFonts w:cs="Arial"/>
          <w:color w:val="000000" w:themeColor="text1"/>
          <w:szCs w:val="18"/>
          <w:lang w:val="en-US"/>
        </w:rPr>
        <w:t xml:space="preserve">The details of all the experimental parameters along with the percentage of dimers are shown in the </w:t>
      </w:r>
      <w:r w:rsidR="006226DE">
        <w:rPr>
          <w:rFonts w:cs="Arial"/>
          <w:color w:val="000000" w:themeColor="text1"/>
          <w:szCs w:val="18"/>
          <w:lang w:val="en-US"/>
        </w:rPr>
        <w:t>Ta</w:t>
      </w:r>
      <w:r w:rsidRPr="006365CA">
        <w:rPr>
          <w:rFonts w:cs="Arial"/>
          <w:color w:val="000000" w:themeColor="text1"/>
          <w:szCs w:val="18"/>
          <w:lang w:val="en-US"/>
        </w:rPr>
        <w:t xml:space="preserve">ble 4 and product formation and their percentage are shown in </w:t>
      </w:r>
      <w:r w:rsidR="006226DE">
        <w:rPr>
          <w:rFonts w:cs="Arial"/>
          <w:color w:val="000000" w:themeColor="text1"/>
          <w:szCs w:val="18"/>
          <w:lang w:val="en-US"/>
        </w:rPr>
        <w:t>Figure</w:t>
      </w:r>
      <w:r w:rsidRPr="006365CA">
        <w:rPr>
          <w:rFonts w:cs="Arial"/>
          <w:color w:val="000000" w:themeColor="text1"/>
          <w:szCs w:val="18"/>
          <w:lang w:val="en-US"/>
        </w:rPr>
        <w:t xml:space="preserve"> 4. In the </w:t>
      </w:r>
      <w:r w:rsidRPr="006365CA">
        <w:rPr>
          <w:rFonts w:cs="Arial"/>
          <w:color w:val="000000" w:themeColor="text1"/>
          <w:szCs w:val="18"/>
        </w:rPr>
        <w:t>EtOH:MeOH:Water</w:t>
      </w:r>
      <w:r w:rsidRPr="006365CA">
        <w:rPr>
          <w:rFonts w:cs="Arial"/>
          <w:color w:val="000000" w:themeColor="text1"/>
          <w:szCs w:val="18"/>
          <w:lang w:val="en-US"/>
        </w:rPr>
        <w:t xml:space="preserve"> solvent system, a notably high percentage 45% of dimers were produced </w:t>
      </w:r>
      <w:r w:rsidR="006226DE">
        <w:rPr>
          <w:rFonts w:cs="Arial"/>
          <w:color w:val="000000" w:themeColor="text1"/>
          <w:szCs w:val="18"/>
          <w:lang w:val="en-US"/>
        </w:rPr>
        <w:t>followed</w:t>
      </w:r>
      <w:r w:rsidRPr="006365CA">
        <w:rPr>
          <w:rFonts w:cs="Arial"/>
          <w:color w:val="000000" w:themeColor="text1"/>
          <w:szCs w:val="18"/>
          <w:lang w:val="en-US"/>
        </w:rPr>
        <w:t xml:space="preserve"> by alcohols at 19.6%, other hydrocarbons at 17.7% and aldehydes at 10%. A very little percentage of esters and acids (n-1) were also formed. On the other hand, in the </w:t>
      </w:r>
      <w:r w:rsidRPr="006365CA">
        <w:rPr>
          <w:rFonts w:cs="Arial"/>
          <w:color w:val="000000" w:themeColor="text1"/>
          <w:szCs w:val="18"/>
        </w:rPr>
        <w:t>EtOH:Water</w:t>
      </w:r>
      <w:r w:rsidRPr="006365CA">
        <w:rPr>
          <w:rFonts w:cs="Arial"/>
          <w:color w:val="000000" w:themeColor="text1"/>
          <w:szCs w:val="18"/>
          <w:lang w:val="en-US"/>
        </w:rPr>
        <w:t xml:space="preserve"> system, alcohols were the most dominant with 31.4% and </w:t>
      </w:r>
      <w:r w:rsidR="006226DE">
        <w:rPr>
          <w:rFonts w:cs="Arial"/>
          <w:color w:val="000000" w:themeColor="text1"/>
          <w:szCs w:val="18"/>
          <w:lang w:val="en-US"/>
        </w:rPr>
        <w:t xml:space="preserve">a </w:t>
      </w:r>
      <w:r w:rsidRPr="006365CA">
        <w:rPr>
          <w:rFonts w:cs="Arial"/>
          <w:color w:val="000000" w:themeColor="text1"/>
          <w:szCs w:val="18"/>
          <w:lang w:val="en-US"/>
        </w:rPr>
        <w:t xml:space="preserve">lower number of dimers </w:t>
      </w:r>
      <w:r w:rsidR="006226DE">
        <w:rPr>
          <w:rFonts w:cs="Arial"/>
          <w:color w:val="000000" w:themeColor="text1"/>
          <w:szCs w:val="18"/>
          <w:lang w:val="en-US"/>
        </w:rPr>
        <w:t>at</w:t>
      </w:r>
      <w:r w:rsidRPr="006365CA">
        <w:rPr>
          <w:rFonts w:cs="Arial"/>
          <w:color w:val="000000" w:themeColor="text1"/>
          <w:szCs w:val="18"/>
          <w:lang w:val="en-US"/>
        </w:rPr>
        <w:t xml:space="preserve"> 10.4%. This might suggest that the absence of MeOH </w:t>
      </w:r>
      <w:r w:rsidR="006226DE">
        <w:rPr>
          <w:rFonts w:cs="Arial"/>
          <w:color w:val="000000" w:themeColor="text1"/>
          <w:szCs w:val="18"/>
          <w:lang w:val="en-US"/>
        </w:rPr>
        <w:t>discourages</w:t>
      </w:r>
      <w:r w:rsidRPr="006365CA">
        <w:rPr>
          <w:rFonts w:cs="Arial"/>
          <w:color w:val="000000" w:themeColor="text1"/>
          <w:szCs w:val="18"/>
          <w:lang w:val="en-US"/>
        </w:rPr>
        <w:t xml:space="preserve"> </w:t>
      </w:r>
      <w:r w:rsidR="006226DE">
        <w:rPr>
          <w:rFonts w:cs="Arial"/>
          <w:color w:val="000000" w:themeColor="text1"/>
          <w:szCs w:val="18"/>
          <w:lang w:val="en-US"/>
        </w:rPr>
        <w:t>dimer</w:t>
      </w:r>
      <w:r w:rsidRPr="006365CA">
        <w:rPr>
          <w:rFonts w:cs="Arial"/>
          <w:color w:val="000000" w:themeColor="text1"/>
          <w:szCs w:val="18"/>
          <w:lang w:val="en-US"/>
        </w:rPr>
        <w:t xml:space="preserve"> formation and leads to the higher formation of alcohols and aldehydes. Lastly, the </w:t>
      </w:r>
      <w:r w:rsidRPr="006365CA">
        <w:rPr>
          <w:rFonts w:cs="Arial"/>
          <w:color w:val="000000" w:themeColor="text1"/>
          <w:szCs w:val="18"/>
        </w:rPr>
        <w:t>Hexane:EtOH:Water</w:t>
      </w:r>
      <w:r w:rsidRPr="006365CA">
        <w:rPr>
          <w:rFonts w:cs="Arial"/>
          <w:color w:val="000000" w:themeColor="text1"/>
          <w:szCs w:val="18"/>
          <w:lang w:val="en-US"/>
        </w:rPr>
        <w:t xml:space="preserve"> system leads to the substantial formation of dimers 32.2% </w:t>
      </w:r>
      <w:proofErr w:type="gramStart"/>
      <w:r w:rsidRPr="006365CA">
        <w:rPr>
          <w:rFonts w:cs="Arial"/>
          <w:color w:val="000000" w:themeColor="text1"/>
          <w:szCs w:val="18"/>
          <w:lang w:val="en-US"/>
        </w:rPr>
        <w:t>and also</w:t>
      </w:r>
      <w:proofErr w:type="gramEnd"/>
      <w:r w:rsidRPr="006365CA">
        <w:rPr>
          <w:rFonts w:cs="Arial"/>
          <w:color w:val="000000" w:themeColor="text1"/>
          <w:szCs w:val="18"/>
          <w:lang w:val="en-US"/>
        </w:rPr>
        <w:t xml:space="preserve"> </w:t>
      </w:r>
      <w:r w:rsidR="006226DE">
        <w:rPr>
          <w:rFonts w:cs="Arial"/>
          <w:color w:val="000000" w:themeColor="text1"/>
          <w:szCs w:val="18"/>
          <w:lang w:val="en-US"/>
        </w:rPr>
        <w:t xml:space="preserve">a </w:t>
      </w:r>
      <w:r w:rsidRPr="006365CA">
        <w:rPr>
          <w:rFonts w:cs="Arial"/>
          <w:color w:val="000000" w:themeColor="text1"/>
          <w:szCs w:val="18"/>
          <w:lang w:val="en-US"/>
        </w:rPr>
        <w:t xml:space="preserve">significant number of alcohols 25.4%. Based on these observations, the </w:t>
      </w:r>
      <w:proofErr w:type="spellStart"/>
      <w:r w:rsidRPr="006365CA">
        <w:rPr>
          <w:rFonts w:cs="Arial"/>
          <w:color w:val="000000" w:themeColor="text1"/>
          <w:szCs w:val="18"/>
        </w:rPr>
        <w:t>MeOH:EtOH:Water</w:t>
      </w:r>
      <w:proofErr w:type="spellEnd"/>
      <w:r w:rsidRPr="006365CA">
        <w:rPr>
          <w:rFonts w:cs="Arial"/>
          <w:color w:val="000000" w:themeColor="text1"/>
          <w:szCs w:val="18"/>
          <w:lang w:val="en-US"/>
        </w:rPr>
        <w:t xml:space="preserve"> solvent system is the most efficient choice for dimers production from the mixture (1:1) of lauric and palmitic acids.</w:t>
      </w:r>
      <w:r w:rsidR="00DA46CE">
        <w:rPr>
          <w:rFonts w:cs="Arial"/>
          <w:color w:val="000000" w:themeColor="text1"/>
          <w:szCs w:val="18"/>
          <w:lang w:val="en-US"/>
        </w:rPr>
        <w:t xml:space="preserve"> </w:t>
      </w:r>
      <w:r w:rsidR="00D4612E" w:rsidRPr="001F1D7C">
        <w:rPr>
          <w:rFonts w:cs="Arial"/>
          <w:color w:val="000000" w:themeColor="text1"/>
          <w:szCs w:val="18"/>
          <w:highlight w:val="yellow"/>
          <w:lang w:val="en-US"/>
        </w:rPr>
        <w:fldChar w:fldCharType="begin"/>
      </w:r>
      <w:r w:rsidR="00D4612E" w:rsidRPr="001F1D7C">
        <w:rPr>
          <w:rFonts w:cs="Arial"/>
          <w:color w:val="000000" w:themeColor="text1"/>
          <w:szCs w:val="18"/>
          <w:highlight w:val="yellow"/>
          <w:lang w:val="en-US"/>
        </w:rPr>
        <w:instrText xml:space="preserve"> ADDIN ZOTERO_ITEM CSL_CITATION {"citationID":"DxYv10Sn","properties":{"formattedCitation":"(Neubert et al., 2022)","plainCitation":"(Neubert et al., 2022)","noteIndex":0},"citationItems":[{"id":53,"uris":["http://zotero.org/users/local/lPvvY3SE/items/BIILX9RT"],"itemData":{"id":53,"type":"article-journal","abstract":"Mixtures of n-carboxylic acids (n-CA) as derived from microbial conversion of waste biomass were converted to bio-fuel using Kolbe electrolysis. While providing full carbon and electron balances, key parameters like electrolysis time, chain length of n-CA, and pH were investigated for their influence on reaction efficiency. Electrolysis of n-hexanoic acid showed the highest coulombic efficiency (CE) of 58.9±16.4 % (n=4) for liquid fuel production among individually tested n-CA. Duration of the electrolysis was varied within a range of 0.27 to 1.02 faraday equivalents without loss of efficiency. Noteworthy, CE increased to around 70 % by hetero-coupling when electrolysing n-CA mixtures regardless of the applied pH. Thus, 1 L of fuel could be produced from 12.4 mol of n-CA mixture using 5.02 kWh (&lt;1 € L−1). Thus, a coupling with microbial processes producing n-CA mixtures from different organic substrates and waste is more than promising.","container-title":"ChemSusChem","DOI":"10.1002/cssc.202201426","ISSN":"1864-564X","issue":"21","language":"en","license":"© 2022 The Authors. ChemSusChem published by Wiley-VCH GmbH","note":"_eprint: https://onlinelibrary.wiley.com/doi/pdf/10.1002/cssc.202201426","page":"e202201426","source":"Wiley Online Library","title":"Hetero-Coupling of Bio-Based Medium-Chain Carboxylic Acids by Kolbe Electrolysis Enables High Fuel Yield and Efficiency","volume":"15","author":[{"family":"Neubert","given":"Katharina"},{"family":"Hell","given":"Max"},{"family":"Chávez Morejón","given":"Micjel"},{"family":"Harnisch","given":"Falk"}],"issued":{"date-parts":[["2022"]]}}}],"schema":"https://github.com/citation-style-language/schema/raw/master/csl-citation.json"} </w:instrText>
      </w:r>
      <w:r w:rsidR="00D4612E" w:rsidRPr="001F1D7C">
        <w:rPr>
          <w:rFonts w:cs="Arial"/>
          <w:color w:val="000000" w:themeColor="text1"/>
          <w:szCs w:val="18"/>
          <w:highlight w:val="yellow"/>
          <w:lang w:val="en-US"/>
        </w:rPr>
        <w:fldChar w:fldCharType="separate"/>
      </w:r>
      <w:r w:rsidR="00D4612E" w:rsidRPr="001F1D7C">
        <w:rPr>
          <w:rFonts w:cs="Arial"/>
          <w:noProof/>
          <w:color w:val="000000" w:themeColor="text1"/>
          <w:szCs w:val="18"/>
          <w:highlight w:val="yellow"/>
          <w:lang w:val="en-US"/>
        </w:rPr>
        <w:t>(Neubert et al., 2022)</w:t>
      </w:r>
      <w:r w:rsidR="00D4612E" w:rsidRPr="001F1D7C">
        <w:rPr>
          <w:rFonts w:cs="Arial"/>
          <w:color w:val="000000" w:themeColor="text1"/>
          <w:szCs w:val="18"/>
          <w:highlight w:val="yellow"/>
          <w:lang w:val="en-US"/>
        </w:rPr>
        <w:fldChar w:fldCharType="end"/>
      </w:r>
      <w:r w:rsidR="00D4612E" w:rsidRPr="001F1D7C">
        <w:rPr>
          <w:rFonts w:cs="Arial"/>
          <w:color w:val="000000" w:themeColor="text1"/>
          <w:szCs w:val="18"/>
          <w:highlight w:val="yellow"/>
          <w:lang w:val="en-US"/>
        </w:rPr>
        <w:t xml:space="preserve"> </w:t>
      </w:r>
      <w:r w:rsidR="00DA46CE" w:rsidRPr="001F1D7C">
        <w:rPr>
          <w:rFonts w:cs="Arial"/>
          <w:color w:val="000000" w:themeColor="text1"/>
          <w:szCs w:val="18"/>
          <w:highlight w:val="yellow"/>
          <w:lang w:val="en-US"/>
        </w:rPr>
        <w:t>f</w:t>
      </w:r>
      <w:r w:rsidR="00DA46CE" w:rsidRPr="00D4612E">
        <w:rPr>
          <w:rFonts w:cs="Arial"/>
          <w:color w:val="000000" w:themeColor="text1"/>
          <w:szCs w:val="18"/>
          <w:highlight w:val="yellow"/>
          <w:lang w:val="en-US"/>
        </w:rPr>
        <w:t xml:space="preserve">indings </w:t>
      </w:r>
      <w:r w:rsidR="004018AB" w:rsidRPr="00DA46CE">
        <w:rPr>
          <w:rFonts w:cs="Arial"/>
          <w:color w:val="000000" w:themeColor="text1"/>
          <w:szCs w:val="18"/>
          <w:highlight w:val="yellow"/>
          <w:lang w:val="en-US"/>
        </w:rPr>
        <w:t>show</w:t>
      </w:r>
      <w:r w:rsidR="00DA46CE" w:rsidRPr="00DA46CE">
        <w:rPr>
          <w:rFonts w:cs="Arial"/>
          <w:color w:val="000000" w:themeColor="text1"/>
          <w:szCs w:val="18"/>
          <w:highlight w:val="yellow"/>
          <w:lang w:val="en-US"/>
        </w:rPr>
        <w:t xml:space="preserve"> that using artificial mixture of acids (C</w:t>
      </w:r>
      <w:r w:rsidR="00DA46CE" w:rsidRPr="00DA46CE">
        <w:rPr>
          <w:rFonts w:cs="Arial"/>
          <w:color w:val="000000" w:themeColor="text1"/>
          <w:szCs w:val="18"/>
          <w:highlight w:val="yellow"/>
          <w:vertAlign w:val="subscript"/>
          <w:lang w:val="en-US"/>
        </w:rPr>
        <w:t>4</w:t>
      </w:r>
      <w:r w:rsidR="00DA46CE" w:rsidRPr="00DA46CE">
        <w:rPr>
          <w:rFonts w:cs="Arial"/>
          <w:color w:val="000000" w:themeColor="text1"/>
          <w:szCs w:val="18"/>
          <w:highlight w:val="yellow"/>
          <w:lang w:val="en-US"/>
        </w:rPr>
        <w:t>:C</w:t>
      </w:r>
      <w:r w:rsidR="00DA46CE" w:rsidRPr="00DA46CE">
        <w:rPr>
          <w:rFonts w:cs="Arial"/>
          <w:color w:val="000000" w:themeColor="text1"/>
          <w:szCs w:val="18"/>
          <w:highlight w:val="yellow"/>
          <w:vertAlign w:val="subscript"/>
          <w:lang w:val="en-US"/>
        </w:rPr>
        <w:t>6</w:t>
      </w:r>
      <w:r w:rsidR="00DA46CE" w:rsidRPr="00DA46CE">
        <w:rPr>
          <w:rFonts w:cs="Arial"/>
          <w:color w:val="000000" w:themeColor="text1"/>
          <w:szCs w:val="18"/>
          <w:highlight w:val="yellow"/>
          <w:lang w:val="en-US"/>
        </w:rPr>
        <w:t>:C</w:t>
      </w:r>
      <w:r w:rsidR="00DA46CE" w:rsidRPr="00DA46CE">
        <w:rPr>
          <w:rFonts w:cs="Arial"/>
          <w:color w:val="000000" w:themeColor="text1"/>
          <w:szCs w:val="18"/>
          <w:highlight w:val="yellow"/>
          <w:vertAlign w:val="subscript"/>
          <w:lang w:val="en-US"/>
        </w:rPr>
        <w:t>8</w:t>
      </w:r>
      <w:r w:rsidR="00DA46CE" w:rsidRPr="00DA46CE">
        <w:rPr>
          <w:rFonts w:cs="Arial"/>
          <w:color w:val="000000" w:themeColor="text1"/>
          <w:szCs w:val="18"/>
          <w:highlight w:val="yellow"/>
          <w:lang w:val="en-US"/>
        </w:rPr>
        <w:t>) in 3:8:1 molar ratio at 150 mA/cm</w:t>
      </w:r>
      <w:r w:rsidR="00DA46CE" w:rsidRPr="00DA46CE">
        <w:rPr>
          <w:rFonts w:cs="Arial"/>
          <w:color w:val="000000" w:themeColor="text1"/>
          <w:szCs w:val="18"/>
          <w:highlight w:val="yellow"/>
          <w:vertAlign w:val="superscript"/>
          <w:lang w:val="en-US"/>
        </w:rPr>
        <w:t>2</w:t>
      </w:r>
      <w:r w:rsidR="00DA46CE" w:rsidRPr="00DA46CE">
        <w:rPr>
          <w:rFonts w:cs="Arial"/>
          <w:color w:val="000000" w:themeColor="text1"/>
          <w:szCs w:val="18"/>
          <w:highlight w:val="yellow"/>
          <w:lang w:val="en-US"/>
        </w:rPr>
        <w:t xml:space="preserve"> of current density gives alkane production of 55 </w:t>
      </w:r>
      <w:r w:rsidR="00DA46CE" w:rsidRPr="00DA46CE">
        <w:rPr>
          <w:rFonts w:cs="Arial"/>
          <w:color w:val="000000" w:themeColor="text1"/>
          <w:szCs w:val="18"/>
          <w:highlight w:val="yellow"/>
          <w:u w:val="single"/>
          <w:lang w:val="en-US"/>
        </w:rPr>
        <w:t>+</w:t>
      </w:r>
      <w:r w:rsidR="00DA46CE" w:rsidRPr="00DA46CE">
        <w:rPr>
          <w:rFonts w:cs="Arial"/>
          <w:color w:val="000000" w:themeColor="text1"/>
          <w:szCs w:val="18"/>
          <w:highlight w:val="yellow"/>
          <w:lang w:val="en-US"/>
        </w:rPr>
        <w:t xml:space="preserve"> 10% and acid degradation with columbic efficiency of around 82%.</w:t>
      </w:r>
      <w:r w:rsidR="00DA46CE">
        <w:rPr>
          <w:rFonts w:cs="Arial"/>
          <w:color w:val="000000" w:themeColor="text1"/>
          <w:szCs w:val="18"/>
          <w:lang w:val="en-US"/>
        </w:rPr>
        <w:t xml:space="preserve"> </w:t>
      </w:r>
      <w:r w:rsidRPr="006365CA">
        <w:rPr>
          <w:rFonts w:cs="Arial"/>
          <w:color w:val="000000" w:themeColor="text1"/>
          <w:szCs w:val="18"/>
          <w:lang w:val="en-US"/>
        </w:rPr>
        <w:t xml:space="preserve">Therefore, understanding these variations in experimental conditions is important in optimizing </w:t>
      </w:r>
      <w:r w:rsidR="006226DE">
        <w:rPr>
          <w:rFonts w:cs="Arial"/>
          <w:color w:val="000000" w:themeColor="text1"/>
          <w:szCs w:val="18"/>
          <w:lang w:val="en-US"/>
        </w:rPr>
        <w:t xml:space="preserve">the </w:t>
      </w:r>
      <w:r w:rsidRPr="006365CA">
        <w:rPr>
          <w:rFonts w:cs="Arial"/>
          <w:color w:val="000000" w:themeColor="text1"/>
          <w:szCs w:val="18"/>
          <w:lang w:val="en-US"/>
        </w:rPr>
        <w:t xml:space="preserve">electrolysis process to explore reaction scalability and potential for industrial applications. The details of the products observed from the electrolysis of mixture of </w:t>
      </w:r>
      <w:proofErr w:type="gramStart"/>
      <w:r w:rsidRPr="006365CA">
        <w:rPr>
          <w:rFonts w:cs="Arial"/>
          <w:color w:val="000000" w:themeColor="text1"/>
          <w:szCs w:val="18"/>
          <w:lang w:val="en-US"/>
        </w:rPr>
        <w:t>lauric</w:t>
      </w:r>
      <w:proofErr w:type="gramEnd"/>
      <w:r w:rsidRPr="006365CA">
        <w:rPr>
          <w:rFonts w:cs="Arial"/>
          <w:color w:val="000000" w:themeColor="text1"/>
          <w:szCs w:val="18"/>
          <w:lang w:val="en-US"/>
        </w:rPr>
        <w:t xml:space="preserve"> and palmitic acid are shown in </w:t>
      </w:r>
      <w:r w:rsidR="006226DE">
        <w:rPr>
          <w:rFonts w:cs="Arial"/>
          <w:color w:val="000000" w:themeColor="text1"/>
          <w:szCs w:val="18"/>
          <w:lang w:val="en-US"/>
        </w:rPr>
        <w:t>Table</w:t>
      </w:r>
      <w:r w:rsidRPr="006365CA">
        <w:rPr>
          <w:rFonts w:cs="Arial"/>
          <w:color w:val="000000" w:themeColor="text1"/>
          <w:szCs w:val="18"/>
          <w:lang w:val="en-US"/>
        </w:rPr>
        <w:t xml:space="preserve"> 5.</w:t>
      </w:r>
    </w:p>
    <w:p w14:paraId="23231F5E" w14:textId="77777777" w:rsidR="00B7731C" w:rsidRPr="006365CA" w:rsidRDefault="00B7731C" w:rsidP="002436A3">
      <w:pPr>
        <w:pStyle w:val="CETListbullets"/>
        <w:ind w:left="113" w:firstLine="0"/>
        <w:rPr>
          <w:rFonts w:cs="Arial"/>
          <w:color w:val="000000" w:themeColor="text1"/>
          <w:szCs w:val="18"/>
          <w:lang w:val="en-US"/>
        </w:rPr>
      </w:pPr>
    </w:p>
    <w:p w14:paraId="442E66A9" w14:textId="77777777" w:rsidR="002C5D8D" w:rsidRPr="006365CA" w:rsidRDefault="002C5D8D" w:rsidP="002C5D8D">
      <w:pPr>
        <w:pStyle w:val="CETListbullets"/>
        <w:ind w:left="113" w:firstLine="0"/>
        <w:rPr>
          <w:rFonts w:cs="Arial"/>
          <w:color w:val="000000" w:themeColor="text1"/>
          <w:szCs w:val="18"/>
          <w:lang w:val="en-US"/>
        </w:rPr>
      </w:pPr>
      <w:r w:rsidRPr="006365CA">
        <w:rPr>
          <w:rFonts w:cs="Arial"/>
          <w:i/>
          <w:iCs/>
          <w:color w:val="000000" w:themeColor="text1"/>
          <w:szCs w:val="18"/>
          <w:lang w:val="en-US"/>
        </w:rPr>
        <w:t>Table 4: Reaction conditions for the electrolysis of mixture of acids C</w:t>
      </w:r>
      <w:r w:rsidRPr="006365CA">
        <w:rPr>
          <w:rFonts w:cs="Arial"/>
          <w:i/>
          <w:iCs/>
          <w:color w:val="000000" w:themeColor="text1"/>
          <w:szCs w:val="18"/>
          <w:vertAlign w:val="subscript"/>
          <w:lang w:val="en-US"/>
        </w:rPr>
        <w:t>12</w:t>
      </w:r>
      <w:r w:rsidRPr="006365CA">
        <w:rPr>
          <w:rFonts w:cs="Arial"/>
          <w:i/>
          <w:iCs/>
          <w:color w:val="000000" w:themeColor="text1"/>
          <w:szCs w:val="18"/>
          <w:lang w:val="en-US"/>
        </w:rPr>
        <w:t>:C</w:t>
      </w:r>
      <w:r w:rsidRPr="006365CA">
        <w:rPr>
          <w:rFonts w:cs="Arial"/>
          <w:i/>
          <w:iCs/>
          <w:color w:val="000000" w:themeColor="text1"/>
          <w:szCs w:val="18"/>
          <w:vertAlign w:val="subscript"/>
          <w:lang w:val="en-US"/>
        </w:rPr>
        <w:t>16</w:t>
      </w:r>
      <w:r w:rsidRPr="006365CA">
        <w:rPr>
          <w:rFonts w:cs="Arial"/>
          <w:i/>
          <w:iCs/>
          <w:color w:val="000000" w:themeColor="text1"/>
          <w:szCs w:val="18"/>
          <w:lang w:val="en-US"/>
        </w:rPr>
        <w:t xml:space="preserve"> (1:1) and GC dimer yield (%).</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567"/>
        <w:gridCol w:w="567"/>
        <w:gridCol w:w="3261"/>
        <w:gridCol w:w="1134"/>
        <w:gridCol w:w="1134"/>
        <w:gridCol w:w="992"/>
      </w:tblGrid>
      <w:tr w:rsidR="006365CA" w:rsidRPr="006365CA" w14:paraId="473C4B94" w14:textId="77777777" w:rsidTr="00620B55">
        <w:trPr>
          <w:trHeight w:val="243"/>
        </w:trPr>
        <w:tc>
          <w:tcPr>
            <w:tcW w:w="567" w:type="dxa"/>
            <w:tcBorders>
              <w:top w:val="single" w:sz="12" w:space="0" w:color="008000"/>
              <w:bottom w:val="single" w:sz="6" w:space="0" w:color="008000"/>
            </w:tcBorders>
            <w:shd w:val="clear" w:color="auto" w:fill="FFFFFF"/>
          </w:tcPr>
          <w:p w14:paraId="0D4AAD76" w14:textId="77777777" w:rsidR="00B7731C" w:rsidRPr="00F11AD2" w:rsidRDefault="00B7731C" w:rsidP="00841D17">
            <w:pPr>
              <w:pStyle w:val="CETBodytext"/>
              <w:rPr>
                <w:color w:val="000000" w:themeColor="text1"/>
                <w:lang w:val="en-GB"/>
              </w:rPr>
            </w:pPr>
            <w:r w:rsidRPr="00F11AD2">
              <w:rPr>
                <w:rFonts w:cs="Arial"/>
                <w:color w:val="000000" w:themeColor="text1"/>
                <w:kern w:val="24"/>
                <w:szCs w:val="18"/>
              </w:rPr>
              <w:t>Entry</w:t>
            </w:r>
          </w:p>
        </w:tc>
        <w:tc>
          <w:tcPr>
            <w:tcW w:w="567" w:type="dxa"/>
            <w:tcBorders>
              <w:top w:val="single" w:sz="12" w:space="0" w:color="008000"/>
              <w:bottom w:val="single" w:sz="6" w:space="0" w:color="008000"/>
            </w:tcBorders>
            <w:shd w:val="clear" w:color="auto" w:fill="FFFFFF"/>
          </w:tcPr>
          <w:p w14:paraId="04ED3341" w14:textId="787262C0" w:rsidR="00B7731C" w:rsidRPr="00F11AD2" w:rsidRDefault="00C77DC9" w:rsidP="00841D17">
            <w:pPr>
              <w:pStyle w:val="CETBodytext"/>
              <w:rPr>
                <w:color w:val="000000" w:themeColor="text1"/>
                <w:lang w:val="en-GB"/>
              </w:rPr>
            </w:pPr>
            <w:r w:rsidRPr="00F11AD2">
              <w:rPr>
                <w:rFonts w:cs="Arial"/>
                <w:color w:val="000000" w:themeColor="text1"/>
                <w:kern w:val="24"/>
                <w:szCs w:val="18"/>
              </w:rPr>
              <w:t>mmol</w:t>
            </w:r>
          </w:p>
        </w:tc>
        <w:tc>
          <w:tcPr>
            <w:tcW w:w="3261" w:type="dxa"/>
            <w:tcBorders>
              <w:top w:val="single" w:sz="12" w:space="0" w:color="008000"/>
              <w:bottom w:val="single" w:sz="6" w:space="0" w:color="008000"/>
            </w:tcBorders>
            <w:shd w:val="clear" w:color="auto" w:fill="FFFFFF"/>
          </w:tcPr>
          <w:p w14:paraId="1AD3FE9C" w14:textId="77777777" w:rsidR="00B7731C" w:rsidRPr="00F11AD2" w:rsidRDefault="00B7731C" w:rsidP="00841D17">
            <w:pPr>
              <w:pStyle w:val="CETBodytext"/>
              <w:rPr>
                <w:rFonts w:cs="Arial"/>
                <w:color w:val="000000" w:themeColor="text1"/>
                <w:szCs w:val="18"/>
              </w:rPr>
            </w:pPr>
            <w:r w:rsidRPr="00F11AD2">
              <w:rPr>
                <w:rFonts w:cs="Arial"/>
                <w:color w:val="000000" w:themeColor="text1"/>
                <w:kern w:val="24"/>
                <w:szCs w:val="18"/>
              </w:rPr>
              <w:t>Solvent%</w:t>
            </w:r>
          </w:p>
        </w:tc>
        <w:tc>
          <w:tcPr>
            <w:tcW w:w="1134" w:type="dxa"/>
            <w:tcBorders>
              <w:top w:val="single" w:sz="12" w:space="0" w:color="008000"/>
              <w:bottom w:val="single" w:sz="6" w:space="0" w:color="008000"/>
            </w:tcBorders>
            <w:shd w:val="clear" w:color="auto" w:fill="FFFFFF"/>
          </w:tcPr>
          <w:p w14:paraId="51DB70C6" w14:textId="77777777" w:rsidR="00B7731C" w:rsidRPr="00F11AD2" w:rsidRDefault="00B7731C" w:rsidP="00841D17">
            <w:pPr>
              <w:pStyle w:val="CETBodytext"/>
              <w:rPr>
                <w:rFonts w:cs="Arial"/>
                <w:color w:val="000000" w:themeColor="text1"/>
                <w:szCs w:val="18"/>
              </w:rPr>
            </w:pPr>
            <w:r w:rsidRPr="00F11AD2">
              <w:rPr>
                <w:rFonts w:cs="Arial"/>
                <w:color w:val="000000" w:themeColor="text1"/>
                <w:kern w:val="24"/>
                <w:szCs w:val="18"/>
              </w:rPr>
              <w:t>KOH eq.</w:t>
            </w:r>
          </w:p>
        </w:tc>
        <w:tc>
          <w:tcPr>
            <w:tcW w:w="1134" w:type="dxa"/>
            <w:tcBorders>
              <w:top w:val="single" w:sz="12" w:space="0" w:color="008000"/>
              <w:bottom w:val="single" w:sz="6" w:space="0" w:color="008000"/>
            </w:tcBorders>
            <w:shd w:val="clear" w:color="auto" w:fill="FFFFFF"/>
          </w:tcPr>
          <w:p w14:paraId="6A824E6B" w14:textId="77777777" w:rsidR="00B7731C" w:rsidRPr="00F11AD2" w:rsidRDefault="00B7731C" w:rsidP="00841D17">
            <w:pPr>
              <w:pStyle w:val="CETBodytext"/>
              <w:rPr>
                <w:rFonts w:cs="Arial"/>
                <w:color w:val="000000" w:themeColor="text1"/>
                <w:szCs w:val="18"/>
              </w:rPr>
            </w:pPr>
            <w:r w:rsidRPr="00F11AD2">
              <w:rPr>
                <w:rFonts w:cs="Arial"/>
                <w:color w:val="000000" w:themeColor="text1"/>
                <w:kern w:val="24"/>
                <w:szCs w:val="18"/>
              </w:rPr>
              <w:t>Current mA</w:t>
            </w:r>
          </w:p>
        </w:tc>
        <w:tc>
          <w:tcPr>
            <w:tcW w:w="992" w:type="dxa"/>
            <w:tcBorders>
              <w:top w:val="single" w:sz="12" w:space="0" w:color="008000"/>
              <w:bottom w:val="single" w:sz="6" w:space="0" w:color="008000"/>
            </w:tcBorders>
            <w:shd w:val="clear" w:color="auto" w:fill="FFFFFF"/>
          </w:tcPr>
          <w:p w14:paraId="24074DB1" w14:textId="77777777" w:rsidR="00B7731C" w:rsidRPr="00F11AD2" w:rsidRDefault="00B7731C" w:rsidP="00841D17">
            <w:pPr>
              <w:pStyle w:val="CETBodytext"/>
              <w:rPr>
                <w:rFonts w:cs="Arial"/>
                <w:color w:val="000000" w:themeColor="text1"/>
                <w:kern w:val="24"/>
                <w:szCs w:val="18"/>
              </w:rPr>
            </w:pPr>
            <w:r w:rsidRPr="00F11AD2">
              <w:rPr>
                <w:rFonts w:cs="Arial"/>
                <w:color w:val="000000" w:themeColor="text1"/>
                <w:kern w:val="24"/>
                <w:szCs w:val="18"/>
              </w:rPr>
              <w:t>Dimer %</w:t>
            </w:r>
          </w:p>
        </w:tc>
      </w:tr>
      <w:tr w:rsidR="006365CA" w:rsidRPr="006365CA" w14:paraId="15533627" w14:textId="77777777" w:rsidTr="00620B55">
        <w:trPr>
          <w:trHeight w:val="72"/>
        </w:trPr>
        <w:tc>
          <w:tcPr>
            <w:tcW w:w="567" w:type="dxa"/>
            <w:shd w:val="clear" w:color="auto" w:fill="FFFFFF"/>
          </w:tcPr>
          <w:p w14:paraId="6F2C4328" w14:textId="77777777" w:rsidR="00B7731C" w:rsidRPr="006365CA" w:rsidRDefault="00B7731C" w:rsidP="00841D17">
            <w:pPr>
              <w:pStyle w:val="CETBodytext"/>
              <w:ind w:right="-1"/>
              <w:rPr>
                <w:rFonts w:cs="Arial"/>
                <w:color w:val="000000" w:themeColor="text1"/>
                <w:szCs w:val="18"/>
                <w:lang w:val="en-GB"/>
              </w:rPr>
            </w:pPr>
            <w:r w:rsidRPr="006365CA">
              <w:rPr>
                <w:rFonts w:cs="Arial"/>
                <w:color w:val="000000" w:themeColor="text1"/>
                <w:szCs w:val="18"/>
              </w:rPr>
              <w:t>1</w:t>
            </w:r>
          </w:p>
        </w:tc>
        <w:tc>
          <w:tcPr>
            <w:tcW w:w="567" w:type="dxa"/>
            <w:shd w:val="clear" w:color="auto" w:fill="FFFFFF"/>
          </w:tcPr>
          <w:p w14:paraId="10193FEF" w14:textId="77777777" w:rsidR="00B7731C" w:rsidRPr="006365CA" w:rsidRDefault="00B7731C" w:rsidP="00841D17">
            <w:pPr>
              <w:pStyle w:val="CETBodytext"/>
              <w:ind w:right="-1"/>
              <w:rPr>
                <w:rFonts w:cs="Arial"/>
                <w:color w:val="000000" w:themeColor="text1"/>
                <w:szCs w:val="18"/>
                <w:lang w:val="en-GB"/>
              </w:rPr>
            </w:pPr>
            <w:r w:rsidRPr="006365CA">
              <w:rPr>
                <w:rFonts w:cs="Arial"/>
                <w:color w:val="000000" w:themeColor="text1"/>
                <w:kern w:val="24"/>
                <w:szCs w:val="18"/>
              </w:rPr>
              <w:t>0.7</w:t>
            </w:r>
          </w:p>
        </w:tc>
        <w:tc>
          <w:tcPr>
            <w:tcW w:w="3261" w:type="dxa"/>
            <w:shd w:val="clear" w:color="auto" w:fill="FFFFFF"/>
          </w:tcPr>
          <w:p w14:paraId="33B6649B" w14:textId="77777777" w:rsidR="00B7731C" w:rsidRPr="006365CA" w:rsidRDefault="00B7731C" w:rsidP="00841D17">
            <w:pPr>
              <w:pStyle w:val="CETBodytext"/>
              <w:ind w:right="-1"/>
              <w:rPr>
                <w:rFonts w:cs="Arial"/>
                <w:color w:val="000000" w:themeColor="text1"/>
                <w:szCs w:val="18"/>
              </w:rPr>
            </w:pPr>
            <w:r w:rsidRPr="006365CA">
              <w:rPr>
                <w:rFonts w:cs="Arial"/>
                <w:color w:val="000000" w:themeColor="text1"/>
                <w:kern w:val="24"/>
                <w:szCs w:val="18"/>
              </w:rPr>
              <w:t>Hexane:EtOH:H</w:t>
            </w:r>
            <w:r w:rsidRPr="006365CA">
              <w:rPr>
                <w:rFonts w:cs="Arial"/>
                <w:color w:val="000000" w:themeColor="text1"/>
                <w:kern w:val="24"/>
                <w:position w:val="-7"/>
                <w:szCs w:val="18"/>
                <w:vertAlign w:val="subscript"/>
              </w:rPr>
              <w:t>2</w:t>
            </w:r>
            <w:r w:rsidRPr="006365CA">
              <w:rPr>
                <w:rFonts w:cs="Arial"/>
                <w:color w:val="000000" w:themeColor="text1"/>
                <w:kern w:val="24"/>
                <w:szCs w:val="18"/>
              </w:rPr>
              <w:t>O (38.89:38.89:22.22)</w:t>
            </w:r>
          </w:p>
        </w:tc>
        <w:tc>
          <w:tcPr>
            <w:tcW w:w="1134" w:type="dxa"/>
            <w:shd w:val="clear" w:color="auto" w:fill="FFFFFF"/>
          </w:tcPr>
          <w:p w14:paraId="773E4B4C" w14:textId="77777777" w:rsidR="00B7731C" w:rsidRPr="006365CA" w:rsidRDefault="00B7731C" w:rsidP="00841D17">
            <w:pPr>
              <w:pStyle w:val="CETBodytext"/>
              <w:ind w:right="-1"/>
              <w:rPr>
                <w:rFonts w:cs="Arial"/>
                <w:color w:val="000000" w:themeColor="text1"/>
                <w:szCs w:val="18"/>
              </w:rPr>
            </w:pPr>
            <w:r w:rsidRPr="006365CA">
              <w:rPr>
                <w:rFonts w:cs="Arial"/>
                <w:color w:val="000000" w:themeColor="text1"/>
                <w:kern w:val="24"/>
                <w:szCs w:val="18"/>
              </w:rPr>
              <w:t>1.5</w:t>
            </w:r>
          </w:p>
        </w:tc>
        <w:tc>
          <w:tcPr>
            <w:tcW w:w="1134" w:type="dxa"/>
            <w:shd w:val="clear" w:color="auto" w:fill="FFFFFF"/>
          </w:tcPr>
          <w:p w14:paraId="2BDB9D45" w14:textId="77777777" w:rsidR="00B7731C" w:rsidRPr="006365CA" w:rsidRDefault="00B7731C" w:rsidP="00841D17">
            <w:pPr>
              <w:pStyle w:val="CETBodytext"/>
              <w:ind w:right="-1"/>
              <w:rPr>
                <w:rFonts w:cs="Arial"/>
                <w:color w:val="000000" w:themeColor="text1"/>
                <w:szCs w:val="18"/>
              </w:rPr>
            </w:pPr>
            <w:r w:rsidRPr="006365CA">
              <w:rPr>
                <w:rFonts w:cs="Arial"/>
                <w:color w:val="000000" w:themeColor="text1"/>
                <w:kern w:val="24"/>
                <w:szCs w:val="18"/>
              </w:rPr>
              <w:t>70</w:t>
            </w:r>
          </w:p>
        </w:tc>
        <w:tc>
          <w:tcPr>
            <w:tcW w:w="992" w:type="dxa"/>
            <w:shd w:val="clear" w:color="auto" w:fill="FFFFFF"/>
          </w:tcPr>
          <w:p w14:paraId="232D20E2" w14:textId="77777777" w:rsidR="00B7731C" w:rsidRPr="006365CA" w:rsidRDefault="00B7731C" w:rsidP="00841D17">
            <w:pPr>
              <w:pStyle w:val="CETBodytext"/>
              <w:ind w:right="-1"/>
              <w:rPr>
                <w:rFonts w:cs="Arial"/>
                <w:color w:val="000000" w:themeColor="text1"/>
                <w:kern w:val="24"/>
                <w:szCs w:val="18"/>
              </w:rPr>
            </w:pPr>
            <w:r w:rsidRPr="006365CA">
              <w:rPr>
                <w:rFonts w:cs="Arial"/>
                <w:color w:val="000000" w:themeColor="text1"/>
                <w:kern w:val="24"/>
                <w:szCs w:val="18"/>
              </w:rPr>
              <w:t>32.2</w:t>
            </w:r>
          </w:p>
        </w:tc>
      </w:tr>
      <w:tr w:rsidR="006365CA" w:rsidRPr="006365CA" w14:paraId="26CEFEBA" w14:textId="77777777" w:rsidTr="00620B55">
        <w:trPr>
          <w:trHeight w:val="72"/>
        </w:trPr>
        <w:tc>
          <w:tcPr>
            <w:tcW w:w="567" w:type="dxa"/>
            <w:shd w:val="clear" w:color="auto" w:fill="FFFFFF"/>
          </w:tcPr>
          <w:p w14:paraId="3451248D" w14:textId="77777777" w:rsidR="00B7731C" w:rsidRPr="006365CA" w:rsidRDefault="00B7731C" w:rsidP="00841D17">
            <w:pPr>
              <w:pStyle w:val="CETBodytext"/>
              <w:ind w:right="-1"/>
              <w:rPr>
                <w:rFonts w:cs="Arial"/>
                <w:color w:val="000000" w:themeColor="text1"/>
                <w:szCs w:val="18"/>
              </w:rPr>
            </w:pPr>
            <w:r w:rsidRPr="006365CA">
              <w:rPr>
                <w:rFonts w:cs="Arial"/>
                <w:color w:val="000000" w:themeColor="text1"/>
                <w:szCs w:val="18"/>
              </w:rPr>
              <w:t>2</w:t>
            </w:r>
          </w:p>
        </w:tc>
        <w:tc>
          <w:tcPr>
            <w:tcW w:w="567" w:type="dxa"/>
            <w:shd w:val="clear" w:color="auto" w:fill="FFFFFF"/>
          </w:tcPr>
          <w:p w14:paraId="27F3F969" w14:textId="77777777" w:rsidR="00B7731C" w:rsidRPr="006365CA" w:rsidRDefault="00B7731C" w:rsidP="00841D17">
            <w:pPr>
              <w:pStyle w:val="CETBodytext"/>
              <w:ind w:right="-1"/>
              <w:rPr>
                <w:rFonts w:cs="Arial"/>
                <w:color w:val="000000" w:themeColor="text1"/>
                <w:szCs w:val="18"/>
              </w:rPr>
            </w:pPr>
            <w:r w:rsidRPr="006365CA">
              <w:rPr>
                <w:rFonts w:cs="Arial"/>
                <w:color w:val="000000" w:themeColor="text1"/>
                <w:kern w:val="24"/>
                <w:szCs w:val="18"/>
              </w:rPr>
              <w:t>0.7</w:t>
            </w:r>
          </w:p>
        </w:tc>
        <w:tc>
          <w:tcPr>
            <w:tcW w:w="3261" w:type="dxa"/>
            <w:shd w:val="clear" w:color="auto" w:fill="FFFFFF"/>
          </w:tcPr>
          <w:p w14:paraId="55B3EFDC" w14:textId="77777777" w:rsidR="00B7731C" w:rsidRPr="006365CA" w:rsidRDefault="00B7731C" w:rsidP="00841D17">
            <w:pPr>
              <w:pStyle w:val="CETBodytext"/>
              <w:ind w:right="-1"/>
              <w:rPr>
                <w:rFonts w:cs="Arial"/>
                <w:color w:val="000000" w:themeColor="text1"/>
                <w:szCs w:val="18"/>
              </w:rPr>
            </w:pPr>
            <w:r w:rsidRPr="006365CA">
              <w:rPr>
                <w:rFonts w:cs="Arial"/>
                <w:color w:val="000000" w:themeColor="text1"/>
                <w:kern w:val="24"/>
                <w:szCs w:val="18"/>
              </w:rPr>
              <w:t>MeOH:EtOH:H</w:t>
            </w:r>
            <w:r w:rsidRPr="006365CA">
              <w:rPr>
                <w:rFonts w:cs="Arial"/>
                <w:color w:val="000000" w:themeColor="text1"/>
                <w:kern w:val="24"/>
                <w:position w:val="-7"/>
                <w:szCs w:val="18"/>
                <w:vertAlign w:val="subscript"/>
              </w:rPr>
              <w:t>2</w:t>
            </w:r>
            <w:r w:rsidRPr="006365CA">
              <w:rPr>
                <w:rFonts w:cs="Arial"/>
                <w:color w:val="000000" w:themeColor="text1"/>
                <w:kern w:val="24"/>
                <w:szCs w:val="18"/>
              </w:rPr>
              <w:t>O (16.67:16.67:66.67)</w:t>
            </w:r>
          </w:p>
        </w:tc>
        <w:tc>
          <w:tcPr>
            <w:tcW w:w="1134" w:type="dxa"/>
            <w:shd w:val="clear" w:color="auto" w:fill="FFFFFF"/>
          </w:tcPr>
          <w:p w14:paraId="7305A608" w14:textId="77777777" w:rsidR="00B7731C" w:rsidRPr="006365CA" w:rsidRDefault="00B7731C" w:rsidP="00841D17">
            <w:pPr>
              <w:pStyle w:val="CETBodytext"/>
              <w:ind w:right="-1"/>
              <w:rPr>
                <w:rFonts w:cs="Arial"/>
                <w:color w:val="000000" w:themeColor="text1"/>
                <w:szCs w:val="18"/>
              </w:rPr>
            </w:pPr>
            <w:r w:rsidRPr="006365CA">
              <w:rPr>
                <w:rFonts w:cs="Arial"/>
                <w:color w:val="000000" w:themeColor="text1"/>
                <w:kern w:val="24"/>
                <w:szCs w:val="18"/>
              </w:rPr>
              <w:t>1.5</w:t>
            </w:r>
          </w:p>
        </w:tc>
        <w:tc>
          <w:tcPr>
            <w:tcW w:w="1134" w:type="dxa"/>
            <w:shd w:val="clear" w:color="auto" w:fill="FFFFFF"/>
          </w:tcPr>
          <w:p w14:paraId="3ABF7C50" w14:textId="77777777" w:rsidR="00B7731C" w:rsidRPr="006365CA" w:rsidRDefault="00B7731C" w:rsidP="00841D17">
            <w:pPr>
              <w:pStyle w:val="CETBodytext"/>
              <w:ind w:right="-1"/>
              <w:rPr>
                <w:rFonts w:cs="Arial"/>
                <w:color w:val="000000" w:themeColor="text1"/>
                <w:szCs w:val="18"/>
              </w:rPr>
            </w:pPr>
            <w:r w:rsidRPr="006365CA">
              <w:rPr>
                <w:rFonts w:cs="Arial"/>
                <w:color w:val="000000" w:themeColor="text1"/>
                <w:kern w:val="24"/>
                <w:szCs w:val="18"/>
              </w:rPr>
              <w:t>70</w:t>
            </w:r>
          </w:p>
        </w:tc>
        <w:tc>
          <w:tcPr>
            <w:tcW w:w="992" w:type="dxa"/>
            <w:shd w:val="clear" w:color="auto" w:fill="FFFFFF"/>
          </w:tcPr>
          <w:p w14:paraId="5F10E932" w14:textId="77777777" w:rsidR="00B7731C" w:rsidRPr="006365CA" w:rsidRDefault="00B7731C" w:rsidP="00841D17">
            <w:pPr>
              <w:pStyle w:val="CETBodytext"/>
              <w:ind w:right="-1"/>
              <w:rPr>
                <w:rFonts w:cs="Arial"/>
                <w:color w:val="000000" w:themeColor="text1"/>
                <w:kern w:val="24"/>
                <w:szCs w:val="18"/>
              </w:rPr>
            </w:pPr>
            <w:r w:rsidRPr="006365CA">
              <w:rPr>
                <w:rFonts w:cs="Arial"/>
                <w:color w:val="000000" w:themeColor="text1"/>
                <w:kern w:val="24"/>
                <w:szCs w:val="18"/>
              </w:rPr>
              <w:t>45</w:t>
            </w:r>
          </w:p>
        </w:tc>
      </w:tr>
      <w:tr w:rsidR="006365CA" w:rsidRPr="006365CA" w14:paraId="50E6C6B8" w14:textId="77777777" w:rsidTr="00620B55">
        <w:trPr>
          <w:trHeight w:val="72"/>
        </w:trPr>
        <w:tc>
          <w:tcPr>
            <w:tcW w:w="567" w:type="dxa"/>
            <w:shd w:val="clear" w:color="auto" w:fill="FFFFFF"/>
          </w:tcPr>
          <w:p w14:paraId="6E0EFE0F" w14:textId="77777777" w:rsidR="00B7731C" w:rsidRPr="006365CA" w:rsidRDefault="00B7731C" w:rsidP="00841D17">
            <w:pPr>
              <w:pStyle w:val="CETBodytext"/>
              <w:ind w:right="-1"/>
              <w:rPr>
                <w:rFonts w:cs="Arial"/>
                <w:color w:val="000000" w:themeColor="text1"/>
                <w:szCs w:val="18"/>
              </w:rPr>
            </w:pPr>
            <w:r w:rsidRPr="006365CA">
              <w:rPr>
                <w:rFonts w:cs="Arial"/>
                <w:color w:val="000000" w:themeColor="text1"/>
                <w:szCs w:val="18"/>
              </w:rPr>
              <w:t>3</w:t>
            </w:r>
          </w:p>
        </w:tc>
        <w:tc>
          <w:tcPr>
            <w:tcW w:w="567" w:type="dxa"/>
            <w:shd w:val="clear" w:color="auto" w:fill="FFFFFF"/>
          </w:tcPr>
          <w:p w14:paraId="50357325" w14:textId="77777777" w:rsidR="00B7731C" w:rsidRPr="006365CA" w:rsidRDefault="00B7731C" w:rsidP="00841D17">
            <w:pPr>
              <w:pStyle w:val="CETBodytext"/>
              <w:ind w:right="-1"/>
              <w:rPr>
                <w:rFonts w:cs="Arial"/>
                <w:color w:val="000000" w:themeColor="text1"/>
                <w:szCs w:val="18"/>
              </w:rPr>
            </w:pPr>
            <w:r w:rsidRPr="006365CA">
              <w:rPr>
                <w:rFonts w:cs="Arial"/>
                <w:color w:val="000000" w:themeColor="text1"/>
                <w:kern w:val="24"/>
                <w:szCs w:val="18"/>
              </w:rPr>
              <w:t>0.7</w:t>
            </w:r>
          </w:p>
        </w:tc>
        <w:tc>
          <w:tcPr>
            <w:tcW w:w="3261" w:type="dxa"/>
            <w:shd w:val="clear" w:color="auto" w:fill="FFFFFF"/>
          </w:tcPr>
          <w:p w14:paraId="2D8F2949" w14:textId="77777777" w:rsidR="00B7731C" w:rsidRPr="006365CA" w:rsidRDefault="00B7731C" w:rsidP="00841D17">
            <w:pPr>
              <w:pStyle w:val="CETBodytext"/>
              <w:ind w:right="-1"/>
              <w:rPr>
                <w:rFonts w:cs="Arial"/>
                <w:color w:val="000000" w:themeColor="text1"/>
                <w:szCs w:val="18"/>
              </w:rPr>
            </w:pPr>
            <w:r w:rsidRPr="006365CA">
              <w:rPr>
                <w:rFonts w:cs="Arial"/>
                <w:color w:val="000000" w:themeColor="text1"/>
                <w:kern w:val="24"/>
                <w:szCs w:val="18"/>
              </w:rPr>
              <w:t>EtOH:H</w:t>
            </w:r>
            <w:r w:rsidRPr="006365CA">
              <w:rPr>
                <w:rFonts w:cs="Arial"/>
                <w:color w:val="000000" w:themeColor="text1"/>
                <w:kern w:val="24"/>
                <w:position w:val="-7"/>
                <w:szCs w:val="18"/>
                <w:vertAlign w:val="subscript"/>
              </w:rPr>
              <w:t>2</w:t>
            </w:r>
            <w:r w:rsidRPr="006365CA">
              <w:rPr>
                <w:rFonts w:cs="Arial"/>
                <w:color w:val="000000" w:themeColor="text1"/>
                <w:kern w:val="24"/>
                <w:szCs w:val="18"/>
              </w:rPr>
              <w:t>O (66.67:33.33)</w:t>
            </w:r>
          </w:p>
        </w:tc>
        <w:tc>
          <w:tcPr>
            <w:tcW w:w="1134" w:type="dxa"/>
            <w:shd w:val="clear" w:color="auto" w:fill="FFFFFF"/>
          </w:tcPr>
          <w:p w14:paraId="682F9D00" w14:textId="77777777" w:rsidR="00B7731C" w:rsidRPr="006365CA" w:rsidRDefault="00B7731C" w:rsidP="00841D17">
            <w:pPr>
              <w:pStyle w:val="CETBodytext"/>
              <w:ind w:right="-1"/>
              <w:rPr>
                <w:rFonts w:cs="Arial"/>
                <w:color w:val="000000" w:themeColor="text1"/>
                <w:szCs w:val="18"/>
              </w:rPr>
            </w:pPr>
            <w:r w:rsidRPr="006365CA">
              <w:rPr>
                <w:rFonts w:cs="Arial"/>
                <w:color w:val="000000" w:themeColor="text1"/>
                <w:kern w:val="24"/>
                <w:szCs w:val="18"/>
              </w:rPr>
              <w:t>1.7</w:t>
            </w:r>
          </w:p>
        </w:tc>
        <w:tc>
          <w:tcPr>
            <w:tcW w:w="1134" w:type="dxa"/>
            <w:shd w:val="clear" w:color="auto" w:fill="FFFFFF"/>
          </w:tcPr>
          <w:p w14:paraId="05A6EDC8" w14:textId="77777777" w:rsidR="00B7731C" w:rsidRPr="006365CA" w:rsidRDefault="00B7731C" w:rsidP="00841D17">
            <w:pPr>
              <w:pStyle w:val="CETBodytext"/>
              <w:ind w:right="-1"/>
              <w:rPr>
                <w:rFonts w:cs="Arial"/>
                <w:color w:val="000000" w:themeColor="text1"/>
                <w:szCs w:val="18"/>
              </w:rPr>
            </w:pPr>
            <w:r w:rsidRPr="006365CA">
              <w:rPr>
                <w:rFonts w:cs="Arial"/>
                <w:color w:val="000000" w:themeColor="text1"/>
                <w:kern w:val="24"/>
                <w:szCs w:val="18"/>
              </w:rPr>
              <w:t>70</w:t>
            </w:r>
          </w:p>
        </w:tc>
        <w:tc>
          <w:tcPr>
            <w:tcW w:w="992" w:type="dxa"/>
            <w:shd w:val="clear" w:color="auto" w:fill="FFFFFF"/>
          </w:tcPr>
          <w:p w14:paraId="6FFCD0E5" w14:textId="77777777" w:rsidR="00B7731C" w:rsidRPr="006365CA" w:rsidRDefault="00B7731C" w:rsidP="00841D17">
            <w:pPr>
              <w:pStyle w:val="CETBodytext"/>
              <w:ind w:right="-1"/>
              <w:rPr>
                <w:rFonts w:cs="Arial"/>
                <w:color w:val="000000" w:themeColor="text1"/>
                <w:kern w:val="24"/>
                <w:szCs w:val="18"/>
              </w:rPr>
            </w:pPr>
            <w:r w:rsidRPr="006365CA">
              <w:rPr>
                <w:rFonts w:cs="Arial"/>
                <w:color w:val="000000" w:themeColor="text1"/>
                <w:kern w:val="24"/>
                <w:szCs w:val="18"/>
              </w:rPr>
              <w:t>10.4</w:t>
            </w:r>
          </w:p>
        </w:tc>
      </w:tr>
    </w:tbl>
    <w:p w14:paraId="5E1505CE" w14:textId="77777777" w:rsidR="002436A3" w:rsidRPr="006365CA" w:rsidRDefault="002436A3" w:rsidP="00B7731C">
      <w:pPr>
        <w:pStyle w:val="CETListbullets"/>
        <w:ind w:left="0" w:firstLine="0"/>
        <w:rPr>
          <w:rFonts w:cs="Arial"/>
          <w:color w:val="000000" w:themeColor="text1"/>
          <w:szCs w:val="18"/>
          <w:lang w:val="en-US"/>
        </w:rPr>
      </w:pPr>
    </w:p>
    <w:p w14:paraId="7C5B37BB" w14:textId="77777777" w:rsidR="00AE709B" w:rsidRPr="006365CA" w:rsidRDefault="00AE709B" w:rsidP="00AE709B">
      <w:pPr>
        <w:pStyle w:val="CETListbullets"/>
        <w:ind w:left="113" w:firstLine="0"/>
        <w:rPr>
          <w:rFonts w:cs="Arial"/>
          <w:b/>
          <w:bCs/>
          <w:color w:val="000000" w:themeColor="text1"/>
          <w:szCs w:val="18"/>
          <w:lang w:val="en-US"/>
        </w:rPr>
      </w:pPr>
      <w:r w:rsidRPr="006365CA">
        <w:rPr>
          <w:rFonts w:cs="Arial"/>
          <w:noProof/>
          <w:color w:val="000000" w:themeColor="text1"/>
          <w:szCs w:val="18"/>
        </w:rPr>
        <w:drawing>
          <wp:inline distT="0" distB="0" distL="0" distR="0" wp14:anchorId="33D92F27" wp14:editId="57FEEA15">
            <wp:extent cx="3293672" cy="1861457"/>
            <wp:effectExtent l="0" t="0" r="0" b="0"/>
            <wp:docPr id="1378196195" name="Picture 4" descr="A graph of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196195" name="Picture 4" descr="A graph of different colored bars&#10;&#10;Description automatically generated"/>
                    <pic:cNvPicPr/>
                  </pic:nvPicPr>
                  <pic:blipFill rotWithShape="1">
                    <a:blip r:embed="rId14" cstate="print">
                      <a:extLst>
                        <a:ext uri="{28A0092B-C50C-407E-A947-70E740481C1C}">
                          <a14:useLocalDpi xmlns:a14="http://schemas.microsoft.com/office/drawing/2010/main" val="0"/>
                        </a:ext>
                      </a:extLst>
                    </a:blip>
                    <a:srcRect b="3106"/>
                    <a:stretch/>
                  </pic:blipFill>
                  <pic:spPr bwMode="auto">
                    <a:xfrm>
                      <a:off x="0" y="0"/>
                      <a:ext cx="3711872" cy="2097808"/>
                    </a:xfrm>
                    <a:prstGeom prst="rect">
                      <a:avLst/>
                    </a:prstGeom>
                    <a:ln>
                      <a:noFill/>
                    </a:ln>
                    <a:extLst>
                      <a:ext uri="{53640926-AAD7-44D8-BBD7-CCE9431645EC}">
                        <a14:shadowObscured xmlns:a14="http://schemas.microsoft.com/office/drawing/2010/main"/>
                      </a:ext>
                    </a:extLst>
                  </pic:spPr>
                </pic:pic>
              </a:graphicData>
            </a:graphic>
          </wp:inline>
        </w:drawing>
      </w:r>
    </w:p>
    <w:p w14:paraId="467C0BA8" w14:textId="77777777" w:rsidR="00AE709B" w:rsidRPr="006365CA" w:rsidRDefault="00AE709B" w:rsidP="00AE709B">
      <w:pPr>
        <w:pStyle w:val="CETListbullets"/>
        <w:ind w:left="113" w:firstLine="0"/>
        <w:rPr>
          <w:rFonts w:cs="Arial"/>
          <w:i/>
          <w:iCs/>
          <w:color w:val="000000" w:themeColor="text1"/>
          <w:szCs w:val="18"/>
          <w:lang w:val="en-US"/>
        </w:rPr>
      </w:pPr>
      <w:r w:rsidRPr="006365CA">
        <w:rPr>
          <w:rFonts w:cs="Arial"/>
          <w:i/>
          <w:iCs/>
          <w:color w:val="000000" w:themeColor="text1"/>
          <w:szCs w:val="18"/>
          <w:lang w:val="en-US"/>
        </w:rPr>
        <w:t>Figure 4: Product distribution of electrolysis of mixture of lauric and palmitic acid (1:1) using different solvent environments</w:t>
      </w:r>
    </w:p>
    <w:p w14:paraId="1587CCA4" w14:textId="77777777" w:rsidR="00B7731C" w:rsidRPr="006365CA" w:rsidRDefault="00B7731C" w:rsidP="00A8371C">
      <w:pPr>
        <w:pStyle w:val="Bibliography"/>
        <w:spacing w:line="240" w:lineRule="auto"/>
        <w:ind w:left="0" w:firstLine="0"/>
        <w:rPr>
          <w:rFonts w:cs="Arial"/>
          <w:i/>
          <w:iCs/>
          <w:color w:val="000000" w:themeColor="text1"/>
          <w:szCs w:val="18"/>
          <w:lang w:val="en-US"/>
        </w:rPr>
      </w:pPr>
    </w:p>
    <w:p w14:paraId="67EF73ED" w14:textId="3217927C" w:rsidR="002436A3" w:rsidRPr="006365CA" w:rsidRDefault="002436A3" w:rsidP="00A8371C">
      <w:pPr>
        <w:pStyle w:val="Bibliography"/>
        <w:spacing w:line="240" w:lineRule="auto"/>
        <w:ind w:left="0" w:firstLine="0"/>
        <w:rPr>
          <w:rFonts w:cs="Arial"/>
          <w:b/>
          <w:bCs/>
          <w:color w:val="000000" w:themeColor="text1"/>
          <w:szCs w:val="18"/>
          <w:lang w:val="en-US"/>
        </w:rPr>
      </w:pPr>
      <w:r w:rsidRPr="006365CA">
        <w:rPr>
          <w:rFonts w:cs="Arial"/>
          <w:i/>
          <w:iCs/>
          <w:color w:val="000000" w:themeColor="text1"/>
          <w:szCs w:val="18"/>
          <w:lang w:val="en-US"/>
        </w:rPr>
        <w:t>Table 5:</w:t>
      </w:r>
      <w:r w:rsidRPr="006365CA">
        <w:rPr>
          <w:rFonts w:cs="Arial"/>
          <w:b/>
          <w:bCs/>
          <w:color w:val="000000" w:themeColor="text1"/>
          <w:szCs w:val="18"/>
          <w:lang w:val="en-US"/>
        </w:rPr>
        <w:t xml:space="preserve"> </w:t>
      </w:r>
      <w:r w:rsidRPr="006365CA">
        <w:rPr>
          <w:rFonts w:cs="Arial"/>
          <w:i/>
          <w:iCs/>
          <w:color w:val="000000" w:themeColor="text1"/>
          <w:szCs w:val="18"/>
          <w:lang w:val="en-US"/>
        </w:rPr>
        <w:t>Summ</w:t>
      </w:r>
      <w:r w:rsidR="00DC3F94">
        <w:rPr>
          <w:rFonts w:cs="Arial"/>
          <w:i/>
          <w:iCs/>
          <w:color w:val="000000" w:themeColor="text1"/>
          <w:szCs w:val="18"/>
          <w:lang w:val="en-US"/>
        </w:rPr>
        <w:t>a</w:t>
      </w:r>
      <w:r w:rsidRPr="006365CA">
        <w:rPr>
          <w:rFonts w:cs="Arial"/>
          <w:i/>
          <w:iCs/>
          <w:color w:val="000000" w:themeColor="text1"/>
          <w:szCs w:val="18"/>
          <w:lang w:val="en-US"/>
        </w:rPr>
        <w:t>ry of product observed from the electrolysis of mixture of lauric and palmitic acid</w:t>
      </w:r>
      <w:r w:rsidR="002C5D8D" w:rsidRPr="006365CA">
        <w:rPr>
          <w:rFonts w:cs="Arial"/>
          <w:i/>
          <w:iCs/>
          <w:color w:val="000000" w:themeColor="text1"/>
          <w:szCs w:val="18"/>
          <w:lang w:val="en-US"/>
        </w:rPr>
        <w:t>s</w:t>
      </w:r>
      <w:r w:rsidRPr="006365CA">
        <w:rPr>
          <w:rFonts w:cs="Arial"/>
          <w:i/>
          <w:iCs/>
          <w:color w:val="000000" w:themeColor="text1"/>
          <w:szCs w:val="18"/>
          <w:lang w:val="en-US"/>
        </w:rPr>
        <w:t xml:space="preserve"> (1:1).</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701"/>
        <w:gridCol w:w="6521"/>
      </w:tblGrid>
      <w:tr w:rsidR="006365CA" w:rsidRPr="006365CA" w14:paraId="7F2BAF23" w14:textId="77777777" w:rsidTr="00841D17">
        <w:trPr>
          <w:trHeight w:val="296"/>
        </w:trPr>
        <w:tc>
          <w:tcPr>
            <w:tcW w:w="1701" w:type="dxa"/>
            <w:tcBorders>
              <w:top w:val="single" w:sz="12" w:space="0" w:color="008000"/>
              <w:bottom w:val="single" w:sz="6" w:space="0" w:color="008000"/>
            </w:tcBorders>
            <w:shd w:val="clear" w:color="auto" w:fill="FFFFFF"/>
          </w:tcPr>
          <w:p w14:paraId="2E4A700D" w14:textId="77777777" w:rsidR="002436A3" w:rsidRPr="00F11AD2" w:rsidRDefault="002436A3" w:rsidP="00841D17">
            <w:pPr>
              <w:pStyle w:val="CETBodytext"/>
              <w:rPr>
                <w:color w:val="000000" w:themeColor="text1"/>
                <w:lang w:val="en-GB"/>
              </w:rPr>
            </w:pPr>
            <w:r w:rsidRPr="00F11AD2">
              <w:rPr>
                <w:rFonts w:cs="Arial"/>
                <w:color w:val="000000" w:themeColor="text1"/>
                <w:szCs w:val="18"/>
              </w:rPr>
              <w:t>Product</w:t>
            </w:r>
          </w:p>
        </w:tc>
        <w:tc>
          <w:tcPr>
            <w:tcW w:w="6521" w:type="dxa"/>
            <w:tcBorders>
              <w:top w:val="single" w:sz="12" w:space="0" w:color="008000"/>
              <w:bottom w:val="single" w:sz="6" w:space="0" w:color="008000"/>
            </w:tcBorders>
            <w:shd w:val="clear" w:color="auto" w:fill="FFFFFF"/>
          </w:tcPr>
          <w:p w14:paraId="78B97E35" w14:textId="77777777" w:rsidR="002436A3" w:rsidRPr="00F11AD2" w:rsidRDefault="002436A3" w:rsidP="00841D17">
            <w:pPr>
              <w:pStyle w:val="CETBodytext"/>
              <w:rPr>
                <w:color w:val="000000" w:themeColor="text1"/>
                <w:lang w:val="en-GB"/>
              </w:rPr>
            </w:pPr>
            <w:r w:rsidRPr="00F11AD2">
              <w:rPr>
                <w:rFonts w:cs="Arial"/>
                <w:color w:val="000000" w:themeColor="text1"/>
                <w:szCs w:val="18"/>
              </w:rPr>
              <w:t>Example</w:t>
            </w:r>
          </w:p>
        </w:tc>
      </w:tr>
      <w:tr w:rsidR="006365CA" w:rsidRPr="006365CA" w14:paraId="3CB65240" w14:textId="77777777" w:rsidTr="00841D17">
        <w:trPr>
          <w:trHeight w:val="87"/>
        </w:trPr>
        <w:tc>
          <w:tcPr>
            <w:tcW w:w="1701" w:type="dxa"/>
            <w:shd w:val="clear" w:color="auto" w:fill="FFFFFF"/>
          </w:tcPr>
          <w:p w14:paraId="49EAC388" w14:textId="77777777" w:rsidR="002436A3" w:rsidRPr="006365CA" w:rsidRDefault="002436A3" w:rsidP="00841D17">
            <w:pPr>
              <w:pStyle w:val="CETBodytext"/>
              <w:ind w:right="-1"/>
              <w:rPr>
                <w:rFonts w:cs="Arial"/>
                <w:color w:val="000000" w:themeColor="text1"/>
                <w:szCs w:val="18"/>
                <w:lang w:val="en-GB"/>
              </w:rPr>
            </w:pPr>
            <w:r w:rsidRPr="006365CA">
              <w:rPr>
                <w:rFonts w:cs="Arial"/>
                <w:color w:val="000000" w:themeColor="text1"/>
                <w:szCs w:val="18"/>
              </w:rPr>
              <w:t>Dimers</w:t>
            </w:r>
          </w:p>
        </w:tc>
        <w:tc>
          <w:tcPr>
            <w:tcW w:w="6521" w:type="dxa"/>
            <w:shd w:val="clear" w:color="auto" w:fill="FFFFFF"/>
          </w:tcPr>
          <w:p w14:paraId="4E5C0EF3" w14:textId="77777777" w:rsidR="002436A3" w:rsidRPr="006365CA" w:rsidRDefault="002436A3" w:rsidP="00841D17">
            <w:pPr>
              <w:pStyle w:val="CETBodytext"/>
              <w:ind w:right="-1"/>
              <w:rPr>
                <w:rFonts w:cs="Arial"/>
                <w:color w:val="000000" w:themeColor="text1"/>
                <w:szCs w:val="18"/>
                <w:lang w:val="en-GB"/>
              </w:rPr>
            </w:pPr>
            <w:r w:rsidRPr="006365CA">
              <w:rPr>
                <w:rFonts w:cs="Arial"/>
                <w:color w:val="000000" w:themeColor="text1"/>
                <w:szCs w:val="18"/>
              </w:rPr>
              <w:t>Docosane, triacontane, hexacosane</w:t>
            </w:r>
          </w:p>
        </w:tc>
      </w:tr>
      <w:tr w:rsidR="006365CA" w:rsidRPr="006365CA" w14:paraId="509188E5" w14:textId="77777777" w:rsidTr="00841D17">
        <w:trPr>
          <w:trHeight w:val="87"/>
        </w:trPr>
        <w:tc>
          <w:tcPr>
            <w:tcW w:w="1701" w:type="dxa"/>
            <w:shd w:val="clear" w:color="auto" w:fill="FFFFFF"/>
          </w:tcPr>
          <w:p w14:paraId="397E3026" w14:textId="77777777" w:rsidR="002436A3" w:rsidRPr="006365CA" w:rsidRDefault="002436A3" w:rsidP="00841D17">
            <w:pPr>
              <w:pStyle w:val="CETBodytext"/>
              <w:ind w:right="-1"/>
              <w:rPr>
                <w:rFonts w:cs="Arial"/>
                <w:color w:val="000000" w:themeColor="text1"/>
                <w:szCs w:val="18"/>
              </w:rPr>
            </w:pPr>
            <w:r w:rsidRPr="006365CA">
              <w:rPr>
                <w:rFonts w:cs="Arial"/>
                <w:color w:val="000000" w:themeColor="text1"/>
                <w:szCs w:val="18"/>
              </w:rPr>
              <w:t>Other hydrocarbon</w:t>
            </w:r>
          </w:p>
        </w:tc>
        <w:tc>
          <w:tcPr>
            <w:tcW w:w="6521" w:type="dxa"/>
            <w:shd w:val="clear" w:color="auto" w:fill="FFFFFF"/>
          </w:tcPr>
          <w:p w14:paraId="390A05E9" w14:textId="77777777" w:rsidR="002436A3" w:rsidRPr="006365CA" w:rsidRDefault="002436A3" w:rsidP="00841D17">
            <w:pPr>
              <w:pStyle w:val="CETBodytext"/>
              <w:ind w:right="-1"/>
              <w:rPr>
                <w:rFonts w:cs="Arial"/>
                <w:color w:val="000000" w:themeColor="text1"/>
                <w:szCs w:val="18"/>
              </w:rPr>
            </w:pPr>
            <w:r w:rsidRPr="006365CA">
              <w:rPr>
                <w:rFonts w:cs="Arial"/>
                <w:color w:val="000000" w:themeColor="text1"/>
                <w:szCs w:val="18"/>
              </w:rPr>
              <w:t>Undecane, undecene, pentadecane, pentadecene, tetradecane, hexadecane</w:t>
            </w:r>
          </w:p>
        </w:tc>
      </w:tr>
      <w:tr w:rsidR="006365CA" w:rsidRPr="006365CA" w14:paraId="00ED6509" w14:textId="77777777" w:rsidTr="00841D17">
        <w:trPr>
          <w:trHeight w:val="87"/>
        </w:trPr>
        <w:tc>
          <w:tcPr>
            <w:tcW w:w="1701" w:type="dxa"/>
            <w:shd w:val="clear" w:color="auto" w:fill="FFFFFF"/>
          </w:tcPr>
          <w:p w14:paraId="7A3D9D71" w14:textId="77777777" w:rsidR="002436A3" w:rsidRPr="006365CA" w:rsidRDefault="002436A3" w:rsidP="00841D17">
            <w:pPr>
              <w:pStyle w:val="CETBodytext"/>
              <w:ind w:right="-1"/>
              <w:rPr>
                <w:rFonts w:cs="Arial"/>
                <w:color w:val="000000" w:themeColor="text1"/>
                <w:szCs w:val="18"/>
              </w:rPr>
            </w:pPr>
            <w:r w:rsidRPr="006365CA">
              <w:rPr>
                <w:rFonts w:cs="Arial"/>
                <w:color w:val="000000" w:themeColor="text1"/>
                <w:szCs w:val="18"/>
              </w:rPr>
              <w:t>Alcohols</w:t>
            </w:r>
          </w:p>
        </w:tc>
        <w:tc>
          <w:tcPr>
            <w:tcW w:w="6521" w:type="dxa"/>
            <w:shd w:val="clear" w:color="auto" w:fill="FFFFFF"/>
          </w:tcPr>
          <w:p w14:paraId="28CDF99B" w14:textId="77777777" w:rsidR="002436A3" w:rsidRPr="006365CA" w:rsidRDefault="002436A3" w:rsidP="00841D17">
            <w:pPr>
              <w:pStyle w:val="CETBodytext"/>
              <w:ind w:right="-1"/>
              <w:rPr>
                <w:rFonts w:cs="Arial"/>
                <w:color w:val="000000" w:themeColor="text1"/>
                <w:szCs w:val="18"/>
              </w:rPr>
            </w:pPr>
            <w:r w:rsidRPr="006365CA">
              <w:rPr>
                <w:rFonts w:cs="Arial"/>
                <w:color w:val="000000" w:themeColor="text1"/>
                <w:szCs w:val="18"/>
              </w:rPr>
              <w:t>Undecanol, pentadecanol, hexadecanol, tetradecanol</w:t>
            </w:r>
          </w:p>
        </w:tc>
      </w:tr>
      <w:tr w:rsidR="006365CA" w:rsidRPr="006365CA" w14:paraId="0A99A31D" w14:textId="77777777" w:rsidTr="00841D17">
        <w:trPr>
          <w:trHeight w:val="87"/>
        </w:trPr>
        <w:tc>
          <w:tcPr>
            <w:tcW w:w="1701" w:type="dxa"/>
            <w:shd w:val="clear" w:color="auto" w:fill="FFFFFF"/>
          </w:tcPr>
          <w:p w14:paraId="2E49C6D0" w14:textId="77777777" w:rsidR="002436A3" w:rsidRPr="006365CA" w:rsidRDefault="002436A3" w:rsidP="00841D17">
            <w:pPr>
              <w:pStyle w:val="CETBodytext"/>
              <w:ind w:right="-1"/>
              <w:rPr>
                <w:rFonts w:cs="Arial"/>
                <w:color w:val="000000" w:themeColor="text1"/>
                <w:szCs w:val="18"/>
              </w:rPr>
            </w:pPr>
            <w:r w:rsidRPr="006365CA">
              <w:rPr>
                <w:rFonts w:cs="Arial"/>
                <w:color w:val="000000" w:themeColor="text1"/>
                <w:szCs w:val="18"/>
              </w:rPr>
              <w:t>Aldehydes</w:t>
            </w:r>
          </w:p>
        </w:tc>
        <w:tc>
          <w:tcPr>
            <w:tcW w:w="6521" w:type="dxa"/>
            <w:shd w:val="clear" w:color="auto" w:fill="FFFFFF"/>
          </w:tcPr>
          <w:p w14:paraId="5F5CEA69" w14:textId="77777777" w:rsidR="002436A3" w:rsidRPr="006365CA" w:rsidRDefault="002436A3" w:rsidP="00841D17">
            <w:pPr>
              <w:pStyle w:val="CETBodytext"/>
              <w:ind w:right="-1"/>
              <w:rPr>
                <w:rFonts w:cs="Arial"/>
                <w:color w:val="000000" w:themeColor="text1"/>
                <w:kern w:val="24"/>
                <w:szCs w:val="18"/>
              </w:rPr>
            </w:pPr>
            <w:r w:rsidRPr="006365CA">
              <w:rPr>
                <w:rFonts w:cs="Arial"/>
                <w:color w:val="000000" w:themeColor="text1"/>
                <w:szCs w:val="18"/>
              </w:rPr>
              <w:t xml:space="preserve">Undecanal, pentadecanal, </w:t>
            </w:r>
          </w:p>
        </w:tc>
      </w:tr>
      <w:tr w:rsidR="006365CA" w:rsidRPr="006365CA" w14:paraId="7F85CE93" w14:textId="77777777" w:rsidTr="00841D17">
        <w:trPr>
          <w:trHeight w:val="87"/>
        </w:trPr>
        <w:tc>
          <w:tcPr>
            <w:tcW w:w="1701" w:type="dxa"/>
            <w:shd w:val="clear" w:color="auto" w:fill="FFFFFF"/>
          </w:tcPr>
          <w:p w14:paraId="43134D0D" w14:textId="77777777" w:rsidR="002436A3" w:rsidRPr="006365CA" w:rsidRDefault="002436A3" w:rsidP="00841D17">
            <w:pPr>
              <w:pStyle w:val="CETBodytext"/>
              <w:ind w:right="-1"/>
              <w:rPr>
                <w:rFonts w:cs="Arial"/>
                <w:color w:val="000000" w:themeColor="text1"/>
                <w:szCs w:val="18"/>
              </w:rPr>
            </w:pPr>
            <w:r w:rsidRPr="006365CA">
              <w:rPr>
                <w:rFonts w:cs="Arial"/>
                <w:color w:val="000000" w:themeColor="text1"/>
                <w:szCs w:val="18"/>
              </w:rPr>
              <w:t>Esters</w:t>
            </w:r>
          </w:p>
        </w:tc>
        <w:tc>
          <w:tcPr>
            <w:tcW w:w="6521" w:type="dxa"/>
            <w:shd w:val="clear" w:color="auto" w:fill="FFFFFF"/>
          </w:tcPr>
          <w:p w14:paraId="567FCA6E" w14:textId="77777777" w:rsidR="002436A3" w:rsidRPr="006365CA" w:rsidRDefault="002436A3" w:rsidP="00841D17">
            <w:pPr>
              <w:pStyle w:val="CETBodytext"/>
              <w:ind w:right="-1"/>
              <w:rPr>
                <w:rFonts w:cs="Arial"/>
                <w:color w:val="000000" w:themeColor="text1"/>
                <w:kern w:val="24"/>
                <w:szCs w:val="18"/>
              </w:rPr>
            </w:pPr>
            <w:r w:rsidRPr="006365CA">
              <w:rPr>
                <w:rFonts w:cs="Arial"/>
                <w:color w:val="000000" w:themeColor="text1"/>
                <w:szCs w:val="18"/>
              </w:rPr>
              <w:t>Pentadecanoic acid, methyl ester, undecanoic acid methyl ester</w:t>
            </w:r>
          </w:p>
        </w:tc>
      </w:tr>
      <w:tr w:rsidR="006365CA" w:rsidRPr="006365CA" w14:paraId="4FF8383F" w14:textId="77777777" w:rsidTr="00841D17">
        <w:trPr>
          <w:trHeight w:val="87"/>
        </w:trPr>
        <w:tc>
          <w:tcPr>
            <w:tcW w:w="1701" w:type="dxa"/>
            <w:shd w:val="clear" w:color="auto" w:fill="FFFFFF"/>
          </w:tcPr>
          <w:p w14:paraId="4B52DDD4" w14:textId="77777777" w:rsidR="002436A3" w:rsidRPr="006365CA" w:rsidRDefault="002436A3" w:rsidP="00841D17">
            <w:pPr>
              <w:pStyle w:val="CETBodytext"/>
              <w:ind w:right="-1"/>
              <w:rPr>
                <w:rFonts w:cs="Arial"/>
                <w:color w:val="000000" w:themeColor="text1"/>
                <w:szCs w:val="18"/>
              </w:rPr>
            </w:pPr>
            <w:r w:rsidRPr="006365CA">
              <w:rPr>
                <w:rFonts w:cs="Arial"/>
                <w:color w:val="000000" w:themeColor="text1"/>
                <w:szCs w:val="18"/>
              </w:rPr>
              <w:t>Acid (n-1)</w:t>
            </w:r>
          </w:p>
        </w:tc>
        <w:tc>
          <w:tcPr>
            <w:tcW w:w="6521" w:type="dxa"/>
            <w:shd w:val="clear" w:color="auto" w:fill="FFFFFF"/>
          </w:tcPr>
          <w:p w14:paraId="4514F498" w14:textId="77777777" w:rsidR="002436A3" w:rsidRPr="006365CA" w:rsidRDefault="002436A3" w:rsidP="00841D17">
            <w:pPr>
              <w:pStyle w:val="CETBodytext"/>
              <w:ind w:right="-1"/>
              <w:rPr>
                <w:rFonts w:cs="Arial"/>
                <w:color w:val="000000" w:themeColor="text1"/>
                <w:kern w:val="24"/>
                <w:szCs w:val="18"/>
              </w:rPr>
            </w:pPr>
            <w:r w:rsidRPr="006365CA">
              <w:rPr>
                <w:rFonts w:cs="Arial"/>
                <w:color w:val="000000" w:themeColor="text1"/>
                <w:szCs w:val="18"/>
              </w:rPr>
              <w:t>Pentadecanoic acid, undecanoic acid</w:t>
            </w:r>
          </w:p>
        </w:tc>
      </w:tr>
    </w:tbl>
    <w:p w14:paraId="556DC914" w14:textId="77777777" w:rsidR="008E26DE" w:rsidRDefault="008E26DE" w:rsidP="00A8371C">
      <w:pPr>
        <w:pStyle w:val="Bibliography"/>
        <w:spacing w:line="240" w:lineRule="auto"/>
        <w:ind w:left="0" w:firstLine="0"/>
        <w:rPr>
          <w:rFonts w:cs="Arial"/>
          <w:b/>
          <w:bCs/>
          <w:color w:val="000000" w:themeColor="text1"/>
          <w:sz w:val="20"/>
          <w:lang w:val="en-US"/>
        </w:rPr>
      </w:pPr>
    </w:p>
    <w:p w14:paraId="13A35681" w14:textId="1FC7F77A" w:rsidR="00AD66D3" w:rsidRPr="008E084A" w:rsidRDefault="008D3285" w:rsidP="00A8371C">
      <w:pPr>
        <w:pStyle w:val="Bibliography"/>
        <w:spacing w:line="240" w:lineRule="auto"/>
        <w:ind w:left="0" w:firstLine="0"/>
        <w:rPr>
          <w:rFonts w:cs="Arial"/>
          <w:b/>
          <w:bCs/>
          <w:color w:val="000000" w:themeColor="text1"/>
          <w:sz w:val="20"/>
          <w:lang w:val="en-US"/>
        </w:rPr>
      </w:pPr>
      <w:r w:rsidRPr="008E084A">
        <w:rPr>
          <w:rFonts w:cs="Arial"/>
          <w:b/>
          <w:bCs/>
          <w:color w:val="000000" w:themeColor="text1"/>
          <w:sz w:val="20"/>
          <w:lang w:val="en-US"/>
        </w:rPr>
        <w:lastRenderedPageBreak/>
        <w:t xml:space="preserve">5. </w:t>
      </w:r>
      <w:r w:rsidR="00074C19" w:rsidRPr="008E084A">
        <w:rPr>
          <w:rFonts w:cs="Arial"/>
          <w:b/>
          <w:bCs/>
          <w:color w:val="000000" w:themeColor="text1"/>
          <w:sz w:val="20"/>
          <w:lang w:val="en-US"/>
        </w:rPr>
        <w:t>Conclusion</w:t>
      </w:r>
    </w:p>
    <w:p w14:paraId="0F4BB1FF" w14:textId="79A520D0" w:rsidR="002C5D8D" w:rsidRPr="006365CA" w:rsidRDefault="002C5D8D" w:rsidP="002C5D8D">
      <w:pPr>
        <w:pStyle w:val="Bibliography"/>
        <w:spacing w:line="240" w:lineRule="auto"/>
        <w:ind w:left="0" w:firstLine="0"/>
        <w:rPr>
          <w:rFonts w:cs="Arial"/>
          <w:color w:val="000000" w:themeColor="text1"/>
          <w:szCs w:val="18"/>
          <w:lang w:val="en-US"/>
        </w:rPr>
      </w:pPr>
      <w:r w:rsidRPr="006365CA">
        <w:rPr>
          <w:rFonts w:cs="Arial"/>
          <w:color w:val="000000" w:themeColor="text1"/>
          <w:szCs w:val="18"/>
          <w:lang w:val="en-US"/>
        </w:rPr>
        <w:t xml:space="preserve">The study shows a safe and green electrochemical approach </w:t>
      </w:r>
      <w:proofErr w:type="gramStart"/>
      <w:r w:rsidRPr="006365CA">
        <w:rPr>
          <w:rFonts w:cs="Arial"/>
          <w:color w:val="000000" w:themeColor="text1"/>
          <w:szCs w:val="18"/>
          <w:lang w:val="en-US"/>
        </w:rPr>
        <w:t>for the production of</w:t>
      </w:r>
      <w:proofErr w:type="gramEnd"/>
      <w:r w:rsidRPr="006365CA">
        <w:rPr>
          <w:rFonts w:cs="Arial"/>
          <w:color w:val="000000" w:themeColor="text1"/>
          <w:szCs w:val="18"/>
          <w:lang w:val="en-US"/>
        </w:rPr>
        <w:t xml:space="preserve"> useful chemical products. The biobased fatty acids lauric acid and palmitic acid are converted into chemical products by electrochemical technique. The electrolysis of single lauric acid, palmitic acid, and </w:t>
      </w:r>
      <w:r w:rsidR="006226DE">
        <w:rPr>
          <w:rFonts w:cs="Arial"/>
          <w:color w:val="000000" w:themeColor="text1"/>
          <w:szCs w:val="18"/>
          <w:lang w:val="en-US"/>
        </w:rPr>
        <w:t xml:space="preserve">a </w:t>
      </w:r>
      <w:r w:rsidRPr="006365CA">
        <w:rPr>
          <w:rFonts w:cs="Arial"/>
          <w:color w:val="000000" w:themeColor="text1"/>
          <w:szCs w:val="18"/>
          <w:lang w:val="en-US"/>
        </w:rPr>
        <w:t xml:space="preserve">mixture of both acids through Kolbe electrolysis gives 65%, 23% and 45% of dimers respectively. Using non-commercial platinum electrodes, the Kolbe electrolysis in </w:t>
      </w:r>
      <w:r w:rsidRPr="006365CA">
        <w:rPr>
          <w:rFonts w:cs="Arial"/>
          <w:color w:val="000000" w:themeColor="text1"/>
          <w:kern w:val="24"/>
          <w:szCs w:val="18"/>
        </w:rPr>
        <w:t>MeOH:EtOH:H</w:t>
      </w:r>
      <w:r w:rsidRPr="006365CA">
        <w:rPr>
          <w:rFonts w:cs="Arial"/>
          <w:color w:val="000000" w:themeColor="text1"/>
          <w:kern w:val="24"/>
          <w:position w:val="-7"/>
          <w:szCs w:val="18"/>
          <w:vertAlign w:val="subscript"/>
        </w:rPr>
        <w:t>2</w:t>
      </w:r>
      <w:r w:rsidRPr="006365CA">
        <w:rPr>
          <w:rFonts w:cs="Arial"/>
          <w:color w:val="000000" w:themeColor="text1"/>
          <w:kern w:val="24"/>
          <w:szCs w:val="18"/>
        </w:rPr>
        <w:t xml:space="preserve">O (16.67:16.67:66.67) </w:t>
      </w:r>
      <w:r w:rsidRPr="006365CA">
        <w:rPr>
          <w:rFonts w:cs="Arial"/>
          <w:color w:val="000000" w:themeColor="text1"/>
          <w:szCs w:val="18"/>
          <w:lang w:val="en-US"/>
        </w:rPr>
        <w:t xml:space="preserve">solvent system shows nearly </w:t>
      </w:r>
      <w:r w:rsidR="00123DAA">
        <w:rPr>
          <w:rFonts w:cs="Arial"/>
          <w:color w:val="000000" w:themeColor="text1"/>
          <w:szCs w:val="18"/>
          <w:lang w:val="en-US"/>
        </w:rPr>
        <w:t>full</w:t>
      </w:r>
      <w:r w:rsidRPr="006365CA">
        <w:rPr>
          <w:rFonts w:cs="Arial"/>
          <w:color w:val="000000" w:themeColor="text1"/>
          <w:szCs w:val="18"/>
          <w:lang w:val="en-US"/>
        </w:rPr>
        <w:t xml:space="preserve"> dissociation of the substrate acids into useful chemical products like alcohols, aldehydes, and other hydrocarbons with shorter chain then dimers. </w:t>
      </w:r>
    </w:p>
    <w:p w14:paraId="7F302033" w14:textId="77777777" w:rsidR="007E393D" w:rsidRPr="006365CA" w:rsidRDefault="007E393D" w:rsidP="00A8371C">
      <w:pPr>
        <w:pStyle w:val="Bibliography"/>
        <w:spacing w:line="240" w:lineRule="auto"/>
        <w:ind w:left="0" w:firstLine="0"/>
        <w:rPr>
          <w:rFonts w:cs="Arial"/>
          <w:color w:val="000000" w:themeColor="text1"/>
          <w:szCs w:val="18"/>
          <w:lang w:val="en-US"/>
        </w:rPr>
      </w:pPr>
    </w:p>
    <w:p w14:paraId="6A063BE3" w14:textId="2BB50379" w:rsidR="00F32BBE" w:rsidRPr="00A96BD1" w:rsidRDefault="00E509B5" w:rsidP="004B5F50">
      <w:pPr>
        <w:pStyle w:val="Bibliography"/>
        <w:ind w:left="0" w:firstLine="0"/>
        <w:rPr>
          <w:rFonts w:cs="Arial"/>
          <w:b/>
          <w:bCs/>
          <w:color w:val="000000" w:themeColor="text1"/>
          <w:szCs w:val="18"/>
          <w:lang w:val="it-IT"/>
        </w:rPr>
      </w:pPr>
      <w:r w:rsidRPr="00A96BD1">
        <w:rPr>
          <w:rFonts w:cs="Arial"/>
          <w:b/>
          <w:bCs/>
          <w:color w:val="000000" w:themeColor="text1"/>
          <w:szCs w:val="18"/>
          <w:lang w:val="it-IT"/>
        </w:rPr>
        <w:t>References</w:t>
      </w:r>
      <w:r w:rsidR="001D6EA5" w:rsidRPr="00A96BD1">
        <w:rPr>
          <w:rFonts w:cs="Arial"/>
          <w:b/>
          <w:bCs/>
          <w:color w:val="000000" w:themeColor="text1"/>
          <w:szCs w:val="18"/>
          <w:lang w:val="it-IT"/>
        </w:rPr>
        <w:t xml:space="preserve"> </w:t>
      </w:r>
    </w:p>
    <w:p w14:paraId="444F97CF" w14:textId="6F76D137" w:rsidR="00476AF6" w:rsidRPr="00476AF6" w:rsidRDefault="002C5D8D" w:rsidP="00D86809">
      <w:pPr>
        <w:pStyle w:val="Bibliography"/>
        <w:spacing w:line="240" w:lineRule="auto"/>
        <w:rPr>
          <w:rFonts w:cs="Arial"/>
          <w:color w:val="000000"/>
        </w:rPr>
      </w:pPr>
      <w:r w:rsidRPr="00F32BBE">
        <w:rPr>
          <w:rFonts w:cs="Arial"/>
          <w:color w:val="000000" w:themeColor="text1"/>
          <w:szCs w:val="18"/>
          <w:lang w:val="en-US"/>
        </w:rPr>
        <w:fldChar w:fldCharType="begin"/>
      </w:r>
      <w:r w:rsidRPr="003F140F">
        <w:rPr>
          <w:rFonts w:cs="Arial"/>
          <w:color w:val="000000" w:themeColor="text1"/>
          <w:szCs w:val="18"/>
          <w:lang w:val="it-IT"/>
        </w:rPr>
        <w:instrText xml:space="preserve"> ADDIN ZOTERO_BIBL {"uncited":[],"omitted":[],"custom":[]} CSL_BIBLIOGRAPHY </w:instrText>
      </w:r>
      <w:r w:rsidRPr="00F32BBE">
        <w:rPr>
          <w:rFonts w:cs="Arial"/>
          <w:color w:val="000000" w:themeColor="text1"/>
          <w:szCs w:val="18"/>
          <w:lang w:val="en-US"/>
        </w:rPr>
        <w:fldChar w:fldCharType="separate"/>
      </w:r>
      <w:r w:rsidR="00476AF6" w:rsidRPr="00476AF6">
        <w:rPr>
          <w:rFonts w:cs="Arial"/>
          <w:color w:val="000000"/>
          <w:lang w:val="it-IT"/>
        </w:rPr>
        <w:t xml:space="preserve">Ahmad, H., Pelosato, R., Sora, I. N., &amp; Fontana, F. (2023). </w:t>
      </w:r>
      <w:r w:rsidR="00476AF6" w:rsidRPr="00476AF6">
        <w:rPr>
          <w:rFonts w:cs="Arial"/>
          <w:color w:val="000000"/>
        </w:rPr>
        <w:t xml:space="preserve">Electrochemical Conversion of Lauric Acid Through Kolbe Electrolysis for the Synthesis of N-docosane. </w:t>
      </w:r>
      <w:r w:rsidR="00476AF6" w:rsidRPr="00476AF6">
        <w:rPr>
          <w:rFonts w:cs="Arial"/>
          <w:i/>
          <w:iCs/>
          <w:color w:val="000000"/>
        </w:rPr>
        <w:t>Chemical Engineering Transactions</w:t>
      </w:r>
      <w:r w:rsidR="00476AF6" w:rsidRPr="00476AF6">
        <w:rPr>
          <w:rFonts w:cs="Arial"/>
          <w:color w:val="000000"/>
        </w:rPr>
        <w:t xml:space="preserve">, </w:t>
      </w:r>
      <w:r w:rsidR="00476AF6" w:rsidRPr="00476AF6">
        <w:rPr>
          <w:rFonts w:cs="Arial"/>
          <w:i/>
          <w:iCs/>
          <w:color w:val="000000"/>
        </w:rPr>
        <w:t>98</w:t>
      </w:r>
      <w:r w:rsidR="00476AF6" w:rsidRPr="00476AF6">
        <w:rPr>
          <w:rFonts w:cs="Arial"/>
          <w:color w:val="000000"/>
        </w:rPr>
        <w:t xml:space="preserve">, 105–110. </w:t>
      </w:r>
    </w:p>
    <w:p w14:paraId="3C7FB3BF" w14:textId="2350D7E2" w:rsidR="00476AF6" w:rsidRPr="00476AF6" w:rsidRDefault="00476AF6" w:rsidP="00D86809">
      <w:pPr>
        <w:pStyle w:val="Bibliography"/>
        <w:spacing w:line="240" w:lineRule="auto"/>
        <w:rPr>
          <w:rFonts w:cs="Arial"/>
          <w:color w:val="000000"/>
        </w:rPr>
      </w:pPr>
      <w:r w:rsidRPr="00476AF6">
        <w:rPr>
          <w:rFonts w:cs="Arial"/>
          <w:color w:val="000000"/>
        </w:rPr>
        <w:t xml:space="preserve">Cai, Z.-Z., Wang, Y., Teng, Y.-L., Chong, K.-M., Wang, J.-W., Zhang, J.-W., &amp; Yang, D.-P. (2015). A two-step biodiesel production process from waste cooking oil via recycling crude glycerol esterification catalyzed by alkali catalyst. </w:t>
      </w:r>
      <w:r w:rsidRPr="00476AF6">
        <w:rPr>
          <w:rFonts w:cs="Arial"/>
          <w:i/>
          <w:iCs/>
          <w:color w:val="000000"/>
        </w:rPr>
        <w:t>Fuel Processing Technology</w:t>
      </w:r>
      <w:r w:rsidRPr="00476AF6">
        <w:rPr>
          <w:rFonts w:cs="Arial"/>
          <w:color w:val="000000"/>
        </w:rPr>
        <w:t xml:space="preserve">, </w:t>
      </w:r>
      <w:r w:rsidRPr="00476AF6">
        <w:rPr>
          <w:rFonts w:cs="Arial"/>
          <w:i/>
          <w:iCs/>
          <w:color w:val="000000"/>
        </w:rPr>
        <w:t>137</w:t>
      </w:r>
      <w:r w:rsidRPr="00476AF6">
        <w:rPr>
          <w:rFonts w:cs="Arial"/>
          <w:color w:val="000000"/>
        </w:rPr>
        <w:t xml:space="preserve">, 186–193. </w:t>
      </w:r>
    </w:p>
    <w:p w14:paraId="0A1F6E2C" w14:textId="44238FCF" w:rsidR="00476AF6" w:rsidRPr="00476AF6" w:rsidRDefault="00476AF6" w:rsidP="00D86809">
      <w:pPr>
        <w:pStyle w:val="Bibliography"/>
        <w:spacing w:line="240" w:lineRule="auto"/>
        <w:rPr>
          <w:rFonts w:cs="Arial"/>
          <w:color w:val="000000"/>
        </w:rPr>
      </w:pPr>
      <w:r w:rsidRPr="00A96BD1">
        <w:rPr>
          <w:rFonts w:cs="Arial"/>
          <w:color w:val="000000"/>
          <w:lang w:val="en-US"/>
        </w:rPr>
        <w:t xml:space="preserve">Fereidooni, L., Tahvildari, K., &amp; Mehrpooya, M. (2018). </w:t>
      </w:r>
      <w:r w:rsidRPr="00476AF6">
        <w:rPr>
          <w:rFonts w:cs="Arial"/>
          <w:color w:val="000000"/>
        </w:rPr>
        <w:t xml:space="preserve">Trans-esterification of waste cooking oil with methanol by electrolysis process using KOH. </w:t>
      </w:r>
      <w:r w:rsidRPr="00476AF6">
        <w:rPr>
          <w:rFonts w:cs="Arial"/>
          <w:i/>
          <w:iCs/>
          <w:color w:val="000000"/>
        </w:rPr>
        <w:t>Renewable Energy</w:t>
      </w:r>
      <w:r w:rsidRPr="00476AF6">
        <w:rPr>
          <w:rFonts w:cs="Arial"/>
          <w:color w:val="000000"/>
        </w:rPr>
        <w:t xml:space="preserve">, </w:t>
      </w:r>
      <w:r w:rsidRPr="00476AF6">
        <w:rPr>
          <w:rFonts w:cs="Arial"/>
          <w:i/>
          <w:iCs/>
          <w:color w:val="000000"/>
        </w:rPr>
        <w:t>116</w:t>
      </w:r>
      <w:r w:rsidRPr="00476AF6">
        <w:rPr>
          <w:rFonts w:cs="Arial"/>
          <w:color w:val="000000"/>
        </w:rPr>
        <w:t xml:space="preserve">, 183–193. </w:t>
      </w:r>
    </w:p>
    <w:p w14:paraId="72D241E8" w14:textId="49224E53" w:rsidR="00476AF6" w:rsidRPr="00476AF6" w:rsidRDefault="00476AF6" w:rsidP="00D86809">
      <w:pPr>
        <w:pStyle w:val="Bibliography"/>
        <w:spacing w:line="240" w:lineRule="auto"/>
        <w:rPr>
          <w:rFonts w:cs="Arial"/>
          <w:color w:val="000000"/>
        </w:rPr>
      </w:pPr>
      <w:r w:rsidRPr="00476AF6">
        <w:rPr>
          <w:rFonts w:cs="Arial"/>
          <w:color w:val="000000"/>
        </w:rPr>
        <w:t xml:space="preserve">Hegner, R., Neubert, K., Rosa, L. F. M., &amp; Harnisch, F. (2019). Engineering electrochemical CO2 reduction to formate under bioprocess-compatible conditions to bioreactor scale. </w:t>
      </w:r>
      <w:r w:rsidRPr="00476AF6">
        <w:rPr>
          <w:rFonts w:cs="Arial"/>
          <w:i/>
          <w:iCs/>
          <w:color w:val="000000"/>
        </w:rPr>
        <w:t>ChemElectroChem</w:t>
      </w:r>
      <w:r w:rsidRPr="00476AF6">
        <w:rPr>
          <w:rFonts w:cs="Arial"/>
          <w:color w:val="000000"/>
        </w:rPr>
        <w:t xml:space="preserve">, </w:t>
      </w:r>
      <w:r w:rsidRPr="00476AF6">
        <w:rPr>
          <w:rFonts w:cs="Arial"/>
          <w:i/>
          <w:iCs/>
          <w:color w:val="000000"/>
        </w:rPr>
        <w:t>6</w:t>
      </w:r>
      <w:r w:rsidRPr="00476AF6">
        <w:rPr>
          <w:rFonts w:cs="Arial"/>
          <w:color w:val="000000"/>
        </w:rPr>
        <w:t xml:space="preserve">(14), 3731–3735. </w:t>
      </w:r>
    </w:p>
    <w:p w14:paraId="07375CC4" w14:textId="028BD2CA" w:rsidR="00476AF6" w:rsidRPr="00476AF6" w:rsidRDefault="00476AF6" w:rsidP="00D86809">
      <w:pPr>
        <w:pStyle w:val="Bibliography"/>
        <w:spacing w:line="240" w:lineRule="auto"/>
        <w:rPr>
          <w:rFonts w:cs="Arial"/>
          <w:color w:val="000000"/>
        </w:rPr>
      </w:pPr>
      <w:r w:rsidRPr="00A96BD1">
        <w:rPr>
          <w:rFonts w:cs="Arial"/>
          <w:color w:val="000000"/>
          <w:lang w:val="en-US"/>
        </w:rPr>
        <w:t xml:space="preserve">Ho, D. P., Ngo, H. H., &amp; Guo, W. (2014). </w:t>
      </w:r>
      <w:r w:rsidRPr="00476AF6">
        <w:rPr>
          <w:rFonts w:cs="Arial"/>
          <w:color w:val="000000"/>
        </w:rPr>
        <w:t xml:space="preserve">A mini review on renewable sources for biofuel. </w:t>
      </w:r>
      <w:r w:rsidRPr="00476AF6">
        <w:rPr>
          <w:rFonts w:cs="Arial"/>
          <w:i/>
          <w:iCs/>
          <w:color w:val="000000"/>
        </w:rPr>
        <w:t>Bioresource Technology</w:t>
      </w:r>
      <w:r w:rsidRPr="00476AF6">
        <w:rPr>
          <w:rFonts w:cs="Arial"/>
          <w:color w:val="000000"/>
        </w:rPr>
        <w:t xml:space="preserve">, </w:t>
      </w:r>
      <w:r w:rsidRPr="00476AF6">
        <w:rPr>
          <w:rFonts w:cs="Arial"/>
          <w:i/>
          <w:iCs/>
          <w:color w:val="000000"/>
        </w:rPr>
        <w:t>169</w:t>
      </w:r>
      <w:r w:rsidRPr="00476AF6">
        <w:rPr>
          <w:rFonts w:cs="Arial"/>
          <w:color w:val="000000"/>
        </w:rPr>
        <w:t xml:space="preserve">, 742–749. </w:t>
      </w:r>
    </w:p>
    <w:p w14:paraId="71EE8BDD" w14:textId="5B56AD66" w:rsidR="00476AF6" w:rsidRPr="00476AF6" w:rsidRDefault="00476AF6" w:rsidP="00D86809">
      <w:pPr>
        <w:pStyle w:val="Bibliography"/>
        <w:spacing w:line="240" w:lineRule="auto"/>
        <w:rPr>
          <w:rFonts w:cs="Arial"/>
          <w:color w:val="000000"/>
        </w:rPr>
      </w:pPr>
      <w:r w:rsidRPr="00476AF6">
        <w:rPr>
          <w:rFonts w:cs="Arial"/>
          <w:color w:val="000000"/>
        </w:rPr>
        <w:t>Johnstone, A. H. (1991). CRC Handbook of Chemistry and Physics—69th Edition Editor in Chief R. C. Weast, CRC Press Inc.</w:t>
      </w:r>
      <w:r w:rsidR="00A96BD1">
        <w:rPr>
          <w:rFonts w:cs="Arial"/>
          <w:color w:val="000000"/>
        </w:rPr>
        <w:t xml:space="preserve"> </w:t>
      </w:r>
      <w:r w:rsidRPr="00476AF6">
        <w:rPr>
          <w:rFonts w:cs="Arial"/>
          <w:i/>
          <w:iCs/>
          <w:color w:val="000000"/>
        </w:rPr>
        <w:t>Journal of Chemical Technology &amp; Biotechnology</w:t>
      </w:r>
      <w:r w:rsidRPr="00476AF6">
        <w:rPr>
          <w:rFonts w:cs="Arial"/>
          <w:color w:val="000000"/>
        </w:rPr>
        <w:t xml:space="preserve">, </w:t>
      </w:r>
      <w:r w:rsidRPr="00476AF6">
        <w:rPr>
          <w:rFonts w:cs="Arial"/>
          <w:i/>
          <w:iCs/>
          <w:color w:val="000000"/>
        </w:rPr>
        <w:t>50</w:t>
      </w:r>
      <w:r w:rsidRPr="00476AF6">
        <w:rPr>
          <w:rFonts w:cs="Arial"/>
          <w:color w:val="000000"/>
        </w:rPr>
        <w:t xml:space="preserve">(2), 294–295. </w:t>
      </w:r>
    </w:p>
    <w:p w14:paraId="6778941F" w14:textId="27830962" w:rsidR="00476AF6" w:rsidRPr="00476AF6" w:rsidRDefault="00476AF6" w:rsidP="00D86809">
      <w:pPr>
        <w:pStyle w:val="Bibliography"/>
        <w:spacing w:line="240" w:lineRule="auto"/>
        <w:rPr>
          <w:rFonts w:cs="Arial"/>
          <w:color w:val="000000"/>
        </w:rPr>
      </w:pPr>
      <w:r w:rsidRPr="00476AF6">
        <w:rPr>
          <w:rFonts w:cs="Arial"/>
          <w:color w:val="000000"/>
        </w:rPr>
        <w:t xml:space="preserve">Joschka Holzhäuser, F., Creusen, G., Moos, G., Dahmen, M., König, A., Artz, J., Palkovits, S., &amp; Palkovits, R. (2019). Electrochemical cross-coupling of biogenic di-acids for sustainable fuel production. </w:t>
      </w:r>
      <w:r w:rsidRPr="00476AF6">
        <w:rPr>
          <w:rFonts w:cs="Arial"/>
          <w:i/>
          <w:iCs/>
          <w:color w:val="000000"/>
        </w:rPr>
        <w:t>Green Chemistry</w:t>
      </w:r>
      <w:r w:rsidRPr="00476AF6">
        <w:rPr>
          <w:rFonts w:cs="Arial"/>
          <w:color w:val="000000"/>
        </w:rPr>
        <w:t xml:space="preserve">, </w:t>
      </w:r>
      <w:r w:rsidRPr="00476AF6">
        <w:rPr>
          <w:rFonts w:cs="Arial"/>
          <w:i/>
          <w:iCs/>
          <w:color w:val="000000"/>
        </w:rPr>
        <w:t>21</w:t>
      </w:r>
      <w:r w:rsidRPr="00476AF6">
        <w:rPr>
          <w:rFonts w:cs="Arial"/>
          <w:color w:val="000000"/>
        </w:rPr>
        <w:t xml:space="preserve">(9), 2334–2344. </w:t>
      </w:r>
    </w:p>
    <w:p w14:paraId="17D74640" w14:textId="4D53EB9F" w:rsidR="00476AF6" w:rsidRPr="00476AF6" w:rsidRDefault="00476AF6" w:rsidP="00D86809">
      <w:pPr>
        <w:pStyle w:val="Bibliography"/>
        <w:spacing w:line="240" w:lineRule="auto"/>
        <w:rPr>
          <w:rFonts w:cs="Arial"/>
          <w:color w:val="000000"/>
        </w:rPr>
      </w:pPr>
      <w:r w:rsidRPr="00476AF6">
        <w:rPr>
          <w:rFonts w:cs="Arial"/>
          <w:color w:val="000000"/>
        </w:rPr>
        <w:t xml:space="preserve">Kalnes, T., Marker, T., &amp; Shonnard, D. R. (2007). Green Diesel: A Second Generation Biofuel. </w:t>
      </w:r>
      <w:r w:rsidRPr="00476AF6">
        <w:rPr>
          <w:rFonts w:cs="Arial"/>
          <w:i/>
          <w:iCs/>
          <w:color w:val="000000"/>
        </w:rPr>
        <w:t>International Journal of Chemical Reactor Engineering</w:t>
      </w:r>
      <w:r w:rsidRPr="00476AF6">
        <w:rPr>
          <w:rFonts w:cs="Arial"/>
          <w:color w:val="000000"/>
        </w:rPr>
        <w:t xml:space="preserve">, </w:t>
      </w:r>
      <w:r w:rsidRPr="00476AF6">
        <w:rPr>
          <w:rFonts w:cs="Arial"/>
          <w:i/>
          <w:iCs/>
          <w:color w:val="000000"/>
        </w:rPr>
        <w:t>5</w:t>
      </w:r>
      <w:r w:rsidRPr="00476AF6">
        <w:rPr>
          <w:rFonts w:cs="Arial"/>
          <w:color w:val="000000"/>
        </w:rPr>
        <w:t xml:space="preserve">(1). </w:t>
      </w:r>
    </w:p>
    <w:p w14:paraId="38AEC8B0" w14:textId="01F5CA06" w:rsidR="00476AF6" w:rsidRPr="00476AF6" w:rsidRDefault="00476AF6" w:rsidP="00D86809">
      <w:pPr>
        <w:pStyle w:val="Bibliography"/>
        <w:spacing w:line="240" w:lineRule="auto"/>
        <w:rPr>
          <w:rFonts w:cs="Arial"/>
          <w:color w:val="000000"/>
        </w:rPr>
      </w:pPr>
      <w:r w:rsidRPr="00476AF6">
        <w:rPr>
          <w:rFonts w:cs="Arial"/>
          <w:color w:val="000000"/>
        </w:rPr>
        <w:t xml:space="preserve">Kirste, A., Elsler, B., Schnakenburg, G., &amp; Waldvogel, S. R. (2012). Efficient Anodic and Direct Phenol-Arene C,C Cross-Coupling: The Benign Role of Water or Methanol. </w:t>
      </w:r>
      <w:r w:rsidRPr="00476AF6">
        <w:rPr>
          <w:rFonts w:cs="Arial"/>
          <w:i/>
          <w:iCs/>
          <w:color w:val="000000"/>
        </w:rPr>
        <w:t>Journal of the American Chemical Society</w:t>
      </w:r>
      <w:r w:rsidRPr="00476AF6">
        <w:rPr>
          <w:rFonts w:cs="Arial"/>
          <w:color w:val="000000"/>
        </w:rPr>
        <w:t xml:space="preserve">, </w:t>
      </w:r>
      <w:r w:rsidRPr="00476AF6">
        <w:rPr>
          <w:rFonts w:cs="Arial"/>
          <w:i/>
          <w:iCs/>
          <w:color w:val="000000"/>
        </w:rPr>
        <w:t>134</w:t>
      </w:r>
      <w:r w:rsidRPr="00476AF6">
        <w:rPr>
          <w:rFonts w:cs="Arial"/>
          <w:color w:val="000000"/>
        </w:rPr>
        <w:t xml:space="preserve">(7), 3571–3576. </w:t>
      </w:r>
    </w:p>
    <w:p w14:paraId="0AC103A1" w14:textId="59E4683D" w:rsidR="00476AF6" w:rsidRPr="00476AF6" w:rsidRDefault="00476AF6" w:rsidP="00D86809">
      <w:pPr>
        <w:pStyle w:val="Bibliography"/>
        <w:spacing w:line="240" w:lineRule="auto"/>
        <w:rPr>
          <w:rFonts w:cs="Arial"/>
          <w:color w:val="000000"/>
        </w:rPr>
      </w:pPr>
      <w:r w:rsidRPr="00476AF6">
        <w:rPr>
          <w:rFonts w:cs="Arial"/>
          <w:color w:val="000000"/>
        </w:rPr>
        <w:t xml:space="preserve">Mansir, N., Taufiq-Yap, Y. H., Rashid, U., &amp; Lokman, I. M. (2017). Investigation of heterogeneous solid acid catalyst performance on low grade feedstocks for biodiesel production: A review. </w:t>
      </w:r>
      <w:r w:rsidRPr="00476AF6">
        <w:rPr>
          <w:rFonts w:cs="Arial"/>
          <w:i/>
          <w:iCs/>
          <w:color w:val="000000"/>
        </w:rPr>
        <w:t>Energy Conversion and Management</w:t>
      </w:r>
      <w:r w:rsidRPr="00476AF6">
        <w:rPr>
          <w:rFonts w:cs="Arial"/>
          <w:color w:val="000000"/>
        </w:rPr>
        <w:t xml:space="preserve">, </w:t>
      </w:r>
      <w:r w:rsidRPr="00476AF6">
        <w:rPr>
          <w:rFonts w:cs="Arial"/>
          <w:i/>
          <w:iCs/>
          <w:color w:val="000000"/>
        </w:rPr>
        <w:t>141</w:t>
      </w:r>
      <w:r w:rsidRPr="00476AF6">
        <w:rPr>
          <w:rFonts w:cs="Arial"/>
          <w:color w:val="000000"/>
        </w:rPr>
        <w:t xml:space="preserve">, 171–182. </w:t>
      </w:r>
    </w:p>
    <w:p w14:paraId="29B4E26D" w14:textId="6F9FA0B0" w:rsidR="00476AF6" w:rsidRPr="00476AF6" w:rsidRDefault="00476AF6" w:rsidP="00D86809">
      <w:pPr>
        <w:pStyle w:val="Bibliography"/>
        <w:spacing w:line="240" w:lineRule="auto"/>
        <w:rPr>
          <w:rFonts w:cs="Arial"/>
          <w:color w:val="000000"/>
        </w:rPr>
      </w:pPr>
      <w:r w:rsidRPr="00476AF6">
        <w:rPr>
          <w:rFonts w:cs="Arial"/>
          <w:color w:val="000000"/>
        </w:rPr>
        <w:t xml:space="preserve">Meyers, J., Mensah, J. B., Holzhäuser, F. J., Omari, A., Blesken, C. C., Tiso, T., Palkovits, S., Blank, L. M., Pischinger, S., &amp; Palkovits, R. (2019). Electrochemical conversion of a bio-derivable hydroxy acid to a drop-in oxygenate diesel fuel. </w:t>
      </w:r>
      <w:r w:rsidRPr="00476AF6">
        <w:rPr>
          <w:rFonts w:cs="Arial"/>
          <w:i/>
          <w:iCs/>
          <w:color w:val="000000"/>
        </w:rPr>
        <w:t>Energy &amp; Environmental Science</w:t>
      </w:r>
      <w:r w:rsidRPr="00476AF6">
        <w:rPr>
          <w:rFonts w:cs="Arial"/>
          <w:color w:val="000000"/>
        </w:rPr>
        <w:t xml:space="preserve">, </w:t>
      </w:r>
      <w:r w:rsidRPr="00476AF6">
        <w:rPr>
          <w:rFonts w:cs="Arial"/>
          <w:i/>
          <w:iCs/>
          <w:color w:val="000000"/>
        </w:rPr>
        <w:t>12</w:t>
      </w:r>
      <w:r w:rsidRPr="00476AF6">
        <w:rPr>
          <w:rFonts w:cs="Arial"/>
          <w:color w:val="000000"/>
        </w:rPr>
        <w:t xml:space="preserve">(8), 2406–2411. </w:t>
      </w:r>
    </w:p>
    <w:p w14:paraId="1B5F2626" w14:textId="1608EE03" w:rsidR="00476AF6" w:rsidRPr="00476AF6" w:rsidRDefault="00476AF6" w:rsidP="00D86809">
      <w:pPr>
        <w:pStyle w:val="Bibliography"/>
        <w:spacing w:line="240" w:lineRule="auto"/>
        <w:rPr>
          <w:rFonts w:cs="Arial"/>
          <w:color w:val="000000"/>
        </w:rPr>
      </w:pPr>
      <w:r w:rsidRPr="00476AF6">
        <w:rPr>
          <w:rFonts w:cs="Arial"/>
          <w:color w:val="000000"/>
        </w:rPr>
        <w:t xml:space="preserve">Neubert, K., Hell, M., Chávez Morejón, M., &amp; Harnisch, F. (2022). Hetero-Coupling of Bio-Based Medium-Chain Carboxylic Acids by Kolbe Electrolysis Enables High Fuel Yield and Efficiency. </w:t>
      </w:r>
      <w:r w:rsidRPr="00476AF6">
        <w:rPr>
          <w:rFonts w:cs="Arial"/>
          <w:i/>
          <w:iCs/>
          <w:color w:val="000000"/>
        </w:rPr>
        <w:t>ChemSusChem</w:t>
      </w:r>
      <w:r w:rsidRPr="00476AF6">
        <w:rPr>
          <w:rFonts w:cs="Arial"/>
          <w:color w:val="000000"/>
        </w:rPr>
        <w:t xml:space="preserve">, </w:t>
      </w:r>
      <w:r w:rsidRPr="00476AF6">
        <w:rPr>
          <w:rFonts w:cs="Arial"/>
          <w:i/>
          <w:iCs/>
          <w:color w:val="000000"/>
        </w:rPr>
        <w:t>15</w:t>
      </w:r>
      <w:r w:rsidRPr="00476AF6">
        <w:rPr>
          <w:rFonts w:cs="Arial"/>
          <w:color w:val="000000"/>
        </w:rPr>
        <w:t xml:space="preserve">(21), e202201426. </w:t>
      </w:r>
    </w:p>
    <w:p w14:paraId="2C473C46" w14:textId="0251C541" w:rsidR="00476AF6" w:rsidRPr="00476AF6" w:rsidRDefault="00476AF6" w:rsidP="00D86809">
      <w:pPr>
        <w:pStyle w:val="Bibliography"/>
        <w:spacing w:line="240" w:lineRule="auto"/>
        <w:rPr>
          <w:rFonts w:cs="Arial"/>
          <w:color w:val="000000"/>
        </w:rPr>
      </w:pPr>
      <w:r w:rsidRPr="00476AF6">
        <w:rPr>
          <w:rFonts w:cs="Arial"/>
          <w:color w:val="000000"/>
        </w:rPr>
        <w:t xml:space="preserve">Nilges, P., Santos, T. R. dos, Harnisch, F., &amp; Schröder, U. (2012). Electrochemistry for biofuel generation: Electrochemical conversion of levulinic acid to octane. </w:t>
      </w:r>
      <w:r w:rsidRPr="00476AF6">
        <w:rPr>
          <w:rFonts w:cs="Arial"/>
          <w:i/>
          <w:iCs/>
          <w:color w:val="000000"/>
        </w:rPr>
        <w:t>Energy &amp; Environmental Science</w:t>
      </w:r>
      <w:r w:rsidRPr="00476AF6">
        <w:rPr>
          <w:rFonts w:cs="Arial"/>
          <w:color w:val="000000"/>
        </w:rPr>
        <w:t xml:space="preserve">, </w:t>
      </w:r>
      <w:r w:rsidRPr="00476AF6">
        <w:rPr>
          <w:rFonts w:cs="Arial"/>
          <w:i/>
          <w:iCs/>
          <w:color w:val="000000"/>
        </w:rPr>
        <w:t>5</w:t>
      </w:r>
      <w:r w:rsidRPr="00476AF6">
        <w:rPr>
          <w:rFonts w:cs="Arial"/>
          <w:color w:val="000000"/>
        </w:rPr>
        <w:t xml:space="preserve">(1), 5231–5235. </w:t>
      </w:r>
    </w:p>
    <w:p w14:paraId="06519B4A" w14:textId="0CF6B430" w:rsidR="00476AF6" w:rsidRPr="00476AF6" w:rsidRDefault="00476AF6" w:rsidP="00D86809">
      <w:pPr>
        <w:pStyle w:val="Bibliography"/>
        <w:spacing w:line="240" w:lineRule="auto"/>
        <w:rPr>
          <w:rFonts w:cs="Arial"/>
          <w:color w:val="000000"/>
        </w:rPr>
      </w:pPr>
      <w:r w:rsidRPr="00A96BD1">
        <w:rPr>
          <w:rFonts w:cs="Arial"/>
          <w:color w:val="000000"/>
          <w:lang w:val="en-US"/>
        </w:rPr>
        <w:t xml:space="preserve">Putra, R. S., Hartono, P., &amp; Julianto, T. S. (2015). </w:t>
      </w:r>
      <w:r w:rsidRPr="00476AF6">
        <w:rPr>
          <w:rFonts w:cs="Arial"/>
          <w:color w:val="000000"/>
        </w:rPr>
        <w:t xml:space="preserve">Conversion of Methyl Ester from Used Cooking Oil: The Combined Use of Electrolysis Process and Chitosan. </w:t>
      </w:r>
      <w:r w:rsidRPr="00476AF6">
        <w:rPr>
          <w:rFonts w:cs="Arial"/>
          <w:i/>
          <w:iCs/>
          <w:color w:val="000000"/>
        </w:rPr>
        <w:t>Energy Procedia</w:t>
      </w:r>
      <w:r w:rsidRPr="00476AF6">
        <w:rPr>
          <w:rFonts w:cs="Arial"/>
          <w:color w:val="000000"/>
        </w:rPr>
        <w:t xml:space="preserve">, </w:t>
      </w:r>
      <w:r w:rsidRPr="00476AF6">
        <w:rPr>
          <w:rFonts w:cs="Arial"/>
          <w:i/>
          <w:iCs/>
          <w:color w:val="000000"/>
        </w:rPr>
        <w:t>65</w:t>
      </w:r>
      <w:r w:rsidRPr="00476AF6">
        <w:rPr>
          <w:rFonts w:cs="Arial"/>
          <w:color w:val="000000"/>
        </w:rPr>
        <w:t xml:space="preserve">, 309–316. </w:t>
      </w:r>
    </w:p>
    <w:p w14:paraId="03BF1458" w14:textId="70371A3E" w:rsidR="00476AF6" w:rsidRPr="00476AF6" w:rsidRDefault="00476AF6" w:rsidP="00D86809">
      <w:pPr>
        <w:pStyle w:val="Bibliography"/>
        <w:spacing w:line="240" w:lineRule="auto"/>
        <w:rPr>
          <w:rFonts w:cs="Arial"/>
          <w:color w:val="000000"/>
        </w:rPr>
      </w:pPr>
      <w:r w:rsidRPr="00476AF6">
        <w:rPr>
          <w:rFonts w:cs="Arial"/>
          <w:color w:val="000000"/>
        </w:rPr>
        <w:t xml:space="preserve">R. dos Santos, T., Harnisch, F., Nilges, P., &amp; Schröder, U. (2015). Electrochemistry for Biofuel Generation: Transformation of Fatty Acids and Triglycerides to Diesel-Like Olefin/Ether Mixtures and Olefins. </w:t>
      </w:r>
      <w:r w:rsidRPr="00476AF6">
        <w:rPr>
          <w:rFonts w:cs="Arial"/>
          <w:i/>
          <w:iCs/>
          <w:color w:val="000000"/>
        </w:rPr>
        <w:t>ChemSusChem</w:t>
      </w:r>
      <w:r w:rsidRPr="00476AF6">
        <w:rPr>
          <w:rFonts w:cs="Arial"/>
          <w:color w:val="000000"/>
        </w:rPr>
        <w:t xml:space="preserve">, </w:t>
      </w:r>
      <w:r w:rsidRPr="00476AF6">
        <w:rPr>
          <w:rFonts w:cs="Arial"/>
          <w:i/>
          <w:iCs/>
          <w:color w:val="000000"/>
        </w:rPr>
        <w:t>8</w:t>
      </w:r>
      <w:r w:rsidRPr="00476AF6">
        <w:rPr>
          <w:rFonts w:cs="Arial"/>
          <w:color w:val="000000"/>
        </w:rPr>
        <w:t xml:space="preserve">(5), 886–893. </w:t>
      </w:r>
    </w:p>
    <w:p w14:paraId="547C18C2" w14:textId="7B75C5ED" w:rsidR="00476AF6" w:rsidRPr="00476AF6" w:rsidRDefault="00476AF6" w:rsidP="00D86809">
      <w:pPr>
        <w:pStyle w:val="Bibliography"/>
        <w:spacing w:line="240" w:lineRule="auto"/>
        <w:rPr>
          <w:rFonts w:cs="Arial"/>
          <w:color w:val="000000"/>
        </w:rPr>
      </w:pPr>
      <w:r w:rsidRPr="00A96BD1">
        <w:rPr>
          <w:rFonts w:cs="Arial"/>
          <w:color w:val="000000"/>
          <w:lang w:val="en-US"/>
        </w:rPr>
        <w:t xml:space="preserve">Semwal, S., Arora, A. K., Badoni, R. P., &amp; Tuli, D. K. (2011). </w:t>
      </w:r>
      <w:r w:rsidRPr="00476AF6">
        <w:rPr>
          <w:rFonts w:cs="Arial"/>
          <w:color w:val="000000"/>
        </w:rPr>
        <w:t xml:space="preserve">Biodiesel production using heterogeneous catalysts. </w:t>
      </w:r>
      <w:r w:rsidRPr="00476AF6">
        <w:rPr>
          <w:rFonts w:cs="Arial"/>
          <w:i/>
          <w:iCs/>
          <w:color w:val="000000"/>
        </w:rPr>
        <w:t>Bioresource Technology</w:t>
      </w:r>
      <w:r w:rsidRPr="00476AF6">
        <w:rPr>
          <w:rFonts w:cs="Arial"/>
          <w:color w:val="000000"/>
        </w:rPr>
        <w:t xml:space="preserve">, </w:t>
      </w:r>
      <w:r w:rsidRPr="00476AF6">
        <w:rPr>
          <w:rFonts w:cs="Arial"/>
          <w:i/>
          <w:iCs/>
          <w:color w:val="000000"/>
        </w:rPr>
        <w:t>102</w:t>
      </w:r>
      <w:r w:rsidRPr="00476AF6">
        <w:rPr>
          <w:rFonts w:cs="Arial"/>
          <w:color w:val="000000"/>
        </w:rPr>
        <w:t xml:space="preserve">(3), 2151–2161. </w:t>
      </w:r>
    </w:p>
    <w:p w14:paraId="37CEAB6F" w14:textId="571C8060" w:rsidR="00476AF6" w:rsidRPr="00476AF6" w:rsidRDefault="00476AF6" w:rsidP="00D86809">
      <w:pPr>
        <w:pStyle w:val="Bibliography"/>
        <w:spacing w:line="240" w:lineRule="auto"/>
        <w:rPr>
          <w:rFonts w:cs="Arial"/>
          <w:color w:val="000000"/>
        </w:rPr>
      </w:pPr>
      <w:r w:rsidRPr="00476AF6">
        <w:rPr>
          <w:rFonts w:cs="Arial"/>
          <w:color w:val="000000"/>
        </w:rPr>
        <w:t xml:space="preserve">Teetz, N., Holtmann, D., Harnisch, F., &amp; Stöckl, M. (2022). Upgrading Kolbe Electrolysis—Highly Efficient Production of Green Fuels and Solvents by Coupling Biosynthesis and Electrosynthesis. </w:t>
      </w:r>
      <w:r w:rsidRPr="00476AF6">
        <w:rPr>
          <w:rFonts w:cs="Arial"/>
          <w:i/>
          <w:iCs/>
          <w:color w:val="000000"/>
        </w:rPr>
        <w:t>Angewandte Chemie International Edition</w:t>
      </w:r>
      <w:r w:rsidRPr="00476AF6">
        <w:rPr>
          <w:rFonts w:cs="Arial"/>
          <w:color w:val="000000"/>
        </w:rPr>
        <w:t xml:space="preserve">, </w:t>
      </w:r>
      <w:r w:rsidRPr="00476AF6">
        <w:rPr>
          <w:rFonts w:cs="Arial"/>
          <w:i/>
          <w:iCs/>
          <w:color w:val="000000"/>
        </w:rPr>
        <w:t>61</w:t>
      </w:r>
      <w:r w:rsidRPr="00476AF6">
        <w:rPr>
          <w:rFonts w:cs="Arial"/>
          <w:color w:val="000000"/>
        </w:rPr>
        <w:t xml:space="preserve">(50), e202210596. </w:t>
      </w:r>
    </w:p>
    <w:p w14:paraId="0E939CD1" w14:textId="2529FEB1" w:rsidR="00476AF6" w:rsidRPr="00476AF6" w:rsidRDefault="00476AF6" w:rsidP="00D86809">
      <w:pPr>
        <w:pStyle w:val="Bibliography"/>
        <w:spacing w:line="240" w:lineRule="auto"/>
        <w:rPr>
          <w:rFonts w:cs="Arial"/>
          <w:color w:val="000000"/>
        </w:rPr>
      </w:pPr>
      <w:r w:rsidRPr="00476AF6">
        <w:rPr>
          <w:rFonts w:cs="Arial"/>
          <w:color w:val="000000"/>
        </w:rPr>
        <w:t xml:space="preserve">Urban, C., Xu, J., Sträuber, H., Dantas, T. R. dos S., Mühlenberg, J., Härtig, C., Angenent, L. T., &amp; Harnisch, F. (2017). Production of drop-in fuels from biomass at high selectivity by combined microbial and electrochemical conversion. </w:t>
      </w:r>
      <w:r w:rsidRPr="00476AF6">
        <w:rPr>
          <w:rFonts w:cs="Arial"/>
          <w:i/>
          <w:iCs/>
          <w:color w:val="000000"/>
        </w:rPr>
        <w:t>Energy &amp; Environmental Science</w:t>
      </w:r>
      <w:r w:rsidRPr="00476AF6">
        <w:rPr>
          <w:rFonts w:cs="Arial"/>
          <w:color w:val="000000"/>
        </w:rPr>
        <w:t xml:space="preserve">, </w:t>
      </w:r>
      <w:r w:rsidRPr="00476AF6">
        <w:rPr>
          <w:rFonts w:cs="Arial"/>
          <w:i/>
          <w:iCs/>
          <w:color w:val="000000"/>
        </w:rPr>
        <w:t>10</w:t>
      </w:r>
      <w:r w:rsidRPr="00476AF6">
        <w:rPr>
          <w:rFonts w:cs="Arial"/>
          <w:color w:val="000000"/>
        </w:rPr>
        <w:t xml:space="preserve">(10), 2231–2244. </w:t>
      </w:r>
    </w:p>
    <w:p w14:paraId="4FF3A915" w14:textId="2697B5E6" w:rsidR="00476AF6" w:rsidRPr="00476AF6" w:rsidRDefault="00476AF6" w:rsidP="00D86809">
      <w:pPr>
        <w:pStyle w:val="Bibliography"/>
        <w:spacing w:line="240" w:lineRule="auto"/>
        <w:rPr>
          <w:rFonts w:cs="Arial"/>
          <w:color w:val="000000"/>
        </w:rPr>
      </w:pPr>
      <w:r w:rsidRPr="00476AF6">
        <w:rPr>
          <w:rFonts w:cs="Arial"/>
          <w:color w:val="000000"/>
        </w:rPr>
        <w:t xml:space="preserve">Weisz, P. B., Haag, W. O., &amp; Rodewald, P. G. (1979). Catalytic Production of High-Grade Fuel (Gasoline) from Biomass Compounds by Shape-Selective Catalysis. </w:t>
      </w:r>
      <w:r w:rsidRPr="00476AF6">
        <w:rPr>
          <w:rFonts w:cs="Arial"/>
          <w:i/>
          <w:iCs/>
          <w:color w:val="000000"/>
        </w:rPr>
        <w:t>Science</w:t>
      </w:r>
      <w:r w:rsidRPr="00476AF6">
        <w:rPr>
          <w:rFonts w:cs="Arial"/>
          <w:color w:val="000000"/>
        </w:rPr>
        <w:t xml:space="preserve">, </w:t>
      </w:r>
      <w:r w:rsidRPr="00476AF6">
        <w:rPr>
          <w:rFonts w:cs="Arial"/>
          <w:i/>
          <w:iCs/>
          <w:color w:val="000000"/>
        </w:rPr>
        <w:t>206</w:t>
      </w:r>
      <w:r w:rsidRPr="00476AF6">
        <w:rPr>
          <w:rFonts w:cs="Arial"/>
          <w:color w:val="000000"/>
        </w:rPr>
        <w:t xml:space="preserve">(4414), 57–58. </w:t>
      </w:r>
    </w:p>
    <w:p w14:paraId="51AA7C72" w14:textId="0AD19D99" w:rsidR="00476AF6" w:rsidRPr="00476AF6" w:rsidRDefault="00476AF6" w:rsidP="00D86809">
      <w:pPr>
        <w:pStyle w:val="Bibliography"/>
        <w:spacing w:line="240" w:lineRule="auto"/>
        <w:rPr>
          <w:rFonts w:cs="Arial"/>
          <w:color w:val="000000"/>
        </w:rPr>
      </w:pPr>
      <w:r w:rsidRPr="00476AF6">
        <w:rPr>
          <w:rFonts w:cs="Arial"/>
          <w:color w:val="000000"/>
        </w:rPr>
        <w:t xml:space="preserve">Zhang, Y., Liu, G., &amp; Wu, J. (2018). Electrochemical conversion of palmitic acid via Kolbe electrolysis for synthesis of n-triacontane. </w:t>
      </w:r>
      <w:r w:rsidRPr="00476AF6">
        <w:rPr>
          <w:rFonts w:cs="Arial"/>
          <w:i/>
          <w:iCs/>
          <w:color w:val="000000"/>
        </w:rPr>
        <w:t>Journal of Electroanalytical Chemistry</w:t>
      </w:r>
      <w:r w:rsidRPr="00476AF6">
        <w:rPr>
          <w:rFonts w:cs="Arial"/>
          <w:color w:val="000000"/>
        </w:rPr>
        <w:t xml:space="preserve">, </w:t>
      </w:r>
      <w:r w:rsidRPr="00476AF6">
        <w:rPr>
          <w:rFonts w:cs="Arial"/>
          <w:i/>
          <w:iCs/>
          <w:color w:val="000000"/>
        </w:rPr>
        <w:t>822</w:t>
      </w:r>
      <w:r w:rsidRPr="00476AF6">
        <w:rPr>
          <w:rFonts w:cs="Arial"/>
          <w:color w:val="000000"/>
        </w:rPr>
        <w:t xml:space="preserve">, 73–80. </w:t>
      </w:r>
    </w:p>
    <w:p w14:paraId="7A31A804" w14:textId="5B46BA28" w:rsidR="00BC7D3B" w:rsidRPr="009B3AA3" w:rsidRDefault="002C5D8D" w:rsidP="00D86809">
      <w:pPr>
        <w:tabs>
          <w:tab w:val="clear" w:pos="7100"/>
        </w:tabs>
        <w:spacing w:after="200" w:line="240" w:lineRule="auto"/>
        <w:rPr>
          <w:rFonts w:cs="Arial"/>
          <w:color w:val="000000" w:themeColor="text1"/>
          <w:szCs w:val="18"/>
          <w:lang w:val="en-US"/>
        </w:rPr>
      </w:pPr>
      <w:r w:rsidRPr="00F32BBE">
        <w:rPr>
          <w:rFonts w:cs="Arial"/>
          <w:color w:val="000000" w:themeColor="text1"/>
          <w:szCs w:val="18"/>
          <w:lang w:val="en-US"/>
        </w:rPr>
        <w:fldChar w:fldCharType="end"/>
      </w:r>
    </w:p>
    <w:sectPr w:rsidR="00BC7D3B" w:rsidRPr="009B3AA3" w:rsidSect="002E19F3">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4EA85" w14:textId="77777777" w:rsidR="002E19F3" w:rsidRDefault="002E19F3" w:rsidP="004F5E36">
      <w:r>
        <w:separator/>
      </w:r>
    </w:p>
  </w:endnote>
  <w:endnote w:type="continuationSeparator" w:id="0">
    <w:p w14:paraId="264ED6FD" w14:textId="77777777" w:rsidR="002E19F3" w:rsidRDefault="002E19F3"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AdvP6960">
    <w:altName w:val="Cambria"/>
    <w:panose1 w:val="020B0604020202020204"/>
    <w:charset w:val="4D"/>
    <w:family w:val="roman"/>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C3AAA" w14:textId="77777777" w:rsidR="002E19F3" w:rsidRDefault="002E19F3" w:rsidP="004F5E36">
      <w:r>
        <w:separator/>
      </w:r>
    </w:p>
  </w:footnote>
  <w:footnote w:type="continuationSeparator" w:id="0">
    <w:p w14:paraId="2845937D" w14:textId="77777777" w:rsidR="002E19F3" w:rsidRDefault="002E19F3"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8BA3DC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872FB4"/>
    <w:multiLevelType w:val="hybridMultilevel"/>
    <w:tmpl w:val="35AEAE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452E3079"/>
    <w:multiLevelType w:val="hybridMultilevel"/>
    <w:tmpl w:val="8DBAA6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2"/>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20"/>
  </w:num>
  <w:num w:numId="13" w16cid:durableId="695733619">
    <w:abstractNumId w:val="14"/>
  </w:num>
  <w:num w:numId="14" w16cid:durableId="145903400">
    <w:abstractNumId w:val="21"/>
  </w:num>
  <w:num w:numId="15" w16cid:durableId="19162326">
    <w:abstractNumId w:val="23"/>
  </w:num>
  <w:num w:numId="16" w16cid:durableId="1977102699">
    <w:abstractNumId w:val="22"/>
  </w:num>
  <w:num w:numId="17" w16cid:durableId="860774865">
    <w:abstractNumId w:val="13"/>
  </w:num>
  <w:num w:numId="18" w16cid:durableId="313221457">
    <w:abstractNumId w:val="14"/>
    <w:lvlOverride w:ilvl="0">
      <w:startOverride w:val="1"/>
    </w:lvlOverride>
  </w:num>
  <w:num w:numId="19" w16cid:durableId="534971577">
    <w:abstractNumId w:val="19"/>
  </w:num>
  <w:num w:numId="20" w16cid:durableId="1150947773">
    <w:abstractNumId w:val="18"/>
  </w:num>
  <w:num w:numId="21" w16cid:durableId="124660497">
    <w:abstractNumId w:val="16"/>
  </w:num>
  <w:num w:numId="22" w16cid:durableId="2099861471">
    <w:abstractNumId w:val="15"/>
  </w:num>
  <w:num w:numId="23" w16cid:durableId="1369332945">
    <w:abstractNumId w:val="10"/>
  </w:num>
  <w:num w:numId="24" w16cid:durableId="1119644749">
    <w:abstractNumId w:val="11"/>
  </w:num>
  <w:num w:numId="25" w16cid:durableId="200824056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651D"/>
    <w:rsid w:val="000117CB"/>
    <w:rsid w:val="0002332C"/>
    <w:rsid w:val="0003148D"/>
    <w:rsid w:val="00031EEC"/>
    <w:rsid w:val="0005068C"/>
    <w:rsid w:val="000511FA"/>
    <w:rsid w:val="00051566"/>
    <w:rsid w:val="000562A9"/>
    <w:rsid w:val="00062A9A"/>
    <w:rsid w:val="00065058"/>
    <w:rsid w:val="000672A0"/>
    <w:rsid w:val="00074C19"/>
    <w:rsid w:val="0007787F"/>
    <w:rsid w:val="00086C39"/>
    <w:rsid w:val="000A03B2"/>
    <w:rsid w:val="000A4FEB"/>
    <w:rsid w:val="000D0268"/>
    <w:rsid w:val="000D29F4"/>
    <w:rsid w:val="000D34BE"/>
    <w:rsid w:val="000E102F"/>
    <w:rsid w:val="000E1357"/>
    <w:rsid w:val="000E36F1"/>
    <w:rsid w:val="000E3A73"/>
    <w:rsid w:val="000E414A"/>
    <w:rsid w:val="000E7F47"/>
    <w:rsid w:val="000F093C"/>
    <w:rsid w:val="000F20CA"/>
    <w:rsid w:val="000F787B"/>
    <w:rsid w:val="00116FBE"/>
    <w:rsid w:val="0012091F"/>
    <w:rsid w:val="00123DAA"/>
    <w:rsid w:val="00126BC2"/>
    <w:rsid w:val="001308B6"/>
    <w:rsid w:val="0013121F"/>
    <w:rsid w:val="00131FE6"/>
    <w:rsid w:val="0013263F"/>
    <w:rsid w:val="001331DF"/>
    <w:rsid w:val="00134DE4"/>
    <w:rsid w:val="00137D40"/>
    <w:rsid w:val="0014034D"/>
    <w:rsid w:val="00143F64"/>
    <w:rsid w:val="00144D16"/>
    <w:rsid w:val="001468D4"/>
    <w:rsid w:val="00150E59"/>
    <w:rsid w:val="00152DE3"/>
    <w:rsid w:val="00156F74"/>
    <w:rsid w:val="00164CA5"/>
    <w:rsid w:val="00164CF9"/>
    <w:rsid w:val="001667A6"/>
    <w:rsid w:val="00173977"/>
    <w:rsid w:val="00174029"/>
    <w:rsid w:val="00175A78"/>
    <w:rsid w:val="00184AD6"/>
    <w:rsid w:val="00185A4B"/>
    <w:rsid w:val="001A4AF7"/>
    <w:rsid w:val="001B0349"/>
    <w:rsid w:val="001B1E93"/>
    <w:rsid w:val="001B65C1"/>
    <w:rsid w:val="001C5DAC"/>
    <w:rsid w:val="001C684B"/>
    <w:rsid w:val="001D0CFB"/>
    <w:rsid w:val="001D1CDA"/>
    <w:rsid w:val="001D21AF"/>
    <w:rsid w:val="001D2255"/>
    <w:rsid w:val="001D53FC"/>
    <w:rsid w:val="001D6EA5"/>
    <w:rsid w:val="001E6798"/>
    <w:rsid w:val="001F1D7C"/>
    <w:rsid w:val="001F42A5"/>
    <w:rsid w:val="001F7B9D"/>
    <w:rsid w:val="00201C93"/>
    <w:rsid w:val="002224B4"/>
    <w:rsid w:val="00226900"/>
    <w:rsid w:val="002436A3"/>
    <w:rsid w:val="002447EF"/>
    <w:rsid w:val="00251550"/>
    <w:rsid w:val="00263B05"/>
    <w:rsid w:val="0027221A"/>
    <w:rsid w:val="00275B61"/>
    <w:rsid w:val="00280FAF"/>
    <w:rsid w:val="00282656"/>
    <w:rsid w:val="002845DC"/>
    <w:rsid w:val="00296B83"/>
    <w:rsid w:val="002A7A1E"/>
    <w:rsid w:val="002B4015"/>
    <w:rsid w:val="002B78CE"/>
    <w:rsid w:val="002C2FB6"/>
    <w:rsid w:val="002C5D8D"/>
    <w:rsid w:val="002E19F3"/>
    <w:rsid w:val="002E5052"/>
    <w:rsid w:val="002E5FA7"/>
    <w:rsid w:val="002F2AED"/>
    <w:rsid w:val="002F3309"/>
    <w:rsid w:val="003008CE"/>
    <w:rsid w:val="003009B7"/>
    <w:rsid w:val="00300E56"/>
    <w:rsid w:val="0030152C"/>
    <w:rsid w:val="0030469C"/>
    <w:rsid w:val="003049EB"/>
    <w:rsid w:val="00305BB6"/>
    <w:rsid w:val="00321CA6"/>
    <w:rsid w:val="00323763"/>
    <w:rsid w:val="00323C5F"/>
    <w:rsid w:val="003269CD"/>
    <w:rsid w:val="0033034F"/>
    <w:rsid w:val="00334C09"/>
    <w:rsid w:val="00362170"/>
    <w:rsid w:val="003723D4"/>
    <w:rsid w:val="00372CB7"/>
    <w:rsid w:val="003749E0"/>
    <w:rsid w:val="00381905"/>
    <w:rsid w:val="00384CC8"/>
    <w:rsid w:val="003871FD"/>
    <w:rsid w:val="003A1E30"/>
    <w:rsid w:val="003A2829"/>
    <w:rsid w:val="003A6FC6"/>
    <w:rsid w:val="003A7D1C"/>
    <w:rsid w:val="003B304B"/>
    <w:rsid w:val="003B3146"/>
    <w:rsid w:val="003B3199"/>
    <w:rsid w:val="003B45D0"/>
    <w:rsid w:val="003C698E"/>
    <w:rsid w:val="003D62CC"/>
    <w:rsid w:val="003F015E"/>
    <w:rsid w:val="003F140F"/>
    <w:rsid w:val="003F3A06"/>
    <w:rsid w:val="00400414"/>
    <w:rsid w:val="004018AB"/>
    <w:rsid w:val="0041295E"/>
    <w:rsid w:val="0041446B"/>
    <w:rsid w:val="004224D1"/>
    <w:rsid w:val="00423B5A"/>
    <w:rsid w:val="0044071E"/>
    <w:rsid w:val="0044329C"/>
    <w:rsid w:val="00445C5C"/>
    <w:rsid w:val="00453E24"/>
    <w:rsid w:val="004561C8"/>
    <w:rsid w:val="00457456"/>
    <w:rsid w:val="004577FE"/>
    <w:rsid w:val="00457B9C"/>
    <w:rsid w:val="0046164A"/>
    <w:rsid w:val="004628D2"/>
    <w:rsid w:val="00462DCD"/>
    <w:rsid w:val="004648AD"/>
    <w:rsid w:val="004703A9"/>
    <w:rsid w:val="0047320F"/>
    <w:rsid w:val="004760DE"/>
    <w:rsid w:val="004761E9"/>
    <w:rsid w:val="00476324"/>
    <w:rsid w:val="004763D7"/>
    <w:rsid w:val="00476AF6"/>
    <w:rsid w:val="004876D6"/>
    <w:rsid w:val="00496A6A"/>
    <w:rsid w:val="004A004E"/>
    <w:rsid w:val="004A24CF"/>
    <w:rsid w:val="004B096E"/>
    <w:rsid w:val="004B5F50"/>
    <w:rsid w:val="004C3D1D"/>
    <w:rsid w:val="004C3D84"/>
    <w:rsid w:val="004C7654"/>
    <w:rsid w:val="004C7913"/>
    <w:rsid w:val="004D03F4"/>
    <w:rsid w:val="004E4DD6"/>
    <w:rsid w:val="004E5286"/>
    <w:rsid w:val="004E7EC7"/>
    <w:rsid w:val="004F5E36"/>
    <w:rsid w:val="004F754F"/>
    <w:rsid w:val="0050049F"/>
    <w:rsid w:val="00504414"/>
    <w:rsid w:val="0050590B"/>
    <w:rsid w:val="00507B47"/>
    <w:rsid w:val="00507BEF"/>
    <w:rsid w:val="00507CC9"/>
    <w:rsid w:val="005119A5"/>
    <w:rsid w:val="00513DF2"/>
    <w:rsid w:val="00516AAC"/>
    <w:rsid w:val="00525820"/>
    <w:rsid w:val="005278B7"/>
    <w:rsid w:val="00532016"/>
    <w:rsid w:val="005346C8"/>
    <w:rsid w:val="00543E7D"/>
    <w:rsid w:val="00544739"/>
    <w:rsid w:val="00545281"/>
    <w:rsid w:val="00547A68"/>
    <w:rsid w:val="005531C9"/>
    <w:rsid w:val="00570C43"/>
    <w:rsid w:val="005770D8"/>
    <w:rsid w:val="00596CFE"/>
    <w:rsid w:val="005B14E7"/>
    <w:rsid w:val="005B2110"/>
    <w:rsid w:val="005B61E6"/>
    <w:rsid w:val="005C6B2F"/>
    <w:rsid w:val="005C77E1"/>
    <w:rsid w:val="005D668A"/>
    <w:rsid w:val="005D6A2F"/>
    <w:rsid w:val="005E1A82"/>
    <w:rsid w:val="005E794C"/>
    <w:rsid w:val="005F05DA"/>
    <w:rsid w:val="005F0A28"/>
    <w:rsid w:val="005F0E5E"/>
    <w:rsid w:val="00600535"/>
    <w:rsid w:val="006046E3"/>
    <w:rsid w:val="00610593"/>
    <w:rsid w:val="00610CD6"/>
    <w:rsid w:val="00616784"/>
    <w:rsid w:val="00620B55"/>
    <w:rsid w:val="00620DEE"/>
    <w:rsid w:val="00621F92"/>
    <w:rsid w:val="006226DE"/>
    <w:rsid w:val="0062280A"/>
    <w:rsid w:val="00625639"/>
    <w:rsid w:val="00631B33"/>
    <w:rsid w:val="006365CA"/>
    <w:rsid w:val="0064184D"/>
    <w:rsid w:val="006422CC"/>
    <w:rsid w:val="0064280F"/>
    <w:rsid w:val="00643583"/>
    <w:rsid w:val="00645DD6"/>
    <w:rsid w:val="006517B5"/>
    <w:rsid w:val="00651ECC"/>
    <w:rsid w:val="00652201"/>
    <w:rsid w:val="00660E3E"/>
    <w:rsid w:val="00662B23"/>
    <w:rsid w:val="00662E74"/>
    <w:rsid w:val="006641C8"/>
    <w:rsid w:val="00664C03"/>
    <w:rsid w:val="00680C23"/>
    <w:rsid w:val="00693766"/>
    <w:rsid w:val="00695072"/>
    <w:rsid w:val="00696142"/>
    <w:rsid w:val="006A23E9"/>
    <w:rsid w:val="006A3281"/>
    <w:rsid w:val="006B4888"/>
    <w:rsid w:val="006C2E45"/>
    <w:rsid w:val="006C359C"/>
    <w:rsid w:val="006C5579"/>
    <w:rsid w:val="006D6E8B"/>
    <w:rsid w:val="006D7887"/>
    <w:rsid w:val="006E737D"/>
    <w:rsid w:val="00713973"/>
    <w:rsid w:val="00720A24"/>
    <w:rsid w:val="00732386"/>
    <w:rsid w:val="0073514D"/>
    <w:rsid w:val="007447F3"/>
    <w:rsid w:val="007460A1"/>
    <w:rsid w:val="00751A79"/>
    <w:rsid w:val="0075499F"/>
    <w:rsid w:val="00757DB2"/>
    <w:rsid w:val="007661C8"/>
    <w:rsid w:val="0077098D"/>
    <w:rsid w:val="00790C9A"/>
    <w:rsid w:val="007931FA"/>
    <w:rsid w:val="007966C1"/>
    <w:rsid w:val="00797C5E"/>
    <w:rsid w:val="007A4861"/>
    <w:rsid w:val="007A62D9"/>
    <w:rsid w:val="007A7BBA"/>
    <w:rsid w:val="007B0C50"/>
    <w:rsid w:val="007B48F9"/>
    <w:rsid w:val="007C1A43"/>
    <w:rsid w:val="007D0951"/>
    <w:rsid w:val="007D540C"/>
    <w:rsid w:val="007D5E80"/>
    <w:rsid w:val="007D79D6"/>
    <w:rsid w:val="007E1C11"/>
    <w:rsid w:val="007E393D"/>
    <w:rsid w:val="007F114E"/>
    <w:rsid w:val="007F7199"/>
    <w:rsid w:val="0080013E"/>
    <w:rsid w:val="00805857"/>
    <w:rsid w:val="00810713"/>
    <w:rsid w:val="008119CA"/>
    <w:rsid w:val="00813288"/>
    <w:rsid w:val="00813CA1"/>
    <w:rsid w:val="008168FC"/>
    <w:rsid w:val="0082671B"/>
    <w:rsid w:val="00830996"/>
    <w:rsid w:val="008345F1"/>
    <w:rsid w:val="00843EAC"/>
    <w:rsid w:val="00856CB0"/>
    <w:rsid w:val="00865B07"/>
    <w:rsid w:val="008667EA"/>
    <w:rsid w:val="00870A09"/>
    <w:rsid w:val="0087637F"/>
    <w:rsid w:val="008778D1"/>
    <w:rsid w:val="0088592C"/>
    <w:rsid w:val="00892316"/>
    <w:rsid w:val="00892AD5"/>
    <w:rsid w:val="00896F8B"/>
    <w:rsid w:val="008A1512"/>
    <w:rsid w:val="008A2135"/>
    <w:rsid w:val="008A2429"/>
    <w:rsid w:val="008A4E19"/>
    <w:rsid w:val="008A6FE3"/>
    <w:rsid w:val="008B16F5"/>
    <w:rsid w:val="008B7C03"/>
    <w:rsid w:val="008C30AC"/>
    <w:rsid w:val="008D3285"/>
    <w:rsid w:val="008D32B9"/>
    <w:rsid w:val="008D433B"/>
    <w:rsid w:val="008D4A16"/>
    <w:rsid w:val="008E084A"/>
    <w:rsid w:val="008E26DE"/>
    <w:rsid w:val="008E566E"/>
    <w:rsid w:val="0090161A"/>
    <w:rsid w:val="00901EB6"/>
    <w:rsid w:val="00902EDA"/>
    <w:rsid w:val="009046A5"/>
    <w:rsid w:val="00904C62"/>
    <w:rsid w:val="00922BA8"/>
    <w:rsid w:val="00923EA6"/>
    <w:rsid w:val="00924CD9"/>
    <w:rsid w:val="00924DAC"/>
    <w:rsid w:val="00927058"/>
    <w:rsid w:val="0093454F"/>
    <w:rsid w:val="009417EA"/>
    <w:rsid w:val="00942750"/>
    <w:rsid w:val="009450CE"/>
    <w:rsid w:val="009459BB"/>
    <w:rsid w:val="00947179"/>
    <w:rsid w:val="0095164B"/>
    <w:rsid w:val="00951AAC"/>
    <w:rsid w:val="00954090"/>
    <w:rsid w:val="009573E7"/>
    <w:rsid w:val="0096178A"/>
    <w:rsid w:val="00963E05"/>
    <w:rsid w:val="00964A45"/>
    <w:rsid w:val="00965F0A"/>
    <w:rsid w:val="009677A2"/>
    <w:rsid w:val="00967843"/>
    <w:rsid w:val="00967D54"/>
    <w:rsid w:val="00971028"/>
    <w:rsid w:val="00991892"/>
    <w:rsid w:val="00993B84"/>
    <w:rsid w:val="00996483"/>
    <w:rsid w:val="00996F5A"/>
    <w:rsid w:val="00997915"/>
    <w:rsid w:val="009B041A"/>
    <w:rsid w:val="009B3AA3"/>
    <w:rsid w:val="009C37C3"/>
    <w:rsid w:val="009C7C86"/>
    <w:rsid w:val="009D2FF7"/>
    <w:rsid w:val="009D51D2"/>
    <w:rsid w:val="009E0F5B"/>
    <w:rsid w:val="009E106F"/>
    <w:rsid w:val="009E7884"/>
    <w:rsid w:val="009E788A"/>
    <w:rsid w:val="009F0E08"/>
    <w:rsid w:val="009F6B3D"/>
    <w:rsid w:val="00A106A4"/>
    <w:rsid w:val="00A1733C"/>
    <w:rsid w:val="00A1763D"/>
    <w:rsid w:val="00A17CEC"/>
    <w:rsid w:val="00A27EF0"/>
    <w:rsid w:val="00A42361"/>
    <w:rsid w:val="00A50B20"/>
    <w:rsid w:val="00A51390"/>
    <w:rsid w:val="00A60D13"/>
    <w:rsid w:val="00A7223D"/>
    <w:rsid w:val="00A72745"/>
    <w:rsid w:val="00A76EFC"/>
    <w:rsid w:val="00A76F69"/>
    <w:rsid w:val="00A8371C"/>
    <w:rsid w:val="00A87D50"/>
    <w:rsid w:val="00A91010"/>
    <w:rsid w:val="00A9208A"/>
    <w:rsid w:val="00A934A2"/>
    <w:rsid w:val="00A96BD1"/>
    <w:rsid w:val="00A97F29"/>
    <w:rsid w:val="00AA0024"/>
    <w:rsid w:val="00AA702E"/>
    <w:rsid w:val="00AA7D26"/>
    <w:rsid w:val="00AB0964"/>
    <w:rsid w:val="00AB5011"/>
    <w:rsid w:val="00AC7368"/>
    <w:rsid w:val="00AC7716"/>
    <w:rsid w:val="00AD0E23"/>
    <w:rsid w:val="00AD16B9"/>
    <w:rsid w:val="00AD66D3"/>
    <w:rsid w:val="00AE2615"/>
    <w:rsid w:val="00AE377D"/>
    <w:rsid w:val="00AE709B"/>
    <w:rsid w:val="00AF0EBA"/>
    <w:rsid w:val="00B02C8A"/>
    <w:rsid w:val="00B14379"/>
    <w:rsid w:val="00B15718"/>
    <w:rsid w:val="00B15EBF"/>
    <w:rsid w:val="00B17FBD"/>
    <w:rsid w:val="00B20070"/>
    <w:rsid w:val="00B20F86"/>
    <w:rsid w:val="00B25B23"/>
    <w:rsid w:val="00B315A6"/>
    <w:rsid w:val="00B31813"/>
    <w:rsid w:val="00B32F53"/>
    <w:rsid w:val="00B33365"/>
    <w:rsid w:val="00B33585"/>
    <w:rsid w:val="00B57B36"/>
    <w:rsid w:val="00B57E6F"/>
    <w:rsid w:val="00B6031F"/>
    <w:rsid w:val="00B7731C"/>
    <w:rsid w:val="00B80425"/>
    <w:rsid w:val="00B8686D"/>
    <w:rsid w:val="00B93F69"/>
    <w:rsid w:val="00B94B60"/>
    <w:rsid w:val="00BA5A30"/>
    <w:rsid w:val="00BA60D8"/>
    <w:rsid w:val="00BB1DDC"/>
    <w:rsid w:val="00BB3074"/>
    <w:rsid w:val="00BB474F"/>
    <w:rsid w:val="00BC1C59"/>
    <w:rsid w:val="00BC30C9"/>
    <w:rsid w:val="00BC4C3F"/>
    <w:rsid w:val="00BC7D3B"/>
    <w:rsid w:val="00BD077D"/>
    <w:rsid w:val="00BD321F"/>
    <w:rsid w:val="00BD5543"/>
    <w:rsid w:val="00BE3E58"/>
    <w:rsid w:val="00BE67F1"/>
    <w:rsid w:val="00BF426A"/>
    <w:rsid w:val="00BF4B05"/>
    <w:rsid w:val="00C01616"/>
    <w:rsid w:val="00C0162B"/>
    <w:rsid w:val="00C068ED"/>
    <w:rsid w:val="00C07748"/>
    <w:rsid w:val="00C22E0C"/>
    <w:rsid w:val="00C345B1"/>
    <w:rsid w:val="00C40142"/>
    <w:rsid w:val="00C4165A"/>
    <w:rsid w:val="00C41696"/>
    <w:rsid w:val="00C4524F"/>
    <w:rsid w:val="00C52C3C"/>
    <w:rsid w:val="00C57182"/>
    <w:rsid w:val="00C57863"/>
    <w:rsid w:val="00C640AF"/>
    <w:rsid w:val="00C655FD"/>
    <w:rsid w:val="00C75407"/>
    <w:rsid w:val="00C77DC9"/>
    <w:rsid w:val="00C80E2C"/>
    <w:rsid w:val="00C82F82"/>
    <w:rsid w:val="00C870A8"/>
    <w:rsid w:val="00C916B3"/>
    <w:rsid w:val="00C94434"/>
    <w:rsid w:val="00C95008"/>
    <w:rsid w:val="00CA0D4A"/>
    <w:rsid w:val="00CA0D75"/>
    <w:rsid w:val="00CA1C95"/>
    <w:rsid w:val="00CA3219"/>
    <w:rsid w:val="00CA5A9C"/>
    <w:rsid w:val="00CB1BE3"/>
    <w:rsid w:val="00CC07DE"/>
    <w:rsid w:val="00CC4C20"/>
    <w:rsid w:val="00CD3517"/>
    <w:rsid w:val="00CD5FE2"/>
    <w:rsid w:val="00CE6062"/>
    <w:rsid w:val="00CE639D"/>
    <w:rsid w:val="00CE7C68"/>
    <w:rsid w:val="00D02B4C"/>
    <w:rsid w:val="00D040C4"/>
    <w:rsid w:val="00D05CE0"/>
    <w:rsid w:val="00D12B39"/>
    <w:rsid w:val="00D15D1F"/>
    <w:rsid w:val="00D20AD1"/>
    <w:rsid w:val="00D4612E"/>
    <w:rsid w:val="00D46B7E"/>
    <w:rsid w:val="00D57C84"/>
    <w:rsid w:val="00D6057D"/>
    <w:rsid w:val="00D648EC"/>
    <w:rsid w:val="00D64C25"/>
    <w:rsid w:val="00D71640"/>
    <w:rsid w:val="00D836C5"/>
    <w:rsid w:val="00D84576"/>
    <w:rsid w:val="00D86809"/>
    <w:rsid w:val="00D90670"/>
    <w:rsid w:val="00D9211C"/>
    <w:rsid w:val="00D95370"/>
    <w:rsid w:val="00D95ABB"/>
    <w:rsid w:val="00DA1399"/>
    <w:rsid w:val="00DA24C6"/>
    <w:rsid w:val="00DA46CE"/>
    <w:rsid w:val="00DA4D7B"/>
    <w:rsid w:val="00DB1EE1"/>
    <w:rsid w:val="00DB3233"/>
    <w:rsid w:val="00DC3F94"/>
    <w:rsid w:val="00DD271C"/>
    <w:rsid w:val="00DD38D6"/>
    <w:rsid w:val="00DE264A"/>
    <w:rsid w:val="00DF5072"/>
    <w:rsid w:val="00E0002D"/>
    <w:rsid w:val="00E02D18"/>
    <w:rsid w:val="00E041E7"/>
    <w:rsid w:val="00E23CA1"/>
    <w:rsid w:val="00E33DD7"/>
    <w:rsid w:val="00E409A8"/>
    <w:rsid w:val="00E509B5"/>
    <w:rsid w:val="00E50C12"/>
    <w:rsid w:val="00E65B91"/>
    <w:rsid w:val="00E7209D"/>
    <w:rsid w:val="00E72EAD"/>
    <w:rsid w:val="00E77223"/>
    <w:rsid w:val="00E8528B"/>
    <w:rsid w:val="00E85B94"/>
    <w:rsid w:val="00E91BBA"/>
    <w:rsid w:val="00E978D0"/>
    <w:rsid w:val="00EA4613"/>
    <w:rsid w:val="00EA7F91"/>
    <w:rsid w:val="00EB1523"/>
    <w:rsid w:val="00EB6DE2"/>
    <w:rsid w:val="00EC0E49"/>
    <w:rsid w:val="00EC101F"/>
    <w:rsid w:val="00EC1D9F"/>
    <w:rsid w:val="00ED0002"/>
    <w:rsid w:val="00ED04EF"/>
    <w:rsid w:val="00ED72C4"/>
    <w:rsid w:val="00EE0131"/>
    <w:rsid w:val="00EE0992"/>
    <w:rsid w:val="00EE0DE0"/>
    <w:rsid w:val="00EE17B0"/>
    <w:rsid w:val="00EF06D9"/>
    <w:rsid w:val="00F11094"/>
    <w:rsid w:val="00F11AD2"/>
    <w:rsid w:val="00F13339"/>
    <w:rsid w:val="00F25F75"/>
    <w:rsid w:val="00F274C9"/>
    <w:rsid w:val="00F3049E"/>
    <w:rsid w:val="00F30C64"/>
    <w:rsid w:val="00F32BA2"/>
    <w:rsid w:val="00F32BBE"/>
    <w:rsid w:val="00F32CDB"/>
    <w:rsid w:val="00F35EF0"/>
    <w:rsid w:val="00F565FE"/>
    <w:rsid w:val="00F63A70"/>
    <w:rsid w:val="00F63D8C"/>
    <w:rsid w:val="00F7534E"/>
    <w:rsid w:val="00F82A02"/>
    <w:rsid w:val="00F93EDF"/>
    <w:rsid w:val="00FA1802"/>
    <w:rsid w:val="00FA21D0"/>
    <w:rsid w:val="00FA5F5F"/>
    <w:rsid w:val="00FB2758"/>
    <w:rsid w:val="00FB730C"/>
    <w:rsid w:val="00FC2695"/>
    <w:rsid w:val="00FC27FC"/>
    <w:rsid w:val="00FC3E03"/>
    <w:rsid w:val="00FC3FC1"/>
    <w:rsid w:val="00FC62D0"/>
    <w:rsid w:val="00FC74BB"/>
    <w:rsid w:val="00FD5714"/>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E0CC22"/>
  <w15:docId w15:val="{A581AAC0-CFCE-7F41-A046-AE273A1AC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48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styleId="UnresolvedMention">
    <w:name w:val="Unresolved Mention"/>
    <w:basedOn w:val="DefaultParagraphFont"/>
    <w:uiPriority w:val="99"/>
    <w:semiHidden/>
    <w:unhideWhenUsed/>
    <w:rsid w:val="009F6B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159925">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aroon.ahmad@unibg.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oleObject" Target="file:////Users\haroon\Desktop\Mixture%20of%20Acids%20Electrolysi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3541920047467558E-2"/>
          <c:y val="5.4418270194999688E-2"/>
          <c:w val="0.85595238859699707"/>
          <c:h val="0.80941180824782333"/>
        </c:manualLayout>
      </c:layout>
      <c:barChart>
        <c:barDir val="col"/>
        <c:grouping val="clustered"/>
        <c:varyColors val="0"/>
        <c:ser>
          <c:idx val="0"/>
          <c:order val="0"/>
          <c:tx>
            <c:v>EtOH:MeOH:H2O</c:v>
          </c:tx>
          <c:spPr>
            <a:solidFill>
              <a:schemeClr val="accent1"/>
            </a:solidFill>
            <a:ln>
              <a:noFill/>
            </a:ln>
            <a:effectLst/>
          </c:spPr>
          <c:invertIfNegative val="0"/>
          <c:cat>
            <c:strRef>
              <c:f>Sheet2!$B$124:$H$124</c:f>
              <c:strCache>
                <c:ptCount val="7"/>
                <c:pt idx="0">
                  <c:v>Dimers</c:v>
                </c:pt>
                <c:pt idx="1">
                  <c:v>Other HC</c:v>
                </c:pt>
                <c:pt idx="2">
                  <c:v>Alcohols</c:v>
                </c:pt>
                <c:pt idx="3">
                  <c:v>Aldehydes</c:v>
                </c:pt>
                <c:pt idx="4">
                  <c:v>Esters</c:v>
                </c:pt>
                <c:pt idx="5">
                  <c:v>Acid (n-1)</c:v>
                </c:pt>
                <c:pt idx="6">
                  <c:v>Unreacted Acid</c:v>
                </c:pt>
              </c:strCache>
            </c:strRef>
          </c:cat>
          <c:val>
            <c:numRef>
              <c:f>Sheet2!$B$125:$H$125</c:f>
              <c:numCache>
                <c:formatCode>General</c:formatCode>
                <c:ptCount val="7"/>
                <c:pt idx="0">
                  <c:v>23</c:v>
                </c:pt>
                <c:pt idx="1">
                  <c:v>19.5</c:v>
                </c:pt>
                <c:pt idx="2">
                  <c:v>18</c:v>
                </c:pt>
                <c:pt idx="3">
                  <c:v>9</c:v>
                </c:pt>
                <c:pt idx="4">
                  <c:v>0</c:v>
                </c:pt>
                <c:pt idx="5">
                  <c:v>0.5</c:v>
                </c:pt>
                <c:pt idx="6">
                  <c:v>2</c:v>
                </c:pt>
              </c:numCache>
            </c:numRef>
          </c:val>
          <c:extLst>
            <c:ext xmlns:c16="http://schemas.microsoft.com/office/drawing/2014/chart" uri="{C3380CC4-5D6E-409C-BE32-E72D297353CC}">
              <c16:uniqueId val="{00000000-C074-E045-A6C7-CE34419BAAD4}"/>
            </c:ext>
          </c:extLst>
        </c:ser>
        <c:ser>
          <c:idx val="1"/>
          <c:order val="1"/>
          <c:tx>
            <c:v>EtOH:Water</c:v>
          </c:tx>
          <c:spPr>
            <a:solidFill>
              <a:schemeClr val="accent2"/>
            </a:solidFill>
            <a:ln>
              <a:noFill/>
            </a:ln>
            <a:effectLst/>
          </c:spPr>
          <c:invertIfNegative val="0"/>
          <c:cat>
            <c:strRef>
              <c:f>Sheet2!$B$124:$H$124</c:f>
              <c:strCache>
                <c:ptCount val="7"/>
                <c:pt idx="0">
                  <c:v>Dimers</c:v>
                </c:pt>
                <c:pt idx="1">
                  <c:v>Other HC</c:v>
                </c:pt>
                <c:pt idx="2">
                  <c:v>Alcohols</c:v>
                </c:pt>
                <c:pt idx="3">
                  <c:v>Aldehydes</c:v>
                </c:pt>
                <c:pt idx="4">
                  <c:v>Esters</c:v>
                </c:pt>
                <c:pt idx="5">
                  <c:v>Acid (n-1)</c:v>
                </c:pt>
                <c:pt idx="6">
                  <c:v>Unreacted Acid</c:v>
                </c:pt>
              </c:strCache>
            </c:strRef>
          </c:cat>
          <c:val>
            <c:numRef>
              <c:f>Sheet2!$B$126:$H$126</c:f>
              <c:numCache>
                <c:formatCode>General</c:formatCode>
                <c:ptCount val="7"/>
                <c:pt idx="0">
                  <c:v>9</c:v>
                </c:pt>
                <c:pt idx="1">
                  <c:v>11.8</c:v>
                </c:pt>
                <c:pt idx="2">
                  <c:v>20</c:v>
                </c:pt>
                <c:pt idx="3">
                  <c:v>21.79</c:v>
                </c:pt>
                <c:pt idx="4">
                  <c:v>1.41</c:v>
                </c:pt>
                <c:pt idx="5">
                  <c:v>0</c:v>
                </c:pt>
                <c:pt idx="6">
                  <c:v>7</c:v>
                </c:pt>
              </c:numCache>
            </c:numRef>
          </c:val>
          <c:extLst>
            <c:ext xmlns:c16="http://schemas.microsoft.com/office/drawing/2014/chart" uri="{C3380CC4-5D6E-409C-BE32-E72D297353CC}">
              <c16:uniqueId val="{00000001-C074-E045-A6C7-CE34419BAAD4}"/>
            </c:ext>
          </c:extLst>
        </c:ser>
        <c:ser>
          <c:idx val="2"/>
          <c:order val="2"/>
          <c:tx>
            <c:v>Hexane:EtOH:Water</c:v>
          </c:tx>
          <c:spPr>
            <a:solidFill>
              <a:schemeClr val="accent3"/>
            </a:solidFill>
            <a:ln>
              <a:noFill/>
            </a:ln>
            <a:effectLst/>
          </c:spPr>
          <c:invertIfNegative val="0"/>
          <c:cat>
            <c:strRef>
              <c:f>Sheet2!$B$124:$H$124</c:f>
              <c:strCache>
                <c:ptCount val="7"/>
                <c:pt idx="0">
                  <c:v>Dimers</c:v>
                </c:pt>
                <c:pt idx="1">
                  <c:v>Other HC</c:v>
                </c:pt>
                <c:pt idx="2">
                  <c:v>Alcohols</c:v>
                </c:pt>
                <c:pt idx="3">
                  <c:v>Aldehydes</c:v>
                </c:pt>
                <c:pt idx="4">
                  <c:v>Esters</c:v>
                </c:pt>
                <c:pt idx="5">
                  <c:v>Acid (n-1)</c:v>
                </c:pt>
                <c:pt idx="6">
                  <c:v>Unreacted Acid</c:v>
                </c:pt>
              </c:strCache>
            </c:strRef>
          </c:cat>
          <c:val>
            <c:numRef>
              <c:f>Sheet2!$B$127:$H$127</c:f>
              <c:numCache>
                <c:formatCode>General</c:formatCode>
                <c:ptCount val="7"/>
                <c:pt idx="0">
                  <c:v>15</c:v>
                </c:pt>
                <c:pt idx="1">
                  <c:v>30</c:v>
                </c:pt>
                <c:pt idx="2">
                  <c:v>20</c:v>
                </c:pt>
                <c:pt idx="3">
                  <c:v>17</c:v>
                </c:pt>
                <c:pt idx="4">
                  <c:v>0</c:v>
                </c:pt>
                <c:pt idx="5">
                  <c:v>2</c:v>
                </c:pt>
                <c:pt idx="6">
                  <c:v>16</c:v>
                </c:pt>
              </c:numCache>
            </c:numRef>
          </c:val>
          <c:extLst>
            <c:ext xmlns:c16="http://schemas.microsoft.com/office/drawing/2014/chart" uri="{C3380CC4-5D6E-409C-BE32-E72D297353CC}">
              <c16:uniqueId val="{00000002-C074-E045-A6C7-CE34419BAAD4}"/>
            </c:ext>
          </c:extLst>
        </c:ser>
        <c:dLbls>
          <c:showLegendKey val="0"/>
          <c:showVal val="0"/>
          <c:showCatName val="0"/>
          <c:showSerName val="0"/>
          <c:showPercent val="0"/>
          <c:showBubbleSize val="0"/>
        </c:dLbls>
        <c:gapWidth val="219"/>
        <c:overlap val="-27"/>
        <c:axId val="1714618240"/>
        <c:axId val="1714616768"/>
      </c:barChart>
      <c:catAx>
        <c:axId val="1714618240"/>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7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IT"/>
          </a:p>
        </c:txPr>
        <c:crossAx val="1714616768"/>
        <c:crosses val="autoZero"/>
        <c:auto val="1"/>
        <c:lblAlgn val="ctr"/>
        <c:lblOffset val="100"/>
        <c:noMultiLvlLbl val="0"/>
      </c:catAx>
      <c:valAx>
        <c:axId val="1714616768"/>
        <c:scaling>
          <c:orientation val="minMax"/>
          <c:max val="100"/>
          <c:min val="0"/>
        </c:scaling>
        <c:delete val="0"/>
        <c:axPos val="l"/>
        <c:title>
          <c:tx>
            <c:rich>
              <a:bodyPr rot="-54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GB" sz="900"/>
                  <a:t>%</a:t>
                </a:r>
              </a:p>
            </c:rich>
          </c:tx>
          <c:layout>
            <c:manualLayout>
              <c:xMode val="edge"/>
              <c:yMode val="edge"/>
              <c:x val="3.9809170278621081E-3"/>
              <c:y val="0.40428645009268088"/>
            </c:manualLayout>
          </c:layout>
          <c:overlay val="0"/>
          <c:spPr>
            <a:noFill/>
            <a:ln>
              <a:noFill/>
            </a:ln>
            <a:effectLst/>
          </c:spPr>
          <c:txPr>
            <a:bodyPr rot="-54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IT"/>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IT"/>
          </a:p>
        </c:txPr>
        <c:crossAx val="1714618240"/>
        <c:crosses val="autoZero"/>
        <c:crossBetween val="between"/>
        <c:majorUnit val="20"/>
      </c:valAx>
      <c:spPr>
        <a:noFill/>
        <a:ln>
          <a:noFill/>
        </a:ln>
        <a:effectLst/>
      </c:spPr>
    </c:plotArea>
    <c:legend>
      <c:legendPos val="b"/>
      <c:layout>
        <c:manualLayout>
          <c:xMode val="edge"/>
          <c:yMode val="edge"/>
          <c:x val="0.70374247590456274"/>
          <c:y val="0.13036689992510417"/>
          <c:w val="0.28328922935577999"/>
          <c:h val="0.28816203664389484"/>
        </c:manualLayout>
      </c:layout>
      <c:overlay val="0"/>
      <c:spPr>
        <a:noFill/>
        <a:ln>
          <a:noFill/>
        </a:ln>
        <a:effectLst/>
      </c:spPr>
      <c:txPr>
        <a:bodyPr rot="0" spcFirstLastPara="1" vertOverflow="ellipsis" vert="horz" wrap="square" anchor="ctr" anchorCtr="1"/>
        <a:lstStyle/>
        <a:p>
          <a:pPr>
            <a:defRPr sz="7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b="1">
          <a:solidFill>
            <a:schemeClr val="tx1"/>
          </a:solidFill>
          <a:latin typeface="Times New Roman" panose="02020603050405020304" pitchFamily="18" charset="0"/>
          <a:cs typeface="Times New Roman" panose="02020603050405020304" pitchFamily="18" charset="0"/>
        </a:defRPr>
      </a:pPr>
      <a:endParaRPr lang="en-I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10021</Words>
  <Characters>57125</Characters>
  <Application>Microsoft Office Word</Application>
  <DocSecurity>0</DocSecurity>
  <Lines>476</Lines>
  <Paragraphs>134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67012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Haroon Ahmad</cp:lastModifiedBy>
  <cp:revision>2</cp:revision>
  <cp:lastPrinted>2015-05-12T18:31:00Z</cp:lastPrinted>
  <dcterms:created xsi:type="dcterms:W3CDTF">2024-02-29T17:33:00Z</dcterms:created>
  <dcterms:modified xsi:type="dcterms:W3CDTF">2024-02-29T17:33:00Z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id="fBOfXZNi"/&gt;&lt;style id="http://www.zotero.org/styles/apa" locale="en-US" hasBibliography="1" bibliographyStyleHasBeenSet="1"/&gt;&lt;prefs&gt;&lt;pref name="fieldType" value="Field"/&gt;&lt;pref name="storeReference</vt:lpwstr>
  </property>
  <property fmtid="{D5CDD505-2E9C-101B-9397-08002B2CF9AE}" pid="3" name="ZOTERO_PREF_2">
    <vt:lpwstr>s" value="true"/&gt;&lt;/prefs&gt;&lt;/data&gt;</vt:lpwstr>
  </property>
  <property fmtid="{D5CDD505-2E9C-101B-9397-08002B2CF9AE}" pid="4" name="GrammarlyDocumentId">
    <vt:lpwstr>58ff08d23931e8d219b900d67106d985a74b4fbf701bc6736badf98b711cf66e</vt:lpwstr>
  </property>
</Properties>
</file>