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n-US" w:eastAsia="ko-KR"/>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15DAE12D"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843EAC">
              <w:rPr>
                <w:rFonts w:cs="Arial"/>
                <w:b/>
                <w:bCs/>
                <w:i/>
                <w:iCs/>
                <w:color w:val="000066"/>
                <w:sz w:val="22"/>
                <w:szCs w:val="22"/>
                <w:lang w:eastAsia="it-IT"/>
              </w:rPr>
              <w:t xml:space="preserve">    </w:t>
            </w:r>
            <w:r w:rsidR="004761E9">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DB3233">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n-US" w:eastAsia="ko-KR"/>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475D992A" w:rsidR="00AA7D26" w:rsidRPr="006A23E9" w:rsidRDefault="00AA7D26" w:rsidP="00AA7D26">
            <w:pPr>
              <w:ind w:left="-107"/>
              <w:outlineLvl w:val="2"/>
              <w:rPr>
                <w:rFonts w:ascii="Tahoma" w:hAnsi="Tahoma" w:cs="Tahoma"/>
                <w:bCs/>
                <w:color w:val="000000"/>
                <w:sz w:val="14"/>
                <w:szCs w:val="14"/>
                <w:lang w:eastAsia="it-IT"/>
              </w:rPr>
            </w:pPr>
            <w:r w:rsidRPr="006A23E9">
              <w:rPr>
                <w:rFonts w:ascii="Tahoma" w:hAnsi="Tahoma" w:cs="Tahoma"/>
                <w:iCs/>
                <w:color w:val="333333"/>
                <w:sz w:val="14"/>
                <w:szCs w:val="14"/>
                <w:lang w:eastAsia="it-IT"/>
              </w:rPr>
              <w:t>Guest Editors:</w:t>
            </w:r>
            <w:r w:rsidRPr="006A23E9">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shd w:val="clear" w:color="auto" w:fill="FFFFFF"/>
              </w:rPr>
              <w:t xml:space="preserve">Leonardo Tognotti, </w:t>
            </w:r>
            <w:r w:rsidR="006A23E9" w:rsidRPr="00946B70">
              <w:rPr>
                <w:rFonts w:ascii="Tahoma" w:hAnsi="Tahoma" w:cs="Tahoma"/>
                <w:color w:val="000000"/>
                <w:sz w:val="14"/>
                <w:szCs w:val="14"/>
              </w:rPr>
              <w:t>Rubens Maciel Filho</w:t>
            </w:r>
            <w:r w:rsidR="006A23E9" w:rsidRPr="00946B70">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rPr>
              <w:t>Viatcheslav Kafarov</w:t>
            </w:r>
          </w:p>
          <w:p w14:paraId="1B0F1814" w14:textId="3AD74145"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843EAC">
              <w:rPr>
                <w:rFonts w:ascii="Tahoma" w:hAnsi="Tahoma" w:cs="Tahoma"/>
                <w:iCs/>
                <w:color w:val="333333"/>
                <w:sz w:val="14"/>
                <w:szCs w:val="14"/>
                <w:lang w:eastAsia="it-IT"/>
              </w:rPr>
              <w:t>4</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DB3233">
              <w:rPr>
                <w:rFonts w:ascii="Tahoma" w:hAnsi="Tahoma" w:cs="Tahoma"/>
                <w:sz w:val="14"/>
                <w:szCs w:val="14"/>
              </w:rPr>
              <w:t>09</w:t>
            </w:r>
            <w:r>
              <w:rPr>
                <w:rFonts w:ascii="Tahoma" w:hAnsi="Tahoma" w:cs="Tahoma"/>
                <w:sz w:val="14"/>
                <w:szCs w:val="14"/>
              </w:rPr>
              <w:t>-</w:t>
            </w:r>
            <w:r w:rsidR="00DB3233">
              <w:rPr>
                <w:rFonts w:ascii="Tahoma" w:hAnsi="Tahoma" w:cs="Tahoma"/>
                <w:sz w:val="14"/>
                <w:szCs w:val="14"/>
              </w:rPr>
              <w:t>0</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1163F9A2" w:rsidR="00E978D0" w:rsidRPr="00B57B36" w:rsidRDefault="00B54880" w:rsidP="00E978D0">
      <w:pPr>
        <w:pStyle w:val="CETTitle"/>
      </w:pPr>
      <w:r w:rsidRPr="00B54880">
        <w:t>Bio-aviation fuels from lignocellulose fast pyrolysis oils</w:t>
      </w:r>
    </w:p>
    <w:p w14:paraId="0488FED2" w14:textId="7D16F933" w:rsidR="00B57E6F" w:rsidRPr="00B57B36" w:rsidRDefault="00B54880" w:rsidP="00B57E6F">
      <w:pPr>
        <w:pStyle w:val="CETAuthors"/>
      </w:pPr>
      <w:r>
        <w:t>Dong Jin Suh</w:t>
      </w:r>
      <w:r w:rsidRPr="00B54880">
        <w:rPr>
          <w:vertAlign w:val="superscript"/>
        </w:rPr>
        <w:t>a</w:t>
      </w:r>
      <w:r w:rsidR="003A53D8">
        <w:rPr>
          <w:vertAlign w:val="superscript"/>
        </w:rPr>
        <w:t>,*</w:t>
      </w:r>
      <w:r w:rsidR="00B57E6F" w:rsidRPr="00B57B36">
        <w:t xml:space="preserve">, </w:t>
      </w:r>
      <w:r>
        <w:t>Chun-Jae Yoo</w:t>
      </w:r>
      <w:r w:rsidRPr="00B54880">
        <w:rPr>
          <w:vertAlign w:val="superscript"/>
        </w:rPr>
        <w:t>a</w:t>
      </w:r>
      <w:r>
        <w:t>, Jae-Wook Choi</w:t>
      </w:r>
      <w:r w:rsidRPr="00B54880">
        <w:rPr>
          <w:vertAlign w:val="superscript"/>
        </w:rPr>
        <w:t>a</w:t>
      </w:r>
      <w:r>
        <w:t>, Jeong-Myeong Ha</w:t>
      </w:r>
      <w:r>
        <w:rPr>
          <w:vertAlign w:val="superscript"/>
        </w:rPr>
        <w:t>a</w:t>
      </w:r>
    </w:p>
    <w:p w14:paraId="6B2D21B3" w14:textId="05FCAC69" w:rsidR="00B57E6F" w:rsidRPr="00B57B36" w:rsidRDefault="00B57E6F" w:rsidP="00B57E6F">
      <w:pPr>
        <w:pStyle w:val="CETAddress"/>
      </w:pPr>
      <w:r w:rsidRPr="00B57B36">
        <w:rPr>
          <w:vertAlign w:val="superscript"/>
        </w:rPr>
        <w:t>a</w:t>
      </w:r>
      <w:r w:rsidR="00B54880">
        <w:t>Clean Energy Research Center, Korea Institute of Science and Technology, Seoul 02792, Republic of Korea</w:t>
      </w:r>
      <w:r w:rsidRPr="00B57B36">
        <w:t xml:space="preserve"> </w:t>
      </w:r>
    </w:p>
    <w:p w14:paraId="73F1267A" w14:textId="7B09AFC4" w:rsidR="00B57E6F" w:rsidRPr="00B57B36" w:rsidRDefault="003A53D8" w:rsidP="00B57E6F">
      <w:pPr>
        <w:pStyle w:val="CETemail"/>
      </w:pPr>
      <w:r>
        <w:t>djsuh</w:t>
      </w:r>
      <w:r w:rsidR="00B57E6F" w:rsidRPr="00B57B36">
        <w:t>@</w:t>
      </w:r>
      <w:r>
        <w:t>kist.re.kr</w:t>
      </w:r>
    </w:p>
    <w:p w14:paraId="6893AF25" w14:textId="60DD2808" w:rsidR="00600535" w:rsidRPr="00B57B36" w:rsidRDefault="003B4D3A" w:rsidP="00600535">
      <w:pPr>
        <w:pStyle w:val="CETBodytext"/>
        <w:rPr>
          <w:lang w:val="en-GB"/>
        </w:rPr>
      </w:pPr>
      <w:r w:rsidRPr="003B4D3A">
        <w:rPr>
          <w:lang w:val="en-GB"/>
        </w:rPr>
        <w:t>Bio-aviation fuels were prepared by the catalytic upgrading of lignocellulose fast pyrolysis oil, or bio-crude. Hydrotreating was performed for upgrading the oils. The oxygen atoms in the bio-crude were removed using the fixed bed continuous flow reaction systems composed of the multiple catalyst beds. The complete deoxygenation was observed and the possible applications of bio-crude-derived deoxygenated hydrocarbon fuels for aviation fuels were discussed. The detailed characterizations of catalysts using Raman, XRD, XPS, TEM, and other methods confirmed the improved activity or selectivity of the catalysts used in this study. The reaction products were also analyzed using GC, GPC, Karl Fischer titration, and other methods for understanding the reaction pathways and for obtaining the insight to improve the upgrading process.</w:t>
      </w:r>
    </w:p>
    <w:p w14:paraId="476B2F2E" w14:textId="77777777" w:rsidR="00600535" w:rsidRPr="00B57B36" w:rsidRDefault="00600535" w:rsidP="00600535">
      <w:pPr>
        <w:pStyle w:val="CETHeading1"/>
        <w:rPr>
          <w:lang w:val="en-GB"/>
        </w:rPr>
      </w:pPr>
      <w:r w:rsidRPr="00B57B36">
        <w:rPr>
          <w:lang w:val="en-GB"/>
        </w:rPr>
        <w:t>Introduction</w:t>
      </w:r>
    </w:p>
    <w:p w14:paraId="571B462E" w14:textId="4A96CFB1" w:rsidR="00E629B8" w:rsidRDefault="00E629B8" w:rsidP="00600535">
      <w:pPr>
        <w:pStyle w:val="CETBodytext"/>
        <w:rPr>
          <w:lang w:val="en-GB"/>
        </w:rPr>
      </w:pPr>
      <w:r w:rsidRPr="00E629B8">
        <w:rPr>
          <w:lang w:val="en-GB"/>
        </w:rPr>
        <w:t xml:space="preserve">Sustainable aviation fuels are being intensively studied because of international regulations for reducing carbon footprint in the aviation industry. While the paraffins obtained from lipids or synthesis gas are widely selected as sustainable aviation fuels, the limited feedstocks of lipids cannot </w:t>
      </w:r>
      <w:r w:rsidR="00D80A4A" w:rsidRPr="00E629B8">
        <w:rPr>
          <w:lang w:val="en-GB"/>
        </w:rPr>
        <w:t>fulfil</w:t>
      </w:r>
      <w:r w:rsidRPr="00E629B8">
        <w:rPr>
          <w:lang w:val="en-GB"/>
        </w:rPr>
        <w:t xml:space="preserve"> the global demands, and the lignocellulose can supply the cheap and sustainable feedstock for the bio-aviation fuels </w:t>
      </w:r>
      <w:r w:rsidRPr="00E629B8">
        <w:rPr>
          <w:lang w:val="en-GB"/>
        </w:rPr>
        <w:fldChar w:fldCharType="begin"/>
      </w:r>
      <w:r w:rsidR="006B1E0C">
        <w:rPr>
          <w:lang w:val="en-GB"/>
        </w:rPr>
        <w:instrText xml:space="preserve"> ADDIN EN.CITE &lt;EndNote&gt;&lt;Cite&gt;&lt;Author&gt;Kim&lt;/Author&gt;&lt;Year&gt;2020&lt;/Year&gt;&lt;RecNum&gt;7356&lt;/RecNum&gt;&lt;DisplayText&gt;(Kim et al., 2020)&lt;/DisplayText&gt;&lt;record&gt;&lt;rec-number&gt;7356&lt;/rec-number&gt;&lt;foreign-keys&gt;&lt;key app="EN" db-id="xfx9rt2r0x0prpe00x4vpsr8xd0eadaaezfv" timestamp="1588117863"&gt;7356&lt;/key&gt;&lt;/foreign-keys&gt;&lt;ref-type name="Journal Article"&gt;17&lt;/ref-type&gt;&lt;contributors&gt;&lt;authors&gt;&lt;author&gt;Kim, Yoonsoo&lt;/author&gt;&lt;author&gt;Shim, Jingi&lt;/author&gt;&lt;author&gt;Choi, Jae-Wook&lt;/author&gt;&lt;author&gt;Jin Suh, Dong&lt;/author&gt;&lt;author&gt;Park, Young-Kwon&lt;/author&gt;&lt;author&gt;Lee, Ung&lt;/author&gt;&lt;author&gt;Choi, Jungkyu&lt;/author&gt;&lt;author&gt;Ha, Jeong-Myeong&lt;/author&gt;&lt;/authors&gt;&lt;/contributors&gt;&lt;titles&gt;&lt;title&gt;Continuous-flow production of petroleum-replacing fuels from highly viscous Kraft lignin pyrolysis oil using its hydrocracked oil as a solvent&lt;/title&gt;&lt;secondary-title&gt;Energy Conversion and Management&lt;/secondary-title&gt;&lt;/titles&gt;&lt;periodical&gt;&lt;full-title&gt;Energy Conversion and Management&lt;/full-title&gt;&lt;abbr-1&gt;Energy Convers. Manage.&lt;/abbr-1&gt;&lt;/periodical&gt;&lt;pages&gt;112728&lt;/pages&gt;&lt;volume&gt;213&lt;/volume&gt;&lt;keywords&gt;&lt;keyword&gt;Lignin pyrolysis oil&lt;/keyword&gt;&lt;keyword&gt;Hydrocracking&lt;/keyword&gt;&lt;keyword&gt;CoMo/Hβ&lt;/keyword&gt;&lt;keyword&gt;Viscosity&lt;/keyword&gt;&lt;keyword&gt;Hydrodeoxygenation&lt;/keyword&gt;&lt;/keywords&gt;&lt;dates&gt;&lt;year&gt;2020&lt;/year&gt;&lt;pub-dates&gt;&lt;date&gt;2020/06/01/&lt;/date&gt;&lt;/pub-dates&gt;&lt;/dates&gt;&lt;isbn&gt;0196-8904&lt;/isbn&gt;&lt;urls&gt;&lt;related-urls&gt;&lt;url&gt;http://www.sciencedirect.com/science/article/pii/S0196890420302661&lt;/url&gt;&lt;/related-urls&gt;&lt;/urls&gt;&lt;electronic-resource-num&gt;https://doi.org/10.1016/j.enconman.2020.112728&lt;/electronic-resource-num&gt;&lt;/record&gt;&lt;/Cite&gt;&lt;/EndNote&gt;</w:instrText>
      </w:r>
      <w:r w:rsidRPr="00E629B8">
        <w:rPr>
          <w:lang w:val="en-GB"/>
        </w:rPr>
        <w:fldChar w:fldCharType="separate"/>
      </w:r>
      <w:r w:rsidR="006B1E0C">
        <w:rPr>
          <w:noProof/>
          <w:lang w:val="en-GB"/>
        </w:rPr>
        <w:t>(Kim et al., 2020)</w:t>
      </w:r>
      <w:r w:rsidRPr="00E629B8">
        <w:fldChar w:fldCharType="end"/>
      </w:r>
      <w:r w:rsidRPr="00E629B8">
        <w:rPr>
          <w:lang w:val="en-GB"/>
        </w:rPr>
        <w:t>. The biomass pyrolysis oil, or bio-crude, produced by the fast pyrolysis of lignocellulose contains a large quantity of oxygenates and water, increasing its acidity and viscosity. Because the petroleum-based liquid fuels do not contain oxygen atoms, the deoxygenation of bio-crude is required and the hydrodeoxygenation of bio-crude has been studied as feasible methods to obtain hydrocarbon fuels from biomass. The low carbon number hydrocarbons can be obtained by the hydrodeoxygenation of lignin-derived monomeric phenolic molecules and cellulose-derived small oxygenates, which are not appropriate as aviation fuels. In this study, the production of high carbon number cycloalkanes, or naphthenes, from these low carbon number phenolic molecules was performed. The cyclic alcohols, prepared by the selective hydrogenation of phenols, were condensed with the phenolic molecules by the alkylation, which can be further hydrodeoxygenated to obtain the high carbon number naphthenes as appropriate candidates for aviation fuels. The detailed reaction mechanism and the roles of catalysts in the multiple reaction steps were discussed to maximize the production of bio-aviation fuels from bio-crude.</w:t>
      </w:r>
    </w:p>
    <w:p w14:paraId="5741900F" w14:textId="1D4A64DE" w:rsidR="00453E24" w:rsidRDefault="0068374C" w:rsidP="00453E24">
      <w:pPr>
        <w:pStyle w:val="CETHeading1"/>
      </w:pPr>
      <w:r>
        <w:t>Experimental methods</w:t>
      </w:r>
    </w:p>
    <w:p w14:paraId="7C2B0064" w14:textId="51D46DE7" w:rsidR="00453E24" w:rsidRDefault="0068374C" w:rsidP="00453E24">
      <w:pPr>
        <w:pStyle w:val="CETBodytext"/>
      </w:pPr>
      <w:r>
        <w:t>The catalytic conversion of lignocellulose fast pyrolysis oil (bio-crude) and its corresponding model reactants to bio-aviation fuels was performed using three- or four-step reaction. The catalysts and reaction products were characterized to understand the reaction mechanisms.</w:t>
      </w:r>
    </w:p>
    <w:p w14:paraId="18BAFA6F" w14:textId="32186FD9" w:rsidR="00453E24" w:rsidRPr="00B57B36" w:rsidRDefault="0068374C" w:rsidP="00453E24">
      <w:pPr>
        <w:pStyle w:val="CETheadingx"/>
      </w:pPr>
      <w:r>
        <w:t>Three-step reaction using model reactants</w:t>
      </w:r>
    </w:p>
    <w:p w14:paraId="3AB7A5A7" w14:textId="31FEE58B" w:rsidR="0068374C" w:rsidRDefault="0068374C" w:rsidP="0068374C">
      <w:pPr>
        <w:pStyle w:val="CETBodytext"/>
        <w:rPr>
          <w:lang w:val="en-GB"/>
        </w:rPr>
      </w:pPr>
      <w:r w:rsidRPr="0068374C">
        <w:rPr>
          <w:lang w:val="en-GB"/>
        </w:rPr>
        <w:t>The three-step hydrotreating reaction was performed using a 150-mL batch reactor. The first step converted the phenolic model compounds (syringol, 4-ethyl guaiacol, and propyl phenol) into the corresponding cyclic alcohols. NiFe/TiO</w:t>
      </w:r>
      <w:r w:rsidRPr="0068374C">
        <w:rPr>
          <w:vertAlign w:val="subscript"/>
          <w:lang w:val="en-GB"/>
        </w:rPr>
        <w:t>2</w:t>
      </w:r>
      <w:r w:rsidRPr="0068374C">
        <w:rPr>
          <w:lang w:val="en-GB"/>
        </w:rPr>
        <w:t xml:space="preserve"> catalyst was mixed with reactants and n-decane solvent in the reactor, and the reaction was performed at 270 °C and 5 MPa H</w:t>
      </w:r>
      <w:r w:rsidRPr="0068374C">
        <w:rPr>
          <w:vertAlign w:val="subscript"/>
          <w:lang w:val="en-GB"/>
        </w:rPr>
        <w:t>2</w:t>
      </w:r>
      <w:r w:rsidRPr="0068374C">
        <w:rPr>
          <w:lang w:val="en-GB"/>
        </w:rPr>
        <w:t>. The second step condensed the cyclic alcohols with phenol in the presence of catalysts, including H-form of Y zeolite (HY30, Si/Al = 30 mol/mol), H-form of β-zeolite (HBEA38, Si/Al = 30 mol/mol), tungstated zirconia (WZr), sulfated ZrO</w:t>
      </w:r>
      <w:r w:rsidRPr="0068374C">
        <w:rPr>
          <w:vertAlign w:val="subscript"/>
          <w:lang w:val="en-GB"/>
        </w:rPr>
        <w:t>2</w:t>
      </w:r>
      <w:r w:rsidRPr="0068374C">
        <w:rPr>
          <w:lang w:val="en-GB"/>
        </w:rPr>
        <w:t xml:space="preserve"> (S-ZrO</w:t>
      </w:r>
      <w:r w:rsidRPr="0068374C">
        <w:rPr>
          <w:vertAlign w:val="subscript"/>
          <w:lang w:val="en-GB"/>
        </w:rPr>
        <w:t>2</w:t>
      </w:r>
      <w:r w:rsidRPr="0068374C">
        <w:rPr>
          <w:lang w:val="en-GB"/>
        </w:rPr>
        <w:t>), γ-alumina (γ-Al</w:t>
      </w:r>
      <w:r w:rsidRPr="0068374C">
        <w:rPr>
          <w:vertAlign w:val="subscript"/>
          <w:lang w:val="en-GB"/>
        </w:rPr>
        <w:t>2</w:t>
      </w:r>
      <w:r w:rsidRPr="0068374C">
        <w:rPr>
          <w:lang w:val="en-GB"/>
        </w:rPr>
        <w:t>O</w:t>
      </w:r>
      <w:r w:rsidRPr="0068374C">
        <w:rPr>
          <w:vertAlign w:val="subscript"/>
          <w:lang w:val="en-GB"/>
        </w:rPr>
        <w:t>3</w:t>
      </w:r>
      <w:r w:rsidRPr="0068374C">
        <w:rPr>
          <w:lang w:val="en-GB"/>
        </w:rPr>
        <w:t>), and silica-alumina (SiO</w:t>
      </w:r>
      <w:r w:rsidRPr="0068374C">
        <w:rPr>
          <w:vertAlign w:val="subscript"/>
          <w:lang w:val="en-GB"/>
        </w:rPr>
        <w:t>2</w:t>
      </w:r>
      <w:r w:rsidRPr="0068374C">
        <w:rPr>
          <w:lang w:val="en-GB"/>
        </w:rPr>
        <w:t>-Al</w:t>
      </w:r>
      <w:r w:rsidRPr="0068374C">
        <w:rPr>
          <w:vertAlign w:val="subscript"/>
          <w:lang w:val="en-GB"/>
        </w:rPr>
        <w:t>2</w:t>
      </w:r>
      <w:r w:rsidRPr="0068374C">
        <w:rPr>
          <w:lang w:val="en-GB"/>
        </w:rPr>
        <w:t>O</w:t>
      </w:r>
      <w:r w:rsidRPr="0068374C">
        <w:rPr>
          <w:vertAlign w:val="subscript"/>
          <w:lang w:val="en-GB"/>
        </w:rPr>
        <w:t>3</w:t>
      </w:r>
      <w:r w:rsidRPr="0068374C">
        <w:rPr>
          <w:lang w:val="en-GB"/>
        </w:rPr>
        <w:t>), at 160 °C and 4 MPa H</w:t>
      </w:r>
      <w:r w:rsidRPr="0068374C">
        <w:rPr>
          <w:vertAlign w:val="subscript"/>
          <w:lang w:val="en-GB"/>
        </w:rPr>
        <w:t>2</w:t>
      </w:r>
      <w:r w:rsidRPr="0068374C">
        <w:rPr>
          <w:lang w:val="en-GB"/>
        </w:rPr>
        <w:t xml:space="preserve">. The third step hydrodeoxygenated the products of the second step using 3 wt% Ru/WZr </w:t>
      </w:r>
      <w:r w:rsidRPr="0068374C">
        <w:rPr>
          <w:lang w:val="en-GB"/>
        </w:rPr>
        <w:lastRenderedPageBreak/>
        <w:t>at 200 °C and 5 MPa H</w:t>
      </w:r>
      <w:r w:rsidRPr="0068374C">
        <w:rPr>
          <w:vertAlign w:val="subscript"/>
          <w:lang w:val="en-GB"/>
        </w:rPr>
        <w:t>2</w:t>
      </w:r>
      <w:r w:rsidRPr="0068374C">
        <w:rPr>
          <w:lang w:val="en-GB"/>
        </w:rPr>
        <w:t xml:space="preserve">.  A mixture consisting of products and the catalyst was collected using a conical tube (50 mL). 1 mL of the product was filtered using a PTFE membrane syringe filter (pore size: 0.45 </w:t>
      </w:r>
      <w:r w:rsidRPr="0068374C">
        <w:rPr>
          <w:rFonts w:hint="eastAsia"/>
          <w:lang w:val="en-GB"/>
        </w:rPr>
        <w:t>μ</w:t>
      </w:r>
      <w:r w:rsidRPr="0068374C">
        <w:rPr>
          <w:lang w:val="en-GB"/>
        </w:rPr>
        <w:t xml:space="preserve">m). Following this, the liquid was transferred to a 5 mL volumetric flask. 1 mL of an internal standard (n-hexadecane) solvent was mixed and diluted in n-decane. The liquid products were characterized using the gas chromatography-mass spectrometry (GC–MS). The GC–MS system (Agilent 78900A; 5975C inert MS XLD with triple axis-detector) was equipped with an autosampler injector (Agilent 7860 N) and an HP–5MS capillary column (60 m </w:t>
      </w:r>
      <w:r w:rsidRPr="0068374C">
        <w:rPr>
          <w:rFonts w:hint="eastAsia"/>
          <w:lang w:val="en-GB"/>
        </w:rPr>
        <w:t>×</w:t>
      </w:r>
      <w:r w:rsidRPr="0068374C">
        <w:rPr>
          <w:lang w:val="en-GB"/>
        </w:rPr>
        <w:t xml:space="preserve"> 0.25 </w:t>
      </w:r>
      <w:r w:rsidRPr="0068374C">
        <w:rPr>
          <w:rFonts w:hint="eastAsia"/>
          <w:lang w:val="en-GB"/>
        </w:rPr>
        <w:t>μ</w:t>
      </w:r>
      <w:r w:rsidRPr="0068374C">
        <w:rPr>
          <w:lang w:val="en-GB"/>
        </w:rPr>
        <w:t xml:space="preserve">m </w:t>
      </w:r>
      <w:r w:rsidRPr="0068374C">
        <w:rPr>
          <w:rFonts w:hint="eastAsia"/>
          <w:lang w:val="en-GB"/>
        </w:rPr>
        <w:t>×</w:t>
      </w:r>
      <w:r w:rsidRPr="0068374C">
        <w:rPr>
          <w:lang w:val="en-GB"/>
        </w:rPr>
        <w:t xml:space="preserve"> 0.25 mm ID). The liquid product was quantitatively analyzed using a gas chromatography–flame ionization detector (GC–FID, Hewlett 5890 Packard Series II, USA) equipped with an autosampler injector (6890 series injector) and HP–5MS capillary column (60 m </w:t>
      </w:r>
      <w:r w:rsidRPr="0068374C">
        <w:rPr>
          <w:rFonts w:hint="eastAsia"/>
          <w:lang w:val="en-GB"/>
        </w:rPr>
        <w:t>×</w:t>
      </w:r>
      <w:r w:rsidRPr="0068374C">
        <w:rPr>
          <w:lang w:val="en-GB"/>
        </w:rPr>
        <w:t xml:space="preserve"> 0.25 </w:t>
      </w:r>
      <w:r w:rsidRPr="0068374C">
        <w:rPr>
          <w:rFonts w:hint="eastAsia"/>
          <w:lang w:val="en-GB"/>
        </w:rPr>
        <w:t>μ</w:t>
      </w:r>
      <w:r w:rsidRPr="0068374C">
        <w:rPr>
          <w:lang w:val="en-GB"/>
        </w:rPr>
        <w:t xml:space="preserve">m </w:t>
      </w:r>
      <w:r w:rsidRPr="0068374C">
        <w:rPr>
          <w:rFonts w:hint="eastAsia"/>
          <w:lang w:val="en-GB"/>
        </w:rPr>
        <w:t>×</w:t>
      </w:r>
      <w:r w:rsidRPr="0068374C">
        <w:rPr>
          <w:lang w:val="en-GB"/>
        </w:rPr>
        <w:t xml:space="preserve"> 0.25 mm ID). The spent catalyst was recovered from the residual mixture of products following the vacuum filtration. The recovered catalyst was washed with acetone to remove n-decane and organic compounds. The obtained catalyst was dried at 105 °C </w:t>
      </w:r>
      <w:r>
        <w:rPr>
          <w:lang w:val="en-GB"/>
        </w:rPr>
        <w:t>for</w:t>
      </w:r>
      <w:r w:rsidRPr="0068374C">
        <w:rPr>
          <w:lang w:val="en-GB"/>
        </w:rPr>
        <w:t xml:space="preserve"> 16 h, and the dried catalyst was analysed by Thermogravimetric Analysis (TG) to calculate the coke.</w:t>
      </w:r>
    </w:p>
    <w:p w14:paraId="2D1AB74C" w14:textId="18B88FF0" w:rsidR="0068374C" w:rsidRPr="00B57B36" w:rsidRDefault="0068374C" w:rsidP="0068374C">
      <w:pPr>
        <w:pStyle w:val="CETheadingx"/>
      </w:pPr>
      <w:r>
        <w:t>Four-step reaction using bio-crude</w:t>
      </w:r>
    </w:p>
    <w:p w14:paraId="423E7808" w14:textId="1AB8DE83" w:rsidR="0068374C" w:rsidRDefault="0068374C" w:rsidP="0068374C">
      <w:pPr>
        <w:pStyle w:val="CETBodytext"/>
        <w:rPr>
          <w:lang w:val="en-GB"/>
        </w:rPr>
      </w:pPr>
      <w:r w:rsidRPr="0068374C">
        <w:rPr>
          <w:lang w:val="en-GB"/>
        </w:rPr>
        <w:t>The four-step reaction was performed using a 150-mL batch reactor. The first step hydrotreated the bio-crude (6 g, purchased from BTG Biomass Technology Group BV) mixed with n-decane (50 mL) using 5 wt% Pd/C at 200 °c and 5 MPa H</w:t>
      </w:r>
      <w:r w:rsidRPr="0068374C">
        <w:rPr>
          <w:vertAlign w:val="subscript"/>
          <w:lang w:val="en-GB"/>
        </w:rPr>
        <w:t>2</w:t>
      </w:r>
      <w:r w:rsidRPr="0068374C">
        <w:rPr>
          <w:lang w:val="en-GB"/>
        </w:rPr>
        <w:t>. The second step hydrogenated the phenolic monomers prepared in the first step to the corresponding cyclic alcohols using NiFe/TiO</w:t>
      </w:r>
      <w:r w:rsidRPr="0068374C">
        <w:rPr>
          <w:vertAlign w:val="subscript"/>
          <w:lang w:val="en-GB"/>
        </w:rPr>
        <w:t>2</w:t>
      </w:r>
      <w:r w:rsidRPr="0068374C">
        <w:rPr>
          <w:lang w:val="en-GB"/>
        </w:rPr>
        <w:t xml:space="preserve"> at 270 °C and 5 MPa H</w:t>
      </w:r>
      <w:r w:rsidRPr="0068374C">
        <w:rPr>
          <w:vertAlign w:val="subscript"/>
          <w:lang w:val="en-GB"/>
        </w:rPr>
        <w:t>2</w:t>
      </w:r>
      <w:r w:rsidRPr="0068374C">
        <w:rPr>
          <w:lang w:val="en-GB"/>
        </w:rPr>
        <w:t>. The third step condensed the cyclic alcohols and phenolic compounds using HY30, HBEA38, and WZr at 160 °C and 4 MPa H</w:t>
      </w:r>
      <w:r w:rsidRPr="0068374C">
        <w:rPr>
          <w:vertAlign w:val="subscript"/>
          <w:lang w:val="en-GB"/>
        </w:rPr>
        <w:t>2</w:t>
      </w:r>
      <w:r w:rsidRPr="0068374C">
        <w:rPr>
          <w:lang w:val="en-GB"/>
        </w:rPr>
        <w:t>. The fourth step hydrodeoxygenated the products of the third step using 3 wt% Ru/WZr at 200 °C and 5 MPa H</w:t>
      </w:r>
      <w:r w:rsidRPr="0068374C">
        <w:rPr>
          <w:vertAlign w:val="subscript"/>
          <w:lang w:val="en-GB"/>
        </w:rPr>
        <w:t>2</w:t>
      </w:r>
      <w:r w:rsidRPr="0068374C">
        <w:rPr>
          <w:lang w:val="en-GB"/>
        </w:rPr>
        <w:t>.  The bio-oil products of each step also were identified using a GC-MS.</w:t>
      </w:r>
    </w:p>
    <w:p w14:paraId="3ED58545" w14:textId="3532ABDD" w:rsidR="0068374C" w:rsidRPr="00B57B36" w:rsidRDefault="0068374C" w:rsidP="0068374C">
      <w:pPr>
        <w:pStyle w:val="CETheadingx"/>
      </w:pPr>
      <w:r>
        <w:t>Catalyst characterizations</w:t>
      </w:r>
    </w:p>
    <w:p w14:paraId="67B4BA7B" w14:textId="1F50AA9B" w:rsidR="0068374C" w:rsidRPr="0068374C" w:rsidRDefault="0068374C" w:rsidP="0068374C">
      <w:pPr>
        <w:pStyle w:val="CETBodytext"/>
        <w:rPr>
          <w:lang w:val="en-GB"/>
        </w:rPr>
      </w:pPr>
      <w:r w:rsidRPr="0068374C">
        <w:rPr>
          <w:lang w:val="en-GB"/>
        </w:rPr>
        <w:t>Temperature programmed desorption of NH</w:t>
      </w:r>
      <w:r w:rsidRPr="0068374C">
        <w:rPr>
          <w:vertAlign w:val="subscript"/>
          <w:lang w:val="en-GB"/>
        </w:rPr>
        <w:t>3</w:t>
      </w:r>
      <w:r w:rsidRPr="0068374C">
        <w:rPr>
          <w:lang w:val="en-GB"/>
        </w:rPr>
        <w:t xml:space="preserve"> (NH</w:t>
      </w:r>
      <w:r w:rsidRPr="0068374C">
        <w:rPr>
          <w:vertAlign w:val="subscript"/>
          <w:lang w:val="en-GB"/>
        </w:rPr>
        <w:t>3</w:t>
      </w:r>
      <w:r w:rsidRPr="0068374C">
        <w:rPr>
          <w:lang w:val="en-GB"/>
        </w:rPr>
        <w:t>-TPD) and temperature programmed reduction of H</w:t>
      </w:r>
      <w:r w:rsidRPr="0068374C">
        <w:rPr>
          <w:vertAlign w:val="subscript"/>
          <w:lang w:val="en-GB"/>
        </w:rPr>
        <w:t>2</w:t>
      </w:r>
      <w:r w:rsidRPr="0068374C">
        <w:rPr>
          <w:lang w:val="en-GB"/>
        </w:rPr>
        <w:t xml:space="preserve"> (H</w:t>
      </w:r>
      <w:r w:rsidRPr="0068374C">
        <w:rPr>
          <w:vertAlign w:val="subscript"/>
          <w:lang w:val="en-GB"/>
        </w:rPr>
        <w:t>2</w:t>
      </w:r>
      <w:r w:rsidRPr="0068374C">
        <w:rPr>
          <w:lang w:val="en-GB"/>
        </w:rPr>
        <w:t>-TPR) analyses were performed using a BELCAT-B catalyst analyzer (BEL Japan, Osaka, Japan) equipped with a thermal conductivity detector (TCD). For NH</w:t>
      </w:r>
      <w:r w:rsidRPr="0068374C">
        <w:rPr>
          <w:vertAlign w:val="subscript"/>
          <w:lang w:val="en-GB"/>
        </w:rPr>
        <w:t>3</w:t>
      </w:r>
      <w:r w:rsidRPr="0068374C">
        <w:rPr>
          <w:lang w:val="en-GB"/>
        </w:rPr>
        <w:t xml:space="preserve">-TPD, the catalyst (50-100 mg) was heated at 300 </w:t>
      </w:r>
      <w:r w:rsidRPr="0068374C">
        <w:rPr>
          <w:rFonts w:hint="eastAsia"/>
          <w:lang w:val="en-GB"/>
        </w:rPr>
        <w:t>◦</w:t>
      </w:r>
      <w:r w:rsidRPr="0068374C">
        <w:rPr>
          <w:lang w:val="en-GB"/>
        </w:rPr>
        <w:t xml:space="preserve">C for 1 h under a flow of He (a flow rate of 50 mL/min). Following this, the sample had been stabilized at 100 </w:t>
      </w:r>
      <w:r w:rsidRPr="0068374C">
        <w:rPr>
          <w:rFonts w:hint="eastAsia"/>
          <w:lang w:val="en-GB"/>
        </w:rPr>
        <w:t>◦</w:t>
      </w:r>
      <w:r w:rsidRPr="0068374C">
        <w:rPr>
          <w:lang w:val="en-GB"/>
        </w:rPr>
        <w:t>C, NH/He (4.96 % v/v) mixture was added for 30 min, followed by flushing with He flow for 15 min. The desorption of NH</w:t>
      </w:r>
      <w:r w:rsidRPr="0068374C">
        <w:rPr>
          <w:vertAlign w:val="subscript"/>
          <w:lang w:val="en-GB"/>
        </w:rPr>
        <w:t>3</w:t>
      </w:r>
      <w:r w:rsidRPr="0068374C">
        <w:rPr>
          <w:lang w:val="en-GB"/>
        </w:rPr>
        <w:t xml:space="preserve"> was observed in the He using TCD at 100-900 </w:t>
      </w:r>
      <w:r w:rsidRPr="0068374C">
        <w:rPr>
          <w:rFonts w:hint="eastAsia"/>
          <w:lang w:val="en-GB"/>
        </w:rPr>
        <w:t>◦</w:t>
      </w:r>
      <w:r w:rsidRPr="0068374C">
        <w:rPr>
          <w:lang w:val="en-GB"/>
        </w:rPr>
        <w:t xml:space="preserve">C with a heating rate of 10 </w:t>
      </w:r>
      <w:r w:rsidRPr="0068374C">
        <w:rPr>
          <w:rFonts w:hint="eastAsia"/>
          <w:lang w:val="en-GB"/>
        </w:rPr>
        <w:t>◦</w:t>
      </w:r>
      <w:r w:rsidRPr="0068374C">
        <w:rPr>
          <w:lang w:val="en-GB"/>
        </w:rPr>
        <w:t>C/min. For H</w:t>
      </w:r>
      <w:r w:rsidRPr="0068374C">
        <w:rPr>
          <w:vertAlign w:val="subscript"/>
          <w:lang w:val="en-GB"/>
        </w:rPr>
        <w:t>2</w:t>
      </w:r>
      <w:r w:rsidRPr="0068374C">
        <w:rPr>
          <w:lang w:val="en-GB"/>
        </w:rPr>
        <w:t xml:space="preserve">-TPR, the catalyst (100-200 mg) was pretreated at 400 </w:t>
      </w:r>
      <w:r w:rsidRPr="0068374C">
        <w:rPr>
          <w:rFonts w:hint="eastAsia"/>
          <w:lang w:val="en-GB"/>
        </w:rPr>
        <w:t>◦</w:t>
      </w:r>
      <w:r w:rsidRPr="0068374C">
        <w:rPr>
          <w:lang w:val="en-GB"/>
        </w:rPr>
        <w:t>C for 1 h under a flow of O</w:t>
      </w:r>
      <w:r w:rsidRPr="0068374C">
        <w:rPr>
          <w:vertAlign w:val="subscript"/>
          <w:lang w:val="en-GB"/>
        </w:rPr>
        <w:t>2</w:t>
      </w:r>
      <w:r w:rsidRPr="0068374C">
        <w:rPr>
          <w:lang w:val="en-GB"/>
        </w:rPr>
        <w:t xml:space="preserve">/He (5.03% v/v). Following this, the catalyst was heated to 600-800 </w:t>
      </w:r>
      <w:r w:rsidRPr="0068374C">
        <w:rPr>
          <w:rFonts w:hint="eastAsia"/>
          <w:lang w:val="en-GB"/>
        </w:rPr>
        <w:t>◦</w:t>
      </w:r>
      <w:r w:rsidRPr="0068374C">
        <w:rPr>
          <w:lang w:val="en-GB"/>
        </w:rPr>
        <w:t>C under a flow of H</w:t>
      </w:r>
      <w:r w:rsidRPr="0068374C">
        <w:rPr>
          <w:vertAlign w:val="subscript"/>
          <w:lang w:val="en-GB"/>
        </w:rPr>
        <w:t>2</w:t>
      </w:r>
      <w:r w:rsidRPr="0068374C">
        <w:rPr>
          <w:lang w:val="en-GB"/>
        </w:rPr>
        <w:t xml:space="preserve">/Ar (5% v/v) with a heating rate 10 </w:t>
      </w:r>
      <w:r w:rsidRPr="0068374C">
        <w:rPr>
          <w:rFonts w:hint="eastAsia"/>
          <w:lang w:val="en-GB"/>
        </w:rPr>
        <w:t>◦</w:t>
      </w:r>
      <w:r w:rsidRPr="0068374C">
        <w:rPr>
          <w:lang w:val="en-GB"/>
        </w:rPr>
        <w:t>C/min (a flow rate of 30 mL/min). The produced water was removed using a molecular sieve trap.</w:t>
      </w:r>
    </w:p>
    <w:p w14:paraId="677EBFF0" w14:textId="01E0B4E0" w:rsidR="00600535" w:rsidRPr="00B57B36" w:rsidRDefault="00AA6A89" w:rsidP="00600535">
      <w:pPr>
        <w:pStyle w:val="CETHeading1"/>
        <w:tabs>
          <w:tab w:val="clear" w:pos="360"/>
          <w:tab w:val="right" w:pos="7100"/>
        </w:tabs>
        <w:jc w:val="both"/>
        <w:rPr>
          <w:lang w:val="en-GB"/>
        </w:rPr>
      </w:pPr>
      <w:r>
        <w:rPr>
          <w:lang w:val="en-GB"/>
        </w:rPr>
        <w:t>Results and discussion</w:t>
      </w:r>
    </w:p>
    <w:p w14:paraId="04963A06" w14:textId="40E7ECA9" w:rsidR="00600535" w:rsidRPr="00AA6A89" w:rsidRDefault="00AA6A89" w:rsidP="00AA6A89">
      <w:pPr>
        <w:pStyle w:val="CETheadingx"/>
        <w:rPr>
          <w:bCs/>
          <w:lang w:val="en-GB"/>
        </w:rPr>
      </w:pPr>
      <w:r w:rsidRPr="00AA6A89">
        <w:rPr>
          <w:bCs/>
          <w:lang w:val="en-GB"/>
        </w:rPr>
        <w:t>Catalysis using phenolic model mixtures</w:t>
      </w:r>
    </w:p>
    <w:p w14:paraId="66BFB9AE" w14:textId="7C030561" w:rsidR="00D80A4A" w:rsidRPr="00573E30" w:rsidRDefault="00AA6A89" w:rsidP="00AA6A89">
      <w:pPr>
        <w:pStyle w:val="CETBodytext"/>
        <w:rPr>
          <w:lang w:val="en-GB"/>
        </w:rPr>
      </w:pPr>
      <w:r w:rsidRPr="00AA6A89">
        <w:rPr>
          <w:lang w:val="en-GB"/>
        </w:rPr>
        <w:t>The process suggested in this study requires three or four step reaction to obtain condensed hydrocarbons as final products. Prior to performing the actual bio crude, a mode mixture of syringol, 4-ethyl guaiacol, and 4-propyl phenol mixed with n-decane solvent was used for the reactions. The first step reaction, designed to selectively hydrogenate phenolic molecules to their corresponding saturated cyclic alcohols, was performed using NiFe/TiO</w:t>
      </w:r>
      <w:r w:rsidRPr="00AA6A89">
        <w:rPr>
          <w:vertAlign w:val="subscript"/>
          <w:lang w:val="en-GB"/>
        </w:rPr>
        <w:t>2</w:t>
      </w:r>
      <w:r w:rsidRPr="00AA6A89">
        <w:rPr>
          <w:lang w:val="en-GB"/>
        </w:rPr>
        <w:t xml:space="preserve"> (Figure 1 and Table 1). Nearly complete conversion (approximately 100%) of phenolic molecules was observed, and the cyclic alcohols, including cyclohexanol, 4-ethyl cyclohexanol, and 4-propyl cyclohexanol, were obtained as major products (79% yield).</w:t>
      </w:r>
    </w:p>
    <w:p w14:paraId="6E423EBB" w14:textId="77777777" w:rsidR="00573E30" w:rsidRDefault="00AA6A89" w:rsidP="00573E30">
      <w:pPr>
        <w:spacing w:before="240" w:after="240"/>
        <w:jc w:val="left"/>
        <w:rPr>
          <w:rStyle w:val="CETCaptionCarattere"/>
        </w:rPr>
      </w:pPr>
      <w:r>
        <w:rPr>
          <w:noProof/>
          <w:lang w:val="en-US" w:eastAsia="ko-KR"/>
        </w:rPr>
        <w:drawing>
          <wp:inline distT="0" distB="0" distL="0" distR="0" wp14:anchorId="7620FCAD" wp14:editId="0242AB7C">
            <wp:extent cx="2070953" cy="1455420"/>
            <wp:effectExtent l="0" t="0" r="5715"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9"/>
                    <pic:cNvPicPr>
                      <a:picLocks noChangeAspect="1" noChangeArrowheads="1"/>
                    </pic:cNvPicPr>
                  </pic:nvPicPr>
                  <pic:blipFill>
                    <a:blip r:embed="rId10">
                      <a:extLst>
                        <a:ext uri="{28A0092B-C50C-407E-A947-70E740481C1C}">
                          <a14:useLocalDpi xmlns:a14="http://schemas.microsoft.com/office/drawing/2010/main" val="0"/>
                        </a:ext>
                      </a:extLst>
                    </a:blip>
                    <a:srcRect l="4027" r="2036" b="1715"/>
                    <a:stretch>
                      <a:fillRect/>
                    </a:stretch>
                  </pic:blipFill>
                  <pic:spPr bwMode="auto">
                    <a:xfrm>
                      <a:off x="0" y="0"/>
                      <a:ext cx="2084102" cy="1464661"/>
                    </a:xfrm>
                    <a:prstGeom prst="rect">
                      <a:avLst/>
                    </a:prstGeom>
                    <a:noFill/>
                    <a:ln>
                      <a:noFill/>
                    </a:ln>
                  </pic:spPr>
                </pic:pic>
              </a:graphicData>
            </a:graphic>
          </wp:inline>
        </w:drawing>
      </w:r>
    </w:p>
    <w:p w14:paraId="2DFE1FB0" w14:textId="77777777" w:rsidR="00573E30" w:rsidRDefault="00AA6A89" w:rsidP="00573E30">
      <w:pPr>
        <w:spacing w:before="240" w:after="240"/>
        <w:jc w:val="left"/>
        <w:rPr>
          <w:rStyle w:val="CETCaptionCarattere"/>
        </w:rPr>
      </w:pPr>
      <w:r w:rsidRPr="00AA6A89">
        <w:rPr>
          <w:rStyle w:val="CETCaptionCarattere"/>
        </w:rPr>
        <w:t>Figure 1</w:t>
      </w:r>
      <w:r w:rsidR="00DB6EE5">
        <w:rPr>
          <w:rStyle w:val="CETCaptionCarattere"/>
        </w:rPr>
        <w:t>:</w:t>
      </w:r>
      <w:r w:rsidRPr="00AA6A89">
        <w:rPr>
          <w:rStyle w:val="CETCaptionCarattere"/>
        </w:rPr>
        <w:t xml:space="preserve"> GC-MS result of the first step hydrogenation of model phenolic mixtures </w:t>
      </w:r>
    </w:p>
    <w:p w14:paraId="1B92D7BA" w14:textId="09127776" w:rsidR="00573E30" w:rsidRPr="00573E30" w:rsidRDefault="00573E30" w:rsidP="00573E30">
      <w:pPr>
        <w:spacing w:before="240" w:after="240"/>
        <w:jc w:val="left"/>
      </w:pPr>
      <w:r w:rsidRPr="00573E30">
        <w:lastRenderedPageBreak/>
        <w:t>The second step reaction, designed to condense cyclic alcohols and phenols, was performed using several solid acid catalysts including HY30, HBEA38, WZr, S-ZrO</w:t>
      </w:r>
      <w:r w:rsidRPr="00573E30">
        <w:rPr>
          <w:vertAlign w:val="subscript"/>
        </w:rPr>
        <w:t>2</w:t>
      </w:r>
      <w:r w:rsidRPr="00573E30">
        <w:t>, γ-Al</w:t>
      </w:r>
      <w:r w:rsidRPr="00573E30">
        <w:rPr>
          <w:vertAlign w:val="subscript"/>
        </w:rPr>
        <w:t>2</w:t>
      </w:r>
      <w:r w:rsidRPr="00573E30">
        <w:t>O</w:t>
      </w:r>
      <w:r w:rsidRPr="00573E30">
        <w:rPr>
          <w:vertAlign w:val="subscript"/>
        </w:rPr>
        <w:t>3</w:t>
      </w:r>
      <w:r w:rsidRPr="00573E30">
        <w:t>, and SiO</w:t>
      </w:r>
      <w:r w:rsidRPr="00573E30">
        <w:rPr>
          <w:vertAlign w:val="subscript"/>
        </w:rPr>
        <w:t>2</w:t>
      </w:r>
      <w:r w:rsidRPr="00573E30">
        <w:t>-Al</w:t>
      </w:r>
      <w:r w:rsidRPr="00573E30">
        <w:rPr>
          <w:vertAlign w:val="subscript"/>
        </w:rPr>
        <w:t>2</w:t>
      </w:r>
      <w:r w:rsidRPr="00573E30">
        <w:t>O</w:t>
      </w:r>
      <w:r w:rsidRPr="00573E30">
        <w:rPr>
          <w:vertAlign w:val="subscript"/>
        </w:rPr>
        <w:t>3</w:t>
      </w:r>
      <w:r w:rsidRPr="00573E30">
        <w:t xml:space="preserve">. The cyclic alcohols prepared in the first step were mixed with phenols for the condensation Dimers composed of cyclic alcohols and phenols were observed only for HY30, HBEA38, and WZr, exhibiting 39%, 26%, and 17%, respectively, although the large yields of cokes were also observed for HY30 and HBEA38 (Figure 2 and Table 2). </w:t>
      </w:r>
    </w:p>
    <w:p w14:paraId="46C1F1FC" w14:textId="5D90D191" w:rsidR="00AA6A89" w:rsidRPr="00B57B36" w:rsidRDefault="00AA6A89" w:rsidP="00573E30">
      <w:pPr>
        <w:pStyle w:val="CETCaption"/>
        <w:spacing w:after="80" w:line="240" w:lineRule="auto"/>
      </w:pPr>
      <w:r w:rsidRPr="00B57B36">
        <w:t xml:space="preserve">Table 1: </w:t>
      </w:r>
      <w:r w:rsidRPr="00AA6A89">
        <w:t>Products of the first step hydrogenation of model phenolic mixtures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80"/>
        <w:gridCol w:w="1580"/>
      </w:tblGrid>
      <w:tr w:rsidR="00AA6A89" w:rsidRPr="00B57B36" w14:paraId="226BC97A" w14:textId="77777777" w:rsidTr="006B1E0C">
        <w:trPr>
          <w:trHeight w:val="207"/>
        </w:trPr>
        <w:tc>
          <w:tcPr>
            <w:tcW w:w="1580" w:type="dxa"/>
            <w:tcBorders>
              <w:top w:val="single" w:sz="12" w:space="0" w:color="4F6228" w:themeColor="accent3" w:themeShade="80"/>
              <w:left w:val="nil"/>
              <w:bottom w:val="single" w:sz="4" w:space="0" w:color="auto"/>
              <w:right w:val="nil"/>
            </w:tcBorders>
          </w:tcPr>
          <w:p w14:paraId="196D2CF0" w14:textId="2B4CD206" w:rsidR="00AA6A89" w:rsidRPr="00B57B36" w:rsidRDefault="00AA6A89" w:rsidP="00AA6A89">
            <w:pPr>
              <w:pStyle w:val="CETBodytext"/>
              <w:jc w:val="center"/>
              <w:rPr>
                <w:lang w:val="en-GB"/>
              </w:rPr>
            </w:pPr>
            <w:r>
              <w:rPr>
                <w:kern w:val="2"/>
                <w:lang w:eastAsia="ko-KR"/>
              </w:rPr>
              <w:t>Product</w:t>
            </w:r>
          </w:p>
        </w:tc>
        <w:tc>
          <w:tcPr>
            <w:tcW w:w="1580" w:type="dxa"/>
            <w:tcBorders>
              <w:top w:val="single" w:sz="12" w:space="0" w:color="4F6228" w:themeColor="accent3" w:themeShade="80"/>
              <w:left w:val="nil"/>
              <w:bottom w:val="single" w:sz="4" w:space="0" w:color="auto"/>
              <w:right w:val="nil"/>
            </w:tcBorders>
          </w:tcPr>
          <w:p w14:paraId="0C61A53E" w14:textId="5DFE3274" w:rsidR="00AA6A89" w:rsidRPr="00B57B36" w:rsidRDefault="00AA6A89" w:rsidP="00AA6A89">
            <w:pPr>
              <w:pStyle w:val="CETBodytext"/>
              <w:jc w:val="center"/>
              <w:rPr>
                <w:lang w:val="en-GB"/>
              </w:rPr>
            </w:pPr>
            <w:r>
              <w:rPr>
                <w:kern w:val="2"/>
                <w:lang w:eastAsia="ko-KR"/>
              </w:rPr>
              <w:t>Yield (%)</w:t>
            </w:r>
          </w:p>
        </w:tc>
      </w:tr>
      <w:tr w:rsidR="00AA6A89" w:rsidRPr="00B57B36" w14:paraId="34046973" w14:textId="77777777" w:rsidTr="00AA6A89">
        <w:trPr>
          <w:trHeight w:val="218"/>
        </w:trPr>
        <w:tc>
          <w:tcPr>
            <w:tcW w:w="1580" w:type="dxa"/>
            <w:tcBorders>
              <w:top w:val="single" w:sz="4" w:space="0" w:color="auto"/>
              <w:left w:val="nil"/>
              <w:bottom w:val="nil"/>
              <w:right w:val="nil"/>
            </w:tcBorders>
          </w:tcPr>
          <w:p w14:paraId="1C1D212B" w14:textId="382CD752" w:rsidR="00AA6A89" w:rsidRPr="00B57B36" w:rsidRDefault="00AA6A89" w:rsidP="00AA6A89">
            <w:pPr>
              <w:pStyle w:val="CETBodytext"/>
              <w:rPr>
                <w:lang w:val="en-GB"/>
              </w:rPr>
            </w:pPr>
            <w:r>
              <w:rPr>
                <w:kern w:val="2"/>
                <w:lang w:eastAsia="ko-KR"/>
              </w:rPr>
              <w:t>Paraffins</w:t>
            </w:r>
          </w:p>
        </w:tc>
        <w:tc>
          <w:tcPr>
            <w:tcW w:w="1580" w:type="dxa"/>
            <w:tcBorders>
              <w:top w:val="single" w:sz="4" w:space="0" w:color="auto"/>
              <w:left w:val="nil"/>
              <w:bottom w:val="nil"/>
              <w:right w:val="nil"/>
            </w:tcBorders>
          </w:tcPr>
          <w:p w14:paraId="248E2BEA" w14:textId="2B4D3ABC" w:rsidR="00AA6A89" w:rsidRPr="00B57B36" w:rsidRDefault="00AA6A89" w:rsidP="00AA6A89">
            <w:pPr>
              <w:pStyle w:val="CETBodytext"/>
              <w:jc w:val="center"/>
              <w:rPr>
                <w:lang w:val="en-GB"/>
              </w:rPr>
            </w:pPr>
            <w:r>
              <w:rPr>
                <w:kern w:val="2"/>
                <w:lang w:eastAsia="ko-KR"/>
              </w:rPr>
              <w:t>12</w:t>
            </w:r>
          </w:p>
        </w:tc>
      </w:tr>
      <w:tr w:rsidR="00AA6A89" w:rsidRPr="00B57B36" w14:paraId="29706F70" w14:textId="77777777" w:rsidTr="00AA6A89">
        <w:trPr>
          <w:trHeight w:val="68"/>
        </w:trPr>
        <w:tc>
          <w:tcPr>
            <w:tcW w:w="1580" w:type="dxa"/>
            <w:tcBorders>
              <w:top w:val="nil"/>
              <w:left w:val="nil"/>
              <w:bottom w:val="nil"/>
              <w:right w:val="nil"/>
            </w:tcBorders>
          </w:tcPr>
          <w:p w14:paraId="2F544415" w14:textId="4CD2FEE2" w:rsidR="00AA6A89" w:rsidRPr="00B57B36" w:rsidRDefault="00AA6A89" w:rsidP="00AA6A89">
            <w:pPr>
              <w:pStyle w:val="CETBodytext"/>
              <w:rPr>
                <w:lang w:val="en-GB"/>
              </w:rPr>
            </w:pPr>
            <w:r>
              <w:rPr>
                <w:kern w:val="2"/>
                <w:lang w:eastAsia="ko-KR"/>
              </w:rPr>
              <w:t>Cyclic alcohols</w:t>
            </w:r>
          </w:p>
        </w:tc>
        <w:tc>
          <w:tcPr>
            <w:tcW w:w="1580" w:type="dxa"/>
            <w:tcBorders>
              <w:top w:val="nil"/>
              <w:left w:val="nil"/>
              <w:bottom w:val="nil"/>
              <w:right w:val="nil"/>
            </w:tcBorders>
          </w:tcPr>
          <w:p w14:paraId="4EC49592" w14:textId="558913F8" w:rsidR="00AA6A89" w:rsidRPr="00B57B36" w:rsidRDefault="00AA6A89" w:rsidP="00AA6A89">
            <w:pPr>
              <w:pStyle w:val="CETBodytext"/>
              <w:jc w:val="center"/>
              <w:rPr>
                <w:lang w:val="en-GB"/>
              </w:rPr>
            </w:pPr>
            <w:r>
              <w:rPr>
                <w:kern w:val="2"/>
                <w:lang w:eastAsia="ko-KR"/>
              </w:rPr>
              <w:t>79</w:t>
            </w:r>
          </w:p>
        </w:tc>
      </w:tr>
      <w:tr w:rsidR="00AA6A89" w:rsidRPr="00B57B36" w14:paraId="726B8DE4" w14:textId="77777777" w:rsidTr="006B1E0C">
        <w:trPr>
          <w:trHeight w:val="218"/>
        </w:trPr>
        <w:tc>
          <w:tcPr>
            <w:tcW w:w="1580" w:type="dxa"/>
            <w:tcBorders>
              <w:top w:val="nil"/>
              <w:left w:val="nil"/>
              <w:bottom w:val="single" w:sz="12" w:space="0" w:color="4F6228" w:themeColor="accent3" w:themeShade="80"/>
              <w:right w:val="nil"/>
            </w:tcBorders>
          </w:tcPr>
          <w:p w14:paraId="284E1EE5" w14:textId="06CFF234" w:rsidR="00AA6A89" w:rsidRPr="00B57B36" w:rsidRDefault="00AA6A89" w:rsidP="00AA6A89">
            <w:pPr>
              <w:pStyle w:val="CETBodytext"/>
              <w:ind w:right="-1"/>
              <w:rPr>
                <w:rFonts w:cs="Arial"/>
                <w:szCs w:val="18"/>
                <w:lang w:val="en-GB"/>
              </w:rPr>
            </w:pPr>
            <w:r>
              <w:rPr>
                <w:kern w:val="2"/>
                <w:lang w:eastAsia="ko-KR"/>
              </w:rPr>
              <w:t>Others</w:t>
            </w:r>
          </w:p>
        </w:tc>
        <w:tc>
          <w:tcPr>
            <w:tcW w:w="1580" w:type="dxa"/>
            <w:tcBorders>
              <w:top w:val="nil"/>
              <w:left w:val="nil"/>
              <w:bottom w:val="single" w:sz="12" w:space="0" w:color="4F6228" w:themeColor="accent3" w:themeShade="80"/>
              <w:right w:val="nil"/>
            </w:tcBorders>
          </w:tcPr>
          <w:p w14:paraId="580400EB" w14:textId="728B77F3" w:rsidR="00AA6A89" w:rsidRPr="00B57B36" w:rsidRDefault="00AA6A89" w:rsidP="00AA6A89">
            <w:pPr>
              <w:pStyle w:val="CETBodytext"/>
              <w:ind w:right="-1"/>
              <w:jc w:val="center"/>
              <w:rPr>
                <w:rFonts w:cs="Arial"/>
                <w:szCs w:val="18"/>
                <w:lang w:val="en-GB"/>
              </w:rPr>
            </w:pPr>
            <w:r>
              <w:rPr>
                <w:kern w:val="2"/>
                <w:lang w:eastAsia="ko-KR"/>
              </w:rPr>
              <w:t>8</w:t>
            </w:r>
          </w:p>
        </w:tc>
      </w:tr>
    </w:tbl>
    <w:p w14:paraId="3EB048F6" w14:textId="77777777" w:rsidR="00573E30" w:rsidRDefault="00AA6A89" w:rsidP="00E6668C">
      <w:pPr>
        <w:spacing w:before="240" w:after="240"/>
        <w:jc w:val="left"/>
        <w:rPr>
          <w:noProof/>
          <w:lang w:val="en-US" w:eastAsia="ko-KR"/>
        </w:rPr>
      </w:pPr>
      <w:r>
        <w:rPr>
          <w:noProof/>
          <w:lang w:val="en-US" w:eastAsia="ko-KR"/>
        </w:rPr>
        <w:drawing>
          <wp:inline distT="0" distB="0" distL="0" distR="0" wp14:anchorId="6665DC45" wp14:editId="03CB74A2">
            <wp:extent cx="1939895" cy="1729740"/>
            <wp:effectExtent l="0" t="0" r="3810" b="381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8223" cy="1746082"/>
                    </a:xfrm>
                    <a:prstGeom prst="rect">
                      <a:avLst/>
                    </a:prstGeom>
                    <a:noFill/>
                    <a:ln>
                      <a:noFill/>
                    </a:ln>
                  </pic:spPr>
                </pic:pic>
              </a:graphicData>
            </a:graphic>
          </wp:inline>
        </w:drawing>
      </w:r>
    </w:p>
    <w:p w14:paraId="22DC6E0A" w14:textId="0BEBE97A" w:rsidR="00AA6A89" w:rsidRDefault="00AA6A89" w:rsidP="00573E30">
      <w:pPr>
        <w:spacing w:before="240" w:after="240"/>
        <w:jc w:val="left"/>
        <w:rPr>
          <w:noProof/>
          <w:lang w:val="en-US" w:eastAsia="ko-KR"/>
        </w:rPr>
      </w:pPr>
      <w:r>
        <w:rPr>
          <w:noProof/>
          <w:lang w:val="en-US" w:eastAsia="ko-KR"/>
        </w:rPr>
        <w:t>Figure 2</w:t>
      </w:r>
      <w:r w:rsidR="00DB6EE5">
        <w:rPr>
          <w:noProof/>
          <w:lang w:val="en-US" w:eastAsia="ko-KR"/>
        </w:rPr>
        <w:t>:</w:t>
      </w:r>
      <w:r>
        <w:rPr>
          <w:noProof/>
          <w:lang w:val="en-US" w:eastAsia="ko-KR"/>
        </w:rPr>
        <w:t xml:space="preserve"> GC-MS results for the second step alkylation of cyclic alcohols and phenol </w:t>
      </w:r>
    </w:p>
    <w:p w14:paraId="4C453548" w14:textId="6C5D5D03" w:rsidR="00AA6A89" w:rsidRPr="00B57B36" w:rsidRDefault="00AA6A89" w:rsidP="00AA6A89">
      <w:pPr>
        <w:pStyle w:val="CETTabletitle"/>
      </w:pPr>
      <w:r w:rsidRPr="00B57B36">
        <w:t xml:space="preserve">Table </w:t>
      </w:r>
      <w:r>
        <w:t>2</w:t>
      </w:r>
      <w:r w:rsidRPr="00B57B36">
        <w:t xml:space="preserve">: </w:t>
      </w:r>
      <w:r w:rsidRPr="00AA6A89">
        <w:rPr>
          <w:lang w:val="en-US"/>
        </w:rPr>
        <w:t>Product distribution of the second step alkylation of cyclic alcohols and phenol</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701"/>
        <w:gridCol w:w="1418"/>
        <w:gridCol w:w="1276"/>
        <w:gridCol w:w="992"/>
        <w:gridCol w:w="992"/>
      </w:tblGrid>
      <w:tr w:rsidR="006B1E0C" w:rsidRPr="00B57B36" w14:paraId="408D74B3" w14:textId="77777777" w:rsidTr="006B1E0C">
        <w:tc>
          <w:tcPr>
            <w:tcW w:w="1134" w:type="dxa"/>
            <w:vMerge w:val="restart"/>
            <w:tcBorders>
              <w:top w:val="single" w:sz="12" w:space="0" w:color="4F6228" w:themeColor="accent3" w:themeShade="80"/>
              <w:left w:val="nil"/>
              <w:bottom w:val="single" w:sz="8" w:space="0" w:color="000000"/>
              <w:right w:val="single" w:sz="2" w:space="0" w:color="4F6228" w:themeColor="accent3" w:themeShade="80"/>
            </w:tcBorders>
            <w:vAlign w:val="center"/>
          </w:tcPr>
          <w:p w14:paraId="1619DD35" w14:textId="6A51DB8E" w:rsidR="00AA6A89" w:rsidRPr="00B57B36" w:rsidRDefault="00AA6A89" w:rsidP="00AA6A89">
            <w:pPr>
              <w:pStyle w:val="CETBodytext"/>
              <w:rPr>
                <w:lang w:val="en-GB"/>
              </w:rPr>
            </w:pPr>
            <w:r>
              <w:rPr>
                <w:kern w:val="2"/>
                <w:lang w:eastAsia="ko-KR"/>
              </w:rPr>
              <w:t>Catalyst</w:t>
            </w:r>
          </w:p>
        </w:tc>
        <w:tc>
          <w:tcPr>
            <w:tcW w:w="2835" w:type="dxa"/>
            <w:gridSpan w:val="2"/>
            <w:tcBorders>
              <w:top w:val="single" w:sz="12" w:space="0" w:color="4F6228" w:themeColor="accent3" w:themeShade="80"/>
              <w:left w:val="single" w:sz="2" w:space="0" w:color="4F6228" w:themeColor="accent3" w:themeShade="80"/>
              <w:bottom w:val="single" w:sz="8" w:space="0" w:color="000000"/>
              <w:right w:val="single" w:sz="8" w:space="0" w:color="auto"/>
            </w:tcBorders>
            <w:vAlign w:val="center"/>
          </w:tcPr>
          <w:p w14:paraId="56DF9775" w14:textId="770F7D5A" w:rsidR="00AA6A89" w:rsidRPr="00B57B36" w:rsidRDefault="00AA6A89" w:rsidP="00DB6EE5">
            <w:pPr>
              <w:pStyle w:val="CETBodytext"/>
              <w:jc w:val="center"/>
              <w:rPr>
                <w:lang w:val="en-GB"/>
              </w:rPr>
            </w:pPr>
            <w:r>
              <w:rPr>
                <w:kern w:val="2"/>
                <w:lang w:eastAsia="ko-KR"/>
              </w:rPr>
              <w:t>Reactants (%)</w:t>
            </w:r>
          </w:p>
        </w:tc>
        <w:tc>
          <w:tcPr>
            <w:tcW w:w="4678" w:type="dxa"/>
            <w:gridSpan w:val="4"/>
            <w:tcBorders>
              <w:top w:val="single" w:sz="12" w:space="0" w:color="4F6228" w:themeColor="accent3" w:themeShade="80"/>
              <w:left w:val="single" w:sz="8" w:space="0" w:color="auto"/>
              <w:bottom w:val="single" w:sz="8" w:space="0" w:color="auto"/>
              <w:right w:val="nil"/>
            </w:tcBorders>
            <w:vAlign w:val="center"/>
          </w:tcPr>
          <w:p w14:paraId="6CA63D60" w14:textId="2848E7EC" w:rsidR="00AA6A89" w:rsidRPr="00B57B36" w:rsidRDefault="00AA6A89" w:rsidP="00DB6EE5">
            <w:pPr>
              <w:pStyle w:val="CETBodytext"/>
              <w:ind w:right="-1"/>
              <w:jc w:val="center"/>
              <w:rPr>
                <w:rFonts w:cs="Arial"/>
                <w:szCs w:val="18"/>
                <w:lang w:val="en-GB"/>
              </w:rPr>
            </w:pPr>
            <w:r>
              <w:rPr>
                <w:kern w:val="2"/>
                <w:lang w:eastAsia="ko-KR"/>
              </w:rPr>
              <w:t>Product (%)</w:t>
            </w:r>
          </w:p>
        </w:tc>
      </w:tr>
      <w:tr w:rsidR="00AA6A89" w:rsidRPr="00B57B36" w14:paraId="78F608E9" w14:textId="77777777" w:rsidTr="006B1E0C">
        <w:tc>
          <w:tcPr>
            <w:tcW w:w="1134" w:type="dxa"/>
            <w:vMerge/>
            <w:tcBorders>
              <w:top w:val="single" w:sz="8" w:space="0" w:color="000000"/>
              <w:left w:val="nil"/>
              <w:bottom w:val="single" w:sz="8" w:space="0" w:color="000000"/>
              <w:right w:val="single" w:sz="2" w:space="0" w:color="4F6228" w:themeColor="accent3" w:themeShade="80"/>
            </w:tcBorders>
            <w:vAlign w:val="center"/>
          </w:tcPr>
          <w:p w14:paraId="0DC2D55E" w14:textId="193BE82D" w:rsidR="00AA6A89" w:rsidRPr="00B57B36" w:rsidRDefault="00AA6A89" w:rsidP="00AA6A89">
            <w:pPr>
              <w:pStyle w:val="CETBodytext"/>
              <w:rPr>
                <w:lang w:val="en-GB"/>
              </w:rPr>
            </w:pPr>
          </w:p>
        </w:tc>
        <w:tc>
          <w:tcPr>
            <w:tcW w:w="1134" w:type="dxa"/>
            <w:tcBorders>
              <w:top w:val="single" w:sz="8" w:space="0" w:color="000000"/>
              <w:left w:val="single" w:sz="2" w:space="0" w:color="4F6228" w:themeColor="accent3" w:themeShade="80"/>
              <w:bottom w:val="single" w:sz="8" w:space="0" w:color="000000"/>
              <w:right w:val="nil"/>
            </w:tcBorders>
            <w:vAlign w:val="center"/>
          </w:tcPr>
          <w:p w14:paraId="06801E91" w14:textId="0FF616E3" w:rsidR="00AA6A89" w:rsidRPr="00B57B36" w:rsidRDefault="00AA6A89" w:rsidP="00DB6EE5">
            <w:pPr>
              <w:pStyle w:val="CETBodytext"/>
              <w:jc w:val="center"/>
              <w:rPr>
                <w:lang w:val="en-GB"/>
              </w:rPr>
            </w:pPr>
            <w:r>
              <w:rPr>
                <w:kern w:val="2"/>
                <w:lang w:eastAsia="ko-KR"/>
              </w:rPr>
              <w:t>Phenols</w:t>
            </w:r>
          </w:p>
        </w:tc>
        <w:tc>
          <w:tcPr>
            <w:tcW w:w="1701" w:type="dxa"/>
            <w:tcBorders>
              <w:top w:val="single" w:sz="8" w:space="0" w:color="000000"/>
              <w:left w:val="nil"/>
              <w:bottom w:val="single" w:sz="8" w:space="0" w:color="000000"/>
              <w:right w:val="single" w:sz="8" w:space="0" w:color="auto"/>
            </w:tcBorders>
            <w:vAlign w:val="center"/>
          </w:tcPr>
          <w:p w14:paraId="7C21429D" w14:textId="6ED8C73F" w:rsidR="00AA6A89" w:rsidRPr="00B57B36" w:rsidRDefault="00AA6A89" w:rsidP="00DB6EE5">
            <w:pPr>
              <w:pStyle w:val="CETBodytext"/>
              <w:jc w:val="center"/>
              <w:rPr>
                <w:lang w:val="en-GB"/>
              </w:rPr>
            </w:pPr>
            <w:r>
              <w:rPr>
                <w:kern w:val="2"/>
                <w:lang w:eastAsia="ko-KR"/>
              </w:rPr>
              <w:t>Cyclic alcohols</w:t>
            </w:r>
          </w:p>
        </w:tc>
        <w:tc>
          <w:tcPr>
            <w:tcW w:w="1418" w:type="dxa"/>
            <w:tcBorders>
              <w:top w:val="single" w:sz="8" w:space="0" w:color="auto"/>
              <w:left w:val="single" w:sz="8" w:space="0" w:color="auto"/>
              <w:bottom w:val="single" w:sz="8" w:space="0" w:color="000000"/>
              <w:right w:val="nil"/>
            </w:tcBorders>
            <w:vAlign w:val="center"/>
          </w:tcPr>
          <w:p w14:paraId="23058C1B" w14:textId="0D60B25A" w:rsidR="00AA6A89" w:rsidRPr="00B57B36" w:rsidRDefault="00AA6A89" w:rsidP="00DB6EE5">
            <w:pPr>
              <w:pStyle w:val="CETBodytext"/>
              <w:ind w:right="-1"/>
              <w:jc w:val="center"/>
              <w:rPr>
                <w:rFonts w:cs="Arial"/>
                <w:szCs w:val="18"/>
                <w:lang w:val="en-GB"/>
              </w:rPr>
            </w:pPr>
            <w:r>
              <w:rPr>
                <w:kern w:val="2"/>
                <w:lang w:eastAsia="ko-KR"/>
              </w:rPr>
              <w:t>Monomers</w:t>
            </w:r>
          </w:p>
        </w:tc>
        <w:tc>
          <w:tcPr>
            <w:tcW w:w="1276" w:type="dxa"/>
            <w:tcBorders>
              <w:top w:val="single" w:sz="8" w:space="0" w:color="auto"/>
              <w:left w:val="nil"/>
              <w:bottom w:val="single" w:sz="8" w:space="0" w:color="000000"/>
              <w:right w:val="nil"/>
            </w:tcBorders>
            <w:vAlign w:val="center"/>
          </w:tcPr>
          <w:p w14:paraId="5D9F487C" w14:textId="51A6E0EA" w:rsidR="00AA6A89" w:rsidRPr="00B57B36" w:rsidRDefault="00AA6A89" w:rsidP="00DB6EE5">
            <w:pPr>
              <w:pStyle w:val="CETBodytext"/>
              <w:ind w:right="-1"/>
              <w:jc w:val="center"/>
              <w:rPr>
                <w:rFonts w:cs="Arial"/>
                <w:szCs w:val="18"/>
                <w:lang w:val="en-GB"/>
              </w:rPr>
            </w:pPr>
            <w:r>
              <w:rPr>
                <w:kern w:val="2"/>
                <w:lang w:eastAsia="ko-KR"/>
              </w:rPr>
              <w:t>Dimers</w:t>
            </w:r>
          </w:p>
        </w:tc>
        <w:tc>
          <w:tcPr>
            <w:tcW w:w="992" w:type="dxa"/>
            <w:tcBorders>
              <w:top w:val="single" w:sz="8" w:space="0" w:color="auto"/>
              <w:left w:val="nil"/>
              <w:bottom w:val="single" w:sz="8" w:space="0" w:color="000000"/>
              <w:right w:val="nil"/>
            </w:tcBorders>
            <w:vAlign w:val="center"/>
          </w:tcPr>
          <w:p w14:paraId="42AC98E9" w14:textId="0A0F5005" w:rsidR="00AA6A89" w:rsidRPr="00B57B36" w:rsidRDefault="00AA6A89" w:rsidP="00DB6EE5">
            <w:pPr>
              <w:pStyle w:val="CETBodytext"/>
              <w:ind w:right="-1"/>
              <w:jc w:val="center"/>
              <w:rPr>
                <w:rFonts w:cs="Arial"/>
                <w:szCs w:val="18"/>
                <w:lang w:val="en-GB"/>
              </w:rPr>
            </w:pPr>
            <w:r>
              <w:rPr>
                <w:kern w:val="2"/>
                <w:lang w:eastAsia="ko-KR"/>
              </w:rPr>
              <w:t>Trimers</w:t>
            </w:r>
          </w:p>
        </w:tc>
        <w:tc>
          <w:tcPr>
            <w:tcW w:w="992" w:type="dxa"/>
            <w:tcBorders>
              <w:top w:val="single" w:sz="8" w:space="0" w:color="auto"/>
              <w:left w:val="nil"/>
              <w:bottom w:val="single" w:sz="8" w:space="0" w:color="000000"/>
              <w:right w:val="nil"/>
            </w:tcBorders>
            <w:vAlign w:val="center"/>
          </w:tcPr>
          <w:p w14:paraId="26DCA015" w14:textId="087D8F96" w:rsidR="00AA6A89" w:rsidRPr="00B57B36" w:rsidRDefault="00AA6A89" w:rsidP="00DB6EE5">
            <w:pPr>
              <w:pStyle w:val="CETBodytext"/>
              <w:ind w:right="-1"/>
              <w:jc w:val="center"/>
              <w:rPr>
                <w:rFonts w:cs="Arial"/>
                <w:szCs w:val="18"/>
                <w:lang w:val="en-GB"/>
              </w:rPr>
            </w:pPr>
            <w:r>
              <w:rPr>
                <w:kern w:val="2"/>
                <w:lang w:eastAsia="ko-KR"/>
              </w:rPr>
              <w:t>Coke</w:t>
            </w:r>
          </w:p>
        </w:tc>
      </w:tr>
      <w:tr w:rsidR="00DB6EE5" w:rsidRPr="00B57B36" w14:paraId="56385682" w14:textId="77777777" w:rsidTr="006B1E0C">
        <w:tc>
          <w:tcPr>
            <w:tcW w:w="1134" w:type="dxa"/>
            <w:tcBorders>
              <w:top w:val="single" w:sz="8" w:space="0" w:color="000000"/>
              <w:left w:val="nil"/>
              <w:bottom w:val="nil"/>
              <w:right w:val="single" w:sz="2" w:space="0" w:color="4F6228" w:themeColor="accent3" w:themeShade="80"/>
            </w:tcBorders>
            <w:vAlign w:val="center"/>
          </w:tcPr>
          <w:p w14:paraId="3B890376" w14:textId="6160C8B3" w:rsidR="00DB6EE5" w:rsidRPr="00B57B36" w:rsidRDefault="00DB6EE5" w:rsidP="00DB6EE5">
            <w:pPr>
              <w:pStyle w:val="CETBodytext"/>
              <w:rPr>
                <w:lang w:val="en-GB"/>
              </w:rPr>
            </w:pPr>
            <w:r>
              <w:rPr>
                <w:kern w:val="2"/>
                <w:lang w:eastAsia="ko-KR"/>
              </w:rPr>
              <w:t>HY</w:t>
            </w:r>
          </w:p>
        </w:tc>
        <w:tc>
          <w:tcPr>
            <w:tcW w:w="1134" w:type="dxa"/>
            <w:tcBorders>
              <w:top w:val="single" w:sz="8" w:space="0" w:color="000000"/>
              <w:left w:val="single" w:sz="2" w:space="0" w:color="4F6228" w:themeColor="accent3" w:themeShade="80"/>
              <w:bottom w:val="nil"/>
              <w:right w:val="nil"/>
            </w:tcBorders>
          </w:tcPr>
          <w:p w14:paraId="125692E6" w14:textId="392A52BF" w:rsidR="00DB6EE5" w:rsidRPr="00B57B36" w:rsidRDefault="00DB6EE5" w:rsidP="00DB6EE5">
            <w:pPr>
              <w:pStyle w:val="CETBodytext"/>
              <w:jc w:val="center"/>
              <w:rPr>
                <w:lang w:val="en-GB"/>
              </w:rPr>
            </w:pPr>
            <w:r>
              <w:rPr>
                <w:kern w:val="2"/>
                <w:lang w:eastAsia="ko-KR"/>
              </w:rPr>
              <w:t>31</w:t>
            </w:r>
          </w:p>
        </w:tc>
        <w:tc>
          <w:tcPr>
            <w:tcW w:w="1701" w:type="dxa"/>
            <w:tcBorders>
              <w:top w:val="single" w:sz="8" w:space="0" w:color="000000"/>
              <w:left w:val="nil"/>
              <w:bottom w:val="nil"/>
              <w:right w:val="single" w:sz="8" w:space="0" w:color="auto"/>
            </w:tcBorders>
          </w:tcPr>
          <w:p w14:paraId="1E4E2A8B" w14:textId="27B5446D" w:rsidR="00DB6EE5" w:rsidRPr="00B57B36" w:rsidRDefault="00DB6EE5" w:rsidP="00DB6EE5">
            <w:pPr>
              <w:pStyle w:val="CETBodytext"/>
              <w:jc w:val="center"/>
              <w:rPr>
                <w:lang w:val="en-GB"/>
              </w:rPr>
            </w:pPr>
            <w:r>
              <w:rPr>
                <w:kern w:val="2"/>
                <w:lang w:eastAsia="ko-KR"/>
              </w:rPr>
              <w:t>0</w:t>
            </w:r>
          </w:p>
        </w:tc>
        <w:tc>
          <w:tcPr>
            <w:tcW w:w="1418" w:type="dxa"/>
            <w:tcBorders>
              <w:top w:val="single" w:sz="8" w:space="0" w:color="000000"/>
              <w:left w:val="single" w:sz="8" w:space="0" w:color="auto"/>
              <w:bottom w:val="nil"/>
              <w:right w:val="nil"/>
            </w:tcBorders>
            <w:vAlign w:val="center"/>
          </w:tcPr>
          <w:p w14:paraId="37C2D7AF" w14:textId="700ED7AC" w:rsidR="00DB6EE5" w:rsidRPr="00B57B36" w:rsidRDefault="00DB6EE5" w:rsidP="00DB6EE5">
            <w:pPr>
              <w:pStyle w:val="CETBodytext"/>
              <w:ind w:right="-1"/>
              <w:jc w:val="center"/>
              <w:rPr>
                <w:rFonts w:cs="Arial"/>
                <w:szCs w:val="18"/>
                <w:lang w:val="en-GB"/>
              </w:rPr>
            </w:pPr>
            <w:r>
              <w:rPr>
                <w:kern w:val="2"/>
                <w:lang w:eastAsia="ko-KR"/>
              </w:rPr>
              <w:t>40</w:t>
            </w:r>
          </w:p>
        </w:tc>
        <w:tc>
          <w:tcPr>
            <w:tcW w:w="1276" w:type="dxa"/>
            <w:tcBorders>
              <w:top w:val="single" w:sz="8" w:space="0" w:color="000000"/>
              <w:left w:val="nil"/>
              <w:bottom w:val="nil"/>
              <w:right w:val="nil"/>
            </w:tcBorders>
            <w:vAlign w:val="center"/>
          </w:tcPr>
          <w:p w14:paraId="48D92F76" w14:textId="0474C5AB" w:rsidR="00DB6EE5" w:rsidRPr="00B57B36" w:rsidRDefault="00DB6EE5" w:rsidP="00DB6EE5">
            <w:pPr>
              <w:pStyle w:val="CETBodytext"/>
              <w:ind w:right="-1"/>
              <w:jc w:val="center"/>
              <w:rPr>
                <w:rFonts w:cs="Arial"/>
                <w:szCs w:val="18"/>
                <w:lang w:val="en-GB"/>
              </w:rPr>
            </w:pPr>
            <w:r>
              <w:rPr>
                <w:kern w:val="2"/>
                <w:lang w:eastAsia="ko-KR"/>
              </w:rPr>
              <w:t>29</w:t>
            </w:r>
          </w:p>
        </w:tc>
        <w:tc>
          <w:tcPr>
            <w:tcW w:w="992" w:type="dxa"/>
            <w:tcBorders>
              <w:top w:val="single" w:sz="8" w:space="0" w:color="000000"/>
              <w:left w:val="nil"/>
              <w:bottom w:val="nil"/>
              <w:right w:val="nil"/>
            </w:tcBorders>
            <w:vAlign w:val="center"/>
          </w:tcPr>
          <w:p w14:paraId="4EFEA85E" w14:textId="0ECFDF0E" w:rsidR="00DB6EE5" w:rsidRPr="00B57B36" w:rsidRDefault="00DB6EE5" w:rsidP="00DB6EE5">
            <w:pPr>
              <w:pStyle w:val="CETBodytext"/>
              <w:ind w:right="-1"/>
              <w:jc w:val="center"/>
              <w:rPr>
                <w:rFonts w:cs="Arial"/>
                <w:szCs w:val="18"/>
                <w:lang w:val="en-GB"/>
              </w:rPr>
            </w:pPr>
            <w:r>
              <w:rPr>
                <w:kern w:val="2"/>
                <w:lang w:eastAsia="ko-KR"/>
              </w:rPr>
              <w:t>1</w:t>
            </w:r>
          </w:p>
        </w:tc>
        <w:tc>
          <w:tcPr>
            <w:tcW w:w="992" w:type="dxa"/>
            <w:tcBorders>
              <w:top w:val="single" w:sz="8" w:space="0" w:color="000000"/>
              <w:left w:val="nil"/>
              <w:bottom w:val="nil"/>
              <w:right w:val="nil"/>
            </w:tcBorders>
            <w:vAlign w:val="center"/>
          </w:tcPr>
          <w:p w14:paraId="1A8E0A93" w14:textId="57ACDCD3" w:rsidR="00DB6EE5" w:rsidRPr="00B57B36" w:rsidRDefault="00DB6EE5" w:rsidP="00DB6EE5">
            <w:pPr>
              <w:pStyle w:val="CETBodytext"/>
              <w:ind w:right="-1"/>
              <w:jc w:val="center"/>
              <w:rPr>
                <w:rFonts w:cs="Arial"/>
                <w:szCs w:val="18"/>
                <w:lang w:val="en-GB"/>
              </w:rPr>
            </w:pPr>
            <w:r>
              <w:rPr>
                <w:kern w:val="2"/>
                <w:lang w:eastAsia="ko-KR"/>
              </w:rPr>
              <w:t>11</w:t>
            </w:r>
          </w:p>
        </w:tc>
      </w:tr>
      <w:tr w:rsidR="006B1E0C" w:rsidRPr="00B57B36" w14:paraId="17B8D31B" w14:textId="77777777" w:rsidTr="006B1E0C">
        <w:tc>
          <w:tcPr>
            <w:tcW w:w="1134" w:type="dxa"/>
            <w:tcBorders>
              <w:top w:val="nil"/>
              <w:left w:val="nil"/>
              <w:bottom w:val="nil"/>
              <w:right w:val="single" w:sz="2" w:space="0" w:color="4F6228" w:themeColor="accent3" w:themeShade="80"/>
            </w:tcBorders>
            <w:vAlign w:val="center"/>
          </w:tcPr>
          <w:p w14:paraId="7FB02BF4" w14:textId="135F2496" w:rsidR="00DB6EE5" w:rsidRPr="00B57B36" w:rsidRDefault="00DB6EE5" w:rsidP="00DB6EE5">
            <w:pPr>
              <w:pStyle w:val="CETBodytext"/>
              <w:rPr>
                <w:lang w:val="en-GB"/>
              </w:rPr>
            </w:pPr>
            <w:r>
              <w:rPr>
                <w:kern w:val="2"/>
                <w:lang w:eastAsia="ko-KR"/>
              </w:rPr>
              <w:t>H</w:t>
            </w:r>
            <w:r>
              <w:rPr>
                <w:rFonts w:ascii="Times New Roman" w:hAnsi="Times New Roman"/>
                <w:kern w:val="2"/>
                <w:lang w:eastAsia="ko-KR"/>
              </w:rPr>
              <w:t>β</w:t>
            </w:r>
          </w:p>
        </w:tc>
        <w:tc>
          <w:tcPr>
            <w:tcW w:w="1134" w:type="dxa"/>
            <w:tcBorders>
              <w:top w:val="nil"/>
              <w:left w:val="single" w:sz="2" w:space="0" w:color="4F6228" w:themeColor="accent3" w:themeShade="80"/>
              <w:bottom w:val="nil"/>
              <w:right w:val="nil"/>
            </w:tcBorders>
          </w:tcPr>
          <w:p w14:paraId="24931E50" w14:textId="1DA06219" w:rsidR="00DB6EE5" w:rsidRPr="00B57B36" w:rsidRDefault="00DB6EE5" w:rsidP="00DB6EE5">
            <w:pPr>
              <w:pStyle w:val="CETBodytext"/>
              <w:jc w:val="center"/>
              <w:rPr>
                <w:lang w:val="en-GB"/>
              </w:rPr>
            </w:pPr>
            <w:r>
              <w:rPr>
                <w:kern w:val="2"/>
                <w:lang w:eastAsia="ko-KR"/>
              </w:rPr>
              <w:t>33</w:t>
            </w:r>
          </w:p>
        </w:tc>
        <w:tc>
          <w:tcPr>
            <w:tcW w:w="1701" w:type="dxa"/>
            <w:tcBorders>
              <w:top w:val="nil"/>
              <w:left w:val="nil"/>
              <w:bottom w:val="nil"/>
              <w:right w:val="single" w:sz="8" w:space="0" w:color="auto"/>
            </w:tcBorders>
          </w:tcPr>
          <w:p w14:paraId="3AFEA17A" w14:textId="2CE00B96" w:rsidR="00DB6EE5" w:rsidRPr="00B57B36" w:rsidRDefault="00DB6EE5" w:rsidP="00DB6EE5">
            <w:pPr>
              <w:pStyle w:val="CETBodytext"/>
              <w:jc w:val="center"/>
              <w:rPr>
                <w:lang w:val="en-GB"/>
              </w:rPr>
            </w:pPr>
            <w:r>
              <w:rPr>
                <w:kern w:val="2"/>
                <w:lang w:eastAsia="ko-KR"/>
              </w:rPr>
              <w:t>0</w:t>
            </w:r>
          </w:p>
        </w:tc>
        <w:tc>
          <w:tcPr>
            <w:tcW w:w="1418" w:type="dxa"/>
            <w:tcBorders>
              <w:top w:val="nil"/>
              <w:left w:val="single" w:sz="8" w:space="0" w:color="auto"/>
              <w:bottom w:val="nil"/>
              <w:right w:val="nil"/>
            </w:tcBorders>
            <w:vAlign w:val="center"/>
          </w:tcPr>
          <w:p w14:paraId="5585AAEC" w14:textId="2A293D4E" w:rsidR="00DB6EE5" w:rsidRPr="00B57B36" w:rsidRDefault="00DB6EE5" w:rsidP="00DB6EE5">
            <w:pPr>
              <w:pStyle w:val="CETBodytext"/>
              <w:ind w:right="-1"/>
              <w:jc w:val="center"/>
              <w:rPr>
                <w:rFonts w:cs="Arial"/>
                <w:szCs w:val="18"/>
                <w:lang w:val="en-GB"/>
              </w:rPr>
            </w:pPr>
            <w:r>
              <w:rPr>
                <w:kern w:val="2"/>
                <w:lang w:eastAsia="ko-KR"/>
              </w:rPr>
              <w:t>40</w:t>
            </w:r>
          </w:p>
        </w:tc>
        <w:tc>
          <w:tcPr>
            <w:tcW w:w="1276" w:type="dxa"/>
            <w:vAlign w:val="center"/>
          </w:tcPr>
          <w:p w14:paraId="03FB0544" w14:textId="0B219B93" w:rsidR="00DB6EE5" w:rsidRPr="00B57B36" w:rsidRDefault="00DB6EE5" w:rsidP="00DB6EE5">
            <w:pPr>
              <w:pStyle w:val="CETBodytext"/>
              <w:ind w:right="-1"/>
              <w:jc w:val="center"/>
              <w:rPr>
                <w:rFonts w:cs="Arial"/>
                <w:szCs w:val="18"/>
                <w:lang w:val="en-GB"/>
              </w:rPr>
            </w:pPr>
            <w:r>
              <w:rPr>
                <w:kern w:val="2"/>
                <w:lang w:eastAsia="ko-KR"/>
              </w:rPr>
              <w:t>26</w:t>
            </w:r>
          </w:p>
        </w:tc>
        <w:tc>
          <w:tcPr>
            <w:tcW w:w="992" w:type="dxa"/>
            <w:vAlign w:val="center"/>
          </w:tcPr>
          <w:p w14:paraId="5005B9E6" w14:textId="235A1FC2" w:rsidR="00DB6EE5" w:rsidRPr="00B57B36" w:rsidRDefault="00DB6EE5" w:rsidP="00DB6EE5">
            <w:pPr>
              <w:pStyle w:val="CETBodytext"/>
              <w:ind w:right="-1"/>
              <w:jc w:val="center"/>
              <w:rPr>
                <w:rFonts w:cs="Arial"/>
                <w:szCs w:val="18"/>
                <w:lang w:val="en-GB"/>
              </w:rPr>
            </w:pPr>
            <w:r>
              <w:rPr>
                <w:kern w:val="2"/>
                <w:lang w:eastAsia="ko-KR"/>
              </w:rPr>
              <w:t>1</w:t>
            </w:r>
          </w:p>
        </w:tc>
        <w:tc>
          <w:tcPr>
            <w:tcW w:w="992" w:type="dxa"/>
            <w:vAlign w:val="center"/>
          </w:tcPr>
          <w:p w14:paraId="06B98F3D" w14:textId="538128A5" w:rsidR="00DB6EE5" w:rsidRPr="00B57B36" w:rsidRDefault="00DB6EE5" w:rsidP="00DB6EE5">
            <w:pPr>
              <w:pStyle w:val="CETBodytext"/>
              <w:ind w:right="-1"/>
              <w:jc w:val="center"/>
              <w:rPr>
                <w:rFonts w:cs="Arial"/>
                <w:szCs w:val="18"/>
                <w:lang w:val="en-GB"/>
              </w:rPr>
            </w:pPr>
            <w:r>
              <w:rPr>
                <w:kern w:val="2"/>
                <w:lang w:eastAsia="ko-KR"/>
              </w:rPr>
              <w:t>10</w:t>
            </w:r>
          </w:p>
        </w:tc>
      </w:tr>
      <w:tr w:rsidR="006B1E0C" w:rsidRPr="00B57B36" w14:paraId="7AFF001D" w14:textId="77777777" w:rsidTr="006B1E0C">
        <w:tc>
          <w:tcPr>
            <w:tcW w:w="1134" w:type="dxa"/>
            <w:tcBorders>
              <w:top w:val="nil"/>
              <w:left w:val="nil"/>
              <w:bottom w:val="nil"/>
              <w:right w:val="single" w:sz="2" w:space="0" w:color="4F6228" w:themeColor="accent3" w:themeShade="80"/>
            </w:tcBorders>
            <w:vAlign w:val="center"/>
          </w:tcPr>
          <w:p w14:paraId="093E4153" w14:textId="00709009" w:rsidR="00DB6EE5" w:rsidRPr="00B57B36" w:rsidRDefault="00DB6EE5" w:rsidP="00DB6EE5">
            <w:pPr>
              <w:pStyle w:val="CETBodytext"/>
              <w:rPr>
                <w:lang w:val="en-GB"/>
              </w:rPr>
            </w:pPr>
            <w:r>
              <w:rPr>
                <w:kern w:val="2"/>
                <w:lang w:eastAsia="ko-KR"/>
              </w:rPr>
              <w:t>WZr</w:t>
            </w:r>
          </w:p>
        </w:tc>
        <w:tc>
          <w:tcPr>
            <w:tcW w:w="1134" w:type="dxa"/>
            <w:tcBorders>
              <w:top w:val="nil"/>
              <w:left w:val="single" w:sz="2" w:space="0" w:color="4F6228" w:themeColor="accent3" w:themeShade="80"/>
              <w:bottom w:val="nil"/>
              <w:right w:val="nil"/>
            </w:tcBorders>
          </w:tcPr>
          <w:p w14:paraId="345CBCE2" w14:textId="1D01339C" w:rsidR="00DB6EE5" w:rsidRPr="00B57B36" w:rsidRDefault="00DB6EE5" w:rsidP="00DB6EE5">
            <w:pPr>
              <w:pStyle w:val="CETBodytext"/>
              <w:jc w:val="center"/>
              <w:rPr>
                <w:lang w:val="en-GB"/>
              </w:rPr>
            </w:pPr>
            <w:r>
              <w:rPr>
                <w:kern w:val="2"/>
                <w:lang w:eastAsia="ko-KR"/>
              </w:rPr>
              <w:t>39</w:t>
            </w:r>
          </w:p>
        </w:tc>
        <w:tc>
          <w:tcPr>
            <w:tcW w:w="1701" w:type="dxa"/>
            <w:tcBorders>
              <w:top w:val="nil"/>
              <w:left w:val="nil"/>
              <w:bottom w:val="nil"/>
              <w:right w:val="single" w:sz="8" w:space="0" w:color="auto"/>
            </w:tcBorders>
          </w:tcPr>
          <w:p w14:paraId="64C6F8A0" w14:textId="5225B034" w:rsidR="00DB6EE5" w:rsidRPr="00B57B36" w:rsidRDefault="00DB6EE5" w:rsidP="00DB6EE5">
            <w:pPr>
              <w:pStyle w:val="CETBodytext"/>
              <w:jc w:val="center"/>
              <w:rPr>
                <w:lang w:val="en-GB"/>
              </w:rPr>
            </w:pPr>
            <w:r>
              <w:rPr>
                <w:kern w:val="2"/>
                <w:lang w:eastAsia="ko-KR"/>
              </w:rPr>
              <w:t>0</w:t>
            </w:r>
          </w:p>
        </w:tc>
        <w:tc>
          <w:tcPr>
            <w:tcW w:w="1418" w:type="dxa"/>
            <w:tcBorders>
              <w:top w:val="nil"/>
              <w:left w:val="single" w:sz="8" w:space="0" w:color="auto"/>
              <w:bottom w:val="nil"/>
              <w:right w:val="nil"/>
            </w:tcBorders>
            <w:vAlign w:val="center"/>
          </w:tcPr>
          <w:p w14:paraId="403CF9C0" w14:textId="0AE58E24" w:rsidR="00DB6EE5" w:rsidRPr="00B57B36" w:rsidRDefault="00DB6EE5" w:rsidP="00DB6EE5">
            <w:pPr>
              <w:pStyle w:val="CETBodytext"/>
              <w:ind w:right="-1"/>
              <w:jc w:val="center"/>
              <w:rPr>
                <w:rFonts w:cs="Arial"/>
                <w:szCs w:val="18"/>
                <w:lang w:val="en-GB"/>
              </w:rPr>
            </w:pPr>
            <w:r>
              <w:rPr>
                <w:kern w:val="2"/>
                <w:lang w:eastAsia="ko-KR"/>
              </w:rPr>
              <w:t>43</w:t>
            </w:r>
          </w:p>
        </w:tc>
        <w:tc>
          <w:tcPr>
            <w:tcW w:w="1276" w:type="dxa"/>
            <w:vAlign w:val="center"/>
          </w:tcPr>
          <w:p w14:paraId="7E461C9A" w14:textId="238AA6FD" w:rsidR="00DB6EE5" w:rsidRPr="00B57B36" w:rsidRDefault="00DB6EE5" w:rsidP="00DB6EE5">
            <w:pPr>
              <w:pStyle w:val="CETBodytext"/>
              <w:ind w:right="-1"/>
              <w:jc w:val="center"/>
              <w:rPr>
                <w:rFonts w:cs="Arial"/>
                <w:szCs w:val="18"/>
                <w:lang w:val="en-GB"/>
              </w:rPr>
            </w:pPr>
            <w:r>
              <w:rPr>
                <w:kern w:val="2"/>
                <w:lang w:eastAsia="ko-KR"/>
              </w:rPr>
              <w:t>17</w:t>
            </w:r>
          </w:p>
        </w:tc>
        <w:tc>
          <w:tcPr>
            <w:tcW w:w="992" w:type="dxa"/>
            <w:vAlign w:val="center"/>
          </w:tcPr>
          <w:p w14:paraId="62C448B0" w14:textId="1934FC53" w:rsidR="00DB6EE5" w:rsidRPr="00B57B36" w:rsidRDefault="00DB6EE5" w:rsidP="00DB6EE5">
            <w:pPr>
              <w:pStyle w:val="CETBodytext"/>
              <w:ind w:right="-1"/>
              <w:jc w:val="center"/>
              <w:rPr>
                <w:rFonts w:cs="Arial"/>
                <w:szCs w:val="18"/>
                <w:lang w:val="en-GB"/>
              </w:rPr>
            </w:pPr>
            <w:r>
              <w:rPr>
                <w:kern w:val="2"/>
                <w:lang w:eastAsia="ko-KR"/>
              </w:rPr>
              <w:t>1</w:t>
            </w:r>
          </w:p>
        </w:tc>
        <w:tc>
          <w:tcPr>
            <w:tcW w:w="992" w:type="dxa"/>
            <w:vAlign w:val="center"/>
          </w:tcPr>
          <w:p w14:paraId="1F2574D0" w14:textId="20C0A969" w:rsidR="00DB6EE5" w:rsidRPr="00B57B36" w:rsidRDefault="00DB6EE5" w:rsidP="00DB6EE5">
            <w:pPr>
              <w:pStyle w:val="CETBodytext"/>
              <w:ind w:right="-1"/>
              <w:jc w:val="center"/>
              <w:rPr>
                <w:rFonts w:cs="Arial"/>
                <w:szCs w:val="18"/>
                <w:lang w:val="en-GB"/>
              </w:rPr>
            </w:pPr>
            <w:r>
              <w:rPr>
                <w:kern w:val="2"/>
                <w:lang w:eastAsia="ko-KR"/>
              </w:rPr>
              <w:t>1</w:t>
            </w:r>
          </w:p>
        </w:tc>
      </w:tr>
      <w:tr w:rsidR="006B1E0C" w:rsidRPr="00B57B36" w14:paraId="57833609" w14:textId="77777777" w:rsidTr="006B1E0C">
        <w:tc>
          <w:tcPr>
            <w:tcW w:w="1134" w:type="dxa"/>
            <w:tcBorders>
              <w:top w:val="nil"/>
              <w:left w:val="nil"/>
              <w:bottom w:val="nil"/>
              <w:right w:val="single" w:sz="2" w:space="0" w:color="4F6228" w:themeColor="accent3" w:themeShade="80"/>
            </w:tcBorders>
            <w:vAlign w:val="center"/>
          </w:tcPr>
          <w:p w14:paraId="7E8A1405" w14:textId="7952576C" w:rsidR="00DB6EE5" w:rsidRPr="00B57B36" w:rsidRDefault="00DB6EE5" w:rsidP="00DB6EE5">
            <w:pPr>
              <w:pStyle w:val="CETBodytext"/>
              <w:rPr>
                <w:lang w:val="en-GB"/>
              </w:rPr>
            </w:pPr>
            <w:r>
              <w:rPr>
                <w:kern w:val="2"/>
                <w:lang w:eastAsia="ko-KR"/>
              </w:rPr>
              <w:t>S-ZrO</w:t>
            </w:r>
            <w:r>
              <w:rPr>
                <w:kern w:val="2"/>
                <w:vertAlign w:val="subscript"/>
                <w:lang w:eastAsia="ko-KR"/>
              </w:rPr>
              <w:t>2</w:t>
            </w:r>
          </w:p>
        </w:tc>
        <w:tc>
          <w:tcPr>
            <w:tcW w:w="1134" w:type="dxa"/>
            <w:tcBorders>
              <w:top w:val="nil"/>
              <w:left w:val="single" w:sz="2" w:space="0" w:color="4F6228" w:themeColor="accent3" w:themeShade="80"/>
              <w:bottom w:val="nil"/>
              <w:right w:val="nil"/>
            </w:tcBorders>
          </w:tcPr>
          <w:p w14:paraId="122EFDF4" w14:textId="1A2FEFE6" w:rsidR="00DB6EE5" w:rsidRPr="00B57B36" w:rsidRDefault="00DB6EE5" w:rsidP="00DB6EE5">
            <w:pPr>
              <w:pStyle w:val="CETBodytext"/>
              <w:jc w:val="center"/>
              <w:rPr>
                <w:lang w:val="en-GB"/>
              </w:rPr>
            </w:pPr>
            <w:r>
              <w:rPr>
                <w:kern w:val="2"/>
                <w:lang w:eastAsia="ko-KR"/>
              </w:rPr>
              <w:t>40</w:t>
            </w:r>
          </w:p>
        </w:tc>
        <w:tc>
          <w:tcPr>
            <w:tcW w:w="1701" w:type="dxa"/>
            <w:tcBorders>
              <w:top w:val="nil"/>
              <w:left w:val="nil"/>
              <w:bottom w:val="nil"/>
              <w:right w:val="single" w:sz="8" w:space="0" w:color="auto"/>
            </w:tcBorders>
          </w:tcPr>
          <w:p w14:paraId="2FD1301D" w14:textId="3C12FA5C" w:rsidR="00DB6EE5" w:rsidRPr="00B57B36" w:rsidRDefault="00DB6EE5" w:rsidP="00DB6EE5">
            <w:pPr>
              <w:pStyle w:val="CETBodytext"/>
              <w:jc w:val="center"/>
              <w:rPr>
                <w:lang w:val="en-GB"/>
              </w:rPr>
            </w:pPr>
            <w:r>
              <w:rPr>
                <w:kern w:val="2"/>
                <w:lang w:eastAsia="ko-KR"/>
              </w:rPr>
              <w:t>0</w:t>
            </w:r>
          </w:p>
        </w:tc>
        <w:tc>
          <w:tcPr>
            <w:tcW w:w="1418" w:type="dxa"/>
            <w:tcBorders>
              <w:top w:val="nil"/>
              <w:left w:val="single" w:sz="8" w:space="0" w:color="auto"/>
              <w:bottom w:val="nil"/>
              <w:right w:val="nil"/>
            </w:tcBorders>
            <w:vAlign w:val="center"/>
          </w:tcPr>
          <w:p w14:paraId="072FA467" w14:textId="3F1B70EA" w:rsidR="00DB6EE5" w:rsidRPr="00B57B36" w:rsidRDefault="00DB6EE5" w:rsidP="00DB6EE5">
            <w:pPr>
              <w:pStyle w:val="CETBodytext"/>
              <w:ind w:right="-1"/>
              <w:jc w:val="center"/>
              <w:rPr>
                <w:rFonts w:cs="Arial"/>
                <w:szCs w:val="18"/>
                <w:lang w:val="en-GB"/>
              </w:rPr>
            </w:pPr>
            <w:r>
              <w:rPr>
                <w:kern w:val="2"/>
                <w:lang w:eastAsia="ko-KR"/>
              </w:rPr>
              <w:t>60</w:t>
            </w:r>
          </w:p>
        </w:tc>
        <w:tc>
          <w:tcPr>
            <w:tcW w:w="1276" w:type="dxa"/>
            <w:vAlign w:val="center"/>
          </w:tcPr>
          <w:p w14:paraId="49C2AB0E" w14:textId="1AC7A484" w:rsidR="00DB6EE5" w:rsidRPr="00B57B36" w:rsidRDefault="00DB6EE5" w:rsidP="00DB6EE5">
            <w:pPr>
              <w:pStyle w:val="CETBodytext"/>
              <w:ind w:right="-1"/>
              <w:jc w:val="center"/>
              <w:rPr>
                <w:rFonts w:cs="Arial"/>
                <w:szCs w:val="18"/>
                <w:lang w:val="en-GB"/>
              </w:rPr>
            </w:pPr>
            <w:r>
              <w:rPr>
                <w:kern w:val="2"/>
                <w:lang w:eastAsia="ko-KR"/>
              </w:rPr>
              <w:t>1</w:t>
            </w:r>
          </w:p>
        </w:tc>
        <w:tc>
          <w:tcPr>
            <w:tcW w:w="992" w:type="dxa"/>
            <w:vAlign w:val="center"/>
          </w:tcPr>
          <w:p w14:paraId="4C29154C" w14:textId="77FF17D1" w:rsidR="00DB6EE5" w:rsidRPr="00B57B36" w:rsidRDefault="00DB6EE5" w:rsidP="00DB6EE5">
            <w:pPr>
              <w:pStyle w:val="CETBodytext"/>
              <w:ind w:right="-1"/>
              <w:jc w:val="center"/>
              <w:rPr>
                <w:rFonts w:cs="Arial"/>
                <w:szCs w:val="18"/>
                <w:lang w:val="en-GB"/>
              </w:rPr>
            </w:pPr>
            <w:r>
              <w:rPr>
                <w:kern w:val="2"/>
                <w:lang w:eastAsia="ko-KR"/>
              </w:rPr>
              <w:t>0</w:t>
            </w:r>
          </w:p>
        </w:tc>
        <w:tc>
          <w:tcPr>
            <w:tcW w:w="992" w:type="dxa"/>
            <w:vAlign w:val="center"/>
          </w:tcPr>
          <w:p w14:paraId="5F22DCF3" w14:textId="1041B227" w:rsidR="00DB6EE5" w:rsidRPr="00B57B36" w:rsidRDefault="00DB6EE5" w:rsidP="00DB6EE5">
            <w:pPr>
              <w:pStyle w:val="CETBodytext"/>
              <w:ind w:right="-1"/>
              <w:jc w:val="center"/>
              <w:rPr>
                <w:rFonts w:cs="Arial"/>
                <w:szCs w:val="18"/>
                <w:lang w:val="en-GB"/>
              </w:rPr>
            </w:pPr>
            <w:r>
              <w:rPr>
                <w:kern w:val="2"/>
                <w:lang w:eastAsia="ko-KR"/>
              </w:rPr>
              <w:t>1</w:t>
            </w:r>
          </w:p>
        </w:tc>
      </w:tr>
      <w:tr w:rsidR="006B1E0C" w:rsidRPr="00B57B36" w14:paraId="2A86DA8D" w14:textId="77777777" w:rsidTr="006B1E0C">
        <w:tc>
          <w:tcPr>
            <w:tcW w:w="1134" w:type="dxa"/>
            <w:tcBorders>
              <w:top w:val="nil"/>
              <w:left w:val="nil"/>
              <w:bottom w:val="nil"/>
              <w:right w:val="single" w:sz="2" w:space="0" w:color="4F6228" w:themeColor="accent3" w:themeShade="80"/>
            </w:tcBorders>
            <w:vAlign w:val="center"/>
          </w:tcPr>
          <w:p w14:paraId="657AF785" w14:textId="66F0C63D" w:rsidR="00DB6EE5" w:rsidRPr="00B57B36" w:rsidRDefault="00DB6EE5" w:rsidP="00DB6EE5">
            <w:pPr>
              <w:pStyle w:val="CETBodytext"/>
              <w:rPr>
                <w:lang w:val="en-GB"/>
              </w:rPr>
            </w:pPr>
            <w:r>
              <w:rPr>
                <w:kern w:val="2"/>
                <w:lang w:eastAsia="ko-KR"/>
              </w:rPr>
              <w:t>γ-Al</w:t>
            </w:r>
            <w:r>
              <w:rPr>
                <w:kern w:val="2"/>
                <w:vertAlign w:val="subscript"/>
                <w:lang w:eastAsia="ko-KR"/>
              </w:rPr>
              <w:t>2</w:t>
            </w:r>
            <w:r>
              <w:rPr>
                <w:kern w:val="2"/>
                <w:lang w:eastAsia="ko-KR"/>
              </w:rPr>
              <w:t>O</w:t>
            </w:r>
            <w:r>
              <w:rPr>
                <w:kern w:val="2"/>
                <w:vertAlign w:val="subscript"/>
                <w:lang w:eastAsia="ko-KR"/>
              </w:rPr>
              <w:t>3</w:t>
            </w:r>
          </w:p>
        </w:tc>
        <w:tc>
          <w:tcPr>
            <w:tcW w:w="1134" w:type="dxa"/>
            <w:tcBorders>
              <w:top w:val="nil"/>
              <w:left w:val="single" w:sz="2" w:space="0" w:color="4F6228" w:themeColor="accent3" w:themeShade="80"/>
              <w:bottom w:val="nil"/>
              <w:right w:val="nil"/>
            </w:tcBorders>
          </w:tcPr>
          <w:p w14:paraId="397684CE" w14:textId="435C3425" w:rsidR="00DB6EE5" w:rsidRPr="00B57B36" w:rsidRDefault="00DB6EE5" w:rsidP="00DB6EE5">
            <w:pPr>
              <w:pStyle w:val="CETBodytext"/>
              <w:jc w:val="center"/>
              <w:rPr>
                <w:lang w:val="en-GB"/>
              </w:rPr>
            </w:pPr>
            <w:r>
              <w:rPr>
                <w:kern w:val="2"/>
                <w:lang w:eastAsia="ko-KR"/>
              </w:rPr>
              <w:t>28</w:t>
            </w:r>
          </w:p>
        </w:tc>
        <w:tc>
          <w:tcPr>
            <w:tcW w:w="1701" w:type="dxa"/>
            <w:tcBorders>
              <w:top w:val="nil"/>
              <w:left w:val="nil"/>
              <w:bottom w:val="nil"/>
              <w:right w:val="single" w:sz="8" w:space="0" w:color="auto"/>
            </w:tcBorders>
          </w:tcPr>
          <w:p w14:paraId="12D1A45C" w14:textId="43494F33" w:rsidR="00DB6EE5" w:rsidRPr="00B57B36" w:rsidRDefault="00DB6EE5" w:rsidP="00DB6EE5">
            <w:pPr>
              <w:pStyle w:val="CETBodytext"/>
              <w:jc w:val="center"/>
              <w:rPr>
                <w:lang w:val="en-GB"/>
              </w:rPr>
            </w:pPr>
            <w:r>
              <w:rPr>
                <w:kern w:val="2"/>
                <w:lang w:eastAsia="ko-KR"/>
              </w:rPr>
              <w:t>0</w:t>
            </w:r>
          </w:p>
        </w:tc>
        <w:tc>
          <w:tcPr>
            <w:tcW w:w="1418" w:type="dxa"/>
            <w:tcBorders>
              <w:top w:val="nil"/>
              <w:left w:val="single" w:sz="8" w:space="0" w:color="auto"/>
              <w:bottom w:val="nil"/>
              <w:right w:val="nil"/>
            </w:tcBorders>
            <w:vAlign w:val="center"/>
          </w:tcPr>
          <w:p w14:paraId="0F9B28E1" w14:textId="6E70369C" w:rsidR="00DB6EE5" w:rsidRPr="00B57B36" w:rsidRDefault="00DB6EE5" w:rsidP="00DB6EE5">
            <w:pPr>
              <w:pStyle w:val="CETBodytext"/>
              <w:ind w:right="-1"/>
              <w:jc w:val="center"/>
              <w:rPr>
                <w:rFonts w:cs="Arial"/>
                <w:szCs w:val="18"/>
                <w:lang w:val="en-GB"/>
              </w:rPr>
            </w:pPr>
            <w:r>
              <w:rPr>
                <w:kern w:val="2"/>
                <w:lang w:eastAsia="ko-KR"/>
              </w:rPr>
              <w:t>42</w:t>
            </w:r>
          </w:p>
        </w:tc>
        <w:tc>
          <w:tcPr>
            <w:tcW w:w="1276" w:type="dxa"/>
            <w:vAlign w:val="center"/>
          </w:tcPr>
          <w:p w14:paraId="4E7BEFD7" w14:textId="61EBEBC4" w:rsidR="00DB6EE5" w:rsidRPr="00B57B36" w:rsidRDefault="00DB6EE5" w:rsidP="00DB6EE5">
            <w:pPr>
              <w:pStyle w:val="CETBodytext"/>
              <w:ind w:right="-1"/>
              <w:jc w:val="center"/>
              <w:rPr>
                <w:rFonts w:cs="Arial"/>
                <w:szCs w:val="18"/>
                <w:lang w:val="en-GB"/>
              </w:rPr>
            </w:pPr>
            <w:r>
              <w:rPr>
                <w:kern w:val="2"/>
                <w:lang w:eastAsia="ko-KR"/>
              </w:rPr>
              <w:t>0</w:t>
            </w:r>
          </w:p>
        </w:tc>
        <w:tc>
          <w:tcPr>
            <w:tcW w:w="992" w:type="dxa"/>
            <w:vAlign w:val="center"/>
          </w:tcPr>
          <w:p w14:paraId="03ACFC7A" w14:textId="32C0AA07" w:rsidR="00DB6EE5" w:rsidRPr="00B57B36" w:rsidRDefault="00DB6EE5" w:rsidP="00DB6EE5">
            <w:pPr>
              <w:pStyle w:val="CETBodytext"/>
              <w:ind w:right="-1"/>
              <w:jc w:val="center"/>
              <w:rPr>
                <w:rFonts w:cs="Arial"/>
                <w:szCs w:val="18"/>
                <w:lang w:val="en-GB"/>
              </w:rPr>
            </w:pPr>
            <w:r>
              <w:rPr>
                <w:kern w:val="2"/>
                <w:lang w:eastAsia="ko-KR"/>
              </w:rPr>
              <w:t>0</w:t>
            </w:r>
          </w:p>
        </w:tc>
        <w:tc>
          <w:tcPr>
            <w:tcW w:w="992" w:type="dxa"/>
            <w:vAlign w:val="center"/>
          </w:tcPr>
          <w:p w14:paraId="1E5E80FB" w14:textId="244790A2" w:rsidR="00DB6EE5" w:rsidRPr="00B57B36" w:rsidRDefault="00DB6EE5" w:rsidP="00DB6EE5">
            <w:pPr>
              <w:pStyle w:val="CETBodytext"/>
              <w:ind w:right="-1"/>
              <w:jc w:val="center"/>
              <w:rPr>
                <w:rFonts w:cs="Arial"/>
                <w:szCs w:val="18"/>
                <w:lang w:val="en-GB"/>
              </w:rPr>
            </w:pPr>
            <w:r>
              <w:rPr>
                <w:kern w:val="2"/>
                <w:lang w:eastAsia="ko-KR"/>
              </w:rPr>
              <w:t>0.04</w:t>
            </w:r>
          </w:p>
        </w:tc>
      </w:tr>
      <w:tr w:rsidR="00DB6EE5" w:rsidRPr="00B57B36" w14:paraId="3E0083FE" w14:textId="77777777" w:rsidTr="006B1E0C">
        <w:tc>
          <w:tcPr>
            <w:tcW w:w="1134" w:type="dxa"/>
            <w:tcBorders>
              <w:top w:val="nil"/>
              <w:left w:val="nil"/>
              <w:bottom w:val="single" w:sz="12" w:space="0" w:color="4F6228" w:themeColor="accent3" w:themeShade="80"/>
              <w:right w:val="single" w:sz="2" w:space="0" w:color="4F6228" w:themeColor="accent3" w:themeShade="80"/>
            </w:tcBorders>
            <w:vAlign w:val="center"/>
          </w:tcPr>
          <w:p w14:paraId="11C0D732" w14:textId="3DF20F37" w:rsidR="00DB6EE5" w:rsidRPr="00B57B36" w:rsidRDefault="00DB6EE5" w:rsidP="00DB6EE5">
            <w:pPr>
              <w:pStyle w:val="CETBodytext"/>
              <w:ind w:right="-1"/>
              <w:rPr>
                <w:rFonts w:cs="Arial"/>
                <w:szCs w:val="18"/>
                <w:lang w:val="en-GB"/>
              </w:rPr>
            </w:pPr>
            <w:r>
              <w:rPr>
                <w:kern w:val="2"/>
                <w:lang w:eastAsia="ko-KR"/>
              </w:rPr>
              <w:t>SiO</w:t>
            </w:r>
            <w:r>
              <w:rPr>
                <w:kern w:val="2"/>
                <w:vertAlign w:val="subscript"/>
                <w:lang w:eastAsia="ko-KR"/>
              </w:rPr>
              <w:t>2</w:t>
            </w:r>
            <w:r>
              <w:rPr>
                <w:kern w:val="2"/>
                <w:lang w:eastAsia="ko-KR"/>
              </w:rPr>
              <w:t>-Al</w:t>
            </w:r>
            <w:r>
              <w:rPr>
                <w:kern w:val="2"/>
                <w:vertAlign w:val="subscript"/>
                <w:lang w:eastAsia="ko-KR"/>
              </w:rPr>
              <w:t>2</w:t>
            </w:r>
            <w:r>
              <w:rPr>
                <w:kern w:val="2"/>
                <w:lang w:eastAsia="ko-KR"/>
              </w:rPr>
              <w:t>O</w:t>
            </w:r>
            <w:r>
              <w:rPr>
                <w:kern w:val="2"/>
                <w:vertAlign w:val="subscript"/>
                <w:lang w:eastAsia="ko-KR"/>
              </w:rPr>
              <w:t>3</w:t>
            </w:r>
          </w:p>
        </w:tc>
        <w:tc>
          <w:tcPr>
            <w:tcW w:w="1134" w:type="dxa"/>
            <w:tcBorders>
              <w:top w:val="nil"/>
              <w:left w:val="single" w:sz="2" w:space="0" w:color="4F6228" w:themeColor="accent3" w:themeShade="80"/>
              <w:bottom w:val="single" w:sz="12" w:space="0" w:color="4F6228" w:themeColor="accent3" w:themeShade="80"/>
              <w:right w:val="nil"/>
            </w:tcBorders>
          </w:tcPr>
          <w:p w14:paraId="2E0C5914" w14:textId="68845244" w:rsidR="00DB6EE5" w:rsidRPr="00B57B36" w:rsidRDefault="00DB6EE5" w:rsidP="00DB6EE5">
            <w:pPr>
              <w:pStyle w:val="CETBodytext"/>
              <w:ind w:right="-1"/>
              <w:jc w:val="center"/>
              <w:rPr>
                <w:rFonts w:cs="Arial"/>
                <w:szCs w:val="18"/>
                <w:lang w:val="en-GB"/>
              </w:rPr>
            </w:pPr>
            <w:r>
              <w:rPr>
                <w:kern w:val="2"/>
                <w:lang w:eastAsia="ko-KR"/>
              </w:rPr>
              <w:t>43</w:t>
            </w:r>
          </w:p>
        </w:tc>
        <w:tc>
          <w:tcPr>
            <w:tcW w:w="1701" w:type="dxa"/>
            <w:tcBorders>
              <w:top w:val="nil"/>
              <w:left w:val="nil"/>
              <w:bottom w:val="single" w:sz="12" w:space="0" w:color="4F6228" w:themeColor="accent3" w:themeShade="80"/>
              <w:right w:val="single" w:sz="8" w:space="0" w:color="auto"/>
            </w:tcBorders>
          </w:tcPr>
          <w:p w14:paraId="2AC22BC9" w14:textId="3754FC7B" w:rsidR="00DB6EE5" w:rsidRPr="00B57B36" w:rsidRDefault="00DB6EE5" w:rsidP="00DB6EE5">
            <w:pPr>
              <w:pStyle w:val="CETBodytext"/>
              <w:ind w:right="-1"/>
              <w:jc w:val="center"/>
              <w:rPr>
                <w:rFonts w:cs="Arial"/>
                <w:szCs w:val="18"/>
                <w:lang w:val="en-GB"/>
              </w:rPr>
            </w:pPr>
            <w:r>
              <w:rPr>
                <w:kern w:val="2"/>
                <w:lang w:eastAsia="ko-KR"/>
              </w:rPr>
              <w:t>0.1</w:t>
            </w:r>
          </w:p>
        </w:tc>
        <w:tc>
          <w:tcPr>
            <w:tcW w:w="1418" w:type="dxa"/>
            <w:tcBorders>
              <w:top w:val="nil"/>
              <w:left w:val="single" w:sz="8" w:space="0" w:color="auto"/>
              <w:bottom w:val="single" w:sz="12" w:space="0" w:color="4F6228" w:themeColor="accent3" w:themeShade="80"/>
              <w:right w:val="nil"/>
            </w:tcBorders>
            <w:vAlign w:val="center"/>
          </w:tcPr>
          <w:p w14:paraId="7616777D" w14:textId="5266C53D" w:rsidR="00DB6EE5" w:rsidRPr="00B57B36" w:rsidRDefault="00DB6EE5" w:rsidP="00DB6EE5">
            <w:pPr>
              <w:pStyle w:val="CETBodytext"/>
              <w:ind w:right="-1"/>
              <w:jc w:val="center"/>
              <w:rPr>
                <w:rFonts w:cs="Arial"/>
                <w:szCs w:val="18"/>
                <w:lang w:val="en-GB"/>
              </w:rPr>
            </w:pPr>
            <w:r>
              <w:rPr>
                <w:kern w:val="2"/>
                <w:lang w:eastAsia="ko-KR"/>
              </w:rPr>
              <w:t>57</w:t>
            </w:r>
          </w:p>
        </w:tc>
        <w:tc>
          <w:tcPr>
            <w:tcW w:w="1276" w:type="dxa"/>
            <w:tcBorders>
              <w:top w:val="nil"/>
              <w:left w:val="nil"/>
              <w:bottom w:val="single" w:sz="12" w:space="0" w:color="4F6228" w:themeColor="accent3" w:themeShade="80"/>
              <w:right w:val="nil"/>
            </w:tcBorders>
            <w:vAlign w:val="center"/>
          </w:tcPr>
          <w:p w14:paraId="3E86C727" w14:textId="4BA984BC" w:rsidR="00DB6EE5" w:rsidRPr="00B57B36" w:rsidRDefault="00DB6EE5" w:rsidP="00DB6EE5">
            <w:pPr>
              <w:pStyle w:val="CETBodytext"/>
              <w:ind w:right="-1"/>
              <w:jc w:val="center"/>
              <w:rPr>
                <w:rFonts w:cs="Arial"/>
                <w:szCs w:val="18"/>
                <w:lang w:val="en-GB"/>
              </w:rPr>
            </w:pPr>
            <w:r>
              <w:rPr>
                <w:kern w:val="2"/>
                <w:lang w:eastAsia="ko-KR"/>
              </w:rPr>
              <w:t>0</w:t>
            </w:r>
          </w:p>
        </w:tc>
        <w:tc>
          <w:tcPr>
            <w:tcW w:w="992" w:type="dxa"/>
            <w:tcBorders>
              <w:top w:val="nil"/>
              <w:left w:val="nil"/>
              <w:bottom w:val="single" w:sz="12" w:space="0" w:color="4F6228" w:themeColor="accent3" w:themeShade="80"/>
              <w:right w:val="nil"/>
            </w:tcBorders>
            <w:vAlign w:val="center"/>
          </w:tcPr>
          <w:p w14:paraId="5392FB82" w14:textId="4155F664" w:rsidR="00DB6EE5" w:rsidRPr="00B57B36" w:rsidRDefault="00DB6EE5" w:rsidP="00DB6EE5">
            <w:pPr>
              <w:pStyle w:val="CETBodytext"/>
              <w:ind w:right="-1"/>
              <w:jc w:val="center"/>
              <w:rPr>
                <w:rFonts w:cs="Arial"/>
                <w:szCs w:val="18"/>
                <w:lang w:val="en-GB"/>
              </w:rPr>
            </w:pPr>
            <w:r>
              <w:rPr>
                <w:kern w:val="2"/>
                <w:lang w:eastAsia="ko-KR"/>
              </w:rPr>
              <w:t>0</w:t>
            </w:r>
          </w:p>
        </w:tc>
        <w:tc>
          <w:tcPr>
            <w:tcW w:w="992" w:type="dxa"/>
            <w:tcBorders>
              <w:top w:val="nil"/>
              <w:left w:val="nil"/>
              <w:bottom w:val="single" w:sz="12" w:space="0" w:color="4F6228" w:themeColor="accent3" w:themeShade="80"/>
              <w:right w:val="nil"/>
            </w:tcBorders>
            <w:vAlign w:val="center"/>
          </w:tcPr>
          <w:p w14:paraId="56F2DC76" w14:textId="19DA28DB" w:rsidR="00DB6EE5" w:rsidRPr="00B57B36" w:rsidRDefault="00DB6EE5" w:rsidP="00DB6EE5">
            <w:pPr>
              <w:pStyle w:val="CETBodytext"/>
              <w:ind w:right="-1"/>
              <w:jc w:val="center"/>
              <w:rPr>
                <w:rFonts w:cs="Arial"/>
                <w:szCs w:val="18"/>
                <w:lang w:val="en-GB"/>
              </w:rPr>
            </w:pPr>
            <w:r>
              <w:rPr>
                <w:kern w:val="2"/>
                <w:lang w:eastAsia="ko-KR"/>
              </w:rPr>
              <w:t>2</w:t>
            </w:r>
          </w:p>
        </w:tc>
      </w:tr>
    </w:tbl>
    <w:p w14:paraId="4316A587" w14:textId="77777777" w:rsidR="00D80A4A" w:rsidRDefault="00D80A4A" w:rsidP="00DB6EE5">
      <w:pPr>
        <w:pStyle w:val="CETBodytext"/>
        <w:rPr>
          <w:lang w:val="en-GB"/>
        </w:rPr>
      </w:pPr>
    </w:p>
    <w:p w14:paraId="1A35C1A6" w14:textId="3D37CDEF" w:rsidR="00DB6EE5" w:rsidRPr="00DB6EE5" w:rsidRDefault="00DB6EE5" w:rsidP="00DB6EE5">
      <w:pPr>
        <w:pStyle w:val="CETBodytext"/>
      </w:pPr>
      <w:r w:rsidRPr="00DB6EE5">
        <w:rPr>
          <w:lang w:val="en-GB"/>
        </w:rPr>
        <w:t>The better alkylation activity of HY30 and HBEA38 can be attributed to their larger quantities of acid sites as measured by NH</w:t>
      </w:r>
      <w:r w:rsidRPr="00DB6EE5">
        <w:rPr>
          <w:vertAlign w:val="subscript"/>
          <w:lang w:val="en-GB"/>
        </w:rPr>
        <w:t>3</w:t>
      </w:r>
      <w:r w:rsidRPr="00DB6EE5">
        <w:rPr>
          <w:lang w:val="en-GB"/>
        </w:rPr>
        <w:t>-TPD (Table 3). The quantity of acid sites decreased in the order of HY30 &gt; HBEA38 &gt; S-ZrO</w:t>
      </w:r>
      <w:r w:rsidRPr="00DB6EE5">
        <w:rPr>
          <w:vertAlign w:val="subscript"/>
          <w:lang w:val="en-GB"/>
        </w:rPr>
        <w:t>2</w:t>
      </w:r>
      <w:r w:rsidRPr="00DB6EE5">
        <w:rPr>
          <w:lang w:val="en-GB"/>
        </w:rPr>
        <w:t xml:space="preserve"> &gt; SiO</w:t>
      </w:r>
      <w:r w:rsidRPr="00DB6EE5">
        <w:rPr>
          <w:vertAlign w:val="subscript"/>
          <w:lang w:val="en-GB"/>
        </w:rPr>
        <w:t>2</w:t>
      </w:r>
      <w:r w:rsidRPr="00DB6EE5">
        <w:rPr>
          <w:lang w:val="en-GB"/>
        </w:rPr>
        <w:t>-Al</w:t>
      </w:r>
      <w:r w:rsidRPr="00DB6EE5">
        <w:rPr>
          <w:vertAlign w:val="subscript"/>
          <w:lang w:val="en-GB"/>
        </w:rPr>
        <w:t>2</w:t>
      </w:r>
      <w:r w:rsidRPr="00DB6EE5">
        <w:rPr>
          <w:lang w:val="en-GB"/>
        </w:rPr>
        <w:t>O</w:t>
      </w:r>
      <w:r w:rsidRPr="00DB6EE5">
        <w:rPr>
          <w:vertAlign w:val="subscript"/>
          <w:lang w:val="en-GB"/>
        </w:rPr>
        <w:t>3</w:t>
      </w:r>
      <w:r w:rsidRPr="00DB6EE5">
        <w:rPr>
          <w:lang w:val="en-GB"/>
        </w:rPr>
        <w:t xml:space="preserve"> &gt; γ-Al</w:t>
      </w:r>
      <w:r w:rsidRPr="00DB6EE5">
        <w:rPr>
          <w:vertAlign w:val="subscript"/>
          <w:lang w:val="en-GB"/>
        </w:rPr>
        <w:t>2</w:t>
      </w:r>
      <w:r w:rsidRPr="00DB6EE5">
        <w:t>O</w:t>
      </w:r>
      <w:r w:rsidRPr="00DB6EE5">
        <w:rPr>
          <w:vertAlign w:val="subscript"/>
        </w:rPr>
        <w:t>3</w:t>
      </w:r>
      <w:r w:rsidRPr="00DB6EE5">
        <w:t xml:space="preserve"> </w:t>
      </w:r>
      <w:r w:rsidRPr="00DB6EE5">
        <w:rPr>
          <w:lang w:val="en-GB"/>
        </w:rPr>
        <w:t xml:space="preserve">&gt;WZr </w:t>
      </w:r>
      <w:r w:rsidRPr="00DB6EE5">
        <w:t xml:space="preserve">suggesting that more acid sites can improve the alkylation </w:t>
      </w:r>
      <w:r w:rsidRPr="00DB6EE5">
        <w:fldChar w:fldCharType="begin"/>
      </w:r>
      <w:r w:rsidR="006B1E0C">
        <w:instrText xml:space="preserve"> ADDIN EN.CITE &lt;EndNote&gt;&lt;Cite&gt;&lt;Author&gt;Yang&lt;/Author&gt;&lt;Year&gt;2021&lt;/Year&gt;&lt;RecNum&gt;7584&lt;/RecNum&gt;&lt;DisplayText&gt;(Yang et al., 2021)&lt;/DisplayText&gt;&lt;record&gt;&lt;rec-number&gt;7584&lt;/rec-number&gt;&lt;foreign-keys&gt;&lt;key app="EN" db-id="xfx9rt2r0x0prpe00x4vpsr8xd0eadaaezfv" timestamp="1633406354"&gt;7584&lt;/key&gt;&lt;/foreign-keys&gt;&lt;ref-type name="Journal Article"&gt;17&lt;/ref-type&gt;&lt;contributors&gt;&lt;authors&gt;&lt;author&gt;Yang, Hyemin&lt;/author&gt;&lt;author&gt;Joh, Han-Ik&lt;/author&gt;&lt;author&gt;Choo, Hyunah&lt;/author&gt;&lt;author&gt;Choi, Jae-Wook&lt;/author&gt;&lt;author&gt;Suh, Dong Jin&lt;/author&gt;&lt;author&gt;Lee, Ung&lt;/author&gt;&lt;author&gt;Choi, Jungkyu&lt;/author&gt;&lt;author&gt;Ha, Jeong-Myeong&lt;/author&gt;&lt;/authors&gt;&lt;/contributors&gt;&lt;titles&gt;&lt;title&gt;Condensation of furans for the production of diesel precursors: A study on the effects of surface acid sites of sulfonated carbon catalysts&lt;/title&gt;&lt;secondary-title&gt;Catalysis Today&lt;/secondary-title&gt;&lt;/titles&gt;&lt;periodical&gt;&lt;full-title&gt;Catalysis Today&lt;/full-title&gt;&lt;abbr-1&gt;Catal. Today&lt;/abbr-1&gt;&lt;/periodical&gt;&lt;pages&gt;155-163&lt;/pages&gt;&lt;volume&gt;375&lt;/volume&gt;&lt;keywords&gt;&lt;keyword&gt;Furfural&lt;/keyword&gt;&lt;keyword&gt;2-Methylfuran&lt;/keyword&gt;&lt;keyword&gt;Carbon&lt;/keyword&gt;&lt;keyword&gt;Condensation&lt;/keyword&gt;&lt;keyword&gt;Diesel&lt;/keyword&gt;&lt;/keywords&gt;&lt;dates&gt;&lt;year&gt;2021&lt;/year&gt;&lt;pub-dates&gt;&lt;date&gt;2021/09/01/&lt;/date&gt;&lt;/pub-dates&gt;&lt;/dates&gt;&lt;isbn&gt;0920-5861&lt;/isbn&gt;&lt;urls&gt;&lt;related-urls&gt;&lt;url&gt;https://www.sciencedirect.com/science/article/pii/S0920586120302856&lt;/url&gt;&lt;/related-urls&gt;&lt;/urls&gt;&lt;electronic-resource-num&gt;https://doi.org/10.1016/j.cattod.2020.05.006&lt;/electronic-resource-num&gt;&lt;/record&gt;&lt;/Cite&gt;&lt;/EndNote&gt;</w:instrText>
      </w:r>
      <w:r w:rsidRPr="00DB6EE5">
        <w:fldChar w:fldCharType="separate"/>
      </w:r>
      <w:r w:rsidR="006B1E0C">
        <w:rPr>
          <w:noProof/>
        </w:rPr>
        <w:t>(Yang et al., 2021)</w:t>
      </w:r>
      <w:r w:rsidRPr="00DB6EE5">
        <w:fldChar w:fldCharType="end"/>
      </w:r>
      <w:r w:rsidRPr="00DB6EE5">
        <w:t xml:space="preserve">. The high alkylation activity of WZr has been reported in the literature </w:t>
      </w:r>
      <w:r w:rsidRPr="00DB6EE5">
        <w:fldChar w:fldCharType="begin"/>
      </w:r>
      <w:r>
        <w:instrText xml:space="preserve"> ADDIN EN.CITE &lt;EndNote&gt;&lt;Cite&gt;&lt;Author&gt;Sarish&lt;/Author&gt;&lt;Year&gt;2005&lt;/Year&gt;&lt;RecNum&gt;8068&lt;/RecNum&gt;&lt;DisplayText&gt;(Sarish et al., 2005)&lt;/DisplayText&gt;&lt;record&gt;&lt;rec-number&gt;8068&lt;/rec-number&gt;&lt;foreign-keys&gt;&lt;key app="EN" db-id="xfx9rt2r0x0prpe00x4vpsr8xd0eadaaezfv" timestamp="1673598856"&gt;8068&lt;/key&gt;&lt;/foreign-keys&gt;&lt;ref-type name="Journal Article"&gt;17&lt;/ref-type&gt;&lt;contributors&gt;&lt;authors&gt;&lt;author&gt;Sarish, S.&lt;/author&gt;&lt;author&gt;Devassy, Biju M.&lt;/author&gt;&lt;author&gt;Böhringer, Walter&lt;/author&gt;&lt;author&gt;Fletcher, Jack&lt;/author&gt;&lt;author&gt;Halligudi, S. B.&lt;/author&gt;&lt;/authors&gt;&lt;/contributors&gt;&lt;titles&gt;&lt;title&gt;&lt;style face="normal" font="default" size="100%"&gt;Liquid-phase alkylation of phenol with long-chain olefins over WO&lt;/style&gt;&lt;style face="subscript" font="default" size="100%"&gt;x&lt;/style&gt;&lt;style face="normal" font="default" size="100%"&gt;/ZrO&lt;/style&gt;&lt;style face="subscript" font="default" size="100%"&gt;2&lt;/style&gt;&lt;style face="normal" font="default" size="100%"&gt; solid acid catalysts&lt;/style&gt;&lt;/title&gt;&lt;secondary-title&gt;Journal of Molecular Catalysis A: Chemical&lt;/secondary-title&gt;&lt;/titles&gt;&lt;periodical&gt;&lt;full-title&gt;Journal of Molecular Catalysis A: Chemical&lt;/full-title&gt;&lt;abbr-1&gt;J. Mol. Catal. A: Chem.&lt;/abbr-1&gt;&lt;/periodical&gt;&lt;pages&gt;123-131&lt;/pages&gt;&lt;volume&gt;240&lt;/volume&gt;&lt;number&gt;1&lt;/number&gt;&lt;keywords&gt;&lt;keyword&gt;Zirconia&lt;/keyword&gt;&lt;keyword&gt;Tungsten oxide&lt;/keyword&gt;&lt;keyword&gt;Alkylation&lt;/keyword&gt;&lt;keyword&gt;Phenol&lt;/keyword&gt;&lt;keyword&gt;Long-chain olefins&lt;/keyword&gt;&lt;/keywords&gt;&lt;dates&gt;&lt;year&gt;2005&lt;/year&gt;&lt;pub-dates&gt;&lt;date&gt;2005/10/03/&lt;/date&gt;&lt;/pub-dates&gt;&lt;/dates&gt;&lt;isbn&gt;1381-1169&lt;/isbn&gt;&lt;urls&gt;&lt;related-urls&gt;&lt;url&gt;https://www.sciencedirect.com/science/article/pii/S1381116905004565&lt;/url&gt;&lt;/related-urls&gt;&lt;/urls&gt;&lt;electronic-resource-num&gt;https://doi.org/10.1016/j.molcata.2005.06.046&lt;/electronic-resource-num&gt;&lt;/record&gt;&lt;/Cite&gt;&lt;/EndNote&gt;</w:instrText>
      </w:r>
      <w:r w:rsidRPr="00DB6EE5">
        <w:fldChar w:fldCharType="separate"/>
      </w:r>
      <w:r>
        <w:rPr>
          <w:noProof/>
        </w:rPr>
        <w:t>(Sarish et al., 2005)</w:t>
      </w:r>
      <w:r w:rsidRPr="00DB6EE5">
        <w:fldChar w:fldCharType="end"/>
      </w:r>
      <w:r w:rsidRPr="00DB6EE5">
        <w:t>. The total quantity of acid sites, measured by NH</w:t>
      </w:r>
      <w:r w:rsidRPr="00DB6EE5">
        <w:rPr>
          <w:vertAlign w:val="subscript"/>
        </w:rPr>
        <w:t>3</w:t>
      </w:r>
      <w:r w:rsidRPr="00DB6EE5">
        <w:t xml:space="preserve">-TPD, was not fully correlated with the alkylation results, which can be attributed to the pore structures of catalysts </w:t>
      </w:r>
      <w:r w:rsidRPr="00DB6EE5">
        <w:fldChar w:fldCharType="begin"/>
      </w:r>
      <w:r>
        <w:instrText xml:space="preserve"> ADDIN EN.CITE &lt;EndNote&gt;&lt;Cite&gt;&lt;Author&gt;Lee&lt;/Author&gt;&lt;Year&gt;2015&lt;/Year&gt;&lt;RecNum&gt;3510&lt;/RecNum&gt;&lt;DisplayText&gt;(Lee et al., 2015)&lt;/DisplayText&gt;&lt;record&gt;&lt;rec-number&gt;3510&lt;/rec-number&gt;&lt;foreign-keys&gt;&lt;key app="EN" db-id="xfx9rt2r0x0prpe00x4vpsr8xd0eadaaezfv" timestamp="1445301218"&gt;3510&lt;/key&gt;&lt;/foreign-keys&gt;&lt;ref-type name="Journal Article"&gt;17&lt;/ref-type&gt;&lt;contributors&gt;&lt;authors&gt;&lt;author&gt;Lee, Yunsu&lt;/author&gt;&lt;author&gt;Choi, Jae-Wook&lt;/author&gt;&lt;author&gt;Suh, Dong Jin&lt;/author&gt;&lt;author&gt;Ha, Jeong-Myeong&lt;/author&gt;&lt;author&gt;Lee, Chang-Ha&lt;/author&gt;&lt;/authors&gt;&lt;/contributors&gt;&lt;titles&gt;&lt;title&gt;Ketonization of hexanoic acid to diesel-blendable 6-undecanone on the stable zirconia aerogel catalyst&lt;/title&gt;&lt;secondary-title&gt;Applied Catalysis A: General&lt;/secondary-title&gt;&lt;/titles&gt;&lt;periodical&gt;&lt;full-title&gt;Applied Catalysis A: General&lt;/full-title&gt;&lt;abbr-1&gt;Appl. Catal., A&lt;/abbr-1&gt;&lt;/periodical&gt;&lt;pages&gt;288-293&lt;/pages&gt;&lt;volume&gt;506&lt;/volume&gt;&lt;keywords&gt;&lt;keyword&gt;Ketonization&lt;/keyword&gt;&lt;keyword&gt;Hexanoic acid&lt;/keyword&gt;&lt;keyword&gt;Zirconia&lt;/keyword&gt;&lt;keyword&gt;Aerogel&lt;/keyword&gt;&lt;/keywords&gt;&lt;dates&gt;&lt;year&gt;2015&lt;/year&gt;&lt;pub-dates&gt;&lt;date&gt;10/5/&lt;/date&gt;&lt;/pub-dates&gt;&lt;/dates&gt;&lt;isbn&gt;0926-860X&lt;/isbn&gt;&lt;urls&gt;&lt;related-urls&gt;&lt;url&gt;http://www.sciencedirect.com/science/article/pii/S0926860X15301411&lt;/url&gt;&lt;/related-urls&gt;&lt;/urls&gt;&lt;electronic-resource-num&gt;http://dx.doi.org/10.1016/j.apcata.2015.09.008&lt;/electronic-resource-num&gt;&lt;/record&gt;&lt;/Cite&gt;&lt;/EndNote&gt;</w:instrText>
      </w:r>
      <w:r w:rsidRPr="00DB6EE5">
        <w:fldChar w:fldCharType="separate"/>
      </w:r>
      <w:r>
        <w:rPr>
          <w:noProof/>
        </w:rPr>
        <w:t>(Lee et al., 2015)</w:t>
      </w:r>
      <w:r w:rsidRPr="00DB6EE5">
        <w:fldChar w:fldCharType="end"/>
      </w:r>
      <w:r w:rsidRPr="00DB6EE5">
        <w:t xml:space="preserve">. The acid sites on the external surface of catalysts can be more easily accessed by the reactants, and the catalysts with higher external surface areas can exhibit higher catalytic activity. </w:t>
      </w:r>
    </w:p>
    <w:p w14:paraId="2C0B25B1" w14:textId="0F55BE6C" w:rsidR="00DB6EE5" w:rsidRPr="00B57B36" w:rsidRDefault="00DB6EE5" w:rsidP="00DB6EE5">
      <w:pPr>
        <w:pStyle w:val="CETTabletitle"/>
      </w:pPr>
      <w:r w:rsidRPr="00B57B36">
        <w:t xml:space="preserve">Table </w:t>
      </w:r>
      <w:r>
        <w:t>3</w:t>
      </w:r>
      <w:r w:rsidRPr="00B57B36">
        <w:t xml:space="preserve">: </w:t>
      </w:r>
      <w:r w:rsidRPr="00DB6EE5">
        <w:t>Quantity of acid sites on the catalysts measured using NH</w:t>
      </w:r>
      <w:r w:rsidRPr="00DB6EE5">
        <w:rPr>
          <w:vertAlign w:val="subscript"/>
        </w:rPr>
        <w:t>3</w:t>
      </w:r>
      <w:r w:rsidRPr="00DB6EE5">
        <w:t>-TPD</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43"/>
        <w:gridCol w:w="2977"/>
      </w:tblGrid>
      <w:tr w:rsidR="00DB6EE5" w:rsidRPr="00B57B36" w14:paraId="6F5F69E0" w14:textId="77777777" w:rsidTr="00DB6EE5">
        <w:tc>
          <w:tcPr>
            <w:tcW w:w="1843" w:type="dxa"/>
            <w:tcBorders>
              <w:top w:val="single" w:sz="12" w:space="0" w:color="000000"/>
              <w:left w:val="nil"/>
              <w:bottom w:val="single" w:sz="6" w:space="0" w:color="000000"/>
              <w:right w:val="nil"/>
            </w:tcBorders>
          </w:tcPr>
          <w:p w14:paraId="42B1C9B9" w14:textId="3D61D76E" w:rsidR="00DB6EE5" w:rsidRPr="00B57B36" w:rsidRDefault="00DB6EE5" w:rsidP="00DB6EE5">
            <w:pPr>
              <w:pStyle w:val="CETBodytext"/>
              <w:jc w:val="center"/>
              <w:rPr>
                <w:lang w:val="en-GB"/>
              </w:rPr>
            </w:pPr>
            <w:r>
              <w:rPr>
                <w:iCs/>
                <w:color w:val="000000"/>
                <w:kern w:val="2"/>
                <w:shd w:val="clear" w:color="auto" w:fill="FDFDFD"/>
              </w:rPr>
              <w:t>Catalyst</w:t>
            </w:r>
          </w:p>
        </w:tc>
        <w:tc>
          <w:tcPr>
            <w:tcW w:w="2977" w:type="dxa"/>
            <w:tcBorders>
              <w:top w:val="single" w:sz="12" w:space="0" w:color="000000"/>
              <w:left w:val="nil"/>
              <w:bottom w:val="single" w:sz="6" w:space="0" w:color="000000"/>
              <w:right w:val="nil"/>
            </w:tcBorders>
          </w:tcPr>
          <w:p w14:paraId="3994A78F" w14:textId="2399F5B1" w:rsidR="00DB6EE5" w:rsidRPr="00B57B36" w:rsidRDefault="00DB6EE5" w:rsidP="00DB6EE5">
            <w:pPr>
              <w:pStyle w:val="CETBodytext"/>
              <w:jc w:val="center"/>
              <w:rPr>
                <w:lang w:val="en-GB"/>
              </w:rPr>
            </w:pPr>
            <w:r>
              <w:rPr>
                <w:iCs/>
                <w:color w:val="000000"/>
                <w:kern w:val="2"/>
                <w:shd w:val="clear" w:color="auto" w:fill="FDFDFD"/>
                <w:lang w:eastAsia="ko-KR"/>
              </w:rPr>
              <w:t>Quantity of acid sites</w:t>
            </w:r>
            <w:r>
              <w:rPr>
                <w:iCs/>
                <w:color w:val="000000"/>
                <w:kern w:val="2"/>
                <w:shd w:val="clear" w:color="auto" w:fill="FDFDFD"/>
              </w:rPr>
              <w:t xml:space="preserve"> (</w:t>
            </w:r>
            <w:r>
              <w:rPr>
                <w:kern w:val="2"/>
                <w:lang w:eastAsia="ko-KR"/>
              </w:rPr>
              <w:t>m</w:t>
            </w:r>
            <w:r>
              <w:rPr>
                <w:iCs/>
                <w:color w:val="000000"/>
                <w:kern w:val="2"/>
                <w:shd w:val="clear" w:color="auto" w:fill="FDFDFD"/>
              </w:rPr>
              <w:t>mol·g</w:t>
            </w:r>
            <w:r>
              <w:rPr>
                <w:iCs/>
                <w:color w:val="000000"/>
                <w:kern w:val="2"/>
                <w:shd w:val="clear" w:color="auto" w:fill="FDFDFD"/>
                <w:vertAlign w:val="superscript"/>
                <w:lang w:eastAsia="ko-KR"/>
              </w:rPr>
              <w:t>-1</w:t>
            </w:r>
            <w:r>
              <w:rPr>
                <w:iCs/>
                <w:color w:val="000000"/>
                <w:kern w:val="2"/>
                <w:shd w:val="clear" w:color="auto" w:fill="FDFDFD"/>
              </w:rPr>
              <w:t>)</w:t>
            </w:r>
          </w:p>
        </w:tc>
      </w:tr>
      <w:tr w:rsidR="00DB6EE5" w:rsidRPr="00B57B36" w14:paraId="1B2EDB8D" w14:textId="77777777" w:rsidTr="00DB6EE5">
        <w:tc>
          <w:tcPr>
            <w:tcW w:w="1843" w:type="dxa"/>
            <w:tcBorders>
              <w:top w:val="nil"/>
              <w:left w:val="nil"/>
              <w:bottom w:val="nil"/>
              <w:right w:val="nil"/>
            </w:tcBorders>
          </w:tcPr>
          <w:p w14:paraId="3A6DA1BF" w14:textId="57B35E26" w:rsidR="00DB6EE5" w:rsidRPr="00B57B36" w:rsidRDefault="00DB6EE5" w:rsidP="00DB6EE5">
            <w:pPr>
              <w:pStyle w:val="CETBodytext"/>
              <w:rPr>
                <w:lang w:val="en-GB"/>
              </w:rPr>
            </w:pPr>
            <w:r>
              <w:rPr>
                <w:color w:val="000000"/>
                <w:kern w:val="2"/>
                <w:shd w:val="clear" w:color="auto" w:fill="FDFDFD"/>
              </w:rPr>
              <w:t>HY</w:t>
            </w:r>
          </w:p>
        </w:tc>
        <w:tc>
          <w:tcPr>
            <w:tcW w:w="2977" w:type="dxa"/>
            <w:tcBorders>
              <w:top w:val="nil"/>
              <w:left w:val="nil"/>
              <w:bottom w:val="nil"/>
              <w:right w:val="nil"/>
            </w:tcBorders>
          </w:tcPr>
          <w:p w14:paraId="1AE30178" w14:textId="22D8195C" w:rsidR="00DB6EE5" w:rsidRPr="00B57B36" w:rsidRDefault="00DB6EE5" w:rsidP="00DB6EE5">
            <w:pPr>
              <w:pStyle w:val="CETBodytext"/>
              <w:jc w:val="center"/>
              <w:rPr>
                <w:lang w:val="en-GB"/>
              </w:rPr>
            </w:pPr>
            <w:r>
              <w:rPr>
                <w:color w:val="000000"/>
                <w:kern w:val="2"/>
                <w:shd w:val="clear" w:color="auto" w:fill="FDFDFD"/>
                <w:lang w:eastAsia="ko-KR"/>
              </w:rPr>
              <w:t>0.988</w:t>
            </w:r>
          </w:p>
        </w:tc>
      </w:tr>
      <w:tr w:rsidR="00DB6EE5" w:rsidRPr="00B57B36" w14:paraId="1F932868" w14:textId="77777777" w:rsidTr="00DB6EE5">
        <w:tc>
          <w:tcPr>
            <w:tcW w:w="1843" w:type="dxa"/>
            <w:tcBorders>
              <w:top w:val="nil"/>
              <w:left w:val="nil"/>
              <w:bottom w:val="nil"/>
              <w:right w:val="nil"/>
            </w:tcBorders>
          </w:tcPr>
          <w:p w14:paraId="78C7F7B8" w14:textId="64AE8C1C" w:rsidR="00DB6EE5" w:rsidRPr="00B57B36" w:rsidRDefault="00DB6EE5" w:rsidP="00DB6EE5">
            <w:pPr>
              <w:pStyle w:val="CETBodytext"/>
              <w:rPr>
                <w:lang w:val="en-GB"/>
              </w:rPr>
            </w:pPr>
            <w:r>
              <w:rPr>
                <w:kern w:val="2"/>
                <w:lang w:eastAsia="ko-KR"/>
              </w:rPr>
              <w:t>H</w:t>
            </w:r>
            <w:r>
              <w:rPr>
                <w:rFonts w:ascii="Times New Roman" w:hAnsi="Times New Roman"/>
                <w:kern w:val="2"/>
                <w:lang w:eastAsia="ko-KR"/>
              </w:rPr>
              <w:t>β</w:t>
            </w:r>
          </w:p>
        </w:tc>
        <w:tc>
          <w:tcPr>
            <w:tcW w:w="2977" w:type="dxa"/>
            <w:tcBorders>
              <w:top w:val="nil"/>
              <w:left w:val="nil"/>
              <w:bottom w:val="nil"/>
              <w:right w:val="nil"/>
            </w:tcBorders>
          </w:tcPr>
          <w:p w14:paraId="2A773698" w14:textId="6FA492BB" w:rsidR="00DB6EE5" w:rsidRPr="00B57B36" w:rsidRDefault="00DB6EE5" w:rsidP="00DB6EE5">
            <w:pPr>
              <w:pStyle w:val="CETBodytext"/>
              <w:jc w:val="center"/>
              <w:rPr>
                <w:lang w:val="en-GB"/>
              </w:rPr>
            </w:pPr>
            <w:r>
              <w:rPr>
                <w:color w:val="000000"/>
                <w:kern w:val="2"/>
                <w:shd w:val="clear" w:color="auto" w:fill="FDFDFD"/>
                <w:lang w:eastAsia="ko-KR"/>
              </w:rPr>
              <w:t>0.729</w:t>
            </w:r>
          </w:p>
        </w:tc>
      </w:tr>
      <w:tr w:rsidR="00DB6EE5" w:rsidRPr="00B57B36" w14:paraId="30A9E27E" w14:textId="77777777" w:rsidTr="00DB6EE5">
        <w:tc>
          <w:tcPr>
            <w:tcW w:w="1843" w:type="dxa"/>
            <w:tcBorders>
              <w:top w:val="nil"/>
              <w:left w:val="nil"/>
              <w:bottom w:val="nil"/>
              <w:right w:val="nil"/>
            </w:tcBorders>
          </w:tcPr>
          <w:p w14:paraId="4AFCA613" w14:textId="179E1383" w:rsidR="00DB6EE5" w:rsidRPr="00B57B36" w:rsidRDefault="00DB6EE5" w:rsidP="00DB6EE5">
            <w:pPr>
              <w:pStyle w:val="CETBodytext"/>
              <w:rPr>
                <w:lang w:val="en-GB"/>
              </w:rPr>
            </w:pPr>
            <w:r>
              <w:rPr>
                <w:color w:val="000000"/>
                <w:kern w:val="2"/>
                <w:shd w:val="clear" w:color="auto" w:fill="FDFDFD"/>
              </w:rPr>
              <w:t>WZr</w:t>
            </w:r>
          </w:p>
        </w:tc>
        <w:tc>
          <w:tcPr>
            <w:tcW w:w="2977" w:type="dxa"/>
            <w:tcBorders>
              <w:top w:val="nil"/>
              <w:left w:val="nil"/>
              <w:bottom w:val="nil"/>
              <w:right w:val="nil"/>
            </w:tcBorders>
          </w:tcPr>
          <w:p w14:paraId="597C0A68" w14:textId="265F3A92" w:rsidR="00DB6EE5" w:rsidRPr="00B57B36" w:rsidRDefault="00DB6EE5" w:rsidP="00DB6EE5">
            <w:pPr>
              <w:pStyle w:val="CETBodytext"/>
              <w:jc w:val="center"/>
              <w:rPr>
                <w:lang w:val="en-GB"/>
              </w:rPr>
            </w:pPr>
            <w:r>
              <w:rPr>
                <w:color w:val="000000"/>
                <w:kern w:val="2"/>
                <w:shd w:val="clear" w:color="auto" w:fill="FDFDFD"/>
                <w:lang w:eastAsia="ko-KR"/>
              </w:rPr>
              <w:t>0.164</w:t>
            </w:r>
          </w:p>
        </w:tc>
      </w:tr>
      <w:tr w:rsidR="00DB6EE5" w:rsidRPr="00B57B36" w14:paraId="160D7DB5" w14:textId="77777777" w:rsidTr="00DB6EE5">
        <w:tc>
          <w:tcPr>
            <w:tcW w:w="1843" w:type="dxa"/>
            <w:tcBorders>
              <w:top w:val="nil"/>
              <w:left w:val="nil"/>
              <w:bottom w:val="nil"/>
              <w:right w:val="nil"/>
            </w:tcBorders>
          </w:tcPr>
          <w:p w14:paraId="33316734" w14:textId="2E56AC6F" w:rsidR="00DB6EE5" w:rsidRPr="00B57B36" w:rsidRDefault="00DB6EE5" w:rsidP="00DB6EE5">
            <w:pPr>
              <w:pStyle w:val="CETBodytext"/>
              <w:rPr>
                <w:lang w:val="en-GB"/>
              </w:rPr>
            </w:pPr>
            <w:r>
              <w:rPr>
                <w:color w:val="000000"/>
                <w:kern w:val="2"/>
                <w:shd w:val="clear" w:color="auto" w:fill="FDFDFD"/>
              </w:rPr>
              <w:t>S-ZrO</w:t>
            </w:r>
            <w:r>
              <w:rPr>
                <w:color w:val="000000"/>
                <w:kern w:val="2"/>
                <w:shd w:val="clear" w:color="auto" w:fill="FDFDFD"/>
                <w:vertAlign w:val="subscript"/>
              </w:rPr>
              <w:t>2</w:t>
            </w:r>
          </w:p>
        </w:tc>
        <w:tc>
          <w:tcPr>
            <w:tcW w:w="2977" w:type="dxa"/>
            <w:tcBorders>
              <w:top w:val="nil"/>
              <w:left w:val="nil"/>
              <w:bottom w:val="nil"/>
              <w:right w:val="nil"/>
            </w:tcBorders>
          </w:tcPr>
          <w:p w14:paraId="0950F270" w14:textId="4E21FD68" w:rsidR="00DB6EE5" w:rsidRPr="00B57B36" w:rsidRDefault="00DB6EE5" w:rsidP="00DB6EE5">
            <w:pPr>
              <w:pStyle w:val="CETBodytext"/>
              <w:jc w:val="center"/>
              <w:rPr>
                <w:lang w:val="en-GB"/>
              </w:rPr>
            </w:pPr>
            <w:r>
              <w:rPr>
                <w:color w:val="000000"/>
                <w:kern w:val="2"/>
                <w:shd w:val="clear" w:color="auto" w:fill="FDFDFD"/>
                <w:lang w:eastAsia="ko-KR"/>
              </w:rPr>
              <w:t>0.557</w:t>
            </w:r>
          </w:p>
        </w:tc>
      </w:tr>
      <w:tr w:rsidR="00DB6EE5" w:rsidRPr="00B57B36" w14:paraId="612059A3" w14:textId="77777777" w:rsidTr="00DB6EE5">
        <w:tc>
          <w:tcPr>
            <w:tcW w:w="1843" w:type="dxa"/>
            <w:tcBorders>
              <w:top w:val="nil"/>
              <w:left w:val="nil"/>
              <w:bottom w:val="nil"/>
              <w:right w:val="nil"/>
            </w:tcBorders>
          </w:tcPr>
          <w:p w14:paraId="09872E15" w14:textId="09036BE1" w:rsidR="00DB6EE5" w:rsidRPr="00B57B36" w:rsidRDefault="00DB6EE5" w:rsidP="00DB6EE5">
            <w:pPr>
              <w:pStyle w:val="CETBodytext"/>
              <w:rPr>
                <w:lang w:val="en-GB"/>
              </w:rPr>
            </w:pPr>
            <w:r>
              <w:rPr>
                <w:kern w:val="2"/>
              </w:rPr>
              <w:t>γ</w:t>
            </w:r>
            <w:r>
              <w:rPr>
                <w:color w:val="000000"/>
                <w:kern w:val="2"/>
                <w:shd w:val="clear" w:color="auto" w:fill="FDFDFD"/>
              </w:rPr>
              <w:t>-Al</w:t>
            </w:r>
            <w:r>
              <w:rPr>
                <w:color w:val="000000"/>
                <w:kern w:val="2"/>
                <w:shd w:val="clear" w:color="auto" w:fill="FDFDFD"/>
                <w:vertAlign w:val="subscript"/>
              </w:rPr>
              <w:t>2</w:t>
            </w:r>
            <w:r>
              <w:rPr>
                <w:color w:val="000000"/>
                <w:kern w:val="2"/>
                <w:shd w:val="clear" w:color="auto" w:fill="FDFDFD"/>
              </w:rPr>
              <w:t>O</w:t>
            </w:r>
            <w:r>
              <w:rPr>
                <w:color w:val="000000"/>
                <w:kern w:val="2"/>
                <w:shd w:val="clear" w:color="auto" w:fill="FDFDFD"/>
                <w:vertAlign w:val="subscript"/>
              </w:rPr>
              <w:t>3</w:t>
            </w:r>
          </w:p>
        </w:tc>
        <w:tc>
          <w:tcPr>
            <w:tcW w:w="2977" w:type="dxa"/>
            <w:tcBorders>
              <w:top w:val="nil"/>
              <w:left w:val="nil"/>
              <w:bottom w:val="nil"/>
              <w:right w:val="nil"/>
            </w:tcBorders>
          </w:tcPr>
          <w:p w14:paraId="21FF82AB" w14:textId="634E5C32" w:rsidR="00DB6EE5" w:rsidRPr="00B57B36" w:rsidRDefault="00DB6EE5" w:rsidP="00DB6EE5">
            <w:pPr>
              <w:pStyle w:val="CETBodytext"/>
              <w:jc w:val="center"/>
              <w:rPr>
                <w:lang w:val="en-GB"/>
              </w:rPr>
            </w:pPr>
            <w:r>
              <w:rPr>
                <w:color w:val="000000"/>
                <w:kern w:val="2"/>
                <w:shd w:val="clear" w:color="auto" w:fill="FDFDFD"/>
                <w:lang w:eastAsia="ko-KR"/>
              </w:rPr>
              <w:t>0.335</w:t>
            </w:r>
          </w:p>
        </w:tc>
      </w:tr>
      <w:tr w:rsidR="00DB6EE5" w:rsidRPr="00B57B36" w14:paraId="6D6F5985" w14:textId="77777777" w:rsidTr="00DB6EE5">
        <w:tc>
          <w:tcPr>
            <w:tcW w:w="1843" w:type="dxa"/>
            <w:tcBorders>
              <w:top w:val="nil"/>
              <w:left w:val="nil"/>
              <w:bottom w:val="single" w:sz="12" w:space="0" w:color="000000"/>
              <w:right w:val="nil"/>
            </w:tcBorders>
          </w:tcPr>
          <w:p w14:paraId="6FA97468" w14:textId="5033D29D" w:rsidR="00DB6EE5" w:rsidRPr="00B57B36" w:rsidRDefault="00DB6EE5" w:rsidP="00DB6EE5">
            <w:pPr>
              <w:pStyle w:val="CETBodytext"/>
              <w:ind w:right="-1"/>
              <w:rPr>
                <w:rFonts w:cs="Arial"/>
                <w:szCs w:val="18"/>
                <w:lang w:val="en-GB"/>
              </w:rPr>
            </w:pPr>
            <w:r>
              <w:rPr>
                <w:color w:val="000000"/>
                <w:kern w:val="2"/>
                <w:shd w:val="clear" w:color="auto" w:fill="FDFDFD"/>
              </w:rPr>
              <w:t>SiO</w:t>
            </w:r>
            <w:r>
              <w:rPr>
                <w:color w:val="000000"/>
                <w:kern w:val="2"/>
                <w:shd w:val="clear" w:color="auto" w:fill="FDFDFD"/>
                <w:vertAlign w:val="subscript"/>
              </w:rPr>
              <w:t>2</w:t>
            </w:r>
            <w:r>
              <w:rPr>
                <w:color w:val="000000"/>
                <w:kern w:val="2"/>
                <w:shd w:val="clear" w:color="auto" w:fill="FDFDFD"/>
              </w:rPr>
              <w:t>-Al</w:t>
            </w:r>
            <w:r>
              <w:rPr>
                <w:color w:val="000000"/>
                <w:kern w:val="2"/>
                <w:shd w:val="clear" w:color="auto" w:fill="FDFDFD"/>
                <w:vertAlign w:val="subscript"/>
              </w:rPr>
              <w:t>2</w:t>
            </w:r>
            <w:r>
              <w:rPr>
                <w:color w:val="000000"/>
                <w:kern w:val="2"/>
                <w:shd w:val="clear" w:color="auto" w:fill="FDFDFD"/>
              </w:rPr>
              <w:t>O</w:t>
            </w:r>
            <w:r>
              <w:rPr>
                <w:color w:val="000000"/>
                <w:kern w:val="2"/>
                <w:shd w:val="clear" w:color="auto" w:fill="FDFDFD"/>
                <w:vertAlign w:val="subscript"/>
              </w:rPr>
              <w:t>3</w:t>
            </w:r>
          </w:p>
        </w:tc>
        <w:tc>
          <w:tcPr>
            <w:tcW w:w="2977" w:type="dxa"/>
            <w:tcBorders>
              <w:top w:val="nil"/>
              <w:left w:val="nil"/>
              <w:bottom w:val="single" w:sz="12" w:space="0" w:color="000000"/>
              <w:right w:val="nil"/>
            </w:tcBorders>
          </w:tcPr>
          <w:p w14:paraId="52E39EDC" w14:textId="6F23B2D0" w:rsidR="00DB6EE5" w:rsidRPr="00B57B36" w:rsidRDefault="00DB6EE5" w:rsidP="00DB6EE5">
            <w:pPr>
              <w:pStyle w:val="CETBodytext"/>
              <w:ind w:right="-1"/>
              <w:jc w:val="center"/>
              <w:rPr>
                <w:rFonts w:cs="Arial"/>
                <w:szCs w:val="18"/>
                <w:lang w:val="en-GB"/>
              </w:rPr>
            </w:pPr>
            <w:r>
              <w:rPr>
                <w:color w:val="000000"/>
                <w:kern w:val="2"/>
                <w:shd w:val="clear" w:color="auto" w:fill="FDFDFD"/>
                <w:lang w:eastAsia="ko-KR"/>
              </w:rPr>
              <w:t>0.439</w:t>
            </w:r>
          </w:p>
        </w:tc>
      </w:tr>
    </w:tbl>
    <w:p w14:paraId="56D8F3F9" w14:textId="77777777" w:rsidR="00D80A4A" w:rsidRDefault="00D80A4A" w:rsidP="00DB6EE5">
      <w:pPr>
        <w:pStyle w:val="CETBodytext"/>
        <w:rPr>
          <w:lang w:val="en-GB"/>
        </w:rPr>
      </w:pPr>
    </w:p>
    <w:p w14:paraId="5C148B25" w14:textId="1A7D504C" w:rsidR="00D80A4A" w:rsidRDefault="00DB6EE5" w:rsidP="00DB6EE5">
      <w:pPr>
        <w:pStyle w:val="CETBodytext"/>
        <w:rPr>
          <w:lang w:val="en-GB"/>
        </w:rPr>
      </w:pPr>
      <w:r w:rsidRPr="00DB6EE5">
        <w:rPr>
          <w:lang w:val="en-GB"/>
        </w:rPr>
        <w:lastRenderedPageBreak/>
        <w:t xml:space="preserve">The third step reaction, designed to hydrodeoxygenate the products of second step reaction, was performed using Ru/WZr (Figure 6). The production of cycloalkanes, or naphthenes, was observed. Because the alkylated compounds composed of two ring moieties were present in the reactant mixture of the third step reaction, the production of cycloalkanes composed of two saturated cyclohexyl rings was observed. Notably, Ru/WZr was used because it was a highly active hydrodeoxygenation catalyst as suggested in our previous study </w:t>
      </w:r>
      <w:r w:rsidRPr="00DB6EE5">
        <w:rPr>
          <w:lang w:val="en-GB"/>
        </w:rPr>
        <w:fldChar w:fldCharType="begin"/>
      </w:r>
      <w:r w:rsidR="006B1E0C">
        <w:rPr>
          <w:lang w:val="en-GB"/>
        </w:rPr>
        <w:instrText xml:space="preserve"> ADDIN EN.CITE &lt;EndNote&gt;&lt;Cite&gt;&lt;Author&gt;Jo&lt;/Author&gt;&lt;Year&gt;2022&lt;/Year&gt;&lt;RecNum&gt;7825&lt;/RecNum&gt;&lt;DisplayText&gt;(Jo et al., 2022)&lt;/DisplayText&gt;&lt;record&gt;&lt;rec-number&gt;7825&lt;/rec-number&gt;&lt;foreign-keys&gt;&lt;key app="EN" db-id="xfx9rt2r0x0prpe00x4vpsr8xd0eadaaezfv" timestamp="1656574368"&gt;7825&lt;/key&gt;&lt;/foreign-keys&gt;&lt;ref-type name="Journal Article"&gt;17&lt;/ref-type&gt;&lt;contributors&gt;&lt;authors&gt;&lt;author&gt;Jo, Hyeonmin&lt;/author&gt;&lt;author&gt;Choo, Hyunah&lt;/author&gt;&lt;author&gt;Choi, Jae-Wook&lt;/author&gt;&lt;author&gt;Jin Suh, Dong&lt;/author&gt;&lt;author&gt;Yoo, Chun-Jae&lt;/author&gt;&lt;author&gt;Soo Kim, Chang&lt;/author&gt;&lt;author&gt;Ho Kim, Kwang&lt;/author&gt;&lt;author&gt;Lee, Hyunjoo&lt;/author&gt;&lt;author&gt;Kim, Kyeongsu&lt;/author&gt;&lt;author&gt;Choi, Jungkyu&lt;/author&gt;&lt;author&gt;Ha, Jeong-Myeong&lt;/author&gt;&lt;/authors&gt;&lt;/contributors&gt;&lt;titles&gt;&lt;title&gt;One-pot selective production of deoxygenated monomeric, dimeric, and trimeric hydrocarbons from xylose-derived 2-methylfuran using multifunctional tungstate-zirconia-supported Ru, Pd, and Ni catalysts&lt;/title&gt;&lt;secondary-title&gt;Chemical Engineering Journal&lt;/secondary-title&gt;&lt;/titles&gt;&lt;periodical&gt;&lt;full-title&gt;Chemical Engineering Journal&lt;/full-title&gt;&lt;abbr-1&gt;Chem. Eng. J.&lt;/abbr-1&gt;&lt;/periodical&gt;&lt;pages&gt;135581&lt;/pages&gt;&lt;volume&gt;441&lt;/volume&gt;&lt;keywords&gt;&lt;keyword&gt;One-pot three-step process&lt;/keyword&gt;&lt;keyword&gt;Condensation&lt;/keyword&gt;&lt;keyword&gt;Hydrodeoxygenation&lt;/keyword&gt;&lt;keyword&gt;Multifunctional catalysts&lt;/keyword&gt;&lt;keyword&gt;2-Methylfuran&lt;/keyword&gt;&lt;keyword&gt;Iso-pentadecane&lt;/keyword&gt;&lt;/keywords&gt;&lt;dates&gt;&lt;year&gt;2022&lt;/year&gt;&lt;pub-dates&gt;&lt;date&gt;2022/08/01/&lt;/date&gt;&lt;/pub-dates&gt;&lt;/dates&gt;&lt;isbn&gt;1385-8947&lt;/isbn&gt;&lt;urls&gt;&lt;related-urls&gt;&lt;url&gt;https://www.sciencedirect.com/science/article/pii/S138589472201083X&lt;/url&gt;&lt;/related-urls&gt;&lt;/urls&gt;&lt;electronic-resource-num&gt;https://doi.org/10.1016/j.cej.2022.135581&lt;/electronic-resource-num&gt;&lt;/record&gt;&lt;/Cite&gt;&lt;/EndNote&gt;</w:instrText>
      </w:r>
      <w:r w:rsidRPr="00DB6EE5">
        <w:rPr>
          <w:lang w:val="en-GB"/>
        </w:rPr>
        <w:fldChar w:fldCharType="separate"/>
      </w:r>
      <w:r w:rsidR="006B1E0C">
        <w:rPr>
          <w:noProof/>
          <w:lang w:val="en-GB"/>
        </w:rPr>
        <w:t>(Jo et al., 2022)</w:t>
      </w:r>
      <w:r w:rsidRPr="00DB6EE5">
        <w:fldChar w:fldCharType="end"/>
      </w:r>
      <w:r w:rsidRPr="00DB6EE5">
        <w:rPr>
          <w:lang w:val="en-GB"/>
        </w:rPr>
        <w:t>.</w:t>
      </w:r>
    </w:p>
    <w:p w14:paraId="547E407C" w14:textId="77777777" w:rsidR="00E6668C" w:rsidRPr="00E6668C" w:rsidRDefault="00E6668C" w:rsidP="00DB6EE5">
      <w:pPr>
        <w:pStyle w:val="CETBodytext"/>
        <w:rPr>
          <w:lang w:val="en-GB"/>
        </w:rPr>
      </w:pPr>
    </w:p>
    <w:p w14:paraId="0E371F59" w14:textId="77777777" w:rsidR="00E6668C" w:rsidRDefault="00DB6EE5" w:rsidP="00E6668C">
      <w:pPr>
        <w:pStyle w:val="CETBodytext"/>
        <w:rPr>
          <w:noProof/>
          <w:lang w:eastAsia="ko-KR"/>
        </w:rPr>
      </w:pPr>
      <w:r w:rsidRPr="00DB6EE5">
        <w:rPr>
          <w:noProof/>
          <w:lang w:eastAsia="ko-KR"/>
        </w:rPr>
        <w:drawing>
          <wp:inline distT="0" distB="0" distL="0" distR="0" wp14:anchorId="10380D41" wp14:editId="4ABCE592">
            <wp:extent cx="1923922" cy="1592580"/>
            <wp:effectExtent l="0" t="0" r="635" b="762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0471" cy="1606279"/>
                    </a:xfrm>
                    <a:prstGeom prst="rect">
                      <a:avLst/>
                    </a:prstGeom>
                    <a:noFill/>
                    <a:ln>
                      <a:noFill/>
                    </a:ln>
                  </pic:spPr>
                </pic:pic>
              </a:graphicData>
            </a:graphic>
          </wp:inline>
        </w:drawing>
      </w:r>
    </w:p>
    <w:p w14:paraId="65201820" w14:textId="73BA5340" w:rsidR="00A06B26" w:rsidRPr="00A06B26" w:rsidRDefault="00DB6EE5" w:rsidP="00E6668C">
      <w:pPr>
        <w:pStyle w:val="CETBodytext"/>
        <w:spacing w:before="240" w:after="240"/>
        <w:rPr>
          <w:rFonts w:eastAsia="맑은 고딕" w:hint="eastAsia"/>
          <w:noProof/>
          <w:lang w:eastAsia="ko-KR"/>
        </w:rPr>
      </w:pPr>
      <w:r w:rsidRPr="00DB6EE5">
        <w:rPr>
          <w:noProof/>
          <w:lang w:eastAsia="ko-KR"/>
        </w:rPr>
        <w:t>Figure 3</w:t>
      </w:r>
      <w:r>
        <w:rPr>
          <w:noProof/>
          <w:lang w:eastAsia="ko-KR"/>
        </w:rPr>
        <w:t>:</w:t>
      </w:r>
      <w:r w:rsidRPr="00DB6EE5">
        <w:rPr>
          <w:noProof/>
          <w:lang w:eastAsia="ko-KR"/>
        </w:rPr>
        <w:t xml:space="preserve"> GC-MS results for the third step hydrodeoxygenation of second step product prepared using HY30. The hydrodeoxygenation was performed using Ru/WZr</w:t>
      </w:r>
    </w:p>
    <w:p w14:paraId="3EAD539C" w14:textId="6A7A6CD2" w:rsidR="00DB6EE5" w:rsidRPr="00DB6EE5" w:rsidRDefault="00DB6EE5" w:rsidP="00DB6EE5">
      <w:pPr>
        <w:pStyle w:val="CETheadingx"/>
        <w:rPr>
          <w:bCs/>
          <w:lang w:val="en-GB"/>
        </w:rPr>
      </w:pPr>
      <w:r w:rsidRPr="00DB6EE5">
        <w:rPr>
          <w:bCs/>
          <w:lang w:val="en-GB"/>
        </w:rPr>
        <w:t>Catalysis results using bio-crude</w:t>
      </w:r>
    </w:p>
    <w:p w14:paraId="146B30CB" w14:textId="5C22B7A3" w:rsidR="00A06B26" w:rsidRPr="00DB6EE5" w:rsidRDefault="00DB6EE5" w:rsidP="00DB6EE5">
      <w:pPr>
        <w:pStyle w:val="CETBodytext"/>
      </w:pPr>
      <w:r>
        <w:t>B</w:t>
      </w:r>
      <w:r w:rsidRPr="00DB6EE5">
        <w:t>ased on the three step reaction using a model mixture of phenolic molecules, the four step reaction using bio-crude was designed and performed. The first step reaction, designed to hydrotreat raw bio-crude, was performed using 5 wt% Pd/C (Figure 7). By the first hydrotreating, the bio-crude was stabilized. The presence of phenolic monomers including guaiacol, creosol, 4-ehtyl guaiacol, and 4-propyl guaiacol was observed in the hydrotreated bio-crude. The second step reaction, designed to hydrogenate the phenyl rings in the bio-crude, was performed using NiFe/TiO</w:t>
      </w:r>
      <w:r w:rsidRPr="00DB6EE5">
        <w:rPr>
          <w:vertAlign w:val="subscript"/>
        </w:rPr>
        <w:t>2</w:t>
      </w:r>
      <w:r w:rsidRPr="00DB6EE5">
        <w:t>. The production of cyclic alcohols and other compounds containing saturated rings was observed. After the second step reaction, almost all phenyl rings in the bio-crude were converted to the saturated rings.</w:t>
      </w:r>
    </w:p>
    <w:p w14:paraId="0A282F8C" w14:textId="77777777" w:rsidR="00573E30" w:rsidRDefault="00DB6EE5" w:rsidP="00E6668C">
      <w:pPr>
        <w:spacing w:before="240" w:after="240"/>
        <w:jc w:val="left"/>
        <w:rPr>
          <w:noProof/>
          <w:lang w:val="en-US" w:eastAsia="ko-KR"/>
        </w:rPr>
      </w:pPr>
      <w:r>
        <w:rPr>
          <w:noProof/>
          <w:lang w:val="en-US" w:eastAsia="ko-KR"/>
        </w:rPr>
        <w:drawing>
          <wp:inline distT="0" distB="0" distL="0" distR="0" wp14:anchorId="4D15CAA8" wp14:editId="38FE1257">
            <wp:extent cx="1960581" cy="1851660"/>
            <wp:effectExtent l="0" t="0" r="1905"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9749" cy="1860318"/>
                    </a:xfrm>
                    <a:prstGeom prst="rect">
                      <a:avLst/>
                    </a:prstGeom>
                    <a:noFill/>
                    <a:ln>
                      <a:noFill/>
                    </a:ln>
                  </pic:spPr>
                </pic:pic>
              </a:graphicData>
            </a:graphic>
          </wp:inline>
        </w:drawing>
      </w:r>
    </w:p>
    <w:p w14:paraId="71142E2E" w14:textId="42B4B9C4" w:rsidR="00DB6EE5" w:rsidRDefault="00DB6EE5" w:rsidP="00573E30">
      <w:pPr>
        <w:spacing w:before="240" w:after="240"/>
        <w:jc w:val="left"/>
        <w:rPr>
          <w:noProof/>
          <w:lang w:val="en-US" w:eastAsia="ko-KR"/>
        </w:rPr>
      </w:pPr>
      <w:r>
        <w:rPr>
          <w:noProof/>
          <w:lang w:val="en-US" w:eastAsia="ko-KR"/>
        </w:rPr>
        <w:t>Figure 4: GC-MS result for the first and second step reacionts using bio-crude</w:t>
      </w:r>
    </w:p>
    <w:p w14:paraId="3841AA87" w14:textId="77777777" w:rsidR="00DB6EE5" w:rsidRPr="00DB6EE5" w:rsidRDefault="00DB6EE5" w:rsidP="00DB6EE5">
      <w:pPr>
        <w:pStyle w:val="CETBodytext"/>
        <w:rPr>
          <w:lang w:val="en-GB"/>
        </w:rPr>
      </w:pPr>
      <w:r w:rsidRPr="00DB6EE5">
        <w:rPr>
          <w:lang w:val="en-GB"/>
        </w:rPr>
        <w:t>For the third step reaction, designed to condense cyclic alcohols with phenols, using the products of second step reaction, HY30, HBEA38, and WZr were used as catalysts because they exhibited the higher yields of dimeric compounds for the alkylation using phenolic model compounds. Only HY30 produced dimeric compounds (Figure 5), indicating the large amount of acid sites are required for the reaction.</w:t>
      </w:r>
    </w:p>
    <w:p w14:paraId="262FF61A" w14:textId="2BAB3141" w:rsidR="00DB6EE5" w:rsidRDefault="00DB6EE5" w:rsidP="00E6668C">
      <w:pPr>
        <w:spacing w:before="240" w:after="240"/>
        <w:jc w:val="left"/>
        <w:rPr>
          <w:rFonts w:ascii="Times New Roman" w:hAnsi="Times New Roman"/>
          <w:noProof/>
          <w:sz w:val="24"/>
          <w:lang w:val="en-US" w:eastAsia="ko-KR"/>
        </w:rPr>
      </w:pPr>
      <w:r>
        <w:rPr>
          <w:noProof/>
          <w:lang w:val="en-US" w:eastAsia="ko-KR"/>
        </w:rPr>
        <w:lastRenderedPageBreak/>
        <w:drawing>
          <wp:inline distT="0" distB="0" distL="0" distR="0" wp14:anchorId="5B0D3ED2" wp14:editId="2AC42260">
            <wp:extent cx="2529840" cy="1988735"/>
            <wp:effectExtent l="0" t="0" r="381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61659" cy="2013748"/>
                    </a:xfrm>
                    <a:prstGeom prst="rect">
                      <a:avLst/>
                    </a:prstGeom>
                    <a:noFill/>
                    <a:ln>
                      <a:noFill/>
                    </a:ln>
                  </pic:spPr>
                </pic:pic>
              </a:graphicData>
            </a:graphic>
          </wp:inline>
        </w:drawing>
      </w:r>
    </w:p>
    <w:p w14:paraId="190107EF" w14:textId="622B17BA" w:rsidR="00DB6EE5" w:rsidRPr="00DB6EE5" w:rsidRDefault="00DB6EE5" w:rsidP="00DB6EE5">
      <w:pPr>
        <w:pStyle w:val="CETCaption"/>
        <w:rPr>
          <w:noProof/>
          <w:lang w:val="en-US" w:eastAsia="ko-KR"/>
        </w:rPr>
      </w:pPr>
      <w:r w:rsidRPr="00DB6EE5">
        <w:rPr>
          <w:noProof/>
          <w:lang w:val="en-US" w:eastAsia="ko-KR"/>
        </w:rPr>
        <w:t>Figure 5</w:t>
      </w:r>
      <w:r>
        <w:rPr>
          <w:noProof/>
          <w:lang w:val="en-US" w:eastAsia="ko-KR"/>
        </w:rPr>
        <w:t>:</w:t>
      </w:r>
      <w:r w:rsidRPr="00DB6EE5">
        <w:rPr>
          <w:noProof/>
          <w:lang w:val="en-US" w:eastAsia="ko-KR"/>
        </w:rPr>
        <w:t xml:space="preserve"> GC-MS results for the third step alkylation of bio-crude-derived cyclic alcohols using phenol on WZr, HBEA38, and HY30 catalysts</w:t>
      </w:r>
    </w:p>
    <w:p w14:paraId="6F3BA4F3" w14:textId="17D3D776" w:rsidR="00A06B26" w:rsidRPr="00DB6EE5" w:rsidRDefault="00DB6EE5" w:rsidP="00DB6EE5">
      <w:pPr>
        <w:pStyle w:val="CETBodytext"/>
        <w:rPr>
          <w:lang w:val="en-GB"/>
        </w:rPr>
      </w:pPr>
      <w:r w:rsidRPr="00DB6EE5">
        <w:rPr>
          <w:lang w:val="en-GB"/>
        </w:rPr>
        <w:t xml:space="preserve">The fourth step reaction, designed to hydrodeoxygenate the products of the third step reaction, was performed using Ru/WZr (Figure 6). Complete hydrodeoxygenation was observed, and the production of saturated dimeric cycloalkanes containing C12-15 was observed. </w:t>
      </w:r>
    </w:p>
    <w:p w14:paraId="38864EEB" w14:textId="77777777" w:rsidR="00573E30" w:rsidRDefault="00DB6EE5" w:rsidP="00573E30">
      <w:pPr>
        <w:pStyle w:val="CETBodytext"/>
        <w:spacing w:before="240" w:after="240"/>
        <w:rPr>
          <w:noProof/>
          <w:lang w:eastAsia="ko-KR"/>
        </w:rPr>
      </w:pPr>
      <w:r w:rsidRPr="00DB6EE5">
        <w:rPr>
          <w:noProof/>
          <w:lang w:eastAsia="ko-KR"/>
        </w:rPr>
        <w:drawing>
          <wp:inline distT="0" distB="0" distL="0" distR="0" wp14:anchorId="2E6C1668" wp14:editId="52FF8929">
            <wp:extent cx="1887042" cy="1645920"/>
            <wp:effectExtent l="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2387" cy="1659304"/>
                    </a:xfrm>
                    <a:prstGeom prst="rect">
                      <a:avLst/>
                    </a:prstGeom>
                    <a:noFill/>
                    <a:ln>
                      <a:noFill/>
                    </a:ln>
                  </pic:spPr>
                </pic:pic>
              </a:graphicData>
            </a:graphic>
          </wp:inline>
        </w:drawing>
      </w:r>
    </w:p>
    <w:p w14:paraId="58B2D8F2" w14:textId="1A0BE24F" w:rsidR="00573E30" w:rsidRPr="00E6668C" w:rsidRDefault="00DB6EE5" w:rsidP="00E6668C">
      <w:pPr>
        <w:pStyle w:val="CETBodytext"/>
        <w:spacing w:before="240" w:after="240"/>
        <w:rPr>
          <w:rFonts w:eastAsia="맑은 고딕" w:hint="eastAsia"/>
          <w:noProof/>
          <w:lang w:eastAsia="ko-KR"/>
        </w:rPr>
      </w:pPr>
      <w:r w:rsidRPr="00DB6EE5">
        <w:rPr>
          <w:noProof/>
          <w:lang w:eastAsia="ko-KR"/>
        </w:rPr>
        <w:t>Figure 6</w:t>
      </w:r>
      <w:r>
        <w:rPr>
          <w:noProof/>
          <w:lang w:eastAsia="ko-KR"/>
        </w:rPr>
        <w:t>:</w:t>
      </w:r>
      <w:r w:rsidRPr="00DB6EE5">
        <w:rPr>
          <w:noProof/>
          <w:lang w:eastAsia="ko-KR"/>
        </w:rPr>
        <w:t xml:space="preserve"> GC-MS results for products from each step using bio-crude</w:t>
      </w:r>
    </w:p>
    <w:p w14:paraId="5E33E9DF" w14:textId="60399035" w:rsidR="00A06B26" w:rsidRPr="00DB6EE5" w:rsidRDefault="00DB6EE5" w:rsidP="00DB6EE5">
      <w:pPr>
        <w:pStyle w:val="CETBodytext"/>
        <w:rPr>
          <w:lang w:val="en-GB"/>
        </w:rPr>
      </w:pPr>
      <w:r w:rsidRPr="00DB6EE5">
        <w:rPr>
          <w:lang w:val="en-GB"/>
        </w:rPr>
        <w:t xml:space="preserve">Based on the observed reaction results, the reaction mechanism was suggested (Figure 7). The cyclic alcohols were dehydrated to form cycloalkene which was condensed with phenols. Dimers prepared by this reaction can be further hydrogenated and hydrodeoxygenated to obtain cycloalkanes containing two or more saturated rings. </w:t>
      </w:r>
    </w:p>
    <w:p w14:paraId="14C0BB6B" w14:textId="77777777" w:rsidR="00A06B26" w:rsidRDefault="00DB6EE5" w:rsidP="00A06B26">
      <w:pPr>
        <w:pStyle w:val="CETBodytext"/>
        <w:spacing w:before="240" w:after="240"/>
        <w:rPr>
          <w:noProof/>
          <w:lang w:eastAsia="ko-KR"/>
        </w:rPr>
      </w:pPr>
      <w:r w:rsidRPr="00DB6EE5">
        <w:rPr>
          <w:noProof/>
          <w:lang w:eastAsia="ko-KR"/>
        </w:rPr>
        <w:drawing>
          <wp:inline distT="0" distB="0" distL="0" distR="0" wp14:anchorId="3F115933" wp14:editId="5CC9358B">
            <wp:extent cx="2750820" cy="845820"/>
            <wp:effectExtent l="0" t="0" r="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3"/>
                    <pic:cNvPicPr>
                      <a:picLocks noChangeAspect="1" noChangeArrowheads="1"/>
                    </pic:cNvPicPr>
                  </pic:nvPicPr>
                  <pic:blipFill>
                    <a:blip r:embed="rId16">
                      <a:extLst>
                        <a:ext uri="{28A0092B-C50C-407E-A947-70E740481C1C}">
                          <a14:useLocalDpi xmlns:a14="http://schemas.microsoft.com/office/drawing/2010/main" val="0"/>
                        </a:ext>
                      </a:extLst>
                    </a:blip>
                    <a:srcRect t="9386" b="5128"/>
                    <a:stretch>
                      <a:fillRect/>
                    </a:stretch>
                  </pic:blipFill>
                  <pic:spPr bwMode="auto">
                    <a:xfrm>
                      <a:off x="0" y="0"/>
                      <a:ext cx="2750820" cy="845820"/>
                    </a:xfrm>
                    <a:prstGeom prst="rect">
                      <a:avLst/>
                    </a:prstGeom>
                    <a:noFill/>
                    <a:ln>
                      <a:noFill/>
                    </a:ln>
                  </pic:spPr>
                </pic:pic>
              </a:graphicData>
            </a:graphic>
          </wp:inline>
        </w:drawing>
      </w:r>
    </w:p>
    <w:p w14:paraId="310752B0" w14:textId="40E2B7EF" w:rsidR="00DB6EE5" w:rsidRPr="00DB6EE5" w:rsidRDefault="00DB6EE5" w:rsidP="00E6668C">
      <w:pPr>
        <w:pStyle w:val="CETBodytext"/>
        <w:spacing w:before="240" w:after="240"/>
        <w:rPr>
          <w:noProof/>
          <w:lang w:eastAsia="ko-KR"/>
        </w:rPr>
      </w:pPr>
      <w:r w:rsidRPr="00DB6EE5">
        <w:rPr>
          <w:noProof/>
          <w:lang w:eastAsia="ko-KR"/>
        </w:rPr>
        <w:t>Figure 7</w:t>
      </w:r>
      <w:r>
        <w:rPr>
          <w:noProof/>
          <w:lang w:eastAsia="ko-KR"/>
        </w:rPr>
        <w:t>:</w:t>
      </w:r>
      <w:r w:rsidRPr="00DB6EE5">
        <w:rPr>
          <w:noProof/>
          <w:lang w:eastAsia="ko-KR"/>
        </w:rPr>
        <w:t xml:space="preserve"> Suggested reaction mechanism</w:t>
      </w:r>
    </w:p>
    <w:p w14:paraId="46DF73A0" w14:textId="6A4F4541" w:rsidR="00DB6EE5" w:rsidRPr="00B57B36" w:rsidRDefault="00DB6EE5" w:rsidP="00DB6EE5">
      <w:pPr>
        <w:pStyle w:val="CETheadingx"/>
      </w:pPr>
      <w:r>
        <w:t>Catalyst characterization</w:t>
      </w:r>
    </w:p>
    <w:p w14:paraId="2BE480FE" w14:textId="0ED6667D" w:rsidR="00DB6EE5" w:rsidRDefault="00DB6EE5" w:rsidP="00DB6EE5">
      <w:pPr>
        <w:pStyle w:val="CETBodytext"/>
        <w:rPr>
          <w:lang w:val="en-GB"/>
        </w:rPr>
      </w:pPr>
      <w:r w:rsidRPr="00DB6EE5">
        <w:rPr>
          <w:lang w:val="en-GB"/>
        </w:rPr>
        <w:t>H</w:t>
      </w:r>
      <w:r w:rsidRPr="00DB6EE5">
        <w:rPr>
          <w:vertAlign w:val="subscript"/>
          <w:lang w:val="en-GB"/>
        </w:rPr>
        <w:t>2</w:t>
      </w:r>
      <w:r w:rsidRPr="00DB6EE5">
        <w:rPr>
          <w:lang w:val="en-GB"/>
        </w:rPr>
        <w:t>-TPR was performed to understand the reducibility and hydrogenation activity of NiFe/TiO</w:t>
      </w:r>
      <w:r w:rsidRPr="00DB6EE5">
        <w:rPr>
          <w:vertAlign w:val="subscript"/>
          <w:lang w:val="en-GB"/>
        </w:rPr>
        <w:t xml:space="preserve">2 </w:t>
      </w:r>
      <w:r w:rsidRPr="00DB6EE5">
        <w:rPr>
          <w:lang w:val="en-GB"/>
        </w:rPr>
        <w:t>and Ru/WZr catalysts (Figure 8). While Ru/WZr exhibited the low temperature reduction of RuO</w:t>
      </w:r>
      <w:r w:rsidRPr="00DB6EE5">
        <w:rPr>
          <w:vertAlign w:val="subscript"/>
          <w:lang w:val="en-GB"/>
        </w:rPr>
        <w:t>x</w:t>
      </w:r>
      <w:r w:rsidRPr="00DB6EE5">
        <w:rPr>
          <w:lang w:val="en-GB"/>
        </w:rPr>
        <w:t xml:space="preserve"> to Ru</w:t>
      </w:r>
      <w:r w:rsidRPr="00DB6EE5">
        <w:rPr>
          <w:vertAlign w:val="superscript"/>
          <w:lang w:val="en-GB"/>
        </w:rPr>
        <w:t>0</w:t>
      </w:r>
      <w:r w:rsidRPr="00DB6EE5">
        <w:rPr>
          <w:lang w:val="en-GB"/>
        </w:rPr>
        <w:t xml:space="preserve"> (&lt; 180 °C), NiFe/TiO</w:t>
      </w:r>
      <w:r w:rsidRPr="00DB6EE5">
        <w:rPr>
          <w:vertAlign w:val="subscript"/>
          <w:lang w:val="en-GB"/>
        </w:rPr>
        <w:t>2</w:t>
      </w:r>
      <w:r w:rsidRPr="00DB6EE5">
        <w:rPr>
          <w:lang w:val="en-GB"/>
        </w:rPr>
        <w:t xml:space="preserve"> exhibited the reduction of Ni</w:t>
      </w:r>
      <w:r w:rsidRPr="00DB6EE5">
        <w:rPr>
          <w:vertAlign w:val="superscript"/>
          <w:lang w:val="en-GB"/>
        </w:rPr>
        <w:t>2+</w:t>
      </w:r>
      <w:r w:rsidRPr="00DB6EE5">
        <w:rPr>
          <w:lang w:val="en-GB"/>
        </w:rPr>
        <w:t xml:space="preserve"> to Ni</w:t>
      </w:r>
      <w:r w:rsidRPr="00DB6EE5">
        <w:rPr>
          <w:vertAlign w:val="superscript"/>
          <w:lang w:val="en-GB"/>
        </w:rPr>
        <w:t>0</w:t>
      </w:r>
      <w:r w:rsidRPr="00DB6EE5">
        <w:rPr>
          <w:lang w:val="en-GB"/>
        </w:rPr>
        <w:t xml:space="preserve"> at 200-300 °C, which is lower than the observed reduction temperature (300-400 °C) for the reduction of Ni oxides. The shift of the reduction temperature peak to the lower temperature can be attributed to the modification of Ni by the addition of Fe </w:t>
      </w:r>
      <w:r w:rsidRPr="00DB6EE5">
        <w:rPr>
          <w:lang w:val="en-GB"/>
        </w:rPr>
        <w:fldChar w:fldCharType="begin"/>
      </w:r>
      <w:r w:rsidR="006B1E0C">
        <w:rPr>
          <w:lang w:val="en-GB"/>
        </w:rPr>
        <w:instrText xml:space="preserve"> ADDIN EN.CITE &lt;EndNote&gt;&lt;Cite&gt;&lt;Author&gt;Insyani&lt;/Author&gt;&lt;Year&gt;2022&lt;/Year&gt;&lt;RecNum&gt;7824&lt;/RecNum&gt;&lt;DisplayText&gt;(Insyani et al., 2022)&lt;/DisplayText&gt;&lt;record&gt;&lt;rec-number&gt;7824&lt;/rec-number&gt;&lt;foreign-keys&gt;&lt;key app="EN" db-id="xfx9rt2r0x0prpe00x4vpsr8xd0eadaaezfv" timestamp="1656574325"&gt;7824&lt;/key&gt;&lt;/foreign-keys&gt;&lt;ref-type name="Journal Article"&gt;17&lt;/ref-type&gt;&lt;contributors&gt;&lt;authors&gt;&lt;author&gt;Insyani, Rizki&lt;/author&gt;&lt;author&gt;Kim, Min-Kyeong&lt;/author&gt;&lt;author&gt;Choi, Jae-Wook&lt;/author&gt;&lt;author&gt;Yoo, Chun-Jae&lt;/author&gt;&lt;author&gt;Jin Suh, Dong&lt;/author&gt;&lt;author&gt;Lee, Hyunjoo&lt;/author&gt;&lt;author&gt;Soo Kim, Chang&lt;/author&gt;&lt;author&gt;Ho Kim, Kwang&lt;/author&gt;&lt;author&gt;Kim, Kyeongsu&lt;/author&gt;&lt;author&gt;Ha, Jeong-Myeong&lt;/author&gt;&lt;/authors&gt;&lt;/contributors&gt;&lt;titles&gt;&lt;title&gt;&lt;style face="normal" font="default" size="100%"&gt;Selective hydrodeoxygenation of biomass pyrolysis oil and lignin-derived oxygenates to cyclic alcohols using the bimetallic NiFe core-shell supported on TiO&lt;/style&gt;&lt;style face="subscript" font="default" size="100%"&gt;2&lt;/style&gt;&lt;/title&gt;&lt;secondary-title&gt;Chemical Engineering Journal&lt;/secondary-title&gt;&lt;/titles&gt;&lt;periodical&gt;&lt;full-title&gt;Chemical Engineering Journal&lt;/full-title&gt;&lt;abbr-1&gt;Chem. Eng. J.&lt;/abbr-1&gt;&lt;/periodical&gt;&lt;pages&gt;136578&lt;/pages&gt;&lt;volume&gt;446&lt;/volume&gt;&lt;keywords&gt;&lt;keyword&gt;NiFe/TiO&lt;/keyword&gt;&lt;keyword&gt;Core–shell&lt;/keyword&gt;&lt;keyword&gt;Metal–support interaction&lt;/keyword&gt;&lt;keyword&gt;Hydrodeoxygenation&lt;/keyword&gt;&lt;keyword&gt;Cyclohexanol&lt;/keyword&gt;&lt;/keywords&gt;&lt;dates&gt;&lt;year&gt;2022&lt;/year&gt;&lt;pub-dates&gt;&lt;date&gt;2022/10/15/&lt;/date&gt;&lt;/pub-dates&gt;&lt;/dates&gt;&lt;isbn&gt;1385-8947&lt;/isbn&gt;&lt;urls&gt;&lt;related-urls&gt;&lt;url&gt;https://www.sciencedirect.com/science/article/pii/S1385894722020733&lt;/url&gt;&lt;/related-urls&gt;&lt;/urls&gt;&lt;electronic-resource-num&gt;https://doi.org/10.1016/j.cej.2022.136578&lt;/electronic-resource-num&gt;&lt;/record&gt;&lt;/Cite&gt;&lt;/EndNote&gt;</w:instrText>
      </w:r>
      <w:r w:rsidRPr="00DB6EE5">
        <w:rPr>
          <w:lang w:val="en-GB"/>
        </w:rPr>
        <w:fldChar w:fldCharType="separate"/>
      </w:r>
      <w:r w:rsidR="006B1E0C">
        <w:rPr>
          <w:noProof/>
          <w:lang w:val="en-GB"/>
        </w:rPr>
        <w:t>(Insyani et al., 2022)</w:t>
      </w:r>
      <w:r w:rsidRPr="00DB6EE5">
        <w:fldChar w:fldCharType="end"/>
      </w:r>
      <w:r w:rsidRPr="00DB6EE5">
        <w:rPr>
          <w:lang w:val="en-GB"/>
        </w:rPr>
        <w:t xml:space="preserve">. Notably, two reduction peaks at 94 and 120 °C observed in Ru/WZr can be attributed to the large Ru particles </w:t>
      </w:r>
      <w:r w:rsidRPr="00DB6EE5">
        <w:rPr>
          <w:lang w:val="en-GB"/>
        </w:rPr>
        <w:fldChar w:fldCharType="begin"/>
      </w:r>
      <w:r>
        <w:rPr>
          <w:lang w:val="en-GB"/>
        </w:rPr>
        <w:instrText xml:space="preserve"> ADDIN EN.CITE &lt;EndNote&gt;&lt;Cite&gt;&lt;Author&gt;Wang&lt;/Author&gt;&lt;Year&gt;2012&lt;/Year&gt;&lt;RecNum&gt;8071&lt;/RecNum&gt;&lt;DisplayText&gt;(Wang et al., 2012)&lt;/DisplayText&gt;&lt;record&gt;&lt;rec-number&gt;8071&lt;/rec-number&gt;&lt;foreign-keys&gt;&lt;key app="EN" db-id="xfx9rt2r0x0prpe00x4vpsr8xd0eadaaezfv" timestamp="1673622724"&gt;8071&lt;/key&gt;&lt;/foreign-keys&gt;&lt;ref-type name="Journal Article"&gt;17&lt;/ref-type&gt;&lt;contributors&gt;&lt;authors&gt;&lt;author&gt;Wang, Li&lt;/author&gt;&lt;author&gt;Chen, Jiuling&lt;/author&gt;&lt;author&gt;Patel, Archana&lt;/author&gt;&lt;author&gt;Rudolph, Victor&lt;/author&gt;&lt;author&gt;Zhu, Zhonghua&lt;/author&gt;&lt;/authors&gt;&lt;/contributors&gt;&lt;titles&gt;&lt;title&gt;&lt;style face="normal" font="default" size="100%"&gt;Catalytic performance of Ru nanoparticles supported on different mesoporous silicas for preferential oxidation of CO in H&lt;/style&gt;&lt;style face="subscript" font="default" size="100%"&gt;2&lt;/style&gt;&lt;style face="normal" font="default" size="100%"&gt;-rich atmosphere&lt;/style&gt;&lt;/title&gt;&lt;secondary-title&gt;Applied Catalysis A: General&lt;/secondary-title&gt;&lt;/titles&gt;&lt;periodical&gt;&lt;full-title&gt;Applied Catalysis A: General&lt;/full-title&gt;&lt;abbr-1&gt;Appl. Catal., A&lt;/abbr-1&gt;&lt;/periodical&gt;&lt;pages&gt;200-209&lt;/pages&gt;&lt;volume&gt;447-448&lt;/volume&gt;&lt;keywords&gt;&lt;keyword&gt;PROX&lt;/keyword&gt;&lt;keyword&gt;CO selectivity&lt;/keyword&gt;&lt;keyword&gt;Ru dispersion&lt;/keyword&gt;&lt;keyword&gt;Mesoporous silica&lt;/keyword&gt;&lt;/keywords&gt;&lt;dates&gt;&lt;year&gt;2012&lt;/year&gt;&lt;pub-dates&gt;&lt;date&gt;2012/12/07/&lt;/date&gt;&lt;/pub-dates&gt;&lt;/dates&gt;&lt;isbn&gt;0926-860X&lt;/isbn&gt;&lt;urls&gt;&lt;related-urls&gt;&lt;url&gt;https://www.sciencedirect.com/science/article/pii/S0926860X12006370&lt;/url&gt;&lt;/related-urls&gt;&lt;/urls&gt;&lt;electronic-resource-num&gt;https://doi.org/10.1016/j.apcata.2012.09.044&lt;/electronic-resource-num&gt;&lt;/record&gt;&lt;/Cite&gt;&lt;/EndNote&gt;</w:instrText>
      </w:r>
      <w:r w:rsidRPr="00DB6EE5">
        <w:rPr>
          <w:lang w:val="en-GB"/>
        </w:rPr>
        <w:fldChar w:fldCharType="separate"/>
      </w:r>
      <w:r>
        <w:rPr>
          <w:noProof/>
          <w:lang w:val="en-GB"/>
        </w:rPr>
        <w:t>(Wang et al., 2012)</w:t>
      </w:r>
      <w:r w:rsidRPr="00DB6EE5">
        <w:fldChar w:fldCharType="end"/>
      </w:r>
      <w:r w:rsidRPr="00DB6EE5">
        <w:rPr>
          <w:lang w:val="en-GB"/>
        </w:rPr>
        <w:t>.</w:t>
      </w:r>
    </w:p>
    <w:p w14:paraId="08A009EC" w14:textId="77777777" w:rsidR="00A06B26" w:rsidRPr="00DB6EE5" w:rsidRDefault="00A06B26" w:rsidP="00DB6EE5">
      <w:pPr>
        <w:pStyle w:val="CETBodytext"/>
        <w:rPr>
          <w:lang w:val="en-GB"/>
        </w:rPr>
      </w:pPr>
    </w:p>
    <w:p w14:paraId="7BC18C8B" w14:textId="77777777" w:rsidR="00A06B26" w:rsidRDefault="00DB6EE5" w:rsidP="00A06B26">
      <w:pPr>
        <w:pStyle w:val="CETBodytext"/>
        <w:spacing w:before="240" w:after="240"/>
        <w:rPr>
          <w:noProof/>
          <w:lang w:eastAsia="ko-KR"/>
        </w:rPr>
      </w:pPr>
      <w:r w:rsidRPr="00DB6EE5">
        <w:rPr>
          <w:noProof/>
          <w:lang w:eastAsia="ko-KR"/>
        </w:rPr>
        <w:lastRenderedPageBreak/>
        <w:drawing>
          <wp:inline distT="0" distB="0" distL="0" distR="0" wp14:anchorId="2D3D3A28" wp14:editId="62093037">
            <wp:extent cx="1630680" cy="1105239"/>
            <wp:effectExtent l="0" t="0" r="762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
                    <pic:cNvPicPr>
                      <a:picLocks noChangeAspect="1" noChangeArrowheads="1"/>
                    </pic:cNvPicPr>
                  </pic:nvPicPr>
                  <pic:blipFill>
                    <a:blip r:embed="rId17">
                      <a:extLst>
                        <a:ext uri="{28A0092B-C50C-407E-A947-70E740481C1C}">
                          <a14:useLocalDpi xmlns:a14="http://schemas.microsoft.com/office/drawing/2010/main" val="0"/>
                        </a:ext>
                      </a:extLst>
                    </a:blip>
                    <a:srcRect l="1703" t="11592" r="12492" b="4910"/>
                    <a:stretch>
                      <a:fillRect/>
                    </a:stretch>
                  </pic:blipFill>
                  <pic:spPr bwMode="auto">
                    <a:xfrm>
                      <a:off x="0" y="0"/>
                      <a:ext cx="1643883" cy="1114188"/>
                    </a:xfrm>
                    <a:prstGeom prst="rect">
                      <a:avLst/>
                    </a:prstGeom>
                    <a:noFill/>
                    <a:ln>
                      <a:noFill/>
                    </a:ln>
                  </pic:spPr>
                </pic:pic>
              </a:graphicData>
            </a:graphic>
          </wp:inline>
        </w:drawing>
      </w:r>
    </w:p>
    <w:p w14:paraId="38E2D2F9" w14:textId="4B39A9A8" w:rsidR="00DB6EE5" w:rsidRPr="00DB6EE5" w:rsidRDefault="00DB6EE5" w:rsidP="00A06B26">
      <w:pPr>
        <w:pStyle w:val="CETBodytext"/>
        <w:rPr>
          <w:noProof/>
          <w:lang w:eastAsia="ko-KR"/>
        </w:rPr>
      </w:pPr>
      <w:r w:rsidRPr="00DB6EE5">
        <w:rPr>
          <w:noProof/>
          <w:lang w:eastAsia="ko-KR"/>
        </w:rPr>
        <w:t>Figure 8</w:t>
      </w:r>
      <w:r>
        <w:rPr>
          <w:noProof/>
          <w:lang w:eastAsia="ko-KR"/>
        </w:rPr>
        <w:t>:</w:t>
      </w:r>
      <w:r w:rsidRPr="00DB6EE5">
        <w:rPr>
          <w:noProof/>
          <w:lang w:eastAsia="ko-KR"/>
        </w:rPr>
        <w:t xml:space="preserve"> H2-TPR results of Ru/WZr and NiFe/TiO</w:t>
      </w:r>
      <w:r w:rsidRPr="00DB6EE5">
        <w:rPr>
          <w:noProof/>
          <w:vertAlign w:val="subscript"/>
          <w:lang w:eastAsia="ko-KR"/>
        </w:rPr>
        <w:t>2</w:t>
      </w:r>
      <w:r w:rsidRPr="00DB6EE5">
        <w:rPr>
          <w:noProof/>
          <w:lang w:eastAsia="ko-KR"/>
        </w:rPr>
        <w:t xml:space="preserve"> </w:t>
      </w:r>
    </w:p>
    <w:p w14:paraId="7EA96A83" w14:textId="3354FFA7" w:rsidR="00A06B26" w:rsidRPr="00A06B26" w:rsidRDefault="00DB6EE5" w:rsidP="00DB6EE5">
      <w:pPr>
        <w:pStyle w:val="CETBodytext"/>
        <w:rPr>
          <w:lang w:val="en-GB"/>
        </w:rPr>
      </w:pPr>
      <w:r w:rsidRPr="00DB6EE5">
        <w:rPr>
          <w:lang w:val="en-GB"/>
        </w:rPr>
        <w:t>The unique structure of NiFe/TiO</w:t>
      </w:r>
      <w:r w:rsidRPr="00DB6EE5">
        <w:rPr>
          <w:vertAlign w:val="subscript"/>
          <w:lang w:val="en-GB"/>
        </w:rPr>
        <w:t>2</w:t>
      </w:r>
      <w:r w:rsidRPr="00DB6EE5">
        <w:rPr>
          <w:lang w:val="en-GB"/>
        </w:rPr>
        <w:t xml:space="preserve"> was also observed using TEM-EDS mapping and the formation of NiFe-FeO</w:t>
      </w:r>
      <w:r w:rsidRPr="00DB6EE5">
        <w:rPr>
          <w:vertAlign w:val="subscript"/>
          <w:lang w:val="en-GB"/>
        </w:rPr>
        <w:t>x</w:t>
      </w:r>
      <w:r w:rsidRPr="00DB6EE5">
        <w:rPr>
          <w:lang w:val="en-GB"/>
        </w:rPr>
        <w:t xml:space="preserve"> shells and Ni core on TiO</w:t>
      </w:r>
      <w:r w:rsidRPr="00DB6EE5">
        <w:rPr>
          <w:vertAlign w:val="subscript"/>
          <w:lang w:val="en-GB"/>
        </w:rPr>
        <w:t xml:space="preserve">2 </w:t>
      </w:r>
      <w:r w:rsidRPr="00DB6EE5">
        <w:rPr>
          <w:lang w:val="en-GB"/>
        </w:rPr>
        <w:t xml:space="preserve">support as reported in our previous study (Figure 9) </w:t>
      </w:r>
      <w:r w:rsidRPr="00DB6EE5">
        <w:rPr>
          <w:lang w:val="en-GB"/>
        </w:rPr>
        <w:fldChar w:fldCharType="begin"/>
      </w:r>
      <w:r>
        <w:rPr>
          <w:lang w:val="en-GB"/>
        </w:rPr>
        <w:instrText xml:space="preserve"> ADDIN EN.CITE &lt;EndNote&gt;&lt;Cite&gt;&lt;Author&gt;Insyani&lt;/Author&gt;&lt;Year&gt;2022&lt;/Year&gt;&lt;RecNum&gt;7824&lt;/RecNum&gt;&lt;DisplayText&gt;(Insyani et al., 2022)&lt;/DisplayText&gt;&lt;record&gt;&lt;rec-number&gt;7824&lt;/rec-number&gt;&lt;foreign-keys&gt;&lt;key app="EN" db-id="xfx9rt2r0x0prpe00x4vpsr8xd0eadaaezfv" timestamp="1656574325"&gt;7824&lt;/key&gt;&lt;/foreign-keys&gt;&lt;ref-type name="Journal Article"&gt;17&lt;/ref-type&gt;&lt;contributors&gt;&lt;authors&gt;&lt;author&gt;Insyani, Rizki&lt;/author&gt;&lt;author&gt;Kim, Min-Kyeong&lt;/author&gt;&lt;author&gt;Choi, Jae-Wook&lt;/author&gt;&lt;author&gt;Yoo, Chun-Jae&lt;/author&gt;&lt;author&gt;Jin Suh, Dong&lt;/author&gt;&lt;author&gt;Lee, Hyunjoo&lt;/author&gt;&lt;author&gt;Soo Kim, Chang&lt;/author&gt;&lt;author&gt;Ho Kim, Kwang&lt;/author&gt;&lt;author&gt;Kim, Kyeongsu&lt;/author&gt;&lt;author&gt;Ha, Jeong-Myeong&lt;/author&gt;&lt;/authors&gt;&lt;/contributors&gt;&lt;titles&gt;&lt;title&gt;&lt;style face="normal" font="default" size="100%"&gt;Selective hydrodeoxygenation of biomass pyrolysis oil and lignin-derived oxygenates to cyclic alcohols using the bimetallic NiFe core-shell supported on TiO&lt;/style&gt;&lt;style face="subscript" font="default" size="100%"&gt;2&lt;/style&gt;&lt;/title&gt;&lt;secondary-title&gt;Chemical Engineering Journal&lt;/secondary-title&gt;&lt;/titles&gt;&lt;periodical&gt;&lt;full-title&gt;Chemical Engineering Journal&lt;/full-title&gt;&lt;abbr-1&gt;Chem. Eng. J.&lt;/abbr-1&gt;&lt;/periodical&gt;&lt;pages&gt;136578&lt;/pages&gt;&lt;volume&gt;446&lt;/volume&gt;&lt;keywords&gt;&lt;keyword&gt;NiFe/TiO&lt;/keyword&gt;&lt;keyword&gt;Core–shell&lt;/keyword&gt;&lt;keyword&gt;Metal–support interaction&lt;/keyword&gt;&lt;keyword&gt;Hydrodeoxygenation&lt;/keyword&gt;&lt;keyword&gt;Cyclohexanol&lt;/keyword&gt;&lt;/keywords&gt;&lt;dates&gt;&lt;year&gt;2022&lt;/year&gt;&lt;pub-dates&gt;&lt;date&gt;2022/10/15/&lt;/date&gt;&lt;/pub-dates&gt;&lt;/dates&gt;&lt;isbn&gt;1385-8947&lt;/isbn&gt;&lt;urls&gt;&lt;related-urls&gt;&lt;url&gt;https://www.sciencedirect.com/science/article/pii/S1385894722020733&lt;/url&gt;&lt;/related-urls&gt;&lt;/urls&gt;&lt;electronic-resource-num&gt;https://doi.org/10.1016/j.cej.2022.136578&lt;/electronic-resource-num&gt;&lt;/record&gt;&lt;/Cite&gt;&lt;/EndNote&gt;</w:instrText>
      </w:r>
      <w:r w:rsidRPr="00DB6EE5">
        <w:rPr>
          <w:lang w:val="en-GB"/>
        </w:rPr>
        <w:fldChar w:fldCharType="separate"/>
      </w:r>
      <w:r>
        <w:rPr>
          <w:noProof/>
          <w:lang w:val="en-GB"/>
        </w:rPr>
        <w:t>(Insyani et al., 2022)</w:t>
      </w:r>
      <w:r w:rsidRPr="00DB6EE5">
        <w:fldChar w:fldCharType="end"/>
      </w:r>
      <w:r w:rsidRPr="00DB6EE5">
        <w:rPr>
          <w:lang w:val="en-GB"/>
        </w:rPr>
        <w:t xml:space="preserve">. </w:t>
      </w:r>
    </w:p>
    <w:p w14:paraId="273CF837" w14:textId="77777777" w:rsidR="00A06B26" w:rsidRDefault="00DB6EE5" w:rsidP="00A06B26">
      <w:pPr>
        <w:pStyle w:val="CETBodytext"/>
        <w:spacing w:before="240" w:after="240"/>
        <w:rPr>
          <w:noProof/>
          <w:lang w:eastAsia="ko-KR"/>
        </w:rPr>
      </w:pPr>
      <w:r w:rsidRPr="00DB6EE5">
        <w:rPr>
          <w:noProof/>
          <w:lang w:eastAsia="ko-KR"/>
        </w:rPr>
        <w:drawing>
          <wp:inline distT="0" distB="0" distL="0" distR="0" wp14:anchorId="00355DE6" wp14:editId="1AEC2517">
            <wp:extent cx="1120140" cy="1105452"/>
            <wp:effectExtent l="0" t="0" r="3810" b="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rotWithShape="1">
                    <a:blip r:embed="rId18">
                      <a:extLst>
                        <a:ext uri="{28A0092B-C50C-407E-A947-70E740481C1C}">
                          <a14:useLocalDpi xmlns:a14="http://schemas.microsoft.com/office/drawing/2010/main" val="0"/>
                        </a:ext>
                      </a:extLst>
                    </a:blip>
                    <a:srcRect b="50101"/>
                    <a:stretch/>
                  </pic:blipFill>
                  <pic:spPr bwMode="auto">
                    <a:xfrm>
                      <a:off x="0" y="0"/>
                      <a:ext cx="1149310" cy="1134239"/>
                    </a:xfrm>
                    <a:prstGeom prst="rect">
                      <a:avLst/>
                    </a:prstGeom>
                    <a:noFill/>
                    <a:ln>
                      <a:noFill/>
                    </a:ln>
                    <a:extLst>
                      <a:ext uri="{53640926-AAD7-44D8-BBD7-CCE9431645EC}">
                        <a14:shadowObscured xmlns:a14="http://schemas.microsoft.com/office/drawing/2010/main"/>
                      </a:ext>
                    </a:extLst>
                  </pic:spPr>
                </pic:pic>
              </a:graphicData>
            </a:graphic>
          </wp:inline>
        </w:drawing>
      </w:r>
      <w:r w:rsidR="006B1E0C" w:rsidRPr="00DB6EE5">
        <w:rPr>
          <w:noProof/>
          <w:lang w:eastAsia="ko-KR"/>
        </w:rPr>
        <w:drawing>
          <wp:inline distT="0" distB="0" distL="0" distR="0" wp14:anchorId="2903329C" wp14:editId="6D9AA10A">
            <wp:extent cx="1112520" cy="1107687"/>
            <wp:effectExtent l="0" t="0" r="0" b="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rotWithShape="1">
                    <a:blip r:embed="rId18">
                      <a:extLst>
                        <a:ext uri="{28A0092B-C50C-407E-A947-70E740481C1C}">
                          <a14:useLocalDpi xmlns:a14="http://schemas.microsoft.com/office/drawing/2010/main" val="0"/>
                        </a:ext>
                      </a:extLst>
                    </a:blip>
                    <a:srcRect t="49658"/>
                    <a:stretch/>
                  </pic:blipFill>
                  <pic:spPr bwMode="auto">
                    <a:xfrm>
                      <a:off x="0" y="0"/>
                      <a:ext cx="1145062" cy="1140087"/>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14:paraId="6F639A18" w14:textId="690B2387" w:rsidR="00DB6EE5" w:rsidRPr="00DB6EE5" w:rsidRDefault="00DB6EE5" w:rsidP="00A06B26">
      <w:pPr>
        <w:pStyle w:val="CETBodytext"/>
        <w:rPr>
          <w:noProof/>
          <w:lang w:eastAsia="ko-KR"/>
        </w:rPr>
      </w:pPr>
      <w:r w:rsidRPr="00DB6EE5">
        <w:rPr>
          <w:noProof/>
          <w:lang w:eastAsia="ko-KR"/>
        </w:rPr>
        <w:t>Figure 9</w:t>
      </w:r>
      <w:r>
        <w:rPr>
          <w:noProof/>
          <w:lang w:eastAsia="ko-KR"/>
        </w:rPr>
        <w:t>:</w:t>
      </w:r>
      <w:r w:rsidRPr="00DB6EE5">
        <w:rPr>
          <w:noProof/>
          <w:lang w:eastAsia="ko-KR"/>
        </w:rPr>
        <w:t xml:space="preserve"> (A) STEM image and (B) EDS map of NiFe/TiO</w:t>
      </w:r>
      <w:r w:rsidRPr="00DB6EE5">
        <w:rPr>
          <w:noProof/>
          <w:vertAlign w:val="subscript"/>
          <w:lang w:eastAsia="ko-KR"/>
        </w:rPr>
        <w:t>2</w:t>
      </w:r>
    </w:p>
    <w:p w14:paraId="7A5C14EF" w14:textId="77777777" w:rsidR="00DB6EE5" w:rsidRPr="00B57B36" w:rsidRDefault="00DB6EE5" w:rsidP="00DB6EE5">
      <w:pPr>
        <w:pStyle w:val="CETHeading1"/>
        <w:rPr>
          <w:lang w:val="en-GB"/>
        </w:rPr>
      </w:pPr>
      <w:r w:rsidRPr="00B57B36">
        <w:rPr>
          <w:lang w:val="en-GB"/>
        </w:rPr>
        <w:t>Conclusions</w:t>
      </w:r>
    </w:p>
    <w:p w14:paraId="2A09B43D" w14:textId="1A0C5904" w:rsidR="00DB6EE5" w:rsidRDefault="00DB6EE5" w:rsidP="00DB6EE5">
      <w:pPr>
        <w:pStyle w:val="CETBodytext"/>
        <w:rPr>
          <w:lang w:val="en-GB"/>
        </w:rPr>
      </w:pPr>
      <w:r w:rsidRPr="00DB6EE5">
        <w:rPr>
          <w:lang w:val="en-GB"/>
        </w:rPr>
        <w:t xml:space="preserve">The overall reaction pathway of bio-crude into high carbon number </w:t>
      </w:r>
      <w:r w:rsidR="00D80A4A" w:rsidRPr="00DB6EE5">
        <w:rPr>
          <w:lang w:val="en-GB"/>
        </w:rPr>
        <w:t>cycloalkanes</w:t>
      </w:r>
      <w:r w:rsidRPr="00DB6EE5">
        <w:rPr>
          <w:lang w:val="en-GB"/>
        </w:rPr>
        <w:t>, or naphthenes, containing two or more saturated rings was suggested through the multi-step reaction. Selective hydrogenation, alkylation, and hydrodeoxygenation were used to convert the phenolic compounds in the bio-crude. The suggested process can be useful to obtain the high carbon number hydrocarbons appropriate to the aviation fuels.</w:t>
      </w:r>
    </w:p>
    <w:p w14:paraId="52E7B907" w14:textId="77777777" w:rsidR="00DB6EE5" w:rsidRPr="00B57B36" w:rsidRDefault="00DB6EE5" w:rsidP="00DB6EE5">
      <w:pPr>
        <w:pStyle w:val="CETAcknowledgementstitle"/>
      </w:pPr>
      <w:r w:rsidRPr="00B57B36">
        <w:t>Acknowledgments</w:t>
      </w:r>
    </w:p>
    <w:p w14:paraId="0096E535" w14:textId="0501D2C1" w:rsidR="00AA6A89" w:rsidRPr="00DB6EE5" w:rsidRDefault="006B1E0C" w:rsidP="00600535">
      <w:pPr>
        <w:pStyle w:val="CETBodytext"/>
        <w:rPr>
          <w:lang w:val="en-GB"/>
        </w:rPr>
      </w:pPr>
      <w:r w:rsidRPr="006B1E0C">
        <w:t>This work was supported by the Technology Development Program to Solve Climate Change of the National Research Foundation (NRF) funded by the Ministry of Science and ICT of Republic of Korea (NRF-2020M1A2A2079798).</w:t>
      </w:r>
    </w:p>
    <w:p w14:paraId="4F1327F8" w14:textId="77777777" w:rsidR="00600535" w:rsidRPr="00B57B36" w:rsidRDefault="00600535" w:rsidP="00600535">
      <w:pPr>
        <w:pStyle w:val="CETReference"/>
      </w:pPr>
      <w:r w:rsidRPr="00B57B36">
        <w:t>References</w:t>
      </w:r>
    </w:p>
    <w:p w14:paraId="5D86B096" w14:textId="2CDF2550" w:rsidR="006B1E0C" w:rsidRPr="006B1E0C" w:rsidRDefault="0068374C" w:rsidP="006B1E0C">
      <w:pPr>
        <w:pStyle w:val="CETReferencetext"/>
        <w:rPr>
          <w:noProof/>
        </w:rPr>
      </w:pPr>
      <w:r w:rsidRPr="00AA6A89">
        <w:fldChar w:fldCharType="begin"/>
      </w:r>
      <w:r w:rsidRPr="00AA6A89">
        <w:instrText xml:space="preserve"> ADDIN EN.REFLIST </w:instrText>
      </w:r>
      <w:r w:rsidRPr="00AA6A89">
        <w:fldChar w:fldCharType="separate"/>
      </w:r>
      <w:r w:rsidR="006B1E0C" w:rsidRPr="006B1E0C">
        <w:rPr>
          <w:noProof/>
        </w:rPr>
        <w:t>Insyani, R., Kim, M.-K</w:t>
      </w:r>
      <w:r w:rsidR="00E6668C">
        <w:rPr>
          <w:noProof/>
        </w:rPr>
        <w:t xml:space="preserve">., Choi, J.-W., Yoo, C.-J., </w:t>
      </w:r>
      <w:r w:rsidR="006B1E0C" w:rsidRPr="006B1E0C">
        <w:rPr>
          <w:noProof/>
        </w:rPr>
        <w:t>Suh, D.</w:t>
      </w:r>
      <w:r w:rsidR="00E6668C">
        <w:rPr>
          <w:noProof/>
        </w:rPr>
        <w:t>J.</w:t>
      </w:r>
      <w:r w:rsidR="00815B97">
        <w:rPr>
          <w:noProof/>
        </w:rPr>
        <w:t xml:space="preserve">, Lee, H., </w:t>
      </w:r>
      <w:r w:rsidR="006B1E0C" w:rsidRPr="006B1E0C">
        <w:rPr>
          <w:noProof/>
        </w:rPr>
        <w:t>Kim, C.</w:t>
      </w:r>
      <w:r w:rsidR="00815B97">
        <w:rPr>
          <w:noProof/>
        </w:rPr>
        <w:t>S.</w:t>
      </w:r>
      <w:r w:rsidR="006B1E0C" w:rsidRPr="006B1E0C">
        <w:rPr>
          <w:noProof/>
        </w:rPr>
        <w:t>, Ho Kim, K., Kim, K., Ha, J.-M., 2022, Selective hydrodeoxygenation of biomass pyrolysis oil and lignin-derived oxygenates to cyclic alcohols using the bimetallic NiFe core-shell supported on TiO</w:t>
      </w:r>
      <w:r w:rsidR="006B1E0C" w:rsidRPr="006B1E0C">
        <w:rPr>
          <w:noProof/>
          <w:vertAlign w:val="subscript"/>
        </w:rPr>
        <w:t>2</w:t>
      </w:r>
      <w:r w:rsidR="006B1E0C" w:rsidRPr="006B1E0C">
        <w:rPr>
          <w:noProof/>
        </w:rPr>
        <w:t>, Chemical Engineering Journal, 446, 136578.</w:t>
      </w:r>
    </w:p>
    <w:p w14:paraId="109BE7CA" w14:textId="4D921D5E" w:rsidR="006B1E0C" w:rsidRPr="006B1E0C" w:rsidRDefault="006B1E0C" w:rsidP="006B1E0C">
      <w:pPr>
        <w:pStyle w:val="CETReferencetext"/>
        <w:rPr>
          <w:noProof/>
        </w:rPr>
      </w:pPr>
      <w:r w:rsidRPr="006B1E0C">
        <w:rPr>
          <w:noProof/>
        </w:rPr>
        <w:t>Jo,</w:t>
      </w:r>
      <w:r w:rsidR="00E6668C">
        <w:rPr>
          <w:noProof/>
        </w:rPr>
        <w:t xml:space="preserve"> H., Choo, H., Choi, J.-W., </w:t>
      </w:r>
      <w:r w:rsidRPr="006B1E0C">
        <w:rPr>
          <w:noProof/>
        </w:rPr>
        <w:t>Suh, D.</w:t>
      </w:r>
      <w:r w:rsidR="00E6668C">
        <w:rPr>
          <w:noProof/>
        </w:rPr>
        <w:t>J.</w:t>
      </w:r>
      <w:r w:rsidR="00815B97">
        <w:rPr>
          <w:noProof/>
        </w:rPr>
        <w:t xml:space="preserve">, Yoo, C.-J., </w:t>
      </w:r>
      <w:r w:rsidRPr="006B1E0C">
        <w:rPr>
          <w:noProof/>
        </w:rPr>
        <w:t>Kim, C.</w:t>
      </w:r>
      <w:r w:rsidR="00815B97">
        <w:rPr>
          <w:noProof/>
        </w:rPr>
        <w:t>S.</w:t>
      </w:r>
      <w:r w:rsidRPr="006B1E0C">
        <w:rPr>
          <w:noProof/>
        </w:rPr>
        <w:t>, Ho Kim, K., Lee, H., Kim, K., Choi, J., Ha, J.-M., 2022, One-pot selective production of deoxygenated monomeric, dimeric, and trimeric hydrocarbons from xylose-derived 2-methylfuran using multifunctional tungstate-zirconia-supported Ru, Pd, and Ni catalysts, Chemical Engineering Journal, 441, 135581.</w:t>
      </w:r>
    </w:p>
    <w:p w14:paraId="5678836F" w14:textId="551FEA04" w:rsidR="006B1E0C" w:rsidRPr="006B1E0C" w:rsidRDefault="006B1E0C" w:rsidP="006B1E0C">
      <w:pPr>
        <w:pStyle w:val="CETReferencetext"/>
        <w:rPr>
          <w:noProof/>
        </w:rPr>
      </w:pPr>
      <w:r w:rsidRPr="006B1E0C">
        <w:rPr>
          <w:noProof/>
        </w:rPr>
        <w:t>Kim,</w:t>
      </w:r>
      <w:r w:rsidR="00815B97">
        <w:rPr>
          <w:noProof/>
        </w:rPr>
        <w:t xml:space="preserve"> Y., Shim, J., Choi, J.-W., </w:t>
      </w:r>
      <w:r w:rsidRPr="006B1E0C">
        <w:rPr>
          <w:noProof/>
        </w:rPr>
        <w:t>Suh, D.</w:t>
      </w:r>
      <w:r w:rsidR="00815B97">
        <w:rPr>
          <w:noProof/>
        </w:rPr>
        <w:t>J.</w:t>
      </w:r>
      <w:r w:rsidRPr="006B1E0C">
        <w:rPr>
          <w:noProof/>
        </w:rPr>
        <w:t>, Park, Y.-K., Lee, U., Choi, J., Ha, J.-M., 2020, Continuous-flow production of petroleum-replacing fuels from highly viscous Kraft lignin pyrolysis oil using its hydrocracked oil as a solvent, Energy Conversion and Management, 213, 112728.</w:t>
      </w:r>
    </w:p>
    <w:p w14:paraId="0A2853DF" w14:textId="77777777" w:rsidR="006B1E0C" w:rsidRPr="006B1E0C" w:rsidRDefault="006B1E0C" w:rsidP="006B1E0C">
      <w:pPr>
        <w:pStyle w:val="CETReferencetext"/>
        <w:rPr>
          <w:noProof/>
        </w:rPr>
      </w:pPr>
      <w:r w:rsidRPr="006B1E0C">
        <w:rPr>
          <w:noProof/>
        </w:rPr>
        <w:t>Lee, Y., Choi, J.-W., Suh, D.J., Ha, J.-M., Lee, C.-H., 2015, Ketonization of hexanoic acid to diesel-blendable 6-undecanone on the stable zirconia aerogel catalyst, Applied Catalysis A: General, 506, 288-293.</w:t>
      </w:r>
    </w:p>
    <w:p w14:paraId="00BCB8D5" w14:textId="77777777" w:rsidR="006B1E0C" w:rsidRPr="006B1E0C" w:rsidRDefault="006B1E0C" w:rsidP="006B1E0C">
      <w:pPr>
        <w:pStyle w:val="CETReferencetext"/>
        <w:rPr>
          <w:noProof/>
        </w:rPr>
      </w:pPr>
      <w:r w:rsidRPr="006B1E0C">
        <w:rPr>
          <w:noProof/>
        </w:rPr>
        <w:t>Sarish, S., Devassy, B.M., Böhringer, W., Fletcher, J., Halligudi, S.B., 2005, Liquid-phase alkylation of phenol with long-chain olefins over WO</w:t>
      </w:r>
      <w:r w:rsidRPr="006B1E0C">
        <w:rPr>
          <w:noProof/>
          <w:vertAlign w:val="subscript"/>
        </w:rPr>
        <w:t>x</w:t>
      </w:r>
      <w:r w:rsidRPr="006B1E0C">
        <w:rPr>
          <w:noProof/>
        </w:rPr>
        <w:t>/ZrO</w:t>
      </w:r>
      <w:r w:rsidRPr="006B1E0C">
        <w:rPr>
          <w:noProof/>
          <w:vertAlign w:val="subscript"/>
        </w:rPr>
        <w:t>2</w:t>
      </w:r>
      <w:r w:rsidRPr="006B1E0C">
        <w:rPr>
          <w:noProof/>
        </w:rPr>
        <w:t xml:space="preserve"> solid acid catalysts, Journal of Molecular Catalysis A: Chemical, 240, 123-131.</w:t>
      </w:r>
    </w:p>
    <w:p w14:paraId="1EEA5130" w14:textId="77777777" w:rsidR="006B1E0C" w:rsidRPr="006B1E0C" w:rsidRDefault="006B1E0C" w:rsidP="006B1E0C">
      <w:pPr>
        <w:pStyle w:val="CETReferencetext"/>
        <w:rPr>
          <w:noProof/>
        </w:rPr>
      </w:pPr>
      <w:r w:rsidRPr="006B1E0C">
        <w:rPr>
          <w:noProof/>
        </w:rPr>
        <w:t>Wang, L., Chen, J., Patel, A., Rudolph, V., Zhu, Z., 2012, Catalytic performance of Ru nanoparticles supported on different mesoporous silicas for preferential oxidation of CO in H</w:t>
      </w:r>
      <w:r w:rsidRPr="006B1E0C">
        <w:rPr>
          <w:noProof/>
          <w:vertAlign w:val="subscript"/>
        </w:rPr>
        <w:t>2</w:t>
      </w:r>
      <w:r w:rsidRPr="006B1E0C">
        <w:rPr>
          <w:noProof/>
        </w:rPr>
        <w:t>-rich atmosphere, Applied Catalysis A: General, 447-448, 200-209.</w:t>
      </w:r>
    </w:p>
    <w:p w14:paraId="5E042FCD" w14:textId="77777777" w:rsidR="006B1E0C" w:rsidRPr="006B1E0C" w:rsidRDefault="006B1E0C" w:rsidP="006B1E0C">
      <w:pPr>
        <w:pStyle w:val="CETReferencetext"/>
        <w:rPr>
          <w:noProof/>
        </w:rPr>
      </w:pPr>
      <w:r w:rsidRPr="006B1E0C">
        <w:rPr>
          <w:noProof/>
        </w:rPr>
        <w:t>Yang, H., Joh, H.-I., Choo, H., Choi, J.-W., Suh, D.J., Lee, U., Choi, J., Ha, J.-M., 2021, Condensation of furans for the production of diesel precursors: A study on the effects of surface acid sites of sulfonated carbon catalysts, Catalysis Today, 375, 155-163.</w:t>
      </w:r>
    </w:p>
    <w:p w14:paraId="19C4FC68" w14:textId="1C1EA09C" w:rsidR="004628D2" w:rsidRPr="00AA6A89" w:rsidRDefault="0068374C" w:rsidP="00E6668C">
      <w:pPr>
        <w:pStyle w:val="CETReferencetext"/>
        <w:ind w:left="0" w:firstLine="0"/>
      </w:pPr>
      <w:r w:rsidRPr="00AA6A89">
        <w:fldChar w:fldCharType="end"/>
      </w:r>
    </w:p>
    <w:sectPr w:rsidR="004628D2" w:rsidRPr="00AA6A89"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B6B21" w14:textId="77777777" w:rsidR="00677EF4" w:rsidRDefault="00677EF4" w:rsidP="004F5E36">
      <w:r>
        <w:separator/>
      </w:r>
    </w:p>
  </w:endnote>
  <w:endnote w:type="continuationSeparator" w:id="0">
    <w:p w14:paraId="398520E5" w14:textId="77777777" w:rsidR="00677EF4" w:rsidRDefault="00677EF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DBE66" w14:textId="77777777" w:rsidR="00677EF4" w:rsidRDefault="00677EF4" w:rsidP="004F5E36">
      <w:r>
        <w:separator/>
      </w:r>
    </w:p>
  </w:footnote>
  <w:footnote w:type="continuationSeparator" w:id="0">
    <w:p w14:paraId="0FA256D6" w14:textId="77777777" w:rsidR="00677EF4" w:rsidRDefault="00677EF4"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 w:name="EN.InstantFormat" w:val="&lt;ENInstantFormat&gt;&lt;Enabled&gt;1&lt;/Enabled&gt;&lt;ScanUnformatted&gt;1&lt;/ScanUnformatted&gt;&lt;ScanChanges&gt;1&lt;/ScanChanges&gt;&lt;Suspended&gt;0&lt;/Suspended&gt;&lt;/ENInstantFormat&gt;"/>
    <w:docVar w:name="EN.Layout" w:val="&lt;ENLayout&gt;&lt;Style&gt;Iconbm2024&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fx9rt2r0x0prpe00x4vpsr8xd0eadaaezfv&quot;&gt;PublicationsDB-Converted&lt;record-ids&gt;&lt;item&gt;3510&lt;/item&gt;&lt;item&gt;7356&lt;/item&gt;&lt;item&gt;7584&lt;/item&gt;&lt;item&gt;7824&lt;/item&gt;&lt;item&gt;7825&lt;/item&gt;&lt;item&gt;8068&lt;/item&gt;&lt;item&gt;8071&lt;/item&gt;&lt;/record-ids&gt;&lt;/item&gt;&lt;/Libraries&gt;"/>
  </w:docVars>
  <w:rsids>
    <w:rsidRoot w:val="000E414A"/>
    <w:rsid w:val="000027C0"/>
    <w:rsid w:val="000052FB"/>
    <w:rsid w:val="000117CB"/>
    <w:rsid w:val="0003148D"/>
    <w:rsid w:val="00031EEC"/>
    <w:rsid w:val="00051566"/>
    <w:rsid w:val="000562A9"/>
    <w:rsid w:val="00062A9A"/>
    <w:rsid w:val="00065058"/>
    <w:rsid w:val="00086C39"/>
    <w:rsid w:val="000A03B2"/>
    <w:rsid w:val="000D0268"/>
    <w:rsid w:val="000D34BE"/>
    <w:rsid w:val="000E102F"/>
    <w:rsid w:val="000E36F1"/>
    <w:rsid w:val="000E3A73"/>
    <w:rsid w:val="000E414A"/>
    <w:rsid w:val="000F093C"/>
    <w:rsid w:val="000F787B"/>
    <w:rsid w:val="0012091F"/>
    <w:rsid w:val="00126BC2"/>
    <w:rsid w:val="001308B6"/>
    <w:rsid w:val="0013121F"/>
    <w:rsid w:val="00131FE6"/>
    <w:rsid w:val="0013263F"/>
    <w:rsid w:val="001331DF"/>
    <w:rsid w:val="00134DE4"/>
    <w:rsid w:val="0014034D"/>
    <w:rsid w:val="00144D16"/>
    <w:rsid w:val="00150E59"/>
    <w:rsid w:val="00152DE3"/>
    <w:rsid w:val="00156F74"/>
    <w:rsid w:val="00157455"/>
    <w:rsid w:val="00164CF9"/>
    <w:rsid w:val="001667A6"/>
    <w:rsid w:val="00184AD6"/>
    <w:rsid w:val="00185B25"/>
    <w:rsid w:val="001A4AF7"/>
    <w:rsid w:val="001B0349"/>
    <w:rsid w:val="001B1E93"/>
    <w:rsid w:val="001B65C1"/>
    <w:rsid w:val="001C684B"/>
    <w:rsid w:val="001D0CFB"/>
    <w:rsid w:val="001D21AF"/>
    <w:rsid w:val="001D53FC"/>
    <w:rsid w:val="001F42A5"/>
    <w:rsid w:val="001F7B9D"/>
    <w:rsid w:val="00201C93"/>
    <w:rsid w:val="002224B4"/>
    <w:rsid w:val="00230904"/>
    <w:rsid w:val="002447EF"/>
    <w:rsid w:val="00251550"/>
    <w:rsid w:val="00263B05"/>
    <w:rsid w:val="0027221A"/>
    <w:rsid w:val="00275B61"/>
    <w:rsid w:val="00280FAF"/>
    <w:rsid w:val="00282656"/>
    <w:rsid w:val="00296B83"/>
    <w:rsid w:val="002B4015"/>
    <w:rsid w:val="002B78CE"/>
    <w:rsid w:val="002C2FB6"/>
    <w:rsid w:val="002E5FA7"/>
    <w:rsid w:val="002F3309"/>
    <w:rsid w:val="003008CE"/>
    <w:rsid w:val="003009B7"/>
    <w:rsid w:val="00300E56"/>
    <w:rsid w:val="0030152C"/>
    <w:rsid w:val="0030469C"/>
    <w:rsid w:val="00321CA6"/>
    <w:rsid w:val="00323763"/>
    <w:rsid w:val="00323C5F"/>
    <w:rsid w:val="00334C09"/>
    <w:rsid w:val="003723D4"/>
    <w:rsid w:val="00381905"/>
    <w:rsid w:val="00384CC8"/>
    <w:rsid w:val="003871FD"/>
    <w:rsid w:val="003A1E30"/>
    <w:rsid w:val="003A2829"/>
    <w:rsid w:val="003A53D8"/>
    <w:rsid w:val="003A6FC6"/>
    <w:rsid w:val="003A7D1C"/>
    <w:rsid w:val="003B304B"/>
    <w:rsid w:val="003B3146"/>
    <w:rsid w:val="003B4D3A"/>
    <w:rsid w:val="003F015E"/>
    <w:rsid w:val="00400414"/>
    <w:rsid w:val="0041446B"/>
    <w:rsid w:val="0044071E"/>
    <w:rsid w:val="0044329C"/>
    <w:rsid w:val="00453E24"/>
    <w:rsid w:val="00457456"/>
    <w:rsid w:val="004577FE"/>
    <w:rsid w:val="00457B9C"/>
    <w:rsid w:val="0046164A"/>
    <w:rsid w:val="004628D2"/>
    <w:rsid w:val="00462DCD"/>
    <w:rsid w:val="004648AD"/>
    <w:rsid w:val="004703A9"/>
    <w:rsid w:val="004760DE"/>
    <w:rsid w:val="004761E9"/>
    <w:rsid w:val="004763D7"/>
    <w:rsid w:val="004915B2"/>
    <w:rsid w:val="004A004E"/>
    <w:rsid w:val="004A24CF"/>
    <w:rsid w:val="004C3D1D"/>
    <w:rsid w:val="004C3D84"/>
    <w:rsid w:val="004C7913"/>
    <w:rsid w:val="004E4DD6"/>
    <w:rsid w:val="004F5E36"/>
    <w:rsid w:val="00507B47"/>
    <w:rsid w:val="00507BEF"/>
    <w:rsid w:val="00507CC9"/>
    <w:rsid w:val="005119A5"/>
    <w:rsid w:val="00516AAC"/>
    <w:rsid w:val="005278B7"/>
    <w:rsid w:val="00532016"/>
    <w:rsid w:val="005346C8"/>
    <w:rsid w:val="00543E7D"/>
    <w:rsid w:val="00547A68"/>
    <w:rsid w:val="005531C9"/>
    <w:rsid w:val="00570C43"/>
    <w:rsid w:val="00573E30"/>
    <w:rsid w:val="005B2110"/>
    <w:rsid w:val="005B61E6"/>
    <w:rsid w:val="005C77E1"/>
    <w:rsid w:val="005D668A"/>
    <w:rsid w:val="005D6A2F"/>
    <w:rsid w:val="005E1A82"/>
    <w:rsid w:val="005E794C"/>
    <w:rsid w:val="005F0A28"/>
    <w:rsid w:val="005F0E5E"/>
    <w:rsid w:val="00600535"/>
    <w:rsid w:val="00610CD6"/>
    <w:rsid w:val="00620DEE"/>
    <w:rsid w:val="00621F92"/>
    <w:rsid w:val="0062280A"/>
    <w:rsid w:val="00625639"/>
    <w:rsid w:val="00631B33"/>
    <w:rsid w:val="0064184D"/>
    <w:rsid w:val="006422CC"/>
    <w:rsid w:val="00660E3E"/>
    <w:rsid w:val="00662E74"/>
    <w:rsid w:val="00677EF4"/>
    <w:rsid w:val="00680C23"/>
    <w:rsid w:val="0068374C"/>
    <w:rsid w:val="00693766"/>
    <w:rsid w:val="006A23E9"/>
    <w:rsid w:val="006A3281"/>
    <w:rsid w:val="006B1E0C"/>
    <w:rsid w:val="006B4888"/>
    <w:rsid w:val="006C2E45"/>
    <w:rsid w:val="006C359C"/>
    <w:rsid w:val="006C5579"/>
    <w:rsid w:val="006D6E8B"/>
    <w:rsid w:val="006E737D"/>
    <w:rsid w:val="00713973"/>
    <w:rsid w:val="00720A24"/>
    <w:rsid w:val="00732386"/>
    <w:rsid w:val="0073514D"/>
    <w:rsid w:val="007447F3"/>
    <w:rsid w:val="0075499F"/>
    <w:rsid w:val="007661C8"/>
    <w:rsid w:val="0077098D"/>
    <w:rsid w:val="007931FA"/>
    <w:rsid w:val="00797C5E"/>
    <w:rsid w:val="007A4861"/>
    <w:rsid w:val="007A7BBA"/>
    <w:rsid w:val="007B0C50"/>
    <w:rsid w:val="007B48F9"/>
    <w:rsid w:val="007C1A43"/>
    <w:rsid w:val="007D0951"/>
    <w:rsid w:val="0080013E"/>
    <w:rsid w:val="00813288"/>
    <w:rsid w:val="00815B97"/>
    <w:rsid w:val="008168FC"/>
    <w:rsid w:val="00830996"/>
    <w:rsid w:val="008345F1"/>
    <w:rsid w:val="00843EAC"/>
    <w:rsid w:val="00865B07"/>
    <w:rsid w:val="008667EA"/>
    <w:rsid w:val="0087637F"/>
    <w:rsid w:val="00892AD5"/>
    <w:rsid w:val="008A1512"/>
    <w:rsid w:val="008A4D85"/>
    <w:rsid w:val="008B7C03"/>
    <w:rsid w:val="008D32B9"/>
    <w:rsid w:val="008D433B"/>
    <w:rsid w:val="008D4A16"/>
    <w:rsid w:val="008E566E"/>
    <w:rsid w:val="0090161A"/>
    <w:rsid w:val="00901EB6"/>
    <w:rsid w:val="00902EDA"/>
    <w:rsid w:val="00904C62"/>
    <w:rsid w:val="00922BA8"/>
    <w:rsid w:val="00924DAC"/>
    <w:rsid w:val="00927058"/>
    <w:rsid w:val="00942750"/>
    <w:rsid w:val="009450CE"/>
    <w:rsid w:val="009459BB"/>
    <w:rsid w:val="00947179"/>
    <w:rsid w:val="0095164B"/>
    <w:rsid w:val="00954090"/>
    <w:rsid w:val="009573E7"/>
    <w:rsid w:val="0096178A"/>
    <w:rsid w:val="00963E05"/>
    <w:rsid w:val="00964A45"/>
    <w:rsid w:val="00967843"/>
    <w:rsid w:val="00967D54"/>
    <w:rsid w:val="00971028"/>
    <w:rsid w:val="00993B84"/>
    <w:rsid w:val="00996483"/>
    <w:rsid w:val="00996F5A"/>
    <w:rsid w:val="009B041A"/>
    <w:rsid w:val="009C37C3"/>
    <w:rsid w:val="009C7C86"/>
    <w:rsid w:val="009D2FF7"/>
    <w:rsid w:val="009E7884"/>
    <w:rsid w:val="009E788A"/>
    <w:rsid w:val="009F0E08"/>
    <w:rsid w:val="00A06B26"/>
    <w:rsid w:val="00A1763D"/>
    <w:rsid w:val="00A17CEC"/>
    <w:rsid w:val="00A27EF0"/>
    <w:rsid w:val="00A42361"/>
    <w:rsid w:val="00A50B20"/>
    <w:rsid w:val="00A51390"/>
    <w:rsid w:val="00A60D13"/>
    <w:rsid w:val="00A7223D"/>
    <w:rsid w:val="00A72745"/>
    <w:rsid w:val="00A76EFC"/>
    <w:rsid w:val="00A87D50"/>
    <w:rsid w:val="00A91010"/>
    <w:rsid w:val="00A97F29"/>
    <w:rsid w:val="00AA6A89"/>
    <w:rsid w:val="00AA702E"/>
    <w:rsid w:val="00AA7D26"/>
    <w:rsid w:val="00AB0964"/>
    <w:rsid w:val="00AB5011"/>
    <w:rsid w:val="00AC7368"/>
    <w:rsid w:val="00AD16B9"/>
    <w:rsid w:val="00AE377D"/>
    <w:rsid w:val="00AF0EBA"/>
    <w:rsid w:val="00B02C8A"/>
    <w:rsid w:val="00B15EBF"/>
    <w:rsid w:val="00B17FBD"/>
    <w:rsid w:val="00B315A6"/>
    <w:rsid w:val="00B31813"/>
    <w:rsid w:val="00B33365"/>
    <w:rsid w:val="00B54880"/>
    <w:rsid w:val="00B57B36"/>
    <w:rsid w:val="00B57E6F"/>
    <w:rsid w:val="00B8686D"/>
    <w:rsid w:val="00B93F69"/>
    <w:rsid w:val="00BB1DDC"/>
    <w:rsid w:val="00BC30C9"/>
    <w:rsid w:val="00BD077D"/>
    <w:rsid w:val="00BE3E58"/>
    <w:rsid w:val="00C01616"/>
    <w:rsid w:val="00C0162B"/>
    <w:rsid w:val="00C068ED"/>
    <w:rsid w:val="00C22E0C"/>
    <w:rsid w:val="00C345B1"/>
    <w:rsid w:val="00C40142"/>
    <w:rsid w:val="00C4165A"/>
    <w:rsid w:val="00C52C3C"/>
    <w:rsid w:val="00C57182"/>
    <w:rsid w:val="00C57863"/>
    <w:rsid w:val="00C640AF"/>
    <w:rsid w:val="00C655FD"/>
    <w:rsid w:val="00C75407"/>
    <w:rsid w:val="00C870A8"/>
    <w:rsid w:val="00C94434"/>
    <w:rsid w:val="00CA0D4A"/>
    <w:rsid w:val="00CA0D75"/>
    <w:rsid w:val="00CA1C95"/>
    <w:rsid w:val="00CA5A9C"/>
    <w:rsid w:val="00CC4C20"/>
    <w:rsid w:val="00CD3517"/>
    <w:rsid w:val="00CD5FE2"/>
    <w:rsid w:val="00CE7C68"/>
    <w:rsid w:val="00D02B4C"/>
    <w:rsid w:val="00D040C4"/>
    <w:rsid w:val="00D20AD1"/>
    <w:rsid w:val="00D46B7E"/>
    <w:rsid w:val="00D57C84"/>
    <w:rsid w:val="00D6057D"/>
    <w:rsid w:val="00D648EC"/>
    <w:rsid w:val="00D71640"/>
    <w:rsid w:val="00D80A4A"/>
    <w:rsid w:val="00D836C5"/>
    <w:rsid w:val="00D84576"/>
    <w:rsid w:val="00DA1399"/>
    <w:rsid w:val="00DA24C6"/>
    <w:rsid w:val="00DA4D7B"/>
    <w:rsid w:val="00DB3233"/>
    <w:rsid w:val="00DB6EE5"/>
    <w:rsid w:val="00DD271C"/>
    <w:rsid w:val="00DE264A"/>
    <w:rsid w:val="00DF5072"/>
    <w:rsid w:val="00E02D18"/>
    <w:rsid w:val="00E041E7"/>
    <w:rsid w:val="00E23CA1"/>
    <w:rsid w:val="00E33DD7"/>
    <w:rsid w:val="00E409A8"/>
    <w:rsid w:val="00E50C12"/>
    <w:rsid w:val="00E629B8"/>
    <w:rsid w:val="00E65B91"/>
    <w:rsid w:val="00E6668C"/>
    <w:rsid w:val="00E7209D"/>
    <w:rsid w:val="00E72EAD"/>
    <w:rsid w:val="00E77223"/>
    <w:rsid w:val="00E8528B"/>
    <w:rsid w:val="00E85B94"/>
    <w:rsid w:val="00E978D0"/>
    <w:rsid w:val="00EA4613"/>
    <w:rsid w:val="00EA7F91"/>
    <w:rsid w:val="00EB1523"/>
    <w:rsid w:val="00EC0E49"/>
    <w:rsid w:val="00EC101F"/>
    <w:rsid w:val="00EC1D9F"/>
    <w:rsid w:val="00EE0131"/>
    <w:rsid w:val="00EE17B0"/>
    <w:rsid w:val="00EF06D9"/>
    <w:rsid w:val="00F3049E"/>
    <w:rsid w:val="00F30C64"/>
    <w:rsid w:val="00F32BA2"/>
    <w:rsid w:val="00F32CDB"/>
    <w:rsid w:val="00F565FE"/>
    <w:rsid w:val="00F63A70"/>
    <w:rsid w:val="00F63D8C"/>
    <w:rsid w:val="00F7534E"/>
    <w:rsid w:val="00F93EDF"/>
    <w:rsid w:val="00FA1802"/>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바탕"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10">
    <w:name w:val="heading 1"/>
    <w:basedOn w:val="CETHeading1"/>
    <w:next w:val="a1"/>
    <w:link w:val="1Char"/>
    <w:uiPriority w:val="9"/>
    <w:rsid w:val="004F5E36"/>
    <w:pPr>
      <w:tabs>
        <w:tab w:val="clear" w:pos="360"/>
        <w:tab w:val="right" w:pos="7100"/>
      </w:tabs>
      <w:jc w:val="both"/>
      <w:outlineLvl w:val="0"/>
    </w:pPr>
    <w:rPr>
      <w:lang w:val="en-GB"/>
    </w:rPr>
  </w:style>
  <w:style w:type="paragraph" w:styleId="21">
    <w:name w:val="heading 2"/>
    <w:basedOn w:val="a1"/>
    <w:next w:val="a1"/>
    <w:link w:val="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1">
    <w:name w:val="Table Simple 1"/>
    <w:basedOn w:val="a3"/>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a5">
    <w:name w:val="annotation reference"/>
    <w:basedOn w:val="a2"/>
    <w:uiPriority w:val="99"/>
    <w:semiHidden/>
    <w:unhideWhenUsed/>
    <w:rsid w:val="004577FE"/>
    <w:rPr>
      <w:sz w:val="16"/>
      <w:szCs w:val="16"/>
    </w:rPr>
  </w:style>
  <w:style w:type="paragraph" w:styleId="a6">
    <w:name w:val="Balloon Text"/>
    <w:basedOn w:val="a1"/>
    <w:link w:val="Char"/>
    <w:uiPriority w:val="99"/>
    <w:semiHidden/>
    <w:unhideWhenUsed/>
    <w:rsid w:val="000D34BE"/>
    <w:pPr>
      <w:spacing w:line="240" w:lineRule="auto"/>
    </w:pPr>
    <w:rPr>
      <w:rFonts w:ascii="Tahoma" w:hAnsi="Tahoma" w:cs="Tahoma"/>
      <w:sz w:val="16"/>
      <w:szCs w:val="16"/>
    </w:rPr>
  </w:style>
  <w:style w:type="character" w:customStyle="1" w:styleId="Char">
    <w:name w:val="풍선 도움말 텍스트 Char"/>
    <w:basedOn w:val="a2"/>
    <w:link w:val="a6"/>
    <w:uiPriority w:val="99"/>
    <w:semiHidden/>
    <w:rsid w:val="000D34BE"/>
    <w:rPr>
      <w:rFonts w:ascii="Tahoma" w:hAnsi="Tahoma" w:cs="Tahoma"/>
      <w:sz w:val="16"/>
      <w:szCs w:val="16"/>
    </w:rPr>
  </w:style>
  <w:style w:type="paragraph" w:styleId="a7">
    <w:name w:val="Bibliography"/>
    <w:basedOn w:val="CETReferencetext"/>
    <w:uiPriority w:val="37"/>
    <w:unhideWhenUsed/>
    <w:rsid w:val="00631B33"/>
    <w:pPr>
      <w:spacing w:line="240" w:lineRule="auto"/>
      <w:ind w:left="720" w:hanging="720"/>
    </w:pPr>
  </w:style>
  <w:style w:type="paragraph" w:styleId="22">
    <w:name w:val="Body Text 2"/>
    <w:basedOn w:val="a1"/>
    <w:link w:val="2Char0"/>
    <w:uiPriority w:val="99"/>
    <w:semiHidden/>
    <w:unhideWhenUsed/>
    <w:rsid w:val="0003148D"/>
    <w:pPr>
      <w:spacing w:after="120" w:line="480" w:lineRule="auto"/>
    </w:pPr>
  </w:style>
  <w:style w:type="character" w:customStyle="1" w:styleId="2Char0">
    <w:name w:val="본문 2 Char"/>
    <w:basedOn w:val="a2"/>
    <w:link w:val="22"/>
    <w:uiPriority w:val="99"/>
    <w:semiHidden/>
    <w:rsid w:val="0003148D"/>
  </w:style>
  <w:style w:type="paragraph" w:styleId="32">
    <w:name w:val="Body Text 3"/>
    <w:basedOn w:val="a1"/>
    <w:link w:val="3Char0"/>
    <w:uiPriority w:val="99"/>
    <w:semiHidden/>
    <w:unhideWhenUsed/>
    <w:rsid w:val="0003148D"/>
    <w:pPr>
      <w:spacing w:after="120"/>
    </w:pPr>
    <w:rPr>
      <w:sz w:val="16"/>
      <w:szCs w:val="16"/>
    </w:rPr>
  </w:style>
  <w:style w:type="character" w:customStyle="1" w:styleId="3Char0">
    <w:name w:val="본문 3 Char"/>
    <w:basedOn w:val="a2"/>
    <w:link w:val="32"/>
    <w:uiPriority w:val="99"/>
    <w:semiHidden/>
    <w:rsid w:val="0003148D"/>
    <w:rPr>
      <w:sz w:val="16"/>
      <w:szCs w:val="16"/>
    </w:rPr>
  </w:style>
  <w:style w:type="paragraph" w:styleId="a8">
    <w:name w:val="Body Text"/>
    <w:basedOn w:val="a1"/>
    <w:link w:val="Char0"/>
    <w:uiPriority w:val="99"/>
    <w:semiHidden/>
    <w:unhideWhenUsed/>
    <w:rsid w:val="0003148D"/>
    <w:pPr>
      <w:spacing w:after="120"/>
    </w:pPr>
  </w:style>
  <w:style w:type="character" w:customStyle="1" w:styleId="Char0">
    <w:name w:val="본문 Char"/>
    <w:basedOn w:val="a2"/>
    <w:link w:val="a8"/>
    <w:uiPriority w:val="99"/>
    <w:semiHidden/>
    <w:rsid w:val="0003148D"/>
  </w:style>
  <w:style w:type="paragraph" w:styleId="a9">
    <w:name w:val="Date"/>
    <w:basedOn w:val="a1"/>
    <w:next w:val="a1"/>
    <w:link w:val="Char1"/>
    <w:uiPriority w:val="99"/>
    <w:semiHidden/>
    <w:unhideWhenUsed/>
    <w:rsid w:val="0003148D"/>
  </w:style>
  <w:style w:type="character" w:customStyle="1" w:styleId="Char1">
    <w:name w:val="날짜 Char"/>
    <w:basedOn w:val="a2"/>
    <w:link w:val="a9"/>
    <w:uiPriority w:val="99"/>
    <w:semiHidden/>
    <w:rsid w:val="0003148D"/>
  </w:style>
  <w:style w:type="paragraph" w:styleId="aa">
    <w:name w:val="caption"/>
    <w:basedOn w:val="a1"/>
    <w:next w:val="a1"/>
    <w:uiPriority w:val="35"/>
    <w:semiHidden/>
    <w:unhideWhenUsed/>
    <w:qFormat/>
    <w:rsid w:val="0003148D"/>
    <w:pPr>
      <w:spacing w:line="240" w:lineRule="auto"/>
    </w:pPr>
    <w:rPr>
      <w:b/>
      <w:bCs/>
      <w:color w:val="4F81BD" w:themeColor="accent1"/>
      <w:szCs w:val="18"/>
    </w:rPr>
  </w:style>
  <w:style w:type="paragraph" w:styleId="ab">
    <w:name w:val="List"/>
    <w:basedOn w:val="a1"/>
    <w:uiPriority w:val="99"/>
    <w:semiHidden/>
    <w:unhideWhenUsed/>
    <w:rsid w:val="0003148D"/>
    <w:pPr>
      <w:ind w:left="283" w:hanging="283"/>
      <w:contextualSpacing/>
    </w:pPr>
  </w:style>
  <w:style w:type="paragraph" w:styleId="23">
    <w:name w:val="List 2"/>
    <w:basedOn w:val="a1"/>
    <w:uiPriority w:val="99"/>
    <w:semiHidden/>
    <w:unhideWhenUsed/>
    <w:rsid w:val="0003148D"/>
    <w:pPr>
      <w:ind w:left="566" w:hanging="283"/>
      <w:contextualSpacing/>
    </w:pPr>
  </w:style>
  <w:style w:type="paragraph" w:styleId="33">
    <w:name w:val="List 3"/>
    <w:basedOn w:val="a1"/>
    <w:uiPriority w:val="99"/>
    <w:semiHidden/>
    <w:unhideWhenUsed/>
    <w:rsid w:val="0003148D"/>
    <w:pPr>
      <w:ind w:left="849" w:hanging="283"/>
      <w:contextualSpacing/>
    </w:pPr>
  </w:style>
  <w:style w:type="paragraph" w:styleId="42">
    <w:name w:val="List 4"/>
    <w:basedOn w:val="a1"/>
    <w:uiPriority w:val="99"/>
    <w:semiHidden/>
    <w:unhideWhenUsed/>
    <w:rsid w:val="0003148D"/>
    <w:pPr>
      <w:ind w:left="1132" w:hanging="283"/>
      <w:contextualSpacing/>
    </w:pPr>
  </w:style>
  <w:style w:type="paragraph" w:styleId="52">
    <w:name w:val="List 5"/>
    <w:basedOn w:val="a1"/>
    <w:uiPriority w:val="99"/>
    <w:semiHidden/>
    <w:unhideWhenUsed/>
    <w:rsid w:val="0003148D"/>
    <w:pPr>
      <w:ind w:left="1415" w:hanging="283"/>
      <w:contextualSpacing/>
    </w:pPr>
  </w:style>
  <w:style w:type="paragraph" w:styleId="ac">
    <w:name w:val="List Continue"/>
    <w:basedOn w:val="a1"/>
    <w:uiPriority w:val="99"/>
    <w:semiHidden/>
    <w:unhideWhenUsed/>
    <w:rsid w:val="0003148D"/>
    <w:pPr>
      <w:spacing w:after="120"/>
      <w:ind w:left="283"/>
      <w:contextualSpacing/>
    </w:pPr>
  </w:style>
  <w:style w:type="paragraph" w:styleId="24">
    <w:name w:val="List Continue 2"/>
    <w:basedOn w:val="a1"/>
    <w:uiPriority w:val="99"/>
    <w:semiHidden/>
    <w:unhideWhenUsed/>
    <w:rsid w:val="0003148D"/>
    <w:pPr>
      <w:spacing w:after="120"/>
      <w:ind w:left="566"/>
      <w:contextualSpacing/>
    </w:pPr>
  </w:style>
  <w:style w:type="paragraph" w:styleId="34">
    <w:name w:val="List Continue 3"/>
    <w:basedOn w:val="a1"/>
    <w:uiPriority w:val="99"/>
    <w:semiHidden/>
    <w:unhideWhenUsed/>
    <w:rsid w:val="0003148D"/>
    <w:pPr>
      <w:spacing w:after="120"/>
      <w:ind w:left="849"/>
      <w:contextualSpacing/>
    </w:pPr>
  </w:style>
  <w:style w:type="paragraph" w:styleId="43">
    <w:name w:val="List Continue 4"/>
    <w:basedOn w:val="a1"/>
    <w:uiPriority w:val="99"/>
    <w:semiHidden/>
    <w:unhideWhenUsed/>
    <w:rsid w:val="0003148D"/>
    <w:pPr>
      <w:spacing w:after="120"/>
      <w:ind w:left="1132"/>
      <w:contextualSpacing/>
    </w:pPr>
  </w:style>
  <w:style w:type="paragraph" w:styleId="53">
    <w:name w:val="List Continue 5"/>
    <w:basedOn w:val="a1"/>
    <w:uiPriority w:val="99"/>
    <w:semiHidden/>
    <w:unhideWhenUsed/>
    <w:rsid w:val="0003148D"/>
    <w:pPr>
      <w:spacing w:after="120"/>
      <w:ind w:left="1415"/>
      <w:contextualSpacing/>
    </w:pPr>
  </w:style>
  <w:style w:type="paragraph" w:styleId="ad">
    <w:name w:val="Signature"/>
    <w:basedOn w:val="a1"/>
    <w:link w:val="Char2"/>
    <w:uiPriority w:val="99"/>
    <w:semiHidden/>
    <w:unhideWhenUsed/>
    <w:rsid w:val="0003148D"/>
    <w:pPr>
      <w:spacing w:line="240" w:lineRule="auto"/>
      <w:ind w:left="4252"/>
    </w:pPr>
  </w:style>
  <w:style w:type="character" w:customStyle="1" w:styleId="Char2">
    <w:name w:val="서명 Char"/>
    <w:basedOn w:val="a2"/>
    <w:link w:val="ad"/>
    <w:uiPriority w:val="99"/>
    <w:semiHidden/>
    <w:rsid w:val="0003148D"/>
  </w:style>
  <w:style w:type="paragraph" w:styleId="ae">
    <w:name w:val="E-mail Signature"/>
    <w:basedOn w:val="a1"/>
    <w:link w:val="Char3"/>
    <w:uiPriority w:val="99"/>
    <w:semiHidden/>
    <w:unhideWhenUsed/>
    <w:rsid w:val="0003148D"/>
    <w:pPr>
      <w:spacing w:line="240" w:lineRule="auto"/>
    </w:pPr>
  </w:style>
  <w:style w:type="character" w:customStyle="1" w:styleId="Char3">
    <w:name w:val="전자 메일 서명 Char"/>
    <w:basedOn w:val="a2"/>
    <w:link w:val="ae"/>
    <w:uiPriority w:val="99"/>
    <w:semiHidden/>
    <w:rsid w:val="0003148D"/>
  </w:style>
  <w:style w:type="paragraph" w:styleId="af">
    <w:name w:val="Salutation"/>
    <w:basedOn w:val="a1"/>
    <w:next w:val="a1"/>
    <w:link w:val="Char4"/>
    <w:uiPriority w:val="99"/>
    <w:semiHidden/>
    <w:unhideWhenUsed/>
    <w:rsid w:val="0003148D"/>
  </w:style>
  <w:style w:type="character" w:customStyle="1" w:styleId="Char4">
    <w:name w:val="인사말 Char"/>
    <w:basedOn w:val="a2"/>
    <w:link w:val="af"/>
    <w:uiPriority w:val="99"/>
    <w:semiHidden/>
    <w:rsid w:val="0003148D"/>
  </w:style>
  <w:style w:type="paragraph" w:styleId="af0">
    <w:name w:val="Closing"/>
    <w:basedOn w:val="a1"/>
    <w:link w:val="Char5"/>
    <w:uiPriority w:val="99"/>
    <w:semiHidden/>
    <w:unhideWhenUsed/>
    <w:rsid w:val="0003148D"/>
    <w:pPr>
      <w:spacing w:line="240" w:lineRule="auto"/>
      <w:ind w:left="4252"/>
    </w:pPr>
  </w:style>
  <w:style w:type="character" w:customStyle="1" w:styleId="Char5">
    <w:name w:val="맺음말 Char"/>
    <w:basedOn w:val="a2"/>
    <w:link w:val="af0"/>
    <w:uiPriority w:val="99"/>
    <w:semiHidden/>
    <w:rsid w:val="0003148D"/>
  </w:style>
  <w:style w:type="paragraph" w:styleId="11">
    <w:name w:val="index 1"/>
    <w:basedOn w:val="a1"/>
    <w:next w:val="a1"/>
    <w:autoRedefine/>
    <w:uiPriority w:val="99"/>
    <w:semiHidden/>
    <w:unhideWhenUsed/>
    <w:rsid w:val="0003148D"/>
    <w:pPr>
      <w:spacing w:line="240" w:lineRule="auto"/>
      <w:ind w:left="220" w:hanging="220"/>
    </w:pPr>
  </w:style>
  <w:style w:type="paragraph" w:styleId="25">
    <w:name w:val="index 2"/>
    <w:basedOn w:val="a1"/>
    <w:next w:val="a1"/>
    <w:autoRedefine/>
    <w:uiPriority w:val="99"/>
    <w:semiHidden/>
    <w:unhideWhenUsed/>
    <w:rsid w:val="0003148D"/>
    <w:pPr>
      <w:spacing w:line="240" w:lineRule="auto"/>
      <w:ind w:left="440" w:hanging="220"/>
    </w:pPr>
  </w:style>
  <w:style w:type="paragraph" w:styleId="35">
    <w:name w:val="index 3"/>
    <w:basedOn w:val="a1"/>
    <w:next w:val="a1"/>
    <w:autoRedefine/>
    <w:uiPriority w:val="99"/>
    <w:semiHidden/>
    <w:unhideWhenUsed/>
    <w:rsid w:val="0003148D"/>
    <w:pPr>
      <w:spacing w:line="240" w:lineRule="auto"/>
      <w:ind w:left="660" w:hanging="220"/>
    </w:pPr>
  </w:style>
  <w:style w:type="paragraph" w:styleId="44">
    <w:name w:val="index 4"/>
    <w:basedOn w:val="a1"/>
    <w:next w:val="a1"/>
    <w:autoRedefine/>
    <w:uiPriority w:val="99"/>
    <w:semiHidden/>
    <w:unhideWhenUsed/>
    <w:rsid w:val="0003148D"/>
    <w:pPr>
      <w:spacing w:line="240" w:lineRule="auto"/>
      <w:ind w:left="880" w:hanging="220"/>
    </w:pPr>
  </w:style>
  <w:style w:type="paragraph" w:styleId="54">
    <w:name w:val="index 5"/>
    <w:basedOn w:val="a1"/>
    <w:next w:val="a1"/>
    <w:autoRedefine/>
    <w:uiPriority w:val="99"/>
    <w:semiHidden/>
    <w:unhideWhenUsed/>
    <w:rsid w:val="0003148D"/>
    <w:pPr>
      <w:spacing w:line="240" w:lineRule="auto"/>
      <w:ind w:left="1100" w:hanging="220"/>
    </w:pPr>
  </w:style>
  <w:style w:type="paragraph" w:styleId="60">
    <w:name w:val="index 6"/>
    <w:basedOn w:val="a1"/>
    <w:next w:val="a1"/>
    <w:autoRedefine/>
    <w:uiPriority w:val="99"/>
    <w:semiHidden/>
    <w:unhideWhenUsed/>
    <w:rsid w:val="0003148D"/>
    <w:pPr>
      <w:spacing w:line="240" w:lineRule="auto"/>
      <w:ind w:left="1320" w:hanging="220"/>
    </w:pPr>
  </w:style>
  <w:style w:type="paragraph" w:styleId="70">
    <w:name w:val="index 7"/>
    <w:basedOn w:val="a1"/>
    <w:next w:val="a1"/>
    <w:autoRedefine/>
    <w:uiPriority w:val="99"/>
    <w:semiHidden/>
    <w:unhideWhenUsed/>
    <w:rsid w:val="0003148D"/>
    <w:pPr>
      <w:spacing w:line="240" w:lineRule="auto"/>
      <w:ind w:left="1540" w:hanging="220"/>
    </w:pPr>
  </w:style>
  <w:style w:type="paragraph" w:styleId="80">
    <w:name w:val="index 8"/>
    <w:basedOn w:val="a1"/>
    <w:next w:val="a1"/>
    <w:autoRedefine/>
    <w:uiPriority w:val="99"/>
    <w:semiHidden/>
    <w:unhideWhenUsed/>
    <w:rsid w:val="0003148D"/>
    <w:pPr>
      <w:spacing w:line="240" w:lineRule="auto"/>
      <w:ind w:left="1760" w:hanging="220"/>
    </w:pPr>
  </w:style>
  <w:style w:type="paragraph" w:styleId="90">
    <w:name w:val="index 9"/>
    <w:basedOn w:val="a1"/>
    <w:next w:val="a1"/>
    <w:autoRedefine/>
    <w:uiPriority w:val="99"/>
    <w:semiHidden/>
    <w:unhideWhenUsed/>
    <w:rsid w:val="0003148D"/>
    <w:pPr>
      <w:spacing w:line="240" w:lineRule="auto"/>
      <w:ind w:left="1980" w:hanging="220"/>
    </w:pPr>
  </w:style>
  <w:style w:type="paragraph" w:styleId="af1">
    <w:name w:val="table of figures"/>
    <w:basedOn w:val="a1"/>
    <w:next w:val="a1"/>
    <w:uiPriority w:val="99"/>
    <w:semiHidden/>
    <w:unhideWhenUsed/>
    <w:rsid w:val="0003148D"/>
  </w:style>
  <w:style w:type="paragraph" w:styleId="af2">
    <w:name w:val="table of authorities"/>
    <w:basedOn w:val="a1"/>
    <w:next w:val="a1"/>
    <w:uiPriority w:val="99"/>
    <w:semiHidden/>
    <w:unhideWhenUsed/>
    <w:rsid w:val="0003148D"/>
    <w:pPr>
      <w:ind w:left="220" w:hanging="220"/>
    </w:pPr>
  </w:style>
  <w:style w:type="paragraph" w:styleId="af3">
    <w:name w:val="envelope address"/>
    <w:basedOn w:val="a1"/>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
    <w:name w:val="HTML Address"/>
    <w:basedOn w:val="a1"/>
    <w:link w:val="HTMLChar"/>
    <w:uiPriority w:val="99"/>
    <w:semiHidden/>
    <w:unhideWhenUsed/>
    <w:rsid w:val="0003148D"/>
    <w:pPr>
      <w:spacing w:line="240" w:lineRule="auto"/>
    </w:pPr>
    <w:rPr>
      <w:i/>
      <w:iCs/>
    </w:rPr>
  </w:style>
  <w:style w:type="character" w:customStyle="1" w:styleId="HTMLChar">
    <w:name w:val="HTML 주소 Char"/>
    <w:basedOn w:val="a2"/>
    <w:link w:val="HTML"/>
    <w:uiPriority w:val="99"/>
    <w:semiHidden/>
    <w:rsid w:val="0003148D"/>
    <w:rPr>
      <w:i/>
      <w:iCs/>
    </w:rPr>
  </w:style>
  <w:style w:type="paragraph" w:styleId="af4">
    <w:name w:val="envelope return"/>
    <w:basedOn w:val="a1"/>
    <w:uiPriority w:val="99"/>
    <w:semiHidden/>
    <w:unhideWhenUsed/>
    <w:rsid w:val="0003148D"/>
    <w:pPr>
      <w:spacing w:line="240" w:lineRule="auto"/>
    </w:pPr>
    <w:rPr>
      <w:rFonts w:asciiTheme="majorHAnsi" w:eastAsiaTheme="majorEastAsia" w:hAnsiTheme="majorHAnsi" w:cstheme="majorBidi"/>
    </w:rPr>
  </w:style>
  <w:style w:type="paragraph" w:styleId="af5">
    <w:name w:val="Message Header"/>
    <w:basedOn w:val="a1"/>
    <w:link w:val="Char6"/>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har6">
    <w:name w:val="메시지 머리글 Char"/>
    <w:basedOn w:val="a2"/>
    <w:link w:val="af5"/>
    <w:uiPriority w:val="99"/>
    <w:semiHidden/>
    <w:rsid w:val="0003148D"/>
    <w:rPr>
      <w:rFonts w:asciiTheme="majorHAnsi" w:eastAsiaTheme="majorEastAsia" w:hAnsiTheme="majorHAnsi" w:cstheme="majorBidi"/>
      <w:sz w:val="24"/>
      <w:szCs w:val="24"/>
      <w:shd w:val="pct20" w:color="auto" w:fill="auto"/>
    </w:rPr>
  </w:style>
  <w:style w:type="paragraph" w:styleId="af6">
    <w:name w:val="Note Heading"/>
    <w:basedOn w:val="a1"/>
    <w:next w:val="a1"/>
    <w:link w:val="Char7"/>
    <w:uiPriority w:val="99"/>
    <w:semiHidden/>
    <w:unhideWhenUsed/>
    <w:rsid w:val="0003148D"/>
    <w:pPr>
      <w:spacing w:line="240" w:lineRule="auto"/>
    </w:pPr>
  </w:style>
  <w:style w:type="character" w:customStyle="1" w:styleId="Char7">
    <w:name w:val="각주/미주 머리글 Char"/>
    <w:basedOn w:val="a2"/>
    <w:link w:val="af6"/>
    <w:uiPriority w:val="99"/>
    <w:semiHidden/>
    <w:rsid w:val="0003148D"/>
  </w:style>
  <w:style w:type="paragraph" w:styleId="af7">
    <w:name w:val="Document Map"/>
    <w:basedOn w:val="a1"/>
    <w:link w:val="Char8"/>
    <w:uiPriority w:val="99"/>
    <w:semiHidden/>
    <w:unhideWhenUsed/>
    <w:rsid w:val="0003148D"/>
    <w:pPr>
      <w:spacing w:line="240" w:lineRule="auto"/>
    </w:pPr>
    <w:rPr>
      <w:rFonts w:ascii="Tahoma" w:hAnsi="Tahoma" w:cs="Tahoma"/>
      <w:sz w:val="16"/>
      <w:szCs w:val="16"/>
    </w:rPr>
  </w:style>
  <w:style w:type="character" w:customStyle="1" w:styleId="Char8">
    <w:name w:val="문서 구조 Char"/>
    <w:basedOn w:val="a2"/>
    <w:link w:val="af7"/>
    <w:uiPriority w:val="99"/>
    <w:semiHidden/>
    <w:rsid w:val="0003148D"/>
    <w:rPr>
      <w:rFonts w:ascii="Tahoma" w:hAnsi="Tahoma" w:cs="Tahoma"/>
      <w:sz w:val="16"/>
      <w:szCs w:val="16"/>
    </w:rPr>
  </w:style>
  <w:style w:type="paragraph" w:styleId="af8">
    <w:name w:val="Normal (Web)"/>
    <w:basedOn w:val="a1"/>
    <w:uiPriority w:val="99"/>
    <w:semiHidden/>
    <w:unhideWhenUsed/>
    <w:rsid w:val="0003148D"/>
    <w:rPr>
      <w:sz w:val="24"/>
      <w:szCs w:val="24"/>
    </w:rPr>
  </w:style>
  <w:style w:type="paragraph" w:styleId="a">
    <w:name w:val="List Number"/>
    <w:basedOn w:val="a1"/>
    <w:uiPriority w:val="99"/>
    <w:semiHidden/>
    <w:unhideWhenUsed/>
    <w:rsid w:val="0003148D"/>
    <w:pPr>
      <w:numPr>
        <w:numId w:val="2"/>
      </w:numPr>
      <w:contextualSpacing/>
    </w:pPr>
  </w:style>
  <w:style w:type="paragraph" w:styleId="2">
    <w:name w:val="List Number 2"/>
    <w:basedOn w:val="a1"/>
    <w:uiPriority w:val="99"/>
    <w:semiHidden/>
    <w:unhideWhenUsed/>
    <w:rsid w:val="0003148D"/>
    <w:pPr>
      <w:numPr>
        <w:numId w:val="3"/>
      </w:numPr>
      <w:contextualSpacing/>
    </w:pPr>
  </w:style>
  <w:style w:type="paragraph" w:styleId="3">
    <w:name w:val="List Number 3"/>
    <w:basedOn w:val="a1"/>
    <w:uiPriority w:val="99"/>
    <w:semiHidden/>
    <w:unhideWhenUsed/>
    <w:rsid w:val="0003148D"/>
    <w:pPr>
      <w:numPr>
        <w:numId w:val="4"/>
      </w:numPr>
      <w:contextualSpacing/>
    </w:pPr>
  </w:style>
  <w:style w:type="paragraph" w:styleId="4">
    <w:name w:val="List Number 4"/>
    <w:basedOn w:val="a1"/>
    <w:uiPriority w:val="99"/>
    <w:semiHidden/>
    <w:unhideWhenUsed/>
    <w:rsid w:val="0003148D"/>
    <w:pPr>
      <w:numPr>
        <w:numId w:val="5"/>
      </w:numPr>
      <w:contextualSpacing/>
    </w:pPr>
  </w:style>
  <w:style w:type="paragraph" w:styleId="5">
    <w:name w:val="List Number 5"/>
    <w:basedOn w:val="a1"/>
    <w:uiPriority w:val="99"/>
    <w:semiHidden/>
    <w:unhideWhenUsed/>
    <w:rsid w:val="0003148D"/>
    <w:pPr>
      <w:numPr>
        <w:numId w:val="6"/>
      </w:numPr>
      <w:contextualSpacing/>
    </w:pPr>
  </w:style>
  <w:style w:type="paragraph" w:styleId="HTML0">
    <w:name w:val="HTML Preformatted"/>
    <w:basedOn w:val="a1"/>
    <w:link w:val="HTMLChar0"/>
    <w:uiPriority w:val="99"/>
    <w:semiHidden/>
    <w:unhideWhenUsed/>
    <w:rsid w:val="0003148D"/>
    <w:pPr>
      <w:spacing w:line="240" w:lineRule="auto"/>
    </w:pPr>
    <w:rPr>
      <w:rFonts w:ascii="Consolas" w:hAnsi="Consolas" w:cs="Consolas"/>
    </w:rPr>
  </w:style>
  <w:style w:type="character" w:customStyle="1" w:styleId="HTMLChar0">
    <w:name w:val="미리 서식이 지정된 HTML Char"/>
    <w:basedOn w:val="a2"/>
    <w:link w:val="HTML0"/>
    <w:uiPriority w:val="99"/>
    <w:semiHidden/>
    <w:rsid w:val="0003148D"/>
    <w:rPr>
      <w:rFonts w:ascii="Consolas" w:hAnsi="Consolas" w:cs="Consolas"/>
      <w:sz w:val="20"/>
      <w:szCs w:val="20"/>
    </w:rPr>
  </w:style>
  <w:style w:type="paragraph" w:styleId="af9">
    <w:name w:val="Body Text First Indent"/>
    <w:basedOn w:val="a8"/>
    <w:link w:val="Char9"/>
    <w:uiPriority w:val="99"/>
    <w:semiHidden/>
    <w:unhideWhenUsed/>
    <w:rsid w:val="0003148D"/>
    <w:pPr>
      <w:spacing w:after="200"/>
      <w:ind w:firstLine="360"/>
    </w:pPr>
  </w:style>
  <w:style w:type="character" w:customStyle="1" w:styleId="Char9">
    <w:name w:val="본문 첫 줄 들여쓰기 Char"/>
    <w:basedOn w:val="Char0"/>
    <w:link w:val="af9"/>
    <w:uiPriority w:val="99"/>
    <w:semiHidden/>
    <w:rsid w:val="0003148D"/>
  </w:style>
  <w:style w:type="paragraph" w:styleId="afa">
    <w:name w:val="Body Text Indent"/>
    <w:basedOn w:val="a1"/>
    <w:link w:val="Chara"/>
    <w:uiPriority w:val="99"/>
    <w:semiHidden/>
    <w:unhideWhenUsed/>
    <w:rsid w:val="0003148D"/>
    <w:pPr>
      <w:spacing w:after="120"/>
      <w:ind w:left="283"/>
    </w:pPr>
  </w:style>
  <w:style w:type="character" w:customStyle="1" w:styleId="Chara">
    <w:name w:val="본문 들여쓰기 Char"/>
    <w:basedOn w:val="a2"/>
    <w:link w:val="afa"/>
    <w:uiPriority w:val="99"/>
    <w:semiHidden/>
    <w:rsid w:val="0003148D"/>
  </w:style>
  <w:style w:type="paragraph" w:styleId="26">
    <w:name w:val="Body Text First Indent 2"/>
    <w:basedOn w:val="afa"/>
    <w:link w:val="2Char1"/>
    <w:uiPriority w:val="99"/>
    <w:semiHidden/>
    <w:unhideWhenUsed/>
    <w:rsid w:val="0003148D"/>
    <w:pPr>
      <w:spacing w:after="200"/>
      <w:ind w:left="360" w:firstLine="360"/>
    </w:pPr>
  </w:style>
  <w:style w:type="character" w:customStyle="1" w:styleId="2Char1">
    <w:name w:val="본문 첫 줄 들여쓰기 2 Char"/>
    <w:basedOn w:val="Chara"/>
    <w:link w:val="26"/>
    <w:uiPriority w:val="99"/>
    <w:semiHidden/>
    <w:rsid w:val="0003148D"/>
  </w:style>
  <w:style w:type="paragraph" w:styleId="a0">
    <w:name w:val="List Bullet"/>
    <w:basedOn w:val="a1"/>
    <w:uiPriority w:val="99"/>
    <w:semiHidden/>
    <w:unhideWhenUsed/>
    <w:rsid w:val="0003148D"/>
    <w:pPr>
      <w:numPr>
        <w:numId w:val="7"/>
      </w:numPr>
      <w:contextualSpacing/>
    </w:pPr>
  </w:style>
  <w:style w:type="paragraph" w:styleId="20">
    <w:name w:val="List Bullet 2"/>
    <w:basedOn w:val="a1"/>
    <w:uiPriority w:val="99"/>
    <w:semiHidden/>
    <w:unhideWhenUsed/>
    <w:rsid w:val="0003148D"/>
    <w:pPr>
      <w:numPr>
        <w:numId w:val="8"/>
      </w:numPr>
      <w:contextualSpacing/>
    </w:pPr>
  </w:style>
  <w:style w:type="paragraph" w:styleId="30">
    <w:name w:val="List Bullet 3"/>
    <w:basedOn w:val="a1"/>
    <w:uiPriority w:val="99"/>
    <w:semiHidden/>
    <w:unhideWhenUsed/>
    <w:rsid w:val="0003148D"/>
    <w:pPr>
      <w:numPr>
        <w:numId w:val="9"/>
      </w:numPr>
      <w:contextualSpacing/>
    </w:pPr>
  </w:style>
  <w:style w:type="paragraph" w:styleId="40">
    <w:name w:val="List Bullet 4"/>
    <w:basedOn w:val="a1"/>
    <w:uiPriority w:val="99"/>
    <w:semiHidden/>
    <w:unhideWhenUsed/>
    <w:rsid w:val="0003148D"/>
    <w:pPr>
      <w:numPr>
        <w:numId w:val="10"/>
      </w:numPr>
      <w:contextualSpacing/>
    </w:pPr>
  </w:style>
  <w:style w:type="paragraph" w:styleId="50">
    <w:name w:val="List Bullet 5"/>
    <w:basedOn w:val="a1"/>
    <w:uiPriority w:val="99"/>
    <w:semiHidden/>
    <w:unhideWhenUsed/>
    <w:rsid w:val="0003148D"/>
    <w:pPr>
      <w:numPr>
        <w:numId w:val="11"/>
      </w:numPr>
      <w:contextualSpacing/>
    </w:pPr>
  </w:style>
  <w:style w:type="paragraph" w:styleId="27">
    <w:name w:val="Body Text Indent 2"/>
    <w:basedOn w:val="a1"/>
    <w:link w:val="2Char2"/>
    <w:uiPriority w:val="99"/>
    <w:semiHidden/>
    <w:unhideWhenUsed/>
    <w:rsid w:val="0003148D"/>
    <w:pPr>
      <w:spacing w:after="120" w:line="480" w:lineRule="auto"/>
      <w:ind w:left="283"/>
    </w:pPr>
  </w:style>
  <w:style w:type="character" w:customStyle="1" w:styleId="2Char2">
    <w:name w:val="본문 들여쓰기 2 Char"/>
    <w:basedOn w:val="a2"/>
    <w:link w:val="27"/>
    <w:uiPriority w:val="99"/>
    <w:semiHidden/>
    <w:rsid w:val="0003148D"/>
  </w:style>
  <w:style w:type="paragraph" w:styleId="36">
    <w:name w:val="Body Text Indent 3"/>
    <w:basedOn w:val="a1"/>
    <w:link w:val="3Char1"/>
    <w:uiPriority w:val="99"/>
    <w:semiHidden/>
    <w:unhideWhenUsed/>
    <w:rsid w:val="0003148D"/>
    <w:pPr>
      <w:spacing w:after="120"/>
      <w:ind w:left="283"/>
    </w:pPr>
    <w:rPr>
      <w:sz w:val="16"/>
      <w:szCs w:val="16"/>
    </w:rPr>
  </w:style>
  <w:style w:type="character" w:customStyle="1" w:styleId="3Char1">
    <w:name w:val="본문 들여쓰기 3 Char"/>
    <w:basedOn w:val="a2"/>
    <w:link w:val="36"/>
    <w:uiPriority w:val="99"/>
    <w:semiHidden/>
    <w:rsid w:val="0003148D"/>
    <w:rPr>
      <w:sz w:val="16"/>
      <w:szCs w:val="16"/>
    </w:rPr>
  </w:style>
  <w:style w:type="paragraph" w:styleId="afb">
    <w:name w:val="Normal Indent"/>
    <w:basedOn w:val="a1"/>
    <w:uiPriority w:val="99"/>
    <w:semiHidden/>
    <w:unhideWhenUsed/>
    <w:rsid w:val="0003148D"/>
    <w:pPr>
      <w:ind w:left="720"/>
    </w:pPr>
  </w:style>
  <w:style w:type="paragraph" w:styleId="afc">
    <w:name w:val="annotation text"/>
    <w:basedOn w:val="a1"/>
    <w:link w:val="Charb"/>
    <w:uiPriority w:val="99"/>
    <w:unhideWhenUsed/>
    <w:rsid w:val="0003148D"/>
    <w:pPr>
      <w:spacing w:line="240" w:lineRule="auto"/>
    </w:pPr>
  </w:style>
  <w:style w:type="character" w:customStyle="1" w:styleId="Charb">
    <w:name w:val="메모 텍스트 Char"/>
    <w:basedOn w:val="a2"/>
    <w:link w:val="afc"/>
    <w:uiPriority w:val="99"/>
    <w:rsid w:val="0003148D"/>
    <w:rPr>
      <w:sz w:val="20"/>
      <w:szCs w:val="20"/>
    </w:rPr>
  </w:style>
  <w:style w:type="paragraph" w:styleId="afd">
    <w:name w:val="annotation subject"/>
    <w:basedOn w:val="afc"/>
    <w:next w:val="afc"/>
    <w:link w:val="Charc"/>
    <w:uiPriority w:val="99"/>
    <w:semiHidden/>
    <w:unhideWhenUsed/>
    <w:rsid w:val="0003148D"/>
    <w:rPr>
      <w:b/>
      <w:bCs/>
    </w:rPr>
  </w:style>
  <w:style w:type="character" w:customStyle="1" w:styleId="Charc">
    <w:name w:val="메모 주제 Char"/>
    <w:basedOn w:val="Charb"/>
    <w:link w:val="afd"/>
    <w:uiPriority w:val="99"/>
    <w:semiHidden/>
    <w:rsid w:val="0003148D"/>
    <w:rPr>
      <w:b/>
      <w:bCs/>
      <w:sz w:val="20"/>
      <w:szCs w:val="20"/>
    </w:rPr>
  </w:style>
  <w:style w:type="paragraph" w:styleId="12">
    <w:name w:val="toc 1"/>
    <w:basedOn w:val="a1"/>
    <w:next w:val="a1"/>
    <w:autoRedefine/>
    <w:uiPriority w:val="39"/>
    <w:semiHidden/>
    <w:unhideWhenUsed/>
    <w:rsid w:val="0003148D"/>
    <w:pPr>
      <w:spacing w:after="100"/>
    </w:pPr>
  </w:style>
  <w:style w:type="paragraph" w:styleId="28">
    <w:name w:val="toc 2"/>
    <w:basedOn w:val="a1"/>
    <w:next w:val="a1"/>
    <w:autoRedefine/>
    <w:uiPriority w:val="39"/>
    <w:semiHidden/>
    <w:unhideWhenUsed/>
    <w:rsid w:val="0003148D"/>
    <w:pPr>
      <w:spacing w:after="100"/>
      <w:ind w:left="220"/>
    </w:pPr>
  </w:style>
  <w:style w:type="paragraph" w:styleId="37">
    <w:name w:val="toc 3"/>
    <w:basedOn w:val="a1"/>
    <w:next w:val="a1"/>
    <w:autoRedefine/>
    <w:uiPriority w:val="39"/>
    <w:semiHidden/>
    <w:unhideWhenUsed/>
    <w:rsid w:val="0003148D"/>
    <w:pPr>
      <w:spacing w:after="100"/>
      <w:ind w:left="440"/>
    </w:pPr>
  </w:style>
  <w:style w:type="paragraph" w:styleId="45">
    <w:name w:val="toc 4"/>
    <w:basedOn w:val="a1"/>
    <w:next w:val="a1"/>
    <w:autoRedefine/>
    <w:uiPriority w:val="39"/>
    <w:semiHidden/>
    <w:unhideWhenUsed/>
    <w:rsid w:val="0003148D"/>
    <w:pPr>
      <w:spacing w:after="100"/>
      <w:ind w:left="660"/>
    </w:pPr>
  </w:style>
  <w:style w:type="paragraph" w:styleId="55">
    <w:name w:val="toc 5"/>
    <w:basedOn w:val="a1"/>
    <w:next w:val="a1"/>
    <w:autoRedefine/>
    <w:uiPriority w:val="39"/>
    <w:semiHidden/>
    <w:unhideWhenUsed/>
    <w:rsid w:val="0003148D"/>
    <w:pPr>
      <w:spacing w:after="100"/>
      <w:ind w:left="880"/>
    </w:pPr>
  </w:style>
  <w:style w:type="paragraph" w:styleId="61">
    <w:name w:val="toc 6"/>
    <w:basedOn w:val="a1"/>
    <w:next w:val="a1"/>
    <w:autoRedefine/>
    <w:uiPriority w:val="39"/>
    <w:semiHidden/>
    <w:unhideWhenUsed/>
    <w:rsid w:val="0003148D"/>
    <w:pPr>
      <w:spacing w:after="100"/>
      <w:ind w:left="1100"/>
    </w:pPr>
  </w:style>
  <w:style w:type="paragraph" w:styleId="71">
    <w:name w:val="toc 7"/>
    <w:basedOn w:val="a1"/>
    <w:next w:val="a1"/>
    <w:autoRedefine/>
    <w:uiPriority w:val="39"/>
    <w:semiHidden/>
    <w:unhideWhenUsed/>
    <w:rsid w:val="0003148D"/>
    <w:pPr>
      <w:spacing w:after="100"/>
      <w:ind w:left="1320"/>
    </w:pPr>
  </w:style>
  <w:style w:type="paragraph" w:styleId="81">
    <w:name w:val="toc 8"/>
    <w:basedOn w:val="a1"/>
    <w:next w:val="a1"/>
    <w:autoRedefine/>
    <w:uiPriority w:val="39"/>
    <w:semiHidden/>
    <w:unhideWhenUsed/>
    <w:rsid w:val="0003148D"/>
    <w:pPr>
      <w:spacing w:after="100"/>
      <w:ind w:left="1540"/>
    </w:pPr>
  </w:style>
  <w:style w:type="paragraph" w:styleId="91">
    <w:name w:val="toc 9"/>
    <w:basedOn w:val="a1"/>
    <w:next w:val="a1"/>
    <w:autoRedefine/>
    <w:uiPriority w:val="39"/>
    <w:semiHidden/>
    <w:unhideWhenUsed/>
    <w:rsid w:val="0003148D"/>
    <w:pPr>
      <w:spacing w:after="100"/>
      <w:ind w:left="1760"/>
    </w:pPr>
  </w:style>
  <w:style w:type="paragraph" w:styleId="afe">
    <w:name w:val="Block Text"/>
    <w:basedOn w:val="a1"/>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ff">
    <w:name w:val="macro"/>
    <w:link w:val="Chard"/>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Chard">
    <w:name w:val="매크로 텍스트 Char"/>
    <w:basedOn w:val="a2"/>
    <w:link w:val="aff"/>
    <w:uiPriority w:val="99"/>
    <w:semiHidden/>
    <w:rsid w:val="0003148D"/>
    <w:rPr>
      <w:rFonts w:ascii="Consolas" w:hAnsi="Consolas" w:cs="Consolas"/>
      <w:sz w:val="20"/>
      <w:szCs w:val="20"/>
    </w:rPr>
  </w:style>
  <w:style w:type="paragraph" w:styleId="aff0">
    <w:name w:val="Plain Text"/>
    <w:basedOn w:val="a1"/>
    <w:link w:val="Chare"/>
    <w:uiPriority w:val="99"/>
    <w:semiHidden/>
    <w:unhideWhenUsed/>
    <w:rsid w:val="0003148D"/>
    <w:pPr>
      <w:spacing w:line="240" w:lineRule="auto"/>
    </w:pPr>
    <w:rPr>
      <w:rFonts w:ascii="Consolas" w:hAnsi="Consolas" w:cs="Consolas"/>
      <w:sz w:val="21"/>
      <w:szCs w:val="21"/>
    </w:rPr>
  </w:style>
  <w:style w:type="character" w:customStyle="1" w:styleId="Chare">
    <w:name w:val="글자만 Char"/>
    <w:basedOn w:val="a2"/>
    <w:link w:val="aff0"/>
    <w:uiPriority w:val="99"/>
    <w:semiHidden/>
    <w:rsid w:val="0003148D"/>
    <w:rPr>
      <w:rFonts w:ascii="Consolas" w:hAnsi="Consolas" w:cs="Consolas"/>
      <w:sz w:val="21"/>
      <w:szCs w:val="21"/>
    </w:rPr>
  </w:style>
  <w:style w:type="paragraph" w:styleId="aff1">
    <w:name w:val="footnote text"/>
    <w:basedOn w:val="a1"/>
    <w:link w:val="Charf"/>
    <w:uiPriority w:val="99"/>
    <w:semiHidden/>
    <w:unhideWhenUsed/>
    <w:rsid w:val="0003148D"/>
    <w:pPr>
      <w:spacing w:line="240" w:lineRule="auto"/>
    </w:pPr>
  </w:style>
  <w:style w:type="character" w:customStyle="1" w:styleId="Charf">
    <w:name w:val="각주 텍스트 Char"/>
    <w:basedOn w:val="a2"/>
    <w:link w:val="aff1"/>
    <w:uiPriority w:val="99"/>
    <w:semiHidden/>
    <w:rsid w:val="0003148D"/>
    <w:rPr>
      <w:sz w:val="20"/>
      <w:szCs w:val="20"/>
    </w:rPr>
  </w:style>
  <w:style w:type="paragraph" w:styleId="aff2">
    <w:name w:val="endnote text"/>
    <w:basedOn w:val="a1"/>
    <w:link w:val="Charf0"/>
    <w:uiPriority w:val="99"/>
    <w:semiHidden/>
    <w:unhideWhenUsed/>
    <w:rsid w:val="0003148D"/>
    <w:pPr>
      <w:spacing w:line="240" w:lineRule="auto"/>
    </w:pPr>
  </w:style>
  <w:style w:type="character" w:customStyle="1" w:styleId="Charf0">
    <w:name w:val="미주 텍스트 Char"/>
    <w:basedOn w:val="a2"/>
    <w:link w:val="aff2"/>
    <w:uiPriority w:val="99"/>
    <w:semiHidden/>
    <w:rsid w:val="0003148D"/>
    <w:rPr>
      <w:sz w:val="20"/>
      <w:szCs w:val="20"/>
    </w:rPr>
  </w:style>
  <w:style w:type="character" w:customStyle="1" w:styleId="1Char">
    <w:name w:val="제목 1 Char"/>
    <w:basedOn w:val="a2"/>
    <w:link w:val="10"/>
    <w:uiPriority w:val="9"/>
    <w:rsid w:val="004F5E36"/>
    <w:rPr>
      <w:rFonts w:ascii="Arial" w:eastAsia="Times New Roman" w:hAnsi="Arial" w:cs="Times New Roman"/>
      <w:b/>
      <w:sz w:val="20"/>
      <w:szCs w:val="20"/>
      <w:lang w:val="en-GB"/>
    </w:rPr>
  </w:style>
  <w:style w:type="character" w:customStyle="1" w:styleId="2Char">
    <w:name w:val="제목 2 Char"/>
    <w:basedOn w:val="a2"/>
    <w:link w:val="21"/>
    <w:uiPriority w:val="9"/>
    <w:semiHidden/>
    <w:rsid w:val="0003148D"/>
    <w:rPr>
      <w:rFonts w:asciiTheme="majorHAnsi" w:eastAsiaTheme="majorEastAsia" w:hAnsiTheme="majorHAnsi" w:cstheme="majorBidi"/>
      <w:b/>
      <w:bCs/>
      <w:color w:val="4F81BD" w:themeColor="accent1"/>
      <w:sz w:val="26"/>
      <w:szCs w:val="26"/>
    </w:rPr>
  </w:style>
  <w:style w:type="character" w:customStyle="1" w:styleId="3Char">
    <w:name w:val="제목 3 Char"/>
    <w:basedOn w:val="a2"/>
    <w:link w:val="31"/>
    <w:uiPriority w:val="9"/>
    <w:semiHidden/>
    <w:rsid w:val="0003148D"/>
    <w:rPr>
      <w:rFonts w:asciiTheme="majorHAnsi" w:eastAsiaTheme="majorEastAsia" w:hAnsiTheme="majorHAnsi" w:cstheme="majorBidi"/>
      <w:b/>
      <w:bCs/>
      <w:color w:val="4F81BD" w:themeColor="accent1"/>
    </w:rPr>
  </w:style>
  <w:style w:type="character" w:customStyle="1" w:styleId="4Char">
    <w:name w:val="제목 4 Char"/>
    <w:basedOn w:val="a2"/>
    <w:link w:val="41"/>
    <w:uiPriority w:val="9"/>
    <w:semiHidden/>
    <w:rsid w:val="0003148D"/>
    <w:rPr>
      <w:rFonts w:asciiTheme="majorHAnsi" w:eastAsiaTheme="majorEastAsia" w:hAnsiTheme="majorHAnsi" w:cstheme="majorBidi"/>
      <w:b/>
      <w:bCs/>
      <w:i/>
      <w:iCs/>
      <w:color w:val="4F81BD" w:themeColor="accent1"/>
    </w:rPr>
  </w:style>
  <w:style w:type="character" w:customStyle="1" w:styleId="5Char">
    <w:name w:val="제목 5 Char"/>
    <w:basedOn w:val="a2"/>
    <w:link w:val="51"/>
    <w:uiPriority w:val="9"/>
    <w:semiHidden/>
    <w:rsid w:val="0003148D"/>
    <w:rPr>
      <w:rFonts w:asciiTheme="majorHAnsi" w:eastAsiaTheme="majorEastAsia" w:hAnsiTheme="majorHAnsi" w:cstheme="majorBidi"/>
      <w:color w:val="243F60" w:themeColor="accent1" w:themeShade="7F"/>
    </w:rPr>
  </w:style>
  <w:style w:type="character" w:customStyle="1" w:styleId="6Char">
    <w:name w:val="제목 6 Char"/>
    <w:basedOn w:val="a2"/>
    <w:link w:val="6"/>
    <w:uiPriority w:val="9"/>
    <w:semiHidden/>
    <w:rsid w:val="0003148D"/>
    <w:rPr>
      <w:rFonts w:asciiTheme="majorHAnsi" w:eastAsiaTheme="majorEastAsia" w:hAnsiTheme="majorHAnsi" w:cstheme="majorBidi"/>
      <w:i/>
      <w:iCs/>
      <w:color w:val="243F60" w:themeColor="accent1" w:themeShade="7F"/>
    </w:rPr>
  </w:style>
  <w:style w:type="character" w:customStyle="1" w:styleId="7Char">
    <w:name w:val="제목 7 Char"/>
    <w:basedOn w:val="a2"/>
    <w:link w:val="7"/>
    <w:uiPriority w:val="9"/>
    <w:semiHidden/>
    <w:rsid w:val="0003148D"/>
    <w:rPr>
      <w:rFonts w:asciiTheme="majorHAnsi" w:eastAsiaTheme="majorEastAsia" w:hAnsiTheme="majorHAnsi" w:cstheme="majorBidi"/>
      <w:i/>
      <w:iCs/>
      <w:color w:val="404040" w:themeColor="text1" w:themeTint="BF"/>
    </w:rPr>
  </w:style>
  <w:style w:type="character" w:customStyle="1" w:styleId="8Char">
    <w:name w:val="제목 8 Char"/>
    <w:basedOn w:val="a2"/>
    <w:link w:val="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9Char">
    <w:name w:val="제목 9 Char"/>
    <w:basedOn w:val="a2"/>
    <w:link w:val="9"/>
    <w:uiPriority w:val="9"/>
    <w:semiHidden/>
    <w:rsid w:val="0003148D"/>
    <w:rPr>
      <w:rFonts w:asciiTheme="majorHAnsi" w:eastAsiaTheme="majorEastAsia" w:hAnsiTheme="majorHAnsi" w:cstheme="majorBidi"/>
      <w:i/>
      <w:iCs/>
      <w:color w:val="404040" w:themeColor="text1" w:themeTint="BF"/>
      <w:sz w:val="20"/>
      <w:szCs w:val="20"/>
    </w:rPr>
  </w:style>
  <w:style w:type="paragraph" w:styleId="aff3">
    <w:name w:val="index heading"/>
    <w:basedOn w:val="a1"/>
    <w:next w:val="11"/>
    <w:uiPriority w:val="99"/>
    <w:semiHidden/>
    <w:unhideWhenUsed/>
    <w:rsid w:val="0003148D"/>
    <w:rPr>
      <w:rFonts w:asciiTheme="majorHAnsi" w:eastAsiaTheme="majorEastAsia" w:hAnsiTheme="majorHAnsi" w:cstheme="majorBidi"/>
      <w:b/>
      <w:bCs/>
    </w:rPr>
  </w:style>
  <w:style w:type="paragraph" w:styleId="aff4">
    <w:name w:val="toa heading"/>
    <w:basedOn w:val="a1"/>
    <w:next w:val="a1"/>
    <w:uiPriority w:val="99"/>
    <w:semiHidden/>
    <w:unhideWhenUsed/>
    <w:rsid w:val="0003148D"/>
    <w:pPr>
      <w:spacing w:before="120"/>
    </w:pPr>
    <w:rPr>
      <w:rFonts w:asciiTheme="majorHAnsi" w:eastAsiaTheme="majorEastAsia" w:hAnsiTheme="majorHAnsi" w:cstheme="majorBidi"/>
      <w:b/>
      <w:bCs/>
      <w:sz w:val="24"/>
      <w:szCs w:val="24"/>
    </w:rPr>
  </w:style>
  <w:style w:type="paragraph" w:styleId="TOC">
    <w:name w:val="TOC Heading"/>
    <w:basedOn w:val="10"/>
    <w:next w:val="a1"/>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2"/>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aff5">
    <w:name w:val="header"/>
    <w:basedOn w:val="a1"/>
    <w:link w:val="Charf1"/>
    <w:uiPriority w:val="99"/>
    <w:unhideWhenUsed/>
    <w:rsid w:val="005278B7"/>
    <w:pPr>
      <w:tabs>
        <w:tab w:val="clear" w:pos="7100"/>
        <w:tab w:val="center" w:pos="4819"/>
        <w:tab w:val="right" w:pos="9638"/>
      </w:tabs>
      <w:spacing w:line="240" w:lineRule="auto"/>
    </w:pPr>
  </w:style>
  <w:style w:type="character" w:customStyle="1" w:styleId="Charf1">
    <w:name w:val="머리글 Char"/>
    <w:basedOn w:val="a2"/>
    <w:link w:val="aff5"/>
    <w:uiPriority w:val="99"/>
    <w:rsid w:val="005278B7"/>
    <w:rPr>
      <w:rFonts w:ascii="Arial" w:eastAsia="Times New Roman" w:hAnsi="Arial" w:cs="Times New Roman"/>
      <w:sz w:val="18"/>
      <w:szCs w:val="20"/>
      <w:lang w:val="en-GB"/>
    </w:rPr>
  </w:style>
  <w:style w:type="paragraph" w:styleId="aff6">
    <w:name w:val="footer"/>
    <w:basedOn w:val="a1"/>
    <w:link w:val="Charf2"/>
    <w:uiPriority w:val="99"/>
    <w:unhideWhenUsed/>
    <w:rsid w:val="005278B7"/>
    <w:pPr>
      <w:tabs>
        <w:tab w:val="clear" w:pos="7100"/>
        <w:tab w:val="center" w:pos="4819"/>
        <w:tab w:val="right" w:pos="9638"/>
      </w:tabs>
      <w:spacing w:line="240" w:lineRule="auto"/>
    </w:pPr>
  </w:style>
  <w:style w:type="character" w:customStyle="1" w:styleId="Charf2">
    <w:name w:val="바닥글 Char"/>
    <w:basedOn w:val="a2"/>
    <w:link w:val="aff6"/>
    <w:uiPriority w:val="99"/>
    <w:rsid w:val="005278B7"/>
    <w:rPr>
      <w:rFonts w:ascii="Arial" w:eastAsia="Times New Roman" w:hAnsi="Arial" w:cs="Times New Roman"/>
      <w:sz w:val="18"/>
      <w:szCs w:val="20"/>
      <w:lang w:val="en-GB"/>
    </w:rPr>
  </w:style>
  <w:style w:type="table" w:styleId="aff7">
    <w:name w:val="Table Grid"/>
    <w:basedOn w:val="a3"/>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Hyperlink"/>
    <w:basedOn w:val="a2"/>
    <w:uiPriority w:val="99"/>
    <w:unhideWhenUsed/>
    <w:rsid w:val="00904C62"/>
    <w:rPr>
      <w:color w:val="0000FF" w:themeColor="hyperlink"/>
      <w:u w:val="single"/>
    </w:rPr>
  </w:style>
  <w:style w:type="character" w:customStyle="1" w:styleId="eudoraheader">
    <w:name w:val="eudoraheader"/>
    <w:basedOn w:val="a2"/>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aff9">
    <w:name w:val="List Paragraph"/>
    <w:basedOn w:val="a1"/>
    <w:uiPriority w:val="34"/>
    <w:rsid w:val="00280FAF"/>
    <w:pPr>
      <w:ind w:left="720"/>
      <w:contextualSpacing/>
    </w:pPr>
  </w:style>
  <w:style w:type="paragraph" w:customStyle="1" w:styleId="EndNoteBibliographyTitle">
    <w:name w:val="EndNote Bibliography Title"/>
    <w:basedOn w:val="a1"/>
    <w:link w:val="EndNoteBibliographyTitleChar"/>
    <w:rsid w:val="0068374C"/>
    <w:pPr>
      <w:jc w:val="center"/>
    </w:pPr>
    <w:rPr>
      <w:rFonts w:cs="Arial"/>
      <w:noProof/>
      <w:sz w:val="20"/>
      <w:lang w:val="en-US"/>
    </w:rPr>
  </w:style>
  <w:style w:type="character" w:customStyle="1" w:styleId="EndNoteBibliographyTitleChar">
    <w:name w:val="EndNote Bibliography Title Char"/>
    <w:basedOn w:val="CETBodytextCarattere"/>
    <w:link w:val="EndNoteBibliographyTitle"/>
    <w:rsid w:val="0068374C"/>
    <w:rPr>
      <w:rFonts w:ascii="Arial" w:eastAsia="Times New Roman" w:hAnsi="Arial" w:cs="Arial"/>
      <w:noProof/>
      <w:sz w:val="20"/>
      <w:szCs w:val="20"/>
      <w:lang w:val="en-US"/>
    </w:rPr>
  </w:style>
  <w:style w:type="paragraph" w:customStyle="1" w:styleId="EndNoteBibliography">
    <w:name w:val="EndNote Bibliography"/>
    <w:basedOn w:val="a1"/>
    <w:link w:val="EndNoteBibliographyChar"/>
    <w:rsid w:val="0068374C"/>
    <w:pPr>
      <w:spacing w:line="240" w:lineRule="auto"/>
      <w:jc w:val="left"/>
    </w:pPr>
    <w:rPr>
      <w:rFonts w:cs="Arial"/>
      <w:noProof/>
      <w:sz w:val="20"/>
      <w:lang w:val="en-US"/>
    </w:rPr>
  </w:style>
  <w:style w:type="character" w:customStyle="1" w:styleId="EndNoteBibliographyChar">
    <w:name w:val="EndNote Bibliography Char"/>
    <w:basedOn w:val="CETBodytextCarattere"/>
    <w:link w:val="EndNoteBibliography"/>
    <w:rsid w:val="0068374C"/>
    <w:rPr>
      <w:rFonts w:ascii="Arial" w:eastAsia="Times New Roman" w:hAnsi="Arial" w:cs="Arial"/>
      <w:noProo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199">
      <w:bodyDiv w:val="1"/>
      <w:marLeft w:val="0"/>
      <w:marRight w:val="0"/>
      <w:marTop w:val="0"/>
      <w:marBottom w:val="0"/>
      <w:divBdr>
        <w:top w:val="none" w:sz="0" w:space="0" w:color="auto"/>
        <w:left w:val="none" w:sz="0" w:space="0" w:color="auto"/>
        <w:bottom w:val="none" w:sz="0" w:space="0" w:color="auto"/>
        <w:right w:val="none" w:sz="0" w:space="0" w:color="auto"/>
      </w:divBdr>
    </w:div>
    <w:div w:id="203254189">
      <w:bodyDiv w:val="1"/>
      <w:marLeft w:val="0"/>
      <w:marRight w:val="0"/>
      <w:marTop w:val="0"/>
      <w:marBottom w:val="0"/>
      <w:divBdr>
        <w:top w:val="none" w:sz="0" w:space="0" w:color="auto"/>
        <w:left w:val="none" w:sz="0" w:space="0" w:color="auto"/>
        <w:bottom w:val="none" w:sz="0" w:space="0" w:color="auto"/>
        <w:right w:val="none" w:sz="0" w:space="0" w:color="auto"/>
      </w:divBdr>
    </w:div>
    <w:div w:id="258678016">
      <w:bodyDiv w:val="1"/>
      <w:marLeft w:val="0"/>
      <w:marRight w:val="0"/>
      <w:marTop w:val="0"/>
      <w:marBottom w:val="0"/>
      <w:divBdr>
        <w:top w:val="none" w:sz="0" w:space="0" w:color="auto"/>
        <w:left w:val="none" w:sz="0" w:space="0" w:color="auto"/>
        <w:bottom w:val="none" w:sz="0" w:space="0" w:color="auto"/>
        <w:right w:val="none" w:sz="0" w:space="0" w:color="auto"/>
      </w:divBdr>
    </w:div>
    <w:div w:id="399252913">
      <w:bodyDiv w:val="1"/>
      <w:marLeft w:val="0"/>
      <w:marRight w:val="0"/>
      <w:marTop w:val="0"/>
      <w:marBottom w:val="0"/>
      <w:divBdr>
        <w:top w:val="none" w:sz="0" w:space="0" w:color="auto"/>
        <w:left w:val="none" w:sz="0" w:space="0" w:color="auto"/>
        <w:bottom w:val="none" w:sz="0" w:space="0" w:color="auto"/>
        <w:right w:val="none" w:sz="0" w:space="0" w:color="auto"/>
      </w:divBdr>
    </w:div>
    <w:div w:id="483350016">
      <w:bodyDiv w:val="1"/>
      <w:marLeft w:val="0"/>
      <w:marRight w:val="0"/>
      <w:marTop w:val="0"/>
      <w:marBottom w:val="0"/>
      <w:divBdr>
        <w:top w:val="none" w:sz="0" w:space="0" w:color="auto"/>
        <w:left w:val="none" w:sz="0" w:space="0" w:color="auto"/>
        <w:bottom w:val="none" w:sz="0" w:space="0" w:color="auto"/>
        <w:right w:val="none" w:sz="0" w:space="0" w:color="auto"/>
      </w:divBdr>
    </w:div>
    <w:div w:id="647125922">
      <w:bodyDiv w:val="1"/>
      <w:marLeft w:val="0"/>
      <w:marRight w:val="0"/>
      <w:marTop w:val="0"/>
      <w:marBottom w:val="0"/>
      <w:divBdr>
        <w:top w:val="none" w:sz="0" w:space="0" w:color="auto"/>
        <w:left w:val="none" w:sz="0" w:space="0" w:color="auto"/>
        <w:bottom w:val="none" w:sz="0" w:space="0" w:color="auto"/>
        <w:right w:val="none" w:sz="0" w:space="0" w:color="auto"/>
      </w:divBdr>
    </w:div>
    <w:div w:id="671687397">
      <w:bodyDiv w:val="1"/>
      <w:marLeft w:val="0"/>
      <w:marRight w:val="0"/>
      <w:marTop w:val="0"/>
      <w:marBottom w:val="0"/>
      <w:divBdr>
        <w:top w:val="none" w:sz="0" w:space="0" w:color="auto"/>
        <w:left w:val="none" w:sz="0" w:space="0" w:color="auto"/>
        <w:bottom w:val="none" w:sz="0" w:space="0" w:color="auto"/>
        <w:right w:val="none" w:sz="0" w:space="0" w:color="auto"/>
      </w:divBdr>
    </w:div>
    <w:div w:id="690838972">
      <w:bodyDiv w:val="1"/>
      <w:marLeft w:val="0"/>
      <w:marRight w:val="0"/>
      <w:marTop w:val="0"/>
      <w:marBottom w:val="0"/>
      <w:divBdr>
        <w:top w:val="none" w:sz="0" w:space="0" w:color="auto"/>
        <w:left w:val="none" w:sz="0" w:space="0" w:color="auto"/>
        <w:bottom w:val="none" w:sz="0" w:space="0" w:color="auto"/>
        <w:right w:val="none" w:sz="0" w:space="0" w:color="auto"/>
      </w:divBdr>
    </w:div>
    <w:div w:id="734398950">
      <w:bodyDiv w:val="1"/>
      <w:marLeft w:val="0"/>
      <w:marRight w:val="0"/>
      <w:marTop w:val="0"/>
      <w:marBottom w:val="0"/>
      <w:divBdr>
        <w:top w:val="none" w:sz="0" w:space="0" w:color="auto"/>
        <w:left w:val="none" w:sz="0" w:space="0" w:color="auto"/>
        <w:bottom w:val="none" w:sz="0" w:space="0" w:color="auto"/>
        <w:right w:val="none" w:sz="0" w:space="0" w:color="auto"/>
      </w:divBdr>
    </w:div>
    <w:div w:id="741636088">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073782">
      <w:bodyDiv w:val="1"/>
      <w:marLeft w:val="0"/>
      <w:marRight w:val="0"/>
      <w:marTop w:val="0"/>
      <w:marBottom w:val="0"/>
      <w:divBdr>
        <w:top w:val="none" w:sz="0" w:space="0" w:color="auto"/>
        <w:left w:val="none" w:sz="0" w:space="0" w:color="auto"/>
        <w:bottom w:val="none" w:sz="0" w:space="0" w:color="auto"/>
        <w:right w:val="none" w:sz="0" w:space="0" w:color="auto"/>
      </w:divBdr>
    </w:div>
    <w:div w:id="814372877">
      <w:bodyDiv w:val="1"/>
      <w:marLeft w:val="0"/>
      <w:marRight w:val="0"/>
      <w:marTop w:val="0"/>
      <w:marBottom w:val="0"/>
      <w:divBdr>
        <w:top w:val="none" w:sz="0" w:space="0" w:color="auto"/>
        <w:left w:val="none" w:sz="0" w:space="0" w:color="auto"/>
        <w:bottom w:val="none" w:sz="0" w:space="0" w:color="auto"/>
        <w:right w:val="none" w:sz="0" w:space="0" w:color="auto"/>
      </w:divBdr>
    </w:div>
    <w:div w:id="844055837">
      <w:bodyDiv w:val="1"/>
      <w:marLeft w:val="0"/>
      <w:marRight w:val="0"/>
      <w:marTop w:val="0"/>
      <w:marBottom w:val="0"/>
      <w:divBdr>
        <w:top w:val="none" w:sz="0" w:space="0" w:color="auto"/>
        <w:left w:val="none" w:sz="0" w:space="0" w:color="auto"/>
        <w:bottom w:val="none" w:sz="0" w:space="0" w:color="auto"/>
        <w:right w:val="none" w:sz="0" w:space="0" w:color="auto"/>
      </w:divBdr>
    </w:div>
    <w:div w:id="861479828">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9312231">
      <w:bodyDiv w:val="1"/>
      <w:marLeft w:val="0"/>
      <w:marRight w:val="0"/>
      <w:marTop w:val="0"/>
      <w:marBottom w:val="0"/>
      <w:divBdr>
        <w:top w:val="none" w:sz="0" w:space="0" w:color="auto"/>
        <w:left w:val="none" w:sz="0" w:space="0" w:color="auto"/>
        <w:bottom w:val="none" w:sz="0" w:space="0" w:color="auto"/>
        <w:right w:val="none" w:sz="0" w:space="0" w:color="auto"/>
      </w:divBdr>
    </w:div>
    <w:div w:id="909727423">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94985">
      <w:bodyDiv w:val="1"/>
      <w:marLeft w:val="0"/>
      <w:marRight w:val="0"/>
      <w:marTop w:val="0"/>
      <w:marBottom w:val="0"/>
      <w:divBdr>
        <w:top w:val="none" w:sz="0" w:space="0" w:color="auto"/>
        <w:left w:val="none" w:sz="0" w:space="0" w:color="auto"/>
        <w:bottom w:val="none" w:sz="0" w:space="0" w:color="auto"/>
        <w:right w:val="none" w:sz="0" w:space="0" w:color="auto"/>
      </w:divBdr>
    </w:div>
    <w:div w:id="1043478006">
      <w:bodyDiv w:val="1"/>
      <w:marLeft w:val="0"/>
      <w:marRight w:val="0"/>
      <w:marTop w:val="0"/>
      <w:marBottom w:val="0"/>
      <w:divBdr>
        <w:top w:val="none" w:sz="0" w:space="0" w:color="auto"/>
        <w:left w:val="none" w:sz="0" w:space="0" w:color="auto"/>
        <w:bottom w:val="none" w:sz="0" w:space="0" w:color="auto"/>
        <w:right w:val="none" w:sz="0" w:space="0" w:color="auto"/>
      </w:divBdr>
    </w:div>
    <w:div w:id="1221870033">
      <w:bodyDiv w:val="1"/>
      <w:marLeft w:val="0"/>
      <w:marRight w:val="0"/>
      <w:marTop w:val="0"/>
      <w:marBottom w:val="0"/>
      <w:divBdr>
        <w:top w:val="none" w:sz="0" w:space="0" w:color="auto"/>
        <w:left w:val="none" w:sz="0" w:space="0" w:color="auto"/>
        <w:bottom w:val="none" w:sz="0" w:space="0" w:color="auto"/>
        <w:right w:val="none" w:sz="0" w:space="0" w:color="auto"/>
      </w:divBdr>
    </w:div>
    <w:div w:id="1285698793">
      <w:bodyDiv w:val="1"/>
      <w:marLeft w:val="0"/>
      <w:marRight w:val="0"/>
      <w:marTop w:val="0"/>
      <w:marBottom w:val="0"/>
      <w:divBdr>
        <w:top w:val="none" w:sz="0" w:space="0" w:color="auto"/>
        <w:left w:val="none" w:sz="0" w:space="0" w:color="auto"/>
        <w:bottom w:val="none" w:sz="0" w:space="0" w:color="auto"/>
        <w:right w:val="none" w:sz="0" w:space="0" w:color="auto"/>
      </w:divBdr>
    </w:div>
    <w:div w:id="1425763149">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497650754">
      <w:bodyDiv w:val="1"/>
      <w:marLeft w:val="0"/>
      <w:marRight w:val="0"/>
      <w:marTop w:val="0"/>
      <w:marBottom w:val="0"/>
      <w:divBdr>
        <w:top w:val="none" w:sz="0" w:space="0" w:color="auto"/>
        <w:left w:val="none" w:sz="0" w:space="0" w:color="auto"/>
        <w:bottom w:val="none" w:sz="0" w:space="0" w:color="auto"/>
        <w:right w:val="none" w:sz="0" w:space="0" w:color="auto"/>
      </w:divBdr>
    </w:div>
    <w:div w:id="1602057954">
      <w:bodyDiv w:val="1"/>
      <w:marLeft w:val="0"/>
      <w:marRight w:val="0"/>
      <w:marTop w:val="0"/>
      <w:marBottom w:val="0"/>
      <w:divBdr>
        <w:top w:val="none" w:sz="0" w:space="0" w:color="auto"/>
        <w:left w:val="none" w:sz="0" w:space="0" w:color="auto"/>
        <w:bottom w:val="none" w:sz="0" w:space="0" w:color="auto"/>
        <w:right w:val="none" w:sz="0" w:space="0" w:color="auto"/>
      </w:divBdr>
    </w:div>
    <w:div w:id="1676421772">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4964">
      <w:bodyDiv w:val="1"/>
      <w:marLeft w:val="0"/>
      <w:marRight w:val="0"/>
      <w:marTop w:val="0"/>
      <w:marBottom w:val="0"/>
      <w:divBdr>
        <w:top w:val="none" w:sz="0" w:space="0" w:color="auto"/>
        <w:left w:val="none" w:sz="0" w:space="0" w:color="auto"/>
        <w:bottom w:val="none" w:sz="0" w:space="0" w:color="auto"/>
        <w:right w:val="none" w:sz="0" w:space="0" w:color="auto"/>
      </w:divBdr>
    </w:div>
    <w:div w:id="1946648116">
      <w:bodyDiv w:val="1"/>
      <w:marLeft w:val="0"/>
      <w:marRight w:val="0"/>
      <w:marTop w:val="0"/>
      <w:marBottom w:val="0"/>
      <w:divBdr>
        <w:top w:val="none" w:sz="0" w:space="0" w:color="auto"/>
        <w:left w:val="none" w:sz="0" w:space="0" w:color="auto"/>
        <w:bottom w:val="none" w:sz="0" w:space="0" w:color="auto"/>
        <w:right w:val="none" w:sz="0" w:space="0" w:color="auto"/>
      </w:divBdr>
    </w:div>
    <w:div w:id="2014330497">
      <w:bodyDiv w:val="1"/>
      <w:marLeft w:val="0"/>
      <w:marRight w:val="0"/>
      <w:marTop w:val="0"/>
      <w:marBottom w:val="0"/>
      <w:divBdr>
        <w:top w:val="none" w:sz="0" w:space="0" w:color="auto"/>
        <w:left w:val="none" w:sz="0" w:space="0" w:color="auto"/>
        <w:bottom w:val="none" w:sz="0" w:space="0" w:color="auto"/>
        <w:right w:val="none" w:sz="0" w:space="0" w:color="auto"/>
      </w:divBdr>
    </w:div>
    <w:div w:id="2045057874">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EEBBE-722C-40FC-A278-286B6229B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4393</Words>
  <Characters>25046</Characters>
  <Application>Microsoft Office Word</Application>
  <DocSecurity>0</DocSecurity>
  <Lines>208</Lines>
  <Paragraphs>58</Paragraphs>
  <ScaleCrop>false</ScaleCrop>
  <HeadingPairs>
    <vt:vector size="6" baseType="variant">
      <vt:variant>
        <vt:lpstr>제목</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29381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Microsoft 계정</cp:lastModifiedBy>
  <cp:revision>2</cp:revision>
  <cp:lastPrinted>2015-05-12T18:31:00Z</cp:lastPrinted>
  <dcterms:created xsi:type="dcterms:W3CDTF">2024-01-03T01:01:00Z</dcterms:created>
  <dcterms:modified xsi:type="dcterms:W3CDTF">2024-01-03T01:01:00Z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