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62E97">
        <w:trPr>
          <w:trHeight w:val="852"/>
          <w:jc w:val="center"/>
        </w:trPr>
        <w:tc>
          <w:tcPr>
            <w:tcW w:w="6940" w:type="dxa"/>
            <w:vMerge w:val="restart"/>
            <w:tcBorders>
              <w:right w:val="single" w:sz="4" w:space="0" w:color="auto"/>
            </w:tcBorders>
          </w:tcPr>
          <w:p w14:paraId="38C3D2BA" w14:textId="77777777" w:rsidR="000A03B2" w:rsidRPr="00B57B36" w:rsidRDefault="000A03B2" w:rsidP="00EA66FF">
            <w:pPr>
              <w:pStyle w:val="CETAuthors"/>
              <w:rPr>
                <w:sz w:val="12"/>
                <w:szCs w:val="12"/>
                <w:lang w:eastAsia="it-IT"/>
              </w:rPr>
            </w:pPr>
            <w:r w:rsidRPr="00B57B36">
              <w:rPr>
                <w:rFonts w:ascii="AdvP6960" w:hAnsi="AdvP6960" w:cs="AdvP6960"/>
                <w:color w:val="241F20"/>
                <w:szCs w:val="18"/>
                <w:lang w:val="en-IN" w:eastAsia="en-IN"/>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lang w:eastAsia="it-IT"/>
              </w:rPr>
              <w:t>CHEMICAL ENGINEERING</w:t>
            </w:r>
            <w:r w:rsidRPr="00B57B36">
              <w:rPr>
                <w:color w:val="0033FF"/>
                <w:lang w:eastAsia="it-IT"/>
              </w:rPr>
              <w:t xml:space="preserve"> </w:t>
            </w:r>
            <w:r w:rsidRPr="00B57B36">
              <w:rPr>
                <w:color w:val="666666"/>
                <w:lang w:eastAsia="it-IT"/>
              </w:rPr>
              <w:t>TRANSACTIONS</w:t>
            </w:r>
            <w:r w:rsidRPr="00B57B36">
              <w:rPr>
                <w:color w:val="333333"/>
                <w:lang w:eastAsia="it-IT"/>
              </w:rPr>
              <w:t xml:space="preserve"> </w:t>
            </w:r>
            <w:r w:rsidRPr="00B57B36">
              <w:rPr>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IN" w:eastAsia="en-IN"/>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462E9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462E97">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1088BFE" w14:textId="3B92C31E" w:rsidR="00462E97" w:rsidRPr="000F3550" w:rsidRDefault="00462E97" w:rsidP="00462E97">
      <w:pPr>
        <w:pStyle w:val="CETTitle"/>
      </w:pPr>
      <w:r w:rsidRPr="000F3550">
        <w:t>Hydrogen</w:t>
      </w:r>
      <w:r w:rsidR="00131E30" w:rsidRPr="000F3550">
        <w:t xml:space="preserve"> and </w:t>
      </w:r>
      <w:r w:rsidR="00331EE4" w:rsidRPr="000F3550">
        <w:t>B</w:t>
      </w:r>
      <w:r w:rsidR="00131E30" w:rsidRPr="000F3550">
        <w:t>io-oil</w:t>
      </w:r>
      <w:r w:rsidRPr="000F3550">
        <w:t xml:space="preserve"> </w:t>
      </w:r>
      <w:r w:rsidR="00331EE4" w:rsidRPr="000F3550">
        <w:t>P</w:t>
      </w:r>
      <w:r w:rsidRPr="000F3550">
        <w:t xml:space="preserve">roduction from </w:t>
      </w:r>
      <w:r w:rsidR="00331EE4" w:rsidRPr="000F3550">
        <w:t>D</w:t>
      </w:r>
      <w:r w:rsidRPr="000F3550">
        <w:t xml:space="preserve">iverse </w:t>
      </w:r>
      <w:r w:rsidR="00331EE4" w:rsidRPr="000F3550">
        <w:t>B</w:t>
      </w:r>
      <w:r w:rsidRPr="000F3550">
        <w:t xml:space="preserve">iomass </w:t>
      </w:r>
      <w:r w:rsidR="00DD0875" w:rsidRPr="000F3550">
        <w:t>t</w:t>
      </w:r>
      <w:r w:rsidRPr="000F3550">
        <w:t xml:space="preserve">hrough </w:t>
      </w:r>
      <w:r w:rsidR="00331EE4" w:rsidRPr="000F3550">
        <w:t>M</w:t>
      </w:r>
      <w:r w:rsidRPr="000F3550">
        <w:t xml:space="preserve">icrowave-assisted </w:t>
      </w:r>
      <w:r w:rsidR="00331EE4" w:rsidRPr="000F3550">
        <w:t>P</w:t>
      </w:r>
      <w:r w:rsidRPr="000F3550">
        <w:t>yrolysis</w:t>
      </w:r>
    </w:p>
    <w:p w14:paraId="680EBADC" w14:textId="0DFBF190" w:rsidR="00462E97" w:rsidRPr="00B57B36" w:rsidRDefault="00462E97" w:rsidP="00462E97">
      <w:pPr>
        <w:pStyle w:val="CETAuthors"/>
      </w:pPr>
      <w:r>
        <w:t>Mahendra Tiwari*</w:t>
      </w:r>
      <w:r w:rsidRPr="00B57B36">
        <w:t xml:space="preserve">, </w:t>
      </w:r>
      <w:r w:rsidR="00163C70">
        <w:t xml:space="preserve">M V </w:t>
      </w:r>
      <w:r w:rsidR="00D91219">
        <w:t xml:space="preserve">Pragadeshwar Babu, R. </w:t>
      </w:r>
      <w:r>
        <w:t xml:space="preserve">Vinu </w:t>
      </w:r>
    </w:p>
    <w:p w14:paraId="70C4DB83" w14:textId="0398A39E" w:rsidR="00EC7F47" w:rsidRDefault="00EC7F47" w:rsidP="00462E97">
      <w:pPr>
        <w:pStyle w:val="CETemail"/>
      </w:pPr>
      <w:r>
        <w:t>Dep</w:t>
      </w:r>
      <w:r w:rsidR="00371586">
        <w:t xml:space="preserve">artment of Chemical Engineering, </w:t>
      </w:r>
      <w:r>
        <w:t>Indian Institute of Technology Madras, Chennai 600036, India.</w:t>
      </w:r>
    </w:p>
    <w:p w14:paraId="4C38AC96" w14:textId="2B18C831" w:rsidR="00462E97" w:rsidRPr="00B57B36" w:rsidRDefault="00462E97" w:rsidP="00462E97">
      <w:pPr>
        <w:pStyle w:val="CETemail"/>
      </w:pPr>
      <w:r>
        <w:t>mahendra050495@gmail.com</w:t>
      </w:r>
    </w:p>
    <w:p w14:paraId="5EC64664" w14:textId="72F84299" w:rsidR="00991EE6" w:rsidRPr="000F3550" w:rsidRDefault="00991EE6" w:rsidP="00991EE6">
      <w:pPr>
        <w:pStyle w:val="CETHeading1"/>
        <w:numPr>
          <w:ilvl w:val="0"/>
          <w:numId w:val="0"/>
        </w:numPr>
        <w:jc w:val="both"/>
        <w:rPr>
          <w:b w:val="0"/>
          <w:sz w:val="18"/>
        </w:rPr>
      </w:pPr>
      <w:r w:rsidRPr="000F3550">
        <w:rPr>
          <w:b w:val="0"/>
          <w:sz w:val="18"/>
        </w:rPr>
        <w:t xml:space="preserve">Hydrogen production from lignocellulosic biomass (rice husk (RH) and saw dust (SD)) and </w:t>
      </w:r>
      <w:r w:rsidR="00464E24" w:rsidRPr="000F3550">
        <w:rPr>
          <w:b w:val="0"/>
          <w:sz w:val="18"/>
        </w:rPr>
        <w:t>macro</w:t>
      </w:r>
      <w:r w:rsidRPr="000F3550">
        <w:rPr>
          <w:b w:val="0"/>
          <w:sz w:val="18"/>
        </w:rPr>
        <w:t>algal biomass (</w:t>
      </w:r>
      <w:r w:rsidRPr="000F3550">
        <w:rPr>
          <w:b w:val="0"/>
          <w:i/>
          <w:sz w:val="18"/>
        </w:rPr>
        <w:t>Kappaphycus alvarezii</w:t>
      </w:r>
      <w:r w:rsidRPr="000F3550">
        <w:rPr>
          <w:b w:val="0"/>
          <w:sz w:val="18"/>
        </w:rPr>
        <w:t xml:space="preserve"> (KA) and </w:t>
      </w:r>
      <w:r w:rsidRPr="000F3550">
        <w:rPr>
          <w:b w:val="0"/>
          <w:i/>
          <w:sz w:val="18"/>
        </w:rPr>
        <w:t>Eucheuma spinosum</w:t>
      </w:r>
      <w:r w:rsidRPr="000F3550">
        <w:rPr>
          <w:b w:val="0"/>
          <w:sz w:val="18"/>
        </w:rPr>
        <w:t xml:space="preserve"> (ES)) through pyrolysis has been studied using </w:t>
      </w:r>
      <w:r w:rsidR="00F371BF" w:rsidRPr="000F3550">
        <w:rPr>
          <w:b w:val="0"/>
          <w:sz w:val="18"/>
        </w:rPr>
        <w:t>a lab- scale</w:t>
      </w:r>
      <w:r w:rsidRPr="000F3550">
        <w:rPr>
          <w:b w:val="0"/>
          <w:sz w:val="18"/>
        </w:rPr>
        <w:t xml:space="preserve"> microwave </w:t>
      </w:r>
      <w:r w:rsidR="00F371BF" w:rsidRPr="000F3550">
        <w:rPr>
          <w:b w:val="0"/>
          <w:sz w:val="18"/>
        </w:rPr>
        <w:t>reactor</w:t>
      </w:r>
      <w:r w:rsidR="00292638" w:rsidRPr="000F3550">
        <w:rPr>
          <w:b w:val="0"/>
          <w:sz w:val="18"/>
        </w:rPr>
        <w:t xml:space="preserve">. </w:t>
      </w:r>
      <w:r w:rsidRPr="000F3550">
        <w:rPr>
          <w:b w:val="0"/>
          <w:sz w:val="18"/>
        </w:rPr>
        <w:t>The reaction</w:t>
      </w:r>
      <w:r w:rsidR="00F371BF" w:rsidRPr="000F3550">
        <w:rPr>
          <w:b w:val="0"/>
          <w:sz w:val="18"/>
        </w:rPr>
        <w:t>s</w:t>
      </w:r>
      <w:r w:rsidRPr="000F3550">
        <w:rPr>
          <w:b w:val="0"/>
          <w:sz w:val="18"/>
        </w:rPr>
        <w:t xml:space="preserve"> w</w:t>
      </w:r>
      <w:r w:rsidR="00F371BF" w:rsidRPr="000F3550">
        <w:rPr>
          <w:b w:val="0"/>
          <w:sz w:val="18"/>
        </w:rPr>
        <w:t>ere</w:t>
      </w:r>
      <w:r w:rsidRPr="000F3550">
        <w:rPr>
          <w:b w:val="0"/>
          <w:sz w:val="18"/>
        </w:rPr>
        <w:t xml:space="preserve"> carried out at </w:t>
      </w:r>
      <w:r w:rsidR="00D12805" w:rsidRPr="000F3550">
        <w:rPr>
          <w:b w:val="0"/>
          <w:sz w:val="18"/>
        </w:rPr>
        <w:t>800</w:t>
      </w:r>
      <w:r w:rsidR="00464E24" w:rsidRPr="000F3550">
        <w:rPr>
          <w:b w:val="0"/>
          <w:sz w:val="18"/>
        </w:rPr>
        <w:t xml:space="preserve"> </w:t>
      </w:r>
      <w:r w:rsidR="00D12805" w:rsidRPr="000F3550">
        <w:rPr>
          <w:b w:val="0"/>
          <w:sz w:val="18"/>
        </w:rPr>
        <w:t xml:space="preserve">W and </w:t>
      </w:r>
      <w:r w:rsidRPr="000F3550">
        <w:rPr>
          <w:b w:val="0"/>
          <w:sz w:val="18"/>
        </w:rPr>
        <w:t>800 °C</w:t>
      </w:r>
      <w:r w:rsidR="00F371BF" w:rsidRPr="000F3550">
        <w:rPr>
          <w:b w:val="0"/>
          <w:sz w:val="18"/>
        </w:rPr>
        <w:t xml:space="preserve"> using activated carbon as susceptor</w:t>
      </w:r>
      <w:r w:rsidRPr="000F3550">
        <w:rPr>
          <w:b w:val="0"/>
          <w:sz w:val="18"/>
        </w:rPr>
        <w:t xml:space="preserve"> to </w:t>
      </w:r>
      <w:r w:rsidR="00D12805" w:rsidRPr="000F3550">
        <w:rPr>
          <w:b w:val="0"/>
          <w:sz w:val="18"/>
        </w:rPr>
        <w:t xml:space="preserve">evaluate the </w:t>
      </w:r>
      <w:r w:rsidR="00F371BF" w:rsidRPr="000F3550">
        <w:rPr>
          <w:b w:val="0"/>
          <w:sz w:val="18"/>
        </w:rPr>
        <w:t>potential</w:t>
      </w:r>
      <w:r w:rsidR="00D12805" w:rsidRPr="000F3550">
        <w:rPr>
          <w:b w:val="0"/>
          <w:sz w:val="18"/>
        </w:rPr>
        <w:t xml:space="preserve"> of biomass for </w:t>
      </w:r>
      <w:r w:rsidRPr="000F3550">
        <w:rPr>
          <w:b w:val="0"/>
          <w:sz w:val="18"/>
        </w:rPr>
        <w:t xml:space="preserve">hydrogen </w:t>
      </w:r>
      <w:r w:rsidR="00176195" w:rsidRPr="000F3550">
        <w:rPr>
          <w:b w:val="0"/>
          <w:sz w:val="18"/>
        </w:rPr>
        <w:t>production</w:t>
      </w:r>
      <w:r w:rsidRPr="000F3550">
        <w:rPr>
          <w:b w:val="0"/>
          <w:sz w:val="18"/>
        </w:rPr>
        <w:t xml:space="preserve">. Elemental analysis and proximate of </w:t>
      </w:r>
      <w:r w:rsidR="00F371BF" w:rsidRPr="000F3550">
        <w:rPr>
          <w:b w:val="0"/>
          <w:sz w:val="18"/>
        </w:rPr>
        <w:t>the feedstock</w:t>
      </w:r>
      <w:r w:rsidRPr="000F3550">
        <w:rPr>
          <w:b w:val="0"/>
          <w:sz w:val="18"/>
        </w:rPr>
        <w:t xml:space="preserve">s </w:t>
      </w:r>
      <w:r w:rsidR="00F371BF" w:rsidRPr="000F3550">
        <w:rPr>
          <w:b w:val="0"/>
          <w:sz w:val="18"/>
        </w:rPr>
        <w:t>were perfo</w:t>
      </w:r>
      <w:r w:rsidR="00FC72BD" w:rsidRPr="000F3550">
        <w:rPr>
          <w:b w:val="0"/>
          <w:sz w:val="18"/>
        </w:rPr>
        <w:t>rmed and the pyrolysis products</w:t>
      </w:r>
      <w:r w:rsidR="00F371BF" w:rsidRPr="000F3550">
        <w:rPr>
          <w:b w:val="0"/>
          <w:sz w:val="18"/>
        </w:rPr>
        <w:t xml:space="preserve"> were thoroughly characterized.</w:t>
      </w:r>
      <w:r w:rsidRPr="000F3550">
        <w:rPr>
          <w:b w:val="0"/>
          <w:sz w:val="18"/>
        </w:rPr>
        <w:t xml:space="preserve"> Higher heating value </w:t>
      </w:r>
      <w:r w:rsidR="00D12805" w:rsidRPr="000F3550">
        <w:rPr>
          <w:b w:val="0"/>
          <w:sz w:val="18"/>
        </w:rPr>
        <w:t xml:space="preserve">of </w:t>
      </w:r>
      <w:r w:rsidR="0054448F" w:rsidRPr="000F3550">
        <w:rPr>
          <w:b w:val="0"/>
          <w:sz w:val="18"/>
        </w:rPr>
        <w:t xml:space="preserve">the </w:t>
      </w:r>
      <w:r w:rsidR="00D12805" w:rsidRPr="000F3550">
        <w:rPr>
          <w:b w:val="0"/>
          <w:sz w:val="18"/>
        </w:rPr>
        <w:t xml:space="preserve">biomass </w:t>
      </w:r>
      <w:r w:rsidR="0054448F" w:rsidRPr="000F3550">
        <w:rPr>
          <w:b w:val="0"/>
          <w:sz w:val="18"/>
        </w:rPr>
        <w:t>(in MJ kg</w:t>
      </w:r>
      <w:r w:rsidR="0054448F" w:rsidRPr="000F3550">
        <w:rPr>
          <w:b w:val="0"/>
          <w:sz w:val="18"/>
          <w:vertAlign w:val="superscript"/>
        </w:rPr>
        <w:t>-1</w:t>
      </w:r>
      <w:r w:rsidR="0054448F" w:rsidRPr="000F3550">
        <w:rPr>
          <w:b w:val="0"/>
          <w:sz w:val="18"/>
        </w:rPr>
        <w:t xml:space="preserve">) </w:t>
      </w:r>
      <w:r w:rsidR="00D12805" w:rsidRPr="000F3550">
        <w:rPr>
          <w:b w:val="0"/>
          <w:sz w:val="18"/>
        </w:rPr>
        <w:t xml:space="preserve">follows </w:t>
      </w:r>
      <w:r w:rsidR="00C20C8A" w:rsidRPr="000F3550">
        <w:rPr>
          <w:b w:val="0"/>
          <w:sz w:val="18"/>
        </w:rPr>
        <w:t>the</w:t>
      </w:r>
      <w:r w:rsidR="00D12805" w:rsidRPr="000F3550">
        <w:rPr>
          <w:b w:val="0"/>
          <w:sz w:val="18"/>
        </w:rPr>
        <w:t xml:space="preserve"> trend</w:t>
      </w:r>
      <w:r w:rsidR="00C20C8A" w:rsidRPr="000F3550">
        <w:rPr>
          <w:b w:val="0"/>
          <w:sz w:val="18"/>
        </w:rPr>
        <w:t>:</w:t>
      </w:r>
      <w:r w:rsidR="00D12805" w:rsidRPr="000F3550">
        <w:rPr>
          <w:b w:val="0"/>
          <w:sz w:val="18"/>
        </w:rPr>
        <w:t xml:space="preserve"> SD</w:t>
      </w:r>
      <w:r w:rsidR="00C20C8A" w:rsidRPr="000F3550">
        <w:rPr>
          <w:b w:val="0"/>
          <w:sz w:val="18"/>
        </w:rPr>
        <w:t xml:space="preserve"> </w:t>
      </w:r>
      <w:r w:rsidRPr="000F3550">
        <w:rPr>
          <w:b w:val="0"/>
          <w:sz w:val="18"/>
        </w:rPr>
        <w:t>(25.2) &gt; R</w:t>
      </w:r>
      <w:r w:rsidR="00D12805" w:rsidRPr="000F3550">
        <w:rPr>
          <w:b w:val="0"/>
          <w:sz w:val="18"/>
        </w:rPr>
        <w:t>H</w:t>
      </w:r>
      <w:r w:rsidR="00C20C8A" w:rsidRPr="000F3550">
        <w:rPr>
          <w:b w:val="0"/>
          <w:sz w:val="18"/>
        </w:rPr>
        <w:t xml:space="preserve"> </w:t>
      </w:r>
      <w:r w:rsidR="00D12805" w:rsidRPr="000F3550">
        <w:rPr>
          <w:b w:val="0"/>
          <w:sz w:val="18"/>
        </w:rPr>
        <w:t>(14.6) &gt; KA</w:t>
      </w:r>
      <w:r w:rsidR="00C20C8A" w:rsidRPr="000F3550">
        <w:rPr>
          <w:b w:val="0"/>
          <w:sz w:val="18"/>
        </w:rPr>
        <w:t xml:space="preserve"> </w:t>
      </w:r>
      <w:r w:rsidR="00D12805" w:rsidRPr="000F3550">
        <w:rPr>
          <w:b w:val="0"/>
          <w:sz w:val="18"/>
        </w:rPr>
        <w:t>(8.7) &gt; ES</w:t>
      </w:r>
      <w:r w:rsidR="00C20C8A" w:rsidRPr="000F3550">
        <w:rPr>
          <w:b w:val="0"/>
          <w:sz w:val="18"/>
        </w:rPr>
        <w:t xml:space="preserve"> </w:t>
      </w:r>
      <w:r w:rsidR="00D12805" w:rsidRPr="000F3550">
        <w:rPr>
          <w:b w:val="0"/>
          <w:sz w:val="18"/>
        </w:rPr>
        <w:t>(7.8).</w:t>
      </w:r>
      <w:r w:rsidR="00292638" w:rsidRPr="000F3550">
        <w:rPr>
          <w:b w:val="0"/>
          <w:sz w:val="18"/>
        </w:rPr>
        <w:t xml:space="preserve"> Thermogravimetric data shows th</w:t>
      </w:r>
      <w:r w:rsidR="0054448F" w:rsidRPr="000F3550">
        <w:rPr>
          <w:b w:val="0"/>
          <w:sz w:val="18"/>
        </w:rPr>
        <w:t>at the</w:t>
      </w:r>
      <w:r w:rsidR="00292638" w:rsidRPr="000F3550">
        <w:rPr>
          <w:b w:val="0"/>
          <w:sz w:val="18"/>
        </w:rPr>
        <w:t xml:space="preserve"> maximum decomposition temperature follows the trend: SD (3</w:t>
      </w:r>
      <w:r w:rsidR="00340A76" w:rsidRPr="000F3550">
        <w:rPr>
          <w:b w:val="0"/>
          <w:sz w:val="18"/>
        </w:rPr>
        <w:t>62</w:t>
      </w:r>
      <w:r w:rsidR="00292638" w:rsidRPr="000F3550">
        <w:rPr>
          <w:b w:val="0"/>
          <w:sz w:val="18"/>
        </w:rPr>
        <w:t>°C) &gt; RH (340°C) &gt; KA (19</w:t>
      </w:r>
      <w:r w:rsidR="00340A76" w:rsidRPr="000F3550">
        <w:rPr>
          <w:b w:val="0"/>
          <w:sz w:val="18"/>
        </w:rPr>
        <w:t>7</w:t>
      </w:r>
      <w:r w:rsidR="00292638" w:rsidRPr="000F3550">
        <w:rPr>
          <w:b w:val="0"/>
          <w:sz w:val="18"/>
        </w:rPr>
        <w:t>°C) &gt; ES (17</w:t>
      </w:r>
      <w:r w:rsidR="00340A76" w:rsidRPr="000F3550">
        <w:rPr>
          <w:b w:val="0"/>
          <w:sz w:val="18"/>
        </w:rPr>
        <w:t>8</w:t>
      </w:r>
      <w:r w:rsidR="00292638" w:rsidRPr="000F3550">
        <w:rPr>
          <w:b w:val="0"/>
          <w:sz w:val="18"/>
        </w:rPr>
        <w:t>°C)</w:t>
      </w:r>
      <w:r w:rsidR="00EA76FF" w:rsidRPr="000F3550">
        <w:rPr>
          <w:b w:val="0"/>
          <w:sz w:val="18"/>
        </w:rPr>
        <w:t xml:space="preserve">. </w:t>
      </w:r>
      <w:r w:rsidRPr="000F3550">
        <w:rPr>
          <w:b w:val="0"/>
          <w:sz w:val="18"/>
        </w:rPr>
        <w:t>The gas</w:t>
      </w:r>
      <w:r w:rsidR="0054448F" w:rsidRPr="000F3550">
        <w:rPr>
          <w:b w:val="0"/>
          <w:sz w:val="18"/>
        </w:rPr>
        <w:t>eous</w:t>
      </w:r>
      <w:r w:rsidRPr="000F3550">
        <w:rPr>
          <w:b w:val="0"/>
          <w:sz w:val="18"/>
        </w:rPr>
        <w:t xml:space="preserve"> yield</w:t>
      </w:r>
      <w:r w:rsidR="0054448F" w:rsidRPr="000F3550">
        <w:rPr>
          <w:b w:val="0"/>
          <w:sz w:val="18"/>
        </w:rPr>
        <w:t xml:space="preserve"> from microwave pyrolysis</w:t>
      </w:r>
      <w:r w:rsidRPr="000F3550">
        <w:rPr>
          <w:b w:val="0"/>
          <w:sz w:val="18"/>
        </w:rPr>
        <w:t xml:space="preserve"> was maximum </w:t>
      </w:r>
      <w:r w:rsidR="0037530B" w:rsidRPr="000F3550">
        <w:rPr>
          <w:b w:val="0"/>
          <w:sz w:val="18"/>
        </w:rPr>
        <w:t>from</w:t>
      </w:r>
      <w:r w:rsidRPr="000F3550">
        <w:rPr>
          <w:b w:val="0"/>
          <w:sz w:val="18"/>
        </w:rPr>
        <w:t xml:space="preserve"> </w:t>
      </w:r>
      <w:r w:rsidR="00D12805" w:rsidRPr="000F3550">
        <w:rPr>
          <w:b w:val="0"/>
          <w:sz w:val="18"/>
        </w:rPr>
        <w:t>SD</w:t>
      </w:r>
      <w:r w:rsidRPr="000F3550">
        <w:rPr>
          <w:b w:val="0"/>
          <w:sz w:val="18"/>
        </w:rPr>
        <w:t xml:space="preserve"> (3</w:t>
      </w:r>
      <w:r w:rsidR="00D12805" w:rsidRPr="000F3550">
        <w:rPr>
          <w:b w:val="0"/>
          <w:sz w:val="18"/>
        </w:rPr>
        <w:t>9</w:t>
      </w:r>
      <w:r w:rsidRPr="000F3550">
        <w:rPr>
          <w:b w:val="0"/>
          <w:sz w:val="18"/>
        </w:rPr>
        <w:t xml:space="preserve"> wt.%) and minimum from </w:t>
      </w:r>
      <w:r w:rsidR="00D12805" w:rsidRPr="000F3550">
        <w:rPr>
          <w:b w:val="0"/>
          <w:sz w:val="18"/>
        </w:rPr>
        <w:t>ES</w:t>
      </w:r>
      <w:r w:rsidRPr="000F3550">
        <w:rPr>
          <w:b w:val="0"/>
          <w:sz w:val="18"/>
        </w:rPr>
        <w:t xml:space="preserve"> (</w:t>
      </w:r>
      <w:r w:rsidR="00D12805" w:rsidRPr="000F3550">
        <w:rPr>
          <w:b w:val="0"/>
          <w:sz w:val="18"/>
        </w:rPr>
        <w:t>33</w:t>
      </w:r>
      <w:r w:rsidR="0037530B" w:rsidRPr="000F3550">
        <w:rPr>
          <w:b w:val="0"/>
          <w:sz w:val="18"/>
        </w:rPr>
        <w:t xml:space="preserve"> wt.%), while the bio-oil</w:t>
      </w:r>
      <w:r w:rsidRPr="000F3550">
        <w:rPr>
          <w:b w:val="0"/>
          <w:sz w:val="18"/>
        </w:rPr>
        <w:t xml:space="preserve"> yield was highest from SD (33 wt.%) and lowest from RH (25 wt.%). The hydrogen yield from biomass follows </w:t>
      </w:r>
      <w:r w:rsidR="003821A8" w:rsidRPr="000F3550">
        <w:rPr>
          <w:b w:val="0"/>
          <w:sz w:val="18"/>
        </w:rPr>
        <w:t>the</w:t>
      </w:r>
      <w:r w:rsidRPr="000F3550">
        <w:rPr>
          <w:b w:val="0"/>
          <w:sz w:val="18"/>
        </w:rPr>
        <w:t xml:space="preserve"> trend</w:t>
      </w:r>
      <w:r w:rsidR="00D12805" w:rsidRPr="000F3550">
        <w:rPr>
          <w:b w:val="0"/>
          <w:sz w:val="18"/>
        </w:rPr>
        <w:t>:</w:t>
      </w:r>
      <w:r w:rsidRPr="000F3550">
        <w:rPr>
          <w:b w:val="0"/>
          <w:sz w:val="18"/>
        </w:rPr>
        <w:t xml:space="preserve"> </w:t>
      </w:r>
      <w:r w:rsidR="00D12805" w:rsidRPr="000F3550">
        <w:rPr>
          <w:b w:val="0"/>
          <w:sz w:val="18"/>
        </w:rPr>
        <w:t>SD (28 vol.%) &gt; ES (27 vol.%) &gt; RH (26 vol.%) &gt; KA (24 vol.%)</w:t>
      </w:r>
      <w:r w:rsidRPr="000F3550">
        <w:rPr>
          <w:b w:val="0"/>
          <w:sz w:val="18"/>
        </w:rPr>
        <w:t>. The H</w:t>
      </w:r>
      <w:r w:rsidRPr="000F3550">
        <w:rPr>
          <w:b w:val="0"/>
          <w:sz w:val="18"/>
          <w:vertAlign w:val="subscript"/>
        </w:rPr>
        <w:t>2</w:t>
      </w:r>
      <w:r w:rsidRPr="000F3550">
        <w:rPr>
          <w:b w:val="0"/>
          <w:sz w:val="18"/>
        </w:rPr>
        <w:t xml:space="preserve">:CO (mol/mol) ratio was: </w:t>
      </w:r>
      <w:r w:rsidR="00D12805" w:rsidRPr="000F3550">
        <w:rPr>
          <w:b w:val="0"/>
          <w:sz w:val="18"/>
        </w:rPr>
        <w:t>SD (0.94) &gt;</w:t>
      </w:r>
      <w:r w:rsidR="00365CBD" w:rsidRPr="000F3550">
        <w:rPr>
          <w:b w:val="0"/>
          <w:sz w:val="18"/>
        </w:rPr>
        <w:t xml:space="preserve"> </w:t>
      </w:r>
      <w:r w:rsidR="00D12805" w:rsidRPr="000F3550">
        <w:rPr>
          <w:b w:val="0"/>
          <w:sz w:val="18"/>
        </w:rPr>
        <w:t>RH (0.81) &gt; ES (0.73) &gt; KA (0.59).</w:t>
      </w:r>
      <w:r w:rsidR="00D12805" w:rsidRPr="000F3550">
        <w:rPr>
          <w:sz w:val="18"/>
        </w:rPr>
        <w:t xml:space="preserve"> </w:t>
      </w:r>
      <w:r w:rsidRPr="000F3550">
        <w:rPr>
          <w:b w:val="0"/>
          <w:sz w:val="18"/>
        </w:rPr>
        <w:t xml:space="preserve">The bio-oil from KA and ES mainly contains </w:t>
      </w:r>
      <w:r w:rsidR="009244DF" w:rsidRPr="000F3550">
        <w:rPr>
          <w:b w:val="0"/>
          <w:sz w:val="18"/>
        </w:rPr>
        <w:t>linear oxygenates (~53</w:t>
      </w:r>
      <w:r w:rsidRPr="000F3550">
        <w:rPr>
          <w:b w:val="0"/>
          <w:sz w:val="18"/>
        </w:rPr>
        <w:t>%)</w:t>
      </w:r>
      <w:r w:rsidR="00E3303F" w:rsidRPr="000F3550">
        <w:rPr>
          <w:b w:val="0"/>
          <w:sz w:val="18"/>
        </w:rPr>
        <w:t>,</w:t>
      </w:r>
      <w:r w:rsidRPr="000F3550">
        <w:rPr>
          <w:b w:val="0"/>
          <w:sz w:val="18"/>
        </w:rPr>
        <w:t xml:space="preserve"> while </w:t>
      </w:r>
      <w:r w:rsidR="0054448F" w:rsidRPr="000F3550">
        <w:rPr>
          <w:b w:val="0"/>
          <w:sz w:val="18"/>
        </w:rPr>
        <w:t xml:space="preserve">the </w:t>
      </w:r>
      <w:r w:rsidRPr="000F3550">
        <w:rPr>
          <w:b w:val="0"/>
          <w:sz w:val="18"/>
        </w:rPr>
        <w:t>bio-oil</w:t>
      </w:r>
      <w:r w:rsidR="0054448F" w:rsidRPr="000F3550">
        <w:rPr>
          <w:b w:val="0"/>
          <w:sz w:val="18"/>
        </w:rPr>
        <w:t>s</w:t>
      </w:r>
      <w:r w:rsidRPr="000F3550">
        <w:rPr>
          <w:b w:val="0"/>
          <w:sz w:val="18"/>
        </w:rPr>
        <w:t xml:space="preserve"> from RH and SD were rich in phenolics (5</w:t>
      </w:r>
      <w:r w:rsidR="009244DF" w:rsidRPr="000F3550">
        <w:rPr>
          <w:b w:val="0"/>
          <w:sz w:val="18"/>
        </w:rPr>
        <w:t>8</w:t>
      </w:r>
      <w:r w:rsidRPr="000F3550">
        <w:rPr>
          <w:b w:val="0"/>
          <w:sz w:val="18"/>
        </w:rPr>
        <w:t>-</w:t>
      </w:r>
      <w:r w:rsidR="009244DF" w:rsidRPr="000F3550">
        <w:rPr>
          <w:b w:val="0"/>
          <w:sz w:val="18"/>
        </w:rPr>
        <w:t>77</w:t>
      </w:r>
      <w:r w:rsidRPr="000F3550">
        <w:rPr>
          <w:b w:val="0"/>
          <w:sz w:val="18"/>
        </w:rPr>
        <w:t>%).</w:t>
      </w:r>
    </w:p>
    <w:p w14:paraId="476B2F2E" w14:textId="77777777" w:rsidR="00600535" w:rsidRPr="00B57B36" w:rsidRDefault="00600535" w:rsidP="00600535">
      <w:pPr>
        <w:pStyle w:val="CETHeading1"/>
        <w:rPr>
          <w:lang w:val="en-GB"/>
        </w:rPr>
      </w:pPr>
      <w:r w:rsidRPr="00B57B36">
        <w:rPr>
          <w:lang w:val="en-GB"/>
        </w:rPr>
        <w:t>Introduction</w:t>
      </w:r>
    </w:p>
    <w:p w14:paraId="0EDE8704" w14:textId="715BAC2C" w:rsidR="00AC6106" w:rsidRDefault="007A79E9" w:rsidP="00E33790">
      <w:pPr>
        <w:pStyle w:val="ListParagraph"/>
        <w:ind w:left="0"/>
        <w:rPr>
          <w:rFonts w:cs="Arial"/>
          <w:szCs w:val="18"/>
        </w:rPr>
      </w:pPr>
      <w:r>
        <w:rPr>
          <w:rFonts w:cs="Arial"/>
          <w:szCs w:val="18"/>
        </w:rPr>
        <w:t>T</w:t>
      </w:r>
      <w:r w:rsidR="006543F5" w:rsidRPr="006543F5">
        <w:rPr>
          <w:rFonts w:cs="Arial"/>
          <w:szCs w:val="18"/>
        </w:rPr>
        <w:t>he excessive reliance on fossil fuels across diverse sectors like energy, transportation, industries, and mining has triggered a significant surge in greenhouse gas</w:t>
      </w:r>
      <w:r>
        <w:rPr>
          <w:rFonts w:cs="Arial"/>
          <w:szCs w:val="18"/>
        </w:rPr>
        <w:t xml:space="preserve"> (GHG)</w:t>
      </w:r>
      <w:r w:rsidR="006543F5" w:rsidRPr="006543F5">
        <w:rPr>
          <w:rFonts w:cs="Arial"/>
          <w:szCs w:val="18"/>
        </w:rPr>
        <w:t xml:space="preserve"> emissions. </w:t>
      </w:r>
      <w:r>
        <w:rPr>
          <w:rFonts w:cs="Arial"/>
          <w:szCs w:val="18"/>
        </w:rPr>
        <w:t xml:space="preserve">The </w:t>
      </w:r>
      <w:r w:rsidR="006543F5" w:rsidRPr="006543F5">
        <w:rPr>
          <w:rFonts w:cs="Arial"/>
          <w:szCs w:val="18"/>
        </w:rPr>
        <w:t>GHG</w:t>
      </w:r>
      <w:r>
        <w:rPr>
          <w:rFonts w:cs="Arial"/>
          <w:szCs w:val="18"/>
        </w:rPr>
        <w:t>s</w:t>
      </w:r>
      <w:r w:rsidR="006543F5" w:rsidRPr="006543F5">
        <w:rPr>
          <w:rFonts w:cs="Arial"/>
          <w:szCs w:val="18"/>
        </w:rPr>
        <w:t>, ef</w:t>
      </w:r>
      <w:r w:rsidR="00C76947">
        <w:rPr>
          <w:rFonts w:cs="Arial"/>
          <w:szCs w:val="18"/>
        </w:rPr>
        <w:t>fectively trap heat within the e</w:t>
      </w:r>
      <w:r w:rsidR="006543F5" w:rsidRPr="006543F5">
        <w:rPr>
          <w:rFonts w:cs="Arial"/>
          <w:szCs w:val="18"/>
        </w:rPr>
        <w:t xml:space="preserve">arth's atmosphere, </w:t>
      </w:r>
      <w:r w:rsidR="00C76947">
        <w:rPr>
          <w:rFonts w:cs="Arial"/>
          <w:szCs w:val="18"/>
        </w:rPr>
        <w:t xml:space="preserve">thus </w:t>
      </w:r>
      <w:r w:rsidR="006543F5" w:rsidRPr="006543F5">
        <w:rPr>
          <w:rFonts w:cs="Arial"/>
          <w:szCs w:val="18"/>
        </w:rPr>
        <w:t xml:space="preserve">fostering conditions conducive to global warming. Projections indicate that GHG emissions could skyrocket to 62 gigatons by 2030, potentially resulting in a myriad of environmental </w:t>
      </w:r>
      <w:r w:rsidR="004A0AC4">
        <w:rPr>
          <w:rFonts w:cs="Arial"/>
          <w:szCs w:val="18"/>
        </w:rPr>
        <w:t>issues</w:t>
      </w:r>
      <w:r w:rsidR="006543F5" w:rsidRPr="006543F5">
        <w:rPr>
          <w:rFonts w:cs="Arial"/>
          <w:szCs w:val="18"/>
        </w:rPr>
        <w:t xml:space="preserve"> </w:t>
      </w:r>
      <w:r w:rsidR="00F61358" w:rsidRPr="00E87A25">
        <w:rPr>
          <w:rFonts w:cs="Arial"/>
          <w:szCs w:val="18"/>
        </w:rPr>
        <w:t>(GIS</w:t>
      </w:r>
      <w:r w:rsidR="00665EE3" w:rsidRPr="00E87A25">
        <w:rPr>
          <w:rFonts w:cs="Arial"/>
          <w:szCs w:val="18"/>
        </w:rPr>
        <w:t xml:space="preserve"> </w:t>
      </w:r>
      <w:r w:rsidR="00665EE3" w:rsidRPr="00E87A25">
        <w:rPr>
          <w:szCs w:val="18"/>
        </w:rPr>
        <w:t>(Geopolitical Intelligence Services)</w:t>
      </w:r>
      <w:r w:rsidR="00F61358" w:rsidRPr="00E87A25">
        <w:rPr>
          <w:rFonts w:cs="Arial"/>
          <w:szCs w:val="18"/>
        </w:rPr>
        <w:t xml:space="preserve"> report</w:t>
      </w:r>
      <w:r w:rsidR="00FB2FFD" w:rsidRPr="00E87A25">
        <w:rPr>
          <w:rFonts w:cs="Arial"/>
          <w:szCs w:val="18"/>
        </w:rPr>
        <w:t>,</w:t>
      </w:r>
      <w:r w:rsidR="00F61358" w:rsidRPr="00E87A25">
        <w:rPr>
          <w:rFonts w:cs="Arial"/>
          <w:szCs w:val="18"/>
        </w:rPr>
        <w:t xml:space="preserve"> 2023)</w:t>
      </w:r>
      <w:r w:rsidR="006543F5" w:rsidRPr="00E87A25">
        <w:rPr>
          <w:rFonts w:cs="Arial"/>
          <w:szCs w:val="18"/>
        </w:rPr>
        <w:t>.</w:t>
      </w:r>
      <w:r w:rsidR="006543F5" w:rsidRPr="006543F5">
        <w:rPr>
          <w:rFonts w:cs="Arial"/>
          <w:szCs w:val="18"/>
        </w:rPr>
        <w:t xml:space="preserve"> Compounding this issue is the ever-increasing global population, contributing to a scarcity of fossil fuel resources. Consequently, there</w:t>
      </w:r>
      <w:r w:rsidR="004A0AC4">
        <w:rPr>
          <w:rFonts w:cs="Arial"/>
          <w:szCs w:val="18"/>
        </w:rPr>
        <w:t xml:space="preserve"> i</w:t>
      </w:r>
      <w:r w:rsidR="006543F5" w:rsidRPr="006543F5">
        <w:rPr>
          <w:rFonts w:cs="Arial"/>
          <w:szCs w:val="18"/>
        </w:rPr>
        <w:t xml:space="preserve">s a pressing need to transition away from fossil fuels and embrace renewable energy sources. </w:t>
      </w:r>
      <w:r w:rsidR="00B76E81">
        <w:rPr>
          <w:rFonts w:cs="Arial"/>
          <w:szCs w:val="18"/>
        </w:rPr>
        <w:t xml:space="preserve">Among </w:t>
      </w:r>
      <w:r w:rsidR="006543F5" w:rsidRPr="006543F5">
        <w:rPr>
          <w:rFonts w:cs="Arial"/>
          <w:szCs w:val="18"/>
        </w:rPr>
        <w:t>the alternative</w:t>
      </w:r>
      <w:r w:rsidR="00201B26">
        <w:rPr>
          <w:rFonts w:cs="Arial"/>
          <w:szCs w:val="18"/>
        </w:rPr>
        <w:t xml:space="preserve"> solutions</w:t>
      </w:r>
      <w:r w:rsidR="006543F5" w:rsidRPr="006543F5">
        <w:rPr>
          <w:rFonts w:cs="Arial"/>
          <w:szCs w:val="18"/>
        </w:rPr>
        <w:t>, hydrogen</w:t>
      </w:r>
      <w:r w:rsidR="00201B26">
        <w:rPr>
          <w:rFonts w:cs="Arial"/>
          <w:szCs w:val="18"/>
        </w:rPr>
        <w:t xml:space="preserve"> is a </w:t>
      </w:r>
      <w:r w:rsidR="006543F5" w:rsidRPr="006543F5">
        <w:rPr>
          <w:rFonts w:cs="Arial"/>
          <w:szCs w:val="18"/>
        </w:rPr>
        <w:t xml:space="preserve">promising candidate due to its high heating value, and </w:t>
      </w:r>
      <w:r w:rsidR="00201B26">
        <w:rPr>
          <w:rFonts w:cs="Arial"/>
          <w:szCs w:val="18"/>
        </w:rPr>
        <w:t>CO</w:t>
      </w:r>
      <w:r w:rsidR="00201B26" w:rsidRPr="00201B26">
        <w:rPr>
          <w:rFonts w:cs="Arial"/>
          <w:szCs w:val="18"/>
          <w:vertAlign w:val="subscript"/>
        </w:rPr>
        <w:t>2</w:t>
      </w:r>
      <w:r w:rsidR="004A0AC4">
        <w:rPr>
          <w:rFonts w:cs="Arial"/>
          <w:szCs w:val="18"/>
        </w:rPr>
        <w:t>-</w:t>
      </w:r>
      <w:r w:rsidR="00201B26">
        <w:rPr>
          <w:rFonts w:cs="Arial"/>
          <w:szCs w:val="18"/>
        </w:rPr>
        <w:t xml:space="preserve">free clean </w:t>
      </w:r>
      <w:r w:rsidR="004A0AC4">
        <w:rPr>
          <w:rFonts w:cs="Arial"/>
          <w:szCs w:val="18"/>
        </w:rPr>
        <w:t>combustion</w:t>
      </w:r>
      <w:r w:rsidR="006543F5" w:rsidRPr="006543F5">
        <w:rPr>
          <w:rFonts w:cs="Arial"/>
          <w:szCs w:val="18"/>
        </w:rPr>
        <w:t xml:space="preserve">. Looking ahead to 2050, hydrogen is anticipated to meet a substantial 20% of the world's energy demand, with the global hydrogen market poised to reach an impressive 600-650 million tonnes </w:t>
      </w:r>
      <w:r w:rsidR="00FB2FFD" w:rsidRPr="00CD2F4B">
        <w:rPr>
          <w:rFonts w:cs="Arial"/>
          <w:szCs w:val="18"/>
        </w:rPr>
        <w:t>(IEA Bioenergy, 2023)</w:t>
      </w:r>
      <w:r w:rsidR="006543F5" w:rsidRPr="00CD2F4B">
        <w:rPr>
          <w:rFonts w:cs="Arial"/>
          <w:szCs w:val="18"/>
        </w:rPr>
        <w:t xml:space="preserve">. </w:t>
      </w:r>
      <w:r w:rsidR="006543F5" w:rsidRPr="006543F5">
        <w:rPr>
          <w:rFonts w:cs="Arial"/>
          <w:szCs w:val="18"/>
        </w:rPr>
        <w:t>Hydrogen (H</w:t>
      </w:r>
      <w:r w:rsidR="006543F5" w:rsidRPr="00101BDF">
        <w:rPr>
          <w:rFonts w:cs="Arial"/>
          <w:szCs w:val="18"/>
          <w:vertAlign w:val="subscript"/>
        </w:rPr>
        <w:t>2</w:t>
      </w:r>
      <w:r w:rsidR="006543F5" w:rsidRPr="006543F5">
        <w:rPr>
          <w:rFonts w:cs="Arial"/>
          <w:szCs w:val="18"/>
        </w:rPr>
        <w:t>) can be derived from various sources, including water, biomass, H</w:t>
      </w:r>
      <w:r w:rsidR="006543F5" w:rsidRPr="00101BDF">
        <w:rPr>
          <w:rFonts w:cs="Arial"/>
          <w:szCs w:val="18"/>
          <w:vertAlign w:val="subscript"/>
        </w:rPr>
        <w:t>2</w:t>
      </w:r>
      <w:r w:rsidR="006543F5" w:rsidRPr="006543F5">
        <w:rPr>
          <w:rFonts w:cs="Arial"/>
          <w:szCs w:val="18"/>
        </w:rPr>
        <w:t xml:space="preserve">S, natural gases, and others. Notably, biomass takes </w:t>
      </w:r>
      <w:r w:rsidR="004A0AC4">
        <w:rPr>
          <w:rFonts w:cs="Arial"/>
          <w:szCs w:val="18"/>
        </w:rPr>
        <w:t xml:space="preserve">the </w:t>
      </w:r>
      <w:r w:rsidR="002A4D43" w:rsidRPr="006543F5">
        <w:rPr>
          <w:rFonts w:cs="Arial"/>
          <w:szCs w:val="18"/>
        </w:rPr>
        <w:t>centre</w:t>
      </w:r>
      <w:r w:rsidR="006543F5" w:rsidRPr="006543F5">
        <w:rPr>
          <w:rFonts w:cs="Arial"/>
          <w:szCs w:val="18"/>
        </w:rPr>
        <w:t xml:space="preserve"> stage as a readily available source for hydrogen production. Currently, biomass energy contributes over 55% to the renewable energy sector, constituting 6% of the global energy supply. Diverse thermal and chemical processes, such as combustion, gasification, hydrothermal liquefaction, and pyrolysis, facilitate biomass conversio</w:t>
      </w:r>
      <w:r w:rsidR="00653316">
        <w:rPr>
          <w:rFonts w:cs="Arial"/>
          <w:szCs w:val="18"/>
        </w:rPr>
        <w:t xml:space="preserve">n. In this landscape, microwave-assisted </w:t>
      </w:r>
      <w:r w:rsidR="006543F5" w:rsidRPr="006543F5">
        <w:rPr>
          <w:rFonts w:cs="Arial"/>
          <w:szCs w:val="18"/>
        </w:rPr>
        <w:t xml:space="preserve">pyrolysis emerges as a noteworthy hybrid technique, offering the advantage of </w:t>
      </w:r>
      <w:r w:rsidR="004A0AC4">
        <w:rPr>
          <w:rFonts w:cs="Arial"/>
          <w:szCs w:val="18"/>
        </w:rPr>
        <w:t>energy-efficient conversion</w:t>
      </w:r>
      <w:r w:rsidR="006543F5" w:rsidRPr="006543F5">
        <w:rPr>
          <w:rFonts w:cs="Arial"/>
          <w:szCs w:val="18"/>
        </w:rPr>
        <w:t>. This technique proves effective even for non-homogeneous and large-sized biomass</w:t>
      </w:r>
      <w:r w:rsidR="00A33EEC">
        <w:rPr>
          <w:rFonts w:cs="Arial"/>
          <w:szCs w:val="18"/>
        </w:rPr>
        <w:t xml:space="preserve"> </w:t>
      </w:r>
      <w:r w:rsidR="00A33EEC" w:rsidRPr="00CD2F4B">
        <w:rPr>
          <w:rFonts w:cs="Arial"/>
          <w:szCs w:val="18"/>
        </w:rPr>
        <w:t>(</w:t>
      </w:r>
      <w:r w:rsidR="00A33EEC" w:rsidRPr="00CD2F4B">
        <w:rPr>
          <w:rFonts w:cs="Arial"/>
          <w:color w:val="222222"/>
          <w:szCs w:val="18"/>
          <w:shd w:val="clear" w:color="auto" w:fill="FFFFFF"/>
        </w:rPr>
        <w:t>Robinson et al. 2010)</w:t>
      </w:r>
      <w:r w:rsidR="006543F5" w:rsidRPr="00CD2F4B">
        <w:rPr>
          <w:rFonts w:cs="Arial"/>
          <w:szCs w:val="18"/>
        </w:rPr>
        <w:t>.</w:t>
      </w:r>
      <w:r w:rsidR="006543F5" w:rsidRPr="006543F5">
        <w:rPr>
          <w:rFonts w:cs="Arial"/>
          <w:szCs w:val="18"/>
        </w:rPr>
        <w:t xml:space="preserve"> The process involves the thermal conversion of biomass into products at a high heating rate in an inert atmosphere (N</w:t>
      </w:r>
      <w:r w:rsidR="006543F5" w:rsidRPr="00101BDF">
        <w:rPr>
          <w:rFonts w:cs="Arial"/>
          <w:szCs w:val="18"/>
          <w:vertAlign w:val="subscript"/>
        </w:rPr>
        <w:t>2</w:t>
      </w:r>
      <w:r w:rsidR="006543F5" w:rsidRPr="00D54467">
        <w:rPr>
          <w:rFonts w:cs="Arial"/>
          <w:szCs w:val="18"/>
        </w:rPr>
        <w:t xml:space="preserve">) </w:t>
      </w:r>
      <w:r w:rsidR="009B4B63" w:rsidRPr="00CD2F4B">
        <w:rPr>
          <w:rFonts w:cs="Arial"/>
          <w:szCs w:val="18"/>
        </w:rPr>
        <w:t>(</w:t>
      </w:r>
      <w:r w:rsidR="00B823E3" w:rsidRPr="00CD2F4B">
        <w:rPr>
          <w:rStyle w:val="given-name"/>
        </w:rPr>
        <w:t>Mishra</w:t>
      </w:r>
      <w:r w:rsidR="009B4B63" w:rsidRPr="00CD2F4B">
        <w:rPr>
          <w:rStyle w:val="given-name"/>
        </w:rPr>
        <w:t xml:space="preserve"> et al., </w:t>
      </w:r>
      <w:r w:rsidR="00004DE2" w:rsidRPr="00CD2F4B">
        <w:rPr>
          <w:rStyle w:val="given-name"/>
        </w:rPr>
        <w:t>2023)</w:t>
      </w:r>
      <w:r w:rsidR="006543F5" w:rsidRPr="00CD2F4B">
        <w:rPr>
          <w:rFonts w:cs="Arial"/>
          <w:szCs w:val="18"/>
        </w:rPr>
        <w:t>.</w:t>
      </w:r>
      <w:r w:rsidR="006543F5" w:rsidRPr="006543F5">
        <w:rPr>
          <w:rFonts w:cs="Arial"/>
          <w:szCs w:val="18"/>
        </w:rPr>
        <w:t xml:space="preserve"> The use of microwave-absorbing material</w:t>
      </w:r>
      <w:r w:rsidR="00154FAC">
        <w:rPr>
          <w:rFonts w:cs="Arial"/>
          <w:szCs w:val="18"/>
        </w:rPr>
        <w:t xml:space="preserve"> or susceptor</w:t>
      </w:r>
      <w:r w:rsidR="006543F5" w:rsidRPr="006543F5">
        <w:rPr>
          <w:rFonts w:cs="Arial"/>
          <w:szCs w:val="18"/>
        </w:rPr>
        <w:t xml:space="preserve">, particularly activated carbon, promotes uniform heating and accelerates the heating rate. The selection of the optimal microwave-absorbing material in precise proportions </w:t>
      </w:r>
      <w:r w:rsidR="00745BD8">
        <w:rPr>
          <w:rFonts w:cs="Arial"/>
          <w:szCs w:val="18"/>
        </w:rPr>
        <w:t>is</w:t>
      </w:r>
      <w:r w:rsidR="006543F5" w:rsidRPr="006543F5">
        <w:rPr>
          <w:rFonts w:cs="Arial"/>
          <w:szCs w:val="18"/>
        </w:rPr>
        <w:t xml:space="preserve"> a critical parameter </w:t>
      </w:r>
      <w:r w:rsidR="004A0AC4">
        <w:rPr>
          <w:rFonts w:cs="Arial"/>
          <w:szCs w:val="18"/>
        </w:rPr>
        <w:t>in deciding the</w:t>
      </w:r>
      <w:r w:rsidR="006543F5" w:rsidRPr="006543F5">
        <w:rPr>
          <w:rFonts w:cs="Arial"/>
          <w:szCs w:val="18"/>
        </w:rPr>
        <w:t xml:space="preserve"> product di</w:t>
      </w:r>
      <w:r w:rsidR="000F4811">
        <w:rPr>
          <w:rFonts w:cs="Arial"/>
          <w:szCs w:val="18"/>
        </w:rPr>
        <w:t>stribution</w:t>
      </w:r>
      <w:r w:rsidR="004A0AC4">
        <w:rPr>
          <w:rFonts w:cs="Arial"/>
          <w:szCs w:val="18"/>
        </w:rPr>
        <w:t>,</w:t>
      </w:r>
      <w:r w:rsidR="000F4811">
        <w:rPr>
          <w:rFonts w:cs="Arial"/>
          <w:szCs w:val="18"/>
        </w:rPr>
        <w:t xml:space="preserve"> </w:t>
      </w:r>
      <w:r w:rsidR="004A0AC4">
        <w:rPr>
          <w:rFonts w:cs="Arial"/>
          <w:szCs w:val="18"/>
        </w:rPr>
        <w:t xml:space="preserve">which </w:t>
      </w:r>
      <w:r w:rsidR="000F4811">
        <w:rPr>
          <w:rFonts w:cs="Arial"/>
          <w:szCs w:val="18"/>
        </w:rPr>
        <w:t>encompass bio</w:t>
      </w:r>
      <w:r w:rsidR="00AC6106">
        <w:rPr>
          <w:rFonts w:cs="Arial"/>
          <w:szCs w:val="18"/>
        </w:rPr>
        <w:t>-</w:t>
      </w:r>
      <w:r w:rsidR="000F4811">
        <w:rPr>
          <w:rFonts w:cs="Arial"/>
          <w:szCs w:val="18"/>
        </w:rPr>
        <w:t xml:space="preserve">char, </w:t>
      </w:r>
      <w:r w:rsidR="006543F5" w:rsidRPr="006543F5">
        <w:rPr>
          <w:rFonts w:cs="Arial"/>
          <w:szCs w:val="18"/>
        </w:rPr>
        <w:t>bio</w:t>
      </w:r>
      <w:r w:rsidR="00AC6106">
        <w:rPr>
          <w:rFonts w:cs="Arial"/>
          <w:szCs w:val="18"/>
        </w:rPr>
        <w:t>-</w:t>
      </w:r>
      <w:r w:rsidR="006543F5" w:rsidRPr="006543F5">
        <w:rPr>
          <w:rFonts w:cs="Arial"/>
          <w:szCs w:val="18"/>
        </w:rPr>
        <w:t>oil, and syngas (</w:t>
      </w:r>
      <w:r w:rsidR="00101BDF">
        <w:rPr>
          <w:rFonts w:cs="Arial"/>
          <w:szCs w:val="18"/>
        </w:rPr>
        <w:t xml:space="preserve">CO, </w:t>
      </w:r>
      <w:r w:rsidR="006543F5" w:rsidRPr="006543F5">
        <w:rPr>
          <w:rFonts w:cs="Arial"/>
          <w:szCs w:val="18"/>
        </w:rPr>
        <w:t>CO</w:t>
      </w:r>
      <w:r w:rsidR="006543F5" w:rsidRPr="00101BDF">
        <w:rPr>
          <w:rFonts w:cs="Arial"/>
          <w:szCs w:val="18"/>
          <w:vertAlign w:val="subscript"/>
        </w:rPr>
        <w:t>2</w:t>
      </w:r>
      <w:r w:rsidR="006543F5" w:rsidRPr="006543F5">
        <w:rPr>
          <w:rFonts w:cs="Arial"/>
          <w:szCs w:val="18"/>
        </w:rPr>
        <w:t>, H</w:t>
      </w:r>
      <w:r w:rsidR="006543F5" w:rsidRPr="00101BDF">
        <w:rPr>
          <w:rFonts w:cs="Arial"/>
          <w:szCs w:val="18"/>
          <w:vertAlign w:val="subscript"/>
        </w:rPr>
        <w:t>2</w:t>
      </w:r>
      <w:r w:rsidR="00101BDF">
        <w:rPr>
          <w:rFonts w:cs="Arial"/>
          <w:szCs w:val="18"/>
        </w:rPr>
        <w:t xml:space="preserve"> and </w:t>
      </w:r>
      <w:r w:rsidR="006543F5" w:rsidRPr="006543F5">
        <w:rPr>
          <w:rFonts w:cs="Arial"/>
          <w:szCs w:val="18"/>
        </w:rPr>
        <w:t>CH</w:t>
      </w:r>
      <w:r w:rsidR="006543F5" w:rsidRPr="00101BDF">
        <w:rPr>
          <w:rFonts w:cs="Arial"/>
          <w:szCs w:val="18"/>
          <w:vertAlign w:val="subscript"/>
        </w:rPr>
        <w:t>4</w:t>
      </w:r>
      <w:r w:rsidR="006543F5" w:rsidRPr="006543F5">
        <w:rPr>
          <w:rFonts w:cs="Arial"/>
          <w:szCs w:val="18"/>
        </w:rPr>
        <w:t>)</w:t>
      </w:r>
      <w:r w:rsidR="004A0AC4">
        <w:rPr>
          <w:rFonts w:cs="Arial"/>
          <w:szCs w:val="18"/>
        </w:rPr>
        <w:t>, and their yield</w:t>
      </w:r>
      <w:r w:rsidR="006543F5" w:rsidRPr="006543F5">
        <w:rPr>
          <w:rFonts w:cs="Arial"/>
          <w:szCs w:val="18"/>
        </w:rPr>
        <w:t xml:space="preserve">. </w:t>
      </w:r>
      <w:r w:rsidR="00E33790">
        <w:rPr>
          <w:rFonts w:cs="Arial"/>
          <w:szCs w:val="18"/>
        </w:rPr>
        <w:t xml:space="preserve">Most of the </w:t>
      </w:r>
      <w:r w:rsidR="004A0AC4">
        <w:rPr>
          <w:rFonts w:cs="Arial"/>
          <w:szCs w:val="18"/>
        </w:rPr>
        <w:t xml:space="preserve">existing </w:t>
      </w:r>
      <w:r w:rsidR="00E33790">
        <w:rPr>
          <w:rFonts w:cs="Arial"/>
          <w:szCs w:val="18"/>
        </w:rPr>
        <w:t xml:space="preserve">studies on hydrogen production from biomass </w:t>
      </w:r>
      <w:r w:rsidR="004A0AC4">
        <w:rPr>
          <w:rFonts w:cs="Arial"/>
          <w:szCs w:val="18"/>
        </w:rPr>
        <w:t xml:space="preserve">are focused on </w:t>
      </w:r>
      <w:r w:rsidR="00E33790">
        <w:rPr>
          <w:rFonts w:cs="Arial"/>
          <w:szCs w:val="18"/>
        </w:rPr>
        <w:t>gasification</w:t>
      </w:r>
      <w:r w:rsidR="004A0AC4">
        <w:rPr>
          <w:rFonts w:cs="Arial"/>
          <w:szCs w:val="18"/>
        </w:rPr>
        <w:t>, while only a</w:t>
      </w:r>
      <w:r w:rsidR="00E33790">
        <w:rPr>
          <w:rFonts w:cs="Arial"/>
          <w:szCs w:val="18"/>
        </w:rPr>
        <w:t xml:space="preserve"> </w:t>
      </w:r>
      <w:r w:rsidR="004A0AC4">
        <w:rPr>
          <w:rFonts w:cs="Arial"/>
          <w:szCs w:val="18"/>
        </w:rPr>
        <w:t xml:space="preserve">notable few </w:t>
      </w:r>
      <w:r w:rsidR="00E33790">
        <w:rPr>
          <w:rFonts w:cs="Arial"/>
          <w:szCs w:val="18"/>
        </w:rPr>
        <w:t>studies are related to hydrogen production from biomass pyrolysis.</w:t>
      </w:r>
      <w:r w:rsidR="00D52A91">
        <w:rPr>
          <w:rFonts w:cs="Arial"/>
          <w:szCs w:val="18"/>
        </w:rPr>
        <w:t xml:space="preserve"> </w:t>
      </w:r>
      <w:r w:rsidR="004A0AC4">
        <w:rPr>
          <w:rFonts w:cs="Arial"/>
          <w:szCs w:val="18"/>
        </w:rPr>
        <w:t>In general, m</w:t>
      </w:r>
      <w:r w:rsidR="00197209">
        <w:rPr>
          <w:rFonts w:cs="Arial"/>
          <w:szCs w:val="18"/>
        </w:rPr>
        <w:t>icrowave</w:t>
      </w:r>
      <w:r w:rsidR="004A0AC4">
        <w:rPr>
          <w:rFonts w:cs="Arial"/>
          <w:szCs w:val="18"/>
        </w:rPr>
        <w:t xml:space="preserve">-assisted heating promotes the </w:t>
      </w:r>
      <w:r w:rsidR="00197209">
        <w:rPr>
          <w:rFonts w:cs="Arial"/>
          <w:szCs w:val="18"/>
        </w:rPr>
        <w:t>production of hydrogen and methane</w:t>
      </w:r>
      <w:r w:rsidR="004A0AC4">
        <w:rPr>
          <w:rFonts w:cs="Arial"/>
          <w:szCs w:val="18"/>
        </w:rPr>
        <w:t xml:space="preserve"> even at low bulk </w:t>
      </w:r>
      <w:r w:rsidR="004A0AC4">
        <w:rPr>
          <w:rFonts w:cs="Arial"/>
          <w:szCs w:val="18"/>
        </w:rPr>
        <w:lastRenderedPageBreak/>
        <w:t>temperatures of the reaction as</w:t>
      </w:r>
      <w:r w:rsidR="00197209">
        <w:rPr>
          <w:rFonts w:cs="Arial"/>
          <w:szCs w:val="18"/>
        </w:rPr>
        <w:t xml:space="preserve"> compared to conventional pyrolysis. </w:t>
      </w:r>
      <w:r w:rsidR="00D52A91" w:rsidRPr="00CD2F4B">
        <w:rPr>
          <w:rFonts w:cs="Arial"/>
          <w:color w:val="222222"/>
          <w:shd w:val="clear" w:color="auto" w:fill="FFFFFF"/>
        </w:rPr>
        <w:t>Shoja et al. (2013)</w:t>
      </w:r>
      <w:r w:rsidR="00D52A91">
        <w:rPr>
          <w:rFonts w:cs="Arial"/>
          <w:color w:val="222222"/>
          <w:shd w:val="clear" w:color="auto" w:fill="FFFFFF"/>
        </w:rPr>
        <w:t xml:space="preserve"> conducted bagasse pyrolysis at 600-900°C </w:t>
      </w:r>
      <w:r w:rsidR="00197209">
        <w:rPr>
          <w:rFonts w:cs="Arial"/>
          <w:color w:val="222222"/>
          <w:shd w:val="clear" w:color="auto" w:fill="FFFFFF"/>
        </w:rPr>
        <w:t>using a</w:t>
      </w:r>
      <w:r w:rsidR="00D52A91">
        <w:rPr>
          <w:rFonts w:cs="Arial"/>
          <w:color w:val="222222"/>
          <w:shd w:val="clear" w:color="auto" w:fill="FFFFFF"/>
        </w:rPr>
        <w:t xml:space="preserve"> dual bed </w:t>
      </w:r>
      <w:r w:rsidR="0056639D">
        <w:rPr>
          <w:rFonts w:cs="Arial"/>
          <w:color w:val="222222"/>
          <w:shd w:val="clear" w:color="auto" w:fill="FFFFFF"/>
        </w:rPr>
        <w:t>reactor and</w:t>
      </w:r>
      <w:r w:rsidR="00D52A91">
        <w:rPr>
          <w:rFonts w:cs="Arial"/>
          <w:color w:val="222222"/>
          <w:shd w:val="clear" w:color="auto" w:fill="FFFFFF"/>
        </w:rPr>
        <w:t xml:space="preserve"> obtained hydrogen yield </w:t>
      </w:r>
      <w:r w:rsidR="0056639D">
        <w:rPr>
          <w:rFonts w:cs="Arial"/>
          <w:color w:val="222222"/>
          <w:shd w:val="clear" w:color="auto" w:fill="FFFFFF"/>
        </w:rPr>
        <w:t>~</w:t>
      </w:r>
      <w:r w:rsidR="00D52A91">
        <w:rPr>
          <w:rFonts w:cs="Arial"/>
          <w:color w:val="222222"/>
          <w:shd w:val="clear" w:color="auto" w:fill="FFFFFF"/>
        </w:rPr>
        <w:t>10 vol.%</w:t>
      </w:r>
      <w:r w:rsidR="0056639D">
        <w:rPr>
          <w:rFonts w:cs="Arial"/>
          <w:color w:val="222222"/>
          <w:shd w:val="clear" w:color="auto" w:fill="FFFFFF"/>
        </w:rPr>
        <w:t>. In a similar study</w:t>
      </w:r>
      <w:r w:rsidR="008A5F74">
        <w:rPr>
          <w:rFonts w:cs="Arial"/>
          <w:color w:val="222222"/>
          <w:shd w:val="clear" w:color="auto" w:fill="FFFFFF"/>
        </w:rPr>
        <w:t xml:space="preserve"> </w:t>
      </w:r>
      <w:r w:rsidR="008A5F74" w:rsidRPr="00CD2F4B">
        <w:rPr>
          <w:rFonts w:cs="Arial"/>
          <w:color w:val="222222"/>
          <w:shd w:val="clear" w:color="auto" w:fill="FFFFFF"/>
        </w:rPr>
        <w:t>(Zhang et al., 2022),</w:t>
      </w:r>
      <w:r w:rsidR="0056639D">
        <w:rPr>
          <w:rFonts w:cs="Arial"/>
          <w:color w:val="222222"/>
          <w:shd w:val="clear" w:color="auto" w:fill="FFFFFF"/>
        </w:rPr>
        <w:t xml:space="preserve"> </w:t>
      </w:r>
      <w:r w:rsidR="008A5F74">
        <w:rPr>
          <w:rFonts w:cs="Arial"/>
          <w:color w:val="222222"/>
          <w:shd w:val="clear" w:color="auto" w:fill="FFFFFF"/>
        </w:rPr>
        <w:t xml:space="preserve">the hydrogen yield was ~38 vol.% through microwave assisted pyrolysis of bagasse. To the best of authors knowledge this is the first </w:t>
      </w:r>
      <w:r w:rsidR="004A0AC4">
        <w:rPr>
          <w:rFonts w:cs="Arial"/>
          <w:color w:val="222222"/>
          <w:shd w:val="clear" w:color="auto" w:fill="FFFFFF"/>
        </w:rPr>
        <w:t>study to compare the product yields and their quality from four different biomass feedstocks including lignocellulosic and macroalgae, with a focus on hydrogen</w:t>
      </w:r>
      <w:r w:rsidR="008A5F74">
        <w:rPr>
          <w:rFonts w:cs="Arial"/>
          <w:color w:val="222222"/>
          <w:shd w:val="clear" w:color="auto" w:fill="FFFFFF"/>
        </w:rPr>
        <w:t xml:space="preserve">.   </w:t>
      </w:r>
      <w:r w:rsidR="0056639D">
        <w:rPr>
          <w:rFonts w:cs="Arial"/>
          <w:color w:val="222222"/>
          <w:shd w:val="clear" w:color="auto" w:fill="FFFFFF"/>
        </w:rPr>
        <w:t xml:space="preserve">  </w:t>
      </w:r>
    </w:p>
    <w:p w14:paraId="7DE684CB" w14:textId="78421CBF" w:rsidR="006543F5" w:rsidRPr="006543F5" w:rsidRDefault="006543F5" w:rsidP="006543F5">
      <w:pPr>
        <w:pStyle w:val="ListParagraph"/>
        <w:ind w:left="0"/>
        <w:rPr>
          <w:rFonts w:cs="Arial"/>
          <w:szCs w:val="18"/>
        </w:rPr>
      </w:pPr>
      <w:r w:rsidRPr="006543F5">
        <w:rPr>
          <w:rFonts w:cs="Arial"/>
          <w:szCs w:val="18"/>
        </w:rPr>
        <w:t xml:space="preserve">In </w:t>
      </w:r>
      <w:r w:rsidR="00AC6106">
        <w:rPr>
          <w:rFonts w:cs="Arial"/>
          <w:szCs w:val="18"/>
        </w:rPr>
        <w:t xml:space="preserve">this </w:t>
      </w:r>
      <w:r w:rsidR="00AC6106" w:rsidRPr="006543F5">
        <w:rPr>
          <w:rFonts w:cs="Arial"/>
          <w:szCs w:val="18"/>
        </w:rPr>
        <w:t>study</w:t>
      </w:r>
      <w:r w:rsidRPr="006543F5">
        <w:rPr>
          <w:rFonts w:cs="Arial"/>
          <w:szCs w:val="18"/>
        </w:rPr>
        <w:t xml:space="preserve">, microwave pyrolysis is conducted on </w:t>
      </w:r>
      <w:r w:rsidR="00101BDF">
        <w:rPr>
          <w:rFonts w:cs="Arial"/>
          <w:szCs w:val="18"/>
        </w:rPr>
        <w:t>r</w:t>
      </w:r>
      <w:r w:rsidRPr="006543F5">
        <w:rPr>
          <w:rFonts w:cs="Arial"/>
          <w:szCs w:val="18"/>
        </w:rPr>
        <w:t xml:space="preserve">ice </w:t>
      </w:r>
      <w:r w:rsidR="00101BDF">
        <w:rPr>
          <w:rFonts w:cs="Arial"/>
          <w:szCs w:val="18"/>
        </w:rPr>
        <w:t>husk</w:t>
      </w:r>
      <w:r w:rsidRPr="006543F5">
        <w:rPr>
          <w:rFonts w:cs="Arial"/>
          <w:szCs w:val="18"/>
        </w:rPr>
        <w:t xml:space="preserve"> (R</w:t>
      </w:r>
      <w:r w:rsidR="00101BDF">
        <w:rPr>
          <w:rFonts w:cs="Arial"/>
          <w:szCs w:val="18"/>
        </w:rPr>
        <w:t>H</w:t>
      </w:r>
      <w:r w:rsidRPr="006543F5">
        <w:rPr>
          <w:rFonts w:cs="Arial"/>
          <w:szCs w:val="18"/>
        </w:rPr>
        <w:t xml:space="preserve">), </w:t>
      </w:r>
      <w:r w:rsidR="00101BDF">
        <w:rPr>
          <w:rFonts w:cs="Arial"/>
          <w:szCs w:val="18"/>
        </w:rPr>
        <w:t xml:space="preserve">pine </w:t>
      </w:r>
      <w:r w:rsidR="0069621A">
        <w:rPr>
          <w:rFonts w:cs="Arial"/>
          <w:szCs w:val="18"/>
        </w:rPr>
        <w:t xml:space="preserve">sawdust (SD), </w:t>
      </w:r>
      <w:r w:rsidR="0069621A" w:rsidRPr="0069621A">
        <w:rPr>
          <w:rFonts w:cs="Arial"/>
          <w:i/>
          <w:szCs w:val="18"/>
        </w:rPr>
        <w:t xml:space="preserve">Kappaphycus </w:t>
      </w:r>
      <w:r w:rsidR="00EA66FF">
        <w:rPr>
          <w:rFonts w:cs="Arial"/>
          <w:i/>
          <w:szCs w:val="18"/>
        </w:rPr>
        <w:t>a</w:t>
      </w:r>
      <w:r w:rsidRPr="0069621A">
        <w:rPr>
          <w:rFonts w:cs="Arial"/>
          <w:i/>
          <w:szCs w:val="18"/>
        </w:rPr>
        <w:t>lvarezii</w:t>
      </w:r>
      <w:r w:rsidRPr="006543F5">
        <w:rPr>
          <w:rFonts w:cs="Arial"/>
          <w:szCs w:val="18"/>
        </w:rPr>
        <w:t xml:space="preserve"> (KA)</w:t>
      </w:r>
      <w:r w:rsidR="00101BDF">
        <w:rPr>
          <w:rFonts w:cs="Arial"/>
          <w:szCs w:val="18"/>
        </w:rPr>
        <w:t xml:space="preserve">, and </w:t>
      </w:r>
      <w:r w:rsidR="00101BDF" w:rsidRPr="0069621A">
        <w:rPr>
          <w:rFonts w:cs="Arial"/>
          <w:i/>
          <w:szCs w:val="18"/>
        </w:rPr>
        <w:t xml:space="preserve">Eucheuma </w:t>
      </w:r>
      <w:r w:rsidR="00EA66FF">
        <w:rPr>
          <w:rFonts w:cs="Arial"/>
          <w:i/>
          <w:szCs w:val="18"/>
        </w:rPr>
        <w:t>s</w:t>
      </w:r>
      <w:r w:rsidR="00101BDF" w:rsidRPr="0069621A">
        <w:rPr>
          <w:rFonts w:cs="Arial"/>
          <w:i/>
          <w:szCs w:val="18"/>
        </w:rPr>
        <w:t>pinosum</w:t>
      </w:r>
      <w:r w:rsidR="00101BDF">
        <w:rPr>
          <w:rFonts w:cs="Arial"/>
          <w:szCs w:val="18"/>
        </w:rPr>
        <w:t xml:space="preserve"> (ES). </w:t>
      </w:r>
      <w:r w:rsidR="008D08F8">
        <w:rPr>
          <w:rFonts w:cs="Arial"/>
          <w:szCs w:val="18"/>
        </w:rPr>
        <w:t>Pyrolysis was conducted</w:t>
      </w:r>
      <w:r w:rsidRPr="006543F5">
        <w:rPr>
          <w:rFonts w:cs="Arial"/>
          <w:szCs w:val="18"/>
        </w:rPr>
        <w:t xml:space="preserve"> in a microwave reactor at 800</w:t>
      </w:r>
      <w:r w:rsidR="004A0AC4">
        <w:rPr>
          <w:rFonts w:cs="Arial"/>
          <w:szCs w:val="18"/>
        </w:rPr>
        <w:t xml:space="preserve"> </w:t>
      </w:r>
      <w:r w:rsidRPr="006543F5">
        <w:rPr>
          <w:rFonts w:cs="Arial"/>
          <w:szCs w:val="18"/>
        </w:rPr>
        <w:t>W</w:t>
      </w:r>
      <w:r w:rsidR="003B5A07">
        <w:rPr>
          <w:rFonts w:cs="Arial"/>
          <w:szCs w:val="18"/>
        </w:rPr>
        <w:t xml:space="preserve"> and</w:t>
      </w:r>
      <w:r w:rsidR="0049632E">
        <w:rPr>
          <w:rFonts w:cs="Arial"/>
          <w:szCs w:val="18"/>
        </w:rPr>
        <w:t xml:space="preserve"> upto</w:t>
      </w:r>
      <w:r w:rsidR="003B5A07">
        <w:rPr>
          <w:rFonts w:cs="Arial"/>
          <w:szCs w:val="18"/>
        </w:rPr>
        <w:t xml:space="preserve"> </w:t>
      </w:r>
      <w:r w:rsidR="003B5A07" w:rsidRPr="006543F5">
        <w:rPr>
          <w:rFonts w:cs="Arial"/>
          <w:szCs w:val="18"/>
        </w:rPr>
        <w:t>800</w:t>
      </w:r>
      <w:r w:rsidR="004A0AC4">
        <w:rPr>
          <w:rFonts w:cs="Arial"/>
          <w:szCs w:val="18"/>
        </w:rPr>
        <w:t xml:space="preserve"> </w:t>
      </w:r>
      <w:r w:rsidR="003B5A07" w:rsidRPr="006543F5">
        <w:rPr>
          <w:rFonts w:cs="Arial"/>
          <w:szCs w:val="18"/>
        </w:rPr>
        <w:t>°C</w:t>
      </w:r>
      <w:r w:rsidR="004A0AC4">
        <w:rPr>
          <w:rFonts w:cs="Arial"/>
          <w:szCs w:val="18"/>
        </w:rPr>
        <w:t>, and the product yields were evaluated</w:t>
      </w:r>
      <w:r w:rsidRPr="006543F5">
        <w:rPr>
          <w:rFonts w:cs="Arial"/>
          <w:szCs w:val="18"/>
        </w:rPr>
        <w:t xml:space="preserve">. Furthermore, </w:t>
      </w:r>
      <w:r w:rsidR="004A0AC4">
        <w:rPr>
          <w:rFonts w:cs="Arial"/>
          <w:szCs w:val="18"/>
        </w:rPr>
        <w:t xml:space="preserve">the oil and gas fractions were </w:t>
      </w:r>
      <w:r w:rsidR="0049632E">
        <w:rPr>
          <w:rFonts w:cs="Arial"/>
          <w:szCs w:val="18"/>
        </w:rPr>
        <w:t>th</w:t>
      </w:r>
      <w:r w:rsidR="004A0AC4">
        <w:rPr>
          <w:rFonts w:cs="Arial"/>
          <w:szCs w:val="18"/>
        </w:rPr>
        <w:t>or</w:t>
      </w:r>
      <w:r w:rsidR="0049632E">
        <w:rPr>
          <w:rFonts w:cs="Arial"/>
          <w:szCs w:val="18"/>
        </w:rPr>
        <w:t>ough</w:t>
      </w:r>
      <w:r w:rsidR="004A0AC4">
        <w:rPr>
          <w:rFonts w:cs="Arial"/>
          <w:szCs w:val="18"/>
        </w:rPr>
        <w:t>ly characterized</w:t>
      </w:r>
      <w:r w:rsidR="00F72854">
        <w:rPr>
          <w:rFonts w:cs="Arial"/>
          <w:szCs w:val="18"/>
        </w:rPr>
        <w:t xml:space="preserve"> to </w:t>
      </w:r>
      <w:r w:rsidRPr="006543F5">
        <w:rPr>
          <w:rFonts w:cs="Arial"/>
          <w:szCs w:val="18"/>
        </w:rPr>
        <w:t xml:space="preserve">unveil the potential of microwave pyrolysis </w:t>
      </w:r>
      <w:r w:rsidR="00327CD0">
        <w:rPr>
          <w:rFonts w:cs="Arial"/>
          <w:szCs w:val="18"/>
        </w:rPr>
        <w:t>for</w:t>
      </w:r>
      <w:r w:rsidRPr="006543F5">
        <w:rPr>
          <w:rFonts w:cs="Arial"/>
          <w:szCs w:val="18"/>
        </w:rPr>
        <w:t xml:space="preserve"> achieving high selectivity </w:t>
      </w:r>
      <w:r w:rsidR="00193987">
        <w:rPr>
          <w:rFonts w:cs="Arial"/>
          <w:szCs w:val="18"/>
        </w:rPr>
        <w:t>to</w:t>
      </w:r>
      <w:r w:rsidRPr="006543F5">
        <w:rPr>
          <w:rFonts w:cs="Arial"/>
          <w:szCs w:val="18"/>
        </w:rPr>
        <w:t xml:space="preserve"> hydrogen</w:t>
      </w:r>
      <w:r w:rsidR="00193987">
        <w:rPr>
          <w:rFonts w:cs="Arial"/>
          <w:szCs w:val="18"/>
        </w:rPr>
        <w:t xml:space="preserve"> along with other valuable chemicals in the oil fraction</w:t>
      </w:r>
      <w:r w:rsidRPr="006543F5">
        <w:rPr>
          <w:rFonts w:cs="Arial"/>
          <w:szCs w:val="18"/>
        </w:rPr>
        <w:t>.</w:t>
      </w:r>
    </w:p>
    <w:p w14:paraId="5741900F" w14:textId="3F6905C0" w:rsidR="00453E24" w:rsidRDefault="0061747B" w:rsidP="00453E24">
      <w:pPr>
        <w:pStyle w:val="CETHeading1"/>
      </w:pPr>
      <w:r>
        <w:t>Experimental section</w:t>
      </w:r>
    </w:p>
    <w:p w14:paraId="17B6B946" w14:textId="66FBCF55" w:rsidR="00EA66FF" w:rsidRPr="00EA66FF" w:rsidRDefault="00831896" w:rsidP="00EA66FF">
      <w:pPr>
        <w:pStyle w:val="CETheadingx"/>
      </w:pPr>
      <w:r>
        <w:t>Feedstocks</w:t>
      </w:r>
      <w:r w:rsidR="00B813BA">
        <w:t xml:space="preserve"> and their</w:t>
      </w:r>
      <w:r w:rsidR="00F42319">
        <w:t xml:space="preserve"> characterizations</w:t>
      </w:r>
    </w:p>
    <w:p w14:paraId="7C2B0064" w14:textId="2163361A" w:rsidR="00453E24" w:rsidRPr="000F3550" w:rsidRDefault="00B2057B" w:rsidP="00453E24">
      <w:pPr>
        <w:pStyle w:val="CETBodytext"/>
      </w:pPr>
      <w:r w:rsidRPr="000F3550">
        <w:t>Four different biomass</w:t>
      </w:r>
      <w:r w:rsidR="00AC3BCB" w:rsidRPr="000F3550">
        <w:t>es,</w:t>
      </w:r>
      <w:r w:rsidRPr="000F3550">
        <w:t xml:space="preserve"> which include two lignocellulosic </w:t>
      </w:r>
      <w:r w:rsidR="002A4D43" w:rsidRPr="000F3550">
        <w:t>biomasses</w:t>
      </w:r>
      <w:r w:rsidR="00AC3BCB" w:rsidRPr="000F3550">
        <w:t>,</w:t>
      </w:r>
      <w:r w:rsidRPr="000F3550">
        <w:t xml:space="preserve"> </w:t>
      </w:r>
      <w:r w:rsidR="00AC3BCB" w:rsidRPr="000F3550">
        <w:t>viz.</w:t>
      </w:r>
      <w:r w:rsidRPr="000F3550">
        <w:t xml:space="preserve"> rice husk (RH),</w:t>
      </w:r>
      <w:r w:rsidR="00A4779F" w:rsidRPr="000F3550">
        <w:t xml:space="preserve"> pine</w:t>
      </w:r>
      <w:r w:rsidRPr="000F3550">
        <w:t xml:space="preserve"> saw dust (SD)</w:t>
      </w:r>
      <w:r w:rsidR="00AC3BCB" w:rsidRPr="000F3550">
        <w:t>,</w:t>
      </w:r>
      <w:r w:rsidRPr="000F3550">
        <w:t xml:space="preserve"> and two </w:t>
      </w:r>
      <w:r w:rsidR="00C0514E" w:rsidRPr="000F3550">
        <w:t>macroalga</w:t>
      </w:r>
      <w:r w:rsidR="000E45E0" w:rsidRPr="000F3550">
        <w:t>e</w:t>
      </w:r>
      <w:r w:rsidR="00AC3BCB" w:rsidRPr="000F3550">
        <w:t>, viz.</w:t>
      </w:r>
      <w:r w:rsidRPr="000F3550">
        <w:t xml:space="preserve"> </w:t>
      </w:r>
      <w:r w:rsidR="00401D95" w:rsidRPr="000F3550">
        <w:rPr>
          <w:i/>
        </w:rPr>
        <w:t xml:space="preserve">Kappaphycus </w:t>
      </w:r>
      <w:r w:rsidR="00EA66FF" w:rsidRPr="000F3550">
        <w:rPr>
          <w:i/>
        </w:rPr>
        <w:t>a</w:t>
      </w:r>
      <w:r w:rsidRPr="000F3550">
        <w:rPr>
          <w:i/>
        </w:rPr>
        <w:t>lvarezii</w:t>
      </w:r>
      <w:r w:rsidRPr="000F3550">
        <w:t xml:space="preserve"> (KA) and </w:t>
      </w:r>
      <w:r w:rsidR="00401D95" w:rsidRPr="000F3550">
        <w:rPr>
          <w:i/>
        </w:rPr>
        <w:t xml:space="preserve">Eucheuma </w:t>
      </w:r>
      <w:r w:rsidR="00EA66FF" w:rsidRPr="000F3550">
        <w:rPr>
          <w:i/>
        </w:rPr>
        <w:t>s</w:t>
      </w:r>
      <w:r w:rsidRPr="000F3550">
        <w:rPr>
          <w:i/>
        </w:rPr>
        <w:t>pinosum</w:t>
      </w:r>
      <w:r w:rsidRPr="000F3550">
        <w:t xml:space="preserve"> (ES)</w:t>
      </w:r>
      <w:r w:rsidR="000E45E0" w:rsidRPr="000F3550">
        <w:t>,</w:t>
      </w:r>
      <w:r w:rsidRPr="000F3550">
        <w:t xml:space="preserve"> </w:t>
      </w:r>
      <w:r w:rsidR="004443D8" w:rsidRPr="000F3550">
        <w:t xml:space="preserve">were used </w:t>
      </w:r>
      <w:r w:rsidR="00193987" w:rsidRPr="000F3550">
        <w:t>in</w:t>
      </w:r>
      <w:r w:rsidR="004443D8" w:rsidRPr="000F3550">
        <w:t xml:space="preserve"> th</w:t>
      </w:r>
      <w:r w:rsidR="00A4779F" w:rsidRPr="000F3550">
        <w:t>is</w:t>
      </w:r>
      <w:r w:rsidR="004443D8" w:rsidRPr="000F3550">
        <w:t xml:space="preserve"> study</w:t>
      </w:r>
      <w:r w:rsidR="000D4CB9" w:rsidRPr="000F3550">
        <w:t xml:space="preserve">. </w:t>
      </w:r>
      <w:r w:rsidR="00193987" w:rsidRPr="000F3550">
        <w:t xml:space="preserve">RH and SD were procured locally, while </w:t>
      </w:r>
      <w:r w:rsidR="005631AE" w:rsidRPr="000F3550">
        <w:t>KA and ES were supplied by Sea6 Energy Pvt. Ltd. Bangalore, India.</w:t>
      </w:r>
      <w:r w:rsidR="008B6733" w:rsidRPr="000F3550">
        <w:t xml:space="preserve"> After collect</w:t>
      </w:r>
      <w:r w:rsidR="000D4CB9" w:rsidRPr="000F3550">
        <w:t>ing the seaweeds from</w:t>
      </w:r>
      <w:r w:rsidR="008B6733" w:rsidRPr="000F3550">
        <w:t xml:space="preserve"> Bali, Indonesia</w:t>
      </w:r>
      <w:r w:rsidR="000D4CB9" w:rsidRPr="000F3550">
        <w:t>,</w:t>
      </w:r>
      <w:r w:rsidR="008B6733" w:rsidRPr="000F3550">
        <w:t xml:space="preserve"> both seaweeds under</w:t>
      </w:r>
      <w:r w:rsidR="000D4CB9" w:rsidRPr="000F3550">
        <w:t>went</w:t>
      </w:r>
      <w:r w:rsidR="008B6733" w:rsidRPr="000F3550">
        <w:t xml:space="preserve"> mechanical processing to eliminate excess water. Finally, the KA and ES granules were obtained </w:t>
      </w:r>
      <w:r w:rsidR="000D4CB9" w:rsidRPr="000F3550">
        <w:t>after</w:t>
      </w:r>
      <w:r w:rsidR="008B6733" w:rsidRPr="000F3550">
        <w:t xml:space="preserve"> sun-drying.</w:t>
      </w:r>
      <w:r w:rsidR="004C6AFC" w:rsidRPr="000F3550">
        <w:t xml:space="preserve"> </w:t>
      </w:r>
      <w:r w:rsidR="00193987" w:rsidRPr="000F3550">
        <w:t>All</w:t>
      </w:r>
      <w:r w:rsidR="00103F10" w:rsidRPr="000F3550">
        <w:t xml:space="preserve"> </w:t>
      </w:r>
      <w:r w:rsidR="002A4D43" w:rsidRPr="000F3550">
        <w:t>feedstock</w:t>
      </w:r>
      <w:r w:rsidR="00193987" w:rsidRPr="000F3550">
        <w:t>s</w:t>
      </w:r>
      <w:r w:rsidR="00103F10" w:rsidRPr="000F3550">
        <w:t xml:space="preserve"> </w:t>
      </w:r>
      <w:r w:rsidR="002A4D43" w:rsidRPr="000F3550">
        <w:t>w</w:t>
      </w:r>
      <w:r w:rsidR="00193987" w:rsidRPr="000F3550">
        <w:t>ere</w:t>
      </w:r>
      <w:r w:rsidR="00F338D2" w:rsidRPr="000F3550">
        <w:t xml:space="preserve"> ground to particle size</w:t>
      </w:r>
      <w:r w:rsidR="00193987" w:rsidRPr="000F3550">
        <w:t xml:space="preserve"> in the range of </w:t>
      </w:r>
      <w:r w:rsidR="00F338D2" w:rsidRPr="000F3550">
        <w:t>0.5-1 mm</w:t>
      </w:r>
      <w:r w:rsidR="00193987" w:rsidRPr="000F3550">
        <w:t>,</w:t>
      </w:r>
      <w:r w:rsidR="00103F10" w:rsidRPr="000F3550">
        <w:t xml:space="preserve"> </w:t>
      </w:r>
      <w:r w:rsidR="00F338D2" w:rsidRPr="000F3550">
        <w:t xml:space="preserve">and kept </w:t>
      </w:r>
      <w:r w:rsidR="000D4CB9" w:rsidRPr="000F3550">
        <w:t>in the</w:t>
      </w:r>
      <w:r w:rsidR="00F338D2" w:rsidRPr="000F3550">
        <w:t xml:space="preserve"> oven </w:t>
      </w:r>
      <w:r w:rsidR="00103F10" w:rsidRPr="000F3550">
        <w:t>at 105°C for 24</w:t>
      </w:r>
      <w:r w:rsidR="00F338D2" w:rsidRPr="000F3550">
        <w:t xml:space="preserve"> </w:t>
      </w:r>
      <w:r w:rsidR="00103F10" w:rsidRPr="000F3550">
        <w:t xml:space="preserve">h </w:t>
      </w:r>
      <w:r w:rsidR="00F338D2" w:rsidRPr="000F3550">
        <w:t>to remove the moisture</w:t>
      </w:r>
      <w:r w:rsidR="004C6AFC" w:rsidRPr="000F3550">
        <w:t xml:space="preserve"> prior to analysis</w:t>
      </w:r>
      <w:r w:rsidR="000643BE" w:rsidRPr="000F3550">
        <w:t xml:space="preserve"> and pyrolysis experiments</w:t>
      </w:r>
      <w:r w:rsidR="004C6AFC" w:rsidRPr="000F3550">
        <w:t>.</w:t>
      </w:r>
    </w:p>
    <w:p w14:paraId="307D28CE" w14:textId="4C395A70" w:rsidR="00E31A39" w:rsidRPr="000F3550" w:rsidRDefault="00E31A39" w:rsidP="00E31A39">
      <w:pPr>
        <w:pStyle w:val="CETBodytext"/>
        <w:rPr>
          <w:rFonts w:cs="Arial"/>
        </w:rPr>
      </w:pPr>
      <w:r w:rsidRPr="000F3550">
        <w:rPr>
          <w:rFonts w:cs="Arial"/>
        </w:rPr>
        <w:t>The feedstocks were subjected to elemental and proximate analyses in accordance with ASTM D5291 and ASTM E1131-08, respectively, using an elemental analyzer (Thermo Flash 2000) and SDT Q600 thermogravimetric analyzer (TGA; TA Instruments, USA).</w:t>
      </w:r>
      <w:r w:rsidR="00EE080E" w:rsidRPr="000F3550">
        <w:rPr>
          <w:rFonts w:cs="Arial"/>
        </w:rPr>
        <w:t xml:space="preserve"> Thermogravimetric test (SDT Q600 TA instruments) for each biomass w</w:t>
      </w:r>
      <w:r w:rsidR="00193987" w:rsidRPr="000F3550">
        <w:rPr>
          <w:rFonts w:cs="Arial"/>
        </w:rPr>
        <w:t>as</w:t>
      </w:r>
      <w:r w:rsidR="00EE080E" w:rsidRPr="000F3550">
        <w:rPr>
          <w:rFonts w:cs="Arial"/>
        </w:rPr>
        <w:t xml:space="preserve"> performed at 10 °C min</w:t>
      </w:r>
      <w:r w:rsidR="00EE080E" w:rsidRPr="000F3550">
        <w:rPr>
          <w:rFonts w:cs="Arial"/>
          <w:vertAlign w:val="superscript"/>
        </w:rPr>
        <w:t>-1</w:t>
      </w:r>
      <w:r w:rsidR="00EE080E" w:rsidRPr="000F3550">
        <w:rPr>
          <w:rFonts w:cs="Arial"/>
        </w:rPr>
        <w:t xml:space="preserve"> in nitrogen atmosphere.  </w:t>
      </w:r>
      <w:r w:rsidRPr="000F3550">
        <w:rPr>
          <w:rFonts w:cs="Arial"/>
        </w:rPr>
        <w:t>For higher heating value (HHV) analysis IKA C200 bomb calorimeter was used.</w:t>
      </w:r>
      <w:r w:rsidR="00762BBF" w:rsidRPr="000F3550">
        <w:rPr>
          <w:rFonts w:cs="Arial"/>
        </w:rPr>
        <w:t xml:space="preserve"> Each test was repeated twice, and the average values are reported on a dry sample basis. </w:t>
      </w:r>
      <w:r w:rsidR="00674A4C" w:rsidRPr="000F3550">
        <w:rPr>
          <w:rFonts w:cs="Arial"/>
        </w:rPr>
        <w:t>The more details on feedstock characterization</w:t>
      </w:r>
      <w:r w:rsidR="00F27AE5" w:rsidRPr="000F3550">
        <w:rPr>
          <w:rFonts w:cs="Arial"/>
        </w:rPr>
        <w:t xml:space="preserve"> methodology</w:t>
      </w:r>
      <w:r w:rsidR="00674A4C" w:rsidRPr="000F3550">
        <w:rPr>
          <w:rFonts w:cs="Arial"/>
        </w:rPr>
        <w:t xml:space="preserve"> can be found in </w:t>
      </w:r>
      <w:r w:rsidR="009B4B63" w:rsidRPr="000F3550">
        <w:rPr>
          <w:rFonts w:cs="Arial"/>
        </w:rPr>
        <w:t xml:space="preserve">Tiwari et al. </w:t>
      </w:r>
      <w:r w:rsidR="00F27AE5" w:rsidRPr="000F3550">
        <w:rPr>
          <w:rFonts w:cs="Arial"/>
        </w:rPr>
        <w:t>(</w:t>
      </w:r>
      <w:r w:rsidR="00762BBF" w:rsidRPr="000F3550">
        <w:rPr>
          <w:rFonts w:cs="Arial"/>
        </w:rPr>
        <w:t xml:space="preserve">2024). </w:t>
      </w:r>
    </w:p>
    <w:p w14:paraId="7EA1974C" w14:textId="77777777" w:rsidR="003B020D" w:rsidRDefault="000036FE" w:rsidP="003B020D">
      <w:pPr>
        <w:pStyle w:val="CETheadingx"/>
      </w:pPr>
      <w:r>
        <w:t>Microwave pyrolysis experiment</w:t>
      </w:r>
      <w:r w:rsidR="003B020D">
        <w:t xml:space="preserve"> </w:t>
      </w:r>
    </w:p>
    <w:p w14:paraId="35A6CBB4" w14:textId="456C687B" w:rsidR="00F35934" w:rsidRPr="000F3550" w:rsidRDefault="00247538" w:rsidP="00F35934">
      <w:pPr>
        <w:pStyle w:val="CETBodytext"/>
      </w:pPr>
      <w:r w:rsidRPr="000F3550">
        <w:t xml:space="preserve">Microwave pyrolysis </w:t>
      </w:r>
      <w:r w:rsidR="00866F50" w:rsidRPr="000F3550">
        <w:t>experiments</w:t>
      </w:r>
      <w:r w:rsidRPr="000F3550">
        <w:t xml:space="preserve"> were carried out in batch mode using a Samsung MW73AD-B household multimode microwave oven. By drilling a hole on the top, the microwave oven was </w:t>
      </w:r>
      <w:r w:rsidR="00EA5474" w:rsidRPr="000F3550">
        <w:t xml:space="preserve">customized </w:t>
      </w:r>
      <w:r w:rsidRPr="000F3550">
        <w:t xml:space="preserve">to collect the pyrolysis gases during the process. A two-stage condenser was used to condense the vapors, and the non-condensable gases were </w:t>
      </w:r>
      <w:r w:rsidR="00533D10" w:rsidRPr="000F3550">
        <w:t>collected in a 5</w:t>
      </w:r>
      <w:r w:rsidR="00193987" w:rsidRPr="000F3550">
        <w:t xml:space="preserve"> </w:t>
      </w:r>
      <w:r w:rsidR="00533D10" w:rsidRPr="000F3550">
        <w:t>L Tedlar</w:t>
      </w:r>
      <w:r w:rsidR="00533D10" w:rsidRPr="000F3550">
        <w:rPr>
          <w:vertAlign w:val="superscript"/>
        </w:rPr>
        <w:t>®</w:t>
      </w:r>
      <w:r w:rsidR="00533D10" w:rsidRPr="000F3550">
        <w:t xml:space="preserve"> </w:t>
      </w:r>
      <w:r w:rsidR="00AC5007" w:rsidRPr="000F3550">
        <w:t>gas bag at</w:t>
      </w:r>
      <w:r w:rsidRPr="000F3550">
        <w:t xml:space="preserve"> </w:t>
      </w:r>
      <w:r w:rsidR="00193987" w:rsidRPr="000F3550">
        <w:t xml:space="preserve">the </w:t>
      </w:r>
      <w:r w:rsidR="00367E24" w:rsidRPr="000F3550">
        <w:t xml:space="preserve">reactor </w:t>
      </w:r>
      <w:r w:rsidRPr="000F3550">
        <w:t>outlet</w:t>
      </w:r>
      <w:r w:rsidR="00367E24" w:rsidRPr="000F3550">
        <w:t>. The gases were collected when the pyrolysis temperature was 150-800°C</w:t>
      </w:r>
      <w:r w:rsidR="00533D10" w:rsidRPr="000F3550">
        <w:t xml:space="preserve"> </w:t>
      </w:r>
      <w:r w:rsidR="00367E24" w:rsidRPr="000F3550">
        <w:t>and gases were analyzed using</w:t>
      </w:r>
      <w:r w:rsidR="00AC5007" w:rsidRPr="000F3550">
        <w:t xml:space="preserve"> </w:t>
      </w:r>
      <w:r w:rsidR="00193987" w:rsidRPr="000F3550">
        <w:t>a gas chromatograph equipped with thermal conductivity and flame ionization detectors (</w:t>
      </w:r>
      <w:r w:rsidR="00AC5007" w:rsidRPr="000F3550">
        <w:t>GC-TCD/FID</w:t>
      </w:r>
      <w:r w:rsidR="00193987" w:rsidRPr="000F3550">
        <w:t>)</w:t>
      </w:r>
      <w:r w:rsidR="00AC5007" w:rsidRPr="000F3550">
        <w:t xml:space="preserve"> for the composition analysis</w:t>
      </w:r>
      <w:r w:rsidRPr="000F3550">
        <w:t>. Teflon</w:t>
      </w:r>
      <w:r w:rsidRPr="000F3550">
        <w:rPr>
          <w:vertAlign w:val="superscript"/>
        </w:rPr>
        <w:t>®</w:t>
      </w:r>
      <w:r w:rsidRPr="000F3550">
        <w:t xml:space="preserve"> was used to seal every ju</w:t>
      </w:r>
      <w:r w:rsidR="00FE4FA9" w:rsidRPr="000F3550">
        <w:t>nction to prevent vapor escape. T</w:t>
      </w:r>
      <w:r w:rsidRPr="000F3550">
        <w:t>he temperatur</w:t>
      </w:r>
      <w:r w:rsidR="00FE4FA9" w:rsidRPr="000F3550">
        <w:t>e of the reaction mixture was noted</w:t>
      </w:r>
      <w:r w:rsidRPr="000F3550">
        <w:t xml:space="preserve"> using a modified K-type thermocouple. The temperature reading was accurate to ±2 °C.</w:t>
      </w:r>
      <w:r w:rsidR="00AC5007" w:rsidRPr="000F3550">
        <w:t xml:space="preserve"> </w:t>
      </w:r>
      <w:r w:rsidR="00F35934" w:rsidRPr="000F3550">
        <w:t>During operation, there were no signs of the microwave oven tripping or arcing.</w:t>
      </w:r>
      <w:r w:rsidR="008510C3" w:rsidRPr="000F3550">
        <w:t xml:space="preserve"> The schematic of the reactor</w:t>
      </w:r>
      <w:r w:rsidR="009C2E01" w:rsidRPr="000F3550">
        <w:t xml:space="preserve"> </w:t>
      </w:r>
      <w:r w:rsidR="00A94F34" w:rsidRPr="000F3550">
        <w:t xml:space="preserve">set up </w:t>
      </w:r>
      <w:r w:rsidR="005325D4" w:rsidRPr="000F3550">
        <w:t>is available in our previous publication (Tiwari et al., 2024)</w:t>
      </w:r>
      <w:r w:rsidR="00A94F34" w:rsidRPr="000F3550">
        <w:t>.</w:t>
      </w:r>
    </w:p>
    <w:p w14:paraId="3C1DE192" w14:textId="75AD0708" w:rsidR="00331071" w:rsidRPr="000F3550" w:rsidRDefault="00357C59" w:rsidP="00331071">
      <w:pPr>
        <w:pStyle w:val="CETBodytext"/>
        <w:rPr>
          <w:rFonts w:cs="Arial"/>
        </w:rPr>
      </w:pPr>
      <w:r w:rsidRPr="000F3550">
        <w:t>Typically, 10</w:t>
      </w:r>
      <w:r w:rsidR="00367E24" w:rsidRPr="000F3550">
        <w:t xml:space="preserve"> </w:t>
      </w:r>
      <w:r w:rsidRPr="000F3550">
        <w:t>g of each feedstock with 10 g of su</w:t>
      </w:r>
      <w:r w:rsidR="00367E24" w:rsidRPr="000F3550">
        <w:t>s</w:t>
      </w:r>
      <w:r w:rsidRPr="000F3550">
        <w:t>ceptor (activated carbon) w</w:t>
      </w:r>
      <w:r w:rsidR="00367E24" w:rsidRPr="000F3550">
        <w:t>ere</w:t>
      </w:r>
      <w:r w:rsidRPr="000F3550">
        <w:t xml:space="preserve"> taken in 250 mL q</w:t>
      </w:r>
      <w:r w:rsidR="009C2E01" w:rsidRPr="000F3550">
        <w:t>uartz round bottom flask</w:t>
      </w:r>
      <w:r w:rsidR="00193987" w:rsidRPr="000F3550">
        <w:t>,</w:t>
      </w:r>
      <w:r w:rsidR="009C2E01" w:rsidRPr="000F3550">
        <w:t xml:space="preserve"> which </w:t>
      </w:r>
      <w:r w:rsidR="00367E24" w:rsidRPr="000F3550">
        <w:t>was</w:t>
      </w:r>
      <w:r w:rsidRPr="000F3550">
        <w:t xml:space="preserve"> covered with quartz wool for insulation. In each </w:t>
      </w:r>
      <w:r w:rsidR="00084188" w:rsidRPr="000F3550">
        <w:t>experiment</w:t>
      </w:r>
      <w:r w:rsidR="00367E24" w:rsidRPr="000F3550">
        <w:t>,</w:t>
      </w:r>
      <w:r w:rsidR="006967C7" w:rsidRPr="000F3550">
        <w:t xml:space="preserve"> biomass</w:t>
      </w:r>
      <w:r w:rsidR="00367E24" w:rsidRPr="000F3550">
        <w:t>:</w:t>
      </w:r>
      <w:r w:rsidR="009C2E01" w:rsidRPr="000F3550">
        <w:t>su</w:t>
      </w:r>
      <w:r w:rsidR="006967C7" w:rsidRPr="000F3550">
        <w:t>s</w:t>
      </w:r>
      <w:r w:rsidR="009C2E01" w:rsidRPr="000F3550">
        <w:t xml:space="preserve">ceptor ratio </w:t>
      </w:r>
      <w:r w:rsidR="00193987" w:rsidRPr="000F3550">
        <w:t>of</w:t>
      </w:r>
      <w:r w:rsidRPr="000F3550">
        <w:t xml:space="preserve"> 1:1 (10</w:t>
      </w:r>
      <w:r w:rsidR="00193987" w:rsidRPr="000F3550">
        <w:t xml:space="preserve"> </w:t>
      </w:r>
      <w:r w:rsidRPr="000F3550">
        <w:t>g/10</w:t>
      </w:r>
      <w:r w:rsidR="00193987" w:rsidRPr="000F3550">
        <w:t xml:space="preserve"> </w:t>
      </w:r>
      <w:r w:rsidRPr="000F3550">
        <w:t>g)</w:t>
      </w:r>
      <w:r w:rsidR="00193987" w:rsidRPr="000F3550">
        <w:t xml:space="preserve"> was used</w:t>
      </w:r>
      <w:r w:rsidRPr="000F3550">
        <w:t xml:space="preserve">. To promote improved susceptor distribution, feedstock and susceptor were thoroughly </w:t>
      </w:r>
      <w:r w:rsidR="009C2E01" w:rsidRPr="000F3550">
        <w:t>mixed</w:t>
      </w:r>
      <w:r w:rsidRPr="000F3550">
        <w:t xml:space="preserve"> using a mixer grinder prior to pyrolysis.</w:t>
      </w:r>
      <w:r w:rsidR="00E57B68" w:rsidRPr="000F3550">
        <w:t xml:space="preserve"> </w:t>
      </w:r>
      <w:r w:rsidR="00367E24" w:rsidRPr="000F3550">
        <w:rPr>
          <w:rFonts w:cs="Arial"/>
        </w:rPr>
        <w:t>To ensure inert ambie</w:t>
      </w:r>
      <w:r w:rsidR="00E57B68" w:rsidRPr="000F3550">
        <w:rPr>
          <w:rFonts w:cs="Arial"/>
        </w:rPr>
        <w:t>nce, nitrogen gas was purged through the reactor, including the condensers, at a rate of 1</w:t>
      </w:r>
      <w:r w:rsidR="00EA6A7D" w:rsidRPr="000F3550">
        <w:rPr>
          <w:rFonts w:cs="Arial"/>
        </w:rPr>
        <w:t>00</w:t>
      </w:r>
      <w:r w:rsidR="00E57B68" w:rsidRPr="000F3550">
        <w:rPr>
          <w:rFonts w:cs="Arial"/>
        </w:rPr>
        <w:t xml:space="preserve"> </w:t>
      </w:r>
      <w:r w:rsidR="00EA6A7D" w:rsidRPr="000F3550">
        <w:rPr>
          <w:rFonts w:cs="Arial"/>
        </w:rPr>
        <w:t>mL</w:t>
      </w:r>
      <w:r w:rsidR="00E57B68" w:rsidRPr="000F3550">
        <w:rPr>
          <w:rFonts w:cs="Arial"/>
        </w:rPr>
        <w:t xml:space="preserve"> min</w:t>
      </w:r>
      <w:r w:rsidR="00E57B68" w:rsidRPr="000F3550">
        <w:rPr>
          <w:rFonts w:cs="Arial"/>
          <w:vertAlign w:val="superscript"/>
        </w:rPr>
        <w:t>−1</w:t>
      </w:r>
      <w:r w:rsidR="00E57B68" w:rsidRPr="000F3550">
        <w:rPr>
          <w:rFonts w:cs="Arial"/>
        </w:rPr>
        <w:t xml:space="preserve"> for 20 min before the </w:t>
      </w:r>
      <w:r w:rsidR="00EA6A7D" w:rsidRPr="000F3550">
        <w:rPr>
          <w:rFonts w:cs="Arial"/>
        </w:rPr>
        <w:t>start of e</w:t>
      </w:r>
      <w:r w:rsidR="00193987" w:rsidRPr="000F3550">
        <w:rPr>
          <w:rFonts w:cs="Arial"/>
        </w:rPr>
        <w:t>very</w:t>
      </w:r>
      <w:r w:rsidR="00EA6A7D" w:rsidRPr="000F3550">
        <w:rPr>
          <w:rFonts w:cs="Arial"/>
        </w:rPr>
        <w:t xml:space="preserve"> experiment</w:t>
      </w:r>
      <w:r w:rsidR="00E57B68" w:rsidRPr="000F3550">
        <w:rPr>
          <w:rFonts w:cs="Arial"/>
        </w:rPr>
        <w:t xml:space="preserve">. The </w:t>
      </w:r>
      <w:r w:rsidR="00331071" w:rsidRPr="000F3550">
        <w:rPr>
          <w:rFonts w:cs="Arial"/>
        </w:rPr>
        <w:t>reaction mixture</w:t>
      </w:r>
      <w:r w:rsidR="00E57B68" w:rsidRPr="000F3550">
        <w:rPr>
          <w:rFonts w:cs="Arial"/>
        </w:rPr>
        <w:t xml:space="preserve"> was </w:t>
      </w:r>
      <w:r w:rsidR="00331071" w:rsidRPr="000F3550">
        <w:rPr>
          <w:rFonts w:cs="Arial"/>
        </w:rPr>
        <w:t xml:space="preserve">subjected to microwave heating at 800 W of power until the temperature of </w:t>
      </w:r>
      <w:r w:rsidR="00193987" w:rsidRPr="000F3550">
        <w:rPr>
          <w:rFonts w:cs="Arial"/>
        </w:rPr>
        <w:t xml:space="preserve">the </w:t>
      </w:r>
      <w:r w:rsidR="00331071" w:rsidRPr="000F3550">
        <w:rPr>
          <w:rFonts w:cs="Arial"/>
        </w:rPr>
        <w:t>reaction mixture reached to 8</w:t>
      </w:r>
      <w:r w:rsidR="00E57B68" w:rsidRPr="000F3550">
        <w:rPr>
          <w:rFonts w:cs="Arial"/>
        </w:rPr>
        <w:t xml:space="preserve">00 °C. </w:t>
      </w:r>
      <w:r w:rsidR="00331071" w:rsidRPr="000F3550">
        <w:rPr>
          <w:rFonts w:cs="Arial"/>
        </w:rPr>
        <w:t xml:space="preserve">This corresponds to 40 W of microwave power used </w:t>
      </w:r>
      <w:r w:rsidR="00193987" w:rsidRPr="000F3550">
        <w:rPr>
          <w:rFonts w:cs="Arial"/>
        </w:rPr>
        <w:t>per</w:t>
      </w:r>
      <w:r w:rsidR="00331071" w:rsidRPr="000F3550">
        <w:rPr>
          <w:rFonts w:cs="Arial"/>
        </w:rPr>
        <w:t xml:space="preserve"> gram of </w:t>
      </w:r>
      <w:r w:rsidR="00193987" w:rsidRPr="000F3550">
        <w:rPr>
          <w:rFonts w:cs="Arial"/>
        </w:rPr>
        <w:t xml:space="preserve">the </w:t>
      </w:r>
      <w:r w:rsidR="00A058A3" w:rsidRPr="000F3550">
        <w:rPr>
          <w:rFonts w:cs="Arial"/>
        </w:rPr>
        <w:t>reaction mixture</w:t>
      </w:r>
      <w:r w:rsidR="00331071" w:rsidRPr="000F3550">
        <w:rPr>
          <w:rFonts w:cs="Arial"/>
        </w:rPr>
        <w:t>.</w:t>
      </w:r>
      <w:r w:rsidR="00B20F88" w:rsidRPr="000F3550">
        <w:rPr>
          <w:rFonts w:cs="Arial"/>
        </w:rPr>
        <w:t xml:space="preserve"> The reason </w:t>
      </w:r>
      <w:r w:rsidR="00193987" w:rsidRPr="000F3550">
        <w:rPr>
          <w:rFonts w:cs="Arial"/>
        </w:rPr>
        <w:t>for</w:t>
      </w:r>
      <w:r w:rsidR="00B20F88" w:rsidRPr="000F3550">
        <w:rPr>
          <w:rFonts w:cs="Arial"/>
        </w:rPr>
        <w:t xml:space="preserve"> choosing higher biomass:suceptor ratio (1:1), microwave power (800</w:t>
      </w:r>
      <w:r w:rsidR="00193987" w:rsidRPr="000F3550">
        <w:rPr>
          <w:rFonts w:cs="Arial"/>
        </w:rPr>
        <w:t xml:space="preserve"> </w:t>
      </w:r>
      <w:r w:rsidR="00B20F88" w:rsidRPr="000F3550">
        <w:rPr>
          <w:rFonts w:cs="Arial"/>
        </w:rPr>
        <w:t xml:space="preserve">W) and </w:t>
      </w:r>
      <w:r w:rsidR="00193987" w:rsidRPr="000F3550">
        <w:rPr>
          <w:rFonts w:cs="Arial"/>
        </w:rPr>
        <w:t xml:space="preserve">final </w:t>
      </w:r>
      <w:r w:rsidR="00B20F88" w:rsidRPr="000F3550">
        <w:rPr>
          <w:rFonts w:cs="Arial"/>
        </w:rPr>
        <w:t xml:space="preserve">temperature (800°C) was to </w:t>
      </w:r>
      <w:r w:rsidR="00193987" w:rsidRPr="000F3550">
        <w:rPr>
          <w:rFonts w:cs="Arial"/>
        </w:rPr>
        <w:t>e</w:t>
      </w:r>
      <w:r w:rsidR="00B20F88" w:rsidRPr="000F3550">
        <w:rPr>
          <w:rFonts w:cs="Arial"/>
        </w:rPr>
        <w:t>nsure fast</w:t>
      </w:r>
      <w:r w:rsidR="00193987" w:rsidRPr="000F3550">
        <w:rPr>
          <w:rFonts w:cs="Arial"/>
        </w:rPr>
        <w:t>er</w:t>
      </w:r>
      <w:r w:rsidR="00B20F88" w:rsidRPr="000F3550">
        <w:rPr>
          <w:rFonts w:cs="Arial"/>
        </w:rPr>
        <w:t xml:space="preserve"> heating rate and high production of gases.</w:t>
      </w:r>
    </w:p>
    <w:p w14:paraId="11B227B9" w14:textId="385DBEBB" w:rsidR="00AF58B3" w:rsidRPr="000F3550" w:rsidRDefault="00AF58B3" w:rsidP="00331071">
      <w:pPr>
        <w:pStyle w:val="CETBodytext"/>
        <w:rPr>
          <w:rFonts w:cs="Arial"/>
        </w:rPr>
      </w:pPr>
      <w:r w:rsidRPr="000F3550">
        <w:rPr>
          <w:rFonts w:cs="Arial"/>
        </w:rPr>
        <w:t xml:space="preserve">An analytical balance was used to determine the mass of bio-oil (organics + moisture). In order to calculate the amount of char produced, the mass of the residue (char + susceptor) was also measured and the initial amount of susceptor was deducted. Using mass balance, the mass of non-condensable gases was determined. Dichloromethane (DCM) solvent was </w:t>
      </w:r>
      <w:r w:rsidR="005072D8" w:rsidRPr="000F3550">
        <w:rPr>
          <w:rFonts w:cs="Arial"/>
        </w:rPr>
        <w:t>used</w:t>
      </w:r>
      <w:r w:rsidRPr="000F3550">
        <w:rPr>
          <w:rFonts w:cs="Arial"/>
        </w:rPr>
        <w:t xml:space="preserve"> to</w:t>
      </w:r>
      <w:r w:rsidR="005072D8" w:rsidRPr="000F3550">
        <w:rPr>
          <w:rFonts w:cs="Arial"/>
        </w:rPr>
        <w:t xml:space="preserve"> completely</w:t>
      </w:r>
      <w:r w:rsidRPr="000F3550">
        <w:rPr>
          <w:rFonts w:cs="Arial"/>
        </w:rPr>
        <w:t xml:space="preserve"> extract the organic portion of the bio-oil. The yields of different product fractions were calculated using the following formula.</w:t>
      </w:r>
    </w:p>
    <w:p w14:paraId="6551417A" w14:textId="45CCF8C7" w:rsidR="00C116CA" w:rsidRPr="000F3550" w:rsidRDefault="00C116CA" w:rsidP="00331071">
      <w:pPr>
        <w:pStyle w:val="CETBodytext"/>
        <w:rPr>
          <w:rFonts w:cs="Arial"/>
        </w:rPr>
      </w:pPr>
      <m:oMathPara>
        <m:oMath>
          <m:r>
            <w:rPr>
              <w:rFonts w:ascii="Cambria Math" w:hAnsi="Cambria Math" w:cs="Arial"/>
            </w:rPr>
            <m:t xml:space="preserve">Product yield </m:t>
          </m:r>
          <m:d>
            <m:dPr>
              <m:ctrlPr>
                <w:rPr>
                  <w:rFonts w:ascii="Cambria Math" w:hAnsi="Cambria Math" w:cs="Arial"/>
                  <w:i/>
                </w:rPr>
              </m:ctrlPr>
            </m:dPr>
            <m:e>
              <m:r>
                <w:rPr>
                  <w:rFonts w:ascii="Cambria Math" w:hAnsi="Cambria Math" w:cs="Arial"/>
                </w:rPr>
                <m:t>wt.%</m:t>
              </m:r>
            </m:e>
          </m:d>
          <m:r>
            <w:rPr>
              <w:rFonts w:ascii="Cambria Math" w:hAnsi="Cambria Math" w:cs="Arial"/>
            </w:rPr>
            <m:t>=</m:t>
          </m:r>
          <m:f>
            <m:fPr>
              <m:ctrlPr>
                <w:rPr>
                  <w:rFonts w:ascii="Cambria Math" w:hAnsi="Cambria Math" w:cs="Arial"/>
                  <w:i/>
                </w:rPr>
              </m:ctrlPr>
            </m:fPr>
            <m:num>
              <m:r>
                <w:rPr>
                  <w:rFonts w:ascii="Cambria Math" w:hAnsi="Cambria Math" w:cs="Arial"/>
                </w:rPr>
                <m:t xml:space="preserve">wt.  of product </m:t>
              </m:r>
            </m:num>
            <m:den>
              <m:r>
                <w:rPr>
                  <w:rFonts w:ascii="Cambria Math" w:hAnsi="Cambria Math" w:cs="Arial"/>
                </w:rPr>
                <m:t>wt. of biomass</m:t>
              </m:r>
            </m:den>
          </m:f>
          <m:r>
            <w:rPr>
              <w:rFonts w:ascii="Cambria Math" w:hAnsi="Cambria Math" w:cs="Arial"/>
            </w:rPr>
            <m:t xml:space="preserve"> ×100                                                                     (1)</m:t>
          </m:r>
        </m:oMath>
      </m:oMathPara>
    </w:p>
    <w:p w14:paraId="5436D977" w14:textId="53C0B58D" w:rsidR="00453E24" w:rsidRPr="000F3550" w:rsidRDefault="00287D88" w:rsidP="00453E24">
      <w:pPr>
        <w:pStyle w:val="CETBodytext"/>
        <w:rPr>
          <w:rFonts w:cs="Arial"/>
        </w:rPr>
      </w:pPr>
      <w:r w:rsidRPr="000F3550">
        <w:rPr>
          <w:rFonts w:cs="Arial"/>
        </w:rPr>
        <w:t>The majority of the experiments were conducted twice non-consecutively, and the standard deviation in the yields of bio-oil, gas, and char was with 5-7%.</w:t>
      </w:r>
      <w:bookmarkStart w:id="0" w:name="_GoBack"/>
      <w:bookmarkEnd w:id="0"/>
    </w:p>
    <w:p w14:paraId="36A9E65E" w14:textId="5D3956A4" w:rsidR="003B020D" w:rsidRDefault="003C7DD9" w:rsidP="003B020D">
      <w:pPr>
        <w:pStyle w:val="CETheadingx"/>
      </w:pPr>
      <w:r>
        <w:lastRenderedPageBreak/>
        <w:t>G</w:t>
      </w:r>
      <w:r w:rsidR="005072D8">
        <w:t xml:space="preserve">as </w:t>
      </w:r>
      <w:r>
        <w:t xml:space="preserve">and oil </w:t>
      </w:r>
      <w:r w:rsidR="005072D8">
        <w:t>analysis</w:t>
      </w:r>
    </w:p>
    <w:p w14:paraId="0B9A7207" w14:textId="321CB39D" w:rsidR="003623AA" w:rsidRDefault="003623AA" w:rsidP="003623AA">
      <w:pPr>
        <w:pStyle w:val="CETBodytext"/>
      </w:pPr>
      <w:r w:rsidRPr="0039123D">
        <w:t xml:space="preserve">A </w:t>
      </w:r>
      <w:r>
        <w:t>GC/FID-TCD (</w:t>
      </w:r>
      <w:r w:rsidRPr="0039123D">
        <w:t>Agilent 7820 A) was used to analyze the composition of the gases that were collected from microwave pyrolysis reactor. The gases were separated using Porapak Q and CP Molsieve 5 Å columns that were coupled in series. The injector and detector temperatures were 200 °C and 260 °C, respectively, and the oven was maintained isothermally at 50 °C for 20 min. The carrier gas, ultra-pure Ar (99.995%), was introduced into the column at a flow rate of 15 mL min</w:t>
      </w:r>
      <w:r w:rsidRPr="00C25137">
        <w:rPr>
          <w:vertAlign w:val="superscript"/>
        </w:rPr>
        <w:t>-1</w:t>
      </w:r>
      <w:r w:rsidRPr="0039123D">
        <w:t>. The GC was calibrated using reference gas mix</w:t>
      </w:r>
      <w:r w:rsidR="00193987">
        <w:t>tur</w:t>
      </w:r>
      <w:r w:rsidRPr="0039123D">
        <w:t>es of known compositions.</w:t>
      </w:r>
    </w:p>
    <w:p w14:paraId="4D4FDB3C" w14:textId="77777777" w:rsidR="003623AA" w:rsidRPr="003623AA" w:rsidRDefault="003623AA" w:rsidP="003623AA">
      <w:pPr>
        <w:pStyle w:val="CETBodytext"/>
      </w:pPr>
    </w:p>
    <w:p w14:paraId="0DC712D1" w14:textId="6FF6572C" w:rsidR="00592F5F" w:rsidRPr="00A93715" w:rsidRDefault="009449D8" w:rsidP="00AF1A59">
      <w:pPr>
        <w:pStyle w:val="CETBodytext"/>
        <w:rPr>
          <w:rFonts w:cs="Arial"/>
          <w:szCs w:val="18"/>
        </w:rPr>
      </w:pPr>
      <w:r>
        <w:rPr>
          <w:rFonts w:cs="Arial"/>
          <w:szCs w:val="18"/>
        </w:rPr>
        <w:t xml:space="preserve">A </w:t>
      </w:r>
      <w:r w:rsidR="00193987">
        <w:rPr>
          <w:rFonts w:cs="Arial"/>
          <w:szCs w:val="18"/>
        </w:rPr>
        <w:t xml:space="preserve">GC with </w:t>
      </w:r>
      <w:r w:rsidRPr="00A93715">
        <w:rPr>
          <w:rFonts w:cs="Arial"/>
          <w:szCs w:val="18"/>
        </w:rPr>
        <w:t xml:space="preserve">mass spectrometer </w:t>
      </w:r>
      <w:r>
        <w:rPr>
          <w:rFonts w:cs="Arial"/>
          <w:szCs w:val="18"/>
        </w:rPr>
        <w:t>(</w:t>
      </w:r>
      <w:r w:rsidR="00193987">
        <w:rPr>
          <w:rFonts w:cs="Arial"/>
          <w:szCs w:val="18"/>
        </w:rPr>
        <w:t xml:space="preserve">GC/MS, </w:t>
      </w:r>
      <w:r w:rsidR="00A93715" w:rsidRPr="00A93715">
        <w:rPr>
          <w:rFonts w:cs="Arial"/>
          <w:szCs w:val="18"/>
        </w:rPr>
        <w:t>Shimadzu GC2010 Plus/QP2020</w:t>
      </w:r>
      <w:r>
        <w:rPr>
          <w:rFonts w:cs="Arial"/>
          <w:szCs w:val="18"/>
        </w:rPr>
        <w:t>)</w:t>
      </w:r>
      <w:r w:rsidR="00A93715" w:rsidRPr="00A93715">
        <w:rPr>
          <w:rFonts w:cs="Arial"/>
          <w:szCs w:val="18"/>
        </w:rPr>
        <w:t xml:space="preserve"> </w:t>
      </w:r>
      <w:r w:rsidR="00AF1A59" w:rsidRPr="00A93715">
        <w:rPr>
          <w:rFonts w:cs="Arial"/>
          <w:szCs w:val="18"/>
        </w:rPr>
        <w:t xml:space="preserve">was used to </w:t>
      </w:r>
      <w:r w:rsidR="005072D8">
        <w:rPr>
          <w:rFonts w:cs="Arial"/>
          <w:szCs w:val="18"/>
        </w:rPr>
        <w:t>analyze</w:t>
      </w:r>
      <w:r w:rsidR="00AF1A59" w:rsidRPr="00A93715">
        <w:rPr>
          <w:rFonts w:cs="Arial"/>
          <w:szCs w:val="18"/>
        </w:rPr>
        <w:t xml:space="preserve"> the bio-oil fraction. Pyrolysis vapors were separated using an </w:t>
      </w:r>
      <w:r w:rsidR="00A93715" w:rsidRPr="00A93715">
        <w:rPr>
          <w:rFonts w:cs="Arial"/>
          <w:szCs w:val="18"/>
        </w:rPr>
        <w:t>RESTEK, Rxi®-5SIL MS column (30 m length, 0.25 mm i.d., 0.25 μm film thickness)</w:t>
      </w:r>
      <w:r w:rsidR="00AF1A59" w:rsidRPr="00A93715">
        <w:rPr>
          <w:rFonts w:cs="Arial"/>
          <w:szCs w:val="18"/>
        </w:rPr>
        <w:t xml:space="preserve">. The carrier gas utilized was ultra-high pure helium (99.9995%) flowing at a rate of </w:t>
      </w:r>
      <w:r w:rsidR="00EB729B">
        <w:rPr>
          <w:rFonts w:cs="Arial"/>
          <w:szCs w:val="18"/>
        </w:rPr>
        <w:t>1.49</w:t>
      </w:r>
      <w:r w:rsidR="00AF1A59" w:rsidRPr="00A93715">
        <w:rPr>
          <w:rFonts w:cs="Arial"/>
          <w:szCs w:val="18"/>
        </w:rPr>
        <w:t xml:space="preserve"> mL min</w:t>
      </w:r>
      <w:r w:rsidR="00AF1A59" w:rsidRPr="00A93715">
        <w:rPr>
          <w:rFonts w:cs="Arial"/>
          <w:szCs w:val="18"/>
          <w:vertAlign w:val="superscript"/>
        </w:rPr>
        <w:t>−1</w:t>
      </w:r>
      <w:r w:rsidR="00AF1A59" w:rsidRPr="00A93715">
        <w:rPr>
          <w:rFonts w:cs="Arial"/>
          <w:szCs w:val="18"/>
        </w:rPr>
        <w:t xml:space="preserve">. </w:t>
      </w:r>
      <w:r w:rsidR="00193987">
        <w:rPr>
          <w:rFonts w:cs="Arial"/>
          <w:szCs w:val="18"/>
        </w:rPr>
        <w:t>T</w:t>
      </w:r>
      <w:r w:rsidR="00AF1A59" w:rsidRPr="00A93715">
        <w:rPr>
          <w:rFonts w:cs="Arial"/>
          <w:szCs w:val="18"/>
        </w:rPr>
        <w:t xml:space="preserve">he column oven was </w:t>
      </w:r>
      <w:r w:rsidR="00193987">
        <w:rPr>
          <w:rFonts w:cs="Arial"/>
          <w:szCs w:val="18"/>
        </w:rPr>
        <w:t>initially</w:t>
      </w:r>
      <w:r w:rsidR="00AF1A59" w:rsidRPr="00A93715">
        <w:rPr>
          <w:rFonts w:cs="Arial"/>
          <w:szCs w:val="18"/>
        </w:rPr>
        <w:t xml:space="preserve"> maintained at 45 °C for </w:t>
      </w:r>
      <w:r w:rsidR="00EB729B">
        <w:rPr>
          <w:rFonts w:cs="Arial"/>
          <w:szCs w:val="18"/>
        </w:rPr>
        <w:t xml:space="preserve">2 min, </w:t>
      </w:r>
      <w:r w:rsidR="00AF1A59" w:rsidRPr="00A93715">
        <w:rPr>
          <w:rFonts w:cs="Arial"/>
          <w:szCs w:val="18"/>
        </w:rPr>
        <w:t xml:space="preserve">then ramped up to </w:t>
      </w:r>
      <w:r w:rsidR="00EB729B">
        <w:rPr>
          <w:rFonts w:cs="Arial"/>
          <w:szCs w:val="18"/>
        </w:rPr>
        <w:t>300</w:t>
      </w:r>
      <w:r w:rsidR="00AF1A59" w:rsidRPr="00A93715">
        <w:rPr>
          <w:rFonts w:cs="Arial"/>
          <w:szCs w:val="18"/>
        </w:rPr>
        <w:t xml:space="preserve"> °C at a rate of </w:t>
      </w:r>
      <w:r w:rsidR="00EB729B">
        <w:rPr>
          <w:rFonts w:cs="Arial"/>
          <w:szCs w:val="18"/>
        </w:rPr>
        <w:t>7 °C</w:t>
      </w:r>
      <w:r w:rsidR="00AF1A59" w:rsidRPr="00A93715">
        <w:rPr>
          <w:rFonts w:cs="Arial"/>
          <w:szCs w:val="18"/>
        </w:rPr>
        <w:t xml:space="preserve"> min</w:t>
      </w:r>
      <w:r w:rsidR="00AF1A59" w:rsidRPr="00A93715">
        <w:rPr>
          <w:rFonts w:cs="Arial"/>
          <w:szCs w:val="18"/>
          <w:vertAlign w:val="superscript"/>
        </w:rPr>
        <w:t>−1</w:t>
      </w:r>
      <w:r w:rsidR="00AF1A59" w:rsidRPr="00A93715">
        <w:rPr>
          <w:rFonts w:cs="Arial"/>
          <w:szCs w:val="18"/>
        </w:rPr>
        <w:t xml:space="preserve"> and </w:t>
      </w:r>
      <w:r w:rsidR="00564CB1" w:rsidRPr="00A93715">
        <w:rPr>
          <w:rFonts w:cs="Arial"/>
          <w:szCs w:val="18"/>
        </w:rPr>
        <w:t>kept isothermal</w:t>
      </w:r>
      <w:r w:rsidR="00AF1A59" w:rsidRPr="00A93715">
        <w:rPr>
          <w:rFonts w:cs="Arial"/>
          <w:szCs w:val="18"/>
        </w:rPr>
        <w:t xml:space="preserve"> </w:t>
      </w:r>
      <w:r w:rsidR="00193987">
        <w:rPr>
          <w:rFonts w:cs="Arial"/>
          <w:szCs w:val="18"/>
        </w:rPr>
        <w:t xml:space="preserve">at 300 </w:t>
      </w:r>
      <w:r w:rsidR="00193987" w:rsidRPr="00193987">
        <w:rPr>
          <w:rFonts w:cs="Arial"/>
          <w:szCs w:val="18"/>
          <w:vertAlign w:val="superscript"/>
        </w:rPr>
        <w:t>o</w:t>
      </w:r>
      <w:r w:rsidR="00193987">
        <w:rPr>
          <w:rFonts w:cs="Arial"/>
          <w:szCs w:val="18"/>
        </w:rPr>
        <w:t>C</w:t>
      </w:r>
      <w:r w:rsidR="00AF1A59" w:rsidRPr="00A93715">
        <w:rPr>
          <w:rFonts w:cs="Arial"/>
          <w:szCs w:val="18"/>
        </w:rPr>
        <w:t xml:space="preserve"> for 1</w:t>
      </w:r>
      <w:r w:rsidR="009D63B3">
        <w:rPr>
          <w:rFonts w:cs="Arial"/>
          <w:szCs w:val="18"/>
        </w:rPr>
        <w:t>0</w:t>
      </w:r>
      <w:r w:rsidR="00AF1A59" w:rsidRPr="00A93715">
        <w:rPr>
          <w:rFonts w:cs="Arial"/>
          <w:szCs w:val="18"/>
        </w:rPr>
        <w:t xml:space="preserve"> min</w:t>
      </w:r>
      <w:r w:rsidR="00617E08">
        <w:rPr>
          <w:rFonts w:cs="Arial"/>
          <w:szCs w:val="18"/>
        </w:rPr>
        <w:t>. A dilution ratio of 100</w:t>
      </w:r>
      <w:r w:rsidR="00AF1A59" w:rsidRPr="00A93715">
        <w:rPr>
          <w:rFonts w:cs="Arial"/>
          <w:szCs w:val="18"/>
        </w:rPr>
        <w:t>:1 (vol/vol) was used to dilute the bio-oil fraction before injecting 0.2 μL of the sample.</w:t>
      </w:r>
      <w:r w:rsidR="002D543A" w:rsidRPr="00A93715">
        <w:rPr>
          <w:rFonts w:cs="Arial"/>
          <w:szCs w:val="18"/>
        </w:rPr>
        <w:t xml:space="preserve"> The temperatures of the injector, MS ion source, and detector were </w:t>
      </w:r>
      <w:r w:rsidR="00617E08">
        <w:rPr>
          <w:rFonts w:cs="Arial"/>
          <w:szCs w:val="18"/>
        </w:rPr>
        <w:t>300</w:t>
      </w:r>
      <w:r w:rsidR="002D543A" w:rsidRPr="00A93715">
        <w:rPr>
          <w:rFonts w:cs="Arial"/>
          <w:szCs w:val="18"/>
        </w:rPr>
        <w:t>°C,</w:t>
      </w:r>
      <w:r w:rsidR="00617E08">
        <w:rPr>
          <w:rFonts w:cs="Arial"/>
          <w:szCs w:val="18"/>
        </w:rPr>
        <w:t xml:space="preserve"> 200</w:t>
      </w:r>
      <w:r w:rsidR="002D543A" w:rsidRPr="00A93715">
        <w:rPr>
          <w:rFonts w:cs="Arial"/>
          <w:szCs w:val="18"/>
        </w:rPr>
        <w:t xml:space="preserve">°C, and </w:t>
      </w:r>
      <w:r w:rsidR="00617E08">
        <w:rPr>
          <w:rFonts w:cs="Arial"/>
          <w:szCs w:val="18"/>
        </w:rPr>
        <w:t>280</w:t>
      </w:r>
      <w:r w:rsidR="002D543A" w:rsidRPr="00A93715">
        <w:rPr>
          <w:rFonts w:cs="Arial"/>
          <w:szCs w:val="18"/>
        </w:rPr>
        <w:t>°C, respectively. The electron ionization voltage was 70 eV, and the mass range scanned was</w:t>
      </w:r>
      <w:r w:rsidR="007A49BF">
        <w:rPr>
          <w:rFonts w:cs="Arial"/>
          <w:szCs w:val="18"/>
        </w:rPr>
        <w:t xml:space="preserve"> from</w:t>
      </w:r>
      <w:r w:rsidR="002D543A" w:rsidRPr="00A93715">
        <w:rPr>
          <w:rFonts w:cs="Arial"/>
          <w:szCs w:val="18"/>
        </w:rPr>
        <w:t xml:space="preserve"> </w:t>
      </w:r>
      <w:r w:rsidR="008B0844">
        <w:rPr>
          <w:rFonts w:cs="Arial"/>
          <w:szCs w:val="18"/>
        </w:rPr>
        <w:t>50</w:t>
      </w:r>
      <w:r w:rsidR="002D543A" w:rsidRPr="00A93715">
        <w:rPr>
          <w:rFonts w:cs="Arial"/>
          <w:szCs w:val="18"/>
        </w:rPr>
        <w:t xml:space="preserve"> to </w:t>
      </w:r>
      <w:r w:rsidR="008B0844">
        <w:rPr>
          <w:rFonts w:cs="Arial"/>
          <w:szCs w:val="18"/>
        </w:rPr>
        <w:t>500</w:t>
      </w:r>
      <w:r w:rsidR="007A49BF">
        <w:rPr>
          <w:rFonts w:cs="Arial"/>
          <w:szCs w:val="18"/>
        </w:rPr>
        <w:t xml:space="preserve"> D</w:t>
      </w:r>
      <w:r w:rsidR="002D543A" w:rsidRPr="00A93715">
        <w:rPr>
          <w:rFonts w:cs="Arial"/>
          <w:szCs w:val="18"/>
        </w:rPr>
        <w:t xml:space="preserve">a. The split ratio </w:t>
      </w:r>
      <w:r w:rsidR="002D5614">
        <w:rPr>
          <w:rFonts w:cs="Arial"/>
          <w:szCs w:val="18"/>
        </w:rPr>
        <w:t>at</w:t>
      </w:r>
      <w:r w:rsidR="002D543A" w:rsidRPr="00A93715">
        <w:rPr>
          <w:rFonts w:cs="Arial"/>
          <w:szCs w:val="18"/>
        </w:rPr>
        <w:t xml:space="preserve"> the injector was </w:t>
      </w:r>
      <w:r w:rsidR="008B0844">
        <w:rPr>
          <w:rFonts w:cs="Arial"/>
          <w:szCs w:val="18"/>
        </w:rPr>
        <w:t>25</w:t>
      </w:r>
      <w:r w:rsidR="002D543A" w:rsidRPr="00A93715">
        <w:rPr>
          <w:rFonts w:cs="Arial"/>
          <w:szCs w:val="18"/>
        </w:rPr>
        <w:t>:1. By comparing the mass spectra of each peak in the bio-oil with the NIST library, the organics were identified, and the compounds with match factors greater than 8</w:t>
      </w:r>
      <w:r w:rsidR="008B0844">
        <w:rPr>
          <w:rFonts w:cs="Arial"/>
          <w:szCs w:val="18"/>
        </w:rPr>
        <w:t>0</w:t>
      </w:r>
      <w:r w:rsidR="002D543A" w:rsidRPr="00A93715">
        <w:rPr>
          <w:rFonts w:cs="Arial"/>
          <w:szCs w:val="18"/>
        </w:rPr>
        <w:t>% were classified into different groups. To close the mass balance, the unidentified chemicals were placed under t</w:t>
      </w:r>
      <w:r w:rsidR="00592F5F">
        <w:rPr>
          <w:rFonts w:cs="Arial"/>
          <w:szCs w:val="18"/>
        </w:rPr>
        <w:t xml:space="preserve">he category of </w:t>
      </w:r>
      <w:r w:rsidR="00193987">
        <w:rPr>
          <w:rFonts w:cs="Arial"/>
          <w:szCs w:val="18"/>
        </w:rPr>
        <w:t>“</w:t>
      </w:r>
      <w:r w:rsidR="00592F5F">
        <w:rPr>
          <w:rFonts w:cs="Arial"/>
          <w:szCs w:val="18"/>
        </w:rPr>
        <w:t>other</w:t>
      </w:r>
      <w:r w:rsidR="00193987">
        <w:rPr>
          <w:rFonts w:cs="Arial"/>
          <w:szCs w:val="18"/>
        </w:rPr>
        <w:t>”</w:t>
      </w:r>
      <w:r w:rsidR="00592F5F">
        <w:rPr>
          <w:rFonts w:cs="Arial"/>
          <w:szCs w:val="18"/>
        </w:rPr>
        <w:t xml:space="preserve"> compounds.</w:t>
      </w:r>
      <w:r w:rsidR="002D5614">
        <w:rPr>
          <w:rFonts w:cs="Arial"/>
          <w:szCs w:val="18"/>
        </w:rPr>
        <w:t xml:space="preserve"> The compounds were semi-quantitatively analyzed using peak area%.</w:t>
      </w:r>
    </w:p>
    <w:p w14:paraId="677EBFF0" w14:textId="1383EF8A" w:rsidR="00600535" w:rsidRPr="00B57B36" w:rsidRDefault="0051633F" w:rsidP="00600535">
      <w:pPr>
        <w:pStyle w:val="CETHeading1"/>
        <w:tabs>
          <w:tab w:val="clear" w:pos="360"/>
          <w:tab w:val="right" w:pos="7100"/>
        </w:tabs>
        <w:jc w:val="both"/>
        <w:rPr>
          <w:lang w:val="en-GB"/>
        </w:rPr>
      </w:pPr>
      <w:r>
        <w:rPr>
          <w:lang w:val="en-GB"/>
        </w:rPr>
        <w:t>Results and discussions</w:t>
      </w:r>
    </w:p>
    <w:p w14:paraId="04963A06" w14:textId="44E3D06E" w:rsidR="00600535" w:rsidRDefault="00502E32" w:rsidP="00FA5F5F">
      <w:pPr>
        <w:pStyle w:val="CETheadingx"/>
      </w:pPr>
      <w:r>
        <w:t>Feedstock characterization</w:t>
      </w:r>
    </w:p>
    <w:p w14:paraId="5B642A56" w14:textId="488840E3" w:rsidR="00102F89" w:rsidRPr="000F3550" w:rsidRDefault="00A50E77" w:rsidP="002F5663">
      <w:pPr>
        <w:pStyle w:val="CETBodytext"/>
        <w:rPr>
          <w:rFonts w:cs="Arial"/>
        </w:rPr>
      </w:pPr>
      <w:r w:rsidRPr="000F3550">
        <w:rPr>
          <w:rFonts w:cs="Arial"/>
        </w:rPr>
        <w:t xml:space="preserve">Table </w:t>
      </w:r>
      <w:r w:rsidR="00D45696" w:rsidRPr="000F3550">
        <w:rPr>
          <w:rFonts w:cs="Arial"/>
        </w:rPr>
        <w:t xml:space="preserve">1 shows the </w:t>
      </w:r>
      <w:r w:rsidR="00F83252" w:rsidRPr="000F3550">
        <w:rPr>
          <w:rFonts w:cs="Arial"/>
        </w:rPr>
        <w:t>ultimate</w:t>
      </w:r>
      <w:r w:rsidR="00D45696" w:rsidRPr="000F3550">
        <w:rPr>
          <w:rFonts w:cs="Arial"/>
        </w:rPr>
        <w:t xml:space="preserve"> and </w:t>
      </w:r>
      <w:r w:rsidR="00F83252" w:rsidRPr="000F3550">
        <w:rPr>
          <w:rFonts w:cs="Arial"/>
        </w:rPr>
        <w:t>proximate</w:t>
      </w:r>
      <w:r w:rsidR="00D45696" w:rsidRPr="000F3550">
        <w:rPr>
          <w:rFonts w:cs="Arial"/>
        </w:rPr>
        <w:t xml:space="preserve"> analys</w:t>
      </w:r>
      <w:r w:rsidR="00EE3ECA" w:rsidRPr="000F3550">
        <w:rPr>
          <w:rFonts w:cs="Arial"/>
        </w:rPr>
        <w:t>e</w:t>
      </w:r>
      <w:r w:rsidR="00D45696" w:rsidRPr="000F3550">
        <w:rPr>
          <w:rFonts w:cs="Arial"/>
        </w:rPr>
        <w:t>s of</w:t>
      </w:r>
      <w:r w:rsidR="00EE3ECA" w:rsidRPr="000F3550">
        <w:rPr>
          <w:rFonts w:cs="Arial"/>
        </w:rPr>
        <w:t xml:space="preserve"> the</w:t>
      </w:r>
      <w:r w:rsidR="00D45696" w:rsidRPr="000F3550">
        <w:rPr>
          <w:rFonts w:cs="Arial"/>
        </w:rPr>
        <w:t xml:space="preserve"> </w:t>
      </w:r>
      <w:r w:rsidR="00635528" w:rsidRPr="000F3550">
        <w:rPr>
          <w:rFonts w:cs="Arial"/>
        </w:rPr>
        <w:t>feedstocks</w:t>
      </w:r>
      <w:r w:rsidR="00D45696" w:rsidRPr="000F3550">
        <w:rPr>
          <w:rFonts w:cs="Arial"/>
        </w:rPr>
        <w:t>.</w:t>
      </w:r>
      <w:r w:rsidR="00A7337B" w:rsidRPr="000F3550">
        <w:rPr>
          <w:rFonts w:cs="Arial"/>
        </w:rPr>
        <w:t xml:space="preserve"> The ash content of the biomasses varie</w:t>
      </w:r>
      <w:r w:rsidR="00CE041A" w:rsidRPr="000F3550">
        <w:rPr>
          <w:rFonts w:cs="Arial"/>
        </w:rPr>
        <w:t>d</w:t>
      </w:r>
      <w:r w:rsidR="00A7337B" w:rsidRPr="000F3550">
        <w:rPr>
          <w:rFonts w:cs="Arial"/>
        </w:rPr>
        <w:t xml:space="preserve"> significantly.</w:t>
      </w:r>
      <w:r w:rsidR="00EE3ECA" w:rsidRPr="000F3550">
        <w:rPr>
          <w:rFonts w:cs="Arial"/>
        </w:rPr>
        <w:t xml:space="preserve"> </w:t>
      </w:r>
      <w:r w:rsidR="00A7337B" w:rsidRPr="000F3550">
        <w:rPr>
          <w:rFonts w:cs="Arial"/>
        </w:rPr>
        <w:t>SD had the least amount of ash</w:t>
      </w:r>
      <w:r w:rsidR="007E3AAF" w:rsidRPr="000F3550">
        <w:rPr>
          <w:rFonts w:cs="Arial"/>
        </w:rPr>
        <w:t xml:space="preserve"> (</w:t>
      </w:r>
      <w:r w:rsidR="00070DA5" w:rsidRPr="000F3550">
        <w:rPr>
          <w:rFonts w:cs="Arial"/>
        </w:rPr>
        <w:t>0</w:t>
      </w:r>
      <w:r w:rsidR="007E3AAF" w:rsidRPr="000F3550">
        <w:rPr>
          <w:rFonts w:cs="Arial"/>
        </w:rPr>
        <w:t>.7</w:t>
      </w:r>
      <w:r w:rsidR="00F83252" w:rsidRPr="000F3550">
        <w:rPr>
          <w:rFonts w:cs="Arial"/>
        </w:rPr>
        <w:t xml:space="preserve"> wt.%),</w:t>
      </w:r>
      <w:r w:rsidR="00C2236A" w:rsidRPr="000F3550">
        <w:rPr>
          <w:rFonts w:cs="Arial"/>
        </w:rPr>
        <w:t xml:space="preserve"> w</w:t>
      </w:r>
      <w:r w:rsidR="00EE3ECA" w:rsidRPr="000F3550">
        <w:rPr>
          <w:rFonts w:cs="Arial"/>
        </w:rPr>
        <w:t xml:space="preserve">hereas </w:t>
      </w:r>
      <w:r w:rsidR="00A7337B" w:rsidRPr="000F3550">
        <w:rPr>
          <w:rFonts w:cs="Arial"/>
        </w:rPr>
        <w:t>RH ha</w:t>
      </w:r>
      <w:r w:rsidR="00CE041A" w:rsidRPr="000F3550">
        <w:rPr>
          <w:rFonts w:cs="Arial"/>
        </w:rPr>
        <w:t>d</w:t>
      </w:r>
      <w:r w:rsidR="00A7337B" w:rsidRPr="000F3550">
        <w:rPr>
          <w:rFonts w:cs="Arial"/>
        </w:rPr>
        <w:t xml:space="preserve"> the highest ash</w:t>
      </w:r>
      <w:r w:rsidR="006F67FD" w:rsidRPr="000F3550">
        <w:rPr>
          <w:rFonts w:cs="Arial"/>
        </w:rPr>
        <w:t xml:space="preserve"> (30.6 wt.%)</w:t>
      </w:r>
      <w:r w:rsidR="00A7337B" w:rsidRPr="000F3550">
        <w:rPr>
          <w:rFonts w:cs="Arial"/>
        </w:rPr>
        <w:t xml:space="preserve"> and low </w:t>
      </w:r>
      <w:r w:rsidR="009D1884" w:rsidRPr="000F3550">
        <w:rPr>
          <w:rFonts w:cs="Arial"/>
        </w:rPr>
        <w:t xml:space="preserve">levels of </w:t>
      </w:r>
      <w:r w:rsidR="00A7337B" w:rsidRPr="000F3550">
        <w:rPr>
          <w:rFonts w:cs="Arial"/>
        </w:rPr>
        <w:t>volatile matter</w:t>
      </w:r>
      <w:r w:rsidR="006F67FD" w:rsidRPr="000F3550">
        <w:rPr>
          <w:rFonts w:cs="Arial"/>
        </w:rPr>
        <w:t xml:space="preserve"> (5</w:t>
      </w:r>
      <w:r w:rsidR="00E801EB" w:rsidRPr="000F3550">
        <w:rPr>
          <w:rFonts w:cs="Arial"/>
        </w:rPr>
        <w:t>3</w:t>
      </w:r>
      <w:r w:rsidR="006F67FD" w:rsidRPr="000F3550">
        <w:rPr>
          <w:rFonts w:cs="Arial"/>
        </w:rPr>
        <w:t xml:space="preserve"> wt.%)</w:t>
      </w:r>
      <w:r w:rsidR="00A7337B" w:rsidRPr="000F3550">
        <w:rPr>
          <w:rFonts w:cs="Arial"/>
        </w:rPr>
        <w:t xml:space="preserve"> and oxygen</w:t>
      </w:r>
      <w:r w:rsidR="006F67FD" w:rsidRPr="000F3550">
        <w:rPr>
          <w:rFonts w:cs="Arial"/>
        </w:rPr>
        <w:t xml:space="preserve"> (29.6 wt.%)</w:t>
      </w:r>
      <w:r w:rsidR="00A7337B" w:rsidRPr="000F3550">
        <w:rPr>
          <w:rFonts w:cs="Arial"/>
        </w:rPr>
        <w:t>.</w:t>
      </w:r>
      <w:r w:rsidR="00867B56" w:rsidRPr="000F3550">
        <w:rPr>
          <w:rFonts w:cs="Arial"/>
        </w:rPr>
        <w:t xml:space="preserve"> The aquatic macroalga</w:t>
      </w:r>
      <w:r w:rsidR="000E45E0" w:rsidRPr="000F3550">
        <w:rPr>
          <w:rFonts w:cs="Arial"/>
        </w:rPr>
        <w:t>,</w:t>
      </w:r>
      <w:r w:rsidR="00867B56" w:rsidRPr="000F3550">
        <w:rPr>
          <w:rFonts w:cs="Arial"/>
        </w:rPr>
        <w:t xml:space="preserve"> </w:t>
      </w:r>
      <w:r w:rsidR="00867B56" w:rsidRPr="000F3550">
        <w:rPr>
          <w:rFonts w:cs="Arial"/>
          <w:i/>
        </w:rPr>
        <w:t xml:space="preserve">Kappaphycus alvarezii </w:t>
      </w:r>
      <w:r w:rsidR="00867B56" w:rsidRPr="000F3550">
        <w:rPr>
          <w:rFonts w:cs="Arial"/>
        </w:rPr>
        <w:t>(KA)</w:t>
      </w:r>
      <w:r w:rsidR="000E45E0" w:rsidRPr="000F3550">
        <w:rPr>
          <w:rFonts w:cs="Arial"/>
        </w:rPr>
        <w:t>,</w:t>
      </w:r>
      <w:r w:rsidR="00867B56" w:rsidRPr="000F3550">
        <w:rPr>
          <w:rFonts w:cs="Arial"/>
        </w:rPr>
        <w:t xml:space="preserve"> is prevalent across the Indian peninsula's coastal regions. India currently lacks a source of </w:t>
      </w:r>
      <w:r w:rsidR="00867B56" w:rsidRPr="000F3550">
        <w:rPr>
          <w:rFonts w:cs="Arial"/>
          <w:i/>
          <w:szCs w:val="18"/>
          <w:lang w:eastAsia="en-IN"/>
        </w:rPr>
        <w:t>Eucheuma spinosum</w:t>
      </w:r>
      <w:r w:rsidR="00867B56" w:rsidRPr="000F3550">
        <w:rPr>
          <w:rFonts w:cs="Arial"/>
        </w:rPr>
        <w:t xml:space="preserve"> (ES), which is currently grown in Indonesia and other South-East Asian </w:t>
      </w:r>
      <w:r w:rsidR="009D1884" w:rsidRPr="000F3550">
        <w:rPr>
          <w:rFonts w:cs="Arial"/>
        </w:rPr>
        <w:t>regions</w:t>
      </w:r>
      <w:r w:rsidR="00867B56" w:rsidRPr="000F3550">
        <w:rPr>
          <w:rFonts w:cs="Arial"/>
        </w:rPr>
        <w:t xml:space="preserve">. </w:t>
      </w:r>
      <w:r w:rsidR="009D1884" w:rsidRPr="000F3550">
        <w:rPr>
          <w:rFonts w:cs="Arial"/>
        </w:rPr>
        <w:t>These two are t</w:t>
      </w:r>
      <w:r w:rsidR="00867B56" w:rsidRPr="000F3550">
        <w:rPr>
          <w:rFonts w:cs="Arial"/>
        </w:rPr>
        <w:t xml:space="preserve">he most popular seaweeds used to extract carrageenan </w:t>
      </w:r>
      <w:r w:rsidR="009D1884" w:rsidRPr="000F3550">
        <w:rPr>
          <w:rFonts w:cs="Arial"/>
        </w:rPr>
        <w:t xml:space="preserve">at </w:t>
      </w:r>
      <w:r w:rsidR="00867B56" w:rsidRPr="000F3550">
        <w:rPr>
          <w:rFonts w:cs="Arial"/>
        </w:rPr>
        <w:t>commercial</w:t>
      </w:r>
      <w:r w:rsidR="009D1884" w:rsidRPr="000F3550">
        <w:rPr>
          <w:rFonts w:cs="Arial"/>
        </w:rPr>
        <w:t xml:space="preserve"> scales</w:t>
      </w:r>
      <w:r w:rsidR="00867B56" w:rsidRPr="000F3550">
        <w:rPr>
          <w:rFonts w:cs="Arial"/>
        </w:rPr>
        <w:t xml:space="preserve">. The proximate analysis shows that the volatile matter content of both </w:t>
      </w:r>
      <w:r w:rsidR="00E863D9" w:rsidRPr="000F3550">
        <w:rPr>
          <w:rFonts w:cs="Arial"/>
        </w:rPr>
        <w:t>macroalgae</w:t>
      </w:r>
      <w:r w:rsidR="00867B56" w:rsidRPr="000F3550">
        <w:rPr>
          <w:rFonts w:cs="Arial"/>
        </w:rPr>
        <w:t xml:space="preserve"> is about the same (</w:t>
      </w:r>
      <w:r w:rsidR="00867B56" w:rsidRPr="000F3550">
        <w:rPr>
          <w:rFonts w:ascii="Cambria Math" w:hAnsi="Cambria Math" w:cs="Cambria Math"/>
        </w:rPr>
        <w:t>∼</w:t>
      </w:r>
      <w:r w:rsidR="00867B56" w:rsidRPr="000F3550">
        <w:rPr>
          <w:rFonts w:cs="Arial"/>
        </w:rPr>
        <w:t xml:space="preserve">68.8 </w:t>
      </w:r>
      <w:r w:rsidR="00C0514E" w:rsidRPr="000F3550">
        <w:rPr>
          <w:rFonts w:cs="Arial"/>
        </w:rPr>
        <w:t>wt.</w:t>
      </w:r>
      <w:r w:rsidR="00867B56" w:rsidRPr="000F3550">
        <w:rPr>
          <w:rFonts w:cs="Arial"/>
        </w:rPr>
        <w:t>%).</w:t>
      </w:r>
      <w:r w:rsidR="00C70D06" w:rsidRPr="000F3550">
        <w:rPr>
          <w:rFonts w:cs="Arial"/>
        </w:rPr>
        <w:t xml:space="preserve"> The ash content in the both macroalgae</w:t>
      </w:r>
      <w:r w:rsidR="00EE3ECA" w:rsidRPr="000F3550">
        <w:rPr>
          <w:rFonts w:cs="Arial"/>
        </w:rPr>
        <w:t>,</w:t>
      </w:r>
      <w:r w:rsidR="00C70D06" w:rsidRPr="000F3550">
        <w:rPr>
          <w:rFonts w:cs="Arial"/>
        </w:rPr>
        <w:t xml:space="preserve"> KA (24.1 wt.%) and ES (25.9 wt.%)</w:t>
      </w:r>
      <w:r w:rsidR="009D1884" w:rsidRPr="000F3550">
        <w:rPr>
          <w:rFonts w:cs="Arial"/>
        </w:rPr>
        <w:t>,</w:t>
      </w:r>
      <w:r w:rsidR="00C70D06" w:rsidRPr="000F3550">
        <w:rPr>
          <w:rFonts w:cs="Arial"/>
        </w:rPr>
        <w:t xml:space="preserve"> was lower than RH. The nitrogen content in KA</w:t>
      </w:r>
      <w:r w:rsidR="00F102C0" w:rsidRPr="000F3550">
        <w:rPr>
          <w:rFonts w:cs="Arial"/>
        </w:rPr>
        <w:t xml:space="preserve"> (0.9 wt.%)</w:t>
      </w:r>
      <w:r w:rsidR="00C70D06" w:rsidRPr="000F3550">
        <w:rPr>
          <w:rFonts w:cs="Arial"/>
        </w:rPr>
        <w:t xml:space="preserve"> and ES</w:t>
      </w:r>
      <w:r w:rsidR="00F102C0" w:rsidRPr="000F3550">
        <w:rPr>
          <w:rFonts w:cs="Arial"/>
        </w:rPr>
        <w:t xml:space="preserve"> (1 wt.%)</w:t>
      </w:r>
      <w:r w:rsidR="00C70D06" w:rsidRPr="000F3550">
        <w:rPr>
          <w:rFonts w:cs="Arial"/>
        </w:rPr>
        <w:t xml:space="preserve"> </w:t>
      </w:r>
      <w:r w:rsidR="00F102C0" w:rsidRPr="000F3550">
        <w:rPr>
          <w:rFonts w:cs="Arial"/>
        </w:rPr>
        <w:t>was relatively higher than RH (0.3 wt.%) and SD (0.1 wt.%)</w:t>
      </w:r>
      <w:r w:rsidR="00E863D9" w:rsidRPr="000F3550">
        <w:rPr>
          <w:rFonts w:cs="Arial"/>
        </w:rPr>
        <w:t xml:space="preserve">. This </w:t>
      </w:r>
      <w:r w:rsidR="009D1884" w:rsidRPr="000F3550">
        <w:rPr>
          <w:rFonts w:cs="Arial"/>
        </w:rPr>
        <w:t>is because</w:t>
      </w:r>
      <w:r w:rsidR="00E863D9" w:rsidRPr="000F3550">
        <w:rPr>
          <w:rFonts w:cs="Arial"/>
        </w:rPr>
        <w:t xml:space="preserve"> macroalgae</w:t>
      </w:r>
      <w:r w:rsidR="00265372" w:rsidRPr="000F3550">
        <w:rPr>
          <w:rFonts w:cs="Arial"/>
        </w:rPr>
        <w:t xml:space="preserve"> contain </w:t>
      </w:r>
      <w:r w:rsidR="00981EAB" w:rsidRPr="000F3550">
        <w:rPr>
          <w:rFonts w:cs="Arial"/>
        </w:rPr>
        <w:t>organic</w:t>
      </w:r>
      <w:r w:rsidR="00265372" w:rsidRPr="000F3550">
        <w:rPr>
          <w:rFonts w:cs="Arial"/>
        </w:rPr>
        <w:t xml:space="preserve"> as well as inorganic</w:t>
      </w:r>
      <w:r w:rsidR="00E863D9" w:rsidRPr="000F3550">
        <w:rPr>
          <w:rFonts w:cs="Arial"/>
        </w:rPr>
        <w:t xml:space="preserve"> nitrogen</w:t>
      </w:r>
      <w:r w:rsidR="00265372" w:rsidRPr="000F3550">
        <w:rPr>
          <w:rFonts w:cs="Arial"/>
        </w:rPr>
        <w:t xml:space="preserve">. </w:t>
      </w:r>
      <w:r w:rsidR="001B78F5" w:rsidRPr="000F3550">
        <w:rPr>
          <w:rFonts w:cs="Arial"/>
        </w:rPr>
        <w:t xml:space="preserve">KA and ES </w:t>
      </w:r>
      <w:r w:rsidR="00CB57D4" w:rsidRPr="000F3550">
        <w:rPr>
          <w:rFonts w:cs="Arial"/>
        </w:rPr>
        <w:t>resulted in</w:t>
      </w:r>
      <w:r w:rsidR="001B78F5" w:rsidRPr="000F3550">
        <w:rPr>
          <w:rFonts w:cs="Arial"/>
        </w:rPr>
        <w:t xml:space="preserve"> gel </w:t>
      </w:r>
      <w:r w:rsidR="00CB57D4" w:rsidRPr="000F3550">
        <w:rPr>
          <w:rFonts w:cs="Arial"/>
        </w:rPr>
        <w:t>form</w:t>
      </w:r>
      <w:r w:rsidR="001B78F5" w:rsidRPr="000F3550">
        <w:rPr>
          <w:rFonts w:cs="Arial"/>
        </w:rPr>
        <w:t>ation</w:t>
      </w:r>
      <w:r w:rsidR="009D1884" w:rsidRPr="000F3550">
        <w:rPr>
          <w:rFonts w:cs="Arial"/>
        </w:rPr>
        <w:t xml:space="preserve"> when mixed with water</w:t>
      </w:r>
      <w:r w:rsidR="001B78F5" w:rsidRPr="000F3550">
        <w:rPr>
          <w:rFonts w:cs="Arial"/>
        </w:rPr>
        <w:t xml:space="preserve">, </w:t>
      </w:r>
      <w:r w:rsidR="009D1884" w:rsidRPr="000F3550">
        <w:rPr>
          <w:rFonts w:cs="Arial"/>
        </w:rPr>
        <w:t xml:space="preserve">which is </w:t>
      </w:r>
      <w:r w:rsidR="001B78F5" w:rsidRPr="000F3550">
        <w:rPr>
          <w:rFonts w:cs="Arial"/>
        </w:rPr>
        <w:t xml:space="preserve">primarily </w:t>
      </w:r>
      <w:r w:rsidR="00507822" w:rsidRPr="000F3550">
        <w:rPr>
          <w:rFonts w:cs="Arial"/>
        </w:rPr>
        <w:t>due</w:t>
      </w:r>
      <w:r w:rsidR="001B78F5" w:rsidRPr="000F3550">
        <w:rPr>
          <w:rFonts w:cs="Arial"/>
        </w:rPr>
        <w:t xml:space="preserve"> to the high carrageenan content. Red algae's cell walls include carrageenans, which are used in the food and feed sectors as texturizing and gelling agents. HHV</w:t>
      </w:r>
      <w:r w:rsidR="00CB57D4" w:rsidRPr="000F3550">
        <w:rPr>
          <w:rFonts w:cs="Arial"/>
        </w:rPr>
        <w:t>s</w:t>
      </w:r>
      <w:r w:rsidRPr="000F3550">
        <w:rPr>
          <w:rFonts w:cs="Arial"/>
        </w:rPr>
        <w:t xml:space="preserve"> of KA</w:t>
      </w:r>
      <w:r w:rsidR="009D1884" w:rsidRPr="000F3550">
        <w:rPr>
          <w:rFonts w:cs="Arial"/>
        </w:rPr>
        <w:t xml:space="preserve"> </w:t>
      </w:r>
      <w:r w:rsidRPr="000F3550">
        <w:rPr>
          <w:rFonts w:cs="Arial"/>
        </w:rPr>
        <w:t>and ES</w:t>
      </w:r>
      <w:r w:rsidR="001B78F5" w:rsidRPr="000F3550">
        <w:rPr>
          <w:rFonts w:cs="Arial"/>
        </w:rPr>
        <w:t xml:space="preserve"> </w:t>
      </w:r>
      <w:r w:rsidR="00CB57D4" w:rsidRPr="000F3550">
        <w:rPr>
          <w:rFonts w:cs="Arial"/>
        </w:rPr>
        <w:t>were</w:t>
      </w:r>
      <w:r w:rsidR="001B78F5" w:rsidRPr="000F3550">
        <w:rPr>
          <w:rFonts w:cs="Arial"/>
        </w:rPr>
        <w:t xml:space="preserve"> relatively lower </w:t>
      </w:r>
      <w:r w:rsidR="00265372" w:rsidRPr="000F3550">
        <w:rPr>
          <w:rFonts w:cs="Arial"/>
        </w:rPr>
        <w:t xml:space="preserve">than </w:t>
      </w:r>
      <w:r w:rsidR="00F10F76" w:rsidRPr="000F3550">
        <w:rPr>
          <w:rFonts w:cs="Arial"/>
        </w:rPr>
        <w:t>RH and</w:t>
      </w:r>
      <w:r w:rsidRPr="000F3550">
        <w:rPr>
          <w:rFonts w:cs="Arial"/>
        </w:rPr>
        <w:t xml:space="preserve"> SD</w:t>
      </w:r>
      <w:r w:rsidR="009D1884" w:rsidRPr="000F3550">
        <w:rPr>
          <w:rFonts w:cs="Arial"/>
        </w:rPr>
        <w:t xml:space="preserve">, which can be attributed to the influence of </w:t>
      </w:r>
      <w:r w:rsidR="00265372" w:rsidRPr="000F3550">
        <w:rPr>
          <w:rFonts w:cs="Arial"/>
        </w:rPr>
        <w:t xml:space="preserve">ash </w:t>
      </w:r>
      <w:r w:rsidR="009D1884" w:rsidRPr="000F3550">
        <w:rPr>
          <w:rFonts w:cs="Arial"/>
        </w:rPr>
        <w:t>levels and elemental carbon in these feedstocks</w:t>
      </w:r>
      <w:r w:rsidR="00265372" w:rsidRPr="000F3550">
        <w:rPr>
          <w:rFonts w:cs="Arial"/>
        </w:rPr>
        <w:t>.</w:t>
      </w:r>
      <w:r w:rsidR="00A36007" w:rsidRPr="000F3550">
        <w:rPr>
          <w:rFonts w:cs="Arial"/>
        </w:rPr>
        <w:t xml:space="preserve"> The feedstock characterization data </w:t>
      </w:r>
      <w:r w:rsidR="00CB57D4" w:rsidRPr="000F3550">
        <w:rPr>
          <w:rFonts w:cs="Arial"/>
        </w:rPr>
        <w:t>a</w:t>
      </w:r>
      <w:r w:rsidR="00A36007" w:rsidRPr="000F3550">
        <w:rPr>
          <w:rFonts w:cs="Arial"/>
        </w:rPr>
        <w:t xml:space="preserve">re in line with the </w:t>
      </w:r>
      <w:r w:rsidR="00C85AFE" w:rsidRPr="000F3550">
        <w:rPr>
          <w:rFonts w:cs="Arial"/>
        </w:rPr>
        <w:t>literature</w:t>
      </w:r>
      <w:r w:rsidR="00A36007" w:rsidRPr="000F3550">
        <w:rPr>
          <w:rFonts w:cs="Arial"/>
        </w:rPr>
        <w:t xml:space="preserve"> (</w:t>
      </w:r>
      <w:r w:rsidR="00D56362" w:rsidRPr="000F3550">
        <w:rPr>
          <w:rStyle w:val="text"/>
          <w:rFonts w:cs="Arial"/>
        </w:rPr>
        <w:t>Gautam</w:t>
      </w:r>
      <w:r w:rsidR="00A36007" w:rsidRPr="000F3550">
        <w:rPr>
          <w:rFonts w:cs="Arial"/>
        </w:rPr>
        <w:t xml:space="preserve"> et al., </w:t>
      </w:r>
      <w:r w:rsidR="007D7565" w:rsidRPr="000F3550">
        <w:rPr>
          <w:rFonts w:cs="Arial"/>
        </w:rPr>
        <w:t>20</w:t>
      </w:r>
      <w:r w:rsidR="00D56362" w:rsidRPr="000F3550">
        <w:rPr>
          <w:rFonts w:cs="Arial"/>
        </w:rPr>
        <w:t>19</w:t>
      </w:r>
      <w:r w:rsidR="00A36007" w:rsidRPr="000F3550">
        <w:rPr>
          <w:rFonts w:cs="Arial"/>
        </w:rPr>
        <w:t>).</w:t>
      </w:r>
      <w:r w:rsidR="00184CA8" w:rsidRPr="000F3550">
        <w:rPr>
          <w:rFonts w:cs="Arial"/>
          <w:b/>
        </w:rPr>
        <w:t xml:space="preserve"> </w:t>
      </w:r>
      <w:r w:rsidR="00184CA8" w:rsidRPr="000F3550">
        <w:rPr>
          <w:rFonts w:cs="Arial"/>
        </w:rPr>
        <w:t xml:space="preserve">The ash content for RH in the current study is relatively higher than the reported ash content in </w:t>
      </w:r>
      <w:r w:rsidR="009D1884" w:rsidRPr="000F3550">
        <w:rPr>
          <w:rFonts w:cs="Arial"/>
        </w:rPr>
        <w:t>a</w:t>
      </w:r>
      <w:r w:rsidR="00184CA8" w:rsidRPr="000F3550">
        <w:rPr>
          <w:rFonts w:cs="Arial"/>
        </w:rPr>
        <w:t xml:space="preserve"> study by Balasundram et al. </w:t>
      </w:r>
      <w:r w:rsidR="00CB57D4" w:rsidRPr="000F3550">
        <w:rPr>
          <w:rFonts w:cs="Arial"/>
        </w:rPr>
        <w:t>(</w:t>
      </w:r>
      <w:r w:rsidR="00184CA8" w:rsidRPr="000F3550">
        <w:rPr>
          <w:rFonts w:cs="Arial"/>
        </w:rPr>
        <w:t>2017)</w:t>
      </w:r>
      <w:r w:rsidR="009D1884" w:rsidRPr="000F3550">
        <w:rPr>
          <w:rFonts w:cs="Arial"/>
        </w:rPr>
        <w:t>, and this is</w:t>
      </w:r>
      <w:r w:rsidR="00184CA8" w:rsidRPr="000F3550">
        <w:rPr>
          <w:rFonts w:cs="Arial"/>
          <w:b/>
        </w:rPr>
        <w:t xml:space="preserve"> </w:t>
      </w:r>
      <w:r w:rsidR="009D1884" w:rsidRPr="000F3550">
        <w:rPr>
          <w:rFonts w:cs="Arial"/>
        </w:rPr>
        <w:t>mainly</w:t>
      </w:r>
      <w:r w:rsidR="009D1884" w:rsidRPr="000F3550">
        <w:rPr>
          <w:rFonts w:cs="Arial"/>
          <w:b/>
        </w:rPr>
        <w:t xml:space="preserve"> </w:t>
      </w:r>
      <w:r w:rsidR="00184CA8" w:rsidRPr="000F3550">
        <w:rPr>
          <w:rFonts w:cs="Arial"/>
        </w:rPr>
        <w:t>attributed to the source of biomass.</w:t>
      </w:r>
      <w:r w:rsidR="00AF259A" w:rsidRPr="000F3550">
        <w:rPr>
          <w:rFonts w:cs="Arial"/>
        </w:rPr>
        <w:t xml:space="preserve"> </w:t>
      </w:r>
    </w:p>
    <w:p w14:paraId="76FA0D3E" w14:textId="225FDE94" w:rsidR="00BF5988" w:rsidRPr="0011519F" w:rsidRDefault="00BF5988" w:rsidP="002F5663">
      <w:pPr>
        <w:pStyle w:val="CETBodytext"/>
        <w:rPr>
          <w:rFonts w:cs="Arial"/>
        </w:rPr>
      </w:pPr>
    </w:p>
    <w:p w14:paraId="22BD5AA2" w14:textId="17DF923E" w:rsidR="00182FDA" w:rsidRPr="004B0304" w:rsidRDefault="004B0304" w:rsidP="002F5663">
      <w:pPr>
        <w:pStyle w:val="CETBodytext"/>
        <w:rPr>
          <w:i/>
        </w:rPr>
      </w:pPr>
      <w:r w:rsidRPr="004B0304">
        <w:rPr>
          <w:i/>
        </w:rPr>
        <w:t>Table 1: Physicochemical properties of biomass</w:t>
      </w:r>
    </w:p>
    <w:p w14:paraId="313430FA" w14:textId="77777777" w:rsidR="00182FDA" w:rsidRPr="002F5663" w:rsidRDefault="00182FDA" w:rsidP="002F5663">
      <w:pPr>
        <w:pStyle w:val="CETBodytext"/>
      </w:pPr>
    </w:p>
    <w:tbl>
      <w:tblPr>
        <w:tblW w:w="8539" w:type="dxa"/>
        <w:tblLook w:val="04A0" w:firstRow="1" w:lastRow="0" w:firstColumn="1" w:lastColumn="0" w:noHBand="0" w:noVBand="1"/>
      </w:tblPr>
      <w:tblGrid>
        <w:gridCol w:w="1154"/>
        <w:gridCol w:w="1448"/>
        <w:gridCol w:w="1074"/>
        <w:gridCol w:w="1317"/>
        <w:gridCol w:w="1871"/>
        <w:gridCol w:w="1675"/>
      </w:tblGrid>
      <w:tr w:rsidR="00C867DB" w:rsidRPr="00996C1D" w14:paraId="60C7AFFF" w14:textId="77777777" w:rsidTr="00757792">
        <w:trPr>
          <w:trHeight w:val="438"/>
        </w:trPr>
        <w:tc>
          <w:tcPr>
            <w:tcW w:w="1154" w:type="dxa"/>
            <w:vMerge w:val="restart"/>
            <w:tcBorders>
              <w:top w:val="single" w:sz="12" w:space="0" w:color="008000"/>
              <w:left w:val="nil"/>
              <w:bottom w:val="single" w:sz="8" w:space="0" w:color="008000"/>
              <w:right w:val="nil"/>
            </w:tcBorders>
            <w:shd w:val="clear" w:color="000000" w:fill="FFFFFF"/>
            <w:noWrap/>
            <w:vAlign w:val="center"/>
            <w:hideMark/>
          </w:tcPr>
          <w:p w14:paraId="7FF490DB" w14:textId="77777777" w:rsidR="00C867DB" w:rsidRPr="00D15611" w:rsidRDefault="00C867DB" w:rsidP="003A171A">
            <w:pPr>
              <w:spacing w:line="240" w:lineRule="auto"/>
              <w:rPr>
                <w:rFonts w:cs="Arial"/>
                <w:color w:val="000000"/>
                <w:szCs w:val="18"/>
                <w:lang w:eastAsia="en-IN"/>
              </w:rPr>
            </w:pPr>
            <w:r w:rsidRPr="00D15611">
              <w:rPr>
                <w:rFonts w:cs="Arial"/>
                <w:color w:val="000000"/>
                <w:szCs w:val="18"/>
                <w:lang w:eastAsia="en-IN"/>
              </w:rPr>
              <w:t>Analysis</w:t>
            </w:r>
          </w:p>
        </w:tc>
        <w:tc>
          <w:tcPr>
            <w:tcW w:w="1448" w:type="dxa"/>
            <w:vMerge w:val="restart"/>
            <w:tcBorders>
              <w:top w:val="single" w:sz="12" w:space="0" w:color="008000"/>
              <w:left w:val="nil"/>
              <w:bottom w:val="single" w:sz="8" w:space="0" w:color="008000"/>
              <w:right w:val="nil"/>
            </w:tcBorders>
            <w:shd w:val="clear" w:color="000000" w:fill="FFFFFF"/>
            <w:noWrap/>
            <w:vAlign w:val="center"/>
            <w:hideMark/>
          </w:tcPr>
          <w:p w14:paraId="64662E7F" w14:textId="77777777" w:rsidR="00C867DB" w:rsidRPr="00D15611" w:rsidRDefault="00C867DB" w:rsidP="003A171A">
            <w:pPr>
              <w:spacing w:line="240" w:lineRule="auto"/>
              <w:rPr>
                <w:rFonts w:cs="Arial"/>
                <w:color w:val="000000"/>
                <w:lang w:eastAsia="en-IN"/>
              </w:rPr>
            </w:pPr>
            <w:r w:rsidRPr="00D15611">
              <w:rPr>
                <w:rFonts w:cs="Arial"/>
                <w:color w:val="000000"/>
                <w:lang w:eastAsia="en-IN"/>
              </w:rPr>
              <w:t> </w:t>
            </w:r>
          </w:p>
        </w:tc>
        <w:tc>
          <w:tcPr>
            <w:tcW w:w="1074" w:type="dxa"/>
            <w:vMerge w:val="restart"/>
            <w:tcBorders>
              <w:top w:val="single" w:sz="12" w:space="0" w:color="008000"/>
              <w:left w:val="nil"/>
              <w:bottom w:val="single" w:sz="8" w:space="0" w:color="008000"/>
              <w:right w:val="nil"/>
            </w:tcBorders>
            <w:shd w:val="clear" w:color="000000" w:fill="FFFFFF"/>
            <w:noWrap/>
            <w:vAlign w:val="center"/>
            <w:hideMark/>
          </w:tcPr>
          <w:p w14:paraId="3F12B19A" w14:textId="09742E55" w:rsidR="00C867DB" w:rsidRPr="00D15611" w:rsidRDefault="00C867DB" w:rsidP="003A171A">
            <w:pPr>
              <w:spacing w:line="240" w:lineRule="auto"/>
              <w:jc w:val="center"/>
              <w:rPr>
                <w:rFonts w:cs="Arial"/>
                <w:color w:val="000000"/>
                <w:szCs w:val="18"/>
                <w:lang w:eastAsia="en-IN"/>
              </w:rPr>
            </w:pPr>
            <w:r w:rsidRPr="00D15611">
              <w:rPr>
                <w:rFonts w:cs="Arial"/>
                <w:color w:val="000000"/>
                <w:szCs w:val="18"/>
                <w:lang w:eastAsia="en-IN"/>
              </w:rPr>
              <w:t>Rice husk</w:t>
            </w:r>
            <w:r w:rsidR="00D10E47" w:rsidRPr="00D15611">
              <w:rPr>
                <w:rFonts w:cs="Arial"/>
                <w:color w:val="000000"/>
                <w:szCs w:val="18"/>
                <w:lang w:eastAsia="en-IN"/>
              </w:rPr>
              <w:t xml:space="preserve"> (RH)</w:t>
            </w:r>
          </w:p>
        </w:tc>
        <w:tc>
          <w:tcPr>
            <w:tcW w:w="1317" w:type="dxa"/>
            <w:vMerge w:val="restart"/>
            <w:tcBorders>
              <w:top w:val="single" w:sz="12" w:space="0" w:color="008000"/>
              <w:left w:val="nil"/>
              <w:bottom w:val="single" w:sz="8" w:space="0" w:color="008000"/>
              <w:right w:val="nil"/>
            </w:tcBorders>
            <w:shd w:val="clear" w:color="000000" w:fill="FFFFFF"/>
            <w:noWrap/>
            <w:vAlign w:val="center"/>
            <w:hideMark/>
          </w:tcPr>
          <w:p w14:paraId="4B343743" w14:textId="5DC53311" w:rsidR="00C867DB" w:rsidRPr="00D15611" w:rsidRDefault="00C867DB" w:rsidP="003A171A">
            <w:pPr>
              <w:spacing w:line="240" w:lineRule="auto"/>
              <w:jc w:val="center"/>
              <w:rPr>
                <w:rFonts w:cs="Arial"/>
                <w:color w:val="000000"/>
                <w:szCs w:val="18"/>
                <w:lang w:eastAsia="en-IN"/>
              </w:rPr>
            </w:pPr>
            <w:r w:rsidRPr="00D15611">
              <w:rPr>
                <w:rFonts w:cs="Arial"/>
                <w:color w:val="000000"/>
                <w:szCs w:val="18"/>
                <w:lang w:eastAsia="en-IN"/>
              </w:rPr>
              <w:t>Pine saw dust</w:t>
            </w:r>
            <w:r w:rsidR="00D10E47" w:rsidRPr="00D15611">
              <w:rPr>
                <w:rFonts w:cs="Arial"/>
                <w:color w:val="000000"/>
                <w:szCs w:val="18"/>
                <w:lang w:eastAsia="en-IN"/>
              </w:rPr>
              <w:t xml:space="preserve"> (SD)</w:t>
            </w:r>
          </w:p>
        </w:tc>
        <w:tc>
          <w:tcPr>
            <w:tcW w:w="1871" w:type="dxa"/>
            <w:vMerge w:val="restart"/>
            <w:tcBorders>
              <w:top w:val="single" w:sz="12" w:space="0" w:color="008000"/>
              <w:left w:val="nil"/>
              <w:bottom w:val="single" w:sz="8" w:space="0" w:color="008000"/>
              <w:right w:val="nil"/>
            </w:tcBorders>
            <w:shd w:val="clear" w:color="000000" w:fill="FFFFFF"/>
            <w:noWrap/>
            <w:vAlign w:val="center"/>
            <w:hideMark/>
          </w:tcPr>
          <w:p w14:paraId="2D38E8C5" w14:textId="4521D87C" w:rsidR="00C867DB" w:rsidRPr="00D15611" w:rsidRDefault="00D10E47" w:rsidP="003A171A">
            <w:pPr>
              <w:spacing w:line="240" w:lineRule="auto"/>
              <w:jc w:val="center"/>
              <w:rPr>
                <w:rFonts w:cs="Arial"/>
                <w:color w:val="000000"/>
                <w:szCs w:val="18"/>
                <w:lang w:eastAsia="en-IN"/>
              </w:rPr>
            </w:pPr>
            <w:r w:rsidRPr="00176195">
              <w:rPr>
                <w:rFonts w:cs="Arial"/>
                <w:i/>
                <w:color w:val="000000"/>
                <w:szCs w:val="18"/>
                <w:lang w:eastAsia="en-IN"/>
              </w:rPr>
              <w:t>Kappaphycus alvarezii</w:t>
            </w:r>
            <w:r w:rsidRPr="00D15611">
              <w:rPr>
                <w:rFonts w:cs="Arial"/>
                <w:color w:val="000000"/>
                <w:szCs w:val="18"/>
                <w:lang w:eastAsia="en-IN"/>
              </w:rPr>
              <w:t xml:space="preserve"> (KA)</w:t>
            </w:r>
          </w:p>
        </w:tc>
        <w:tc>
          <w:tcPr>
            <w:tcW w:w="1675" w:type="dxa"/>
            <w:vMerge w:val="restart"/>
            <w:tcBorders>
              <w:top w:val="single" w:sz="12" w:space="0" w:color="008000"/>
              <w:left w:val="nil"/>
              <w:bottom w:val="single" w:sz="8" w:space="0" w:color="008000"/>
              <w:right w:val="nil"/>
            </w:tcBorders>
            <w:shd w:val="clear" w:color="000000" w:fill="FFFFFF"/>
            <w:noWrap/>
            <w:vAlign w:val="center"/>
            <w:hideMark/>
          </w:tcPr>
          <w:p w14:paraId="7B46A8D3" w14:textId="7CBD690E" w:rsidR="00C867DB" w:rsidRPr="00D15611" w:rsidRDefault="00C867DB" w:rsidP="003A171A">
            <w:pPr>
              <w:spacing w:line="240" w:lineRule="auto"/>
              <w:jc w:val="center"/>
              <w:rPr>
                <w:rFonts w:cs="Arial"/>
                <w:color w:val="000000"/>
                <w:szCs w:val="18"/>
                <w:lang w:eastAsia="en-IN"/>
              </w:rPr>
            </w:pPr>
            <w:r w:rsidRPr="00176195">
              <w:rPr>
                <w:rFonts w:cs="Arial"/>
                <w:i/>
                <w:color w:val="000000"/>
                <w:szCs w:val="18"/>
                <w:lang w:eastAsia="en-IN"/>
              </w:rPr>
              <w:t>Eucheuma spinosum</w:t>
            </w:r>
            <w:r w:rsidR="00D10E47" w:rsidRPr="00D15611">
              <w:rPr>
                <w:rFonts w:cs="Arial"/>
                <w:color w:val="000000"/>
                <w:szCs w:val="18"/>
                <w:lang w:eastAsia="en-IN"/>
              </w:rPr>
              <w:t xml:space="preserve"> (ES)</w:t>
            </w:r>
          </w:p>
        </w:tc>
      </w:tr>
      <w:tr w:rsidR="00757792" w:rsidRPr="00996C1D" w14:paraId="046B4ECD" w14:textId="77777777" w:rsidTr="009C673A">
        <w:trPr>
          <w:trHeight w:val="438"/>
        </w:trPr>
        <w:tc>
          <w:tcPr>
            <w:tcW w:w="1154" w:type="dxa"/>
            <w:vMerge/>
            <w:tcBorders>
              <w:top w:val="single" w:sz="12" w:space="0" w:color="008000"/>
              <w:left w:val="nil"/>
              <w:bottom w:val="single" w:sz="8" w:space="0" w:color="008000"/>
              <w:right w:val="nil"/>
            </w:tcBorders>
            <w:vAlign w:val="center"/>
            <w:hideMark/>
          </w:tcPr>
          <w:p w14:paraId="67B7A187" w14:textId="77777777" w:rsidR="00C867DB" w:rsidRPr="00D15611" w:rsidRDefault="00C867DB" w:rsidP="003A171A">
            <w:pPr>
              <w:spacing w:line="240" w:lineRule="auto"/>
              <w:rPr>
                <w:rFonts w:cs="Arial"/>
                <w:color w:val="000000"/>
                <w:szCs w:val="18"/>
                <w:lang w:eastAsia="en-IN"/>
              </w:rPr>
            </w:pPr>
          </w:p>
        </w:tc>
        <w:tc>
          <w:tcPr>
            <w:tcW w:w="1448" w:type="dxa"/>
            <w:vMerge/>
            <w:tcBorders>
              <w:top w:val="single" w:sz="12" w:space="0" w:color="008000"/>
              <w:left w:val="nil"/>
              <w:bottom w:val="single" w:sz="8" w:space="0" w:color="008000"/>
              <w:right w:val="nil"/>
            </w:tcBorders>
            <w:vAlign w:val="center"/>
            <w:hideMark/>
          </w:tcPr>
          <w:p w14:paraId="0ABC945C" w14:textId="77777777" w:rsidR="00C867DB" w:rsidRPr="00D15611" w:rsidRDefault="00C867DB" w:rsidP="003A171A">
            <w:pPr>
              <w:spacing w:line="240" w:lineRule="auto"/>
              <w:rPr>
                <w:rFonts w:cs="Arial"/>
                <w:color w:val="000000"/>
                <w:lang w:eastAsia="en-IN"/>
              </w:rPr>
            </w:pPr>
          </w:p>
        </w:tc>
        <w:tc>
          <w:tcPr>
            <w:tcW w:w="1074" w:type="dxa"/>
            <w:vMerge/>
            <w:tcBorders>
              <w:top w:val="single" w:sz="12" w:space="0" w:color="008000"/>
              <w:left w:val="nil"/>
              <w:bottom w:val="single" w:sz="8" w:space="0" w:color="008000"/>
              <w:right w:val="nil"/>
            </w:tcBorders>
            <w:vAlign w:val="center"/>
            <w:hideMark/>
          </w:tcPr>
          <w:p w14:paraId="7F943881" w14:textId="77777777" w:rsidR="00C867DB" w:rsidRPr="00D15611" w:rsidRDefault="00C867DB" w:rsidP="003A171A">
            <w:pPr>
              <w:spacing w:line="240" w:lineRule="auto"/>
              <w:rPr>
                <w:rFonts w:cs="Arial"/>
                <w:color w:val="000000"/>
                <w:szCs w:val="18"/>
                <w:lang w:eastAsia="en-IN"/>
              </w:rPr>
            </w:pPr>
          </w:p>
        </w:tc>
        <w:tc>
          <w:tcPr>
            <w:tcW w:w="1317" w:type="dxa"/>
            <w:vMerge/>
            <w:tcBorders>
              <w:top w:val="single" w:sz="12" w:space="0" w:color="008000"/>
              <w:left w:val="nil"/>
              <w:bottom w:val="single" w:sz="8" w:space="0" w:color="008000"/>
              <w:right w:val="nil"/>
            </w:tcBorders>
            <w:vAlign w:val="center"/>
            <w:hideMark/>
          </w:tcPr>
          <w:p w14:paraId="744897B5" w14:textId="77777777" w:rsidR="00C867DB" w:rsidRPr="00D15611" w:rsidRDefault="00C867DB" w:rsidP="003A171A">
            <w:pPr>
              <w:spacing w:line="240" w:lineRule="auto"/>
              <w:rPr>
                <w:rFonts w:cs="Arial"/>
                <w:color w:val="000000"/>
                <w:szCs w:val="18"/>
                <w:lang w:eastAsia="en-IN"/>
              </w:rPr>
            </w:pPr>
          </w:p>
        </w:tc>
        <w:tc>
          <w:tcPr>
            <w:tcW w:w="1871" w:type="dxa"/>
            <w:vMerge/>
            <w:tcBorders>
              <w:top w:val="single" w:sz="12" w:space="0" w:color="008000"/>
              <w:left w:val="nil"/>
              <w:bottom w:val="single" w:sz="8" w:space="0" w:color="008000"/>
              <w:right w:val="nil"/>
            </w:tcBorders>
            <w:vAlign w:val="center"/>
            <w:hideMark/>
          </w:tcPr>
          <w:p w14:paraId="1FF0FBDC" w14:textId="77777777" w:rsidR="00C867DB" w:rsidRPr="00D15611" w:rsidRDefault="00C867DB" w:rsidP="003A171A">
            <w:pPr>
              <w:spacing w:line="240" w:lineRule="auto"/>
              <w:rPr>
                <w:rFonts w:cs="Arial"/>
                <w:color w:val="000000"/>
                <w:szCs w:val="18"/>
                <w:lang w:eastAsia="en-IN"/>
              </w:rPr>
            </w:pPr>
          </w:p>
        </w:tc>
        <w:tc>
          <w:tcPr>
            <w:tcW w:w="1675" w:type="dxa"/>
            <w:vMerge/>
            <w:tcBorders>
              <w:top w:val="single" w:sz="12" w:space="0" w:color="008000"/>
              <w:left w:val="nil"/>
              <w:bottom w:val="single" w:sz="8" w:space="0" w:color="008000"/>
              <w:right w:val="nil"/>
            </w:tcBorders>
            <w:vAlign w:val="center"/>
            <w:hideMark/>
          </w:tcPr>
          <w:p w14:paraId="7AFAD932" w14:textId="77777777" w:rsidR="00C867DB" w:rsidRPr="00D15611" w:rsidRDefault="00C867DB" w:rsidP="003A171A">
            <w:pPr>
              <w:spacing w:line="240" w:lineRule="auto"/>
              <w:rPr>
                <w:rFonts w:cs="Arial"/>
                <w:color w:val="000000"/>
                <w:szCs w:val="18"/>
                <w:lang w:eastAsia="en-IN"/>
              </w:rPr>
            </w:pPr>
          </w:p>
        </w:tc>
      </w:tr>
      <w:tr w:rsidR="00C867DB" w:rsidRPr="00996C1D" w14:paraId="25E5521E" w14:textId="77777777" w:rsidTr="00757792">
        <w:trPr>
          <w:trHeight w:val="245"/>
        </w:trPr>
        <w:tc>
          <w:tcPr>
            <w:tcW w:w="1154" w:type="dxa"/>
            <w:vMerge w:val="restart"/>
            <w:tcBorders>
              <w:top w:val="nil"/>
              <w:left w:val="nil"/>
              <w:bottom w:val="nil"/>
              <w:right w:val="nil"/>
            </w:tcBorders>
            <w:shd w:val="clear" w:color="000000" w:fill="FFFFFF"/>
            <w:noWrap/>
            <w:vAlign w:val="center"/>
            <w:hideMark/>
          </w:tcPr>
          <w:p w14:paraId="23BAB6DC" w14:textId="25413013" w:rsidR="00C867DB" w:rsidRPr="00D15611" w:rsidRDefault="00C867DB" w:rsidP="00106881">
            <w:pPr>
              <w:spacing w:line="240" w:lineRule="auto"/>
              <w:rPr>
                <w:rFonts w:cs="Arial"/>
                <w:color w:val="000000"/>
                <w:szCs w:val="18"/>
                <w:lang w:eastAsia="en-IN"/>
              </w:rPr>
            </w:pPr>
            <w:r w:rsidRPr="00D15611">
              <w:rPr>
                <w:rFonts w:cs="Arial"/>
                <w:color w:val="000000"/>
                <w:szCs w:val="18"/>
                <w:lang w:eastAsia="en-IN"/>
              </w:rPr>
              <w:t>Ultimate Analysis (</w:t>
            </w:r>
            <w:r w:rsidR="004E2DF4" w:rsidRPr="00D15611">
              <w:rPr>
                <w:rFonts w:cs="Arial"/>
                <w:color w:val="000000"/>
                <w:szCs w:val="18"/>
                <w:lang w:eastAsia="en-IN"/>
              </w:rPr>
              <w:t>wt.</w:t>
            </w:r>
            <w:r w:rsidRPr="00D15611">
              <w:rPr>
                <w:rFonts w:cs="Arial"/>
                <w:color w:val="000000"/>
                <w:szCs w:val="18"/>
                <w:lang w:eastAsia="en-IN"/>
              </w:rPr>
              <w:t>%),db</w:t>
            </w:r>
          </w:p>
        </w:tc>
        <w:tc>
          <w:tcPr>
            <w:tcW w:w="1448" w:type="dxa"/>
            <w:tcBorders>
              <w:top w:val="nil"/>
              <w:left w:val="nil"/>
              <w:bottom w:val="nil"/>
              <w:right w:val="nil"/>
            </w:tcBorders>
            <w:shd w:val="clear" w:color="000000" w:fill="FFFFFF"/>
            <w:noWrap/>
            <w:vAlign w:val="center"/>
            <w:hideMark/>
          </w:tcPr>
          <w:p w14:paraId="4D05EC17" w14:textId="06098027" w:rsidR="00C867DB" w:rsidRPr="00D15611" w:rsidRDefault="003D6576" w:rsidP="00106881">
            <w:pPr>
              <w:spacing w:line="240" w:lineRule="auto"/>
              <w:jc w:val="center"/>
              <w:rPr>
                <w:rFonts w:cs="Arial"/>
                <w:color w:val="000000"/>
                <w:szCs w:val="18"/>
                <w:lang w:eastAsia="en-IN"/>
              </w:rPr>
            </w:pPr>
            <w:r>
              <w:rPr>
                <w:rFonts w:cs="Arial"/>
                <w:color w:val="000000"/>
                <w:szCs w:val="18"/>
                <w:lang w:eastAsia="en-IN"/>
              </w:rPr>
              <w:t>C</w:t>
            </w:r>
          </w:p>
        </w:tc>
        <w:tc>
          <w:tcPr>
            <w:tcW w:w="1074" w:type="dxa"/>
            <w:tcBorders>
              <w:top w:val="nil"/>
              <w:left w:val="nil"/>
              <w:bottom w:val="nil"/>
              <w:right w:val="nil"/>
            </w:tcBorders>
            <w:shd w:val="clear" w:color="000000" w:fill="FFFFFF"/>
            <w:noWrap/>
            <w:vAlign w:val="center"/>
            <w:hideMark/>
          </w:tcPr>
          <w:p w14:paraId="773F03D8"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34.9</w:t>
            </w:r>
          </w:p>
        </w:tc>
        <w:tc>
          <w:tcPr>
            <w:tcW w:w="1317" w:type="dxa"/>
            <w:tcBorders>
              <w:top w:val="nil"/>
              <w:left w:val="nil"/>
              <w:bottom w:val="nil"/>
              <w:right w:val="nil"/>
            </w:tcBorders>
            <w:shd w:val="clear" w:color="000000" w:fill="FFFFFF"/>
            <w:noWrap/>
            <w:vAlign w:val="center"/>
            <w:hideMark/>
          </w:tcPr>
          <w:p w14:paraId="47837F56"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47.9</w:t>
            </w:r>
          </w:p>
        </w:tc>
        <w:tc>
          <w:tcPr>
            <w:tcW w:w="1871" w:type="dxa"/>
            <w:tcBorders>
              <w:top w:val="nil"/>
              <w:left w:val="nil"/>
              <w:bottom w:val="nil"/>
              <w:right w:val="nil"/>
            </w:tcBorders>
            <w:shd w:val="clear" w:color="000000" w:fill="FFFFFF"/>
            <w:noWrap/>
            <w:vAlign w:val="center"/>
            <w:hideMark/>
          </w:tcPr>
          <w:p w14:paraId="1AB8E87A"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22.5</w:t>
            </w:r>
          </w:p>
        </w:tc>
        <w:tc>
          <w:tcPr>
            <w:tcW w:w="1675" w:type="dxa"/>
            <w:tcBorders>
              <w:top w:val="nil"/>
              <w:left w:val="nil"/>
              <w:bottom w:val="nil"/>
              <w:right w:val="nil"/>
            </w:tcBorders>
            <w:shd w:val="clear" w:color="000000" w:fill="FFFFFF"/>
            <w:noWrap/>
            <w:vAlign w:val="center"/>
            <w:hideMark/>
          </w:tcPr>
          <w:p w14:paraId="42BB48D1"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21.7</w:t>
            </w:r>
          </w:p>
        </w:tc>
      </w:tr>
      <w:tr w:rsidR="00C867DB" w:rsidRPr="00996C1D" w14:paraId="0D40AC2E" w14:textId="77777777" w:rsidTr="00757792">
        <w:trPr>
          <w:trHeight w:val="233"/>
        </w:trPr>
        <w:tc>
          <w:tcPr>
            <w:tcW w:w="1154" w:type="dxa"/>
            <w:vMerge/>
            <w:tcBorders>
              <w:top w:val="nil"/>
              <w:left w:val="nil"/>
              <w:bottom w:val="nil"/>
              <w:right w:val="nil"/>
            </w:tcBorders>
            <w:vAlign w:val="center"/>
            <w:hideMark/>
          </w:tcPr>
          <w:p w14:paraId="698C1AB8" w14:textId="77777777" w:rsidR="00C867DB" w:rsidRPr="00D15611" w:rsidRDefault="00C867DB" w:rsidP="00106881">
            <w:pPr>
              <w:spacing w:line="240" w:lineRule="auto"/>
              <w:rPr>
                <w:rFonts w:cs="Arial"/>
                <w:color w:val="000000"/>
                <w:szCs w:val="18"/>
                <w:lang w:eastAsia="en-IN"/>
              </w:rPr>
            </w:pPr>
          </w:p>
        </w:tc>
        <w:tc>
          <w:tcPr>
            <w:tcW w:w="1448" w:type="dxa"/>
            <w:tcBorders>
              <w:top w:val="nil"/>
              <w:left w:val="nil"/>
              <w:bottom w:val="nil"/>
              <w:right w:val="nil"/>
            </w:tcBorders>
            <w:shd w:val="clear" w:color="000000" w:fill="FFFFFF"/>
            <w:noWrap/>
            <w:vAlign w:val="center"/>
            <w:hideMark/>
          </w:tcPr>
          <w:p w14:paraId="3EE9EC2C" w14:textId="72570C2A" w:rsidR="00C867DB" w:rsidRPr="00D15611" w:rsidRDefault="003D6576" w:rsidP="00106881">
            <w:pPr>
              <w:spacing w:line="240" w:lineRule="auto"/>
              <w:jc w:val="center"/>
              <w:rPr>
                <w:rFonts w:cs="Arial"/>
                <w:color w:val="000000"/>
                <w:szCs w:val="18"/>
                <w:lang w:eastAsia="en-IN"/>
              </w:rPr>
            </w:pPr>
            <w:r>
              <w:rPr>
                <w:rFonts w:cs="Arial"/>
                <w:color w:val="000000"/>
                <w:szCs w:val="18"/>
                <w:lang w:eastAsia="en-IN"/>
              </w:rPr>
              <w:t>H</w:t>
            </w:r>
          </w:p>
        </w:tc>
        <w:tc>
          <w:tcPr>
            <w:tcW w:w="1074" w:type="dxa"/>
            <w:tcBorders>
              <w:top w:val="nil"/>
              <w:left w:val="nil"/>
              <w:bottom w:val="nil"/>
              <w:right w:val="nil"/>
            </w:tcBorders>
            <w:shd w:val="clear" w:color="000000" w:fill="FFFFFF"/>
            <w:noWrap/>
            <w:vAlign w:val="center"/>
            <w:hideMark/>
          </w:tcPr>
          <w:p w14:paraId="2F1619F8"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4.6</w:t>
            </w:r>
          </w:p>
        </w:tc>
        <w:tc>
          <w:tcPr>
            <w:tcW w:w="1317" w:type="dxa"/>
            <w:tcBorders>
              <w:top w:val="nil"/>
              <w:left w:val="nil"/>
              <w:bottom w:val="nil"/>
              <w:right w:val="nil"/>
            </w:tcBorders>
            <w:shd w:val="clear" w:color="000000" w:fill="FFFFFF"/>
            <w:noWrap/>
            <w:vAlign w:val="center"/>
            <w:hideMark/>
          </w:tcPr>
          <w:p w14:paraId="7DEF0B98"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5.8</w:t>
            </w:r>
          </w:p>
        </w:tc>
        <w:tc>
          <w:tcPr>
            <w:tcW w:w="1871" w:type="dxa"/>
            <w:tcBorders>
              <w:top w:val="nil"/>
              <w:left w:val="nil"/>
              <w:bottom w:val="nil"/>
              <w:right w:val="nil"/>
            </w:tcBorders>
            <w:shd w:val="clear" w:color="000000" w:fill="FFFFFF"/>
            <w:noWrap/>
            <w:vAlign w:val="center"/>
            <w:hideMark/>
          </w:tcPr>
          <w:p w14:paraId="569CB184"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3.5</w:t>
            </w:r>
          </w:p>
        </w:tc>
        <w:tc>
          <w:tcPr>
            <w:tcW w:w="1675" w:type="dxa"/>
            <w:tcBorders>
              <w:top w:val="nil"/>
              <w:left w:val="nil"/>
              <w:bottom w:val="nil"/>
              <w:right w:val="nil"/>
            </w:tcBorders>
            <w:shd w:val="clear" w:color="000000" w:fill="FFFFFF"/>
            <w:noWrap/>
            <w:vAlign w:val="center"/>
            <w:hideMark/>
          </w:tcPr>
          <w:p w14:paraId="5452F2FD"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4</w:t>
            </w:r>
          </w:p>
        </w:tc>
      </w:tr>
      <w:tr w:rsidR="00C867DB" w:rsidRPr="00996C1D" w14:paraId="5D937EC5" w14:textId="77777777" w:rsidTr="00106881">
        <w:trPr>
          <w:trHeight w:val="173"/>
        </w:trPr>
        <w:tc>
          <w:tcPr>
            <w:tcW w:w="1154" w:type="dxa"/>
            <w:vMerge/>
            <w:tcBorders>
              <w:top w:val="nil"/>
              <w:left w:val="nil"/>
              <w:bottom w:val="nil"/>
              <w:right w:val="nil"/>
            </w:tcBorders>
            <w:vAlign w:val="center"/>
            <w:hideMark/>
          </w:tcPr>
          <w:p w14:paraId="051A1324" w14:textId="77777777" w:rsidR="00C867DB" w:rsidRPr="00D15611" w:rsidRDefault="00C867DB" w:rsidP="00106881">
            <w:pPr>
              <w:spacing w:line="240" w:lineRule="auto"/>
              <w:rPr>
                <w:rFonts w:cs="Arial"/>
                <w:color w:val="000000"/>
                <w:szCs w:val="18"/>
                <w:lang w:eastAsia="en-IN"/>
              </w:rPr>
            </w:pPr>
          </w:p>
        </w:tc>
        <w:tc>
          <w:tcPr>
            <w:tcW w:w="1448" w:type="dxa"/>
            <w:tcBorders>
              <w:top w:val="nil"/>
              <w:left w:val="nil"/>
              <w:bottom w:val="nil"/>
              <w:right w:val="nil"/>
            </w:tcBorders>
            <w:shd w:val="clear" w:color="000000" w:fill="FFFFFF"/>
            <w:noWrap/>
            <w:vAlign w:val="center"/>
            <w:hideMark/>
          </w:tcPr>
          <w:p w14:paraId="545D08EB" w14:textId="484F9B77" w:rsidR="00C867DB" w:rsidRPr="00D15611" w:rsidRDefault="003D6576" w:rsidP="00106881">
            <w:pPr>
              <w:spacing w:line="240" w:lineRule="auto"/>
              <w:jc w:val="center"/>
              <w:rPr>
                <w:rFonts w:cs="Arial"/>
                <w:color w:val="000000"/>
                <w:szCs w:val="18"/>
                <w:lang w:eastAsia="en-IN"/>
              </w:rPr>
            </w:pPr>
            <w:r>
              <w:rPr>
                <w:rFonts w:cs="Arial"/>
                <w:color w:val="000000"/>
                <w:szCs w:val="18"/>
                <w:lang w:eastAsia="en-IN"/>
              </w:rPr>
              <w:t>N</w:t>
            </w:r>
          </w:p>
        </w:tc>
        <w:tc>
          <w:tcPr>
            <w:tcW w:w="1074" w:type="dxa"/>
            <w:tcBorders>
              <w:top w:val="nil"/>
              <w:left w:val="nil"/>
              <w:bottom w:val="nil"/>
              <w:right w:val="nil"/>
            </w:tcBorders>
            <w:shd w:val="clear" w:color="000000" w:fill="FFFFFF"/>
            <w:noWrap/>
            <w:vAlign w:val="center"/>
            <w:hideMark/>
          </w:tcPr>
          <w:p w14:paraId="102C0C18"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0.3</w:t>
            </w:r>
          </w:p>
        </w:tc>
        <w:tc>
          <w:tcPr>
            <w:tcW w:w="1317" w:type="dxa"/>
            <w:tcBorders>
              <w:top w:val="nil"/>
              <w:left w:val="nil"/>
              <w:bottom w:val="nil"/>
              <w:right w:val="nil"/>
            </w:tcBorders>
            <w:shd w:val="clear" w:color="000000" w:fill="FFFFFF"/>
            <w:noWrap/>
            <w:vAlign w:val="center"/>
            <w:hideMark/>
          </w:tcPr>
          <w:p w14:paraId="04D8BDB4"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0.1</w:t>
            </w:r>
          </w:p>
        </w:tc>
        <w:tc>
          <w:tcPr>
            <w:tcW w:w="1871" w:type="dxa"/>
            <w:tcBorders>
              <w:top w:val="nil"/>
              <w:left w:val="nil"/>
              <w:bottom w:val="nil"/>
              <w:right w:val="nil"/>
            </w:tcBorders>
            <w:shd w:val="clear" w:color="000000" w:fill="FFFFFF"/>
            <w:noWrap/>
            <w:vAlign w:val="center"/>
            <w:hideMark/>
          </w:tcPr>
          <w:p w14:paraId="09F252B9"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0.9</w:t>
            </w:r>
          </w:p>
        </w:tc>
        <w:tc>
          <w:tcPr>
            <w:tcW w:w="1675" w:type="dxa"/>
            <w:tcBorders>
              <w:top w:val="nil"/>
              <w:left w:val="nil"/>
              <w:bottom w:val="nil"/>
              <w:right w:val="nil"/>
            </w:tcBorders>
            <w:shd w:val="clear" w:color="000000" w:fill="FFFFFF"/>
            <w:noWrap/>
            <w:vAlign w:val="center"/>
            <w:hideMark/>
          </w:tcPr>
          <w:p w14:paraId="305C3CC1" w14:textId="77777777" w:rsidR="00C867DB" w:rsidRPr="00D15611" w:rsidRDefault="00C867DB" w:rsidP="00106881">
            <w:pPr>
              <w:spacing w:line="240" w:lineRule="auto"/>
              <w:jc w:val="center"/>
              <w:rPr>
                <w:rFonts w:cs="Arial"/>
                <w:color w:val="000000"/>
                <w:szCs w:val="18"/>
                <w:lang w:eastAsia="en-IN"/>
              </w:rPr>
            </w:pPr>
            <w:r w:rsidRPr="00D15611">
              <w:rPr>
                <w:rFonts w:cs="Arial"/>
                <w:color w:val="000000"/>
                <w:szCs w:val="18"/>
                <w:lang w:eastAsia="en-IN"/>
              </w:rPr>
              <w:t>1</w:t>
            </w:r>
          </w:p>
        </w:tc>
      </w:tr>
      <w:tr w:rsidR="009B24F2" w:rsidRPr="00996C1D" w14:paraId="16095D7B" w14:textId="77777777" w:rsidTr="003D6576">
        <w:trPr>
          <w:trHeight w:val="233"/>
        </w:trPr>
        <w:tc>
          <w:tcPr>
            <w:tcW w:w="1154" w:type="dxa"/>
            <w:vMerge/>
            <w:tcBorders>
              <w:top w:val="nil"/>
              <w:left w:val="nil"/>
              <w:bottom w:val="nil"/>
              <w:right w:val="nil"/>
            </w:tcBorders>
            <w:vAlign w:val="center"/>
            <w:hideMark/>
          </w:tcPr>
          <w:p w14:paraId="7E73306B" w14:textId="77777777" w:rsidR="009B24F2" w:rsidRPr="00D15611" w:rsidRDefault="009B24F2" w:rsidP="00106881">
            <w:pPr>
              <w:spacing w:line="240" w:lineRule="auto"/>
              <w:rPr>
                <w:rFonts w:cs="Arial"/>
                <w:color w:val="000000"/>
                <w:szCs w:val="18"/>
                <w:lang w:eastAsia="en-IN"/>
              </w:rPr>
            </w:pPr>
          </w:p>
        </w:tc>
        <w:tc>
          <w:tcPr>
            <w:tcW w:w="1448" w:type="dxa"/>
            <w:tcBorders>
              <w:top w:val="nil"/>
              <w:left w:val="nil"/>
              <w:bottom w:val="nil"/>
              <w:right w:val="nil"/>
            </w:tcBorders>
            <w:shd w:val="clear" w:color="000000" w:fill="FFFFFF"/>
            <w:noWrap/>
            <w:vAlign w:val="center"/>
          </w:tcPr>
          <w:p w14:paraId="24156572" w14:textId="310BFAD9" w:rsidR="009B24F2" w:rsidRPr="00D15611" w:rsidRDefault="003D6576" w:rsidP="00106881">
            <w:pPr>
              <w:spacing w:line="240" w:lineRule="auto"/>
              <w:jc w:val="center"/>
              <w:rPr>
                <w:rFonts w:cs="Arial"/>
                <w:color w:val="000000"/>
                <w:szCs w:val="18"/>
                <w:lang w:eastAsia="en-IN"/>
              </w:rPr>
            </w:pPr>
            <w:r>
              <w:rPr>
                <w:rFonts w:cs="Arial"/>
                <w:color w:val="000000"/>
                <w:szCs w:val="18"/>
                <w:lang w:eastAsia="en-IN"/>
              </w:rPr>
              <w:t>S</w:t>
            </w:r>
          </w:p>
        </w:tc>
        <w:tc>
          <w:tcPr>
            <w:tcW w:w="1074" w:type="dxa"/>
            <w:tcBorders>
              <w:top w:val="nil"/>
              <w:left w:val="nil"/>
              <w:bottom w:val="nil"/>
              <w:right w:val="nil"/>
            </w:tcBorders>
            <w:shd w:val="clear" w:color="000000" w:fill="FFFFFF"/>
            <w:noWrap/>
            <w:vAlign w:val="center"/>
          </w:tcPr>
          <w:p w14:paraId="63E18188" w14:textId="267D6F22" w:rsidR="009B24F2" w:rsidRPr="00D15611" w:rsidRDefault="00FE3298" w:rsidP="00106881">
            <w:pPr>
              <w:spacing w:line="240" w:lineRule="auto"/>
              <w:jc w:val="center"/>
              <w:rPr>
                <w:rFonts w:cs="Arial"/>
                <w:color w:val="000000"/>
                <w:szCs w:val="18"/>
                <w:lang w:eastAsia="en-IN"/>
              </w:rPr>
            </w:pPr>
            <w:r>
              <w:rPr>
                <w:rFonts w:cs="Arial"/>
                <w:color w:val="000000"/>
                <w:szCs w:val="18"/>
                <w:lang w:eastAsia="en-IN"/>
              </w:rPr>
              <w:t>0</w:t>
            </w:r>
          </w:p>
        </w:tc>
        <w:tc>
          <w:tcPr>
            <w:tcW w:w="1317" w:type="dxa"/>
            <w:tcBorders>
              <w:top w:val="nil"/>
              <w:left w:val="nil"/>
              <w:bottom w:val="nil"/>
              <w:right w:val="nil"/>
            </w:tcBorders>
            <w:shd w:val="clear" w:color="000000" w:fill="FFFFFF"/>
            <w:noWrap/>
            <w:vAlign w:val="center"/>
          </w:tcPr>
          <w:p w14:paraId="5D33244F" w14:textId="351D3BAD" w:rsidR="009B24F2" w:rsidRPr="00D15611" w:rsidRDefault="00FE3298" w:rsidP="00E65D9F">
            <w:pPr>
              <w:spacing w:line="240" w:lineRule="auto"/>
              <w:jc w:val="center"/>
              <w:rPr>
                <w:rFonts w:cs="Arial"/>
                <w:color w:val="000000"/>
                <w:szCs w:val="18"/>
                <w:lang w:eastAsia="en-IN"/>
              </w:rPr>
            </w:pPr>
            <w:r>
              <w:rPr>
                <w:rFonts w:cs="Arial"/>
                <w:color w:val="000000"/>
                <w:szCs w:val="18"/>
                <w:lang w:eastAsia="en-IN"/>
              </w:rPr>
              <w:t>0</w:t>
            </w:r>
          </w:p>
        </w:tc>
        <w:tc>
          <w:tcPr>
            <w:tcW w:w="1871" w:type="dxa"/>
            <w:tcBorders>
              <w:top w:val="nil"/>
              <w:left w:val="nil"/>
              <w:bottom w:val="nil"/>
              <w:right w:val="nil"/>
            </w:tcBorders>
            <w:shd w:val="clear" w:color="000000" w:fill="FFFFFF"/>
            <w:noWrap/>
            <w:vAlign w:val="center"/>
          </w:tcPr>
          <w:p w14:paraId="0E04C5BE" w14:textId="6E5513CE" w:rsidR="009B24F2" w:rsidRPr="00D15611" w:rsidRDefault="00FE3298" w:rsidP="00106881">
            <w:pPr>
              <w:spacing w:line="240" w:lineRule="auto"/>
              <w:jc w:val="center"/>
              <w:rPr>
                <w:rFonts w:cs="Arial"/>
                <w:color w:val="000000"/>
                <w:szCs w:val="18"/>
                <w:lang w:eastAsia="en-IN"/>
              </w:rPr>
            </w:pPr>
            <w:r>
              <w:rPr>
                <w:rFonts w:cs="Arial"/>
                <w:color w:val="000000"/>
                <w:szCs w:val="18"/>
                <w:lang w:eastAsia="en-IN"/>
              </w:rPr>
              <w:t>1.2</w:t>
            </w:r>
          </w:p>
        </w:tc>
        <w:tc>
          <w:tcPr>
            <w:tcW w:w="1675" w:type="dxa"/>
            <w:tcBorders>
              <w:top w:val="nil"/>
              <w:left w:val="nil"/>
              <w:bottom w:val="nil"/>
              <w:right w:val="nil"/>
            </w:tcBorders>
            <w:shd w:val="clear" w:color="000000" w:fill="FFFFFF"/>
            <w:noWrap/>
            <w:vAlign w:val="center"/>
          </w:tcPr>
          <w:p w14:paraId="6822B1BC" w14:textId="1310466B" w:rsidR="009B24F2" w:rsidRPr="00D15611" w:rsidRDefault="00FE3298" w:rsidP="00106881">
            <w:pPr>
              <w:spacing w:line="240" w:lineRule="auto"/>
              <w:jc w:val="center"/>
              <w:rPr>
                <w:rFonts w:cs="Arial"/>
                <w:color w:val="000000"/>
                <w:szCs w:val="18"/>
                <w:lang w:eastAsia="en-IN"/>
              </w:rPr>
            </w:pPr>
            <w:r>
              <w:rPr>
                <w:rFonts w:cs="Arial"/>
                <w:color w:val="000000"/>
                <w:szCs w:val="18"/>
                <w:lang w:eastAsia="en-IN"/>
              </w:rPr>
              <w:t>0.9</w:t>
            </w:r>
          </w:p>
        </w:tc>
      </w:tr>
      <w:tr w:rsidR="003D6576" w:rsidRPr="00996C1D" w14:paraId="13D1947D" w14:textId="77777777" w:rsidTr="003D6576">
        <w:trPr>
          <w:trHeight w:val="233"/>
        </w:trPr>
        <w:tc>
          <w:tcPr>
            <w:tcW w:w="1154" w:type="dxa"/>
            <w:vMerge w:val="restart"/>
            <w:tcBorders>
              <w:top w:val="nil"/>
              <w:left w:val="nil"/>
              <w:bottom w:val="nil"/>
              <w:right w:val="nil"/>
            </w:tcBorders>
            <w:shd w:val="clear" w:color="000000" w:fill="FFFFFF"/>
            <w:noWrap/>
            <w:vAlign w:val="center"/>
            <w:hideMark/>
          </w:tcPr>
          <w:p w14:paraId="146B73F4" w14:textId="77777777" w:rsidR="003D6576" w:rsidRDefault="003D6576" w:rsidP="003D6576">
            <w:pPr>
              <w:spacing w:line="240" w:lineRule="auto"/>
              <w:rPr>
                <w:rFonts w:cs="Arial"/>
                <w:color w:val="000000"/>
                <w:szCs w:val="18"/>
                <w:lang w:eastAsia="en-IN"/>
              </w:rPr>
            </w:pPr>
          </w:p>
          <w:p w14:paraId="0053E58B" w14:textId="794C19CD" w:rsidR="003D6576" w:rsidRPr="00D15611" w:rsidRDefault="003D6576" w:rsidP="003D6576">
            <w:pPr>
              <w:spacing w:line="240" w:lineRule="auto"/>
              <w:rPr>
                <w:rFonts w:cs="Arial"/>
                <w:color w:val="000000"/>
                <w:szCs w:val="18"/>
                <w:lang w:eastAsia="en-IN"/>
              </w:rPr>
            </w:pPr>
            <w:r w:rsidRPr="00D15611">
              <w:rPr>
                <w:rFonts w:cs="Arial"/>
                <w:color w:val="000000"/>
                <w:szCs w:val="18"/>
                <w:lang w:eastAsia="en-IN"/>
              </w:rPr>
              <w:t xml:space="preserve">Proximate Analysis (wt.%),db  </w:t>
            </w:r>
          </w:p>
        </w:tc>
        <w:tc>
          <w:tcPr>
            <w:tcW w:w="1448" w:type="dxa"/>
            <w:tcBorders>
              <w:top w:val="nil"/>
              <w:left w:val="nil"/>
              <w:bottom w:val="nil"/>
              <w:right w:val="nil"/>
            </w:tcBorders>
            <w:shd w:val="clear" w:color="000000" w:fill="FFFFFF"/>
            <w:noWrap/>
            <w:vAlign w:val="center"/>
          </w:tcPr>
          <w:p w14:paraId="2D99BF44" w14:textId="33A32FC6"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O</w:t>
            </w:r>
            <w:r>
              <w:rPr>
                <w:rFonts w:cs="Arial"/>
                <w:color w:val="000000"/>
                <w:szCs w:val="18"/>
                <w:lang w:eastAsia="en-IN"/>
              </w:rPr>
              <w:t>*</w:t>
            </w:r>
          </w:p>
        </w:tc>
        <w:tc>
          <w:tcPr>
            <w:tcW w:w="1074" w:type="dxa"/>
            <w:tcBorders>
              <w:top w:val="nil"/>
              <w:left w:val="nil"/>
              <w:bottom w:val="nil"/>
              <w:right w:val="nil"/>
            </w:tcBorders>
            <w:shd w:val="clear" w:color="000000" w:fill="FFFFFF"/>
            <w:noWrap/>
            <w:vAlign w:val="center"/>
          </w:tcPr>
          <w:p w14:paraId="7E4B6F43" w14:textId="606F8273" w:rsidR="003D6576" w:rsidRPr="00D15611" w:rsidRDefault="00E801EB" w:rsidP="003D6576">
            <w:pPr>
              <w:spacing w:line="240" w:lineRule="auto"/>
              <w:jc w:val="center"/>
              <w:rPr>
                <w:rFonts w:cs="Arial"/>
                <w:color w:val="000000"/>
                <w:szCs w:val="18"/>
                <w:lang w:eastAsia="en-IN"/>
              </w:rPr>
            </w:pPr>
            <w:r>
              <w:rPr>
                <w:rFonts w:cs="Arial"/>
                <w:color w:val="000000"/>
                <w:szCs w:val="18"/>
              </w:rPr>
              <w:t>29</w:t>
            </w:r>
            <w:r w:rsidR="003D6576" w:rsidRPr="00D15611">
              <w:rPr>
                <w:rFonts w:cs="Arial"/>
                <w:color w:val="000000"/>
                <w:szCs w:val="18"/>
              </w:rPr>
              <w:t>.6</w:t>
            </w:r>
          </w:p>
        </w:tc>
        <w:tc>
          <w:tcPr>
            <w:tcW w:w="1317" w:type="dxa"/>
            <w:tcBorders>
              <w:top w:val="nil"/>
              <w:left w:val="nil"/>
              <w:bottom w:val="nil"/>
              <w:right w:val="nil"/>
            </w:tcBorders>
            <w:shd w:val="clear" w:color="000000" w:fill="FFFFFF"/>
            <w:noWrap/>
            <w:vAlign w:val="center"/>
          </w:tcPr>
          <w:p w14:paraId="2EF86A95" w14:textId="138BDF23" w:rsidR="003D6576" w:rsidRPr="00D15611" w:rsidRDefault="003D6576" w:rsidP="003D6576">
            <w:pPr>
              <w:spacing w:line="240" w:lineRule="auto"/>
              <w:jc w:val="center"/>
              <w:rPr>
                <w:rFonts w:cs="Arial"/>
                <w:color w:val="000000"/>
                <w:szCs w:val="18"/>
                <w:lang w:eastAsia="en-IN"/>
              </w:rPr>
            </w:pPr>
            <w:r w:rsidRPr="00D15611">
              <w:rPr>
                <w:rFonts w:cs="Arial"/>
                <w:color w:val="000000"/>
                <w:szCs w:val="18"/>
              </w:rPr>
              <w:t>45.5</w:t>
            </w:r>
          </w:p>
        </w:tc>
        <w:tc>
          <w:tcPr>
            <w:tcW w:w="1871" w:type="dxa"/>
            <w:tcBorders>
              <w:top w:val="nil"/>
              <w:left w:val="nil"/>
              <w:bottom w:val="nil"/>
              <w:right w:val="nil"/>
            </w:tcBorders>
            <w:shd w:val="clear" w:color="000000" w:fill="FFFFFF"/>
            <w:noWrap/>
            <w:vAlign w:val="center"/>
          </w:tcPr>
          <w:p w14:paraId="0B1D98BE" w14:textId="1CC02396" w:rsidR="003D6576" w:rsidRPr="00D15611" w:rsidRDefault="00DD0EFC" w:rsidP="003D6576">
            <w:pPr>
              <w:spacing w:line="240" w:lineRule="auto"/>
              <w:jc w:val="center"/>
              <w:rPr>
                <w:rFonts w:cs="Arial"/>
                <w:color w:val="000000"/>
                <w:szCs w:val="18"/>
                <w:lang w:eastAsia="en-IN"/>
              </w:rPr>
            </w:pPr>
            <w:r>
              <w:rPr>
                <w:rFonts w:cs="Arial"/>
                <w:color w:val="000000"/>
                <w:szCs w:val="18"/>
              </w:rPr>
              <w:t>47.8</w:t>
            </w:r>
          </w:p>
        </w:tc>
        <w:tc>
          <w:tcPr>
            <w:tcW w:w="1675" w:type="dxa"/>
            <w:tcBorders>
              <w:top w:val="nil"/>
              <w:left w:val="nil"/>
              <w:bottom w:val="nil"/>
              <w:right w:val="nil"/>
            </w:tcBorders>
            <w:shd w:val="clear" w:color="000000" w:fill="FFFFFF"/>
            <w:noWrap/>
            <w:vAlign w:val="center"/>
          </w:tcPr>
          <w:p w14:paraId="097976DC" w14:textId="30E93E40" w:rsidR="003D6576" w:rsidRPr="00D15611" w:rsidRDefault="00DD0EFC" w:rsidP="003D6576">
            <w:pPr>
              <w:spacing w:line="240" w:lineRule="auto"/>
              <w:jc w:val="center"/>
              <w:rPr>
                <w:rFonts w:cs="Arial"/>
                <w:color w:val="000000"/>
                <w:szCs w:val="18"/>
                <w:lang w:eastAsia="en-IN"/>
              </w:rPr>
            </w:pPr>
            <w:r>
              <w:rPr>
                <w:rFonts w:cs="Arial"/>
                <w:color w:val="000000"/>
                <w:szCs w:val="18"/>
              </w:rPr>
              <w:t>46.5</w:t>
            </w:r>
          </w:p>
        </w:tc>
      </w:tr>
      <w:tr w:rsidR="003D6576" w:rsidRPr="00996C1D" w14:paraId="1196E565" w14:textId="77777777" w:rsidTr="003D6576">
        <w:trPr>
          <w:trHeight w:val="233"/>
        </w:trPr>
        <w:tc>
          <w:tcPr>
            <w:tcW w:w="1154" w:type="dxa"/>
            <w:vMerge/>
            <w:tcBorders>
              <w:top w:val="nil"/>
              <w:left w:val="nil"/>
              <w:bottom w:val="nil"/>
              <w:right w:val="nil"/>
            </w:tcBorders>
            <w:vAlign w:val="center"/>
            <w:hideMark/>
          </w:tcPr>
          <w:p w14:paraId="6A3A4C96" w14:textId="77777777" w:rsidR="003D6576" w:rsidRPr="00D15611" w:rsidRDefault="003D6576" w:rsidP="003D6576">
            <w:pPr>
              <w:spacing w:line="240" w:lineRule="auto"/>
              <w:rPr>
                <w:rFonts w:cs="Arial"/>
                <w:color w:val="000000"/>
                <w:szCs w:val="18"/>
                <w:lang w:eastAsia="en-IN"/>
              </w:rPr>
            </w:pPr>
          </w:p>
        </w:tc>
        <w:tc>
          <w:tcPr>
            <w:tcW w:w="1448" w:type="dxa"/>
            <w:tcBorders>
              <w:top w:val="nil"/>
              <w:left w:val="nil"/>
              <w:bottom w:val="nil"/>
              <w:right w:val="nil"/>
            </w:tcBorders>
            <w:shd w:val="clear" w:color="000000" w:fill="FFFFFF"/>
            <w:noWrap/>
            <w:vAlign w:val="center"/>
          </w:tcPr>
          <w:p w14:paraId="5998F3C7" w14:textId="394541F5"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Volatile matter</w:t>
            </w:r>
          </w:p>
        </w:tc>
        <w:tc>
          <w:tcPr>
            <w:tcW w:w="1074" w:type="dxa"/>
            <w:tcBorders>
              <w:top w:val="nil"/>
              <w:left w:val="nil"/>
              <w:bottom w:val="nil"/>
              <w:right w:val="nil"/>
            </w:tcBorders>
            <w:shd w:val="clear" w:color="000000" w:fill="FFFFFF"/>
            <w:noWrap/>
            <w:vAlign w:val="center"/>
          </w:tcPr>
          <w:p w14:paraId="5BCCF89A" w14:textId="31002D9F"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53.0</w:t>
            </w:r>
          </w:p>
        </w:tc>
        <w:tc>
          <w:tcPr>
            <w:tcW w:w="1317" w:type="dxa"/>
            <w:tcBorders>
              <w:top w:val="nil"/>
              <w:left w:val="nil"/>
              <w:bottom w:val="nil"/>
              <w:right w:val="nil"/>
            </w:tcBorders>
            <w:shd w:val="clear" w:color="000000" w:fill="FFFFFF"/>
            <w:noWrap/>
            <w:vAlign w:val="center"/>
          </w:tcPr>
          <w:p w14:paraId="616A0795" w14:textId="6EE2E987"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83.7</w:t>
            </w:r>
          </w:p>
        </w:tc>
        <w:tc>
          <w:tcPr>
            <w:tcW w:w="1871" w:type="dxa"/>
            <w:tcBorders>
              <w:top w:val="nil"/>
              <w:left w:val="nil"/>
              <w:bottom w:val="nil"/>
              <w:right w:val="nil"/>
            </w:tcBorders>
            <w:shd w:val="clear" w:color="000000" w:fill="FFFFFF"/>
            <w:noWrap/>
            <w:vAlign w:val="center"/>
          </w:tcPr>
          <w:p w14:paraId="3BB1BE97" w14:textId="1225C5CC"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68.8</w:t>
            </w:r>
          </w:p>
        </w:tc>
        <w:tc>
          <w:tcPr>
            <w:tcW w:w="1675" w:type="dxa"/>
            <w:tcBorders>
              <w:top w:val="nil"/>
              <w:left w:val="nil"/>
              <w:bottom w:val="nil"/>
              <w:right w:val="nil"/>
            </w:tcBorders>
            <w:shd w:val="clear" w:color="000000" w:fill="FFFFFF"/>
            <w:noWrap/>
            <w:vAlign w:val="center"/>
          </w:tcPr>
          <w:p w14:paraId="2CE96A11" w14:textId="4E21F05C"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68.7</w:t>
            </w:r>
          </w:p>
        </w:tc>
      </w:tr>
      <w:tr w:rsidR="003D6576" w:rsidRPr="00996C1D" w14:paraId="3FC5CD6D" w14:textId="77777777" w:rsidTr="003D6576">
        <w:trPr>
          <w:trHeight w:val="233"/>
        </w:trPr>
        <w:tc>
          <w:tcPr>
            <w:tcW w:w="1154" w:type="dxa"/>
            <w:vMerge/>
            <w:tcBorders>
              <w:top w:val="nil"/>
              <w:left w:val="nil"/>
              <w:bottom w:val="nil"/>
              <w:right w:val="nil"/>
            </w:tcBorders>
            <w:vAlign w:val="center"/>
            <w:hideMark/>
          </w:tcPr>
          <w:p w14:paraId="64EB17A6" w14:textId="77777777" w:rsidR="003D6576" w:rsidRPr="00D15611" w:rsidRDefault="003D6576" w:rsidP="003D6576">
            <w:pPr>
              <w:spacing w:line="240" w:lineRule="auto"/>
              <w:rPr>
                <w:rFonts w:cs="Arial"/>
                <w:color w:val="000000"/>
                <w:szCs w:val="18"/>
                <w:lang w:eastAsia="en-IN"/>
              </w:rPr>
            </w:pPr>
          </w:p>
        </w:tc>
        <w:tc>
          <w:tcPr>
            <w:tcW w:w="1448" w:type="dxa"/>
            <w:tcBorders>
              <w:top w:val="nil"/>
              <w:left w:val="nil"/>
              <w:bottom w:val="nil"/>
              <w:right w:val="nil"/>
            </w:tcBorders>
            <w:shd w:val="clear" w:color="000000" w:fill="FFFFFF"/>
            <w:noWrap/>
            <w:vAlign w:val="center"/>
          </w:tcPr>
          <w:p w14:paraId="29F731D8" w14:textId="070EDDAE"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Fixed Carbon</w:t>
            </w:r>
          </w:p>
        </w:tc>
        <w:tc>
          <w:tcPr>
            <w:tcW w:w="1074" w:type="dxa"/>
            <w:tcBorders>
              <w:top w:val="nil"/>
              <w:left w:val="nil"/>
              <w:bottom w:val="nil"/>
              <w:right w:val="nil"/>
            </w:tcBorders>
            <w:shd w:val="clear" w:color="000000" w:fill="FFFFFF"/>
            <w:noWrap/>
            <w:vAlign w:val="center"/>
          </w:tcPr>
          <w:p w14:paraId="0B3FEC96" w14:textId="605B1109"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16.4</w:t>
            </w:r>
          </w:p>
        </w:tc>
        <w:tc>
          <w:tcPr>
            <w:tcW w:w="1317" w:type="dxa"/>
            <w:tcBorders>
              <w:top w:val="nil"/>
              <w:left w:val="nil"/>
              <w:bottom w:val="nil"/>
              <w:right w:val="nil"/>
            </w:tcBorders>
            <w:shd w:val="clear" w:color="000000" w:fill="FFFFFF"/>
            <w:noWrap/>
            <w:vAlign w:val="center"/>
          </w:tcPr>
          <w:p w14:paraId="2E63E40D" w14:textId="20A96249"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15.6</w:t>
            </w:r>
          </w:p>
        </w:tc>
        <w:tc>
          <w:tcPr>
            <w:tcW w:w="1871" w:type="dxa"/>
            <w:tcBorders>
              <w:top w:val="nil"/>
              <w:left w:val="nil"/>
              <w:bottom w:val="nil"/>
              <w:right w:val="nil"/>
            </w:tcBorders>
            <w:shd w:val="clear" w:color="000000" w:fill="FFFFFF"/>
            <w:noWrap/>
            <w:vAlign w:val="center"/>
          </w:tcPr>
          <w:p w14:paraId="49308AFB" w14:textId="1D2C4019"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7.1</w:t>
            </w:r>
          </w:p>
        </w:tc>
        <w:tc>
          <w:tcPr>
            <w:tcW w:w="1675" w:type="dxa"/>
            <w:tcBorders>
              <w:top w:val="nil"/>
              <w:left w:val="nil"/>
              <w:bottom w:val="nil"/>
              <w:right w:val="nil"/>
            </w:tcBorders>
            <w:shd w:val="clear" w:color="000000" w:fill="FFFFFF"/>
            <w:noWrap/>
            <w:vAlign w:val="center"/>
          </w:tcPr>
          <w:p w14:paraId="6650AB3A" w14:textId="45A3ADB0"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5.4</w:t>
            </w:r>
          </w:p>
        </w:tc>
      </w:tr>
      <w:tr w:rsidR="003D6576" w:rsidRPr="00996C1D" w14:paraId="551C3212" w14:textId="77777777" w:rsidTr="003D6576">
        <w:trPr>
          <w:trHeight w:val="245"/>
        </w:trPr>
        <w:tc>
          <w:tcPr>
            <w:tcW w:w="1154" w:type="dxa"/>
            <w:tcBorders>
              <w:top w:val="nil"/>
              <w:left w:val="nil"/>
              <w:bottom w:val="nil"/>
              <w:right w:val="nil"/>
            </w:tcBorders>
            <w:shd w:val="clear" w:color="000000" w:fill="FFFFFF"/>
            <w:noWrap/>
            <w:vAlign w:val="center"/>
            <w:hideMark/>
          </w:tcPr>
          <w:p w14:paraId="2266A405" w14:textId="77777777"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 </w:t>
            </w:r>
          </w:p>
        </w:tc>
        <w:tc>
          <w:tcPr>
            <w:tcW w:w="1448" w:type="dxa"/>
            <w:tcBorders>
              <w:top w:val="nil"/>
              <w:left w:val="nil"/>
              <w:bottom w:val="nil"/>
              <w:right w:val="nil"/>
            </w:tcBorders>
            <w:shd w:val="clear" w:color="000000" w:fill="FFFFFF"/>
            <w:noWrap/>
            <w:vAlign w:val="center"/>
          </w:tcPr>
          <w:p w14:paraId="56AF09FD" w14:textId="334B1207"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 xml:space="preserve">Ash </w:t>
            </w:r>
          </w:p>
        </w:tc>
        <w:tc>
          <w:tcPr>
            <w:tcW w:w="1074" w:type="dxa"/>
            <w:tcBorders>
              <w:top w:val="nil"/>
              <w:left w:val="nil"/>
              <w:bottom w:val="nil"/>
              <w:right w:val="nil"/>
            </w:tcBorders>
            <w:shd w:val="clear" w:color="000000" w:fill="FFFFFF"/>
            <w:noWrap/>
            <w:vAlign w:val="center"/>
          </w:tcPr>
          <w:p w14:paraId="141F1544" w14:textId="111A7AA0" w:rsidR="003D6576" w:rsidRPr="00D15611" w:rsidRDefault="00B41AB8" w:rsidP="003D6576">
            <w:pPr>
              <w:spacing w:line="240" w:lineRule="auto"/>
              <w:jc w:val="center"/>
              <w:rPr>
                <w:rFonts w:cs="Arial"/>
                <w:color w:val="000000"/>
                <w:szCs w:val="18"/>
                <w:lang w:eastAsia="en-IN"/>
              </w:rPr>
            </w:pPr>
            <w:r>
              <w:rPr>
                <w:rFonts w:cs="Arial"/>
                <w:color w:val="000000"/>
                <w:szCs w:val="18"/>
                <w:lang w:eastAsia="en-IN"/>
              </w:rPr>
              <w:t>30</w:t>
            </w:r>
            <w:r w:rsidR="003D6576" w:rsidRPr="00D15611">
              <w:rPr>
                <w:rFonts w:cs="Arial"/>
                <w:color w:val="000000"/>
                <w:szCs w:val="18"/>
                <w:lang w:eastAsia="en-IN"/>
              </w:rPr>
              <w:t>.6</w:t>
            </w:r>
          </w:p>
        </w:tc>
        <w:tc>
          <w:tcPr>
            <w:tcW w:w="1317" w:type="dxa"/>
            <w:tcBorders>
              <w:top w:val="nil"/>
              <w:left w:val="nil"/>
              <w:bottom w:val="nil"/>
              <w:right w:val="nil"/>
            </w:tcBorders>
            <w:shd w:val="clear" w:color="000000" w:fill="FFFFFF"/>
            <w:noWrap/>
            <w:vAlign w:val="center"/>
          </w:tcPr>
          <w:p w14:paraId="077F89D4" w14:textId="1F5C1337"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0.7</w:t>
            </w:r>
          </w:p>
        </w:tc>
        <w:tc>
          <w:tcPr>
            <w:tcW w:w="1871" w:type="dxa"/>
            <w:tcBorders>
              <w:top w:val="nil"/>
              <w:left w:val="nil"/>
              <w:bottom w:val="nil"/>
              <w:right w:val="nil"/>
            </w:tcBorders>
            <w:shd w:val="clear" w:color="000000" w:fill="FFFFFF"/>
            <w:noWrap/>
            <w:vAlign w:val="center"/>
          </w:tcPr>
          <w:p w14:paraId="42D73F5D" w14:textId="2A59EF76"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24.1</w:t>
            </w:r>
          </w:p>
        </w:tc>
        <w:tc>
          <w:tcPr>
            <w:tcW w:w="1675" w:type="dxa"/>
            <w:tcBorders>
              <w:top w:val="nil"/>
              <w:left w:val="nil"/>
              <w:bottom w:val="nil"/>
              <w:right w:val="nil"/>
            </w:tcBorders>
            <w:shd w:val="clear" w:color="000000" w:fill="FFFFFF"/>
            <w:noWrap/>
            <w:vAlign w:val="center"/>
          </w:tcPr>
          <w:p w14:paraId="56A6B936" w14:textId="57444A79"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25.9</w:t>
            </w:r>
          </w:p>
        </w:tc>
      </w:tr>
      <w:tr w:rsidR="003D6576" w:rsidRPr="00996C1D" w14:paraId="51E450EF" w14:textId="77777777" w:rsidTr="00757792">
        <w:trPr>
          <w:trHeight w:val="245"/>
        </w:trPr>
        <w:tc>
          <w:tcPr>
            <w:tcW w:w="1154" w:type="dxa"/>
            <w:tcBorders>
              <w:top w:val="nil"/>
              <w:left w:val="nil"/>
              <w:bottom w:val="single" w:sz="12" w:space="0" w:color="008000"/>
              <w:right w:val="nil"/>
            </w:tcBorders>
            <w:shd w:val="clear" w:color="000000" w:fill="FFFFFF"/>
            <w:noWrap/>
            <w:vAlign w:val="center"/>
          </w:tcPr>
          <w:p w14:paraId="04491469" w14:textId="77777777" w:rsidR="003D6576" w:rsidRPr="00D15611" w:rsidRDefault="003D6576" w:rsidP="003D6576">
            <w:pPr>
              <w:spacing w:line="240" w:lineRule="auto"/>
              <w:jc w:val="center"/>
              <w:rPr>
                <w:rFonts w:cs="Arial"/>
                <w:color w:val="000000"/>
                <w:szCs w:val="18"/>
                <w:lang w:eastAsia="en-IN"/>
              </w:rPr>
            </w:pPr>
          </w:p>
        </w:tc>
        <w:tc>
          <w:tcPr>
            <w:tcW w:w="1448" w:type="dxa"/>
            <w:tcBorders>
              <w:top w:val="nil"/>
              <w:left w:val="nil"/>
              <w:bottom w:val="single" w:sz="12" w:space="0" w:color="008000"/>
              <w:right w:val="nil"/>
            </w:tcBorders>
            <w:shd w:val="clear" w:color="000000" w:fill="FFFFFF"/>
            <w:noWrap/>
            <w:vAlign w:val="center"/>
          </w:tcPr>
          <w:p w14:paraId="02A0BC51" w14:textId="29A8F973"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 xml:space="preserve">HHV (MJ </w:t>
            </w:r>
            <w:r>
              <w:rPr>
                <w:rFonts w:cs="Arial"/>
                <w:color w:val="000000"/>
                <w:szCs w:val="18"/>
                <w:lang w:eastAsia="en-IN"/>
              </w:rPr>
              <w:t>k</w:t>
            </w:r>
            <w:r w:rsidRPr="00D15611">
              <w:rPr>
                <w:rFonts w:cs="Arial"/>
                <w:color w:val="000000"/>
                <w:szCs w:val="18"/>
                <w:lang w:eastAsia="en-IN"/>
              </w:rPr>
              <w:t>g</w:t>
            </w:r>
            <w:r w:rsidRPr="00D15611">
              <w:rPr>
                <w:rFonts w:cs="Arial"/>
                <w:color w:val="000000"/>
                <w:szCs w:val="18"/>
                <w:vertAlign w:val="superscript"/>
                <w:lang w:eastAsia="en-IN"/>
              </w:rPr>
              <w:t>-1</w:t>
            </w:r>
            <w:r w:rsidRPr="00D15611">
              <w:rPr>
                <w:rFonts w:cs="Arial"/>
                <w:color w:val="000000"/>
                <w:szCs w:val="18"/>
                <w:lang w:eastAsia="en-IN"/>
              </w:rPr>
              <w:t>)</w:t>
            </w:r>
          </w:p>
        </w:tc>
        <w:tc>
          <w:tcPr>
            <w:tcW w:w="1074" w:type="dxa"/>
            <w:tcBorders>
              <w:top w:val="nil"/>
              <w:left w:val="nil"/>
              <w:bottom w:val="single" w:sz="12" w:space="0" w:color="008000"/>
              <w:right w:val="nil"/>
            </w:tcBorders>
            <w:shd w:val="clear" w:color="000000" w:fill="FFFFFF"/>
            <w:noWrap/>
            <w:vAlign w:val="center"/>
          </w:tcPr>
          <w:p w14:paraId="6B651D6E" w14:textId="52767BDB"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14.6</w:t>
            </w:r>
          </w:p>
        </w:tc>
        <w:tc>
          <w:tcPr>
            <w:tcW w:w="1317" w:type="dxa"/>
            <w:tcBorders>
              <w:top w:val="nil"/>
              <w:left w:val="nil"/>
              <w:bottom w:val="single" w:sz="12" w:space="0" w:color="008000"/>
              <w:right w:val="nil"/>
            </w:tcBorders>
            <w:shd w:val="clear" w:color="000000" w:fill="FFFFFF"/>
            <w:noWrap/>
            <w:vAlign w:val="center"/>
          </w:tcPr>
          <w:p w14:paraId="2126F309" w14:textId="267A5A8D"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25.2</w:t>
            </w:r>
          </w:p>
        </w:tc>
        <w:tc>
          <w:tcPr>
            <w:tcW w:w="1871" w:type="dxa"/>
            <w:tcBorders>
              <w:top w:val="nil"/>
              <w:left w:val="nil"/>
              <w:bottom w:val="single" w:sz="12" w:space="0" w:color="008000"/>
              <w:right w:val="nil"/>
            </w:tcBorders>
            <w:shd w:val="clear" w:color="000000" w:fill="FFFFFF"/>
            <w:noWrap/>
            <w:vAlign w:val="center"/>
          </w:tcPr>
          <w:p w14:paraId="6E46643A" w14:textId="3EF08C78"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8.7</w:t>
            </w:r>
          </w:p>
        </w:tc>
        <w:tc>
          <w:tcPr>
            <w:tcW w:w="1675" w:type="dxa"/>
            <w:tcBorders>
              <w:top w:val="nil"/>
              <w:left w:val="nil"/>
              <w:bottom w:val="single" w:sz="12" w:space="0" w:color="008000"/>
              <w:right w:val="nil"/>
            </w:tcBorders>
            <w:shd w:val="clear" w:color="000000" w:fill="FFFFFF"/>
            <w:noWrap/>
            <w:vAlign w:val="center"/>
          </w:tcPr>
          <w:p w14:paraId="1D7FFB9C" w14:textId="2D49A8BE" w:rsidR="003D6576" w:rsidRPr="00D15611" w:rsidRDefault="003D6576" w:rsidP="003D6576">
            <w:pPr>
              <w:spacing w:line="240" w:lineRule="auto"/>
              <w:jc w:val="center"/>
              <w:rPr>
                <w:rFonts w:cs="Arial"/>
                <w:color w:val="000000"/>
                <w:szCs w:val="18"/>
                <w:lang w:eastAsia="en-IN"/>
              </w:rPr>
            </w:pPr>
            <w:r w:rsidRPr="00D15611">
              <w:rPr>
                <w:rFonts w:cs="Arial"/>
                <w:color w:val="000000"/>
                <w:szCs w:val="18"/>
                <w:lang w:eastAsia="en-IN"/>
              </w:rPr>
              <w:t>7.8</w:t>
            </w:r>
          </w:p>
        </w:tc>
      </w:tr>
    </w:tbl>
    <w:p w14:paraId="660CAF5B" w14:textId="34366BAF" w:rsidR="003D6576" w:rsidRPr="00597995" w:rsidRDefault="003D6576" w:rsidP="00597995">
      <w:pPr>
        <w:pStyle w:val="CETBodytext"/>
        <w:jc w:val="center"/>
        <w:rPr>
          <w:sz w:val="16"/>
        </w:rPr>
      </w:pPr>
      <w:r w:rsidRPr="00597995">
        <w:rPr>
          <w:sz w:val="16"/>
        </w:rPr>
        <w:t>O*= 100-[C</w:t>
      </w:r>
      <w:r w:rsidR="008E288F">
        <w:rPr>
          <w:sz w:val="16"/>
        </w:rPr>
        <w:t>%</w:t>
      </w:r>
      <w:r w:rsidRPr="00597995">
        <w:rPr>
          <w:sz w:val="16"/>
        </w:rPr>
        <w:t>]-[H</w:t>
      </w:r>
      <w:r w:rsidR="008E288F">
        <w:rPr>
          <w:sz w:val="16"/>
        </w:rPr>
        <w:t>%</w:t>
      </w:r>
      <w:r w:rsidRPr="00597995">
        <w:rPr>
          <w:sz w:val="16"/>
        </w:rPr>
        <w:t>]-</w:t>
      </w:r>
      <w:r w:rsidR="00597995" w:rsidRPr="00597995">
        <w:rPr>
          <w:sz w:val="16"/>
        </w:rPr>
        <w:t>[N</w:t>
      </w:r>
      <w:r w:rsidR="008E288F">
        <w:rPr>
          <w:sz w:val="16"/>
        </w:rPr>
        <w:t>%</w:t>
      </w:r>
      <w:r w:rsidR="00597995" w:rsidRPr="00597995">
        <w:rPr>
          <w:sz w:val="16"/>
        </w:rPr>
        <w:t>]-[S</w:t>
      </w:r>
      <w:r w:rsidR="008E288F">
        <w:rPr>
          <w:sz w:val="16"/>
        </w:rPr>
        <w:t>%</w:t>
      </w:r>
      <w:r w:rsidR="00597995" w:rsidRPr="00597995">
        <w:rPr>
          <w:sz w:val="16"/>
        </w:rPr>
        <w:t>]-[Ash</w:t>
      </w:r>
      <w:r w:rsidR="008E288F">
        <w:rPr>
          <w:sz w:val="16"/>
        </w:rPr>
        <w:t>%</w:t>
      </w:r>
      <w:r w:rsidR="00597995" w:rsidRPr="00597995">
        <w:rPr>
          <w:sz w:val="16"/>
        </w:rPr>
        <w:t>]</w:t>
      </w:r>
    </w:p>
    <w:p w14:paraId="1414562C" w14:textId="627778F4" w:rsidR="00F27610" w:rsidRPr="000F3550" w:rsidRDefault="003D6576" w:rsidP="00AE42F2">
      <w:pPr>
        <w:pStyle w:val="CETBodytext"/>
      </w:pPr>
      <w:r w:rsidRPr="000F3550">
        <w:lastRenderedPageBreak/>
        <w:t xml:space="preserve">Figure </w:t>
      </w:r>
      <w:r w:rsidR="00AE42F2" w:rsidRPr="000F3550">
        <w:t>1</w:t>
      </w:r>
      <w:r w:rsidRPr="000F3550">
        <w:t xml:space="preserve"> shows the </w:t>
      </w:r>
      <w:r w:rsidR="00920CB0" w:rsidRPr="000F3550">
        <w:t>TG mass los</w:t>
      </w:r>
      <w:r w:rsidR="00812E7B" w:rsidRPr="000F3550">
        <w:t>s profiles</w:t>
      </w:r>
      <w:r w:rsidRPr="000F3550">
        <w:t xml:space="preserve"> of </w:t>
      </w:r>
      <w:r w:rsidR="00812E7B" w:rsidRPr="000F3550">
        <w:t xml:space="preserve">the </w:t>
      </w:r>
      <w:r w:rsidRPr="000F3550">
        <w:t>biomass</w:t>
      </w:r>
      <w:r w:rsidR="00812E7B" w:rsidRPr="000F3550">
        <w:t>es</w:t>
      </w:r>
      <w:r w:rsidRPr="000F3550">
        <w:t xml:space="preserve">. </w:t>
      </w:r>
      <w:r w:rsidR="00C0514E" w:rsidRPr="000F3550">
        <w:t>Devolatilization</w:t>
      </w:r>
      <w:r w:rsidRPr="000F3550">
        <w:t xml:space="preserve"> started </w:t>
      </w:r>
      <w:r w:rsidR="000E45E0" w:rsidRPr="000F3550">
        <w:t>at</w:t>
      </w:r>
      <w:r w:rsidRPr="000F3550">
        <w:t xml:space="preserve"> 180 °C, 200 °C, 345 °C and 360 °C</w:t>
      </w:r>
      <w:r w:rsidR="000E45E0" w:rsidRPr="000F3550">
        <w:t>,</w:t>
      </w:r>
      <w:r w:rsidRPr="000F3550">
        <w:t xml:space="preserve"> respectively</w:t>
      </w:r>
      <w:r w:rsidR="000E45E0" w:rsidRPr="000F3550">
        <w:t>, for ES, KA, SD and RH</w:t>
      </w:r>
      <w:r w:rsidRPr="000F3550">
        <w:t xml:space="preserve">. The </w:t>
      </w:r>
      <w:r w:rsidR="00812E7B" w:rsidRPr="000F3550">
        <w:t xml:space="preserve">low temperature decomposition was observed for </w:t>
      </w:r>
      <w:r w:rsidRPr="000F3550">
        <w:t>KA and ES in 170-230°C</w:t>
      </w:r>
      <w:r w:rsidR="00812E7B" w:rsidRPr="000F3550">
        <w:t>,</w:t>
      </w:r>
      <w:r w:rsidRPr="000F3550">
        <w:t xml:space="preserve"> while for RH and SD</w:t>
      </w:r>
      <w:r w:rsidR="00812E7B" w:rsidRPr="000F3550">
        <w:t xml:space="preserve"> the maximum mass loss was observed in</w:t>
      </w:r>
      <w:r w:rsidRPr="000F3550">
        <w:t xml:space="preserve"> the range of 200-400°C. The early decomposition peak for KA and ES </w:t>
      </w:r>
      <w:r w:rsidR="000E45E0" w:rsidRPr="000F3550">
        <w:t xml:space="preserve">is </w:t>
      </w:r>
      <w:r w:rsidRPr="000F3550">
        <w:t>attributed to presence of high amount of carbohydrate in macroalgae. The derivative TG (DTG) curve showed a sharp peak centered at 178 °C and 197 °C for ES and KA</w:t>
      </w:r>
      <w:r w:rsidR="00812E7B" w:rsidRPr="000F3550">
        <w:t>,</w:t>
      </w:r>
      <w:r w:rsidRPr="000F3550">
        <w:t xml:space="preserve"> respectively, which is related to the decomposition of κ-carrageenan</w:t>
      </w:r>
      <w:r w:rsidR="00812E7B" w:rsidRPr="000F3550">
        <w:t>,</w:t>
      </w:r>
      <w:r w:rsidRPr="000F3550">
        <w:t xml:space="preserve"> and a peak corresponding to ~220 °C</w:t>
      </w:r>
      <w:r w:rsidR="000E45E0" w:rsidRPr="000F3550">
        <w:t xml:space="preserve"> is</w:t>
      </w:r>
      <w:r w:rsidRPr="000F3550">
        <w:t xml:space="preserve"> attributed to the possible degradation of 4-sulfate-β-D-galactose, which was present in the carbohydrate fraction of the macroalgae </w:t>
      </w:r>
      <w:r w:rsidR="00A80BD4" w:rsidRPr="000F3550">
        <w:t xml:space="preserve">(Gautam et al., </w:t>
      </w:r>
      <w:r w:rsidRPr="000F3550">
        <w:t xml:space="preserve">2019). This temperature also </w:t>
      </w:r>
      <w:r w:rsidR="001E6339" w:rsidRPr="000F3550">
        <w:t>represents</w:t>
      </w:r>
      <w:r w:rsidRPr="000F3550">
        <w:t xml:space="preserve"> </w:t>
      </w:r>
      <w:r w:rsidR="00812E7B" w:rsidRPr="000F3550">
        <w:t xml:space="preserve">the </w:t>
      </w:r>
      <w:r w:rsidRPr="000F3550">
        <w:t xml:space="preserve">onset of protein decomposition. The decomposition of minerals present as alkali and alkaline metal salts is responsible for the </w:t>
      </w:r>
      <w:r w:rsidR="000E45E0" w:rsidRPr="000F3550">
        <w:t>DTG</w:t>
      </w:r>
      <w:r w:rsidRPr="000F3550">
        <w:t xml:space="preserve"> peaks in the range 700–800 °C for KA and ES. </w:t>
      </w:r>
    </w:p>
    <w:p w14:paraId="3C0249F4" w14:textId="0674A3E9" w:rsidR="00F27610" w:rsidRDefault="00F27610" w:rsidP="00182FDA">
      <w:pPr>
        <w:pStyle w:val="CETCaption"/>
      </w:pPr>
      <w:r w:rsidRPr="009C35A6">
        <w:rPr>
          <w:b/>
          <w:noProof/>
          <w:lang w:val="en-IN" w:eastAsia="en-IN"/>
        </w:rPr>
        <w:drawing>
          <wp:inline distT="0" distB="0" distL="0" distR="0" wp14:anchorId="181D00BC" wp14:editId="46EFCCC5">
            <wp:extent cx="4068219" cy="2757055"/>
            <wp:effectExtent l="0" t="0" r="0" b="571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a:stretch>
                      <a:fillRect/>
                    </a:stretch>
                  </pic:blipFill>
                  <pic:spPr>
                    <a:xfrm>
                      <a:off x="0" y="0"/>
                      <a:ext cx="4076391" cy="2762593"/>
                    </a:xfrm>
                    <a:prstGeom prst="rect">
                      <a:avLst/>
                    </a:prstGeom>
                  </pic:spPr>
                </pic:pic>
              </a:graphicData>
            </a:graphic>
          </wp:inline>
        </w:drawing>
      </w:r>
    </w:p>
    <w:p w14:paraId="471CEFAF" w14:textId="65CA10C9" w:rsidR="00F27610" w:rsidRPr="00D660E6" w:rsidRDefault="00F27610" w:rsidP="00F27610">
      <w:pPr>
        <w:rPr>
          <w:rStyle w:val="CETCaptionCarattere"/>
          <w:rFonts w:eastAsiaTheme="minorHAnsi"/>
          <w:i w:val="0"/>
          <w:szCs w:val="18"/>
        </w:rPr>
      </w:pPr>
      <w:r w:rsidRPr="00D660E6">
        <w:rPr>
          <w:rStyle w:val="CETCaptionCarattere"/>
          <w:rFonts w:eastAsiaTheme="minorHAnsi"/>
          <w:i w:val="0"/>
          <w:szCs w:val="18"/>
        </w:rPr>
        <w:t xml:space="preserve">Figure </w:t>
      </w:r>
      <w:r w:rsidR="00AE42F2" w:rsidRPr="00D660E6">
        <w:rPr>
          <w:rStyle w:val="CETCaptionCarattere"/>
          <w:rFonts w:eastAsiaTheme="minorHAnsi"/>
          <w:i w:val="0"/>
          <w:szCs w:val="18"/>
        </w:rPr>
        <w:t>1</w:t>
      </w:r>
      <w:r w:rsidRPr="00D660E6">
        <w:rPr>
          <w:rStyle w:val="CETCaptionCarattere"/>
          <w:rFonts w:eastAsiaTheme="minorHAnsi"/>
          <w:i w:val="0"/>
          <w:szCs w:val="18"/>
        </w:rPr>
        <w:t xml:space="preserve">: </w:t>
      </w:r>
      <w:r w:rsidR="00D660E6" w:rsidRPr="00D660E6">
        <w:rPr>
          <w:rFonts w:cs="Arial"/>
          <w:i/>
          <w:szCs w:val="18"/>
          <w:shd w:val="clear" w:color="auto" w:fill="FFFFFF"/>
        </w:rPr>
        <w:t>(a) Mass loss, and (b) derivative mass loss profiles of biomasses obtained using a thermogravimetric analyzer at 10 °C min</w:t>
      </w:r>
      <w:r w:rsidR="00D660E6" w:rsidRPr="00D660E6">
        <w:rPr>
          <w:rFonts w:cs="Arial"/>
          <w:i/>
          <w:szCs w:val="18"/>
          <w:shd w:val="clear" w:color="auto" w:fill="FFFFFF"/>
          <w:vertAlign w:val="superscript"/>
        </w:rPr>
        <w:t>−1</w:t>
      </w:r>
      <w:r w:rsidR="00D660E6" w:rsidRPr="00D660E6">
        <w:rPr>
          <w:rFonts w:cs="Arial"/>
          <w:i/>
          <w:szCs w:val="18"/>
          <w:shd w:val="clear" w:color="auto" w:fill="FFFFFF"/>
        </w:rPr>
        <w:t>.</w:t>
      </w:r>
    </w:p>
    <w:p w14:paraId="015E2E23" w14:textId="77777777" w:rsidR="00D660E6" w:rsidRPr="00F27610" w:rsidRDefault="00D660E6" w:rsidP="00F27610">
      <w:pPr>
        <w:rPr>
          <w:rFonts w:cs="Arial"/>
          <w:szCs w:val="18"/>
        </w:rPr>
      </w:pPr>
    </w:p>
    <w:p w14:paraId="1F96CA21" w14:textId="40B6E259" w:rsidR="00600535" w:rsidRDefault="00113453" w:rsidP="00FA5F5F">
      <w:pPr>
        <w:pStyle w:val="CETheadingx"/>
      </w:pPr>
      <w:r>
        <w:t>Product yield from microwave pyrolysis</w:t>
      </w:r>
    </w:p>
    <w:p w14:paraId="65E73FAD" w14:textId="3ABE76E2" w:rsidR="00600535" w:rsidRDefault="00B75DD9" w:rsidP="00BD077D">
      <w:pPr>
        <w:pStyle w:val="CETCaption"/>
        <w:rPr>
          <w:rStyle w:val="CETCaptionCarattere"/>
          <w:i/>
        </w:rPr>
      </w:pPr>
      <w:r w:rsidRPr="007319C3">
        <w:rPr>
          <w:i w:val="0"/>
          <w:noProof/>
          <w:lang w:val="en-IN" w:eastAsia="en-IN"/>
        </w:rPr>
        <w:drawing>
          <wp:inline distT="0" distB="0" distL="0" distR="0" wp14:anchorId="09BABE95" wp14:editId="4676C1E1">
            <wp:extent cx="5579745" cy="2383790"/>
            <wp:effectExtent l="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a:srcRect t="4130" r="6746" b="3215"/>
                    <a:stretch/>
                  </pic:blipFill>
                  <pic:spPr>
                    <a:xfrm>
                      <a:off x="0" y="0"/>
                      <a:ext cx="5579745" cy="2383790"/>
                    </a:xfrm>
                    <a:prstGeom prst="rect">
                      <a:avLst/>
                    </a:prstGeom>
                  </pic:spPr>
                </pic:pic>
              </a:graphicData>
            </a:graphic>
          </wp:inline>
        </w:drawing>
      </w:r>
      <w:r w:rsidR="00600535" w:rsidRPr="00BD077D">
        <w:rPr>
          <w:rStyle w:val="CETCaptionCarattere"/>
          <w:i/>
        </w:rPr>
        <w:t xml:space="preserve">Figure </w:t>
      </w:r>
      <w:r w:rsidR="000061BE">
        <w:rPr>
          <w:rStyle w:val="CETCaptionCarattere"/>
          <w:i/>
        </w:rPr>
        <w:t>2</w:t>
      </w:r>
      <w:r w:rsidR="00600535" w:rsidRPr="00BD077D">
        <w:rPr>
          <w:rStyle w:val="CETCaptionCarattere"/>
          <w:i/>
        </w:rPr>
        <w:t xml:space="preserve">: </w:t>
      </w:r>
      <w:r w:rsidR="00596160">
        <w:rPr>
          <w:rStyle w:val="CETCaptionCarattere"/>
          <w:i/>
        </w:rPr>
        <w:t xml:space="preserve">(a) </w:t>
      </w:r>
      <w:r w:rsidR="00596160" w:rsidRPr="00596160">
        <w:rPr>
          <w:rStyle w:val="CETCaptionCarattere"/>
          <w:i/>
        </w:rPr>
        <w:t>Reactant temperature profiles during mi</w:t>
      </w:r>
      <w:r w:rsidR="00596160">
        <w:rPr>
          <w:rStyle w:val="CETCaptionCarattere"/>
          <w:i/>
        </w:rPr>
        <w:t>crowave-assisted pyrolysis of biomass</w:t>
      </w:r>
      <w:r w:rsidR="00596160" w:rsidRPr="00596160">
        <w:rPr>
          <w:rStyle w:val="CETCaptionCarattere"/>
          <w:i/>
        </w:rPr>
        <w:t xml:space="preserve">. (b) Product yields from microwave-assisted pyrolysis of </w:t>
      </w:r>
      <w:r w:rsidR="00596160">
        <w:rPr>
          <w:rStyle w:val="CETCaptionCarattere"/>
          <w:i/>
        </w:rPr>
        <w:t>biomass</w:t>
      </w:r>
      <w:r w:rsidR="00E74046">
        <w:rPr>
          <w:rStyle w:val="CETCaptionCarattere"/>
          <w:i/>
        </w:rPr>
        <w:t xml:space="preserve"> at 800W-800°C</w:t>
      </w:r>
    </w:p>
    <w:p w14:paraId="62E16522" w14:textId="3A2FAC3B" w:rsidR="007F4527" w:rsidRPr="000F3550" w:rsidRDefault="007E744D" w:rsidP="00EB1F4F">
      <w:pPr>
        <w:pStyle w:val="CETBodytext"/>
        <w:rPr>
          <w:rStyle w:val="CETCaptionCarattere"/>
          <w:i w:val="0"/>
          <w:lang w:val="en-US"/>
        </w:rPr>
      </w:pPr>
      <w:r w:rsidRPr="005525DF">
        <w:t>The reactant tempera</w:t>
      </w:r>
      <w:r>
        <w:t xml:space="preserve">ture profiles achieved during </w:t>
      </w:r>
      <w:r w:rsidR="00D91BF1">
        <w:t>microwave pyrolysis</w:t>
      </w:r>
      <w:r w:rsidRPr="005525DF">
        <w:t xml:space="preserve"> of </w:t>
      </w:r>
      <w:r>
        <w:t>biomasses</w:t>
      </w:r>
      <w:r w:rsidRPr="005525DF">
        <w:t xml:space="preserve"> are shown in </w:t>
      </w:r>
      <w:r>
        <w:t>figure</w:t>
      </w:r>
      <w:r w:rsidRPr="005525DF">
        <w:t xml:space="preserve"> 2(a). </w:t>
      </w:r>
      <w:r>
        <w:t>Compared</w:t>
      </w:r>
      <w:r w:rsidRPr="005525DF">
        <w:t xml:space="preserve"> to </w:t>
      </w:r>
      <w:r>
        <w:t>RH</w:t>
      </w:r>
      <w:r w:rsidRPr="005525DF">
        <w:t xml:space="preserve">, the reaction temperature increased more rapidly in </w:t>
      </w:r>
      <w:r>
        <w:t>KA</w:t>
      </w:r>
      <w:r w:rsidRPr="005525DF">
        <w:t xml:space="preserve"> and </w:t>
      </w:r>
      <w:r>
        <w:t>E</w:t>
      </w:r>
      <w:r w:rsidRPr="005525DF">
        <w:t xml:space="preserve">S due to the high volatile </w:t>
      </w:r>
      <w:r w:rsidR="000E45E0">
        <w:t>content</w:t>
      </w:r>
      <w:r w:rsidRPr="005525DF">
        <w:t xml:space="preserve"> </w:t>
      </w:r>
      <w:r w:rsidRPr="000F3550">
        <w:lastRenderedPageBreak/>
        <w:t xml:space="preserve">(~69 </w:t>
      </w:r>
      <w:r w:rsidR="00C0514E" w:rsidRPr="000F3550">
        <w:t>wt.</w:t>
      </w:r>
      <w:r w:rsidRPr="000F3550">
        <w:t>%)</w:t>
      </w:r>
      <w:r w:rsidR="00812E7B" w:rsidRPr="000F3550">
        <w:t xml:space="preserve"> and reactive ash, which may exhibit catalytic effect</w:t>
      </w:r>
      <w:r w:rsidRPr="000F3550">
        <w:t xml:space="preserve">. In general, </w:t>
      </w:r>
      <w:r w:rsidR="00812E7B" w:rsidRPr="000F3550">
        <w:t xml:space="preserve">the carbon-rich </w:t>
      </w:r>
      <w:r w:rsidRPr="000F3550">
        <w:t xml:space="preserve">feedstocks </w:t>
      </w:r>
      <w:r w:rsidR="000E45E0" w:rsidRPr="000F3550">
        <w:t>are rapidly pyrolyzed</w:t>
      </w:r>
      <w:r w:rsidR="00812E7B" w:rsidRPr="000F3550">
        <w:t xml:space="preserve"> in presence of microwaves</w:t>
      </w:r>
      <w:r w:rsidRPr="000F3550">
        <w:t xml:space="preserve">. SD </w:t>
      </w:r>
      <w:r w:rsidR="000E45E0" w:rsidRPr="000F3550">
        <w:t xml:space="preserve">pyrolysis exhibited </w:t>
      </w:r>
      <w:r w:rsidRPr="000F3550">
        <w:t>highest heating rate (190.5 °C min</w:t>
      </w:r>
      <w:r w:rsidRPr="000F3550">
        <w:rPr>
          <w:vertAlign w:val="superscript"/>
        </w:rPr>
        <w:t>-1</w:t>
      </w:r>
      <w:r w:rsidRPr="000F3550">
        <w:t xml:space="preserve">) among all the biomasses due to its </w:t>
      </w:r>
      <w:r w:rsidR="00812E7B" w:rsidRPr="000F3550">
        <w:t xml:space="preserve">high carbon and </w:t>
      </w:r>
      <w:r w:rsidRPr="000F3550">
        <w:t>volatile matter content. Hong et al. (2017) reported that heating rate is proportional to the combustible content (volatile matter and fixed carbon) of biomass. The respective product yield depends on heating rate, residence time, temperature and microwave power.</w:t>
      </w:r>
      <w:r w:rsidR="00C64400" w:rsidRPr="000F3550">
        <w:rPr>
          <w:rStyle w:val="CETCaptionCarattere"/>
          <w:i w:val="0"/>
          <w:lang w:val="en-US"/>
        </w:rPr>
        <w:t xml:space="preserve"> </w:t>
      </w:r>
      <w:r w:rsidR="007F4527" w:rsidRPr="000F3550">
        <w:t>A faster heating rate results in more bio-oil yield while slower heating rate produces more amount of bio-char. Figure 2(b) depict</w:t>
      </w:r>
      <w:r w:rsidR="000E45E0" w:rsidRPr="000F3550">
        <w:t>s</w:t>
      </w:r>
      <w:r w:rsidR="007F4527" w:rsidRPr="000F3550">
        <w:t xml:space="preserve"> the product yield</w:t>
      </w:r>
      <w:r w:rsidR="00812E7B" w:rsidRPr="000F3550">
        <w:t>s</w:t>
      </w:r>
      <w:r w:rsidR="007F4527" w:rsidRPr="000F3550">
        <w:t xml:space="preserve"> from microwave pyrolysis of biomasses.</w:t>
      </w:r>
      <w:r w:rsidR="00C64400" w:rsidRPr="000F3550">
        <w:t xml:space="preserve"> </w:t>
      </w:r>
      <w:r w:rsidR="007F4527" w:rsidRPr="000F3550">
        <w:rPr>
          <w:rStyle w:val="CETCaptionCarattere"/>
          <w:i w:val="0"/>
        </w:rPr>
        <w:t>The gaseous yield from SD was</w:t>
      </w:r>
      <w:r w:rsidR="007F4527" w:rsidRPr="000F3550">
        <w:rPr>
          <w:rStyle w:val="CETCaptionCarattere"/>
        </w:rPr>
        <w:t xml:space="preserve"> </w:t>
      </w:r>
      <w:r w:rsidR="007F4527" w:rsidRPr="000F3550">
        <w:rPr>
          <w:rStyle w:val="CETCaptionCarattere"/>
          <w:i w:val="0"/>
        </w:rPr>
        <w:t>comparatively higher than that from RS, KA and ES, which is attributed to more amount of volatile matter and higher heating rate. The product yield</w:t>
      </w:r>
      <w:r w:rsidR="000E45E0" w:rsidRPr="000F3550">
        <w:rPr>
          <w:rStyle w:val="CETCaptionCarattere"/>
          <w:i w:val="0"/>
        </w:rPr>
        <w:t>s</w:t>
      </w:r>
      <w:r w:rsidR="007F4527" w:rsidRPr="000F3550">
        <w:rPr>
          <w:rStyle w:val="CETCaptionCarattere"/>
          <w:i w:val="0"/>
        </w:rPr>
        <w:t xml:space="preserve"> from </w:t>
      </w:r>
      <w:r w:rsidR="000E45E0" w:rsidRPr="000F3550">
        <w:rPr>
          <w:rStyle w:val="CETCaptionCarattere"/>
          <w:i w:val="0"/>
        </w:rPr>
        <w:t xml:space="preserve">the </w:t>
      </w:r>
      <w:r w:rsidR="007F4527" w:rsidRPr="000F3550">
        <w:rPr>
          <w:rStyle w:val="CETCaptionCarattere"/>
          <w:i w:val="0"/>
        </w:rPr>
        <w:t>two macroalgae (KA and ES) were almost similar due to the similarity in their p</w:t>
      </w:r>
      <w:r w:rsidR="000E45E0" w:rsidRPr="000F3550">
        <w:rPr>
          <w:rStyle w:val="CETCaptionCarattere"/>
          <w:i w:val="0"/>
        </w:rPr>
        <w:t>hy</w:t>
      </w:r>
      <w:r w:rsidR="007F4527" w:rsidRPr="000F3550">
        <w:rPr>
          <w:rStyle w:val="CETCaptionCarattere"/>
          <w:i w:val="0"/>
        </w:rPr>
        <w:t>s</w:t>
      </w:r>
      <w:r w:rsidR="000E45E0" w:rsidRPr="000F3550">
        <w:rPr>
          <w:rStyle w:val="CETCaptionCarattere"/>
          <w:i w:val="0"/>
        </w:rPr>
        <w:t>ico</w:t>
      </w:r>
      <w:r w:rsidR="007F4527" w:rsidRPr="000F3550">
        <w:rPr>
          <w:rStyle w:val="CETCaptionCarattere"/>
          <w:i w:val="0"/>
        </w:rPr>
        <w:t xml:space="preserve">chemical properties (as shown in table 1). RH </w:t>
      </w:r>
      <w:r w:rsidR="00812E7B" w:rsidRPr="000F3550">
        <w:rPr>
          <w:rStyle w:val="CETCaptionCarattere"/>
          <w:i w:val="0"/>
        </w:rPr>
        <w:t xml:space="preserve">pyrolysis </w:t>
      </w:r>
      <w:r w:rsidR="007F4527" w:rsidRPr="000F3550">
        <w:rPr>
          <w:rStyle w:val="CETCaptionCarattere"/>
          <w:i w:val="0"/>
        </w:rPr>
        <w:t>shows the maximum amount of bio-char due to slowest heating rate and higher ash content compared to other biomass</w:t>
      </w:r>
      <w:r w:rsidR="00E310A3" w:rsidRPr="000F3550">
        <w:rPr>
          <w:rStyle w:val="CETCaptionCarattere"/>
          <w:i w:val="0"/>
        </w:rPr>
        <w:t>es</w:t>
      </w:r>
      <w:r w:rsidR="007F4527" w:rsidRPr="000F3550">
        <w:rPr>
          <w:rStyle w:val="CETCaptionCarattere"/>
          <w:i w:val="0"/>
        </w:rPr>
        <w:t>.</w:t>
      </w:r>
    </w:p>
    <w:p w14:paraId="63A8FC79" w14:textId="744B20C6" w:rsidR="00690960" w:rsidRDefault="00453E79" w:rsidP="00FA5F5F">
      <w:pPr>
        <w:pStyle w:val="CETheadingx"/>
      </w:pPr>
      <w:r>
        <w:t>Gas and Oil</w:t>
      </w:r>
      <w:r w:rsidR="00D402FA">
        <w:t xml:space="preserve"> </w:t>
      </w:r>
      <w:r w:rsidR="00113453">
        <w:t>composition</w:t>
      </w:r>
    </w:p>
    <w:p w14:paraId="60D3D05B" w14:textId="1FD4EC7B" w:rsidR="00762E83" w:rsidRPr="000F3550" w:rsidRDefault="007B7BE3" w:rsidP="00762E83">
      <w:pPr>
        <w:pStyle w:val="CETCaption"/>
        <w:rPr>
          <w:rStyle w:val="CETCaptionCarattere"/>
        </w:rPr>
      </w:pPr>
      <w:r w:rsidRPr="000F3550">
        <w:rPr>
          <w:i w:val="0"/>
        </w:rPr>
        <w:t xml:space="preserve">Figure </w:t>
      </w:r>
      <w:r w:rsidR="00DB0EF6" w:rsidRPr="000F3550">
        <w:rPr>
          <w:i w:val="0"/>
        </w:rPr>
        <w:t>3 (</w:t>
      </w:r>
      <w:r w:rsidR="00762E83" w:rsidRPr="000F3550">
        <w:rPr>
          <w:i w:val="0"/>
        </w:rPr>
        <w:t>a</w:t>
      </w:r>
      <w:r w:rsidR="00DB0EF6" w:rsidRPr="000F3550">
        <w:rPr>
          <w:i w:val="0"/>
        </w:rPr>
        <w:t>) shows the composition of evolved gases from microwave pyrolysis of biomass</w:t>
      </w:r>
      <w:r w:rsidR="00D91BF1" w:rsidRPr="000F3550">
        <w:rPr>
          <w:i w:val="0"/>
        </w:rPr>
        <w:t xml:space="preserve"> feedstocks</w:t>
      </w:r>
      <w:r w:rsidR="00DB0EF6" w:rsidRPr="000F3550">
        <w:rPr>
          <w:i w:val="0"/>
        </w:rPr>
        <w:t>. The hydrogen yield was</w:t>
      </w:r>
      <w:r w:rsidR="001F16F6" w:rsidRPr="000F3550">
        <w:rPr>
          <w:i w:val="0"/>
        </w:rPr>
        <w:t xml:space="preserve"> in the range 24-28 vol.% from all biomass</w:t>
      </w:r>
      <w:r w:rsidR="00D91BF1" w:rsidRPr="000F3550">
        <w:rPr>
          <w:i w:val="0"/>
        </w:rPr>
        <w:t>es,</w:t>
      </w:r>
      <w:r w:rsidR="001F16F6" w:rsidRPr="000F3550">
        <w:rPr>
          <w:i w:val="0"/>
        </w:rPr>
        <w:t xml:space="preserve"> and SD shows a maximum yield of hydrogen. The higher heating rate and presence of high volati</w:t>
      </w:r>
      <w:r w:rsidR="00D91BF1" w:rsidRPr="000F3550">
        <w:rPr>
          <w:i w:val="0"/>
        </w:rPr>
        <w:t>l</w:t>
      </w:r>
      <w:r w:rsidR="001F16F6" w:rsidRPr="000F3550">
        <w:rPr>
          <w:i w:val="0"/>
        </w:rPr>
        <w:t xml:space="preserve">e matter </w:t>
      </w:r>
      <w:r w:rsidR="00D91BF1" w:rsidRPr="000F3550">
        <w:rPr>
          <w:i w:val="0"/>
        </w:rPr>
        <w:t>are</w:t>
      </w:r>
      <w:r w:rsidR="001F16F6" w:rsidRPr="000F3550">
        <w:rPr>
          <w:i w:val="0"/>
        </w:rPr>
        <w:t xml:space="preserve"> possible reason</w:t>
      </w:r>
      <w:r w:rsidR="000E1509" w:rsidRPr="000F3550">
        <w:rPr>
          <w:i w:val="0"/>
        </w:rPr>
        <w:t>s</w:t>
      </w:r>
      <w:r w:rsidR="001F16F6" w:rsidRPr="000F3550">
        <w:rPr>
          <w:i w:val="0"/>
        </w:rPr>
        <w:t xml:space="preserve"> for </w:t>
      </w:r>
      <w:r w:rsidR="00D91BF1" w:rsidRPr="000F3550">
        <w:rPr>
          <w:i w:val="0"/>
        </w:rPr>
        <w:t xml:space="preserve">the </w:t>
      </w:r>
      <w:r w:rsidR="001F16F6" w:rsidRPr="000F3550">
        <w:rPr>
          <w:i w:val="0"/>
        </w:rPr>
        <w:t xml:space="preserve">higher hydrogen </w:t>
      </w:r>
      <w:r w:rsidR="00D91BF1" w:rsidRPr="000F3550">
        <w:rPr>
          <w:i w:val="0"/>
        </w:rPr>
        <w:t>from</w:t>
      </w:r>
      <w:r w:rsidR="001F16F6" w:rsidRPr="000F3550">
        <w:rPr>
          <w:i w:val="0"/>
        </w:rPr>
        <w:t xml:space="preserve"> SD</w:t>
      </w:r>
      <w:r w:rsidR="00FA5968" w:rsidRPr="000F3550">
        <w:rPr>
          <w:i w:val="0"/>
        </w:rPr>
        <w:t>. Hydrogen is produced through recombination of H radicals, which are often produced via R</w:t>
      </w:r>
      <w:r w:rsidR="00D91BF1" w:rsidRPr="000F3550">
        <w:rPr>
          <w:i w:val="0"/>
        </w:rPr>
        <w:t>–</w:t>
      </w:r>
      <w:r w:rsidR="00FA5968" w:rsidRPr="000F3550">
        <w:rPr>
          <w:i w:val="0"/>
        </w:rPr>
        <w:t>H bond fission reactions. This reaction has a high bond dissociation energy of 432 kJ mol</w:t>
      </w:r>
      <w:r w:rsidR="00FA5968" w:rsidRPr="000F3550">
        <w:rPr>
          <w:i w:val="0"/>
          <w:vertAlign w:val="superscript"/>
        </w:rPr>
        <w:t>−1</w:t>
      </w:r>
      <w:r w:rsidR="00FA5968" w:rsidRPr="000F3550">
        <w:rPr>
          <w:i w:val="0"/>
        </w:rPr>
        <w:t>. C–H</w:t>
      </w:r>
      <w:r w:rsidR="000F6CD4" w:rsidRPr="000F3550">
        <w:rPr>
          <w:i w:val="0"/>
        </w:rPr>
        <w:t xml:space="preserve"> bond </w:t>
      </w:r>
      <w:r w:rsidR="00DF66D9" w:rsidRPr="000F3550">
        <w:rPr>
          <w:i w:val="0"/>
        </w:rPr>
        <w:t>dissociation</w:t>
      </w:r>
      <w:r w:rsidR="00FA5968" w:rsidRPr="000F3550">
        <w:rPr>
          <w:i w:val="0"/>
        </w:rPr>
        <w:t xml:space="preserve"> is shown to be a viable mechanism for H</w:t>
      </w:r>
      <w:r w:rsidR="00FA5968" w:rsidRPr="000F3550">
        <w:rPr>
          <w:i w:val="0"/>
          <w:vertAlign w:val="subscript"/>
        </w:rPr>
        <w:t>2</w:t>
      </w:r>
      <w:r w:rsidR="00FA5968" w:rsidRPr="000F3550">
        <w:rPr>
          <w:i w:val="0"/>
        </w:rPr>
        <w:t xml:space="preserve"> generation in microwave plasma conditions. Additionally, the dehydrogenation-related aromatization </w:t>
      </w:r>
      <w:r w:rsidR="000F6CD4" w:rsidRPr="000F3550">
        <w:rPr>
          <w:i w:val="0"/>
        </w:rPr>
        <w:t>reaction</w:t>
      </w:r>
      <w:r w:rsidR="00FA5968" w:rsidRPr="000F3550">
        <w:rPr>
          <w:i w:val="0"/>
        </w:rPr>
        <w:t xml:space="preserve"> may also be the source of the hydrogen generated </w:t>
      </w:r>
      <w:r w:rsidR="007334ED" w:rsidRPr="000F3550">
        <w:rPr>
          <w:i w:val="0"/>
        </w:rPr>
        <w:t>during microwave pyrolysis</w:t>
      </w:r>
      <w:r w:rsidR="000F6CD4" w:rsidRPr="000F3550">
        <w:rPr>
          <w:i w:val="0"/>
        </w:rPr>
        <w:t xml:space="preserve"> of biomass</w:t>
      </w:r>
      <w:r w:rsidR="00FA5968" w:rsidRPr="000F3550">
        <w:rPr>
          <w:i w:val="0"/>
        </w:rPr>
        <w:t xml:space="preserve">. </w:t>
      </w:r>
      <w:r w:rsidR="007334ED" w:rsidRPr="000F3550">
        <w:rPr>
          <w:i w:val="0"/>
        </w:rPr>
        <w:t>Generally, hydrogen content in the evolved gases is more from microwave pyrolysis</w:t>
      </w:r>
      <w:r w:rsidR="00FA5968" w:rsidRPr="000F3550">
        <w:rPr>
          <w:i w:val="0"/>
        </w:rPr>
        <w:t>.</w:t>
      </w:r>
      <w:r w:rsidR="00C5069A" w:rsidRPr="000F3550">
        <w:rPr>
          <w:i w:val="0"/>
        </w:rPr>
        <w:t xml:space="preserve"> Conversion of CH</w:t>
      </w:r>
      <w:r w:rsidR="00C5069A" w:rsidRPr="000F3550">
        <w:rPr>
          <w:i w:val="0"/>
          <w:vertAlign w:val="subscript"/>
        </w:rPr>
        <w:t>4</w:t>
      </w:r>
      <w:r w:rsidR="00C5069A" w:rsidRPr="000F3550">
        <w:rPr>
          <w:i w:val="0"/>
        </w:rPr>
        <w:t xml:space="preserve"> to hydrogen is possible at microwave pyrolysis condition.</w:t>
      </w:r>
      <w:r w:rsidR="007334ED" w:rsidRPr="000F3550">
        <w:rPr>
          <w:i w:val="0"/>
        </w:rPr>
        <w:t xml:space="preserve"> </w:t>
      </w:r>
      <w:r w:rsidR="00C5069A" w:rsidRPr="000F3550">
        <w:rPr>
          <w:i w:val="0"/>
        </w:rPr>
        <w:t>SD shows a higher content</w:t>
      </w:r>
      <w:r w:rsidR="00DF66D9" w:rsidRPr="000F3550">
        <w:rPr>
          <w:i w:val="0"/>
        </w:rPr>
        <w:t xml:space="preserve"> </w:t>
      </w:r>
      <w:r w:rsidR="00C5069A" w:rsidRPr="000F3550">
        <w:rPr>
          <w:i w:val="0"/>
        </w:rPr>
        <w:t>of CH</w:t>
      </w:r>
      <w:r w:rsidR="00C5069A" w:rsidRPr="000F3550">
        <w:rPr>
          <w:i w:val="0"/>
          <w:vertAlign w:val="subscript"/>
        </w:rPr>
        <w:t>4</w:t>
      </w:r>
      <w:r w:rsidR="00C5069A" w:rsidRPr="000F3550">
        <w:rPr>
          <w:i w:val="0"/>
        </w:rPr>
        <w:t xml:space="preserve"> which is potential source for hydrogen. The hydrogen yield from biomass follows </w:t>
      </w:r>
      <w:r w:rsidR="007334ED" w:rsidRPr="000F3550">
        <w:rPr>
          <w:i w:val="0"/>
        </w:rPr>
        <w:t>the</w:t>
      </w:r>
      <w:r w:rsidR="00C5069A" w:rsidRPr="000F3550">
        <w:rPr>
          <w:i w:val="0"/>
        </w:rPr>
        <w:t xml:space="preserve"> trend: SD</w:t>
      </w:r>
      <w:r w:rsidR="007A2D53" w:rsidRPr="000F3550">
        <w:rPr>
          <w:i w:val="0"/>
        </w:rPr>
        <w:t xml:space="preserve"> </w:t>
      </w:r>
      <w:r w:rsidR="00C5069A" w:rsidRPr="000F3550">
        <w:rPr>
          <w:i w:val="0"/>
        </w:rPr>
        <w:t>(28 vol.%)</w:t>
      </w:r>
      <w:r w:rsidR="007A2D53" w:rsidRPr="000F3550">
        <w:rPr>
          <w:i w:val="0"/>
        </w:rPr>
        <w:t xml:space="preserve"> </w:t>
      </w:r>
      <w:r w:rsidR="00C5069A" w:rsidRPr="000F3550">
        <w:rPr>
          <w:i w:val="0"/>
        </w:rPr>
        <w:t>&gt; ES</w:t>
      </w:r>
      <w:r w:rsidR="007A2D53" w:rsidRPr="000F3550">
        <w:rPr>
          <w:i w:val="0"/>
        </w:rPr>
        <w:t xml:space="preserve"> </w:t>
      </w:r>
      <w:r w:rsidR="00C5069A" w:rsidRPr="000F3550">
        <w:rPr>
          <w:i w:val="0"/>
        </w:rPr>
        <w:t>(</w:t>
      </w:r>
      <w:r w:rsidR="00315BAD" w:rsidRPr="000F3550">
        <w:rPr>
          <w:i w:val="0"/>
        </w:rPr>
        <w:t>27 vol.%)</w:t>
      </w:r>
      <w:r w:rsidR="007A2D53" w:rsidRPr="000F3550">
        <w:rPr>
          <w:i w:val="0"/>
        </w:rPr>
        <w:t xml:space="preserve"> </w:t>
      </w:r>
      <w:r w:rsidR="00315BAD" w:rsidRPr="000F3550">
        <w:rPr>
          <w:i w:val="0"/>
        </w:rPr>
        <w:t>&gt;</w:t>
      </w:r>
      <w:r w:rsidR="00C5069A" w:rsidRPr="000F3550">
        <w:rPr>
          <w:i w:val="0"/>
        </w:rPr>
        <w:t xml:space="preserve"> </w:t>
      </w:r>
      <w:r w:rsidR="007A2D53" w:rsidRPr="000F3550">
        <w:rPr>
          <w:i w:val="0"/>
        </w:rPr>
        <w:t>RH (26 vol.%) &gt; KA (24 vol.%). The H</w:t>
      </w:r>
      <w:r w:rsidR="007A2D53" w:rsidRPr="000F3550">
        <w:rPr>
          <w:i w:val="0"/>
          <w:vertAlign w:val="subscript"/>
        </w:rPr>
        <w:t>2</w:t>
      </w:r>
      <w:r w:rsidR="007A2D53" w:rsidRPr="000F3550">
        <w:rPr>
          <w:i w:val="0"/>
        </w:rPr>
        <w:t xml:space="preserve">:CO ratio is also an important parameter to evaluate the </w:t>
      </w:r>
      <w:r w:rsidR="000E1509" w:rsidRPr="000F3550">
        <w:rPr>
          <w:i w:val="0"/>
        </w:rPr>
        <w:t>potential</w:t>
      </w:r>
      <w:r w:rsidR="007A2D53" w:rsidRPr="000F3550">
        <w:rPr>
          <w:i w:val="0"/>
        </w:rPr>
        <w:t xml:space="preserve"> </w:t>
      </w:r>
      <w:r w:rsidR="00FC4769" w:rsidRPr="000F3550">
        <w:rPr>
          <w:i w:val="0"/>
        </w:rPr>
        <w:t>for syngas</w:t>
      </w:r>
      <w:r w:rsidR="007A2D53" w:rsidRPr="000F3550">
        <w:rPr>
          <w:i w:val="0"/>
        </w:rPr>
        <w:t xml:space="preserve"> production from biomass. H</w:t>
      </w:r>
      <w:r w:rsidR="007A2D53" w:rsidRPr="000F3550">
        <w:rPr>
          <w:i w:val="0"/>
          <w:vertAlign w:val="subscript"/>
        </w:rPr>
        <w:t>2</w:t>
      </w:r>
      <w:r w:rsidR="007A2D53" w:rsidRPr="000F3550">
        <w:rPr>
          <w:i w:val="0"/>
        </w:rPr>
        <w:t xml:space="preserve">:CO ratio (mol/mol) follows </w:t>
      </w:r>
      <w:r w:rsidR="000E1509" w:rsidRPr="000F3550">
        <w:rPr>
          <w:i w:val="0"/>
        </w:rPr>
        <w:t>the</w:t>
      </w:r>
      <w:r w:rsidR="007A2D53" w:rsidRPr="000F3550">
        <w:rPr>
          <w:i w:val="0"/>
        </w:rPr>
        <w:t xml:space="preserve"> trend: SD (0.94) &gt;</w:t>
      </w:r>
      <w:r w:rsidR="0034622F" w:rsidRPr="000F3550">
        <w:rPr>
          <w:i w:val="0"/>
        </w:rPr>
        <w:t xml:space="preserve"> </w:t>
      </w:r>
      <w:r w:rsidR="007A2D53" w:rsidRPr="000F3550">
        <w:rPr>
          <w:i w:val="0"/>
        </w:rPr>
        <w:t>RH (0.81) &gt; ES (0.73) &gt; KA (0.59).</w:t>
      </w:r>
      <w:r w:rsidR="00762E83" w:rsidRPr="000F3550">
        <w:rPr>
          <w:rStyle w:val="CETCaptionCarattere"/>
          <w:i/>
        </w:rPr>
        <w:t xml:space="preserve"> </w:t>
      </w:r>
      <w:r w:rsidR="00762E83" w:rsidRPr="000F3550">
        <w:rPr>
          <w:rStyle w:val="CETCaptionCarattere"/>
        </w:rPr>
        <w:t>The syngas production (CO+H</w:t>
      </w:r>
      <w:r w:rsidR="00762E83" w:rsidRPr="000F3550">
        <w:rPr>
          <w:rStyle w:val="CETCaptionCarattere"/>
          <w:vertAlign w:val="subscript"/>
        </w:rPr>
        <w:t>2</w:t>
      </w:r>
      <w:r w:rsidR="00762E83" w:rsidRPr="000F3550">
        <w:rPr>
          <w:rStyle w:val="CETCaptionCarattere"/>
        </w:rPr>
        <w:t xml:space="preserve">) from macroalgae (KA (65 vol.%) and ES (64 vol.%) was higher than </w:t>
      </w:r>
      <w:r w:rsidR="007334ED" w:rsidRPr="000F3550">
        <w:rPr>
          <w:rStyle w:val="CETCaptionCarattere"/>
        </w:rPr>
        <w:t>that from</w:t>
      </w:r>
      <w:r w:rsidR="00762E83" w:rsidRPr="000F3550">
        <w:rPr>
          <w:rStyle w:val="CETCaptionCarattere"/>
        </w:rPr>
        <w:t xml:space="preserve"> RH and SD (58 vol.%). </w:t>
      </w:r>
      <w:r w:rsidR="007334ED" w:rsidRPr="000F3550">
        <w:rPr>
          <w:rStyle w:val="CETCaptionCarattere"/>
        </w:rPr>
        <w:t>In a</w:t>
      </w:r>
      <w:r w:rsidR="00762E83" w:rsidRPr="000F3550">
        <w:rPr>
          <w:rStyle w:val="CETCaptionCarattere"/>
        </w:rPr>
        <w:t xml:space="preserve"> study on microwave enhanced pyrolysis of Porphyra (a type of </w:t>
      </w:r>
      <w:r w:rsidR="00C0514E" w:rsidRPr="000F3550">
        <w:rPr>
          <w:rStyle w:val="CETCaptionCarattere"/>
        </w:rPr>
        <w:t>macroalgae</w:t>
      </w:r>
      <w:r w:rsidR="00762E83" w:rsidRPr="000F3550">
        <w:rPr>
          <w:rStyle w:val="CETCaptionCarattere"/>
        </w:rPr>
        <w:t>)</w:t>
      </w:r>
      <w:r w:rsidR="007334ED" w:rsidRPr="000F3550">
        <w:rPr>
          <w:rStyle w:val="CETCaptionCarattere"/>
        </w:rPr>
        <w:t>,</w:t>
      </w:r>
      <w:r w:rsidR="00762E83" w:rsidRPr="000F3550">
        <w:rPr>
          <w:rStyle w:val="CETCaptionCarattere"/>
        </w:rPr>
        <w:t xml:space="preserve"> Hong et al. (2017) reported </w:t>
      </w:r>
      <w:r w:rsidR="007334ED" w:rsidRPr="000F3550">
        <w:rPr>
          <w:rStyle w:val="CETCaptionCarattere"/>
        </w:rPr>
        <w:t>62 vol.%</w:t>
      </w:r>
      <w:r w:rsidR="00762E83" w:rsidRPr="000F3550">
        <w:rPr>
          <w:rStyle w:val="CETCaptionCarattere"/>
        </w:rPr>
        <w:t xml:space="preserve"> yield of syngas at 700°C.</w:t>
      </w:r>
      <w:r w:rsidR="00762E83" w:rsidRPr="000F3550">
        <w:rPr>
          <w:rStyle w:val="CETCaptionCarattere"/>
          <w:i/>
        </w:rPr>
        <w:t xml:space="preserve"> </w:t>
      </w:r>
      <w:r w:rsidR="00B13ACB" w:rsidRPr="000F3550">
        <w:rPr>
          <w:rStyle w:val="CETCaptionCarattere"/>
        </w:rPr>
        <w:t xml:space="preserve">In one of our earlier studies, </w:t>
      </w:r>
      <w:r w:rsidR="00762E83" w:rsidRPr="000F3550">
        <w:rPr>
          <w:rStyle w:val="CETCaptionCarattere"/>
        </w:rPr>
        <w:t xml:space="preserve">The </w:t>
      </w:r>
      <w:r w:rsidR="00B13ACB" w:rsidRPr="000F3550">
        <w:rPr>
          <w:rStyle w:val="CETCaptionCarattere"/>
        </w:rPr>
        <w:t>hydrogen</w:t>
      </w:r>
      <w:r w:rsidR="00762E83" w:rsidRPr="000F3550">
        <w:rPr>
          <w:rStyle w:val="CETCaptionCarattere"/>
        </w:rPr>
        <w:t xml:space="preserve"> production from RH and SD </w:t>
      </w:r>
      <w:r w:rsidR="00B13ACB" w:rsidRPr="000F3550">
        <w:rPr>
          <w:rStyle w:val="CETCaptionCarattere"/>
        </w:rPr>
        <w:t xml:space="preserve">was reported to be 15.9 vol.% and 17.5 vol.%, respectively, at 450 W-600 </w:t>
      </w:r>
      <w:r w:rsidR="00B13ACB" w:rsidRPr="000F3550">
        <w:rPr>
          <w:rStyle w:val="CETCaptionCarattere"/>
          <w:vertAlign w:val="superscript"/>
        </w:rPr>
        <w:t>o</w:t>
      </w:r>
      <w:r w:rsidR="00B13ACB" w:rsidRPr="000F3550">
        <w:rPr>
          <w:rStyle w:val="CETCaptionCarattere"/>
        </w:rPr>
        <w:t>C (</w:t>
      </w:r>
      <w:r w:rsidR="00762E83" w:rsidRPr="000F3550">
        <w:rPr>
          <w:rStyle w:val="text"/>
          <w:rFonts w:cs="Arial"/>
          <w:i w:val="0"/>
        </w:rPr>
        <w:t>Suriapparao</w:t>
      </w:r>
      <w:r w:rsidR="00762E83" w:rsidRPr="000F3550">
        <w:rPr>
          <w:rStyle w:val="CETCaptionCarattere"/>
        </w:rPr>
        <w:t xml:space="preserve"> et al.</w:t>
      </w:r>
      <w:r w:rsidR="00B13ACB" w:rsidRPr="000F3550">
        <w:rPr>
          <w:rStyle w:val="CETCaptionCarattere"/>
        </w:rPr>
        <w:t xml:space="preserve">, </w:t>
      </w:r>
      <w:r w:rsidR="00762E83" w:rsidRPr="000F3550">
        <w:rPr>
          <w:rStyle w:val="CETCaptionCarattere"/>
        </w:rPr>
        <w:t>2018). The higher yield</w:t>
      </w:r>
      <w:r w:rsidR="007334ED" w:rsidRPr="000F3550">
        <w:rPr>
          <w:rStyle w:val="CETCaptionCarattere"/>
        </w:rPr>
        <w:t>s</w:t>
      </w:r>
      <w:r w:rsidR="00762E83" w:rsidRPr="000F3550">
        <w:rPr>
          <w:rStyle w:val="CETCaptionCarattere"/>
        </w:rPr>
        <w:t xml:space="preserve"> of hydrogen and syngas in present study </w:t>
      </w:r>
      <w:r w:rsidR="007334ED" w:rsidRPr="000F3550">
        <w:rPr>
          <w:rStyle w:val="CETCaptionCarattere"/>
        </w:rPr>
        <w:t>are</w:t>
      </w:r>
      <w:r w:rsidR="00762E83" w:rsidRPr="000F3550">
        <w:rPr>
          <w:rStyle w:val="CETCaptionCarattere"/>
        </w:rPr>
        <w:t xml:space="preserve"> due to higher microwave power and feed</w:t>
      </w:r>
      <w:r w:rsidR="007334ED" w:rsidRPr="000F3550">
        <w:rPr>
          <w:rStyle w:val="CETCaptionCarattere"/>
        </w:rPr>
        <w:t>-</w:t>
      </w:r>
      <w:r w:rsidR="00762E83" w:rsidRPr="000F3550">
        <w:rPr>
          <w:rStyle w:val="CETCaptionCarattere"/>
        </w:rPr>
        <w:t>to</w:t>
      </w:r>
      <w:r w:rsidR="007334ED" w:rsidRPr="000F3550">
        <w:rPr>
          <w:rStyle w:val="CETCaptionCarattere"/>
        </w:rPr>
        <w:t>-</w:t>
      </w:r>
      <w:r w:rsidR="00762E83" w:rsidRPr="000F3550">
        <w:rPr>
          <w:rStyle w:val="CETCaptionCarattere"/>
        </w:rPr>
        <w:t>susceptor ratio.</w:t>
      </w:r>
    </w:p>
    <w:p w14:paraId="3DECE75C" w14:textId="050A57ED" w:rsidR="00762E83" w:rsidRDefault="00762E83" w:rsidP="00BB0FD9">
      <w:pPr>
        <w:pStyle w:val="CETBodytext"/>
        <w:rPr>
          <w:rStyle w:val="CETCaptionCarattere"/>
        </w:rPr>
      </w:pPr>
      <w:r w:rsidRPr="007319C3">
        <w:rPr>
          <w:noProof/>
          <w:lang w:val="en-IN" w:eastAsia="en-IN"/>
        </w:rPr>
        <w:drawing>
          <wp:inline distT="0" distB="0" distL="0" distR="0" wp14:anchorId="6436C865" wp14:editId="60B2FC02">
            <wp:extent cx="5579745" cy="240220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a:extLst>
                        <a:ext uri="{28A0092B-C50C-407E-A947-70E740481C1C}">
                          <a14:useLocalDpi xmlns:a14="http://schemas.microsoft.com/office/drawing/2010/main" val="0"/>
                        </a:ext>
                      </a:extLst>
                    </a:blip>
                    <a:srcRect l="3987" r="6199" b="8567"/>
                    <a:stretch/>
                  </pic:blipFill>
                  <pic:spPr>
                    <a:xfrm>
                      <a:off x="0" y="0"/>
                      <a:ext cx="5579745" cy="2402205"/>
                    </a:xfrm>
                    <a:prstGeom prst="rect">
                      <a:avLst/>
                    </a:prstGeom>
                  </pic:spPr>
                </pic:pic>
              </a:graphicData>
            </a:graphic>
          </wp:inline>
        </w:drawing>
      </w:r>
      <w:r w:rsidR="009C5ECE" w:rsidRPr="00BD077D">
        <w:rPr>
          <w:rStyle w:val="CETCaptionCarattere"/>
        </w:rPr>
        <w:t xml:space="preserve">Figure </w:t>
      </w:r>
      <w:r w:rsidR="000061BE">
        <w:rPr>
          <w:rStyle w:val="CETCaptionCarattere"/>
        </w:rPr>
        <w:t>3</w:t>
      </w:r>
      <w:r w:rsidR="005619B5">
        <w:rPr>
          <w:rStyle w:val="CETCaptionCarattere"/>
        </w:rPr>
        <w:t xml:space="preserve">: </w:t>
      </w:r>
      <w:r w:rsidR="00DD556C">
        <w:rPr>
          <w:rStyle w:val="CETCaptionCarattere"/>
          <w:i w:val="0"/>
        </w:rPr>
        <w:t>(</w:t>
      </w:r>
      <w:r w:rsidR="007319C3">
        <w:rPr>
          <w:rStyle w:val="CETCaptionCarattere"/>
          <w:i w:val="0"/>
        </w:rPr>
        <w:t>a</w:t>
      </w:r>
      <w:r w:rsidR="00DD556C">
        <w:rPr>
          <w:rStyle w:val="CETCaptionCarattere"/>
          <w:i w:val="0"/>
        </w:rPr>
        <w:t>) composition non-</w:t>
      </w:r>
      <w:r w:rsidR="00D402FA">
        <w:rPr>
          <w:rStyle w:val="CETCaptionCarattere"/>
        </w:rPr>
        <w:t>condensable gases</w:t>
      </w:r>
      <w:r w:rsidR="007319C3">
        <w:rPr>
          <w:rStyle w:val="CETCaptionCarattere"/>
        </w:rPr>
        <w:t xml:space="preserve">, </w:t>
      </w:r>
      <w:r w:rsidR="007319C3">
        <w:rPr>
          <w:rStyle w:val="CETCaptionCarattere"/>
          <w:i w:val="0"/>
        </w:rPr>
        <w:t>and</w:t>
      </w:r>
      <w:r w:rsidR="007319C3">
        <w:rPr>
          <w:rStyle w:val="CETCaptionCarattere"/>
        </w:rPr>
        <w:t xml:space="preserve"> (b) </w:t>
      </w:r>
      <w:r w:rsidR="007319C3" w:rsidRPr="009C5ECE">
        <w:rPr>
          <w:rStyle w:val="CETCaptionCarattere"/>
        </w:rPr>
        <w:t>Composition of bio-oil</w:t>
      </w:r>
      <w:r w:rsidR="007319C3">
        <w:rPr>
          <w:rStyle w:val="CETCaptionCarattere"/>
          <w:i w:val="0"/>
        </w:rPr>
        <w:t xml:space="preserve"> </w:t>
      </w:r>
      <w:r w:rsidR="009C5ECE" w:rsidRPr="009C5ECE">
        <w:rPr>
          <w:rStyle w:val="CETCaptionCarattere"/>
        </w:rPr>
        <w:t xml:space="preserve">from microwave-assisted pyrolysis of different </w:t>
      </w:r>
      <w:r w:rsidR="009C5ECE">
        <w:rPr>
          <w:rStyle w:val="CETCaptionCarattere"/>
        </w:rPr>
        <w:t>biomass</w:t>
      </w:r>
      <w:r w:rsidR="009C5ECE" w:rsidRPr="009C5ECE">
        <w:rPr>
          <w:rStyle w:val="CETCaptionCarattere"/>
        </w:rPr>
        <w:t xml:space="preserve"> at </w:t>
      </w:r>
      <w:r w:rsidR="009C5ECE">
        <w:rPr>
          <w:rStyle w:val="CETCaptionCarattere"/>
        </w:rPr>
        <w:t>800W-800</w:t>
      </w:r>
      <w:r w:rsidR="009C5ECE" w:rsidRPr="009C5ECE">
        <w:rPr>
          <w:rStyle w:val="CETCaptionCarattere"/>
        </w:rPr>
        <w:t xml:space="preserve"> °C</w:t>
      </w:r>
      <w:r w:rsidR="00FD04B8">
        <w:rPr>
          <w:rStyle w:val="CETCaptionCarattere"/>
        </w:rPr>
        <w:t>.</w:t>
      </w:r>
    </w:p>
    <w:p w14:paraId="78DBC84E" w14:textId="77777777" w:rsidR="007F4527" w:rsidRDefault="007F4527" w:rsidP="00BB0FD9">
      <w:pPr>
        <w:pStyle w:val="CETBodytext"/>
        <w:rPr>
          <w:rStyle w:val="CETCaptionCarattere"/>
        </w:rPr>
      </w:pPr>
    </w:p>
    <w:p w14:paraId="11D3FAFD" w14:textId="765DC299" w:rsidR="007F4527" w:rsidRPr="0011519F" w:rsidRDefault="007F4527" w:rsidP="00BB0FD9">
      <w:pPr>
        <w:pStyle w:val="CETBodytext"/>
        <w:rPr>
          <w:rStyle w:val="CETCaptionCarattere"/>
          <w:i w:val="0"/>
          <w:lang w:val="en-US"/>
        </w:rPr>
      </w:pPr>
      <w:r>
        <w:t xml:space="preserve">The bio-oil yield from different biomass follows </w:t>
      </w:r>
      <w:r w:rsidR="00B13ACB">
        <w:t>the</w:t>
      </w:r>
      <w:r>
        <w:t xml:space="preserve"> trend</w:t>
      </w:r>
      <w:r w:rsidR="00B13ACB">
        <w:t>:</w:t>
      </w:r>
      <w:r>
        <w:t xml:space="preserve"> SD (33 wt.%) &gt; ES (28 wt.%) &gt; KA (25 wt.%) &gt; RH (24 wt.%). SD shows maximum bio-oil yield due to its higher volatile mater and faster heating rate. Figure 3 (b) depicts the bio-oil composition. </w:t>
      </w:r>
      <w:r w:rsidRPr="00940BCB">
        <w:t xml:space="preserve">The </w:t>
      </w:r>
      <w:r w:rsidR="002A6F44">
        <w:t>organics</w:t>
      </w:r>
      <w:r w:rsidRPr="00940BCB">
        <w:t xml:space="preserve"> observed in the bio-oil based on GC/MS analysis were classified into the following categories:</w:t>
      </w:r>
      <w:r>
        <w:t xml:space="preserve"> phenols, cyclic oxygenates (Cy-O), furans (F), linear oxygenates, aliphatic hydrocarbons, polyromantic hydrocarbons (PAH) and nitrogen containing compounds (N). KA </w:t>
      </w:r>
      <w:r w:rsidR="002A6F44">
        <w:t xml:space="preserve">pyrolysis results in </w:t>
      </w:r>
      <w:r>
        <w:t>lower bio-oil yield compared to ES, which is attributed to higher lipid content in KA</w:t>
      </w:r>
      <w:r w:rsidR="002A6F44">
        <w:t>,</w:t>
      </w:r>
      <w:r>
        <w:t xml:space="preserve"> which can be justif</w:t>
      </w:r>
      <w:r w:rsidR="002A6F44">
        <w:t>ied</w:t>
      </w:r>
      <w:r>
        <w:t xml:space="preserve"> from </w:t>
      </w:r>
      <w:r w:rsidR="002A6F44">
        <w:lastRenderedPageBreak/>
        <w:t xml:space="preserve">the </w:t>
      </w:r>
      <w:r>
        <w:t>oil analysis</w:t>
      </w:r>
      <w:r w:rsidR="002A6F44">
        <w:t>.</w:t>
      </w:r>
      <w:r>
        <w:t xml:space="preserve"> </w:t>
      </w:r>
      <w:r w:rsidR="002A6F44">
        <w:t>It is evident that</w:t>
      </w:r>
      <w:r>
        <w:t xml:space="preserve"> the presence of </w:t>
      </w:r>
      <w:r w:rsidR="002A6F44">
        <w:t>N-containing</w:t>
      </w:r>
      <w:r>
        <w:t xml:space="preserve"> compound</w:t>
      </w:r>
      <w:r w:rsidR="002A6F44">
        <w:t>s</w:t>
      </w:r>
      <w:r>
        <w:t xml:space="preserve"> was maximum in the oil produced from KA.</w:t>
      </w:r>
      <w:r w:rsidRPr="00E5079C">
        <w:t xml:space="preserve"> </w:t>
      </w:r>
      <w:r w:rsidR="002A6F44">
        <w:t>The</w:t>
      </w:r>
      <w:r>
        <w:t xml:space="preserve"> compounds</w:t>
      </w:r>
      <w:r w:rsidRPr="00E5079C">
        <w:t xml:space="preserve"> observed in the bio-oil derived from macroalgae</w:t>
      </w:r>
      <w:r>
        <w:t xml:space="preserve"> (KA and ES)</w:t>
      </w:r>
      <w:r w:rsidRPr="00E5079C">
        <w:t xml:space="preserve"> can be related to the pyrolysis of several components, mostly carbohydrates, along with proteins and lipids. Pyrolysis of carbohydrates results in the production of furan derivatives and other low-molecular weight (LMW) carbonyl compounds such as alkyl </w:t>
      </w:r>
      <w:r w:rsidRPr="00366636">
        <w:t>cyclopentene</w:t>
      </w:r>
      <w:r w:rsidR="00366636">
        <w:t>-1-one</w:t>
      </w:r>
      <w:r>
        <w:t>. Selectivit</w:t>
      </w:r>
      <w:r w:rsidR="002A6F44">
        <w:t>y</w:t>
      </w:r>
      <w:r>
        <w:t xml:space="preserve"> </w:t>
      </w:r>
      <w:r w:rsidR="002A6F44">
        <w:t>to</w:t>
      </w:r>
      <w:r>
        <w:t xml:space="preserve"> furans (10%) and linear oxygenates (53%) in the bio-oil from macroalgae w</w:t>
      </w:r>
      <w:r w:rsidR="002A6F44">
        <w:t>as</w:t>
      </w:r>
      <w:r>
        <w:t xml:space="preserve"> higher compared to RH and SD. The selectivity to phenolic compounds was higher for RH </w:t>
      </w:r>
      <w:r w:rsidR="002A6F44">
        <w:t xml:space="preserve">(77%) </w:t>
      </w:r>
      <w:r>
        <w:t xml:space="preserve">and SD (58%) compared to KA </w:t>
      </w:r>
      <w:r w:rsidR="002A6F44">
        <w:t xml:space="preserve">(21%) </w:t>
      </w:r>
      <w:r>
        <w:t xml:space="preserve">and ES (8%). </w:t>
      </w:r>
      <w:r w:rsidRPr="00DF7517">
        <w:t>The formation of phenols can be related to the interaction of moisture/steam with aromatics produced during biomass pyrolysis</w:t>
      </w:r>
      <w:r>
        <w:t xml:space="preserve"> </w:t>
      </w:r>
      <w:r w:rsidRPr="00CD2F4B">
        <w:t>(</w:t>
      </w:r>
      <w:r w:rsidRPr="00CD2F4B">
        <w:rPr>
          <w:rFonts w:cs="Arial"/>
          <w:shd w:val="clear" w:color="auto" w:fill="FFFFFF"/>
        </w:rPr>
        <w:t>Mukarakate</w:t>
      </w:r>
      <w:r w:rsidRPr="00DF082D">
        <w:rPr>
          <w:rFonts w:cs="Arial"/>
          <w:shd w:val="clear" w:color="auto" w:fill="FFFFFF"/>
        </w:rPr>
        <w:t> </w:t>
      </w:r>
      <w:r w:rsidRPr="00DF082D">
        <w:rPr>
          <w:rStyle w:val="Emphasis"/>
          <w:rFonts w:cs="Arial"/>
          <w:i w:val="0"/>
          <w:shd w:val="clear" w:color="auto" w:fill="FFFFFF"/>
        </w:rPr>
        <w:t>et al.</w:t>
      </w:r>
      <w:r w:rsidRPr="00CD2F4B">
        <w:t>, 2015).</w:t>
      </w:r>
      <w:r>
        <w:t xml:space="preserve"> </w:t>
      </w:r>
      <w:r w:rsidRPr="00E5079C">
        <w:t xml:space="preserve">Many N-containing </w:t>
      </w:r>
      <w:r>
        <w:t>compounds</w:t>
      </w:r>
      <w:r w:rsidRPr="00E5079C">
        <w:t>, including acid amides, nitriles, pyrroles, indoles, and pyridines, are produced</w:t>
      </w:r>
      <w:r w:rsidR="00CB383B">
        <w:t xml:space="preserve"> from KA</w:t>
      </w:r>
      <w:r w:rsidRPr="00E5079C">
        <w:t xml:space="preserve"> </w:t>
      </w:r>
      <w:r w:rsidR="00CB383B">
        <w:t>due to</w:t>
      </w:r>
      <w:r>
        <w:t xml:space="preserve"> pyrolysis of protein</w:t>
      </w:r>
      <w:r w:rsidR="002A6F44">
        <w:t>s</w:t>
      </w:r>
      <w:r w:rsidRPr="00E5079C">
        <w:t xml:space="preserve">. These </w:t>
      </w:r>
      <w:r>
        <w:t>compounds</w:t>
      </w:r>
      <w:r w:rsidRPr="00E5079C">
        <w:t xml:space="preserve"> are produced by cyclization, deamination, and amino acid decarboxylation </w:t>
      </w:r>
      <w:r>
        <w:t>reactions</w:t>
      </w:r>
      <w:r w:rsidRPr="00E5079C">
        <w:t xml:space="preserve">. </w:t>
      </w:r>
      <w:r w:rsidRPr="00364030">
        <w:t xml:space="preserve">Aliphatic hydrocarbons are typically produced by the decarboxylation of carboxylic acids, which </w:t>
      </w:r>
      <w:r w:rsidR="002A6F44">
        <w:t>are present in the macroalgae in the form of</w:t>
      </w:r>
      <w:r w:rsidRPr="00364030">
        <w:t xml:space="preserve"> lipids </w:t>
      </w:r>
      <w:r w:rsidR="002A6F44">
        <w:t>and in the form of extractives in SD</w:t>
      </w:r>
      <w:r w:rsidRPr="00364030">
        <w:t>.</w:t>
      </w:r>
    </w:p>
    <w:p w14:paraId="68D26B83" w14:textId="77777777" w:rsidR="00600535" w:rsidRPr="00B57B36" w:rsidRDefault="00600535" w:rsidP="00600535">
      <w:pPr>
        <w:pStyle w:val="CETHeading1"/>
        <w:rPr>
          <w:lang w:val="en-GB"/>
        </w:rPr>
      </w:pPr>
      <w:r w:rsidRPr="00B57B36">
        <w:rPr>
          <w:lang w:val="en-GB"/>
        </w:rPr>
        <w:t>Conclusions</w:t>
      </w:r>
    </w:p>
    <w:p w14:paraId="461F50F2" w14:textId="273323EF" w:rsidR="00A57D8B" w:rsidRPr="000F3550" w:rsidRDefault="00BF5988" w:rsidP="00A57D8B">
      <w:pPr>
        <w:pStyle w:val="CETBodytext"/>
      </w:pPr>
      <w:r w:rsidRPr="000F3550">
        <w:rPr>
          <w:lang w:val="en-GB"/>
        </w:rPr>
        <w:t xml:space="preserve">The present study </w:t>
      </w:r>
      <w:r w:rsidR="00DD556C" w:rsidRPr="000F3550">
        <w:rPr>
          <w:lang w:val="en-GB"/>
        </w:rPr>
        <w:t>provides the baseline yield of</w:t>
      </w:r>
      <w:r w:rsidRPr="000F3550">
        <w:rPr>
          <w:lang w:val="en-GB"/>
        </w:rPr>
        <w:t xml:space="preserve"> hydrogen from</w:t>
      </w:r>
      <w:r w:rsidR="00EF4A30" w:rsidRPr="000F3550">
        <w:t xml:space="preserve"> microwave-assisted pyrolysis of</w:t>
      </w:r>
      <w:r w:rsidRPr="000F3550">
        <w:rPr>
          <w:lang w:val="en-GB"/>
        </w:rPr>
        <w:t xml:space="preserve"> rice husk (RH), pine saw dust (SD), </w:t>
      </w:r>
      <w:r w:rsidRPr="000F3550">
        <w:rPr>
          <w:rFonts w:cs="Arial"/>
          <w:i/>
          <w:szCs w:val="18"/>
          <w:lang w:eastAsia="en-IN"/>
        </w:rPr>
        <w:t>Kappaphycus alvarezii</w:t>
      </w:r>
      <w:r w:rsidRPr="000F3550">
        <w:rPr>
          <w:rFonts w:cs="Arial"/>
          <w:szCs w:val="18"/>
          <w:lang w:eastAsia="en-IN"/>
        </w:rPr>
        <w:t xml:space="preserve"> (KA), </w:t>
      </w:r>
      <w:r w:rsidRPr="000F3550">
        <w:rPr>
          <w:rFonts w:cs="Arial"/>
          <w:i/>
          <w:szCs w:val="18"/>
          <w:lang w:eastAsia="en-IN"/>
        </w:rPr>
        <w:t>Eucheuma spinosum</w:t>
      </w:r>
      <w:r w:rsidRPr="000F3550">
        <w:rPr>
          <w:rFonts w:cs="Arial"/>
          <w:szCs w:val="18"/>
          <w:lang w:eastAsia="en-IN"/>
        </w:rPr>
        <w:t xml:space="preserve"> (ES)</w:t>
      </w:r>
      <w:r w:rsidR="00EF4A30" w:rsidRPr="000F3550">
        <w:rPr>
          <w:rFonts w:cs="Arial"/>
          <w:szCs w:val="18"/>
          <w:lang w:eastAsia="en-IN"/>
        </w:rPr>
        <w:t xml:space="preserve"> at 800</w:t>
      </w:r>
      <w:r w:rsidR="00845AB6" w:rsidRPr="000F3550">
        <w:rPr>
          <w:rFonts w:cs="Arial"/>
          <w:szCs w:val="18"/>
          <w:lang w:eastAsia="en-IN"/>
        </w:rPr>
        <w:t xml:space="preserve"> </w:t>
      </w:r>
      <w:r w:rsidR="00EF4A30" w:rsidRPr="000F3550">
        <w:rPr>
          <w:rFonts w:cs="Arial"/>
          <w:szCs w:val="18"/>
          <w:lang w:eastAsia="en-IN"/>
        </w:rPr>
        <w:t>W-800</w:t>
      </w:r>
      <w:r w:rsidR="00845AB6" w:rsidRPr="000F3550">
        <w:rPr>
          <w:rFonts w:cs="Arial"/>
          <w:szCs w:val="18"/>
          <w:lang w:eastAsia="en-IN"/>
        </w:rPr>
        <w:t xml:space="preserve"> </w:t>
      </w:r>
      <w:r w:rsidR="00EF4A30" w:rsidRPr="000F3550">
        <w:rPr>
          <w:rFonts w:cs="Arial"/>
          <w:szCs w:val="18"/>
          <w:lang w:eastAsia="en-IN"/>
        </w:rPr>
        <w:t>°C.</w:t>
      </w:r>
      <w:r w:rsidR="00F76170" w:rsidRPr="000F3550">
        <w:rPr>
          <w:rFonts w:cs="Arial"/>
          <w:szCs w:val="18"/>
          <w:lang w:eastAsia="en-IN"/>
        </w:rPr>
        <w:t xml:space="preserve"> </w:t>
      </w:r>
      <w:r w:rsidR="00845AB6" w:rsidRPr="000F3550">
        <w:rPr>
          <w:rFonts w:cs="Arial"/>
          <w:szCs w:val="18"/>
          <w:lang w:eastAsia="en-IN"/>
        </w:rPr>
        <w:t>Even though t</w:t>
      </w:r>
      <w:r w:rsidR="00F76170" w:rsidRPr="000F3550">
        <w:rPr>
          <w:rFonts w:cs="Arial"/>
          <w:szCs w:val="18"/>
          <w:lang w:eastAsia="en-IN"/>
        </w:rPr>
        <w:t xml:space="preserve">he </w:t>
      </w:r>
      <w:r w:rsidR="00C0514E" w:rsidRPr="000F3550">
        <w:rPr>
          <w:rFonts w:cs="Arial"/>
          <w:szCs w:val="18"/>
          <w:lang w:eastAsia="en-IN"/>
        </w:rPr>
        <w:t>macroalgae</w:t>
      </w:r>
      <w:r w:rsidR="00F76170" w:rsidRPr="000F3550">
        <w:rPr>
          <w:rFonts w:cs="Arial"/>
          <w:szCs w:val="18"/>
          <w:lang w:eastAsia="en-IN"/>
        </w:rPr>
        <w:t xml:space="preserve"> (K</w:t>
      </w:r>
      <w:r w:rsidR="00A664E3" w:rsidRPr="000F3550">
        <w:rPr>
          <w:rFonts w:cs="Arial"/>
          <w:szCs w:val="18"/>
          <w:lang w:eastAsia="en-IN"/>
        </w:rPr>
        <w:t>A</w:t>
      </w:r>
      <w:r w:rsidR="00F76170" w:rsidRPr="000F3550">
        <w:rPr>
          <w:rFonts w:cs="Arial"/>
          <w:szCs w:val="18"/>
          <w:lang w:eastAsia="en-IN"/>
        </w:rPr>
        <w:t xml:space="preserve"> and ES) </w:t>
      </w:r>
      <w:r w:rsidR="00845AB6" w:rsidRPr="000F3550">
        <w:rPr>
          <w:rFonts w:cs="Arial"/>
          <w:szCs w:val="18"/>
          <w:lang w:eastAsia="en-IN"/>
        </w:rPr>
        <w:t>are different in composition as compared to</w:t>
      </w:r>
      <w:r w:rsidR="00D20476" w:rsidRPr="000F3550">
        <w:rPr>
          <w:rFonts w:cs="Arial"/>
          <w:szCs w:val="18"/>
          <w:lang w:eastAsia="en-IN"/>
        </w:rPr>
        <w:t xml:space="preserve"> </w:t>
      </w:r>
      <w:r w:rsidR="00DD556C" w:rsidRPr="000F3550">
        <w:rPr>
          <w:rFonts w:cs="Arial"/>
          <w:szCs w:val="18"/>
          <w:lang w:eastAsia="en-IN"/>
        </w:rPr>
        <w:t xml:space="preserve">lignocellulosic </w:t>
      </w:r>
      <w:r w:rsidR="00D20476" w:rsidRPr="000F3550">
        <w:rPr>
          <w:rFonts w:cs="Arial"/>
          <w:szCs w:val="18"/>
          <w:lang w:eastAsia="en-IN"/>
        </w:rPr>
        <w:t>biomass (RH and SD)</w:t>
      </w:r>
      <w:r w:rsidR="00845AB6" w:rsidRPr="000F3550">
        <w:rPr>
          <w:rFonts w:cs="Arial"/>
          <w:szCs w:val="18"/>
          <w:lang w:eastAsia="en-IN"/>
        </w:rPr>
        <w:t>,</w:t>
      </w:r>
      <w:r w:rsidR="00D20476" w:rsidRPr="000F3550">
        <w:rPr>
          <w:rFonts w:cs="Arial"/>
          <w:szCs w:val="18"/>
          <w:lang w:eastAsia="en-IN"/>
        </w:rPr>
        <w:t xml:space="preserve"> the hydrogen yield</w:t>
      </w:r>
      <w:r w:rsidR="00845AB6" w:rsidRPr="000F3550">
        <w:rPr>
          <w:rFonts w:cs="Arial"/>
          <w:szCs w:val="18"/>
          <w:lang w:eastAsia="en-IN"/>
        </w:rPr>
        <w:t>s</w:t>
      </w:r>
      <w:r w:rsidR="00D20476" w:rsidRPr="000F3550">
        <w:rPr>
          <w:rFonts w:cs="Arial"/>
          <w:szCs w:val="18"/>
          <w:lang w:eastAsia="en-IN"/>
        </w:rPr>
        <w:t xml:space="preserve"> from macroalgae </w:t>
      </w:r>
      <w:r w:rsidR="00845AB6" w:rsidRPr="000F3550">
        <w:rPr>
          <w:rFonts w:cs="Arial"/>
          <w:szCs w:val="18"/>
          <w:lang w:eastAsia="en-IN"/>
        </w:rPr>
        <w:t>are</w:t>
      </w:r>
      <w:r w:rsidR="00D20476" w:rsidRPr="000F3550">
        <w:rPr>
          <w:rFonts w:cs="Arial"/>
          <w:szCs w:val="18"/>
          <w:lang w:eastAsia="en-IN"/>
        </w:rPr>
        <w:t xml:space="preserve"> comparable to other biomass</w:t>
      </w:r>
      <w:r w:rsidR="00C0514E" w:rsidRPr="000F3550">
        <w:rPr>
          <w:rFonts w:cs="Arial"/>
          <w:szCs w:val="18"/>
          <w:lang w:eastAsia="en-IN"/>
        </w:rPr>
        <w:t>es</w:t>
      </w:r>
      <w:r w:rsidR="00D20476" w:rsidRPr="000F3550">
        <w:rPr>
          <w:rFonts w:cs="Arial"/>
          <w:szCs w:val="18"/>
          <w:lang w:eastAsia="en-IN"/>
        </w:rPr>
        <w:t>.</w:t>
      </w:r>
      <w:r w:rsidR="000D445C" w:rsidRPr="000F3550">
        <w:rPr>
          <w:rFonts w:cs="Arial"/>
          <w:szCs w:val="18"/>
          <w:lang w:eastAsia="en-IN"/>
        </w:rPr>
        <w:t xml:space="preserve"> </w:t>
      </w:r>
      <w:r w:rsidR="00574E38" w:rsidRPr="000F3550">
        <w:rPr>
          <w:rFonts w:cs="Arial"/>
          <w:szCs w:val="18"/>
          <w:lang w:eastAsia="en-IN"/>
        </w:rPr>
        <w:t xml:space="preserve">SD </w:t>
      </w:r>
      <w:r w:rsidR="00DD556C" w:rsidRPr="000F3550">
        <w:rPr>
          <w:rFonts w:cs="Arial"/>
          <w:szCs w:val="18"/>
          <w:lang w:eastAsia="en-IN"/>
        </w:rPr>
        <w:t>demonstrates</w:t>
      </w:r>
      <w:r w:rsidR="00574E38" w:rsidRPr="000F3550">
        <w:rPr>
          <w:rFonts w:cs="Arial"/>
          <w:szCs w:val="18"/>
          <w:lang w:eastAsia="en-IN"/>
        </w:rPr>
        <w:t xml:space="preserve"> a higher heating rate and higher yield of gases compared to other biomass</w:t>
      </w:r>
      <w:r w:rsidR="00845AB6" w:rsidRPr="000F3550">
        <w:rPr>
          <w:rFonts w:cs="Arial"/>
          <w:szCs w:val="18"/>
          <w:lang w:eastAsia="en-IN"/>
        </w:rPr>
        <w:t xml:space="preserve"> feedstocks</w:t>
      </w:r>
      <w:r w:rsidR="00574E38" w:rsidRPr="000F3550">
        <w:rPr>
          <w:rFonts w:cs="Arial"/>
          <w:szCs w:val="18"/>
          <w:lang w:eastAsia="en-IN"/>
        </w:rPr>
        <w:t xml:space="preserve">. </w:t>
      </w:r>
      <w:r w:rsidR="000D445C" w:rsidRPr="000F3550">
        <w:rPr>
          <w:rFonts w:cs="Arial"/>
          <w:szCs w:val="18"/>
          <w:lang w:eastAsia="en-IN"/>
        </w:rPr>
        <w:t xml:space="preserve">Hydrogen yield follows </w:t>
      </w:r>
      <w:r w:rsidR="00DD556C" w:rsidRPr="000F3550">
        <w:rPr>
          <w:rFonts w:cs="Arial"/>
          <w:szCs w:val="18"/>
          <w:lang w:eastAsia="en-IN"/>
        </w:rPr>
        <w:t>the</w:t>
      </w:r>
      <w:r w:rsidR="000D445C" w:rsidRPr="000F3550">
        <w:rPr>
          <w:rFonts w:cs="Arial"/>
          <w:szCs w:val="18"/>
          <w:lang w:eastAsia="en-IN"/>
        </w:rPr>
        <w:t xml:space="preserve"> trend:</w:t>
      </w:r>
      <w:r w:rsidR="00D20476" w:rsidRPr="000F3550">
        <w:rPr>
          <w:rFonts w:cs="Arial"/>
          <w:szCs w:val="18"/>
          <w:lang w:eastAsia="en-IN"/>
        </w:rPr>
        <w:t xml:space="preserve"> </w:t>
      </w:r>
      <w:r w:rsidR="000D445C" w:rsidRPr="000F3550">
        <w:t>SD (28 vol.%) &gt; ES (27 vol.%) &gt; RH (26 vol.%) &gt; KA (24 vol.%).</w:t>
      </w:r>
      <w:r w:rsidR="0036475D" w:rsidRPr="000F3550">
        <w:t xml:space="preserve"> The oil analysis shows that </w:t>
      </w:r>
      <w:r w:rsidR="00845AB6" w:rsidRPr="000F3550">
        <w:t xml:space="preserve">bio-oils from </w:t>
      </w:r>
      <w:r w:rsidR="0036475D" w:rsidRPr="000F3550">
        <w:t>K</w:t>
      </w:r>
      <w:r w:rsidR="00EF7086" w:rsidRPr="000F3550">
        <w:t>A</w:t>
      </w:r>
      <w:r w:rsidR="0036475D" w:rsidRPr="000F3550">
        <w:t xml:space="preserve"> and ES </w:t>
      </w:r>
      <w:r w:rsidR="00845AB6" w:rsidRPr="000F3550">
        <w:t>are</w:t>
      </w:r>
      <w:r w:rsidR="0036475D" w:rsidRPr="000F3550">
        <w:t xml:space="preserve"> rich in linear oxygenates</w:t>
      </w:r>
      <w:r w:rsidR="00DD556C" w:rsidRPr="000F3550">
        <w:t xml:space="preserve"> (~53</w:t>
      </w:r>
      <w:r w:rsidR="00C76C50" w:rsidRPr="000F3550">
        <w:t>%)</w:t>
      </w:r>
      <w:r w:rsidR="00845AB6" w:rsidRPr="000F3550">
        <w:t>,</w:t>
      </w:r>
      <w:r w:rsidR="0036475D" w:rsidRPr="000F3550">
        <w:t xml:space="preserve"> while RH and SD </w:t>
      </w:r>
      <w:r w:rsidR="00845AB6" w:rsidRPr="000F3550">
        <w:t>oils a</w:t>
      </w:r>
      <w:r w:rsidR="0036475D" w:rsidRPr="000F3550">
        <w:t>re rich in phenolics</w:t>
      </w:r>
      <w:r w:rsidR="00DD556C" w:rsidRPr="000F3550">
        <w:t xml:space="preserve"> (58-77</w:t>
      </w:r>
      <w:r w:rsidR="00C76C50" w:rsidRPr="000F3550">
        <w:t>%)</w:t>
      </w:r>
      <w:r w:rsidR="00EF7086" w:rsidRPr="000F3550">
        <w:t xml:space="preserve">. The oil from KA shows the highest selectivity </w:t>
      </w:r>
      <w:r w:rsidR="00DD556C" w:rsidRPr="000F3550">
        <w:t>to</w:t>
      </w:r>
      <w:r w:rsidR="00EF7086" w:rsidRPr="000F3550">
        <w:t xml:space="preserve"> nitrogen</w:t>
      </w:r>
      <w:r w:rsidR="00845AB6" w:rsidRPr="000F3550">
        <w:t>-</w:t>
      </w:r>
      <w:r w:rsidR="00EF7086" w:rsidRPr="000F3550">
        <w:t>containing compounds compared to other biomasses. The H</w:t>
      </w:r>
      <w:r w:rsidR="00EF7086" w:rsidRPr="000F3550">
        <w:rPr>
          <w:vertAlign w:val="subscript"/>
        </w:rPr>
        <w:t>2</w:t>
      </w:r>
      <w:r w:rsidR="00EF7086" w:rsidRPr="000F3550">
        <w:t>:CO ratio</w:t>
      </w:r>
      <w:r w:rsidR="00845AB6" w:rsidRPr="000F3550">
        <w:t xml:space="preserve"> (mol/mol)</w:t>
      </w:r>
      <w:r w:rsidR="00EF7086" w:rsidRPr="000F3550">
        <w:t xml:space="preserve"> </w:t>
      </w:r>
      <w:r w:rsidR="00845AB6" w:rsidRPr="000F3550">
        <w:t>in the gas fraction follows the trend</w:t>
      </w:r>
      <w:r w:rsidR="00EF7086" w:rsidRPr="000F3550">
        <w:t>: SD (0.94) &gt;</w:t>
      </w:r>
      <w:r w:rsidR="00DD556C" w:rsidRPr="000F3550">
        <w:t xml:space="preserve"> </w:t>
      </w:r>
      <w:r w:rsidR="00EF7086" w:rsidRPr="000F3550">
        <w:t>RH (0.81) &gt; ES (0.73) &gt; KA (0.59).</w:t>
      </w:r>
      <w:r w:rsidR="002F002D" w:rsidRPr="000F3550">
        <w:t xml:space="preserve"> The hydrogen production </w:t>
      </w:r>
      <w:r w:rsidR="00845AB6" w:rsidRPr="000F3550">
        <w:t xml:space="preserve">among the biomasses </w:t>
      </w:r>
      <w:r w:rsidR="002F002D" w:rsidRPr="000F3550">
        <w:t>follow</w:t>
      </w:r>
      <w:r w:rsidR="0086292E" w:rsidRPr="000F3550">
        <w:t>s</w:t>
      </w:r>
      <w:r w:rsidR="002F002D" w:rsidRPr="000F3550">
        <w:t xml:space="preserve"> </w:t>
      </w:r>
      <w:r w:rsidR="00845AB6" w:rsidRPr="000F3550">
        <w:t>the</w:t>
      </w:r>
      <w:r w:rsidR="002F002D" w:rsidRPr="000F3550">
        <w:t xml:space="preserve"> trend: SD &gt; ES &gt; RS &gt; KA.</w:t>
      </w:r>
      <w:r w:rsidR="0065122F" w:rsidRPr="000F3550">
        <w:t xml:space="preserve"> The</w:t>
      </w:r>
      <w:r w:rsidR="00AF7F44" w:rsidRPr="000F3550">
        <w:t xml:space="preserve"> overall</w:t>
      </w:r>
      <w:r w:rsidR="0065122F" w:rsidRPr="000F3550">
        <w:t xml:space="preserve"> syngas production from macroalgae</w:t>
      </w:r>
      <w:r w:rsidR="00684A00" w:rsidRPr="000F3550">
        <w:t xml:space="preserve"> (KA and ES)</w:t>
      </w:r>
      <w:r w:rsidR="0065122F" w:rsidRPr="000F3550">
        <w:t xml:space="preserve"> </w:t>
      </w:r>
      <w:r w:rsidR="00845AB6" w:rsidRPr="000F3550">
        <w:t>is</w:t>
      </w:r>
      <w:r w:rsidR="00684A00" w:rsidRPr="000F3550">
        <w:t xml:space="preserve"> higher comp</w:t>
      </w:r>
      <w:r w:rsidR="00DD556C" w:rsidRPr="000F3550">
        <w:t xml:space="preserve">ared to </w:t>
      </w:r>
      <w:r w:rsidR="00684A00" w:rsidRPr="000F3550">
        <w:t>RH and SD.</w:t>
      </w:r>
      <w:r w:rsidR="00AF7F44" w:rsidRPr="000F3550">
        <w:t xml:space="preserve"> The future scope of this study includes</w:t>
      </w:r>
      <w:r w:rsidR="00845AB6" w:rsidRPr="000F3550">
        <w:t xml:space="preserve"> the</w:t>
      </w:r>
      <w:r w:rsidR="004B6984" w:rsidRPr="000F3550">
        <w:t xml:space="preserve"> use of appropriate catalysts and</w:t>
      </w:r>
      <w:r w:rsidR="00AF7F44" w:rsidRPr="000F3550">
        <w:t xml:space="preserve"> </w:t>
      </w:r>
      <w:r w:rsidR="009D1884" w:rsidRPr="000F3550">
        <w:t>a systematic</w:t>
      </w:r>
      <w:r w:rsidR="00AF7F44" w:rsidRPr="000F3550">
        <w:t xml:space="preserve"> optimization strategy </w:t>
      </w:r>
      <w:r w:rsidR="009D1884" w:rsidRPr="000F3550">
        <w:t>to</w:t>
      </w:r>
      <w:r w:rsidR="00AF7F44" w:rsidRPr="000F3550">
        <w:t xml:space="preserve"> </w:t>
      </w:r>
      <w:r w:rsidR="009D1884" w:rsidRPr="000F3550">
        <w:t xml:space="preserve">further </w:t>
      </w:r>
      <w:r w:rsidR="00AF7F44" w:rsidRPr="000F3550">
        <w:t>enhanc</w:t>
      </w:r>
      <w:r w:rsidR="009D1884" w:rsidRPr="000F3550">
        <w:t>e</w:t>
      </w:r>
      <w:r w:rsidR="00AF7F44" w:rsidRPr="000F3550">
        <w:t xml:space="preserve"> the hydrogen yield.</w:t>
      </w:r>
    </w:p>
    <w:p w14:paraId="6FAA4342" w14:textId="4BD4201A" w:rsidR="00C52C3C" w:rsidRDefault="00600535" w:rsidP="00D44FE8">
      <w:pPr>
        <w:pStyle w:val="CETReference"/>
        <w:rPr>
          <w:sz w:val="20"/>
        </w:rPr>
      </w:pPr>
      <w:r w:rsidRPr="00D42848">
        <w:rPr>
          <w:sz w:val="20"/>
        </w:rPr>
        <w:t>References</w:t>
      </w:r>
    </w:p>
    <w:p w14:paraId="57216A4B" w14:textId="172668CB" w:rsidR="00E913FB" w:rsidRDefault="00E913FB" w:rsidP="00E913FB">
      <w:pPr>
        <w:pStyle w:val="CETReferencetext"/>
        <w:rPr>
          <w:rFonts w:cs="Arial"/>
          <w:color w:val="222222"/>
          <w:szCs w:val="18"/>
          <w:shd w:val="clear" w:color="auto" w:fill="FFFFFF"/>
        </w:rPr>
      </w:pPr>
      <w:r w:rsidRPr="00A33EEC">
        <w:rPr>
          <w:rFonts w:cs="Arial"/>
          <w:color w:val="222222"/>
          <w:szCs w:val="18"/>
          <w:shd w:val="clear" w:color="auto" w:fill="FFFFFF"/>
        </w:rPr>
        <w:t>Balasundram, V., Ibrahim, N., Kasmani, R. M., Hamid, M. K. A., Isha, R</w:t>
      </w:r>
      <w:r w:rsidR="00861D88">
        <w:rPr>
          <w:rFonts w:cs="Arial"/>
          <w:color w:val="222222"/>
          <w:szCs w:val="18"/>
          <w:shd w:val="clear" w:color="auto" w:fill="FFFFFF"/>
        </w:rPr>
        <w:t>., Hasbullah, H., &amp; Ali, R. R., 2017,</w:t>
      </w:r>
      <w:r w:rsidRPr="00A33EEC">
        <w:rPr>
          <w:rFonts w:cs="Arial"/>
          <w:color w:val="222222"/>
          <w:szCs w:val="18"/>
          <w:shd w:val="clear" w:color="auto" w:fill="FFFFFF"/>
        </w:rPr>
        <w:t xml:space="preserve"> Catalytic Pyrolysis of Coconut Copra and Rice Husk for Possible Maximum Production of Bio-Oil. </w:t>
      </w:r>
      <w:r w:rsidRPr="00142CFB">
        <w:rPr>
          <w:rFonts w:cs="Arial"/>
          <w:iCs/>
          <w:color w:val="222222"/>
          <w:szCs w:val="18"/>
          <w:shd w:val="clear" w:color="auto" w:fill="FFFFFF"/>
        </w:rPr>
        <w:t>Chemical Engineering Transactions</w:t>
      </w:r>
      <w:r w:rsidRPr="00142CFB">
        <w:rPr>
          <w:rFonts w:cs="Arial"/>
          <w:color w:val="222222"/>
          <w:szCs w:val="18"/>
          <w:shd w:val="clear" w:color="auto" w:fill="FFFFFF"/>
        </w:rPr>
        <w:t>,</w:t>
      </w:r>
      <w:r w:rsidRPr="00A33EEC">
        <w:rPr>
          <w:rFonts w:cs="Arial"/>
          <w:color w:val="222222"/>
          <w:szCs w:val="18"/>
          <w:shd w:val="clear" w:color="auto" w:fill="FFFFFF"/>
        </w:rPr>
        <w:t> </w:t>
      </w:r>
      <w:r w:rsidRPr="00A33EEC">
        <w:rPr>
          <w:rFonts w:cs="Arial"/>
          <w:i/>
          <w:iCs/>
          <w:color w:val="222222"/>
          <w:szCs w:val="18"/>
          <w:shd w:val="clear" w:color="auto" w:fill="FFFFFF"/>
        </w:rPr>
        <w:t>56</w:t>
      </w:r>
      <w:r w:rsidRPr="00A33EEC">
        <w:rPr>
          <w:rFonts w:cs="Arial"/>
          <w:color w:val="222222"/>
          <w:szCs w:val="18"/>
          <w:shd w:val="clear" w:color="auto" w:fill="FFFFFF"/>
        </w:rPr>
        <w:t>, 1177-1182.</w:t>
      </w:r>
    </w:p>
    <w:p w14:paraId="02B29116" w14:textId="7E0371E6" w:rsidR="00E913FB" w:rsidRDefault="00E913FB" w:rsidP="00E913FB">
      <w:pPr>
        <w:pStyle w:val="CETReferencetext"/>
        <w:rPr>
          <w:szCs w:val="18"/>
        </w:rPr>
      </w:pPr>
      <w:r w:rsidRPr="00A33EEC">
        <w:rPr>
          <w:szCs w:val="18"/>
        </w:rPr>
        <w:t>Bioenergy – IEA, Global hydrogen review 2023 &lt;iea.blob.core.windows.net/assets/ecdfc3bb-d212-4a4c-9ff7-6ce5b1e19cef/GlobalHydrogenReview2023.pdf&gt; accessed: 10-01-2024.</w:t>
      </w:r>
    </w:p>
    <w:p w14:paraId="372FB015" w14:textId="0DAA677F" w:rsidR="00E913FB" w:rsidRPr="00A33EEC" w:rsidRDefault="00E913FB" w:rsidP="00E913FB">
      <w:pPr>
        <w:pStyle w:val="CETReferencetext"/>
        <w:rPr>
          <w:rStyle w:val="title-text"/>
          <w:szCs w:val="18"/>
        </w:rPr>
      </w:pPr>
      <w:r w:rsidRPr="00A33EEC">
        <w:rPr>
          <w:rFonts w:cs="Arial"/>
          <w:color w:val="222222"/>
          <w:szCs w:val="18"/>
          <w:shd w:val="clear" w:color="auto" w:fill="FFFFFF"/>
        </w:rPr>
        <w:t>Gautam, R., Shyam, S., Reddy, B. R., Govindaraju, K., &amp; Vinu, R.</w:t>
      </w:r>
      <w:r w:rsidR="00861D88">
        <w:rPr>
          <w:rFonts w:cs="Arial"/>
          <w:color w:val="222222"/>
          <w:szCs w:val="18"/>
          <w:shd w:val="clear" w:color="auto" w:fill="FFFFFF"/>
        </w:rPr>
        <w:t>, 2019,</w:t>
      </w:r>
      <w:r w:rsidRPr="00A33EEC">
        <w:rPr>
          <w:rFonts w:cs="Arial"/>
          <w:color w:val="222222"/>
          <w:szCs w:val="18"/>
          <w:shd w:val="clear" w:color="auto" w:fill="FFFFFF"/>
        </w:rPr>
        <w:t xml:space="preserve"> Microwave-assisted pyrolysis and analytical fast pyrolysis of macroalgae: product analysis and effect of heating mechanism. </w:t>
      </w:r>
      <w:r w:rsidRPr="00142CFB">
        <w:rPr>
          <w:rFonts w:cs="Arial"/>
          <w:iCs/>
          <w:color w:val="222222"/>
          <w:szCs w:val="18"/>
          <w:shd w:val="clear" w:color="auto" w:fill="FFFFFF"/>
        </w:rPr>
        <w:t>Sustainable Energy &amp; Fuels</w:t>
      </w:r>
      <w:r w:rsidRPr="00142CFB">
        <w:rPr>
          <w:rFonts w:cs="Arial"/>
          <w:color w:val="222222"/>
          <w:szCs w:val="18"/>
          <w:shd w:val="clear" w:color="auto" w:fill="FFFFFF"/>
        </w:rPr>
        <w:t>,</w:t>
      </w:r>
      <w:r w:rsidRPr="00A33EEC">
        <w:rPr>
          <w:rFonts w:cs="Arial"/>
          <w:color w:val="222222"/>
          <w:szCs w:val="18"/>
          <w:shd w:val="clear" w:color="auto" w:fill="FFFFFF"/>
        </w:rPr>
        <w:t> </w:t>
      </w:r>
      <w:r w:rsidRPr="00A33EEC">
        <w:rPr>
          <w:rFonts w:cs="Arial"/>
          <w:i/>
          <w:iCs/>
          <w:color w:val="222222"/>
          <w:szCs w:val="18"/>
          <w:shd w:val="clear" w:color="auto" w:fill="FFFFFF"/>
        </w:rPr>
        <w:t>3</w:t>
      </w:r>
      <w:r w:rsidRPr="00A33EEC">
        <w:rPr>
          <w:rFonts w:cs="Arial"/>
          <w:color w:val="222222"/>
          <w:szCs w:val="18"/>
          <w:shd w:val="clear" w:color="auto" w:fill="FFFFFF"/>
        </w:rPr>
        <w:t>(11), 3009-3020.</w:t>
      </w:r>
    </w:p>
    <w:p w14:paraId="285D8973" w14:textId="6C6B61B0" w:rsidR="00E913FB" w:rsidRDefault="00E913FB" w:rsidP="00E913FB">
      <w:pPr>
        <w:pStyle w:val="CETReferencetext"/>
        <w:rPr>
          <w:szCs w:val="18"/>
        </w:rPr>
      </w:pPr>
      <w:r w:rsidRPr="00A33EEC">
        <w:rPr>
          <w:szCs w:val="18"/>
        </w:rPr>
        <w:t>GIS report</w:t>
      </w:r>
      <w:r w:rsidR="00665EE3">
        <w:rPr>
          <w:szCs w:val="18"/>
        </w:rPr>
        <w:t xml:space="preserve"> (Geopolitical Intelligence Services)</w:t>
      </w:r>
      <w:r w:rsidRPr="00A33EEC">
        <w:rPr>
          <w:szCs w:val="18"/>
        </w:rPr>
        <w:t>, 2023, Is green hydrogen the fuel of the future? &lt;gisreportsonline.com/r/green-hydrogen/&gt; accessed: 10-01-2024.</w:t>
      </w:r>
    </w:p>
    <w:p w14:paraId="0B2ABF41" w14:textId="1636BBCE" w:rsidR="007A241F" w:rsidRPr="00A33EEC" w:rsidRDefault="007A241F" w:rsidP="007A241F">
      <w:pPr>
        <w:pStyle w:val="CETReferencetext"/>
        <w:rPr>
          <w:rFonts w:cs="Arial"/>
          <w:color w:val="222222"/>
          <w:szCs w:val="18"/>
          <w:shd w:val="clear" w:color="auto" w:fill="FFFFFF"/>
        </w:rPr>
      </w:pPr>
      <w:r w:rsidRPr="00A33EEC">
        <w:rPr>
          <w:rFonts w:cs="Arial"/>
          <w:color w:val="222222"/>
          <w:szCs w:val="18"/>
          <w:shd w:val="clear" w:color="auto" w:fill="FFFFFF"/>
        </w:rPr>
        <w:t xml:space="preserve">Hong, Y., Chen, W., Luo, X., </w:t>
      </w:r>
      <w:r w:rsidR="00E50004">
        <w:rPr>
          <w:rFonts w:cs="Arial"/>
          <w:color w:val="222222"/>
          <w:szCs w:val="18"/>
          <w:shd w:val="clear" w:color="auto" w:fill="FFFFFF"/>
        </w:rPr>
        <w:t>Pang, C., Lester, E., &amp; Wu, T., 2017,</w:t>
      </w:r>
      <w:r w:rsidRPr="00A33EEC">
        <w:rPr>
          <w:rFonts w:cs="Arial"/>
          <w:color w:val="222222"/>
          <w:szCs w:val="18"/>
          <w:shd w:val="clear" w:color="auto" w:fill="FFFFFF"/>
        </w:rPr>
        <w:t xml:space="preserve"> Microwave-enhanced pyrolysis of macroalgae and microalgae for syngas production</w:t>
      </w:r>
      <w:r w:rsidRPr="00142CFB">
        <w:rPr>
          <w:rFonts w:cs="Arial"/>
          <w:color w:val="222222"/>
          <w:szCs w:val="18"/>
          <w:shd w:val="clear" w:color="auto" w:fill="FFFFFF"/>
        </w:rPr>
        <w:t>. </w:t>
      </w:r>
      <w:r w:rsidRPr="00142CFB">
        <w:rPr>
          <w:rFonts w:cs="Arial"/>
          <w:iCs/>
          <w:color w:val="222222"/>
          <w:szCs w:val="18"/>
          <w:shd w:val="clear" w:color="auto" w:fill="FFFFFF"/>
        </w:rPr>
        <w:t xml:space="preserve">Bioresource </w:t>
      </w:r>
      <w:r w:rsidR="00A15FE6">
        <w:rPr>
          <w:rFonts w:cs="Arial"/>
          <w:iCs/>
          <w:color w:val="222222"/>
          <w:szCs w:val="18"/>
          <w:shd w:val="clear" w:color="auto" w:fill="FFFFFF"/>
        </w:rPr>
        <w:t>T</w:t>
      </w:r>
      <w:r w:rsidRPr="00142CFB">
        <w:rPr>
          <w:rFonts w:cs="Arial"/>
          <w:iCs/>
          <w:color w:val="222222"/>
          <w:szCs w:val="18"/>
          <w:shd w:val="clear" w:color="auto" w:fill="FFFFFF"/>
        </w:rPr>
        <w:t>echnology</w:t>
      </w:r>
      <w:r w:rsidRPr="00142CFB">
        <w:rPr>
          <w:rFonts w:cs="Arial"/>
          <w:color w:val="222222"/>
          <w:szCs w:val="18"/>
          <w:shd w:val="clear" w:color="auto" w:fill="FFFFFF"/>
        </w:rPr>
        <w:t>,</w:t>
      </w:r>
      <w:r w:rsidRPr="00A33EEC">
        <w:rPr>
          <w:rFonts w:cs="Arial"/>
          <w:color w:val="222222"/>
          <w:szCs w:val="18"/>
          <w:shd w:val="clear" w:color="auto" w:fill="FFFFFF"/>
        </w:rPr>
        <w:t> </w:t>
      </w:r>
      <w:r w:rsidRPr="00A33EEC">
        <w:rPr>
          <w:rFonts w:cs="Arial"/>
          <w:i/>
          <w:iCs/>
          <w:color w:val="222222"/>
          <w:szCs w:val="18"/>
          <w:shd w:val="clear" w:color="auto" w:fill="FFFFFF"/>
        </w:rPr>
        <w:t>237</w:t>
      </w:r>
      <w:r w:rsidRPr="00A33EEC">
        <w:rPr>
          <w:rFonts w:cs="Arial"/>
          <w:color w:val="222222"/>
          <w:szCs w:val="18"/>
          <w:shd w:val="clear" w:color="auto" w:fill="FFFFFF"/>
        </w:rPr>
        <w:t>, 47-56.</w:t>
      </w:r>
    </w:p>
    <w:p w14:paraId="63E1FA11" w14:textId="1BD0A388" w:rsidR="007A241F" w:rsidRPr="00A33EEC" w:rsidRDefault="007A241F" w:rsidP="007A241F">
      <w:pPr>
        <w:pStyle w:val="CETReferencetext"/>
        <w:rPr>
          <w:rFonts w:cs="Arial"/>
          <w:color w:val="222222"/>
          <w:szCs w:val="18"/>
          <w:shd w:val="clear" w:color="auto" w:fill="FFFFFF"/>
        </w:rPr>
      </w:pPr>
      <w:r w:rsidRPr="00A33EEC">
        <w:rPr>
          <w:rFonts w:cs="Arial"/>
          <w:color w:val="222222"/>
          <w:szCs w:val="18"/>
          <w:shd w:val="clear" w:color="auto" w:fill="FFFFFF"/>
        </w:rPr>
        <w:t>Mishra, K., Siwal, S. S.,</w:t>
      </w:r>
      <w:r w:rsidR="00590B1C">
        <w:rPr>
          <w:rFonts w:cs="Arial"/>
          <w:color w:val="222222"/>
          <w:szCs w:val="18"/>
          <w:shd w:val="clear" w:color="auto" w:fill="FFFFFF"/>
        </w:rPr>
        <w:t xml:space="preserve"> Saini, A. K., &amp; Thakur, V. K., 2023,</w:t>
      </w:r>
      <w:r w:rsidRPr="00A33EEC">
        <w:rPr>
          <w:rFonts w:cs="Arial"/>
          <w:color w:val="222222"/>
          <w:szCs w:val="18"/>
          <w:shd w:val="clear" w:color="auto" w:fill="FFFFFF"/>
        </w:rPr>
        <w:t xml:space="preserve"> Recent update on gasification and pyrolysis processes of lignocellulosic and algal biomass for hydrogen production</w:t>
      </w:r>
      <w:r w:rsidRPr="00142CFB">
        <w:rPr>
          <w:rFonts w:cs="Arial"/>
          <w:color w:val="222222"/>
          <w:szCs w:val="18"/>
          <w:shd w:val="clear" w:color="auto" w:fill="FFFFFF"/>
        </w:rPr>
        <w:t>. </w:t>
      </w:r>
      <w:r w:rsidRPr="00142CFB">
        <w:rPr>
          <w:rFonts w:cs="Arial"/>
          <w:iCs/>
          <w:color w:val="222222"/>
          <w:szCs w:val="18"/>
          <w:shd w:val="clear" w:color="auto" w:fill="FFFFFF"/>
        </w:rPr>
        <w:t>Fuel</w:t>
      </w:r>
      <w:r w:rsidRPr="00142CFB">
        <w:rPr>
          <w:rFonts w:cs="Arial"/>
          <w:color w:val="222222"/>
          <w:szCs w:val="18"/>
          <w:shd w:val="clear" w:color="auto" w:fill="FFFFFF"/>
        </w:rPr>
        <w:t>,</w:t>
      </w:r>
      <w:r w:rsidRPr="00A33EEC">
        <w:rPr>
          <w:rFonts w:cs="Arial"/>
          <w:color w:val="222222"/>
          <w:szCs w:val="18"/>
          <w:shd w:val="clear" w:color="auto" w:fill="FFFFFF"/>
        </w:rPr>
        <w:t> </w:t>
      </w:r>
      <w:r w:rsidRPr="00A33EEC">
        <w:rPr>
          <w:rFonts w:cs="Arial"/>
          <w:i/>
          <w:iCs/>
          <w:color w:val="222222"/>
          <w:szCs w:val="18"/>
          <w:shd w:val="clear" w:color="auto" w:fill="FFFFFF"/>
        </w:rPr>
        <w:t>332</w:t>
      </w:r>
      <w:r w:rsidRPr="00A33EEC">
        <w:rPr>
          <w:rFonts w:cs="Arial"/>
          <w:color w:val="222222"/>
          <w:szCs w:val="18"/>
          <w:shd w:val="clear" w:color="auto" w:fill="FFFFFF"/>
        </w:rPr>
        <w:t>, 126169.</w:t>
      </w:r>
    </w:p>
    <w:p w14:paraId="6F43401B" w14:textId="3F14CF91" w:rsidR="007A241F" w:rsidRPr="00A33EEC" w:rsidRDefault="007A241F" w:rsidP="007A241F">
      <w:pPr>
        <w:pStyle w:val="CETReferencetext"/>
        <w:rPr>
          <w:szCs w:val="18"/>
        </w:rPr>
      </w:pPr>
      <w:r w:rsidRPr="00A33EEC">
        <w:rPr>
          <w:rFonts w:cs="Arial"/>
          <w:color w:val="222222"/>
          <w:szCs w:val="18"/>
          <w:shd w:val="clear" w:color="auto" w:fill="FFFFFF"/>
        </w:rPr>
        <w:t>Mukarakate, C., McBrayer, J. D., Evans, T. J., Budhi, S., Robichaud, D. J., Iisa, K.,</w:t>
      </w:r>
      <w:r w:rsidR="00010C21">
        <w:rPr>
          <w:rFonts w:cs="Arial"/>
          <w:color w:val="222222"/>
          <w:szCs w:val="18"/>
          <w:shd w:val="clear" w:color="auto" w:fill="FFFFFF"/>
        </w:rPr>
        <w:t xml:space="preserve"> ten Dam J., Watson M.J., Baldwin, R.M.,</w:t>
      </w:r>
      <w:r w:rsidRPr="00A33EEC">
        <w:rPr>
          <w:rFonts w:cs="Arial"/>
          <w:color w:val="222222"/>
          <w:szCs w:val="18"/>
          <w:shd w:val="clear" w:color="auto" w:fill="FFFFFF"/>
        </w:rPr>
        <w:t xml:space="preserve"> Nimlos, M. R.</w:t>
      </w:r>
      <w:r w:rsidR="00590B1C">
        <w:rPr>
          <w:rFonts w:cs="Arial"/>
          <w:color w:val="222222"/>
          <w:szCs w:val="18"/>
          <w:shd w:val="clear" w:color="auto" w:fill="FFFFFF"/>
        </w:rPr>
        <w:t>, 2015,</w:t>
      </w:r>
      <w:r w:rsidRPr="00A33EEC">
        <w:rPr>
          <w:rFonts w:cs="Arial"/>
          <w:color w:val="222222"/>
          <w:szCs w:val="18"/>
          <w:shd w:val="clear" w:color="auto" w:fill="FFFFFF"/>
        </w:rPr>
        <w:t xml:space="preserve"> Catalytic fast pyrolysis of biomass: the reactions of water and aromatic intermediates produces phenols. </w:t>
      </w:r>
      <w:r w:rsidRPr="00142CFB">
        <w:rPr>
          <w:rFonts w:cs="Arial"/>
          <w:iCs/>
          <w:color w:val="222222"/>
          <w:szCs w:val="18"/>
          <w:shd w:val="clear" w:color="auto" w:fill="FFFFFF"/>
        </w:rPr>
        <w:t>Green Chemistry</w:t>
      </w:r>
      <w:r w:rsidRPr="00142CFB">
        <w:rPr>
          <w:rFonts w:cs="Arial"/>
          <w:color w:val="222222"/>
          <w:szCs w:val="18"/>
          <w:shd w:val="clear" w:color="auto" w:fill="FFFFFF"/>
        </w:rPr>
        <w:t>,</w:t>
      </w:r>
      <w:r w:rsidRPr="00A33EEC">
        <w:rPr>
          <w:rFonts w:cs="Arial"/>
          <w:color w:val="222222"/>
          <w:szCs w:val="18"/>
          <w:shd w:val="clear" w:color="auto" w:fill="FFFFFF"/>
        </w:rPr>
        <w:t> </w:t>
      </w:r>
      <w:r w:rsidRPr="00A33EEC">
        <w:rPr>
          <w:rFonts w:cs="Arial"/>
          <w:i/>
          <w:iCs/>
          <w:color w:val="222222"/>
          <w:szCs w:val="18"/>
          <w:shd w:val="clear" w:color="auto" w:fill="FFFFFF"/>
        </w:rPr>
        <w:t>17</w:t>
      </w:r>
      <w:r w:rsidRPr="00A33EEC">
        <w:rPr>
          <w:rFonts w:cs="Arial"/>
          <w:color w:val="222222"/>
          <w:szCs w:val="18"/>
          <w:shd w:val="clear" w:color="auto" w:fill="FFFFFF"/>
        </w:rPr>
        <w:t>(8), 4217-4227.</w:t>
      </w:r>
    </w:p>
    <w:p w14:paraId="01FF3529" w14:textId="3F856F16" w:rsidR="007A241F" w:rsidRPr="00A33EEC" w:rsidRDefault="007A241F" w:rsidP="007A241F">
      <w:pPr>
        <w:pStyle w:val="CETReferencetext"/>
        <w:rPr>
          <w:szCs w:val="18"/>
        </w:rPr>
      </w:pPr>
      <w:r w:rsidRPr="00A33EEC">
        <w:rPr>
          <w:rFonts w:cs="Arial"/>
          <w:color w:val="222222"/>
          <w:szCs w:val="18"/>
          <w:shd w:val="clear" w:color="auto" w:fill="FFFFFF"/>
        </w:rPr>
        <w:t>Robinson, J. P., Kingman, S. W., Barranco, R.,</w:t>
      </w:r>
      <w:r w:rsidR="00590B1C">
        <w:rPr>
          <w:rFonts w:cs="Arial"/>
          <w:color w:val="222222"/>
          <w:szCs w:val="18"/>
          <w:shd w:val="clear" w:color="auto" w:fill="FFFFFF"/>
        </w:rPr>
        <w:t xml:space="preserve"> Snape, C. E., &amp; Al-Sayegh, H., 2010,</w:t>
      </w:r>
      <w:r w:rsidRPr="00A33EEC">
        <w:rPr>
          <w:rFonts w:cs="Arial"/>
          <w:color w:val="222222"/>
          <w:szCs w:val="18"/>
          <w:shd w:val="clear" w:color="auto" w:fill="FFFFFF"/>
        </w:rPr>
        <w:t xml:space="preserve"> Microwave pyrolysis of wood pellets. </w:t>
      </w:r>
      <w:r w:rsidRPr="00142CFB">
        <w:rPr>
          <w:rFonts w:cs="Arial"/>
          <w:iCs/>
          <w:color w:val="222222"/>
          <w:szCs w:val="18"/>
          <w:shd w:val="clear" w:color="auto" w:fill="FFFFFF"/>
        </w:rPr>
        <w:t>Industrial &amp; Engineering Chemistry Research</w:t>
      </w:r>
      <w:r w:rsidRPr="00142CFB">
        <w:rPr>
          <w:rFonts w:cs="Arial"/>
          <w:color w:val="222222"/>
          <w:szCs w:val="18"/>
          <w:shd w:val="clear" w:color="auto" w:fill="FFFFFF"/>
        </w:rPr>
        <w:t>,</w:t>
      </w:r>
      <w:r w:rsidRPr="00A33EEC">
        <w:rPr>
          <w:rFonts w:cs="Arial"/>
          <w:color w:val="222222"/>
          <w:szCs w:val="18"/>
          <w:shd w:val="clear" w:color="auto" w:fill="FFFFFF"/>
        </w:rPr>
        <w:t> </w:t>
      </w:r>
      <w:r w:rsidRPr="00A33EEC">
        <w:rPr>
          <w:rFonts w:cs="Arial"/>
          <w:i/>
          <w:iCs/>
          <w:color w:val="222222"/>
          <w:szCs w:val="18"/>
          <w:shd w:val="clear" w:color="auto" w:fill="FFFFFF"/>
        </w:rPr>
        <w:t>49</w:t>
      </w:r>
      <w:r w:rsidRPr="00A33EEC">
        <w:rPr>
          <w:rFonts w:cs="Arial"/>
          <w:color w:val="222222"/>
          <w:szCs w:val="18"/>
          <w:shd w:val="clear" w:color="auto" w:fill="FFFFFF"/>
        </w:rPr>
        <w:t>(2), 459-463.</w:t>
      </w:r>
    </w:p>
    <w:p w14:paraId="36A7285B" w14:textId="6FF45D9B" w:rsidR="007A241F" w:rsidRPr="00D52A91" w:rsidRDefault="007A241F" w:rsidP="007A241F">
      <w:pPr>
        <w:pStyle w:val="CETReferencetext"/>
        <w:rPr>
          <w:rFonts w:cs="Arial"/>
          <w:color w:val="222222"/>
          <w:sz w:val="16"/>
          <w:szCs w:val="18"/>
          <w:shd w:val="clear" w:color="auto" w:fill="FFFFFF"/>
        </w:rPr>
      </w:pPr>
      <w:r w:rsidRPr="00D52A91">
        <w:rPr>
          <w:rFonts w:cs="Arial"/>
          <w:color w:val="222222"/>
          <w:shd w:val="clear" w:color="auto" w:fill="FFFFFF"/>
        </w:rPr>
        <w:t>Shoja, M., Babatabar, M. A., Tavasoli, A., &amp; Ataei, A.</w:t>
      </w:r>
      <w:r w:rsidR="00B13ACB">
        <w:rPr>
          <w:rFonts w:cs="Arial"/>
          <w:color w:val="222222"/>
          <w:shd w:val="clear" w:color="auto" w:fill="FFFFFF"/>
        </w:rPr>
        <w:t>,</w:t>
      </w:r>
      <w:r w:rsidRPr="00D52A91">
        <w:rPr>
          <w:rFonts w:cs="Arial"/>
          <w:color w:val="222222"/>
          <w:shd w:val="clear" w:color="auto" w:fill="FFFFFF"/>
        </w:rPr>
        <w:t xml:space="preserve"> 2013</w:t>
      </w:r>
      <w:r w:rsidR="00B13ACB">
        <w:rPr>
          <w:rFonts w:cs="Arial"/>
          <w:color w:val="222222"/>
          <w:shd w:val="clear" w:color="auto" w:fill="FFFFFF"/>
        </w:rPr>
        <w:t>as</w:t>
      </w:r>
      <w:r w:rsidRPr="00D52A91">
        <w:rPr>
          <w:rFonts w:cs="Arial"/>
          <w:color w:val="222222"/>
          <w:shd w:val="clear" w:color="auto" w:fill="FFFFFF"/>
        </w:rPr>
        <w:t>. Production of hydrogen and syngas via pyrolysis of bagasse in a dual bed reactor. </w:t>
      </w:r>
      <w:r w:rsidRPr="00142CFB">
        <w:rPr>
          <w:rFonts w:cs="Arial"/>
          <w:iCs/>
          <w:color w:val="222222"/>
          <w:shd w:val="clear" w:color="auto" w:fill="FFFFFF"/>
        </w:rPr>
        <w:t xml:space="preserve">Journal of </w:t>
      </w:r>
      <w:r w:rsidR="00A15FE6">
        <w:rPr>
          <w:rFonts w:cs="Arial"/>
          <w:iCs/>
          <w:color w:val="222222"/>
          <w:shd w:val="clear" w:color="auto" w:fill="FFFFFF"/>
        </w:rPr>
        <w:t>E</w:t>
      </w:r>
      <w:r w:rsidRPr="00142CFB">
        <w:rPr>
          <w:rFonts w:cs="Arial"/>
          <w:iCs/>
          <w:color w:val="222222"/>
          <w:shd w:val="clear" w:color="auto" w:fill="FFFFFF"/>
        </w:rPr>
        <w:t xml:space="preserve">nergy </w:t>
      </w:r>
      <w:r w:rsidR="00A15FE6">
        <w:rPr>
          <w:rFonts w:cs="Arial"/>
          <w:iCs/>
          <w:color w:val="222222"/>
          <w:shd w:val="clear" w:color="auto" w:fill="FFFFFF"/>
        </w:rPr>
        <w:t>C</w:t>
      </w:r>
      <w:r w:rsidRPr="00142CFB">
        <w:rPr>
          <w:rFonts w:cs="Arial"/>
          <w:iCs/>
          <w:color w:val="222222"/>
          <w:shd w:val="clear" w:color="auto" w:fill="FFFFFF"/>
        </w:rPr>
        <w:t>hemistry</w:t>
      </w:r>
      <w:r w:rsidRPr="00142CFB">
        <w:rPr>
          <w:rFonts w:cs="Arial"/>
          <w:color w:val="222222"/>
          <w:shd w:val="clear" w:color="auto" w:fill="FFFFFF"/>
        </w:rPr>
        <w:t>,</w:t>
      </w:r>
      <w:r w:rsidRPr="00D52A91">
        <w:rPr>
          <w:rFonts w:cs="Arial"/>
          <w:color w:val="222222"/>
          <w:shd w:val="clear" w:color="auto" w:fill="FFFFFF"/>
        </w:rPr>
        <w:t> </w:t>
      </w:r>
      <w:r w:rsidRPr="00D52A91">
        <w:rPr>
          <w:rFonts w:cs="Arial"/>
          <w:i/>
          <w:iCs/>
          <w:color w:val="222222"/>
          <w:shd w:val="clear" w:color="auto" w:fill="FFFFFF"/>
        </w:rPr>
        <w:t>22</w:t>
      </w:r>
      <w:r w:rsidRPr="00D52A91">
        <w:rPr>
          <w:rFonts w:cs="Arial"/>
          <w:color w:val="222222"/>
          <w:shd w:val="clear" w:color="auto" w:fill="FFFFFF"/>
        </w:rPr>
        <w:t>(4), 639-644.</w:t>
      </w:r>
    </w:p>
    <w:p w14:paraId="45C40952" w14:textId="38926E3E" w:rsidR="007A241F" w:rsidRPr="00A33EEC" w:rsidRDefault="007A241F" w:rsidP="007A241F">
      <w:pPr>
        <w:pStyle w:val="CETReferencetext"/>
        <w:rPr>
          <w:rFonts w:cs="Arial"/>
          <w:b/>
          <w:spacing w:val="-7"/>
          <w:szCs w:val="18"/>
        </w:rPr>
      </w:pPr>
      <w:r w:rsidRPr="00A33EEC">
        <w:rPr>
          <w:rFonts w:cs="Arial"/>
          <w:color w:val="222222"/>
          <w:szCs w:val="18"/>
          <w:shd w:val="clear" w:color="auto" w:fill="FFFFFF"/>
        </w:rPr>
        <w:t>Suriapparao, D. V., Boruah, B., Raja, D., &amp; Vinu, R</w:t>
      </w:r>
      <w:r w:rsidR="00590B1C">
        <w:rPr>
          <w:rFonts w:cs="Arial"/>
          <w:color w:val="222222"/>
          <w:szCs w:val="18"/>
          <w:shd w:val="clear" w:color="auto" w:fill="FFFFFF"/>
        </w:rPr>
        <w:t>., 2018,</w:t>
      </w:r>
      <w:r w:rsidRPr="00A33EEC">
        <w:rPr>
          <w:rFonts w:cs="Arial"/>
          <w:color w:val="222222"/>
          <w:szCs w:val="18"/>
          <w:shd w:val="clear" w:color="auto" w:fill="FFFFFF"/>
        </w:rPr>
        <w:t xml:space="preserve"> Microwave assisted co-pyrolysis of biomasses with polypropylene and polystyrene for high quality bio-oil production. </w:t>
      </w:r>
      <w:r w:rsidRPr="00142CFB">
        <w:rPr>
          <w:rFonts w:cs="Arial"/>
          <w:iCs/>
          <w:color w:val="222222"/>
          <w:szCs w:val="18"/>
          <w:shd w:val="clear" w:color="auto" w:fill="FFFFFF"/>
        </w:rPr>
        <w:t>Fuel Processing Technology</w:t>
      </w:r>
      <w:r w:rsidRPr="00142CFB">
        <w:rPr>
          <w:rFonts w:cs="Arial"/>
          <w:color w:val="222222"/>
          <w:szCs w:val="18"/>
          <w:shd w:val="clear" w:color="auto" w:fill="FFFFFF"/>
        </w:rPr>
        <w:t>,</w:t>
      </w:r>
      <w:r w:rsidRPr="00A33EEC">
        <w:rPr>
          <w:rFonts w:cs="Arial"/>
          <w:color w:val="222222"/>
          <w:szCs w:val="18"/>
          <w:shd w:val="clear" w:color="auto" w:fill="FFFFFF"/>
        </w:rPr>
        <w:t> </w:t>
      </w:r>
      <w:r w:rsidRPr="00A33EEC">
        <w:rPr>
          <w:rFonts w:cs="Arial"/>
          <w:i/>
          <w:iCs/>
          <w:color w:val="222222"/>
          <w:szCs w:val="18"/>
          <w:shd w:val="clear" w:color="auto" w:fill="FFFFFF"/>
        </w:rPr>
        <w:t>175</w:t>
      </w:r>
      <w:r w:rsidRPr="00A33EEC">
        <w:rPr>
          <w:rFonts w:cs="Arial"/>
          <w:color w:val="222222"/>
          <w:szCs w:val="18"/>
          <w:shd w:val="clear" w:color="auto" w:fill="FFFFFF"/>
        </w:rPr>
        <w:t>, 64-75.</w:t>
      </w:r>
    </w:p>
    <w:p w14:paraId="0CA66C9A" w14:textId="70DBAF13" w:rsidR="007A241F" w:rsidRDefault="007A241F" w:rsidP="007A241F">
      <w:pPr>
        <w:pStyle w:val="CETReferencetext"/>
        <w:rPr>
          <w:rFonts w:cs="Arial"/>
          <w:color w:val="222222"/>
          <w:szCs w:val="18"/>
          <w:shd w:val="clear" w:color="auto" w:fill="FFFFFF"/>
        </w:rPr>
      </w:pPr>
      <w:r w:rsidRPr="00A33EEC">
        <w:rPr>
          <w:rFonts w:cs="Arial"/>
          <w:color w:val="222222"/>
          <w:szCs w:val="18"/>
          <w:shd w:val="clear" w:color="auto" w:fill="FFFFFF"/>
        </w:rPr>
        <w:t>Tiwari, M., Dirbeba, M. J., Lehmu</w:t>
      </w:r>
      <w:r w:rsidR="00590B1C">
        <w:rPr>
          <w:rFonts w:cs="Arial"/>
          <w:color w:val="222222"/>
          <w:szCs w:val="18"/>
          <w:shd w:val="clear" w:color="auto" w:fill="FFFFFF"/>
        </w:rPr>
        <w:t>sto, J., Yrjas, P., &amp; Vinu, R., 2024,</w:t>
      </w:r>
      <w:r w:rsidRPr="00A33EEC">
        <w:rPr>
          <w:rFonts w:cs="Arial"/>
          <w:color w:val="222222"/>
          <w:szCs w:val="18"/>
          <w:shd w:val="clear" w:color="auto" w:fill="FFFFFF"/>
        </w:rPr>
        <w:t xml:space="preserve"> Analytical and Applied Pyrolysis of Challenging Biomass Feedstocks: Effect of Pyrolysis Conditions on Product Yield and Composition. </w:t>
      </w:r>
      <w:r w:rsidRPr="00142CFB">
        <w:rPr>
          <w:rFonts w:cs="Arial"/>
          <w:iCs/>
          <w:color w:val="222222"/>
          <w:szCs w:val="18"/>
          <w:shd w:val="clear" w:color="auto" w:fill="FFFFFF"/>
        </w:rPr>
        <w:t>Journal of Analytical and Applied Pyrolysis</w:t>
      </w:r>
      <w:r w:rsidRPr="00142CFB">
        <w:rPr>
          <w:rFonts w:cs="Arial"/>
          <w:color w:val="222222"/>
          <w:szCs w:val="18"/>
          <w:shd w:val="clear" w:color="auto" w:fill="FFFFFF"/>
        </w:rPr>
        <w:t>,</w:t>
      </w:r>
      <w:r w:rsidRPr="00A33EEC">
        <w:rPr>
          <w:rFonts w:cs="Arial"/>
          <w:color w:val="222222"/>
          <w:szCs w:val="18"/>
          <w:shd w:val="clear" w:color="auto" w:fill="FFFFFF"/>
        </w:rPr>
        <w:t xml:space="preserve"> </w:t>
      </w:r>
      <w:r w:rsidR="00845AB6" w:rsidRPr="00845AB6">
        <w:rPr>
          <w:rFonts w:cs="Arial"/>
          <w:i/>
          <w:color w:val="222222"/>
          <w:szCs w:val="18"/>
          <w:shd w:val="clear" w:color="auto" w:fill="FFFFFF"/>
        </w:rPr>
        <w:t>177</w:t>
      </w:r>
      <w:r w:rsidR="00845AB6">
        <w:rPr>
          <w:rFonts w:cs="Arial"/>
          <w:color w:val="222222"/>
          <w:szCs w:val="18"/>
          <w:shd w:val="clear" w:color="auto" w:fill="FFFFFF"/>
        </w:rPr>
        <w:t xml:space="preserve">, </w:t>
      </w:r>
      <w:r w:rsidRPr="00A33EEC">
        <w:rPr>
          <w:rFonts w:cs="Arial"/>
          <w:color w:val="222222"/>
          <w:szCs w:val="18"/>
          <w:shd w:val="clear" w:color="auto" w:fill="FFFFFF"/>
        </w:rPr>
        <w:t>106355.</w:t>
      </w:r>
    </w:p>
    <w:p w14:paraId="7967BE47" w14:textId="3575B728" w:rsidR="002E2CBC" w:rsidRPr="0068080B" w:rsidRDefault="007A241F" w:rsidP="0068080B">
      <w:pPr>
        <w:pStyle w:val="CETReferencetext"/>
        <w:rPr>
          <w:rFonts w:cs="Arial"/>
          <w:color w:val="222222"/>
          <w:sz w:val="16"/>
          <w:szCs w:val="18"/>
          <w:shd w:val="clear" w:color="auto" w:fill="FFFFFF"/>
        </w:rPr>
      </w:pPr>
      <w:r w:rsidRPr="0056639D">
        <w:rPr>
          <w:rFonts w:cs="Arial"/>
          <w:color w:val="222222"/>
          <w:shd w:val="clear" w:color="auto" w:fill="FFFFFF"/>
        </w:rPr>
        <w:t>Zhang, Z., Huang, K., Mao, C., Huang, J., Xu,</w:t>
      </w:r>
      <w:r w:rsidR="00590B1C">
        <w:rPr>
          <w:rFonts w:cs="Arial"/>
          <w:color w:val="222222"/>
          <w:shd w:val="clear" w:color="auto" w:fill="FFFFFF"/>
        </w:rPr>
        <w:t xml:space="preserve"> Q., Liao, L.,</w:t>
      </w:r>
      <w:r w:rsidR="006347BB">
        <w:rPr>
          <w:rFonts w:cs="Arial"/>
          <w:color w:val="222222"/>
          <w:shd w:val="clear" w:color="auto" w:fill="FFFFFF"/>
        </w:rPr>
        <w:t xml:space="preserve"> Wang, R., Chen, S., Li,</w:t>
      </w:r>
      <w:r w:rsidR="00EB2ED9">
        <w:rPr>
          <w:rFonts w:cs="Arial"/>
          <w:color w:val="222222"/>
          <w:shd w:val="clear" w:color="auto" w:fill="FFFFFF"/>
        </w:rPr>
        <w:t xml:space="preserve"> </w:t>
      </w:r>
      <w:r w:rsidR="006347BB">
        <w:rPr>
          <w:rFonts w:cs="Arial"/>
          <w:color w:val="222222"/>
          <w:shd w:val="clear" w:color="auto" w:fill="FFFFFF"/>
        </w:rPr>
        <w:t xml:space="preserve">P., </w:t>
      </w:r>
      <w:r w:rsidR="00590B1C">
        <w:rPr>
          <w:rFonts w:cs="Arial"/>
          <w:color w:val="222222"/>
          <w:shd w:val="clear" w:color="auto" w:fill="FFFFFF"/>
        </w:rPr>
        <w:t>Zhang, C., 2022,</w:t>
      </w:r>
      <w:r w:rsidRPr="0056639D">
        <w:rPr>
          <w:rFonts w:cs="Arial"/>
          <w:color w:val="222222"/>
          <w:shd w:val="clear" w:color="auto" w:fill="FFFFFF"/>
        </w:rPr>
        <w:t xml:space="preserve"> Microwave assisted catalytic pyrolysis of bagasse to produce hydrogen. </w:t>
      </w:r>
      <w:r w:rsidRPr="00142CFB">
        <w:rPr>
          <w:rFonts w:cs="Arial"/>
          <w:iCs/>
          <w:color w:val="222222"/>
          <w:shd w:val="clear" w:color="auto" w:fill="FFFFFF"/>
        </w:rPr>
        <w:t>International Journal of Hydrogen Energy</w:t>
      </w:r>
      <w:r w:rsidRPr="00142CFB">
        <w:rPr>
          <w:rFonts w:cs="Arial"/>
          <w:color w:val="222222"/>
          <w:shd w:val="clear" w:color="auto" w:fill="FFFFFF"/>
        </w:rPr>
        <w:t>, </w:t>
      </w:r>
      <w:r w:rsidRPr="0056639D">
        <w:rPr>
          <w:rFonts w:cs="Arial"/>
          <w:i/>
          <w:iCs/>
          <w:color w:val="222222"/>
          <w:shd w:val="clear" w:color="auto" w:fill="FFFFFF"/>
        </w:rPr>
        <w:t>47</w:t>
      </w:r>
      <w:r w:rsidRPr="0056639D">
        <w:rPr>
          <w:rFonts w:cs="Arial"/>
          <w:color w:val="222222"/>
          <w:shd w:val="clear" w:color="auto" w:fill="FFFFFF"/>
        </w:rPr>
        <w:t>(84), 35626-35634.</w:t>
      </w:r>
    </w:p>
    <w:sectPr w:rsidR="002E2CBC" w:rsidRPr="0068080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224D1" w14:textId="77777777" w:rsidR="008D63D8" w:rsidRDefault="008D63D8" w:rsidP="004F5E36">
      <w:r>
        <w:separator/>
      </w:r>
    </w:p>
  </w:endnote>
  <w:endnote w:type="continuationSeparator" w:id="0">
    <w:p w14:paraId="526CDD0A" w14:textId="77777777" w:rsidR="008D63D8" w:rsidRDefault="008D63D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36A28" w14:textId="77777777" w:rsidR="008D63D8" w:rsidRDefault="008D63D8" w:rsidP="004F5E36">
      <w:r>
        <w:separator/>
      </w:r>
    </w:p>
  </w:footnote>
  <w:footnote w:type="continuationSeparator" w:id="0">
    <w:p w14:paraId="77AE61DD" w14:textId="77777777" w:rsidR="008D63D8" w:rsidRDefault="008D63D8"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BC2D30"/>
    <w:multiLevelType w:val="hybridMultilevel"/>
    <w:tmpl w:val="2B8E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851"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6FE"/>
    <w:rsid w:val="00004DE2"/>
    <w:rsid w:val="000052FB"/>
    <w:rsid w:val="000053F5"/>
    <w:rsid w:val="00005A19"/>
    <w:rsid w:val="000061BE"/>
    <w:rsid w:val="0000632A"/>
    <w:rsid w:val="000067DE"/>
    <w:rsid w:val="00007489"/>
    <w:rsid w:val="00010C21"/>
    <w:rsid w:val="000113C7"/>
    <w:rsid w:val="000117CB"/>
    <w:rsid w:val="00014E8F"/>
    <w:rsid w:val="000154C7"/>
    <w:rsid w:val="0003148D"/>
    <w:rsid w:val="00031EEC"/>
    <w:rsid w:val="00031F73"/>
    <w:rsid w:val="000431EB"/>
    <w:rsid w:val="000452D3"/>
    <w:rsid w:val="00051566"/>
    <w:rsid w:val="00054288"/>
    <w:rsid w:val="00055A15"/>
    <w:rsid w:val="000562A9"/>
    <w:rsid w:val="00062A9A"/>
    <w:rsid w:val="000643BE"/>
    <w:rsid w:val="00065058"/>
    <w:rsid w:val="00070DA5"/>
    <w:rsid w:val="00072D86"/>
    <w:rsid w:val="00080FA7"/>
    <w:rsid w:val="000829A0"/>
    <w:rsid w:val="00084188"/>
    <w:rsid w:val="00086C39"/>
    <w:rsid w:val="000A03B2"/>
    <w:rsid w:val="000A75B8"/>
    <w:rsid w:val="000C1C7A"/>
    <w:rsid w:val="000D0100"/>
    <w:rsid w:val="000D0268"/>
    <w:rsid w:val="000D34BE"/>
    <w:rsid w:val="000D445C"/>
    <w:rsid w:val="000D4CB9"/>
    <w:rsid w:val="000E102F"/>
    <w:rsid w:val="000E1509"/>
    <w:rsid w:val="000E36F1"/>
    <w:rsid w:val="000E3A73"/>
    <w:rsid w:val="000E414A"/>
    <w:rsid w:val="000E45E0"/>
    <w:rsid w:val="000F093C"/>
    <w:rsid w:val="000F3550"/>
    <w:rsid w:val="000F4811"/>
    <w:rsid w:val="000F6CD4"/>
    <w:rsid w:val="000F77DD"/>
    <w:rsid w:val="000F787B"/>
    <w:rsid w:val="00101BDF"/>
    <w:rsid w:val="00102F89"/>
    <w:rsid w:val="00103F10"/>
    <w:rsid w:val="00106881"/>
    <w:rsid w:val="001126BE"/>
    <w:rsid w:val="00113453"/>
    <w:rsid w:val="0011519F"/>
    <w:rsid w:val="00116DC4"/>
    <w:rsid w:val="0012091F"/>
    <w:rsid w:val="00121069"/>
    <w:rsid w:val="0012597C"/>
    <w:rsid w:val="00126BC2"/>
    <w:rsid w:val="001308B6"/>
    <w:rsid w:val="0013121F"/>
    <w:rsid w:val="00131B10"/>
    <w:rsid w:val="00131E30"/>
    <w:rsid w:val="00131FE6"/>
    <w:rsid w:val="0013263F"/>
    <w:rsid w:val="001331DF"/>
    <w:rsid w:val="00134DE4"/>
    <w:rsid w:val="00135199"/>
    <w:rsid w:val="00135D6C"/>
    <w:rsid w:val="0013709B"/>
    <w:rsid w:val="0014034D"/>
    <w:rsid w:val="00142CFB"/>
    <w:rsid w:val="00144D16"/>
    <w:rsid w:val="00150E59"/>
    <w:rsid w:val="00152DE3"/>
    <w:rsid w:val="00154FAC"/>
    <w:rsid w:val="00163C70"/>
    <w:rsid w:val="00164CF9"/>
    <w:rsid w:val="001667A6"/>
    <w:rsid w:val="001757AF"/>
    <w:rsid w:val="00176195"/>
    <w:rsid w:val="0018055E"/>
    <w:rsid w:val="00182FDA"/>
    <w:rsid w:val="001841BE"/>
    <w:rsid w:val="00184AD6"/>
    <w:rsid w:val="00184CA8"/>
    <w:rsid w:val="00186C4C"/>
    <w:rsid w:val="00193987"/>
    <w:rsid w:val="00197209"/>
    <w:rsid w:val="00197ACD"/>
    <w:rsid w:val="001A041D"/>
    <w:rsid w:val="001A0446"/>
    <w:rsid w:val="001A4AF7"/>
    <w:rsid w:val="001B0349"/>
    <w:rsid w:val="001B1E93"/>
    <w:rsid w:val="001B65C1"/>
    <w:rsid w:val="001B78F5"/>
    <w:rsid w:val="001C684B"/>
    <w:rsid w:val="001C6ADD"/>
    <w:rsid w:val="001C78EC"/>
    <w:rsid w:val="001D0CFB"/>
    <w:rsid w:val="001D21AF"/>
    <w:rsid w:val="001D53FC"/>
    <w:rsid w:val="001E6339"/>
    <w:rsid w:val="001F16F6"/>
    <w:rsid w:val="001F42A5"/>
    <w:rsid w:val="001F7B9D"/>
    <w:rsid w:val="00201B26"/>
    <w:rsid w:val="00201C93"/>
    <w:rsid w:val="00206782"/>
    <w:rsid w:val="00221732"/>
    <w:rsid w:val="002224B4"/>
    <w:rsid w:val="00232B11"/>
    <w:rsid w:val="00233DF9"/>
    <w:rsid w:val="00234C52"/>
    <w:rsid w:val="002447EF"/>
    <w:rsid w:val="00247538"/>
    <w:rsid w:val="00251550"/>
    <w:rsid w:val="00254C85"/>
    <w:rsid w:val="00263B05"/>
    <w:rsid w:val="00265096"/>
    <w:rsid w:val="00265372"/>
    <w:rsid w:val="0027221A"/>
    <w:rsid w:val="00275B61"/>
    <w:rsid w:val="00280FAF"/>
    <w:rsid w:val="00282656"/>
    <w:rsid w:val="00287D88"/>
    <w:rsid w:val="00292638"/>
    <w:rsid w:val="00296B83"/>
    <w:rsid w:val="002A4D43"/>
    <w:rsid w:val="002A6F44"/>
    <w:rsid w:val="002A7B7A"/>
    <w:rsid w:val="002B4015"/>
    <w:rsid w:val="002B78CE"/>
    <w:rsid w:val="002C2FB6"/>
    <w:rsid w:val="002D012A"/>
    <w:rsid w:val="002D543A"/>
    <w:rsid w:val="002D5614"/>
    <w:rsid w:val="002E2CBC"/>
    <w:rsid w:val="002E5FA7"/>
    <w:rsid w:val="002E626F"/>
    <w:rsid w:val="002F002D"/>
    <w:rsid w:val="002F3309"/>
    <w:rsid w:val="002F5663"/>
    <w:rsid w:val="003008CE"/>
    <w:rsid w:val="003009B7"/>
    <w:rsid w:val="00300E56"/>
    <w:rsid w:val="0030152C"/>
    <w:rsid w:val="0030469C"/>
    <w:rsid w:val="00315BAD"/>
    <w:rsid w:val="00321CA6"/>
    <w:rsid w:val="003224B9"/>
    <w:rsid w:val="00323763"/>
    <w:rsid w:val="00323C5F"/>
    <w:rsid w:val="003275C5"/>
    <w:rsid w:val="00327CD0"/>
    <w:rsid w:val="00331071"/>
    <w:rsid w:val="00331EE4"/>
    <w:rsid w:val="00333456"/>
    <w:rsid w:val="0033380C"/>
    <w:rsid w:val="00334C09"/>
    <w:rsid w:val="00340A76"/>
    <w:rsid w:val="00343C61"/>
    <w:rsid w:val="0034622F"/>
    <w:rsid w:val="00352D5C"/>
    <w:rsid w:val="00352DA8"/>
    <w:rsid w:val="00357C59"/>
    <w:rsid w:val="003623AA"/>
    <w:rsid w:val="00364030"/>
    <w:rsid w:val="0036475D"/>
    <w:rsid w:val="00365CBD"/>
    <w:rsid w:val="00366636"/>
    <w:rsid w:val="00367D03"/>
    <w:rsid w:val="00367E24"/>
    <w:rsid w:val="00371586"/>
    <w:rsid w:val="003723D4"/>
    <w:rsid w:val="00373D51"/>
    <w:rsid w:val="00373E72"/>
    <w:rsid w:val="0037530B"/>
    <w:rsid w:val="00381905"/>
    <w:rsid w:val="003821A8"/>
    <w:rsid w:val="0038374F"/>
    <w:rsid w:val="00384CC8"/>
    <w:rsid w:val="003871FD"/>
    <w:rsid w:val="0039123D"/>
    <w:rsid w:val="003A1E30"/>
    <w:rsid w:val="003A2829"/>
    <w:rsid w:val="003A7028"/>
    <w:rsid w:val="003A7D1C"/>
    <w:rsid w:val="003B020D"/>
    <w:rsid w:val="003B304B"/>
    <w:rsid w:val="003B3146"/>
    <w:rsid w:val="003B56BD"/>
    <w:rsid w:val="003B5A07"/>
    <w:rsid w:val="003C7DD9"/>
    <w:rsid w:val="003D209D"/>
    <w:rsid w:val="003D6576"/>
    <w:rsid w:val="003F015E"/>
    <w:rsid w:val="00400414"/>
    <w:rsid w:val="00400EDC"/>
    <w:rsid w:val="00401D95"/>
    <w:rsid w:val="00404167"/>
    <w:rsid w:val="00406121"/>
    <w:rsid w:val="0041446B"/>
    <w:rsid w:val="00415E48"/>
    <w:rsid w:val="00427F83"/>
    <w:rsid w:val="00434C96"/>
    <w:rsid w:val="0044071E"/>
    <w:rsid w:val="00441F44"/>
    <w:rsid w:val="0044329C"/>
    <w:rsid w:val="004443D8"/>
    <w:rsid w:val="0044581A"/>
    <w:rsid w:val="00453E24"/>
    <w:rsid w:val="00453E79"/>
    <w:rsid w:val="00457456"/>
    <w:rsid w:val="004577FE"/>
    <w:rsid w:val="00457B9C"/>
    <w:rsid w:val="0046164A"/>
    <w:rsid w:val="004628D2"/>
    <w:rsid w:val="00462DCD"/>
    <w:rsid w:val="00462E97"/>
    <w:rsid w:val="00463206"/>
    <w:rsid w:val="004648AD"/>
    <w:rsid w:val="00464E24"/>
    <w:rsid w:val="00464F5A"/>
    <w:rsid w:val="004703A9"/>
    <w:rsid w:val="004709B4"/>
    <w:rsid w:val="00475066"/>
    <w:rsid w:val="004760DE"/>
    <w:rsid w:val="004763D7"/>
    <w:rsid w:val="00482068"/>
    <w:rsid w:val="00494622"/>
    <w:rsid w:val="0049632E"/>
    <w:rsid w:val="004A004E"/>
    <w:rsid w:val="004A0AC4"/>
    <w:rsid w:val="004A24CF"/>
    <w:rsid w:val="004A3F60"/>
    <w:rsid w:val="004B0304"/>
    <w:rsid w:val="004B4FE0"/>
    <w:rsid w:val="004B6984"/>
    <w:rsid w:val="004C22E8"/>
    <w:rsid w:val="004C3D1D"/>
    <w:rsid w:val="004C3D84"/>
    <w:rsid w:val="004C6AFC"/>
    <w:rsid w:val="004C6BAE"/>
    <w:rsid w:val="004C7913"/>
    <w:rsid w:val="004D5FB8"/>
    <w:rsid w:val="004E234A"/>
    <w:rsid w:val="004E2DF4"/>
    <w:rsid w:val="004E30DA"/>
    <w:rsid w:val="004E3966"/>
    <w:rsid w:val="004E4DD6"/>
    <w:rsid w:val="004F156E"/>
    <w:rsid w:val="004F5E36"/>
    <w:rsid w:val="00502E32"/>
    <w:rsid w:val="005072D8"/>
    <w:rsid w:val="00507822"/>
    <w:rsid w:val="00507B47"/>
    <w:rsid w:val="00507BEF"/>
    <w:rsid w:val="00507CC9"/>
    <w:rsid w:val="005119A5"/>
    <w:rsid w:val="005145D5"/>
    <w:rsid w:val="0051633F"/>
    <w:rsid w:val="00520A37"/>
    <w:rsid w:val="00520BCB"/>
    <w:rsid w:val="00523D8F"/>
    <w:rsid w:val="00526137"/>
    <w:rsid w:val="005278B7"/>
    <w:rsid w:val="005304C6"/>
    <w:rsid w:val="00532016"/>
    <w:rsid w:val="005325D4"/>
    <w:rsid w:val="00533544"/>
    <w:rsid w:val="005339FE"/>
    <w:rsid w:val="00533D10"/>
    <w:rsid w:val="0053422F"/>
    <w:rsid w:val="005346C8"/>
    <w:rsid w:val="00540D11"/>
    <w:rsid w:val="00542DAF"/>
    <w:rsid w:val="00543E7D"/>
    <w:rsid w:val="0054448F"/>
    <w:rsid w:val="005445C6"/>
    <w:rsid w:val="00544B17"/>
    <w:rsid w:val="0054721F"/>
    <w:rsid w:val="00547A68"/>
    <w:rsid w:val="005525DF"/>
    <w:rsid w:val="005531C9"/>
    <w:rsid w:val="00555D56"/>
    <w:rsid w:val="00557E00"/>
    <w:rsid w:val="00557EDA"/>
    <w:rsid w:val="005619B5"/>
    <w:rsid w:val="005631AE"/>
    <w:rsid w:val="00564CB1"/>
    <w:rsid w:val="0056639D"/>
    <w:rsid w:val="00570C43"/>
    <w:rsid w:val="00574E38"/>
    <w:rsid w:val="00576D9F"/>
    <w:rsid w:val="00582AB5"/>
    <w:rsid w:val="0058399E"/>
    <w:rsid w:val="005905EB"/>
    <w:rsid w:val="00590B1C"/>
    <w:rsid w:val="00592F5F"/>
    <w:rsid w:val="00596160"/>
    <w:rsid w:val="00597995"/>
    <w:rsid w:val="005B2110"/>
    <w:rsid w:val="005B25D5"/>
    <w:rsid w:val="005B61E6"/>
    <w:rsid w:val="005B747F"/>
    <w:rsid w:val="005C44F8"/>
    <w:rsid w:val="005C77E1"/>
    <w:rsid w:val="005D668A"/>
    <w:rsid w:val="005D6A2F"/>
    <w:rsid w:val="005E0220"/>
    <w:rsid w:val="005E1A82"/>
    <w:rsid w:val="005E794C"/>
    <w:rsid w:val="005F0A28"/>
    <w:rsid w:val="005F0E5E"/>
    <w:rsid w:val="00600535"/>
    <w:rsid w:val="00602E23"/>
    <w:rsid w:val="00606E79"/>
    <w:rsid w:val="006077A5"/>
    <w:rsid w:val="00610CD6"/>
    <w:rsid w:val="00613333"/>
    <w:rsid w:val="00616447"/>
    <w:rsid w:val="00616E40"/>
    <w:rsid w:val="0061747B"/>
    <w:rsid w:val="00617E08"/>
    <w:rsid w:val="00620DEE"/>
    <w:rsid w:val="00621F92"/>
    <w:rsid w:val="0062280A"/>
    <w:rsid w:val="00623702"/>
    <w:rsid w:val="00625639"/>
    <w:rsid w:val="006268FD"/>
    <w:rsid w:val="00631B33"/>
    <w:rsid w:val="006347BB"/>
    <w:rsid w:val="00635528"/>
    <w:rsid w:val="0064184D"/>
    <w:rsid w:val="006422CC"/>
    <w:rsid w:val="00644AE2"/>
    <w:rsid w:val="0065122F"/>
    <w:rsid w:val="006530DE"/>
    <w:rsid w:val="00653316"/>
    <w:rsid w:val="006543F5"/>
    <w:rsid w:val="006562A5"/>
    <w:rsid w:val="00660E3E"/>
    <w:rsid w:val="00662E74"/>
    <w:rsid w:val="00665EE3"/>
    <w:rsid w:val="00667450"/>
    <w:rsid w:val="00672A8F"/>
    <w:rsid w:val="00674A4C"/>
    <w:rsid w:val="0068080B"/>
    <w:rsid w:val="00680C23"/>
    <w:rsid w:val="00684A00"/>
    <w:rsid w:val="00690960"/>
    <w:rsid w:val="00692B39"/>
    <w:rsid w:val="00693766"/>
    <w:rsid w:val="0069621A"/>
    <w:rsid w:val="006967C7"/>
    <w:rsid w:val="006A118F"/>
    <w:rsid w:val="006A1377"/>
    <w:rsid w:val="006A3281"/>
    <w:rsid w:val="006B0CBF"/>
    <w:rsid w:val="006B4888"/>
    <w:rsid w:val="006C2E45"/>
    <w:rsid w:val="006C359C"/>
    <w:rsid w:val="006C5579"/>
    <w:rsid w:val="006D0380"/>
    <w:rsid w:val="006D6E8B"/>
    <w:rsid w:val="006E059A"/>
    <w:rsid w:val="006E737D"/>
    <w:rsid w:val="006E748A"/>
    <w:rsid w:val="006F2780"/>
    <w:rsid w:val="006F5A25"/>
    <w:rsid w:val="006F5AFC"/>
    <w:rsid w:val="006F67FD"/>
    <w:rsid w:val="00700928"/>
    <w:rsid w:val="00701733"/>
    <w:rsid w:val="00706B9B"/>
    <w:rsid w:val="00707DD1"/>
    <w:rsid w:val="00713973"/>
    <w:rsid w:val="00720A24"/>
    <w:rsid w:val="007222E4"/>
    <w:rsid w:val="007226EE"/>
    <w:rsid w:val="007319C3"/>
    <w:rsid w:val="00732386"/>
    <w:rsid w:val="007334ED"/>
    <w:rsid w:val="0073514D"/>
    <w:rsid w:val="007447F3"/>
    <w:rsid w:val="00745BD8"/>
    <w:rsid w:val="007478F2"/>
    <w:rsid w:val="0075499F"/>
    <w:rsid w:val="00757792"/>
    <w:rsid w:val="0076002E"/>
    <w:rsid w:val="00762BBF"/>
    <w:rsid w:val="00762E83"/>
    <w:rsid w:val="007661C8"/>
    <w:rsid w:val="0077098D"/>
    <w:rsid w:val="00771420"/>
    <w:rsid w:val="00772669"/>
    <w:rsid w:val="00776B77"/>
    <w:rsid w:val="00777579"/>
    <w:rsid w:val="00781872"/>
    <w:rsid w:val="007931FA"/>
    <w:rsid w:val="007A241F"/>
    <w:rsid w:val="007A2D53"/>
    <w:rsid w:val="007A4861"/>
    <w:rsid w:val="007A49BF"/>
    <w:rsid w:val="007A79E9"/>
    <w:rsid w:val="007A7BBA"/>
    <w:rsid w:val="007B0C50"/>
    <w:rsid w:val="007B48F9"/>
    <w:rsid w:val="007B7BE3"/>
    <w:rsid w:val="007C1A43"/>
    <w:rsid w:val="007C4C27"/>
    <w:rsid w:val="007D0951"/>
    <w:rsid w:val="007D7565"/>
    <w:rsid w:val="007E3AAF"/>
    <w:rsid w:val="007E744D"/>
    <w:rsid w:val="007E7DE0"/>
    <w:rsid w:val="007F24DF"/>
    <w:rsid w:val="007F3ADA"/>
    <w:rsid w:val="007F44B3"/>
    <w:rsid w:val="007F4527"/>
    <w:rsid w:val="0080013E"/>
    <w:rsid w:val="00810D89"/>
    <w:rsid w:val="00812E7B"/>
    <w:rsid w:val="00813288"/>
    <w:rsid w:val="008168FC"/>
    <w:rsid w:val="00820B25"/>
    <w:rsid w:val="00830996"/>
    <w:rsid w:val="00831896"/>
    <w:rsid w:val="008345F1"/>
    <w:rsid w:val="008445E5"/>
    <w:rsid w:val="00845AB6"/>
    <w:rsid w:val="0085071C"/>
    <w:rsid w:val="008510C3"/>
    <w:rsid w:val="00853C21"/>
    <w:rsid w:val="008570C9"/>
    <w:rsid w:val="00861D88"/>
    <w:rsid w:val="0086292E"/>
    <w:rsid w:val="00865B07"/>
    <w:rsid w:val="008667EA"/>
    <w:rsid w:val="00866F50"/>
    <w:rsid w:val="00867B56"/>
    <w:rsid w:val="0087637F"/>
    <w:rsid w:val="00892333"/>
    <w:rsid w:val="00892AD5"/>
    <w:rsid w:val="00893716"/>
    <w:rsid w:val="008A1512"/>
    <w:rsid w:val="008A376D"/>
    <w:rsid w:val="008A5F74"/>
    <w:rsid w:val="008B0844"/>
    <w:rsid w:val="008B13A5"/>
    <w:rsid w:val="008B3CB7"/>
    <w:rsid w:val="008B6733"/>
    <w:rsid w:val="008D08F8"/>
    <w:rsid w:val="008D32B9"/>
    <w:rsid w:val="008D433B"/>
    <w:rsid w:val="008D4A16"/>
    <w:rsid w:val="008D63D8"/>
    <w:rsid w:val="008E0104"/>
    <w:rsid w:val="008E288F"/>
    <w:rsid w:val="008E566E"/>
    <w:rsid w:val="008F360F"/>
    <w:rsid w:val="0090161A"/>
    <w:rsid w:val="00901EB6"/>
    <w:rsid w:val="009041E2"/>
    <w:rsid w:val="00904C62"/>
    <w:rsid w:val="0092051E"/>
    <w:rsid w:val="00920CB0"/>
    <w:rsid w:val="00922BA8"/>
    <w:rsid w:val="009244DF"/>
    <w:rsid w:val="00924DAC"/>
    <w:rsid w:val="00927058"/>
    <w:rsid w:val="00931054"/>
    <w:rsid w:val="00932206"/>
    <w:rsid w:val="00935E89"/>
    <w:rsid w:val="00940BCB"/>
    <w:rsid w:val="00942750"/>
    <w:rsid w:val="009449D8"/>
    <w:rsid w:val="00944A47"/>
    <w:rsid w:val="009450CE"/>
    <w:rsid w:val="009459BB"/>
    <w:rsid w:val="00947179"/>
    <w:rsid w:val="0095164B"/>
    <w:rsid w:val="00954090"/>
    <w:rsid w:val="0095698F"/>
    <w:rsid w:val="009573E7"/>
    <w:rsid w:val="00962DAB"/>
    <w:rsid w:val="00963E05"/>
    <w:rsid w:val="00964A45"/>
    <w:rsid w:val="00967843"/>
    <w:rsid w:val="00967D54"/>
    <w:rsid w:val="00971028"/>
    <w:rsid w:val="009731C9"/>
    <w:rsid w:val="00976CF0"/>
    <w:rsid w:val="00981EAB"/>
    <w:rsid w:val="0098482C"/>
    <w:rsid w:val="00991ADF"/>
    <w:rsid w:val="00991EE6"/>
    <w:rsid w:val="00993B84"/>
    <w:rsid w:val="00996483"/>
    <w:rsid w:val="00996F5A"/>
    <w:rsid w:val="009978CE"/>
    <w:rsid w:val="009A7F49"/>
    <w:rsid w:val="009B0416"/>
    <w:rsid w:val="009B041A"/>
    <w:rsid w:val="009B24F2"/>
    <w:rsid w:val="009B4B63"/>
    <w:rsid w:val="009C2E01"/>
    <w:rsid w:val="009C35A6"/>
    <w:rsid w:val="009C37C3"/>
    <w:rsid w:val="009C4FF0"/>
    <w:rsid w:val="009C5B6D"/>
    <w:rsid w:val="009C5ECE"/>
    <w:rsid w:val="009C673A"/>
    <w:rsid w:val="009C7C86"/>
    <w:rsid w:val="009D1884"/>
    <w:rsid w:val="009D2FF7"/>
    <w:rsid w:val="009D5721"/>
    <w:rsid w:val="009D63B3"/>
    <w:rsid w:val="009E2F6F"/>
    <w:rsid w:val="009E7884"/>
    <w:rsid w:val="009E788A"/>
    <w:rsid w:val="009F0E08"/>
    <w:rsid w:val="009F29EB"/>
    <w:rsid w:val="009F29EC"/>
    <w:rsid w:val="009F3464"/>
    <w:rsid w:val="009F35C3"/>
    <w:rsid w:val="009F6397"/>
    <w:rsid w:val="00A058A3"/>
    <w:rsid w:val="00A15FE6"/>
    <w:rsid w:val="00A1763D"/>
    <w:rsid w:val="00A17CEC"/>
    <w:rsid w:val="00A224B4"/>
    <w:rsid w:val="00A27EF0"/>
    <w:rsid w:val="00A33EEC"/>
    <w:rsid w:val="00A36007"/>
    <w:rsid w:val="00A42361"/>
    <w:rsid w:val="00A4405E"/>
    <w:rsid w:val="00A4779F"/>
    <w:rsid w:val="00A506A4"/>
    <w:rsid w:val="00A50B20"/>
    <w:rsid w:val="00A50E77"/>
    <w:rsid w:val="00A51390"/>
    <w:rsid w:val="00A51B37"/>
    <w:rsid w:val="00A51DA4"/>
    <w:rsid w:val="00A53A3B"/>
    <w:rsid w:val="00A55069"/>
    <w:rsid w:val="00A57D8B"/>
    <w:rsid w:val="00A60CF0"/>
    <w:rsid w:val="00A60D13"/>
    <w:rsid w:val="00A664E3"/>
    <w:rsid w:val="00A71CF3"/>
    <w:rsid w:val="00A7223D"/>
    <w:rsid w:val="00A72745"/>
    <w:rsid w:val="00A7337B"/>
    <w:rsid w:val="00A76EFC"/>
    <w:rsid w:val="00A80BD4"/>
    <w:rsid w:val="00A80DE8"/>
    <w:rsid w:val="00A87D50"/>
    <w:rsid w:val="00A91010"/>
    <w:rsid w:val="00A92356"/>
    <w:rsid w:val="00A93715"/>
    <w:rsid w:val="00A94F34"/>
    <w:rsid w:val="00A95C64"/>
    <w:rsid w:val="00A97F29"/>
    <w:rsid w:val="00AA702E"/>
    <w:rsid w:val="00AA7D26"/>
    <w:rsid w:val="00AB0964"/>
    <w:rsid w:val="00AB4E33"/>
    <w:rsid w:val="00AB5011"/>
    <w:rsid w:val="00AB7122"/>
    <w:rsid w:val="00AC3BCB"/>
    <w:rsid w:val="00AC5007"/>
    <w:rsid w:val="00AC6106"/>
    <w:rsid w:val="00AC7368"/>
    <w:rsid w:val="00AD16B9"/>
    <w:rsid w:val="00AE1B13"/>
    <w:rsid w:val="00AE377D"/>
    <w:rsid w:val="00AE42F2"/>
    <w:rsid w:val="00AE594E"/>
    <w:rsid w:val="00AF0EBA"/>
    <w:rsid w:val="00AF1A59"/>
    <w:rsid w:val="00AF259A"/>
    <w:rsid w:val="00AF5099"/>
    <w:rsid w:val="00AF58B3"/>
    <w:rsid w:val="00AF7F44"/>
    <w:rsid w:val="00B01AA8"/>
    <w:rsid w:val="00B02521"/>
    <w:rsid w:val="00B02C8A"/>
    <w:rsid w:val="00B11096"/>
    <w:rsid w:val="00B12D3C"/>
    <w:rsid w:val="00B13ACB"/>
    <w:rsid w:val="00B17FBD"/>
    <w:rsid w:val="00B2057B"/>
    <w:rsid w:val="00B20B07"/>
    <w:rsid w:val="00B20F88"/>
    <w:rsid w:val="00B22FBC"/>
    <w:rsid w:val="00B315A6"/>
    <w:rsid w:val="00B31813"/>
    <w:rsid w:val="00B33365"/>
    <w:rsid w:val="00B35346"/>
    <w:rsid w:val="00B41AB8"/>
    <w:rsid w:val="00B43A29"/>
    <w:rsid w:val="00B45EBA"/>
    <w:rsid w:val="00B52871"/>
    <w:rsid w:val="00B55DD9"/>
    <w:rsid w:val="00B57A28"/>
    <w:rsid w:val="00B57B36"/>
    <w:rsid w:val="00B57E6F"/>
    <w:rsid w:val="00B7236F"/>
    <w:rsid w:val="00B74A64"/>
    <w:rsid w:val="00B75DD9"/>
    <w:rsid w:val="00B76010"/>
    <w:rsid w:val="00B76E81"/>
    <w:rsid w:val="00B813BA"/>
    <w:rsid w:val="00B823E3"/>
    <w:rsid w:val="00B84E41"/>
    <w:rsid w:val="00B8686D"/>
    <w:rsid w:val="00B90603"/>
    <w:rsid w:val="00B93F69"/>
    <w:rsid w:val="00BB000A"/>
    <w:rsid w:val="00BB0FD9"/>
    <w:rsid w:val="00BB1DDC"/>
    <w:rsid w:val="00BC2C35"/>
    <w:rsid w:val="00BC30C9"/>
    <w:rsid w:val="00BD04D4"/>
    <w:rsid w:val="00BD077D"/>
    <w:rsid w:val="00BD7F66"/>
    <w:rsid w:val="00BE3E58"/>
    <w:rsid w:val="00BF5988"/>
    <w:rsid w:val="00BF66E4"/>
    <w:rsid w:val="00BF7404"/>
    <w:rsid w:val="00C00A14"/>
    <w:rsid w:val="00C01616"/>
    <w:rsid w:val="00C0162B"/>
    <w:rsid w:val="00C0514E"/>
    <w:rsid w:val="00C068ED"/>
    <w:rsid w:val="00C116CA"/>
    <w:rsid w:val="00C120E3"/>
    <w:rsid w:val="00C1460C"/>
    <w:rsid w:val="00C15AFA"/>
    <w:rsid w:val="00C20C8A"/>
    <w:rsid w:val="00C2236A"/>
    <w:rsid w:val="00C22530"/>
    <w:rsid w:val="00C22E0C"/>
    <w:rsid w:val="00C25137"/>
    <w:rsid w:val="00C27EEB"/>
    <w:rsid w:val="00C345B1"/>
    <w:rsid w:val="00C40142"/>
    <w:rsid w:val="00C43430"/>
    <w:rsid w:val="00C5069A"/>
    <w:rsid w:val="00C52C3C"/>
    <w:rsid w:val="00C57182"/>
    <w:rsid w:val="00C57863"/>
    <w:rsid w:val="00C6151A"/>
    <w:rsid w:val="00C640AF"/>
    <w:rsid w:val="00C64400"/>
    <w:rsid w:val="00C655FD"/>
    <w:rsid w:val="00C70D06"/>
    <w:rsid w:val="00C75407"/>
    <w:rsid w:val="00C7573F"/>
    <w:rsid w:val="00C76947"/>
    <w:rsid w:val="00C76C50"/>
    <w:rsid w:val="00C81CF8"/>
    <w:rsid w:val="00C841C6"/>
    <w:rsid w:val="00C85AFE"/>
    <w:rsid w:val="00C867DB"/>
    <w:rsid w:val="00C870A8"/>
    <w:rsid w:val="00C94434"/>
    <w:rsid w:val="00CA0D75"/>
    <w:rsid w:val="00CA1C95"/>
    <w:rsid w:val="00CA3AF9"/>
    <w:rsid w:val="00CA41FB"/>
    <w:rsid w:val="00CA5A9C"/>
    <w:rsid w:val="00CA6303"/>
    <w:rsid w:val="00CA69E1"/>
    <w:rsid w:val="00CB383B"/>
    <w:rsid w:val="00CB57D4"/>
    <w:rsid w:val="00CC4C20"/>
    <w:rsid w:val="00CC617D"/>
    <w:rsid w:val="00CD2F4B"/>
    <w:rsid w:val="00CD3517"/>
    <w:rsid w:val="00CD5F67"/>
    <w:rsid w:val="00CD5FE2"/>
    <w:rsid w:val="00CE041A"/>
    <w:rsid w:val="00CE1064"/>
    <w:rsid w:val="00CE4051"/>
    <w:rsid w:val="00CE7C68"/>
    <w:rsid w:val="00D02B4C"/>
    <w:rsid w:val="00D040C4"/>
    <w:rsid w:val="00D10E47"/>
    <w:rsid w:val="00D12805"/>
    <w:rsid w:val="00D12B04"/>
    <w:rsid w:val="00D15611"/>
    <w:rsid w:val="00D20476"/>
    <w:rsid w:val="00D20AD1"/>
    <w:rsid w:val="00D23F94"/>
    <w:rsid w:val="00D24AE1"/>
    <w:rsid w:val="00D2582C"/>
    <w:rsid w:val="00D25E44"/>
    <w:rsid w:val="00D2604A"/>
    <w:rsid w:val="00D37343"/>
    <w:rsid w:val="00D402FA"/>
    <w:rsid w:val="00D42848"/>
    <w:rsid w:val="00D44FE8"/>
    <w:rsid w:val="00D45696"/>
    <w:rsid w:val="00D46B7E"/>
    <w:rsid w:val="00D52A91"/>
    <w:rsid w:val="00D54467"/>
    <w:rsid w:val="00D56362"/>
    <w:rsid w:val="00D57A68"/>
    <w:rsid w:val="00D57C84"/>
    <w:rsid w:val="00D6057D"/>
    <w:rsid w:val="00D653A6"/>
    <w:rsid w:val="00D660E6"/>
    <w:rsid w:val="00D71640"/>
    <w:rsid w:val="00D836C5"/>
    <w:rsid w:val="00D8432B"/>
    <w:rsid w:val="00D84576"/>
    <w:rsid w:val="00D85A0E"/>
    <w:rsid w:val="00D8650A"/>
    <w:rsid w:val="00D91219"/>
    <w:rsid w:val="00D91BF1"/>
    <w:rsid w:val="00D93F24"/>
    <w:rsid w:val="00D945B3"/>
    <w:rsid w:val="00DA01CA"/>
    <w:rsid w:val="00DA1399"/>
    <w:rsid w:val="00DA24C6"/>
    <w:rsid w:val="00DA4D7B"/>
    <w:rsid w:val="00DA6332"/>
    <w:rsid w:val="00DB0A45"/>
    <w:rsid w:val="00DB0EF6"/>
    <w:rsid w:val="00DB29AE"/>
    <w:rsid w:val="00DB4F51"/>
    <w:rsid w:val="00DD0875"/>
    <w:rsid w:val="00DD0EFC"/>
    <w:rsid w:val="00DD271C"/>
    <w:rsid w:val="00DD294F"/>
    <w:rsid w:val="00DD556C"/>
    <w:rsid w:val="00DE1C6B"/>
    <w:rsid w:val="00DE264A"/>
    <w:rsid w:val="00DE2C8D"/>
    <w:rsid w:val="00DE3EBE"/>
    <w:rsid w:val="00DE7BD0"/>
    <w:rsid w:val="00DF082D"/>
    <w:rsid w:val="00DF237B"/>
    <w:rsid w:val="00DF5072"/>
    <w:rsid w:val="00DF66D9"/>
    <w:rsid w:val="00DF7517"/>
    <w:rsid w:val="00DF7B0A"/>
    <w:rsid w:val="00E02D18"/>
    <w:rsid w:val="00E041E7"/>
    <w:rsid w:val="00E1209E"/>
    <w:rsid w:val="00E17164"/>
    <w:rsid w:val="00E20291"/>
    <w:rsid w:val="00E23CA1"/>
    <w:rsid w:val="00E2593A"/>
    <w:rsid w:val="00E310A3"/>
    <w:rsid w:val="00E31A39"/>
    <w:rsid w:val="00E3303F"/>
    <w:rsid w:val="00E33790"/>
    <w:rsid w:val="00E406CA"/>
    <w:rsid w:val="00E409A8"/>
    <w:rsid w:val="00E440D4"/>
    <w:rsid w:val="00E46A19"/>
    <w:rsid w:val="00E50004"/>
    <w:rsid w:val="00E5079C"/>
    <w:rsid w:val="00E50C12"/>
    <w:rsid w:val="00E53F63"/>
    <w:rsid w:val="00E57B68"/>
    <w:rsid w:val="00E65B91"/>
    <w:rsid w:val="00E65D9F"/>
    <w:rsid w:val="00E70B64"/>
    <w:rsid w:val="00E70C08"/>
    <w:rsid w:val="00E71D2C"/>
    <w:rsid w:val="00E7209D"/>
    <w:rsid w:val="00E72EAD"/>
    <w:rsid w:val="00E73FDE"/>
    <w:rsid w:val="00E74046"/>
    <w:rsid w:val="00E77223"/>
    <w:rsid w:val="00E77740"/>
    <w:rsid w:val="00E801EB"/>
    <w:rsid w:val="00E8528B"/>
    <w:rsid w:val="00E85B94"/>
    <w:rsid w:val="00E863D9"/>
    <w:rsid w:val="00E87A25"/>
    <w:rsid w:val="00E913FB"/>
    <w:rsid w:val="00E978D0"/>
    <w:rsid w:val="00EA4613"/>
    <w:rsid w:val="00EA5474"/>
    <w:rsid w:val="00EA66FF"/>
    <w:rsid w:val="00EA6A7D"/>
    <w:rsid w:val="00EA76FF"/>
    <w:rsid w:val="00EA7F91"/>
    <w:rsid w:val="00EB1523"/>
    <w:rsid w:val="00EB1F4F"/>
    <w:rsid w:val="00EB2ED9"/>
    <w:rsid w:val="00EB61E6"/>
    <w:rsid w:val="00EB7208"/>
    <w:rsid w:val="00EB729B"/>
    <w:rsid w:val="00EC0E49"/>
    <w:rsid w:val="00EC101F"/>
    <w:rsid w:val="00EC1D9F"/>
    <w:rsid w:val="00EC7F47"/>
    <w:rsid w:val="00EE0131"/>
    <w:rsid w:val="00EE080E"/>
    <w:rsid w:val="00EE17B0"/>
    <w:rsid w:val="00EE3ECA"/>
    <w:rsid w:val="00EE7D06"/>
    <w:rsid w:val="00EF06D9"/>
    <w:rsid w:val="00EF4A30"/>
    <w:rsid w:val="00EF7086"/>
    <w:rsid w:val="00F03A1B"/>
    <w:rsid w:val="00F102C0"/>
    <w:rsid w:val="00F10F76"/>
    <w:rsid w:val="00F21F1E"/>
    <w:rsid w:val="00F23F08"/>
    <w:rsid w:val="00F27610"/>
    <w:rsid w:val="00F27AA5"/>
    <w:rsid w:val="00F27AE5"/>
    <w:rsid w:val="00F3049E"/>
    <w:rsid w:val="00F30C64"/>
    <w:rsid w:val="00F32BA2"/>
    <w:rsid w:val="00F32CDB"/>
    <w:rsid w:val="00F338D2"/>
    <w:rsid w:val="00F35934"/>
    <w:rsid w:val="00F371BF"/>
    <w:rsid w:val="00F42319"/>
    <w:rsid w:val="00F443EA"/>
    <w:rsid w:val="00F44C57"/>
    <w:rsid w:val="00F463B2"/>
    <w:rsid w:val="00F469DD"/>
    <w:rsid w:val="00F47085"/>
    <w:rsid w:val="00F47B9F"/>
    <w:rsid w:val="00F52E06"/>
    <w:rsid w:val="00F565FE"/>
    <w:rsid w:val="00F61358"/>
    <w:rsid w:val="00F63A70"/>
    <w:rsid w:val="00F63D8C"/>
    <w:rsid w:val="00F72854"/>
    <w:rsid w:val="00F74A40"/>
    <w:rsid w:val="00F7534E"/>
    <w:rsid w:val="00F76170"/>
    <w:rsid w:val="00F82ACB"/>
    <w:rsid w:val="00F83252"/>
    <w:rsid w:val="00F93EDF"/>
    <w:rsid w:val="00FA13B0"/>
    <w:rsid w:val="00FA1802"/>
    <w:rsid w:val="00FA21D0"/>
    <w:rsid w:val="00FA509D"/>
    <w:rsid w:val="00FA5968"/>
    <w:rsid w:val="00FA5F5F"/>
    <w:rsid w:val="00FB2FFD"/>
    <w:rsid w:val="00FB4EE7"/>
    <w:rsid w:val="00FB730C"/>
    <w:rsid w:val="00FC123D"/>
    <w:rsid w:val="00FC2695"/>
    <w:rsid w:val="00FC3E03"/>
    <w:rsid w:val="00FC3FC1"/>
    <w:rsid w:val="00FC4769"/>
    <w:rsid w:val="00FC483A"/>
    <w:rsid w:val="00FC72BD"/>
    <w:rsid w:val="00FD04B8"/>
    <w:rsid w:val="00FE13E2"/>
    <w:rsid w:val="00FE3298"/>
    <w:rsid w:val="00FE4FA9"/>
    <w:rsid w:val="00FE61B1"/>
    <w:rsid w:val="00FF7B2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C116CA"/>
    <w:rPr>
      <w:color w:val="808080"/>
    </w:rPr>
  </w:style>
  <w:style w:type="character" w:customStyle="1" w:styleId="bold">
    <w:name w:val="bold"/>
    <w:basedOn w:val="DefaultParagraphFont"/>
    <w:rsid w:val="005C44F8"/>
  </w:style>
  <w:style w:type="character" w:customStyle="1" w:styleId="titleheading">
    <w:name w:val="title_heading"/>
    <w:basedOn w:val="DefaultParagraphFont"/>
    <w:rsid w:val="005C44F8"/>
  </w:style>
  <w:style w:type="character" w:customStyle="1" w:styleId="supref">
    <w:name w:val="sup_ref"/>
    <w:basedOn w:val="DefaultParagraphFont"/>
    <w:rsid w:val="007C4C27"/>
  </w:style>
  <w:style w:type="character" w:styleId="Strong">
    <w:name w:val="Strong"/>
    <w:basedOn w:val="DefaultParagraphFont"/>
    <w:uiPriority w:val="22"/>
    <w:qFormat/>
    <w:rsid w:val="007C4C27"/>
    <w:rPr>
      <w:b/>
      <w:bCs/>
    </w:rPr>
  </w:style>
  <w:style w:type="character" w:customStyle="1" w:styleId="button-link-text">
    <w:name w:val="button-link-text"/>
    <w:basedOn w:val="DefaultParagraphFont"/>
    <w:rsid w:val="006F5AFC"/>
  </w:style>
  <w:style w:type="character" w:customStyle="1" w:styleId="react-xocs-alternative-link">
    <w:name w:val="react-xocs-alternative-link"/>
    <w:basedOn w:val="DefaultParagraphFont"/>
    <w:rsid w:val="006F5AFC"/>
  </w:style>
  <w:style w:type="character" w:customStyle="1" w:styleId="given-name">
    <w:name w:val="given-name"/>
    <w:basedOn w:val="DefaultParagraphFont"/>
    <w:rsid w:val="006F5AFC"/>
  </w:style>
  <w:style w:type="character" w:customStyle="1" w:styleId="text">
    <w:name w:val="text"/>
    <w:basedOn w:val="DefaultParagraphFont"/>
    <w:rsid w:val="006F5AFC"/>
  </w:style>
  <w:style w:type="character" w:customStyle="1" w:styleId="author-ref">
    <w:name w:val="author-ref"/>
    <w:basedOn w:val="DefaultParagraphFont"/>
    <w:rsid w:val="006F5AFC"/>
  </w:style>
  <w:style w:type="character" w:customStyle="1" w:styleId="title-text">
    <w:name w:val="title-text"/>
    <w:basedOn w:val="DefaultParagraphFont"/>
    <w:rsid w:val="006F5AFC"/>
  </w:style>
  <w:style w:type="character" w:customStyle="1" w:styleId="anchor-text">
    <w:name w:val="anchor-text"/>
    <w:basedOn w:val="DefaultParagraphFont"/>
    <w:rsid w:val="00080FA7"/>
  </w:style>
  <w:style w:type="character" w:styleId="Emphasis">
    <w:name w:val="Emphasis"/>
    <w:basedOn w:val="DefaultParagraphFont"/>
    <w:uiPriority w:val="20"/>
    <w:qFormat/>
    <w:rsid w:val="00DB0A45"/>
    <w:rPr>
      <w:i/>
      <w:iCs/>
    </w:rPr>
  </w:style>
  <w:style w:type="character" w:customStyle="1" w:styleId="articleauthor-link">
    <w:name w:val="article__author-link"/>
    <w:basedOn w:val="DefaultParagraphFont"/>
    <w:rsid w:val="00557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59660">
      <w:bodyDiv w:val="1"/>
      <w:marLeft w:val="0"/>
      <w:marRight w:val="0"/>
      <w:marTop w:val="0"/>
      <w:marBottom w:val="0"/>
      <w:divBdr>
        <w:top w:val="none" w:sz="0" w:space="0" w:color="auto"/>
        <w:left w:val="none" w:sz="0" w:space="0" w:color="auto"/>
        <w:bottom w:val="none" w:sz="0" w:space="0" w:color="auto"/>
        <w:right w:val="none" w:sz="0" w:space="0" w:color="auto"/>
      </w:divBdr>
    </w:div>
    <w:div w:id="389614305">
      <w:bodyDiv w:val="1"/>
      <w:marLeft w:val="0"/>
      <w:marRight w:val="0"/>
      <w:marTop w:val="0"/>
      <w:marBottom w:val="0"/>
      <w:divBdr>
        <w:top w:val="none" w:sz="0" w:space="0" w:color="auto"/>
        <w:left w:val="none" w:sz="0" w:space="0" w:color="auto"/>
        <w:bottom w:val="none" w:sz="0" w:space="0" w:color="auto"/>
        <w:right w:val="none" w:sz="0" w:space="0" w:color="auto"/>
      </w:divBdr>
    </w:div>
    <w:div w:id="44951859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418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50477">
      <w:bodyDiv w:val="1"/>
      <w:marLeft w:val="0"/>
      <w:marRight w:val="0"/>
      <w:marTop w:val="0"/>
      <w:marBottom w:val="0"/>
      <w:divBdr>
        <w:top w:val="none" w:sz="0" w:space="0" w:color="auto"/>
        <w:left w:val="none" w:sz="0" w:space="0" w:color="auto"/>
        <w:bottom w:val="none" w:sz="0" w:space="0" w:color="auto"/>
        <w:right w:val="none" w:sz="0" w:space="0" w:color="auto"/>
      </w:divBdr>
    </w:div>
    <w:div w:id="136348288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569">
      <w:bodyDiv w:val="1"/>
      <w:marLeft w:val="0"/>
      <w:marRight w:val="0"/>
      <w:marTop w:val="0"/>
      <w:marBottom w:val="0"/>
      <w:divBdr>
        <w:top w:val="none" w:sz="0" w:space="0" w:color="auto"/>
        <w:left w:val="none" w:sz="0" w:space="0" w:color="auto"/>
        <w:bottom w:val="none" w:sz="0" w:space="0" w:color="auto"/>
        <w:right w:val="none" w:sz="0" w:space="0" w:color="auto"/>
      </w:divBdr>
    </w:div>
    <w:div w:id="1840654853">
      <w:bodyDiv w:val="1"/>
      <w:marLeft w:val="0"/>
      <w:marRight w:val="0"/>
      <w:marTop w:val="0"/>
      <w:marBottom w:val="0"/>
      <w:divBdr>
        <w:top w:val="none" w:sz="0" w:space="0" w:color="auto"/>
        <w:left w:val="none" w:sz="0" w:space="0" w:color="auto"/>
        <w:bottom w:val="none" w:sz="0" w:space="0" w:color="auto"/>
        <w:right w:val="none" w:sz="0" w:space="0" w:color="auto"/>
      </w:divBdr>
    </w:div>
    <w:div w:id="191308137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C18E-9E01-4300-AFCA-8426A32D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3611</Words>
  <Characters>20583</Characters>
  <Application>Microsoft Office Word</Application>
  <DocSecurity>0</DocSecurity>
  <Lines>171</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Dell</cp:lastModifiedBy>
  <cp:revision>3</cp:revision>
  <cp:lastPrinted>2015-05-12T18:31:00Z</cp:lastPrinted>
  <dcterms:created xsi:type="dcterms:W3CDTF">2024-03-31T14:44:00Z</dcterms:created>
  <dcterms:modified xsi:type="dcterms:W3CDTF">2024-04-03T16:56:00Z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19df3500-041b-38c6-9100-253059842286</vt:lpwstr>
  </property>
</Properties>
</file>