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F730A"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F730A" w:rsidRDefault="000A03B2" w:rsidP="00DE264A">
            <w:pPr>
              <w:tabs>
                <w:tab w:val="left" w:pos="-108"/>
              </w:tabs>
              <w:ind w:left="-108"/>
              <w:jc w:val="left"/>
              <w:rPr>
                <w:rFonts w:cs="Arial"/>
                <w:b/>
                <w:bCs/>
                <w:i/>
                <w:iCs/>
                <w:color w:val="000066"/>
                <w:sz w:val="12"/>
                <w:szCs w:val="12"/>
                <w:lang w:eastAsia="it-IT"/>
              </w:rPr>
            </w:pPr>
            <w:r w:rsidRPr="00BF730A">
              <w:rPr>
                <w:rFonts w:cs="Arial"/>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F730A">
              <w:rPr>
                <w:rFonts w:cs="Arial"/>
                <w:color w:val="241F20"/>
                <w:szCs w:val="18"/>
                <w:lang w:eastAsia="it-IT"/>
              </w:rPr>
              <w:t xml:space="preserve"> </w:t>
            </w:r>
            <w:r w:rsidRPr="00BF730A">
              <w:rPr>
                <w:rFonts w:cs="Arial"/>
                <w:b/>
                <w:bCs/>
                <w:i/>
                <w:iCs/>
                <w:color w:val="000066"/>
                <w:sz w:val="24"/>
                <w:szCs w:val="24"/>
                <w:lang w:eastAsia="it-IT"/>
              </w:rPr>
              <w:t>CHEMICAL ENGINEERING</w:t>
            </w:r>
            <w:r w:rsidRPr="00BF730A">
              <w:rPr>
                <w:rFonts w:cs="Arial"/>
                <w:b/>
                <w:bCs/>
                <w:i/>
                <w:iCs/>
                <w:color w:val="0033FF"/>
                <w:sz w:val="24"/>
                <w:szCs w:val="24"/>
                <w:lang w:eastAsia="it-IT"/>
              </w:rPr>
              <w:t xml:space="preserve"> </w:t>
            </w:r>
            <w:r w:rsidRPr="00BF730A">
              <w:rPr>
                <w:rFonts w:cs="Arial"/>
                <w:b/>
                <w:bCs/>
                <w:i/>
                <w:iCs/>
                <w:color w:val="666666"/>
                <w:sz w:val="24"/>
                <w:szCs w:val="24"/>
                <w:lang w:eastAsia="it-IT"/>
              </w:rPr>
              <w:t>TRANSACTIONS</w:t>
            </w:r>
            <w:r w:rsidRPr="00BF730A">
              <w:rPr>
                <w:rFonts w:cs="Arial"/>
                <w:color w:val="333333"/>
                <w:sz w:val="24"/>
                <w:szCs w:val="24"/>
                <w:lang w:eastAsia="it-IT"/>
              </w:rPr>
              <w:t xml:space="preserve"> </w:t>
            </w:r>
            <w:r w:rsidRPr="00BF730A">
              <w:rPr>
                <w:rFonts w:cs="Arial"/>
                <w:b/>
                <w:bCs/>
                <w:i/>
                <w:iCs/>
                <w:color w:val="000066"/>
                <w:sz w:val="27"/>
                <w:szCs w:val="27"/>
                <w:lang w:eastAsia="it-IT"/>
              </w:rPr>
              <w:br/>
            </w:r>
          </w:p>
          <w:p w14:paraId="4B780582" w14:textId="15DAE12D" w:rsidR="000A03B2" w:rsidRPr="00BF730A" w:rsidRDefault="00A76EFC" w:rsidP="001D21AF">
            <w:pPr>
              <w:tabs>
                <w:tab w:val="left" w:pos="-108"/>
              </w:tabs>
              <w:ind w:left="-108"/>
              <w:rPr>
                <w:rFonts w:cs="Arial"/>
                <w:b/>
                <w:bCs/>
                <w:i/>
                <w:iCs/>
                <w:color w:val="000066"/>
                <w:sz w:val="22"/>
                <w:szCs w:val="22"/>
                <w:lang w:eastAsia="it-IT"/>
              </w:rPr>
            </w:pPr>
            <w:r w:rsidRPr="00BF730A">
              <w:rPr>
                <w:rFonts w:cs="Arial"/>
                <w:b/>
                <w:bCs/>
                <w:i/>
                <w:iCs/>
                <w:color w:val="000066"/>
                <w:sz w:val="22"/>
                <w:szCs w:val="22"/>
                <w:lang w:eastAsia="it-IT"/>
              </w:rPr>
              <w:t>VOL.</w:t>
            </w:r>
            <w:r w:rsidR="00843EAC" w:rsidRPr="00BF730A">
              <w:rPr>
                <w:rFonts w:cs="Arial"/>
                <w:b/>
                <w:bCs/>
                <w:i/>
                <w:iCs/>
                <w:color w:val="000066"/>
                <w:sz w:val="22"/>
                <w:szCs w:val="22"/>
                <w:lang w:eastAsia="it-IT"/>
              </w:rPr>
              <w:t xml:space="preserve">    </w:t>
            </w:r>
            <w:r w:rsidR="004761E9" w:rsidRPr="00BF730A">
              <w:rPr>
                <w:rFonts w:cs="Arial"/>
                <w:b/>
                <w:bCs/>
                <w:i/>
                <w:iCs/>
                <w:color w:val="000066"/>
                <w:sz w:val="22"/>
                <w:szCs w:val="22"/>
                <w:lang w:eastAsia="it-IT"/>
              </w:rPr>
              <w:t xml:space="preserve"> </w:t>
            </w:r>
            <w:r w:rsidR="007B48F9" w:rsidRPr="00BF730A">
              <w:rPr>
                <w:rFonts w:cs="Arial"/>
                <w:b/>
                <w:bCs/>
                <w:i/>
                <w:iCs/>
                <w:color w:val="000066"/>
                <w:sz w:val="22"/>
                <w:szCs w:val="22"/>
                <w:lang w:eastAsia="it-IT"/>
              </w:rPr>
              <w:t>,</w:t>
            </w:r>
            <w:r w:rsidR="00FA5F5F" w:rsidRPr="00BF730A">
              <w:rPr>
                <w:rFonts w:cs="Arial"/>
                <w:b/>
                <w:bCs/>
                <w:i/>
                <w:iCs/>
                <w:color w:val="000066"/>
                <w:sz w:val="22"/>
                <w:szCs w:val="22"/>
                <w:lang w:eastAsia="it-IT"/>
              </w:rPr>
              <w:t xml:space="preserve"> </w:t>
            </w:r>
            <w:r w:rsidR="0030152C" w:rsidRPr="00BF730A">
              <w:rPr>
                <w:rFonts w:cs="Arial"/>
                <w:b/>
                <w:bCs/>
                <w:i/>
                <w:iCs/>
                <w:color w:val="000066"/>
                <w:sz w:val="22"/>
                <w:szCs w:val="22"/>
                <w:lang w:eastAsia="it-IT"/>
              </w:rPr>
              <w:t>202</w:t>
            </w:r>
            <w:r w:rsidR="00DB3233" w:rsidRPr="00BF730A">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F730A" w:rsidRDefault="000A03B2" w:rsidP="00CD5FE2">
            <w:pPr>
              <w:spacing w:line="140" w:lineRule="atLeast"/>
              <w:jc w:val="right"/>
              <w:rPr>
                <w:rFonts w:cs="Arial"/>
                <w:sz w:val="14"/>
                <w:szCs w:val="14"/>
              </w:rPr>
            </w:pPr>
            <w:r w:rsidRPr="00BF730A">
              <w:rPr>
                <w:rFonts w:cs="Arial"/>
                <w:sz w:val="14"/>
                <w:szCs w:val="14"/>
              </w:rPr>
              <w:t>A publication of</w:t>
            </w:r>
          </w:p>
          <w:p w14:paraId="599E5441" w14:textId="77777777" w:rsidR="000A03B2" w:rsidRPr="00BF730A" w:rsidRDefault="000A03B2" w:rsidP="00CD5FE2">
            <w:pPr>
              <w:jc w:val="right"/>
              <w:rPr>
                <w:rFonts w:cs="Arial"/>
              </w:rPr>
            </w:pPr>
            <w:r w:rsidRPr="00BF730A">
              <w:rPr>
                <w:rFonts w:cs="Arial"/>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F730A" w14:paraId="380FA3CD" w14:textId="77777777" w:rsidTr="00DE264A">
        <w:trPr>
          <w:trHeight w:val="567"/>
          <w:jc w:val="center"/>
        </w:trPr>
        <w:tc>
          <w:tcPr>
            <w:tcW w:w="6946" w:type="dxa"/>
            <w:vMerge/>
            <w:tcBorders>
              <w:right w:val="single" w:sz="4" w:space="0" w:color="auto"/>
            </w:tcBorders>
          </w:tcPr>
          <w:p w14:paraId="39E5E4C1" w14:textId="77777777" w:rsidR="000A03B2" w:rsidRPr="00BF730A" w:rsidRDefault="000A03B2" w:rsidP="00CD5FE2">
            <w:pPr>
              <w:tabs>
                <w:tab w:val="left" w:pos="-108"/>
              </w:tabs>
              <w:rPr>
                <w:rFonts w:cs="Arial"/>
              </w:rPr>
            </w:pPr>
          </w:p>
        </w:tc>
        <w:tc>
          <w:tcPr>
            <w:tcW w:w="1843" w:type="dxa"/>
            <w:tcBorders>
              <w:left w:val="single" w:sz="4" w:space="0" w:color="auto"/>
              <w:bottom w:val="nil"/>
              <w:right w:val="single" w:sz="4" w:space="0" w:color="auto"/>
            </w:tcBorders>
          </w:tcPr>
          <w:p w14:paraId="43858A98" w14:textId="77777777" w:rsidR="000A03B2" w:rsidRPr="00BF730A" w:rsidRDefault="000A03B2" w:rsidP="00CD5FE2">
            <w:pPr>
              <w:spacing w:line="140" w:lineRule="atLeast"/>
              <w:jc w:val="right"/>
              <w:rPr>
                <w:rFonts w:cs="Arial"/>
                <w:sz w:val="14"/>
                <w:szCs w:val="14"/>
              </w:rPr>
            </w:pPr>
            <w:r w:rsidRPr="00BF730A">
              <w:rPr>
                <w:rFonts w:cs="Arial"/>
                <w:sz w:val="14"/>
                <w:szCs w:val="14"/>
              </w:rPr>
              <w:t>The Italian Association</w:t>
            </w:r>
          </w:p>
          <w:p w14:paraId="7522B1D2" w14:textId="77777777" w:rsidR="000A03B2" w:rsidRPr="00BF730A" w:rsidRDefault="000A03B2" w:rsidP="00CD5FE2">
            <w:pPr>
              <w:spacing w:line="140" w:lineRule="atLeast"/>
              <w:jc w:val="right"/>
              <w:rPr>
                <w:rFonts w:cs="Arial"/>
                <w:sz w:val="14"/>
                <w:szCs w:val="14"/>
              </w:rPr>
            </w:pPr>
            <w:r w:rsidRPr="00BF730A">
              <w:rPr>
                <w:rFonts w:cs="Arial"/>
                <w:sz w:val="14"/>
                <w:szCs w:val="14"/>
              </w:rPr>
              <w:t>of Chemical Engineering</w:t>
            </w:r>
          </w:p>
          <w:p w14:paraId="4F0CC5DE" w14:textId="47FDB2FC" w:rsidR="000A03B2" w:rsidRPr="00BF730A" w:rsidRDefault="000D0268" w:rsidP="00CD5FE2">
            <w:pPr>
              <w:spacing w:line="140" w:lineRule="atLeast"/>
              <w:jc w:val="right"/>
              <w:rPr>
                <w:rFonts w:cs="Arial"/>
                <w:sz w:val="13"/>
                <w:szCs w:val="13"/>
              </w:rPr>
            </w:pPr>
            <w:r w:rsidRPr="00BF730A">
              <w:rPr>
                <w:rFonts w:cs="Arial"/>
                <w:sz w:val="13"/>
                <w:szCs w:val="13"/>
              </w:rPr>
              <w:t>Online at www.cetjournal.it</w:t>
            </w:r>
          </w:p>
        </w:tc>
      </w:tr>
      <w:tr w:rsidR="000A03B2" w:rsidRPr="00BF730A" w14:paraId="2D1B7169" w14:textId="77777777" w:rsidTr="00DE264A">
        <w:trPr>
          <w:trHeight w:val="68"/>
          <w:jc w:val="center"/>
        </w:trPr>
        <w:tc>
          <w:tcPr>
            <w:tcW w:w="8789" w:type="dxa"/>
            <w:gridSpan w:val="2"/>
          </w:tcPr>
          <w:p w14:paraId="1D8DD3C9" w14:textId="475D992A" w:rsidR="00AA7D26" w:rsidRPr="00BF730A" w:rsidRDefault="00AA7D26" w:rsidP="00AA7D26">
            <w:pPr>
              <w:ind w:left="-107"/>
              <w:outlineLvl w:val="2"/>
              <w:rPr>
                <w:rFonts w:cs="Arial"/>
                <w:bCs/>
                <w:color w:val="000000"/>
                <w:sz w:val="14"/>
                <w:szCs w:val="14"/>
                <w:lang w:eastAsia="it-IT"/>
              </w:rPr>
            </w:pPr>
            <w:r w:rsidRPr="00BF730A">
              <w:rPr>
                <w:rFonts w:cs="Arial"/>
                <w:iCs/>
                <w:color w:val="333333"/>
                <w:sz w:val="14"/>
                <w:szCs w:val="14"/>
                <w:lang w:eastAsia="it-IT"/>
              </w:rPr>
              <w:t>Guest Editors:</w:t>
            </w:r>
            <w:r w:rsidRPr="00BF730A">
              <w:rPr>
                <w:rFonts w:cs="Arial"/>
                <w:color w:val="000000"/>
                <w:sz w:val="14"/>
                <w:szCs w:val="14"/>
                <w:shd w:val="clear" w:color="auto" w:fill="FFFFFF"/>
              </w:rPr>
              <w:t xml:space="preserve"> </w:t>
            </w:r>
            <w:r w:rsidR="006A23E9" w:rsidRPr="00BF730A">
              <w:rPr>
                <w:rFonts w:cs="Arial"/>
                <w:color w:val="000000"/>
                <w:sz w:val="14"/>
                <w:szCs w:val="14"/>
                <w:shd w:val="clear" w:color="auto" w:fill="FFFFFF"/>
              </w:rPr>
              <w:t xml:space="preserve">Leonardo Tognotti, </w:t>
            </w:r>
            <w:r w:rsidR="006A23E9" w:rsidRPr="00BF730A">
              <w:rPr>
                <w:rFonts w:cs="Arial"/>
                <w:color w:val="000000"/>
                <w:sz w:val="14"/>
                <w:szCs w:val="14"/>
              </w:rPr>
              <w:t>Rubens Maciel Filho</w:t>
            </w:r>
            <w:r w:rsidR="006A23E9" w:rsidRPr="00BF730A">
              <w:rPr>
                <w:rFonts w:cs="Arial"/>
                <w:color w:val="000000"/>
                <w:sz w:val="14"/>
                <w:szCs w:val="14"/>
                <w:shd w:val="clear" w:color="auto" w:fill="FFFFFF"/>
              </w:rPr>
              <w:t xml:space="preserve">, </w:t>
            </w:r>
            <w:r w:rsidR="006A23E9" w:rsidRPr="00BF730A">
              <w:rPr>
                <w:rFonts w:cs="Arial"/>
                <w:color w:val="000000"/>
                <w:sz w:val="14"/>
                <w:szCs w:val="14"/>
              </w:rPr>
              <w:t>Viatcheslav Kafarov</w:t>
            </w:r>
          </w:p>
          <w:p w14:paraId="1B0F1814" w14:textId="3AD74145" w:rsidR="000A03B2" w:rsidRPr="00BF730A" w:rsidRDefault="00AA7D26" w:rsidP="00AA7D26">
            <w:pPr>
              <w:tabs>
                <w:tab w:val="left" w:pos="-108"/>
              </w:tabs>
              <w:spacing w:line="140" w:lineRule="atLeast"/>
              <w:ind w:left="-107"/>
              <w:jc w:val="left"/>
              <w:rPr>
                <w:rFonts w:cs="Arial"/>
              </w:rPr>
            </w:pPr>
            <w:r w:rsidRPr="00BF730A">
              <w:rPr>
                <w:rFonts w:cs="Arial"/>
                <w:iCs/>
                <w:color w:val="333333"/>
                <w:sz w:val="14"/>
                <w:szCs w:val="14"/>
                <w:lang w:eastAsia="it-IT"/>
              </w:rPr>
              <w:t>Copyright © 202</w:t>
            </w:r>
            <w:r w:rsidR="00843EAC" w:rsidRPr="00BF730A">
              <w:rPr>
                <w:rFonts w:cs="Arial"/>
                <w:iCs/>
                <w:color w:val="333333"/>
                <w:sz w:val="14"/>
                <w:szCs w:val="14"/>
                <w:lang w:eastAsia="it-IT"/>
              </w:rPr>
              <w:t>4</w:t>
            </w:r>
            <w:r w:rsidRPr="00BF730A">
              <w:rPr>
                <w:rFonts w:cs="Arial"/>
                <w:iCs/>
                <w:color w:val="333333"/>
                <w:sz w:val="14"/>
                <w:szCs w:val="14"/>
                <w:lang w:eastAsia="it-IT"/>
              </w:rPr>
              <w:t>, AIDIC Servizi S.r.l.</w:t>
            </w:r>
            <w:r w:rsidRPr="00BF730A">
              <w:rPr>
                <w:rFonts w:cs="Arial"/>
                <w:iCs/>
                <w:color w:val="333333"/>
                <w:sz w:val="14"/>
                <w:szCs w:val="14"/>
                <w:lang w:eastAsia="it-IT"/>
              </w:rPr>
              <w:br/>
            </w:r>
            <w:r w:rsidRPr="00BF730A">
              <w:rPr>
                <w:rFonts w:cs="Arial"/>
                <w:b/>
                <w:iCs/>
                <w:color w:val="000000"/>
                <w:sz w:val="14"/>
                <w:szCs w:val="14"/>
                <w:lang w:eastAsia="it-IT"/>
              </w:rPr>
              <w:t>ISBN</w:t>
            </w:r>
            <w:r w:rsidRPr="00BF730A">
              <w:rPr>
                <w:rFonts w:cs="Arial"/>
                <w:iCs/>
                <w:color w:val="000000"/>
                <w:sz w:val="14"/>
                <w:szCs w:val="14"/>
                <w:lang w:eastAsia="it-IT"/>
              </w:rPr>
              <w:t xml:space="preserve"> </w:t>
            </w:r>
            <w:r w:rsidR="008B7C03" w:rsidRPr="00BF730A">
              <w:rPr>
                <w:rFonts w:cs="Arial"/>
                <w:sz w:val="14"/>
                <w:szCs w:val="14"/>
              </w:rPr>
              <w:t>979-12-81206</w:t>
            </w:r>
            <w:r w:rsidRPr="00BF730A">
              <w:rPr>
                <w:rFonts w:cs="Arial"/>
                <w:sz w:val="14"/>
                <w:szCs w:val="14"/>
              </w:rPr>
              <w:t>-</w:t>
            </w:r>
            <w:r w:rsidR="00DB3233" w:rsidRPr="00BF730A">
              <w:rPr>
                <w:rFonts w:cs="Arial"/>
                <w:sz w:val="14"/>
                <w:szCs w:val="14"/>
              </w:rPr>
              <w:t>09</w:t>
            </w:r>
            <w:r w:rsidRPr="00BF730A">
              <w:rPr>
                <w:rFonts w:cs="Arial"/>
                <w:sz w:val="14"/>
                <w:szCs w:val="14"/>
              </w:rPr>
              <w:t>-</w:t>
            </w:r>
            <w:r w:rsidR="00DB3233" w:rsidRPr="00BF730A">
              <w:rPr>
                <w:rFonts w:cs="Arial"/>
                <w:sz w:val="14"/>
                <w:szCs w:val="14"/>
              </w:rPr>
              <w:t>0</w:t>
            </w:r>
            <w:r w:rsidRPr="00BF730A">
              <w:rPr>
                <w:rFonts w:cs="Arial"/>
                <w:iCs/>
                <w:color w:val="333333"/>
                <w:sz w:val="14"/>
                <w:szCs w:val="14"/>
                <w:lang w:eastAsia="it-IT"/>
              </w:rPr>
              <w:t xml:space="preserve">; </w:t>
            </w:r>
            <w:r w:rsidRPr="00BF730A">
              <w:rPr>
                <w:rFonts w:cs="Arial"/>
                <w:b/>
                <w:iCs/>
                <w:color w:val="333333"/>
                <w:sz w:val="14"/>
                <w:szCs w:val="14"/>
                <w:lang w:eastAsia="it-IT"/>
              </w:rPr>
              <w:t>ISSN</w:t>
            </w:r>
            <w:r w:rsidRPr="00BF730A">
              <w:rPr>
                <w:rFonts w:cs="Arial"/>
                <w:iCs/>
                <w:color w:val="333333"/>
                <w:sz w:val="14"/>
                <w:szCs w:val="14"/>
                <w:lang w:eastAsia="it-IT"/>
              </w:rPr>
              <w:t xml:space="preserve"> 2283-9216</w:t>
            </w:r>
          </w:p>
        </w:tc>
      </w:tr>
    </w:tbl>
    <w:p w14:paraId="2E667253" w14:textId="3A21171F" w:rsidR="00E978D0" w:rsidRPr="00BF730A" w:rsidRDefault="003832A4" w:rsidP="00E978D0">
      <w:pPr>
        <w:pStyle w:val="CETTitle"/>
        <w:rPr>
          <w:rFonts w:cs="Arial"/>
        </w:rPr>
      </w:pPr>
      <w:r w:rsidRPr="00BF730A">
        <w:rPr>
          <w:rFonts w:cs="Arial"/>
        </w:rPr>
        <w:t xml:space="preserve">Case study: Simulation </w:t>
      </w:r>
      <w:r w:rsidR="00555DB7" w:rsidRPr="00BF730A">
        <w:rPr>
          <w:rFonts w:cs="Arial"/>
        </w:rPr>
        <w:t>of synthetic natural gas production plant from empty fruit bunches</w:t>
      </w:r>
    </w:p>
    <w:p w14:paraId="0488FED2" w14:textId="2D448391" w:rsidR="00B57E6F" w:rsidRPr="00BF730A" w:rsidRDefault="004A06F0" w:rsidP="00B57E6F">
      <w:pPr>
        <w:pStyle w:val="CETAuthors"/>
        <w:rPr>
          <w:rFonts w:cs="Arial"/>
          <w:lang w:val="es-CO"/>
        </w:rPr>
      </w:pPr>
      <w:r w:rsidRPr="00BF730A">
        <w:rPr>
          <w:rFonts w:cs="Arial"/>
          <w:lang w:val="es-CO"/>
        </w:rPr>
        <w:t>Otto A. Ortiz</w:t>
      </w:r>
      <w:r w:rsidR="00B57E6F" w:rsidRPr="00BF730A">
        <w:rPr>
          <w:rFonts w:cs="Arial"/>
          <w:vertAlign w:val="superscript"/>
          <w:lang w:val="es-CO"/>
        </w:rPr>
        <w:t>a</w:t>
      </w:r>
      <w:r w:rsidR="00B57E6F" w:rsidRPr="00BF730A">
        <w:rPr>
          <w:rFonts w:cs="Arial"/>
          <w:lang w:val="es-CO"/>
        </w:rPr>
        <w:t xml:space="preserve">, </w:t>
      </w:r>
      <w:r w:rsidR="00547D56" w:rsidRPr="00BF730A">
        <w:rPr>
          <w:rFonts w:cs="Arial"/>
          <w:lang w:val="es-CO"/>
        </w:rPr>
        <w:t>Karina</w:t>
      </w:r>
      <w:r w:rsidR="00B57E6F" w:rsidRPr="00BF730A">
        <w:rPr>
          <w:rFonts w:cs="Arial"/>
          <w:lang w:val="es-CO"/>
        </w:rPr>
        <w:t xml:space="preserve"> A. </w:t>
      </w:r>
      <w:r w:rsidR="00547D56" w:rsidRPr="00BF730A">
        <w:rPr>
          <w:rFonts w:cs="Arial"/>
          <w:lang w:val="es-CO"/>
        </w:rPr>
        <w:t>Ojeda</w:t>
      </w:r>
      <w:r w:rsidR="00B57E6F" w:rsidRPr="00BF730A">
        <w:rPr>
          <w:rFonts w:cs="Arial"/>
          <w:vertAlign w:val="superscript"/>
          <w:lang w:val="es-CO"/>
        </w:rPr>
        <w:t>b,</w:t>
      </w:r>
      <w:r w:rsidR="00B57E6F" w:rsidRPr="00BF730A">
        <w:rPr>
          <w:rFonts w:cs="Arial"/>
          <w:lang w:val="es-CO"/>
        </w:rPr>
        <w:t>*,</w:t>
      </w:r>
      <w:r w:rsidR="00EF550E" w:rsidRPr="00BF730A">
        <w:rPr>
          <w:rFonts w:cs="Arial"/>
          <w:lang w:val="es-CO"/>
        </w:rPr>
        <w:t xml:space="preserve"> Luis A. Rios</w:t>
      </w:r>
      <w:r w:rsidR="00EF550E" w:rsidRPr="00BF730A">
        <w:rPr>
          <w:rFonts w:cs="Arial"/>
          <w:vertAlign w:val="superscript"/>
          <w:lang w:val="es-CO"/>
        </w:rPr>
        <w:t>a</w:t>
      </w:r>
      <w:r w:rsidR="00B57E6F" w:rsidRPr="00BF730A">
        <w:rPr>
          <w:rFonts w:cs="Arial"/>
          <w:lang w:val="es-CO"/>
        </w:rPr>
        <w:t xml:space="preserve"> </w:t>
      </w:r>
    </w:p>
    <w:p w14:paraId="6B2D21B3" w14:textId="0E167D0A" w:rsidR="00B57E6F" w:rsidRPr="00BF730A" w:rsidRDefault="00B57E6F" w:rsidP="00B57E6F">
      <w:pPr>
        <w:pStyle w:val="CETAddress"/>
        <w:rPr>
          <w:rFonts w:cs="Arial"/>
        </w:rPr>
      </w:pPr>
      <w:r w:rsidRPr="00BF730A">
        <w:rPr>
          <w:rFonts w:cs="Arial"/>
          <w:vertAlign w:val="superscript"/>
        </w:rPr>
        <w:t>a</w:t>
      </w:r>
      <w:r w:rsidR="00D941EA">
        <w:rPr>
          <w:rFonts w:cs="Arial"/>
        </w:rPr>
        <w:t>Grupo Procesos Quimicos Industriales (PQI),</w:t>
      </w:r>
      <w:r w:rsidR="006C7ECE" w:rsidRPr="00BF730A">
        <w:rPr>
          <w:rFonts w:cs="Arial"/>
        </w:rPr>
        <w:t xml:space="preserve"> Department</w:t>
      </w:r>
      <w:r w:rsidR="00B242B1" w:rsidRPr="00BF730A">
        <w:rPr>
          <w:rFonts w:cs="Arial"/>
        </w:rPr>
        <w:t xml:space="preserve"> of Engineering</w:t>
      </w:r>
      <w:r w:rsidR="00D941EA">
        <w:rPr>
          <w:rFonts w:cs="Arial"/>
        </w:rPr>
        <w:t xml:space="preserve">, </w:t>
      </w:r>
      <w:r w:rsidR="00D941EA" w:rsidRPr="00BF730A">
        <w:rPr>
          <w:rFonts w:cs="Arial"/>
        </w:rPr>
        <w:t>University of Antioquia,</w:t>
      </w:r>
      <w:r w:rsidRPr="00BF730A">
        <w:rPr>
          <w:rFonts w:cs="Arial"/>
        </w:rPr>
        <w:t xml:space="preserve"> </w:t>
      </w:r>
      <w:r w:rsidR="00B242B1" w:rsidRPr="00BF730A">
        <w:rPr>
          <w:rFonts w:cs="Arial"/>
        </w:rPr>
        <w:t>Medellín, Colombia</w:t>
      </w:r>
    </w:p>
    <w:p w14:paraId="3D72B0B0" w14:textId="4D15ABF5" w:rsidR="00B57E6F" w:rsidRPr="00BF730A" w:rsidRDefault="00B57E6F" w:rsidP="00B57E6F">
      <w:pPr>
        <w:pStyle w:val="CETAddress"/>
        <w:rPr>
          <w:rFonts w:cs="Arial"/>
        </w:rPr>
      </w:pPr>
      <w:r w:rsidRPr="00BF730A">
        <w:rPr>
          <w:rFonts w:cs="Arial"/>
          <w:vertAlign w:val="superscript"/>
        </w:rPr>
        <w:t>b</w:t>
      </w:r>
      <w:r w:rsidR="00D941EA" w:rsidRPr="00E200FF">
        <w:t xml:space="preserve">Process Design and Biomass Utilization Research Group (IDAB). Chemical Engineering Program, </w:t>
      </w:r>
      <w:r w:rsidR="00D941EA">
        <w:t xml:space="preserve">Universidad de Cartagena, </w:t>
      </w:r>
      <w:r w:rsidR="005945F7" w:rsidRPr="00BF730A">
        <w:rPr>
          <w:rFonts w:cs="Arial"/>
        </w:rPr>
        <w:t>Cartagena, Colombia</w:t>
      </w:r>
      <w:r w:rsidRPr="00BF730A">
        <w:rPr>
          <w:rFonts w:cs="Arial"/>
        </w:rPr>
        <w:t xml:space="preserve"> </w:t>
      </w:r>
    </w:p>
    <w:p w14:paraId="73F1267A" w14:textId="153E3FB0" w:rsidR="00B57E6F" w:rsidRPr="00BF730A" w:rsidRDefault="00547D56" w:rsidP="00B57E6F">
      <w:pPr>
        <w:pStyle w:val="CETemail"/>
        <w:rPr>
          <w:rFonts w:cs="Arial"/>
        </w:rPr>
      </w:pPr>
      <w:r w:rsidRPr="00BF730A">
        <w:rPr>
          <w:rFonts w:cs="Arial"/>
        </w:rPr>
        <w:t>kojedad@unicartagena.edu.co</w:t>
      </w:r>
    </w:p>
    <w:p w14:paraId="4EEBD01E" w14:textId="5998D93F" w:rsidR="006173AD" w:rsidRPr="00BF730A" w:rsidRDefault="006173AD" w:rsidP="00A02721">
      <w:pPr>
        <w:pStyle w:val="CETBodytext"/>
        <w:rPr>
          <w:rFonts w:cs="Arial"/>
        </w:rPr>
      </w:pPr>
      <w:r w:rsidRPr="00BF730A">
        <w:rPr>
          <w:rFonts w:cs="Arial"/>
        </w:rPr>
        <w:t>Colombia has a privileged geography and location that allow it to have a great potential in terms of variety and availability of useful raw materials to produce synthetic natural gas (SNG) through the combined gasification-methanation process. In this study, the steady state simulation model of a proposed plant to produce SNG from empty fruit bunches (EFB) is done in Aspen Plus. The combined gasification-methanation process has been modeled in four stages. In the first stage, the moisture content of the biomass is reduced. In the second stage, gasification of the dry EFB is performed. In the third stage, cleaning and conditioning of the produced gas (syngas) is carried out, removing ash, tars, COS, H</w:t>
      </w:r>
      <w:r w:rsidRPr="00BF730A">
        <w:rPr>
          <w:rFonts w:cs="Arial"/>
          <w:vertAlign w:val="subscript"/>
        </w:rPr>
        <w:t>2</w:t>
      </w:r>
      <w:r w:rsidRPr="00BF730A">
        <w:rPr>
          <w:rFonts w:cs="Arial"/>
        </w:rPr>
        <w:t>S and CO</w:t>
      </w:r>
      <w:r w:rsidRPr="00BF730A">
        <w:rPr>
          <w:rFonts w:cs="Arial"/>
          <w:vertAlign w:val="subscript"/>
        </w:rPr>
        <w:t>2</w:t>
      </w:r>
      <w:r w:rsidRPr="00BF730A">
        <w:rPr>
          <w:rFonts w:cs="Arial"/>
        </w:rPr>
        <w:t>. In the fourth stage, methanation of the syngas is carried out using Tremp technology to produce SNG. The SNG produced contains a methane molar concentration of 95% and an approximate yield of 0.064 m</w:t>
      </w:r>
      <w:r w:rsidRPr="00BF730A">
        <w:rPr>
          <w:rFonts w:cs="Arial"/>
          <w:vertAlign w:val="superscript"/>
        </w:rPr>
        <w:t>3</w:t>
      </w:r>
      <w:r w:rsidRPr="00BF730A">
        <w:rPr>
          <w:rFonts w:cs="Arial"/>
        </w:rPr>
        <w:t xml:space="preserve"> SNG/kg of biomass. The plant simulation has been improved by means of an energy integration, implemented through Pinch technology. The energy integration enabled savings of 100</w:t>
      </w:r>
      <w:r w:rsidR="002311BD" w:rsidRPr="00BF730A">
        <w:rPr>
          <w:rFonts w:cs="Arial"/>
        </w:rPr>
        <w:t xml:space="preserve"> </w:t>
      </w:r>
      <w:r w:rsidRPr="00BF730A">
        <w:rPr>
          <w:rFonts w:cs="Arial"/>
        </w:rPr>
        <w:t>% of the required heating utilities and 37.7</w:t>
      </w:r>
      <w:r w:rsidR="002311BD" w:rsidRPr="00BF730A">
        <w:rPr>
          <w:rFonts w:cs="Arial"/>
        </w:rPr>
        <w:t xml:space="preserve"> </w:t>
      </w:r>
      <w:r w:rsidRPr="00BF730A">
        <w:rPr>
          <w:rFonts w:cs="Arial"/>
        </w:rPr>
        <w:t>% of the cooling utilities.</w:t>
      </w:r>
    </w:p>
    <w:p w14:paraId="479BF493" w14:textId="77777777" w:rsidR="006173AD" w:rsidRPr="00BF730A" w:rsidRDefault="006173AD" w:rsidP="006173AD">
      <w:pPr>
        <w:pStyle w:val="CETBodytext"/>
        <w:rPr>
          <w:rFonts w:cs="Arial"/>
        </w:rPr>
      </w:pPr>
    </w:p>
    <w:p w14:paraId="476B2F2E" w14:textId="77777777" w:rsidR="00600535" w:rsidRPr="00BF730A" w:rsidRDefault="00600535" w:rsidP="00600535">
      <w:pPr>
        <w:pStyle w:val="CETHeading1"/>
        <w:rPr>
          <w:rFonts w:cs="Arial"/>
          <w:lang w:val="en-GB"/>
        </w:rPr>
      </w:pPr>
      <w:r w:rsidRPr="00BF730A">
        <w:rPr>
          <w:rFonts w:cs="Arial"/>
          <w:lang w:val="en-GB"/>
        </w:rPr>
        <w:t>Introduction</w:t>
      </w:r>
    </w:p>
    <w:p w14:paraId="5B7DC66F" w14:textId="6DC181E3" w:rsidR="003015A5" w:rsidRPr="00BF730A" w:rsidRDefault="00D80A68" w:rsidP="00A02721">
      <w:pPr>
        <w:pStyle w:val="CETBodytext"/>
        <w:rPr>
          <w:rFonts w:cs="Arial"/>
        </w:rPr>
      </w:pPr>
      <w:r w:rsidRPr="00BF730A">
        <w:rPr>
          <w:rFonts w:cs="Arial"/>
        </w:rPr>
        <w:t xml:space="preserve">Industrialization and the world population are continuously growing, which causes an increase in energy demand both commercially and domestically. The main source of energy to supply this demand is fossil fuels, which make up about 81.1% of the world energy mix </w:t>
      </w:r>
      <w:r w:rsidR="00691110" w:rsidRPr="00BF730A">
        <w:rPr>
          <w:rFonts w:cs="Arial"/>
        </w:rPr>
        <w:fldChar w:fldCharType="begin" w:fldLock="1"/>
      </w:r>
      <w:r w:rsidR="00691110" w:rsidRPr="00BF730A">
        <w:rPr>
          <w:rFonts w:cs="Arial"/>
        </w:rPr>
        <w:instrText>ADDIN CSL_CITATION {"citationItems":[{"id":"ITEM-1","itemData":{"DOI":"10.1021/acs.energyfuels.7b02670","ISSN":"15205029","abstract":"The current work is based on the simulation modeling of steam gasification of palm kernel shell (PKS) with CO2 capture through sorbent (CaO) using Aspen plus. The simulation model is developed using a Gibbs free energy minimization method. The objective of this work is to investigate the effect of key parameters like temperature, steam/biomass ratio, and CaO/biomass ratio on syngas yield. The system performance was also evaluated through carbon conversion efficiency, cold gas efficiency and gasification efficiency, lower and higher heating values by varying the gasification temperature, steam/biomass ratio, and CaO/biomass ratio. The H2 concentration increased from 65 to 79.32 vol % with the increase of temperature from 650 to 700 °C. The CO2 content was reduced from 20 to 5.32 vol % by increase in CaO/biomass ratio from 0.5 to 1.42. The maximum hydrogen content predicted is 79.32 vol %, and the minimum CO2 content is 5.42 vol % found at operating parameters including a temperature of 700 °C, steam/biomass ratio of 1.5, and CaO/biomass ratio of 1.42. In addition the simulation model predicted results were compared with experimental data obtained from the experimental set up used in the simulation.","author":[{"dropping-particle":"","family":"Shahbaz","given":"Muhammad","non-dropping-particle":"","parse-names":false,"suffix":""},{"dropping-particle":"","family":"Yusup","given":"Suzana","non-dropping-particle":"","parse-names":false,"suffix":""},{"dropping-particle":"","family":"Inayat","given":"Abrar","non-dropping-particle":"","parse-names":false,"suffix":""},{"dropping-particle":"","family":"Ammar","given":"Muhammad","non-dropping-particle":"","parse-names":false,"suffix":""},{"dropping-particle":"","family":"Patrick","given":"David Onoja","non-dropping-particle":"","parse-names":false,"suffix":""},{"dropping-particle":"","family":"Pratama","given":"Angga","non-dropping-particle":"","parse-names":false,"suffix":""},{"dropping-particle":"","family":"Naqvi","given":"Salman Raza","non-dropping-particle":"","parse-names":false,"suffix":""}],"container-title":"Energy and Fuels","id":"ITEM-1","issue":"11","issued":{"date-parts":[["2017"]]},"page":"12350-12357","title":"Syngas Production from Steam Gasification of Palm Kernel Shell with Subsequent CO2 Capture Using CaO Sorbent: An Aspen Plus Modeling","type":"article-journal","volume":"31"},"uris":["http://www.mendeley.com/documents/?uuid=fccbc645-6aa6-4222-be35-88975db9fbe8"]}],"mendeley":{"formattedCitation":"(Shahbaz et al., 2017)","plainTextFormattedCitation":"(Shahbaz et al., 2017)","previouslyFormattedCitation":"(Shahbaz et al., 2017)"},"properties":{"noteIndex":0},"schema":"https://github.com/citation-style-language/schema/raw/master/csl-citation.json"}</w:instrText>
      </w:r>
      <w:r w:rsidR="00691110" w:rsidRPr="00BF730A">
        <w:rPr>
          <w:rFonts w:cs="Arial"/>
        </w:rPr>
        <w:fldChar w:fldCharType="separate"/>
      </w:r>
      <w:r w:rsidR="00691110" w:rsidRPr="00BF730A">
        <w:rPr>
          <w:rFonts w:cs="Arial"/>
          <w:noProof/>
        </w:rPr>
        <w:t>(Shahbaz et al., 2017)</w:t>
      </w:r>
      <w:r w:rsidR="00691110" w:rsidRPr="00BF730A">
        <w:rPr>
          <w:rFonts w:cs="Arial"/>
        </w:rPr>
        <w:fldChar w:fldCharType="end"/>
      </w:r>
      <w:r w:rsidR="00691110" w:rsidRPr="00BF730A">
        <w:rPr>
          <w:rFonts w:cs="Arial"/>
        </w:rPr>
        <w:t xml:space="preserve">. </w:t>
      </w:r>
      <w:r w:rsidR="000F4B19" w:rsidRPr="00BF730A">
        <w:rPr>
          <w:rFonts w:cs="Arial"/>
        </w:rPr>
        <w:t>Fossil fuels have the disadvantage of being non-renewable natural resources, and the problems of climate change and global warming have been attributed to their use. Therefore, worldwide, the energy sector is seeking to expand to include cleaner energy sources. Biomass, considered a CO</w:t>
      </w:r>
      <w:r w:rsidR="000F4B19" w:rsidRPr="00BF730A">
        <w:rPr>
          <w:rFonts w:cs="Arial"/>
          <w:vertAlign w:val="subscript"/>
        </w:rPr>
        <w:t>2</w:t>
      </w:r>
      <w:r w:rsidR="000F4B19" w:rsidRPr="00BF730A">
        <w:rPr>
          <w:rFonts w:cs="Arial"/>
        </w:rPr>
        <w:t>-neutral renewable fuel, can contribute toward the development of a larger and cleaner energy sector</w:t>
      </w:r>
      <w:r w:rsidR="00691110" w:rsidRPr="00BF730A">
        <w:rPr>
          <w:rFonts w:cs="Arial"/>
        </w:rPr>
        <w:t xml:space="preserve"> </w:t>
      </w:r>
      <w:r w:rsidR="00691110" w:rsidRPr="00BF730A">
        <w:rPr>
          <w:rFonts w:cs="Arial"/>
        </w:rPr>
        <w:fldChar w:fldCharType="begin" w:fldLock="1"/>
      </w:r>
      <w:r w:rsidR="00691110" w:rsidRPr="00BF730A">
        <w:rPr>
          <w:rFonts w:cs="Arial"/>
        </w:rPr>
        <w:instrText>ADDIN CSL_CITATION {"citationItems":[{"id":"ITEM-1","itemData":{"DOI":"10.1016/j.enconman.2020.112612","ISSN":"01968904","abstract":"Economically, fossil fuels remain the main source of energy despite their high emissions of greenhouse gases. However, biomass, a renewable fuel with CO2 neutrality, has experienced widespread attention as a potential contributor to sustainable development of the energy sector. Gasification is an important thermochemical process that converts biomass feedstock into H2-rich combustible gases, which are favoured by wide downstream applications. The use of pure steam or oxygen as a gasifying agent is preferred to increase the yield of combustible gases. Consequently, hydrogen is utilised as an important intermediary in the generation of value-added products such as urea, fuels and power. This study compares the biomass gasification using oxygen-only and steam-only gasifying agents. Moreover, the study examines a poly-generation system that consumes biomass feedstock of multiple sources to produce high grade Fisher-Tropsch liquids, methanol, urea, and power. To achieve this aim, four Aspen Plus simulation flowsheets are developed considering both gasifiying agents and compared utilising the built-in economic and environmental capabilities. The results obtained from the economic and environmental evaluation demonstrate the excellence of steam-only biomass gasification in providing profitable and cleaner products. The methanol production using steam gasification is the most economical solution with a net profit per input of $0.12 per kg of biomass input and the lowest emissions pathway with 0.68 kg of CO2-e per biomass input. The relative nature of the results can offer diverse perspectives depending on the market situation of the products. Consequently, analysing the results relative to production capacity, power generation using steam gasification achieves a net profit approximated at $0.80 per kg of product, whilst methanol production using steam gasification remains the lowest environmental impact solution with 2.32 kg of CO2-e per output product.","author":[{"dropping-particle":"","family":"AlNouss","given":"Ahmed","non-dropping-particle":"","parse-names":false,"suffix":""},{"dropping-particle":"","family":"McKay","given":"Gordon","non-dropping-particle":"","parse-names":false,"suffix":""},{"dropping-particle":"","family":"Al-Ansari","given":"Tareq","non-dropping-particle":"","parse-names":false,"suffix":""}],"container-title":"Energy Conversion and Management","id":"ITEM-1","issue":"February","issued":{"date-parts":[["2020"]]},"page":"112612","publisher":"Elsevier","title":"A comparison of steam and oxygen fed biomass gasification through a techno-economic-environmental study","type":"article-journal","volume":"208"},"uris":["http://www.mendeley.com/documents/?uuid=f213a525-f1ce-4708-a37b-29771bfedb05"]}],"mendeley":{"formattedCitation":"(AlNouss et al., 2020)","plainTextFormattedCitation":"(AlNouss et al., 2020)","previouslyFormattedCitation":"(AlNouss et al., 2020)"},"properties":{"noteIndex":0},"schema":"https://github.com/citation-style-language/schema/raw/master/csl-citation.json"}</w:instrText>
      </w:r>
      <w:r w:rsidR="00691110" w:rsidRPr="00BF730A">
        <w:rPr>
          <w:rFonts w:cs="Arial"/>
        </w:rPr>
        <w:fldChar w:fldCharType="separate"/>
      </w:r>
      <w:r w:rsidR="00691110" w:rsidRPr="00BF730A">
        <w:rPr>
          <w:rFonts w:cs="Arial"/>
          <w:noProof/>
        </w:rPr>
        <w:t>(AlNouss et al., 2020)</w:t>
      </w:r>
      <w:r w:rsidR="00691110" w:rsidRPr="00BF730A">
        <w:rPr>
          <w:rFonts w:cs="Arial"/>
        </w:rPr>
        <w:fldChar w:fldCharType="end"/>
      </w:r>
      <w:r w:rsidR="00691110" w:rsidRPr="00BF730A">
        <w:rPr>
          <w:rFonts w:cs="Arial"/>
        </w:rPr>
        <w:t xml:space="preserve">. </w:t>
      </w:r>
      <w:r w:rsidR="00DA0B21" w:rsidRPr="00BF730A">
        <w:rPr>
          <w:rFonts w:cs="Arial"/>
        </w:rPr>
        <w:t xml:space="preserve">Colombia has a privileged geography and location that allows it to have a large quantity and variety of biomasses, including wastes associated with the production of oil palm fruit bunches such as empty fruit bunches (EFB). </w:t>
      </w:r>
      <w:r w:rsidR="003251AE" w:rsidRPr="003251AE">
        <w:rPr>
          <w:rFonts w:cs="Arial"/>
          <w:lang w:val="es-CO"/>
        </w:rPr>
        <w:t>In 2022, approximately 1846956 tons of EFB were produced in Colombia</w:t>
      </w:r>
      <w:r w:rsidR="003251AE">
        <w:rPr>
          <w:rFonts w:cs="Arial"/>
        </w:rPr>
        <w:t xml:space="preserve"> </w:t>
      </w:r>
      <w:r w:rsidR="003251AE">
        <w:rPr>
          <w:rFonts w:cs="Arial"/>
        </w:rPr>
        <w:fldChar w:fldCharType="begin" w:fldLock="1"/>
      </w:r>
      <w:r w:rsidR="003251AE">
        <w:rPr>
          <w:rFonts w:cs="Arial"/>
        </w:rPr>
        <w:instrText>ADDIN CSL_CITATION {"citationItems":[{"id":"ITEM-1","itemData":{"DOI":"10.3390/su141912537","ISSN":"20711050","abstract":"Currently, developing new or more efficient ways of producing bioenergy has caused governments from around the world to formulate compromises. These compromises translate, on a national scale, into government policies and strategies that aim to decarbonize the energy matrix of each country. The first step for efficient development is the quantification and energy-potential characterization of the available biomass. Using this framework, this study establishes the energy potential of the residual biomass produced by agricultural, agro-industrial, and forestry processes in Colombia, with gasification being the selected transformation technology. For this purpose, data from primary and secondary sources were analyzed. Next, some biomasses were prioritized according to their availability and physicochemical properties. Then, the theoretical energy potential of the total biomass produced in these productive sectors was estimated by using its physicochemical properties. The technical biomass–energy potential of the country (204.8–235.3 PJ) was estimated by considering the current level of unused biomass and evaluating the logistics and conditioning requirements of the gasification process, while accounting for the peaks and off-peaks of production in the country. Thus, if all the biomasses were processed in a gasification plant (22.2–24.0% efficiency), as proposed in this study, then the installed capacity—if the plant-use factor was 85%—would range between 1696.7–2111.3 MW. The results of the present research were validated by representatives of unions, companies, and government entities.","author":[{"dropping-particle":"","family":"Pérez-Rodríguez","given":"Claudia Patricia","non-dropping-particle":"","parse-names":false,"suffix":""},{"dropping-particle":"","family":"Ríos","given":"Luis Alberto","non-dropping-particle":"","parse-names":false,"suffix":""},{"dropping-particle":"","family":"Duarte González","given":"Carmen Sofía","non-dropping-particle":"","parse-names":false,"suffix":""},{"dropping-particle":"","family":"Montaña","given":"Andres","non-dropping-particle":"","parse-names":false,"suffix":""},{"dropping-particle":"","family":"García-Marroquín","given":"Catalina","non-droppi</w:instrText>
      </w:r>
      <w:r w:rsidR="003251AE" w:rsidRPr="00D941EA">
        <w:rPr>
          <w:rFonts w:cs="Arial"/>
          <w:lang w:val="es-ES"/>
        </w:rPr>
        <w:instrText>ng-particle":"","parse-names":false,"suffix":""}],"container-title":"Sustainability (Switzerland)","id":"ITEM-1","issue":"19","issued":{"date-parts":[["2022"]]},"page":"1-14","title":"Harnessing Residual Biomass as a Renewable Energy Source in Colombia: A Potential Gasification Scenario","type":"article-journal","volume":"14"},"uris":["http://www.mendeley.com/documents/?uuid=2d354af4-03ad-48ff-9f3e-17434da11bac"]},{"id":"ITEM-2","itemData":{"author":[{"dropping-particle":"","family":"Federación Nacional de Cultivadores de de Palma de Aceite","given":"Fedepalma","non-dropping-particle":"","parse-names":false,"suffix":""}],"container-title":"Federación Nacional de Cultivadores de de Palma de Aceite. Fedepalma.","id":"ITEM-2","issued":{"date-parts":[["2023"]]},"title":"Minianuario estadístico 2023: Principales cifras de la agroindustria de palma de aceite en Colombia","type":"article-journal"},"uris":["http://www.mendeley.com/documents/?uuid=ccc83bd9-7c12-4476-ae6f-dffd78f2593f"]}],"mendeley":{"formattedCitation":"(Federación Nacional de Cultivadores de de Palma de Aceite, 2023; Pérez-Rodríguez et al., 2022)","plainTextFormattedCitation":"(Federación Nacional de Cultivadores de de Palma de Aceite, 2023; Pérez-Rodríguez et al., 2022)","previouslyFormattedCitation":"(Federación Nacional de Cultivadores de de Palma de Aceite, 2023; Pérez-Rodríguez et al., 2022)"},"properties":{"noteIndex":0},"schema":"https://github.com/citation-style-language/schema/raw/master/csl-citation.json"}</w:instrText>
      </w:r>
      <w:r w:rsidR="003251AE">
        <w:rPr>
          <w:rFonts w:cs="Arial"/>
        </w:rPr>
        <w:fldChar w:fldCharType="separate"/>
      </w:r>
      <w:r w:rsidR="003251AE" w:rsidRPr="003251AE">
        <w:rPr>
          <w:rFonts w:cs="Arial"/>
          <w:noProof/>
          <w:lang w:val="es-CO"/>
        </w:rPr>
        <w:t>(Federación Nacional de Cultivadores de de Palma de Aceite, 2023; Pérez-Rodríguez et al., 2022)</w:t>
      </w:r>
      <w:r w:rsidR="003251AE">
        <w:rPr>
          <w:rFonts w:cs="Arial"/>
        </w:rPr>
        <w:fldChar w:fldCharType="end"/>
      </w:r>
      <w:r w:rsidR="003251AE" w:rsidRPr="003251AE">
        <w:rPr>
          <w:noProof/>
          <w:lang w:val="es-CO"/>
        </w:rPr>
        <w:t xml:space="preserve">. </w:t>
      </w:r>
      <w:r w:rsidR="00DA0B21" w:rsidRPr="00BF730A">
        <w:rPr>
          <w:rFonts w:cs="Arial"/>
        </w:rPr>
        <w:t xml:space="preserve">EFB is used as a nutritional supplement in plantations due to its organic matter characteristics, with high nitrogen, phosphorus, and potassium contents; however, </w:t>
      </w:r>
      <w:r w:rsidR="003015A5" w:rsidRPr="00BF730A">
        <w:rPr>
          <w:rFonts w:cs="Arial"/>
        </w:rPr>
        <w:t>its abundance has created enormous environmental issue, ranging from fouling, attraction of pests, greenhouse gas emissions to soil acidification</w:t>
      </w:r>
      <w:r w:rsidR="00153A49" w:rsidRPr="00BF730A">
        <w:rPr>
          <w:rFonts w:cs="Arial"/>
        </w:rPr>
        <w:t xml:space="preserve"> </w:t>
      </w:r>
      <w:r w:rsidR="00153A49" w:rsidRPr="00BF730A">
        <w:rPr>
          <w:rFonts w:cs="Arial"/>
        </w:rPr>
        <w:fldChar w:fldCharType="begin" w:fldLock="1"/>
      </w:r>
      <w:r w:rsidR="00C83EF2" w:rsidRPr="00BF730A">
        <w:rPr>
          <w:rFonts w:cs="Arial"/>
        </w:rPr>
        <w:instrText>ADDIN CSL_CITATION {"citationItems":[{"id":"ITEM-1","itemData":{"DOI":"10.5772/intechopen.98256","ISBN":"0000957720","ISSN":"17187729","PMID":"30111972","abstract":"Elaeis guineensis (oil palm) is one of the most economical perennial oil crops for its valuable oil-producing fruits in tropical regions such as West Africa and South- East Asia. During oil extraction process, these fruits are usually stripped from the fruit bunches leaving behind empty bunches to be discarded as residues. Thus, empty fruit bunches (EFB) of Elaeis guineensis are usually considered as waste in the oil palm industry. The abundance of oil palm empty fruit bunches (OPEFB) has created enormous environmental issue, ranging from fouling, attraction of pests, greenhouse gas emissions to soil acidification, thus posing very serious threats to humans and the environment. Globally, in 2014 alone, over 22.4 million tons of EFB were estimated to have been produced. Therefore, exploring eco-friendly disposal methods and productive utilisation of oil palm EFB as alternative fibrous material for papermaking becomes imperative in converting waste to wealth, and initiating environmental wellness. Elaeis guineensis empty fruit bunch (EFB) fibre on the average measures 0.99 μm in length, while the fibre diameter and cell wall thickness are 19.1 μm and 3.38 μm respectively. Fibres of EFB are of ligno-cellulosic materials, consisting on the average of an estimated cellulosic content of 30–50%, 15–35% of hemicelluloses and the lignin constituting about 20–30% of extractive-free fibre. The rich cellulose base of EFB fibre makes Elaeis guineensis a good potential resource for papermaking furnish moreso that the pulp and paper industry is often referred to as the cellulose industry. Every 5 tons of EFB gives 1 ton of pulp for papermaking. This book chapter will therefore attempt to examine the fibre morphological characteristics of oil palm empty fruit bunch, the chemical properties of EFB fibre, papermaking potentials of empty fruit bunches and ultimately their impact on the environment.","author":[{"dropping-particle":"","family":"Akpan Sunday","given":"Noah","non-dropping-particle":"","parse-names":false,"suffix":""}],"container-title":"IntechOpen","id":"ITEM-1","issue":"Papermaking","issued":{"date-parts":[["2022"]]},"page":"13","title":"Oil Palm Empty Fruit Bunches (OPEFB) – Alternative Fibre Source for Papermaking","type":"article-journal","volume":"11"},"uris":["http://www.mendeley.com/documents/?uuid=300228d6-d6a3-456f-a40d-221534ba2808"]}],"mendeley":{"formattedCitation":"(Akpan Sunday, 2022)","plainTextFormattedCitation":"(Akpan Sunday, 2022)","previouslyFormattedCitation":"(Akpan Sunday, 2022)"},"properties":{"noteIndex":0},"schema":"https://github.com/citation-style-language/schema/raw/master/csl-citation.json"}</w:instrText>
      </w:r>
      <w:r w:rsidR="00153A49" w:rsidRPr="00BF730A">
        <w:rPr>
          <w:rFonts w:cs="Arial"/>
        </w:rPr>
        <w:fldChar w:fldCharType="separate"/>
      </w:r>
      <w:r w:rsidR="0087105F" w:rsidRPr="00BF730A">
        <w:rPr>
          <w:rFonts w:cs="Arial"/>
          <w:noProof/>
        </w:rPr>
        <w:t>(Akpan Sunday, 2022)</w:t>
      </w:r>
      <w:r w:rsidR="00153A49" w:rsidRPr="00BF730A">
        <w:rPr>
          <w:rFonts w:cs="Arial"/>
        </w:rPr>
        <w:fldChar w:fldCharType="end"/>
      </w:r>
      <w:r w:rsidR="001B77F7" w:rsidRPr="00BF730A">
        <w:rPr>
          <w:rFonts w:cs="Arial"/>
        </w:rPr>
        <w:t>.</w:t>
      </w:r>
    </w:p>
    <w:p w14:paraId="25B06705" w14:textId="77777777" w:rsidR="00DC26BF" w:rsidRPr="00BF730A" w:rsidRDefault="00DC26BF" w:rsidP="00A02721">
      <w:pPr>
        <w:pStyle w:val="CETBodytext"/>
        <w:rPr>
          <w:rFonts w:cs="Arial"/>
        </w:rPr>
      </w:pPr>
    </w:p>
    <w:p w14:paraId="21DE4146" w14:textId="602579AE" w:rsidR="00691110" w:rsidRPr="00BF730A" w:rsidRDefault="00DC26BF" w:rsidP="00A02721">
      <w:pPr>
        <w:pStyle w:val="CETBodytext"/>
        <w:rPr>
          <w:rFonts w:cs="Arial"/>
          <w:szCs w:val="18"/>
        </w:rPr>
      </w:pPr>
      <w:r w:rsidRPr="00BF730A">
        <w:rPr>
          <w:rFonts w:cs="Arial"/>
        </w:rPr>
        <w:t>There are currently two main ways by which biomass can be turned into useful products: biological or thermochemical processes. The thermochemical route of energy conversion can convert feedstock to energy through three different processes: combustion, pyrolysis,</w:t>
      </w:r>
      <w:r w:rsidR="00525A0B" w:rsidRPr="00BF730A">
        <w:rPr>
          <w:rFonts w:cs="Arial"/>
        </w:rPr>
        <w:t xml:space="preserve"> hydrothermal </w:t>
      </w:r>
      <w:r w:rsidR="002311BD" w:rsidRPr="00BF730A">
        <w:rPr>
          <w:rFonts w:cs="Arial"/>
        </w:rPr>
        <w:t>liquefaction,</w:t>
      </w:r>
      <w:r w:rsidRPr="00BF730A">
        <w:rPr>
          <w:rFonts w:cs="Arial"/>
        </w:rPr>
        <w:t xml:space="preserve"> and gasification. Among these three processes, gasification is considered to be the most influential, with higher efficiency for electricity generation and lower greenhouse gas emissions than other technologies</w:t>
      </w:r>
      <w:r w:rsidR="00691110" w:rsidRPr="00BF730A">
        <w:rPr>
          <w:rFonts w:cs="Arial"/>
        </w:rPr>
        <w:t xml:space="preserve"> </w:t>
      </w:r>
      <w:r w:rsidR="00691110" w:rsidRPr="00BF730A">
        <w:rPr>
          <w:rFonts w:cs="Arial"/>
          <w:lang w:val="es-CO"/>
        </w:rPr>
        <w:fldChar w:fldCharType="begin" w:fldLock="1"/>
      </w:r>
      <w:r w:rsidR="00691110" w:rsidRPr="00BF730A">
        <w:rPr>
          <w:rFonts w:cs="Arial"/>
        </w:rPr>
        <w:instrText>ADDIN CSL_CITATION {"citationItems":[{"id":"ITEM-1","itemData":{"abstract":"Biomass energy as an alternative source of energy promises to be a more sustainable replacement of depleting fossil energy supplies and exhibits the potential for energy independence in emerging economies because biomass resources used for producing biomass energy, especially lignocellulosic wastes are much easily obtained and processed for energy. Despite the limitations of the current biomass energy production technologies, in terms of resource potential, greenhouse gas emission reduction, ease of application and economic viability, there is considerable interest in biomass gasification. Over the years lots of gasification technologies have been developed worldwide. This study examines gasification technologies that have been presented by different authors for the last 35 years with emphasis on the situation in Ghana. The study found out that small scale, direct heating and fixed bed gasification devices are more suitable for the Ghanaian energy sector. For electrical power production, small scale and fixed bed gasifiers coupled with ICE engines generator were found to be the best for Ghana. This perfectly meets the available local technical skills, the feedstock availability and market demand (mainly for cooking fuel).","author":[{"dropping-particle":"","family":"Akolgo","given":"Gilbert Ayine","non-dropping-particle":"","parse-names":false,"suffix":""},{"dropping-particle":"","family":"Kemausuor","given":"Francis","non-dropping-particle":"","parse-names":false,"suffix":""},{"dropping-particle":"","family":"Essandoh","given":"Eric O","non-dropping-particle":"","parse-names":false,"suffix":""},{"dropping-particle":"","family":"Atta-Darkwa","given":"Thomas","non-dropping-particle":"","parse-names":false,"suffix":""},{"dropping-particle":"","family":"Bart-Plange","given":"Ato","non-dropping-particle":"","parse-names":false,"suffix":""},{"dropping-particle":"","family":"Kyei-Baffour","given":"Nicolas","non-dropping-particle":"","parse-names":false,"suffix":""},{"dropping-particle":"","family":"Maria","given":"Claudia","non-dropping-particle":"","parse-names":false,"suffix":""},{"dropping-particle":"","family":"Freitas Maia","given":"Branco","non-dropping-particle":"De","parse-names":false,"suffix":""}],"container-title":"INTERNATIONAL JOURNAL of ENGINEERING SCIENCE AND APPLICATION Akolgo et al","id":"ITEM-1","issue":"4","issued":{"date-parts":[["2019"]]},"title":"Review of Biomass Gasification Technologies: Guidelines for the Ghanaian Situation","type":"article-journal","volume":"3"},"uris":["http://www.mendeley.com/documents/?uuid=9a57ca28-95be-4c59-9c3b-56abbed44e3b"]}],"mendeley":{"formattedCitation":"(Akolgo et al., 2019)","plainTextFormattedCitation":"(Akolgo et al., 2019)","previouslyFormattedCitation":"(Akolgo et al., 2019)"},"properties":{"noteIndex":0},"schema":"https://github.com/citation-style-language/schema/raw/master/csl-citation.json"}</w:instrText>
      </w:r>
      <w:r w:rsidR="00691110" w:rsidRPr="00BF730A">
        <w:rPr>
          <w:rFonts w:cs="Arial"/>
          <w:lang w:val="es-CO"/>
        </w:rPr>
        <w:fldChar w:fldCharType="separate"/>
      </w:r>
      <w:r w:rsidR="00691110" w:rsidRPr="00BF730A">
        <w:rPr>
          <w:rFonts w:cs="Arial"/>
          <w:noProof/>
        </w:rPr>
        <w:t>(Akolgo et al., 2019)</w:t>
      </w:r>
      <w:r w:rsidR="00691110" w:rsidRPr="00BF730A">
        <w:rPr>
          <w:rFonts w:cs="Arial"/>
          <w:lang w:val="es-CO"/>
        </w:rPr>
        <w:fldChar w:fldCharType="end"/>
      </w:r>
      <w:r w:rsidR="00691110" w:rsidRPr="00BF730A">
        <w:rPr>
          <w:rFonts w:cs="Arial"/>
        </w:rPr>
        <w:t xml:space="preserve">. </w:t>
      </w:r>
      <w:r w:rsidR="00305276" w:rsidRPr="00BF730A">
        <w:rPr>
          <w:rFonts w:cs="Arial"/>
        </w:rPr>
        <w:t>In addition, syngas methanation technology is the core of biomass production for natural gas. Its main process is to convert H</w:t>
      </w:r>
      <w:r w:rsidR="00305276" w:rsidRPr="00BF730A">
        <w:rPr>
          <w:rFonts w:cs="Arial"/>
          <w:vertAlign w:val="subscript"/>
        </w:rPr>
        <w:t>2</w:t>
      </w:r>
      <w:r w:rsidR="00305276" w:rsidRPr="00BF730A">
        <w:rPr>
          <w:rFonts w:cs="Arial"/>
        </w:rPr>
        <w:t xml:space="preserve"> and CO in the biomass gasification of syngas into CH</w:t>
      </w:r>
      <w:r w:rsidR="00305276" w:rsidRPr="00BF730A">
        <w:rPr>
          <w:rFonts w:cs="Arial"/>
          <w:vertAlign w:val="subscript"/>
        </w:rPr>
        <w:t>4</w:t>
      </w:r>
      <w:r w:rsidR="00691110" w:rsidRPr="00BF730A">
        <w:rPr>
          <w:rFonts w:cs="Arial"/>
        </w:rPr>
        <w:t xml:space="preserve"> </w:t>
      </w:r>
      <w:r w:rsidR="00691110" w:rsidRPr="00BF730A">
        <w:rPr>
          <w:rFonts w:cs="Arial"/>
        </w:rPr>
        <w:fldChar w:fldCharType="begin" w:fldLock="1"/>
      </w:r>
      <w:r w:rsidR="00691110" w:rsidRPr="00BF730A">
        <w:rPr>
          <w:rFonts w:cs="Arial"/>
        </w:rPr>
        <w:instrText>ADDIN CSL_CITATION {"citationItems":[{"id":"ITEM-1","itemData":{"DOI":"10.1021/acsomega.0c03536","ISSN":"24701343","abstract":"The structure of a Ni/Al2O3 monolithic catalyst after methanation reaction and its methanation performance were studied by taking analogue syngas of biomass gasification H2/CO/N2 as feed gas when the temperature ranged from 250 to 550 °C, and the weight hourly space velocity (WHSV) was between 6000 and 14,000 mL g-1 h-1. The Ni/Al2O3 catalysts using cordierite honeycomb ceramics as the substrate were prepared by dipping and sol-gel methods. The results show that the Ni/Al2O3 catalyst prepared by the dipping method (DIP-Ni/Al2O3) has better methanation performance than the Ni/Al2O3 catalyst prepared by the sol-gel method (SG-Ni/Al2O3) through many tests such as TEM, BET, XRD, H2-TPD, H2-TPR, and TG analysis. The DIP-Ni/Al2O3 catalyst exhibits the best methanation performance at 400 °C when the molar ratio of H2, CO, and N2 is 3/1/1 and the WHSV is 10,000 mL g-1 h-1. Under this condition, the CO conversion and CH4 selectivity are 98.6 and 90.9%, respectively. In addition, the methanation performance of the DIP-Ni/Al2O3 catalyst is relatively more stable, and the CO conversion and CH4 selectivity were basically maintained at around 90% within the experimental WHSV range. The influence of Ni content on the methanation performance of the DIP-Ni/Al2O3 catalyst can be seen in the order from high to low of methanation performance: 15% Ni, 20% Ni, and 10% Ni, and the maximum values of CO conversion and CH4 selectivity reach 96.8 and 96%, respectively, at 400 °C for 15% Ni/Al2O3.","author":[{"dropping-particle":"","family":"Xing","given":"Wanli","non-dropping-particle":"","parse-names":false,"suffix":""},{"dropping-particle":"","family":"Liu","given":"Yifan","non-dropping-particle":"","parse-names":false,"suffix":""},{"dropping-particle":"","family":"Zhang","given":"Wanli","non-dropping-particle":"","parse-names":false,"suffix":""},{"dropping-particle":"","family":"Sun","given":"Yang","non-dropping-particle":"","parse-names":false,"suffix":""},{"dropping-particle":"","family":"Kai","given":"Xingping","non-dropping-particle":"","parse-names":false,"suffix":""},{"dropping-particle":"","family":"Yang","given":"Tianhua","non-dropping-particle":"","parse-names":false,"suffix":""}],"container-title":"ACS Omega","id":"ITEM-1","issue":"44","issued":{"date-parts":[["2020"]]},"page":"28597-28605","title":"Study on Methanation Performance of Biomass Gasification Syngas Based on a Ni/Al2O3Monolithic Catalyst","type":"article-journal","volume":"5"},"uris":["http://www.mendeley.com/documents/?uuid=10536834-3dc4-4681-875c-dd16c316d4e5"]}],"mendeley":{"formattedCitation":"(Xing et al., 2020)","plainTextFormattedCitation":"(Xing et al., 2020)","previouslyFormattedCitation":"(Xing et al., 2020)"},"properties":{"noteIndex":0},"schema":"https://github.com/citation-style-language/schema/raw/master/csl-citation.json"}</w:instrText>
      </w:r>
      <w:r w:rsidR="00691110" w:rsidRPr="00BF730A">
        <w:rPr>
          <w:rFonts w:cs="Arial"/>
        </w:rPr>
        <w:fldChar w:fldCharType="separate"/>
      </w:r>
      <w:r w:rsidR="00691110" w:rsidRPr="00BF730A">
        <w:rPr>
          <w:rFonts w:cs="Arial"/>
          <w:noProof/>
        </w:rPr>
        <w:t>(Xing et al., 2020)</w:t>
      </w:r>
      <w:r w:rsidR="00691110" w:rsidRPr="00BF730A">
        <w:rPr>
          <w:rFonts w:cs="Arial"/>
        </w:rPr>
        <w:fldChar w:fldCharType="end"/>
      </w:r>
      <w:r w:rsidR="00691110" w:rsidRPr="00BF730A">
        <w:rPr>
          <w:rFonts w:cs="Arial"/>
        </w:rPr>
        <w:t xml:space="preserve">. </w:t>
      </w:r>
      <w:r w:rsidR="00305276" w:rsidRPr="00BF730A">
        <w:rPr>
          <w:rFonts w:cs="Arial"/>
        </w:rPr>
        <w:t xml:space="preserve">Considering that the operation of gasifiers, methanators, and other plant equipment is associated with great complexity and high costs, simulation </w:t>
      </w:r>
      <w:r w:rsidR="00305276" w:rsidRPr="00BF730A">
        <w:rPr>
          <w:rFonts w:cs="Arial"/>
        </w:rPr>
        <w:lastRenderedPageBreak/>
        <w:t xml:space="preserve">becomes an important tool for process optimization. Among the software available for the simulation of thermochemical processes, Aspen Plus supplies tools that allow the system to be modeled for describing it with a great level of detail, as well as maintaining extensive databases for the calculation of properties, reaction </w:t>
      </w:r>
      <w:r w:rsidR="00305276" w:rsidRPr="00BF730A">
        <w:rPr>
          <w:rFonts w:cs="Arial"/>
          <w:szCs w:val="18"/>
        </w:rPr>
        <w:t>kinetics, design of molecules and user-defined compounds, management of solids, liquids, and gases, and equipment models, among others</w:t>
      </w:r>
      <w:r w:rsidR="00691110" w:rsidRPr="00BF730A">
        <w:rPr>
          <w:rFonts w:cs="Arial"/>
          <w:szCs w:val="18"/>
        </w:rPr>
        <w:t xml:space="preserve"> </w:t>
      </w:r>
      <w:r w:rsidR="00691110" w:rsidRPr="00BF730A">
        <w:rPr>
          <w:rFonts w:cs="Arial"/>
          <w:szCs w:val="18"/>
        </w:rPr>
        <w:fldChar w:fldCharType="begin" w:fldLock="1"/>
      </w:r>
      <w:r w:rsidR="00691110" w:rsidRPr="00BF730A">
        <w:rPr>
          <w:rFonts w:cs="Arial"/>
          <w:szCs w:val="18"/>
        </w:rPr>
        <w:instrText>ADDIN CSL_CITATION {"citationItems":[{"id":"ITEM-1","itemData":{"DOI":"10.29047/01225383.372","ISSN":"23824581","abstract":"The development of tools for the synthesis, design and optimization of biorefineries requires deep knowledge of the thermochemical processes involved in these schemes. For this project, three models from scientific literature were implemented to simulate the processes: fast pyrolysis in a fluidized bed, fixed-bed, and fluidized-bed gasification using the Aspen PlusTM software. These models allow the user to obtain performance, consumption, and cost parameters necessary for the design and optimization of biorefineries schemes. The fast pyrolysis model encompasses a detailed description of biomass decomposition and kinetics of the process (149 reactions). In the fixed-bed gasification process, seven reactions that model the process have been integrated into two equilibrium reactors that minimize the Gibbs free energy. The model used for fluidized bed gasification considers both hydrodynamic and kinetic parameters, as well as a kinetic model that considers the change in the combustion reaction rate of biomass with oxygen leading to a change in temperature. Due to the complexity and detail of all these models, it was necessary to use FORTRAN subroutines and iterative Excel macros linked to Aspen PlusTM. Finally, the results of each simulation were validated with data from the model sources, as well as experimental results from the literature.","author":[{"dropping-particle":"","family":"Sierra","given":"Valentina Jiménez","non-dropping-particle":"","parse-names":false,"suffix":""},{"dropping-particle":"","family":"Ceballos","given":"Carlos Mario Marín","non-dropping-particle":"","parse-names":false,"suffix":""},{"dropping-particle":"","family":"Chejne","given":"Farid Janna","non-dropping-particle":"","parse-names":false,"suffix":""}],"container-title":"CTyF - Ciencia, Tecnologia y Futuro","id":"ITEM-1","issue":"2","issued":{"date-parts":[["2021"]]},"page":"27-38","title":"Simulation of Thermochemical Processes in Aspen Plus As a Tool for Biorefinery Analysis","type":"article-journal","volume":"11"},"uris":["http://www.mendeley.com/documents/?uuid=0c39b88f-b137-4667-acb6-6967e59468e2"]}],"mendeley":{"formattedCitation":"(Sierra et al., 2021)","plainTextFormattedCitation":"(Sierra et al., 2021)","previouslyFormattedCitation":"(Sierra et al., 2021)"},"properties":{"noteIndex":0},"schema":"https://github.com/citation-style-language/schema/raw/master/csl-citation.json"}</w:instrText>
      </w:r>
      <w:r w:rsidR="00691110" w:rsidRPr="00BF730A">
        <w:rPr>
          <w:rFonts w:cs="Arial"/>
          <w:szCs w:val="18"/>
        </w:rPr>
        <w:fldChar w:fldCharType="separate"/>
      </w:r>
      <w:r w:rsidR="00691110" w:rsidRPr="00BF730A">
        <w:rPr>
          <w:rFonts w:cs="Arial"/>
          <w:noProof/>
          <w:szCs w:val="18"/>
        </w:rPr>
        <w:t>(Sierra et al., 2021)</w:t>
      </w:r>
      <w:r w:rsidR="00691110" w:rsidRPr="00BF730A">
        <w:rPr>
          <w:rFonts w:cs="Arial"/>
          <w:szCs w:val="18"/>
        </w:rPr>
        <w:fldChar w:fldCharType="end"/>
      </w:r>
      <w:r w:rsidR="00691110" w:rsidRPr="00BF730A">
        <w:rPr>
          <w:rFonts w:cs="Arial"/>
          <w:szCs w:val="18"/>
        </w:rPr>
        <w:t>.</w:t>
      </w:r>
    </w:p>
    <w:p w14:paraId="667AD732" w14:textId="77777777" w:rsidR="00691110" w:rsidRPr="00BF730A" w:rsidRDefault="00691110" w:rsidP="00A02721">
      <w:pPr>
        <w:pStyle w:val="CETBodytext"/>
        <w:rPr>
          <w:rFonts w:cs="Arial"/>
          <w:szCs w:val="18"/>
        </w:rPr>
      </w:pPr>
    </w:p>
    <w:p w14:paraId="43FB4322" w14:textId="4FB631C2" w:rsidR="00223747" w:rsidRPr="00BF730A" w:rsidRDefault="00B545A2" w:rsidP="00A02721">
      <w:pPr>
        <w:pStyle w:val="CETBodytext"/>
        <w:rPr>
          <w:rFonts w:cs="Arial"/>
          <w:szCs w:val="18"/>
        </w:rPr>
      </w:pPr>
      <w:r>
        <w:rPr>
          <w:rFonts w:cs="Arial"/>
          <w:szCs w:val="18"/>
        </w:rPr>
        <w:t>In this work,</w:t>
      </w:r>
      <w:r w:rsidR="003251AE" w:rsidRPr="003251AE">
        <w:rPr>
          <w:rFonts w:cs="Arial"/>
          <w:szCs w:val="18"/>
        </w:rPr>
        <w:t xml:space="preserve"> </w:t>
      </w:r>
      <w:r w:rsidR="00D941EA" w:rsidRPr="00BF730A">
        <w:rPr>
          <w:rFonts w:cs="Arial"/>
          <w:szCs w:val="18"/>
        </w:rPr>
        <w:t>a combined gasification​​​​​​​-methanation</w:t>
      </w:r>
      <w:r w:rsidR="007F391F">
        <w:rPr>
          <w:rFonts w:cs="Arial"/>
          <w:szCs w:val="18"/>
        </w:rPr>
        <w:t xml:space="preserve"> energy</w:t>
      </w:r>
      <w:r w:rsidR="00D941EA">
        <w:rPr>
          <w:rFonts w:cs="Arial"/>
          <w:szCs w:val="18"/>
        </w:rPr>
        <w:t xml:space="preserve"> integrated</w:t>
      </w:r>
      <w:r w:rsidR="00D941EA" w:rsidRPr="00BF730A">
        <w:rPr>
          <w:rFonts w:cs="Arial"/>
          <w:szCs w:val="18"/>
        </w:rPr>
        <w:t xml:space="preserve"> process for SNG (CH</w:t>
      </w:r>
      <w:r w:rsidR="00D941EA" w:rsidRPr="00BF730A">
        <w:rPr>
          <w:rFonts w:cs="Arial"/>
          <w:szCs w:val="18"/>
          <w:vertAlign w:val="subscript"/>
        </w:rPr>
        <w:t>4</w:t>
      </w:r>
      <w:r w:rsidR="00D941EA" w:rsidRPr="00BF730A">
        <w:rPr>
          <w:rFonts w:cs="Arial"/>
          <w:szCs w:val="18"/>
        </w:rPr>
        <w:t>-rich)</w:t>
      </w:r>
      <w:r w:rsidR="00D941EA">
        <w:rPr>
          <w:rFonts w:cs="Arial"/>
          <w:szCs w:val="18"/>
        </w:rPr>
        <w:t xml:space="preserve"> </w:t>
      </w:r>
      <w:r w:rsidR="003251AE" w:rsidRPr="003251AE">
        <w:rPr>
          <w:rFonts w:cs="Arial"/>
          <w:szCs w:val="18"/>
        </w:rPr>
        <w:t>to valorize one of the most produced residual biomasses in Colombia (EFB)</w:t>
      </w:r>
      <w:r>
        <w:rPr>
          <w:rFonts w:cs="Arial"/>
          <w:szCs w:val="18"/>
        </w:rPr>
        <w:t xml:space="preserve"> was proposed</w:t>
      </w:r>
      <w:bookmarkStart w:id="0" w:name="_GoBack"/>
      <w:bookmarkEnd w:id="0"/>
      <w:r w:rsidR="003251AE" w:rsidRPr="003251AE">
        <w:rPr>
          <w:rFonts w:cs="Arial"/>
          <w:szCs w:val="18"/>
        </w:rPr>
        <w:t xml:space="preserve"> </w:t>
      </w:r>
      <w:r w:rsidR="00F4454D" w:rsidRPr="00BF730A">
        <w:rPr>
          <w:rFonts w:cs="Arial"/>
          <w:szCs w:val="18"/>
        </w:rPr>
        <w:t>using the Advanced System for Process En</w:t>
      </w:r>
      <w:r w:rsidR="00D941EA">
        <w:rPr>
          <w:rFonts w:cs="Arial"/>
          <w:szCs w:val="18"/>
        </w:rPr>
        <w:t>gineering (Aspen) Plus software</w:t>
      </w:r>
      <w:r w:rsidR="00324AC1">
        <w:rPr>
          <w:rFonts w:cs="Arial"/>
          <w:szCs w:val="18"/>
        </w:rPr>
        <w:t>.</w:t>
      </w:r>
      <w:r w:rsidR="00F4454D" w:rsidRPr="00BF730A">
        <w:rPr>
          <w:rFonts w:cs="Arial"/>
          <w:szCs w:val="18"/>
        </w:rPr>
        <w:t xml:space="preserve"> This process not only offers a solution to the problem of open-air disposal of EFB, but the SNG produced can also be used to cover the energy needs of a large part of the Colombian population that does not have access to the national natural gas grid.</w:t>
      </w:r>
    </w:p>
    <w:p w14:paraId="5741900F" w14:textId="2880084D" w:rsidR="00453E24" w:rsidRPr="00BF730A" w:rsidRDefault="00DB1013" w:rsidP="00453E24">
      <w:pPr>
        <w:pStyle w:val="CETHeading1"/>
        <w:rPr>
          <w:rFonts w:cs="Arial"/>
        </w:rPr>
      </w:pPr>
      <w:r w:rsidRPr="00BF730A">
        <w:rPr>
          <w:rFonts w:cs="Arial"/>
        </w:rPr>
        <w:t>Case study analysis</w:t>
      </w:r>
    </w:p>
    <w:p w14:paraId="09406386" w14:textId="6B6BA385" w:rsidR="00453E24" w:rsidRPr="00BF730A" w:rsidRDefault="00453E24" w:rsidP="00A02721">
      <w:pPr>
        <w:pStyle w:val="CETBodytext"/>
        <w:rPr>
          <w:rFonts w:cs="Arial"/>
        </w:rPr>
      </w:pPr>
      <w:r w:rsidRPr="00BF730A">
        <w:rPr>
          <w:rFonts w:cs="Arial"/>
        </w:rPr>
        <w:t>The</w:t>
      </w:r>
      <w:r w:rsidR="0051640D" w:rsidRPr="00BF730A">
        <w:rPr>
          <w:rFonts w:cs="Arial"/>
        </w:rPr>
        <w:t xml:space="preserve"> </w:t>
      </w:r>
      <w:r w:rsidR="007B61E2" w:rsidRPr="00BF730A">
        <w:rPr>
          <w:rFonts w:cs="Arial"/>
        </w:rPr>
        <w:t>analysis of the case study was performed in two stages: 1) process design using the Aspen Plus simulator and taking into account the characteristics of the biomass</w:t>
      </w:r>
      <w:r w:rsidR="000A367F" w:rsidRPr="00BF730A">
        <w:rPr>
          <w:rFonts w:cs="Arial"/>
        </w:rPr>
        <w:t>,</w:t>
      </w:r>
      <w:r w:rsidR="007B61E2" w:rsidRPr="00BF730A">
        <w:rPr>
          <w:rFonts w:cs="Arial"/>
        </w:rPr>
        <w:t xml:space="preserve"> and 2) energy integration in order to increase the net energy gain of the process. </w:t>
      </w:r>
    </w:p>
    <w:p w14:paraId="0636B784" w14:textId="57BF1717" w:rsidR="00453E24" w:rsidRPr="00BF730A" w:rsidRDefault="00D35A9B" w:rsidP="00453E24">
      <w:pPr>
        <w:pStyle w:val="CETheadingx"/>
        <w:rPr>
          <w:rFonts w:cs="Arial"/>
        </w:rPr>
      </w:pPr>
      <w:r w:rsidRPr="00BF730A">
        <w:rPr>
          <w:rFonts w:cs="Arial"/>
        </w:rPr>
        <w:t>Biomass characteristics</w:t>
      </w:r>
    </w:p>
    <w:p w14:paraId="722D9BF7" w14:textId="19E4C8AB" w:rsidR="00FD5AB6" w:rsidRPr="00BF730A" w:rsidRDefault="00FD5AB6" w:rsidP="00A02721">
      <w:pPr>
        <w:pStyle w:val="CETBodytext"/>
        <w:rPr>
          <w:rFonts w:cs="Arial"/>
        </w:rPr>
      </w:pPr>
      <w:r w:rsidRPr="00BF730A">
        <w:rPr>
          <w:rFonts w:cs="Arial"/>
        </w:rPr>
        <w:t>EFB was chosen as a fuel and the ultimate and proximate analyses of the sample are shown in Table 1. The lower heating value (LHV) of EFB was determined using a 6400 automatic Isoperibol Calorimeter. The elemental composition of biomass was obtained from an elemental analyzer LECO (ASTM D-5373-08), while the proximate analysis was performed on a Linseis STA PT 1600 thermal analyzer (ASTM D3172, ASTM D5142).</w:t>
      </w:r>
    </w:p>
    <w:p w14:paraId="48CEF687" w14:textId="209F717F" w:rsidR="006738F6" w:rsidRPr="00BF730A" w:rsidRDefault="006738F6" w:rsidP="006738F6">
      <w:pPr>
        <w:pStyle w:val="CETTabletitle"/>
        <w:rPr>
          <w:rFonts w:cs="Arial"/>
        </w:rPr>
      </w:pPr>
      <w:r w:rsidRPr="00BF730A">
        <w:rPr>
          <w:rFonts w:cs="Arial"/>
        </w:rPr>
        <w:t xml:space="preserve">Table 1: </w:t>
      </w:r>
      <w:r w:rsidR="00143165" w:rsidRPr="00BF730A">
        <w:rPr>
          <w:rFonts w:cs="Arial"/>
        </w:rPr>
        <w:t>Ultimate-proximate analys</w:t>
      </w:r>
      <w:r w:rsidR="009461CD" w:rsidRPr="00BF730A">
        <w:rPr>
          <w:rFonts w:cs="Arial"/>
        </w:rPr>
        <w:t>i</w:t>
      </w:r>
      <w:r w:rsidR="00143165" w:rsidRPr="00BF730A">
        <w:rPr>
          <w:rFonts w:cs="Arial"/>
        </w:rPr>
        <w:t>s</w:t>
      </w:r>
      <w:r w:rsidR="009461CD" w:rsidRPr="00BF730A">
        <w:rPr>
          <w:rFonts w:cs="Arial"/>
        </w:rPr>
        <w:t>, and LHV of EFB</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43"/>
        <w:gridCol w:w="2643"/>
      </w:tblGrid>
      <w:tr w:rsidR="007E4CFC" w:rsidRPr="00BF730A" w14:paraId="60B3B065" w14:textId="77777777" w:rsidTr="000B6C52">
        <w:trPr>
          <w:trHeight w:val="227"/>
        </w:trPr>
        <w:tc>
          <w:tcPr>
            <w:tcW w:w="5286" w:type="dxa"/>
            <w:gridSpan w:val="2"/>
            <w:tcBorders>
              <w:top w:val="single" w:sz="12" w:space="0" w:color="008000"/>
              <w:bottom w:val="single" w:sz="6" w:space="0" w:color="008000"/>
            </w:tcBorders>
            <w:shd w:val="clear" w:color="auto" w:fill="FFFFFF"/>
          </w:tcPr>
          <w:p w14:paraId="61A97E5B" w14:textId="41B492EF" w:rsidR="007E4CFC" w:rsidRPr="00BF730A" w:rsidRDefault="007E4CFC" w:rsidP="00765BA4">
            <w:pPr>
              <w:pStyle w:val="CETBodytext"/>
              <w:rPr>
                <w:rFonts w:cs="Arial"/>
                <w:lang w:val="en-GB"/>
              </w:rPr>
            </w:pPr>
            <w:r w:rsidRPr="00BF730A">
              <w:rPr>
                <w:rFonts w:cs="Arial"/>
                <w:lang w:val="en-GB"/>
              </w:rPr>
              <w:t>Ultimate analysis (wt. %, dry-ash free basis)</w:t>
            </w:r>
          </w:p>
        </w:tc>
      </w:tr>
      <w:tr w:rsidR="00CC7320" w:rsidRPr="00BF730A" w14:paraId="4C7816C9" w14:textId="77777777" w:rsidTr="000B6C52">
        <w:trPr>
          <w:trHeight w:val="227"/>
        </w:trPr>
        <w:tc>
          <w:tcPr>
            <w:tcW w:w="2643" w:type="dxa"/>
            <w:shd w:val="clear" w:color="auto" w:fill="FFFFFF"/>
          </w:tcPr>
          <w:p w14:paraId="21AA3FD3" w14:textId="5E2BE0DD" w:rsidR="00CC7320" w:rsidRPr="00BF730A" w:rsidRDefault="0064600B" w:rsidP="00765BA4">
            <w:pPr>
              <w:pStyle w:val="CETBodytext"/>
              <w:rPr>
                <w:rFonts w:cs="Arial"/>
                <w:lang w:val="en-GB"/>
              </w:rPr>
            </w:pPr>
            <w:r w:rsidRPr="00BF730A">
              <w:rPr>
                <w:rFonts w:cs="Arial"/>
                <w:lang w:val="en-GB"/>
              </w:rPr>
              <w:t>C</w:t>
            </w:r>
          </w:p>
        </w:tc>
        <w:tc>
          <w:tcPr>
            <w:tcW w:w="2643" w:type="dxa"/>
            <w:shd w:val="clear" w:color="auto" w:fill="FFFFFF"/>
          </w:tcPr>
          <w:p w14:paraId="1B5F4158" w14:textId="0EA025AC" w:rsidR="00CC7320" w:rsidRPr="00BF730A" w:rsidRDefault="00091221" w:rsidP="00765BA4">
            <w:pPr>
              <w:pStyle w:val="CETBodytext"/>
              <w:rPr>
                <w:rFonts w:cs="Arial"/>
                <w:lang w:val="en-GB"/>
              </w:rPr>
            </w:pPr>
            <w:r w:rsidRPr="00BF730A">
              <w:rPr>
                <w:rFonts w:cs="Arial"/>
                <w:lang w:val="en-GB"/>
              </w:rPr>
              <w:t>46.51</w:t>
            </w:r>
          </w:p>
        </w:tc>
      </w:tr>
      <w:tr w:rsidR="00CC7320" w:rsidRPr="00BF730A" w14:paraId="0E286B47" w14:textId="77777777" w:rsidTr="000B6C52">
        <w:trPr>
          <w:trHeight w:val="227"/>
        </w:trPr>
        <w:tc>
          <w:tcPr>
            <w:tcW w:w="2643" w:type="dxa"/>
            <w:shd w:val="clear" w:color="auto" w:fill="FFFFFF"/>
          </w:tcPr>
          <w:p w14:paraId="6883010F" w14:textId="405B6B34" w:rsidR="00CC7320" w:rsidRPr="00BF730A" w:rsidRDefault="00091221" w:rsidP="00765BA4">
            <w:pPr>
              <w:pStyle w:val="CETBodytext"/>
              <w:rPr>
                <w:rFonts w:cs="Arial"/>
                <w:lang w:val="en-GB"/>
              </w:rPr>
            </w:pPr>
            <w:r w:rsidRPr="00BF730A">
              <w:rPr>
                <w:rFonts w:cs="Arial"/>
                <w:lang w:val="en-GB"/>
              </w:rPr>
              <w:t>H</w:t>
            </w:r>
          </w:p>
        </w:tc>
        <w:tc>
          <w:tcPr>
            <w:tcW w:w="2643" w:type="dxa"/>
            <w:shd w:val="clear" w:color="auto" w:fill="FFFFFF"/>
          </w:tcPr>
          <w:p w14:paraId="04CC8BA6" w14:textId="2E1D95E9" w:rsidR="00CC7320" w:rsidRPr="00BF730A" w:rsidRDefault="00091221" w:rsidP="00765BA4">
            <w:pPr>
              <w:pStyle w:val="CETBodytext"/>
              <w:rPr>
                <w:rFonts w:cs="Arial"/>
                <w:lang w:val="en-GB"/>
              </w:rPr>
            </w:pPr>
            <w:r w:rsidRPr="00BF730A">
              <w:rPr>
                <w:rFonts w:cs="Arial"/>
                <w:lang w:val="en-GB"/>
              </w:rPr>
              <w:t>5.46</w:t>
            </w:r>
          </w:p>
        </w:tc>
      </w:tr>
      <w:tr w:rsidR="007E4CFC" w:rsidRPr="00BF730A" w14:paraId="45A47594" w14:textId="77777777" w:rsidTr="000B6C52">
        <w:trPr>
          <w:trHeight w:val="227"/>
        </w:trPr>
        <w:tc>
          <w:tcPr>
            <w:tcW w:w="2643" w:type="dxa"/>
            <w:shd w:val="clear" w:color="auto" w:fill="FFFFFF"/>
          </w:tcPr>
          <w:p w14:paraId="7676A920" w14:textId="6B15B0DC" w:rsidR="007E4CFC" w:rsidRPr="00BF730A" w:rsidRDefault="00091221" w:rsidP="00765BA4">
            <w:pPr>
              <w:pStyle w:val="CETBodytext"/>
              <w:rPr>
                <w:rFonts w:cs="Arial"/>
                <w:lang w:val="en-GB"/>
              </w:rPr>
            </w:pPr>
            <w:r w:rsidRPr="00BF730A">
              <w:rPr>
                <w:rFonts w:cs="Arial"/>
                <w:lang w:val="en-GB"/>
              </w:rPr>
              <w:t>O</w:t>
            </w:r>
            <w:r w:rsidRPr="00BF730A">
              <w:rPr>
                <w:rFonts w:cs="Arial"/>
                <w:vertAlign w:val="superscript"/>
                <w:lang w:val="en-GB"/>
              </w:rPr>
              <w:t>a</w:t>
            </w:r>
          </w:p>
        </w:tc>
        <w:tc>
          <w:tcPr>
            <w:tcW w:w="2643" w:type="dxa"/>
            <w:shd w:val="clear" w:color="auto" w:fill="FFFFFF"/>
          </w:tcPr>
          <w:p w14:paraId="414315B4" w14:textId="1BBBB494" w:rsidR="007E4CFC" w:rsidRPr="00BF730A" w:rsidRDefault="00091221" w:rsidP="00765BA4">
            <w:pPr>
              <w:pStyle w:val="CETBodytext"/>
              <w:rPr>
                <w:rFonts w:cs="Arial"/>
                <w:lang w:val="en-GB"/>
              </w:rPr>
            </w:pPr>
            <w:r w:rsidRPr="00BF730A">
              <w:rPr>
                <w:rFonts w:cs="Arial"/>
                <w:lang w:val="en-GB"/>
              </w:rPr>
              <w:t>46.46</w:t>
            </w:r>
          </w:p>
        </w:tc>
      </w:tr>
      <w:tr w:rsidR="007E4CFC" w:rsidRPr="00BF730A" w14:paraId="4E14B739" w14:textId="77777777" w:rsidTr="000B6C52">
        <w:trPr>
          <w:trHeight w:val="227"/>
        </w:trPr>
        <w:tc>
          <w:tcPr>
            <w:tcW w:w="2643" w:type="dxa"/>
            <w:shd w:val="clear" w:color="auto" w:fill="FFFFFF"/>
          </w:tcPr>
          <w:p w14:paraId="0D676BD5" w14:textId="5977E4BA" w:rsidR="007E4CFC" w:rsidRPr="00BF730A" w:rsidRDefault="00091221" w:rsidP="00765BA4">
            <w:pPr>
              <w:pStyle w:val="CETBodytext"/>
              <w:rPr>
                <w:rFonts w:cs="Arial"/>
                <w:lang w:val="en-GB"/>
              </w:rPr>
            </w:pPr>
            <w:r w:rsidRPr="00BF730A">
              <w:rPr>
                <w:rFonts w:cs="Arial"/>
                <w:lang w:val="en-GB"/>
              </w:rPr>
              <w:t>N</w:t>
            </w:r>
          </w:p>
        </w:tc>
        <w:tc>
          <w:tcPr>
            <w:tcW w:w="2643" w:type="dxa"/>
            <w:shd w:val="clear" w:color="auto" w:fill="FFFFFF"/>
          </w:tcPr>
          <w:p w14:paraId="53A0777C" w14:textId="50149C8F" w:rsidR="007E4CFC" w:rsidRPr="00BF730A" w:rsidRDefault="00091221" w:rsidP="00765BA4">
            <w:pPr>
              <w:pStyle w:val="CETBodytext"/>
              <w:rPr>
                <w:rFonts w:cs="Arial"/>
                <w:lang w:val="en-GB"/>
              </w:rPr>
            </w:pPr>
            <w:r w:rsidRPr="00BF730A">
              <w:rPr>
                <w:rFonts w:cs="Arial"/>
                <w:lang w:val="en-GB"/>
              </w:rPr>
              <w:t>1.53</w:t>
            </w:r>
          </w:p>
        </w:tc>
      </w:tr>
      <w:tr w:rsidR="00CC7320" w:rsidRPr="00BF730A" w14:paraId="2D0371BD" w14:textId="77777777" w:rsidTr="000B6C52">
        <w:trPr>
          <w:trHeight w:val="227"/>
        </w:trPr>
        <w:tc>
          <w:tcPr>
            <w:tcW w:w="2643" w:type="dxa"/>
            <w:shd w:val="clear" w:color="auto" w:fill="FFFFFF"/>
          </w:tcPr>
          <w:p w14:paraId="41569C16" w14:textId="678EA8D5" w:rsidR="00CC7320" w:rsidRPr="00BF730A" w:rsidRDefault="00091221" w:rsidP="00765BA4">
            <w:pPr>
              <w:pStyle w:val="CETBodytext"/>
              <w:rPr>
                <w:rFonts w:cs="Arial"/>
                <w:lang w:val="en-GB"/>
              </w:rPr>
            </w:pPr>
            <w:r w:rsidRPr="00BF730A">
              <w:rPr>
                <w:rFonts w:cs="Arial"/>
                <w:lang w:val="en-GB"/>
              </w:rPr>
              <w:t>S</w:t>
            </w:r>
          </w:p>
        </w:tc>
        <w:tc>
          <w:tcPr>
            <w:tcW w:w="2643" w:type="dxa"/>
            <w:shd w:val="clear" w:color="auto" w:fill="FFFFFF"/>
          </w:tcPr>
          <w:p w14:paraId="32AEDE0C" w14:textId="5BD8A800" w:rsidR="00CC7320" w:rsidRPr="00BF730A" w:rsidRDefault="00091221" w:rsidP="00765BA4">
            <w:pPr>
              <w:pStyle w:val="CETBodytext"/>
              <w:rPr>
                <w:rFonts w:cs="Arial"/>
                <w:lang w:val="en-GB"/>
              </w:rPr>
            </w:pPr>
            <w:r w:rsidRPr="00BF730A">
              <w:rPr>
                <w:rFonts w:cs="Arial"/>
                <w:lang w:val="en-GB"/>
              </w:rPr>
              <w:t>0.04</w:t>
            </w:r>
          </w:p>
        </w:tc>
      </w:tr>
      <w:tr w:rsidR="001A2DB5" w:rsidRPr="00BF730A" w14:paraId="23D9102C" w14:textId="77777777" w:rsidTr="000B6C52">
        <w:trPr>
          <w:trHeight w:val="227"/>
        </w:trPr>
        <w:tc>
          <w:tcPr>
            <w:tcW w:w="5286" w:type="dxa"/>
            <w:gridSpan w:val="2"/>
            <w:tcBorders>
              <w:top w:val="single" w:sz="12" w:space="0" w:color="008000"/>
              <w:bottom w:val="single" w:sz="6" w:space="0" w:color="008000"/>
            </w:tcBorders>
            <w:shd w:val="clear" w:color="auto" w:fill="FFFFFF"/>
          </w:tcPr>
          <w:p w14:paraId="1A533CAE" w14:textId="5C09A5A1" w:rsidR="001A2DB5" w:rsidRPr="00BF730A" w:rsidRDefault="001A2DB5" w:rsidP="00765BA4">
            <w:pPr>
              <w:pStyle w:val="CETBodytext"/>
              <w:rPr>
                <w:rFonts w:cs="Arial"/>
                <w:lang w:val="en-GB"/>
              </w:rPr>
            </w:pPr>
            <w:r w:rsidRPr="00BF730A">
              <w:rPr>
                <w:rFonts w:cs="Arial"/>
                <w:lang w:val="en-GB"/>
              </w:rPr>
              <w:t xml:space="preserve">Proximate analysis (wt. %) </w:t>
            </w:r>
          </w:p>
        </w:tc>
      </w:tr>
      <w:tr w:rsidR="00CC7320" w:rsidRPr="00BF730A" w14:paraId="2A657C3D" w14:textId="77777777" w:rsidTr="000B6C52">
        <w:trPr>
          <w:trHeight w:val="227"/>
        </w:trPr>
        <w:tc>
          <w:tcPr>
            <w:tcW w:w="2643" w:type="dxa"/>
            <w:shd w:val="clear" w:color="auto" w:fill="FFFFFF"/>
          </w:tcPr>
          <w:p w14:paraId="594E3E9A" w14:textId="458F4835" w:rsidR="00CC7320" w:rsidRPr="00BF730A" w:rsidRDefault="001A2DB5" w:rsidP="00765BA4">
            <w:pPr>
              <w:pStyle w:val="CETBodytext"/>
              <w:rPr>
                <w:rFonts w:cs="Arial"/>
                <w:lang w:val="en-GB"/>
              </w:rPr>
            </w:pPr>
            <w:r w:rsidRPr="00BF730A">
              <w:rPr>
                <w:rFonts w:cs="Arial"/>
                <w:lang w:val="en-GB"/>
              </w:rPr>
              <w:t>Moisture</w:t>
            </w:r>
          </w:p>
        </w:tc>
        <w:tc>
          <w:tcPr>
            <w:tcW w:w="2643" w:type="dxa"/>
            <w:shd w:val="clear" w:color="auto" w:fill="FFFFFF"/>
          </w:tcPr>
          <w:p w14:paraId="29C472E3" w14:textId="77975128" w:rsidR="00CC7320" w:rsidRPr="00BF730A" w:rsidRDefault="00433079" w:rsidP="00765BA4">
            <w:pPr>
              <w:pStyle w:val="CETBodytext"/>
              <w:rPr>
                <w:rFonts w:cs="Arial"/>
                <w:lang w:val="en-GB"/>
              </w:rPr>
            </w:pPr>
            <w:r w:rsidRPr="00BF730A">
              <w:rPr>
                <w:rFonts w:cs="Arial"/>
                <w:lang w:val="en-GB"/>
              </w:rPr>
              <w:t>6.18</w:t>
            </w:r>
          </w:p>
        </w:tc>
      </w:tr>
      <w:tr w:rsidR="00CC7320" w:rsidRPr="00BF730A" w14:paraId="49675DE3" w14:textId="77777777" w:rsidTr="000B6C52">
        <w:trPr>
          <w:trHeight w:val="227"/>
        </w:trPr>
        <w:tc>
          <w:tcPr>
            <w:tcW w:w="2643" w:type="dxa"/>
            <w:shd w:val="clear" w:color="auto" w:fill="FFFFFF"/>
          </w:tcPr>
          <w:p w14:paraId="125C091A" w14:textId="3389FCBE" w:rsidR="00CC7320" w:rsidRPr="00BF730A" w:rsidRDefault="00093782" w:rsidP="00765BA4">
            <w:pPr>
              <w:pStyle w:val="CETBodytext"/>
              <w:rPr>
                <w:rFonts w:cs="Arial"/>
                <w:lang w:val="en-GB"/>
              </w:rPr>
            </w:pPr>
            <w:r w:rsidRPr="00BF730A">
              <w:rPr>
                <w:rFonts w:cs="Arial"/>
                <w:lang w:val="en-GB"/>
              </w:rPr>
              <w:t>Volatile matter</w:t>
            </w:r>
          </w:p>
        </w:tc>
        <w:tc>
          <w:tcPr>
            <w:tcW w:w="2643" w:type="dxa"/>
            <w:shd w:val="clear" w:color="auto" w:fill="FFFFFF"/>
          </w:tcPr>
          <w:p w14:paraId="6FD5F539" w14:textId="08C9AD65" w:rsidR="00CC7320" w:rsidRPr="00BF730A" w:rsidRDefault="00433079" w:rsidP="00765BA4">
            <w:pPr>
              <w:pStyle w:val="CETBodytext"/>
              <w:rPr>
                <w:rFonts w:cs="Arial"/>
                <w:lang w:val="en-GB"/>
              </w:rPr>
            </w:pPr>
            <w:r w:rsidRPr="00BF730A">
              <w:rPr>
                <w:rFonts w:cs="Arial"/>
                <w:lang w:val="en-GB"/>
              </w:rPr>
              <w:t>70.52</w:t>
            </w:r>
          </w:p>
        </w:tc>
      </w:tr>
      <w:tr w:rsidR="00CC7320" w:rsidRPr="00BF730A" w14:paraId="37F00844" w14:textId="77777777" w:rsidTr="000B6C52">
        <w:trPr>
          <w:trHeight w:val="227"/>
        </w:trPr>
        <w:tc>
          <w:tcPr>
            <w:tcW w:w="2643" w:type="dxa"/>
            <w:shd w:val="clear" w:color="auto" w:fill="FFFFFF"/>
          </w:tcPr>
          <w:p w14:paraId="1D89BA7D" w14:textId="23634456" w:rsidR="00CC7320" w:rsidRPr="00BF730A" w:rsidRDefault="00093782" w:rsidP="00765BA4">
            <w:pPr>
              <w:pStyle w:val="CETBodytext"/>
              <w:rPr>
                <w:rFonts w:cs="Arial"/>
                <w:lang w:val="en-GB"/>
              </w:rPr>
            </w:pPr>
            <w:r w:rsidRPr="00BF730A">
              <w:rPr>
                <w:rFonts w:cs="Arial"/>
                <w:lang w:val="en-GB"/>
              </w:rPr>
              <w:t>Ash</w:t>
            </w:r>
          </w:p>
        </w:tc>
        <w:tc>
          <w:tcPr>
            <w:tcW w:w="2643" w:type="dxa"/>
            <w:shd w:val="clear" w:color="auto" w:fill="FFFFFF"/>
          </w:tcPr>
          <w:p w14:paraId="47C40BE6" w14:textId="69BB1556" w:rsidR="00CC7320" w:rsidRPr="00BF730A" w:rsidRDefault="00433079" w:rsidP="00765BA4">
            <w:pPr>
              <w:pStyle w:val="CETBodytext"/>
              <w:rPr>
                <w:rFonts w:cs="Arial"/>
                <w:lang w:val="en-GB"/>
              </w:rPr>
            </w:pPr>
            <w:r w:rsidRPr="00BF730A">
              <w:rPr>
                <w:rFonts w:cs="Arial"/>
                <w:lang w:val="en-GB"/>
              </w:rPr>
              <w:t>6.20</w:t>
            </w:r>
          </w:p>
        </w:tc>
      </w:tr>
      <w:tr w:rsidR="00CC7320" w:rsidRPr="00BF730A" w14:paraId="1569A6BD" w14:textId="77777777" w:rsidTr="000B6C52">
        <w:trPr>
          <w:trHeight w:val="227"/>
        </w:trPr>
        <w:tc>
          <w:tcPr>
            <w:tcW w:w="2643" w:type="dxa"/>
            <w:shd w:val="clear" w:color="auto" w:fill="FFFFFF"/>
          </w:tcPr>
          <w:p w14:paraId="0E79E668" w14:textId="77C93D48" w:rsidR="00CC7320" w:rsidRPr="00BF730A" w:rsidRDefault="00093782" w:rsidP="00765BA4">
            <w:pPr>
              <w:pStyle w:val="CETBodytext"/>
              <w:ind w:right="-1"/>
              <w:rPr>
                <w:rFonts w:cs="Arial"/>
                <w:szCs w:val="18"/>
                <w:lang w:val="en-GB"/>
              </w:rPr>
            </w:pPr>
            <w:r w:rsidRPr="00BF730A">
              <w:rPr>
                <w:rFonts w:cs="Arial"/>
                <w:szCs w:val="18"/>
                <w:lang w:val="en-GB"/>
              </w:rPr>
              <w:t>Fixed carbon</w:t>
            </w:r>
          </w:p>
        </w:tc>
        <w:tc>
          <w:tcPr>
            <w:tcW w:w="2643" w:type="dxa"/>
            <w:shd w:val="clear" w:color="auto" w:fill="FFFFFF"/>
          </w:tcPr>
          <w:p w14:paraId="7588E51E" w14:textId="5650C380" w:rsidR="00CC7320" w:rsidRPr="00BF730A" w:rsidRDefault="00433079" w:rsidP="00765BA4">
            <w:pPr>
              <w:pStyle w:val="CETBodytext"/>
              <w:ind w:right="-1"/>
              <w:rPr>
                <w:rFonts w:cs="Arial"/>
                <w:szCs w:val="18"/>
                <w:lang w:val="en-GB"/>
              </w:rPr>
            </w:pPr>
            <w:r w:rsidRPr="00BF730A">
              <w:rPr>
                <w:rFonts w:cs="Arial"/>
                <w:szCs w:val="18"/>
                <w:lang w:val="en-GB"/>
              </w:rPr>
              <w:t>17.10</w:t>
            </w:r>
          </w:p>
        </w:tc>
      </w:tr>
      <w:tr w:rsidR="00CC7320" w:rsidRPr="00BF730A" w14:paraId="5B568960" w14:textId="77777777" w:rsidTr="000B6C52">
        <w:trPr>
          <w:trHeight w:val="227"/>
        </w:trPr>
        <w:tc>
          <w:tcPr>
            <w:tcW w:w="2643" w:type="dxa"/>
            <w:shd w:val="clear" w:color="auto" w:fill="FFFFFF"/>
          </w:tcPr>
          <w:p w14:paraId="5D864747" w14:textId="26CDD968" w:rsidR="00CC7320" w:rsidRPr="00BF730A" w:rsidRDefault="00093782" w:rsidP="00765BA4">
            <w:pPr>
              <w:pStyle w:val="CETBodytext"/>
              <w:ind w:right="-1"/>
              <w:rPr>
                <w:rFonts w:cs="Arial"/>
                <w:szCs w:val="18"/>
                <w:lang w:val="en-GB"/>
              </w:rPr>
            </w:pPr>
            <w:r w:rsidRPr="00BF730A">
              <w:rPr>
                <w:rFonts w:cs="Arial"/>
                <w:szCs w:val="18"/>
                <w:lang w:val="en-GB"/>
              </w:rPr>
              <w:t>LHV (MJ/</w:t>
            </w:r>
            <w:r w:rsidR="00433079" w:rsidRPr="00BF730A">
              <w:rPr>
                <w:rFonts w:cs="Arial"/>
                <w:szCs w:val="18"/>
                <w:lang w:val="en-GB"/>
              </w:rPr>
              <w:t>kg)</w:t>
            </w:r>
          </w:p>
        </w:tc>
        <w:tc>
          <w:tcPr>
            <w:tcW w:w="2643" w:type="dxa"/>
            <w:shd w:val="clear" w:color="auto" w:fill="FFFFFF"/>
          </w:tcPr>
          <w:p w14:paraId="03696422" w14:textId="74FB6B14" w:rsidR="00CC7320" w:rsidRPr="00BF730A" w:rsidRDefault="00433079" w:rsidP="00765BA4">
            <w:pPr>
              <w:pStyle w:val="CETBodytext"/>
              <w:ind w:right="-1"/>
              <w:rPr>
                <w:rFonts w:cs="Arial"/>
                <w:szCs w:val="18"/>
                <w:lang w:val="en-GB"/>
              </w:rPr>
            </w:pPr>
            <w:r w:rsidRPr="00BF730A">
              <w:rPr>
                <w:rFonts w:cs="Arial"/>
                <w:szCs w:val="18"/>
                <w:lang w:val="en-GB"/>
              </w:rPr>
              <w:t>18.11</w:t>
            </w:r>
          </w:p>
        </w:tc>
      </w:tr>
    </w:tbl>
    <w:p w14:paraId="64984CFE" w14:textId="62E51B17" w:rsidR="00413CF3" w:rsidRPr="00BF730A" w:rsidRDefault="00433079" w:rsidP="00413CF3">
      <w:pPr>
        <w:rPr>
          <w:rFonts w:cs="Arial"/>
          <w:lang w:val="en-US"/>
        </w:rPr>
      </w:pPr>
      <w:r w:rsidRPr="00BF730A">
        <w:rPr>
          <w:rFonts w:cs="Arial"/>
          <w:vertAlign w:val="superscript"/>
          <w:lang w:val="en-US"/>
        </w:rPr>
        <w:t>a</w:t>
      </w:r>
      <w:r w:rsidRPr="00BF730A">
        <w:rPr>
          <w:rFonts w:cs="Arial"/>
          <w:lang w:val="en-US"/>
        </w:rPr>
        <w:t>Calcula</w:t>
      </w:r>
      <w:r w:rsidR="00E455D2" w:rsidRPr="00BF730A">
        <w:rPr>
          <w:rFonts w:cs="Arial"/>
          <w:lang w:val="en-US"/>
        </w:rPr>
        <w:t>ted by difference</w:t>
      </w:r>
    </w:p>
    <w:p w14:paraId="20727D1A" w14:textId="4A4A61C7" w:rsidR="00F13A8E" w:rsidRPr="00BF730A" w:rsidRDefault="001A6677" w:rsidP="00F13A8E">
      <w:pPr>
        <w:pStyle w:val="CETheadingx"/>
        <w:rPr>
          <w:rFonts w:cs="Arial"/>
        </w:rPr>
      </w:pPr>
      <w:r w:rsidRPr="00BF730A">
        <w:rPr>
          <w:rFonts w:cs="Arial"/>
          <w:lang w:val="es-CO"/>
        </w:rPr>
        <w:t>Aspen plus simulation</w:t>
      </w:r>
    </w:p>
    <w:p w14:paraId="18653793" w14:textId="6B333749" w:rsidR="007B0321" w:rsidRPr="00BF730A" w:rsidRDefault="007B0321" w:rsidP="00AA6D87">
      <w:pPr>
        <w:tabs>
          <w:tab w:val="clear" w:pos="7100"/>
        </w:tabs>
        <w:spacing w:after="160" w:line="259" w:lineRule="auto"/>
        <w:rPr>
          <w:rStyle w:val="CETBodytextCarattere"/>
          <w:rFonts w:cs="Arial"/>
        </w:rPr>
      </w:pPr>
      <w:r w:rsidRPr="00BF730A">
        <w:rPr>
          <w:rStyle w:val="CETBodytextCarattere"/>
          <w:rFonts w:cs="Arial"/>
        </w:rPr>
        <w:t>The following assumptions were taken into account for the simulated process design:</w:t>
      </w:r>
      <w:r w:rsidR="00326456" w:rsidRPr="00BF730A">
        <w:rPr>
          <w:rStyle w:val="CETBodytextCarattere"/>
          <w:rFonts w:cs="Arial"/>
        </w:rPr>
        <w:t xml:space="preserve"> 1)</w:t>
      </w:r>
      <w:r w:rsidRPr="00BF730A">
        <w:rPr>
          <w:rStyle w:val="CETBodytextCarattere"/>
          <w:rFonts w:cs="Arial"/>
        </w:rPr>
        <w:t xml:space="preserve"> </w:t>
      </w:r>
      <w:bookmarkStart w:id="1" w:name="_Hlk162772847"/>
      <w:r w:rsidR="00326456" w:rsidRPr="00BF730A">
        <w:rPr>
          <w:rStyle w:val="CETBodytextCarattere"/>
          <w:rFonts w:cs="Arial"/>
        </w:rPr>
        <w:t>t</w:t>
      </w:r>
      <w:r w:rsidRPr="00BF730A">
        <w:rPr>
          <w:rStyle w:val="CETBodytextCarattere"/>
          <w:rFonts w:cs="Arial"/>
        </w:rPr>
        <w:t>he gas composition at the gasifier outlet is based on the results obtained experimentally</w:t>
      </w:r>
      <w:bookmarkEnd w:id="1"/>
      <w:r w:rsidRPr="00BF730A">
        <w:rPr>
          <w:rStyle w:val="CETBodytextCarattere"/>
          <w:rFonts w:cs="Arial"/>
        </w:rPr>
        <w:t xml:space="preserve"> and the addition, with respect to the mass balance, of common compounds in syngas such as H</w:t>
      </w:r>
      <w:r w:rsidRPr="00BF730A">
        <w:rPr>
          <w:rStyle w:val="CETBodytextCarattere"/>
          <w:rFonts w:cs="Arial"/>
          <w:vertAlign w:val="subscript"/>
        </w:rPr>
        <w:t>2</w:t>
      </w:r>
      <w:r w:rsidRPr="00BF730A">
        <w:rPr>
          <w:rStyle w:val="CETBodytextCarattere"/>
          <w:rFonts w:cs="Arial"/>
        </w:rPr>
        <w:t>S, COS, C</w:t>
      </w:r>
      <w:r w:rsidRPr="00BF730A">
        <w:rPr>
          <w:rStyle w:val="CETBodytextCarattere"/>
          <w:rFonts w:cs="Arial"/>
          <w:vertAlign w:val="subscript"/>
        </w:rPr>
        <w:t>6</w:t>
      </w:r>
      <w:r w:rsidRPr="00BF730A">
        <w:rPr>
          <w:rStyle w:val="CETBodytextCarattere"/>
          <w:rFonts w:cs="Arial"/>
        </w:rPr>
        <w:t>H</w:t>
      </w:r>
      <w:r w:rsidRPr="00BF730A">
        <w:rPr>
          <w:rStyle w:val="CETBodytextCarattere"/>
          <w:rFonts w:cs="Arial"/>
          <w:vertAlign w:val="subscript"/>
        </w:rPr>
        <w:t>6</w:t>
      </w:r>
      <w:r w:rsidRPr="00BF730A">
        <w:rPr>
          <w:rStyle w:val="CETBodytextCarattere"/>
          <w:rFonts w:cs="Arial"/>
        </w:rPr>
        <w:t>, C</w:t>
      </w:r>
      <w:r w:rsidRPr="00BF730A">
        <w:rPr>
          <w:rStyle w:val="CETBodytextCarattere"/>
          <w:rFonts w:cs="Arial"/>
          <w:vertAlign w:val="subscript"/>
        </w:rPr>
        <w:t>10</w:t>
      </w:r>
      <w:r w:rsidRPr="00BF730A">
        <w:rPr>
          <w:rStyle w:val="CETBodytextCarattere"/>
          <w:rFonts w:cs="Arial"/>
        </w:rPr>
        <w:t>H</w:t>
      </w:r>
      <w:r w:rsidRPr="00BF730A">
        <w:rPr>
          <w:rStyle w:val="CETBodytextCarattere"/>
          <w:rFonts w:cs="Arial"/>
          <w:vertAlign w:val="subscript"/>
        </w:rPr>
        <w:t>8</w:t>
      </w:r>
      <w:r w:rsidRPr="00BF730A">
        <w:rPr>
          <w:rStyle w:val="CETBodytextCarattere"/>
          <w:rFonts w:cs="Arial"/>
        </w:rPr>
        <w:t>. (see table 2)</w:t>
      </w:r>
      <w:r w:rsidR="006272BE" w:rsidRPr="00BF730A">
        <w:rPr>
          <w:rStyle w:val="CETBodytextCarattere"/>
          <w:rFonts w:cs="Arial"/>
        </w:rPr>
        <w:t>;</w:t>
      </w:r>
      <w:r w:rsidR="00C0301D" w:rsidRPr="00BF730A">
        <w:rPr>
          <w:rStyle w:val="CETBodytextCarattere"/>
          <w:rFonts w:cs="Arial"/>
        </w:rPr>
        <w:t xml:space="preserve"> 2)</w:t>
      </w:r>
      <w:r w:rsidR="006272BE" w:rsidRPr="00BF730A">
        <w:rPr>
          <w:rStyle w:val="CETBodytextCarattere"/>
          <w:rFonts w:cs="Arial"/>
        </w:rPr>
        <w:t xml:space="preserve"> </w:t>
      </w:r>
      <w:r w:rsidR="003A2013" w:rsidRPr="00BF730A">
        <w:rPr>
          <w:rStyle w:val="CETBodytextCarattere"/>
          <w:rFonts w:cs="Arial"/>
        </w:rPr>
        <w:t>t</w:t>
      </w:r>
      <w:r w:rsidRPr="00BF730A">
        <w:rPr>
          <w:rStyle w:val="CETBodytextCarattere"/>
          <w:rFonts w:cs="Arial"/>
        </w:rPr>
        <w:t>he steam/biomass (S/B) ratio used is 0.5</w:t>
      </w:r>
      <w:r w:rsidR="006272BE" w:rsidRPr="00BF730A">
        <w:rPr>
          <w:rStyle w:val="CETBodytextCarattere"/>
          <w:rFonts w:cs="Arial"/>
        </w:rPr>
        <w:t xml:space="preserve">; </w:t>
      </w:r>
      <w:r w:rsidR="00C0301D" w:rsidRPr="00BF730A">
        <w:rPr>
          <w:rStyle w:val="CETBodytextCarattere"/>
          <w:rFonts w:cs="Arial"/>
        </w:rPr>
        <w:t xml:space="preserve">3) </w:t>
      </w:r>
      <w:r w:rsidR="003A2013" w:rsidRPr="00BF730A">
        <w:rPr>
          <w:rStyle w:val="CETBodytextCarattere"/>
          <w:rFonts w:cs="Arial"/>
        </w:rPr>
        <w:t>t</w:t>
      </w:r>
      <w:r w:rsidRPr="00BF730A">
        <w:rPr>
          <w:rStyle w:val="CETBodytextCarattere"/>
          <w:rFonts w:cs="Arial"/>
        </w:rPr>
        <w:t>he energy required in the gasifier is supplied by the bed material (olivine)</w:t>
      </w:r>
      <w:r w:rsidR="006272BE" w:rsidRPr="00BF730A">
        <w:rPr>
          <w:rStyle w:val="CETBodytextCarattere"/>
          <w:rFonts w:cs="Arial"/>
        </w:rPr>
        <w:t xml:space="preserve">; </w:t>
      </w:r>
      <w:r w:rsidR="00C0301D" w:rsidRPr="00BF730A">
        <w:rPr>
          <w:rStyle w:val="CETBodytextCarattere"/>
          <w:rFonts w:cs="Arial"/>
        </w:rPr>
        <w:t xml:space="preserve">4) </w:t>
      </w:r>
      <w:r w:rsidR="003A2013" w:rsidRPr="00BF730A">
        <w:rPr>
          <w:rStyle w:val="CETBodytextCarattere"/>
          <w:rFonts w:cs="Arial"/>
        </w:rPr>
        <w:t>t</w:t>
      </w:r>
      <w:r w:rsidRPr="00BF730A">
        <w:rPr>
          <w:rStyle w:val="CETBodytextCarattere"/>
          <w:rFonts w:cs="Arial"/>
        </w:rPr>
        <w:t xml:space="preserve">he methanation stage is based on the TREMP technology </w:t>
      </w:r>
      <w:r w:rsidRPr="00BF730A">
        <w:rPr>
          <w:rStyle w:val="CETBodytextCarattere"/>
          <w:rFonts w:cs="Arial"/>
        </w:rPr>
        <w:fldChar w:fldCharType="begin" w:fldLock="1"/>
      </w:r>
      <w:r w:rsidRPr="00BF730A">
        <w:rPr>
          <w:rStyle w:val="CETBodytextCarattere"/>
          <w:rFonts w:cs="Arial"/>
        </w:rPr>
        <w:instrText>ADDIN CSL_CITATION {"citationItems":[{"id":"ITEM-1","itemData":{"DOI":"10.1088/1755-1315/801/1/012021","ISSN":"17551315","abstract":"The blockage problem of tar in a biomass power plant is a main problem and it must be removed. Rapeseed methyl ester (RME) was imported and used as scrubbing solvent to scrub tar at a 1 MWel Nong Bua prototype Dual Fluidised Bed (DFB) gasifier in Nong Bua district, Nakhonsawan province, Thailand. Using local oil in Thailand is an attractive choice from economic viewpoint. Pervious lab test study on naphthalene solubility in different local oils in Thailand was investigated. Local palm methyl ester (PME) shows the competitive performance to the RME. In this research, PME was tested to scrub tar in an oil scrubber at the Nong Bua DFB gasifier plant. Gravimetric tar content after passed a PME scrubber was measured and compared to that from a RME oil scrubber. The results show that both solvents have similar tar removal performance due to their contents of ester, methanol, and glycerin are similar. In addition, viscosity of both solvents has no significant effect on tar removal. From the current research, therefore, PME has been used as solvent in an oil scrubber at 1 MWel Nong Bua prototype DFB gasifier with technical and economic reasons.","author":[{"dropping-particle":"","family":"Tonpakdee","given":"P.","non-dropping-particle":"","parse-names":false,"suffix":""},{"dropping-particle":"","family":"Hongrapipat","given":"J.","non-dropping-particle":"","parse-names":false,"suffix":""},{"dropping-particle":"","family":"Siriwongrungson","given":"V.","non-dropping-particle":"","parse-names":false,"suffix":""},{"dropping-particle":"","family":"Pang","given":"S.","non-dropping-particle":"","parse-names":false,"suffix":""},{"dropping-particle":"","family":"Rauch","given":"R.","non-dropping-particle":"","parse-names":false,"suffix":""},{"dropping-particle":"","family":"Messner","given":"M.","non-dropping-particle":"","parse-names":false,"suffix":""},{"dropping-particle":"","family":"Henrich","given":"C.","non-dropping-particle":"","parse-names":false,"suffix":""},{"dropping-particle":"","family":"Pessl","given":"P.","non-dropping-particle":"","parse-names":false,"suffix":""},{"dropping-particle":"","family":"Dichand","given":"M.","non-dropping-particle":"","parse-names":false,"suffix":""}],"container-title":"IOP Conference Series: Earth and Environmental Science","id":"ITEM-1","issue":"1","issued":{"date-parts":[["2021"]]},"title":"Replacement of Palm Methyl Ester to Rapeseed Methyl Ester for Tar Removal in the Nong Bua Dual Fluidized Bed Gasification Power Plant","type":"article-journal","volume":"801"},"uris":["http://www.mendeley.com/documents/?uuid=a30d08a5-9a23-4bae-a473-45d6d0d51e91"]}],"mendeley":{"formattedCitation":"(Tonpakdee et al., 2021)","plainTextFormattedCitation":"(Tonpakdee et al., 2021)","previouslyFormattedCitation":"(Tonpakdee et al., 2021)"},"properties":{"noteIndex":0},"schema":"https://github.com/citation-style-language/schema/raw/master/csl-citation.json"}</w:instrText>
      </w:r>
      <w:r w:rsidRPr="00BF730A">
        <w:rPr>
          <w:rStyle w:val="CETBodytextCarattere"/>
          <w:rFonts w:cs="Arial"/>
        </w:rPr>
        <w:fldChar w:fldCharType="separate"/>
      </w:r>
      <w:r w:rsidRPr="00BF730A">
        <w:rPr>
          <w:rStyle w:val="CETBodytextCarattere"/>
          <w:rFonts w:cs="Arial"/>
          <w:noProof/>
        </w:rPr>
        <w:t>(Tonpakdee et al., 2021)</w:t>
      </w:r>
      <w:r w:rsidRPr="00BF730A">
        <w:rPr>
          <w:rStyle w:val="CETBodytextCarattere"/>
          <w:rFonts w:cs="Arial"/>
        </w:rPr>
        <w:fldChar w:fldCharType="end"/>
      </w:r>
      <w:r w:rsidR="006272BE" w:rsidRPr="00BF730A">
        <w:rPr>
          <w:rStyle w:val="CETBodytextCarattere"/>
          <w:rFonts w:cs="Arial"/>
        </w:rPr>
        <w:t xml:space="preserve">; </w:t>
      </w:r>
      <w:r w:rsidR="00C0301D" w:rsidRPr="00BF730A">
        <w:rPr>
          <w:rStyle w:val="CETBodytextCarattere"/>
          <w:rFonts w:cs="Arial"/>
        </w:rPr>
        <w:t>5) t</w:t>
      </w:r>
      <w:r w:rsidRPr="00BF730A">
        <w:rPr>
          <w:rStyle w:val="CETBodytextCarattere"/>
          <w:rFonts w:cs="Arial"/>
        </w:rPr>
        <w:t xml:space="preserve">he solvent used for the removal of the heavier tar is known as RME (rapeseed oil methyl esters) and consists of palmitic, oleic and linoleic acids </w:t>
      </w:r>
      <w:r w:rsidRPr="00BF730A">
        <w:rPr>
          <w:rStyle w:val="CETBodytextCarattere"/>
          <w:rFonts w:cs="Arial"/>
        </w:rPr>
        <w:fldChar w:fldCharType="begin" w:fldLock="1"/>
      </w:r>
      <w:r w:rsidRPr="00BF730A">
        <w:rPr>
          <w:rStyle w:val="CETBodytextCarattere"/>
          <w:rFonts w:cs="Arial"/>
        </w:rPr>
        <w:instrText>ADDIN CSL_CITATION {"citationItems":[{"id":"ITEM-1","itemData":{"DOI":"10.1088/1755-1315/801/1/012021","ISSN":"17551315","abstract":"The blockage problem of tar in a biomass power plant is a main problem and it must be removed. Rapeseed methyl ester (RME) was imported and used as scrubbing solvent to scrub tar at a 1 MWel Nong Bua prototype Dual Fluidised Bed (DFB) gasifier in Nong Bua district, Nakhonsawan province, Thailand. Using local oil in Thailand is an attractive choice from economic viewpoint. Pervious lab test study on naphthalene solubility in different local oils in Thailand was investigated. Local palm methyl ester (PME) shows the competitive performance to the RME. In this research, PME was tested to scrub tar in an oil scrubber at the Nong Bua DFB gasifier plant. Gravimetric tar content after passed a PME scrubber was measured and compared to that from a RME oil scrubber. The results show that both solvents have similar tar removal performance due to their contents of ester, methanol, and glycerin are similar. In addition, viscosity of both solvents has no significant effect on tar removal. From the current research, therefore, PME has been used as solvent in an oil scrubber at 1 MWel Nong Bua prototype DFB gasifier with technical and economic reasons.","author":[{"dropping-particle":"","family":"Tonpakdee","given":"P.","non-dropping-particle":"","parse-names":false,"suffix":""},{"dropping-particle":"","family":"Hongrapipat","given":"J.","non-dropping-particle":"","parse-names":false,"suffix":""},{"dropping-particle":"","family":"Siriwongrungson","given":"V.","non-dropping-particle":"","parse-names":false,"suffix":""},{"dropping-particle":"","family":"Pang","given":"S.","non-dropping-particle":"","parse-names":false,"suffix":""},{"dropping-particle":"","family":"Rauch","given":"R.","non-dropping-particle":"","parse-names":false,"suffix":""},{"dropping-particle":"","family":"Messner","given":"M.","non-dropping-particle":"","parse-names":false,"suffix":""},{"dropping-particle":"","family":"Henrich","given":"C.","non-dropping-particle":"","parse-names":false,"suffix":""},{"dropping-particle":"","family":"Pessl","given":"P.","non-dropping-particle":"","parse-names":false,"suffix":""},{"dropping-particle":"","family":"Dichand","given":"M.","non-dropping-particle":"","parse-names":false,"suffix":""}],"container-title":"IOP Conference Series: Earth and Environmental Science","id":"ITEM-1","issue":"1","issued":{"date-parts":[["2021"]]},"title":"Replacement of Palm Methyl Ester to Rapeseed Methyl Ester for Tar Removal in the Nong Bua Dual Fluidized Bed Gasification Power Plant","type":"article-journal","volume":"801"},"uris":["http://www.mendeley.com/documents/?uuid=a30d08a5-9a23-4bae-a473-45d6d0d51e91"]}],"mendeley":{"formattedCitation":"(Tonpakdee et al., 2021)","plainTextFormattedCitation":"(Tonpakdee et al., 2021)","previouslyFormattedCitation":"(Tonpakdee et al., 2021)"},"properties":{"noteIndex":0},"schema":"https://github.com/citation-style-language/schema/raw/master/csl-citation.json"}</w:instrText>
      </w:r>
      <w:r w:rsidRPr="00BF730A">
        <w:rPr>
          <w:rStyle w:val="CETBodytextCarattere"/>
          <w:rFonts w:cs="Arial"/>
        </w:rPr>
        <w:fldChar w:fldCharType="separate"/>
      </w:r>
      <w:r w:rsidRPr="00BF730A">
        <w:rPr>
          <w:rStyle w:val="CETBodytextCarattere"/>
          <w:rFonts w:cs="Arial"/>
          <w:noProof/>
        </w:rPr>
        <w:t>(Tonpakdee et al., 2021)</w:t>
      </w:r>
      <w:r w:rsidRPr="00BF730A">
        <w:rPr>
          <w:rStyle w:val="CETBodytextCarattere"/>
          <w:rFonts w:cs="Arial"/>
        </w:rPr>
        <w:fldChar w:fldCharType="end"/>
      </w:r>
      <w:r w:rsidRPr="00BF730A">
        <w:rPr>
          <w:rStyle w:val="CETBodytextCarattere"/>
          <w:rFonts w:cs="Arial"/>
        </w:rPr>
        <w:t xml:space="preserve">. For the amount of fresh RME entering the process, a feed ratio of 0.03-0.035 MWRME/MWbiomass was used as reference </w:t>
      </w:r>
      <w:r w:rsidRPr="00BF730A">
        <w:rPr>
          <w:rStyle w:val="CETBodytextCarattere"/>
          <w:rFonts w:cs="Arial"/>
        </w:rPr>
        <w:fldChar w:fldCharType="begin" w:fldLock="1"/>
      </w:r>
      <w:r w:rsidRPr="00BF730A">
        <w:rPr>
          <w:rStyle w:val="CETBodytextCarattere"/>
          <w:rFonts w:cs="Arial"/>
        </w:rPr>
        <w:instrText>ADDIN CSL_CITATION {"citationItems":[{"id":"ITEM-1","itemData":{"author":[{"dropping-particle":"","family":"Gambardella","given":"Andrea","non-dropping-particle":"","parse-names":false,"suffix":""},{"dropping-particle":"","family":"Yasin Yahya","given":"Yahya","non-dropping-particle":"","parse-names":false,"suffix":""}],"id":"ITEM-1","issued":{"date-parts":[["2017"]]},"title":"Power-to-Gas concepts integrated with syngas production through gasification of forest residues Process modelling Master's thesis in Sustainable Energy System Programme","type":"article-journal"},"uris":["http://www.mendeley.com/documents/?uuid=762816b2-5552-47e9-8ff5-6488c8f60936"]}],"mendeley":{"formattedCitation":"(Gambardella &amp; Yasin Yahya, 2017)","manualFormatting":"(Gambardella and Yasin Yahya, 2017)","plainTextFormattedCitation":"(Gambardella &amp; Yasin Yahya, 2017)","previouslyFormattedCitation":"(Gambardella &amp; Yasin Yahya, 2017)"},"properties":{"noteIndex":0},"schema":"https://github.com/citation-style-language/schema/raw/master/csl-citation.json"}</w:instrText>
      </w:r>
      <w:r w:rsidRPr="00BF730A">
        <w:rPr>
          <w:rStyle w:val="CETBodytextCarattere"/>
          <w:rFonts w:cs="Arial"/>
        </w:rPr>
        <w:fldChar w:fldCharType="separate"/>
      </w:r>
      <w:r w:rsidRPr="00BF730A">
        <w:rPr>
          <w:rStyle w:val="CETBodytextCarattere"/>
          <w:rFonts w:cs="Arial"/>
          <w:noProof/>
        </w:rPr>
        <w:t>(Gambardella and Yasin Yahya, 2017)</w:t>
      </w:r>
      <w:r w:rsidRPr="00BF730A">
        <w:rPr>
          <w:rStyle w:val="CETBodytextCarattere"/>
          <w:rFonts w:cs="Arial"/>
        </w:rPr>
        <w:fldChar w:fldCharType="end"/>
      </w:r>
      <w:r w:rsidR="00AA6D87" w:rsidRPr="00BF730A">
        <w:rPr>
          <w:rStyle w:val="CETBodytextCarattere"/>
          <w:rFonts w:cs="Arial"/>
        </w:rPr>
        <w:t xml:space="preserve">; </w:t>
      </w:r>
      <w:r w:rsidR="00C0301D" w:rsidRPr="00BF730A">
        <w:rPr>
          <w:rStyle w:val="CETBodytextCarattere"/>
          <w:rFonts w:cs="Arial"/>
        </w:rPr>
        <w:t xml:space="preserve">6) </w:t>
      </w:r>
      <w:r w:rsidR="003A2013" w:rsidRPr="00BF730A">
        <w:rPr>
          <w:rStyle w:val="CETBodytextCarattere"/>
          <w:rFonts w:cs="Arial"/>
        </w:rPr>
        <w:t>f</w:t>
      </w:r>
      <w:r w:rsidRPr="00BF730A">
        <w:rPr>
          <w:rStyle w:val="CETBodytextCarattere"/>
          <w:rFonts w:cs="Arial"/>
        </w:rPr>
        <w:t>or H</w:t>
      </w:r>
      <w:r w:rsidRPr="00BF730A">
        <w:rPr>
          <w:rStyle w:val="CETBodytextCarattere"/>
          <w:rFonts w:cs="Arial"/>
          <w:vertAlign w:val="subscript"/>
        </w:rPr>
        <w:t>2</w:t>
      </w:r>
      <w:r w:rsidRPr="00BF730A">
        <w:rPr>
          <w:rStyle w:val="CETBodytextCarattere"/>
          <w:rFonts w:cs="Arial"/>
        </w:rPr>
        <w:t xml:space="preserve">S removal, methylenedioxyethylamphetamine (MEDA) at 35 %wt, 40 °C and a feed of 2 kg MDEA/kg gas is used </w:t>
      </w:r>
      <w:r w:rsidRPr="00BF730A">
        <w:rPr>
          <w:rStyle w:val="CETBodytextCarattere"/>
          <w:rFonts w:cs="Arial"/>
        </w:rPr>
        <w:fldChar w:fldCharType="begin" w:fldLock="1"/>
      </w:r>
      <w:r w:rsidRPr="00BF730A">
        <w:rPr>
          <w:rStyle w:val="CETBodytextCarattere"/>
          <w:rFonts w:cs="Arial"/>
        </w:rPr>
        <w:instrText>ADDIN CSL_CITATION {"citationItems":[{"id":"ITEM-1","itemData":{"DOI":"10.1016/j.jece.2021.105037","ISSN":"22133437","abstract":"This study models an H2S removal unit for steel-manufacturing coke-oven gas and suggests optimal operating conditions and safety analysis for absorption and regeneration columns. Sensitivity analysis was performed on H2S removal to identify the minimum methyldiethanolamine (MDEA) solution flow rate using 99% H2S removal as a constraint and minimal heat duty. The optimized L/G ratio and regeneration column pressure were investigated accordance with change in H2S emission limit or desulfurization efficiency (99-99.9%), to reflect the different usage of COG. For the absorption column, the MDEA solution and heating duty were expected to be reduced in optimal conditions by 35% and 23% respectively when absorbent to gas mass ratio was decreased from 2.0 to 1.3, respectively. The most effective operating pressure for the distillation column was 2.5bar (Basis pressure: 1.2bar) based on a trade-off between reboiler energy and the H2S remaining in the recycle stream. According to optimization result with variation in efficiency, the higher optimized L/G ratio, higher reboiler duty, higher intermediate heat exchanger duty, and lower optimized regenerator pressure were required to maintain higher efficiency with different COG utilization. To ensure safe operating conditions, chemical reactivity tests were conducted for mixture of chemicals. Additionally, Gas dispersion analysis predicted the concentration and distance of gas spread to ensure safety from gas leak accident.","author":[{"dropping-particle":"","family":"Park","given":"Junkyu","non-dropping-particle":"","parse-names":false,"suffix":""},{"dropping-particle":"","family":"Lee","given":"Seok Young","non-dropping-particle":"","parse-names":false,"suffix":""},{"dropping-particle":"","family":"Kim","given":"Jeongin","non-dropping-particle":"","parse-names":false,"suffix":""},{"dropping-particle":"","family":"Um","given":"Wooyong","non-dropping-particle":"","parse-names":false,"suffix":""},{"dropping-particle":"","family":"Lee","given":"In Beum","non-dropping-particle":"","parse-names":false,"suffix":""},{"dropping-particle":"","family":"Yoo","given":"Changkyoo","non-dropping-particle":"","parse-names":false,"suffix":""}],"container-title":"Journal of Environmental Chemical Engineering","id":"ITEM-1","issue":"1","issued":{"date-parts":[["2021"]]},"page":"105037","publisher":"Elsevier Ltd","title":"Energy, safety, and absorption efficiency evaluation of a pilot-scale H2S abatement process using MDEA solution in a coke-oven gas","type":"article-journal","volume":"9"},"uris":["http://www.mendeley.com/documents/?uuid=a385929b-5aac-4d37-9ed6-1e896baf4c90"]}],"mendeley":{"formattedCitation":"(Park et al., 2021)","plainTextFormattedCitation":"(Park et al., 2021)","previouslyFormattedCitation":"(Park et al., 2021)"},"properties":{"noteIndex":0},"schema":"https://github.com/citation-style-language/schema/raw/master/csl-citation.json"}</w:instrText>
      </w:r>
      <w:r w:rsidRPr="00BF730A">
        <w:rPr>
          <w:rStyle w:val="CETBodytextCarattere"/>
          <w:rFonts w:cs="Arial"/>
        </w:rPr>
        <w:fldChar w:fldCharType="separate"/>
      </w:r>
      <w:r w:rsidRPr="00BF730A">
        <w:rPr>
          <w:rStyle w:val="CETBodytextCarattere"/>
          <w:rFonts w:cs="Arial"/>
          <w:noProof/>
        </w:rPr>
        <w:t>(Park et al., 2021)</w:t>
      </w:r>
      <w:r w:rsidRPr="00BF730A">
        <w:rPr>
          <w:rStyle w:val="CETBodytextCarattere"/>
          <w:rFonts w:cs="Arial"/>
        </w:rPr>
        <w:fldChar w:fldCharType="end"/>
      </w:r>
      <w:r w:rsidR="00AA6D87" w:rsidRPr="00BF730A">
        <w:rPr>
          <w:rStyle w:val="CETBodytextCarattere"/>
          <w:rFonts w:cs="Arial"/>
        </w:rPr>
        <w:t xml:space="preserve">; </w:t>
      </w:r>
      <w:r w:rsidR="00C0301D" w:rsidRPr="00BF730A">
        <w:rPr>
          <w:rStyle w:val="CETBodytextCarattere"/>
          <w:rFonts w:cs="Arial"/>
        </w:rPr>
        <w:t xml:space="preserve">7) </w:t>
      </w:r>
      <w:r w:rsidR="00AA6D87" w:rsidRPr="00BF730A">
        <w:rPr>
          <w:rStyle w:val="CETBodytextCarattere"/>
          <w:rFonts w:cs="Arial"/>
        </w:rPr>
        <w:t>f</w:t>
      </w:r>
      <w:r w:rsidRPr="00BF730A">
        <w:rPr>
          <w:rStyle w:val="CETBodytextCarattere"/>
          <w:rFonts w:cs="Arial"/>
        </w:rPr>
        <w:t>or CO</w:t>
      </w:r>
      <w:r w:rsidRPr="00BF730A">
        <w:rPr>
          <w:rStyle w:val="CETBodytextCarattere"/>
          <w:rFonts w:cs="Arial"/>
          <w:vertAlign w:val="subscript"/>
        </w:rPr>
        <w:t>2</w:t>
      </w:r>
      <w:r w:rsidRPr="00BF730A">
        <w:rPr>
          <w:rStyle w:val="CETBodytextCarattere"/>
          <w:rFonts w:cs="Arial"/>
        </w:rPr>
        <w:t xml:space="preserve"> removal, monoethanolamine (MEA) at 30 %wt, 90 % efficiency, and a feed ratio of 0.23 mol de CO</w:t>
      </w:r>
      <w:r w:rsidRPr="00BF730A">
        <w:rPr>
          <w:rStyle w:val="CETBodytextCarattere"/>
          <w:rFonts w:cs="Arial"/>
          <w:vertAlign w:val="subscript"/>
        </w:rPr>
        <w:t>2</w:t>
      </w:r>
      <w:r w:rsidRPr="00BF730A">
        <w:rPr>
          <w:rStyle w:val="CETBodytextCarattere"/>
          <w:rFonts w:cs="Arial"/>
        </w:rPr>
        <w:t xml:space="preserve">/ mole MEA is used </w:t>
      </w:r>
      <w:r w:rsidRPr="00BF730A">
        <w:rPr>
          <w:rStyle w:val="CETBodytextCarattere"/>
          <w:rFonts w:cs="Arial"/>
        </w:rPr>
        <w:fldChar w:fldCharType="begin" w:fldLock="1"/>
      </w:r>
      <w:r w:rsidRPr="00BF730A">
        <w:rPr>
          <w:rStyle w:val="CETBodytextCarattere"/>
          <w:rFonts w:cs="Arial"/>
        </w:rPr>
        <w:instrText>ADDIN CSL_CITATION {"citationItems":[{"id":"ITEM-1","itemData":{"DOI":"10.1016/j.energy.2018.02.109","ISSN":"03605442","abstract":"In the context of the climate changes and to improve people's life, solutions for reducing the amount of CO2 emissions into the atmosphere from the energy sector are being sought after. One of the solutions is to produce a greater part of the global energy requirement from renewable energy sources. Nowadays, biomass is one of the most easily available renewable energy sources. The biomass gasification is a technology which presents several important advantages of the bioenergy in terms of producing heat, power and biofuels for useful applications. In this article, the biomass gasification with the CO2 capture technology (BIGCC + CAP) by using an aqueous monoethanolamine solution was studied for converting the treated syngas into electricity in a combined cycle power plant. The biomass gasification can be done using either air or oxygen in order to improve the quality of the syngas produced. However, only the gasification with air was studied in this research due to the large energy consumption in the ASU (air separation unit) unit for oxygen separation. Thus, the CO2 post-combustion capture by the chemical absorption technology was studied to determine its effects on the performances of a gas turbine power plant with an HRSG (Heat Recovery Steam Generator) with a total installed power of 10 MW. In order to increase the performances of the combined cycle, the exhaust gases are supplementary used in an HRSG unit in order to produce steam for the steam turbine, with an installed power of 4 MW. The chemical solvent used for the CO2 capture separation was monoethanolamine with a concentration of 30 wt. %, considering a CO2 capture efficiency of 90%. The thermal heat required for the solvent regeneration is provided by the steam extracted from the low pressure steam turbine. To reduce the thermal energy requirement for the chemical solvent regeneration, an HRSG unit was used to recover the heat from the syngas. Thus, the overall efficiency was reduced from 50.9% to 45.8% in the case without the HRSG unit and to 47.03% in the case with the HRSG unit. By comparing the BIGCC + CAP with and without the HRSG unit, the lowest value of the LCOE was obtained for the BIGCC + CAP + HRSG, and was found to be 77.56 €/MWh.","author":[{"dropping-particle":"","family":"Dinca","given":"Cristian","non-dropping-particle":"","parse-names":false,"suffix":""},{"dropping-particle":"","family":"Slavu","given":"Nela","non-dropping-particle":"","parse-names":false,"suffix":""},{"dropping-particle":"","family":"Cormoş","given":"Călin Cristian","non-dropping-particle":"","parse-names":false,"suffix":""},{"dropping-particle":"","family":"Badea","given":"Adrian","non-dropping-particle":"","parse-names":false,"suffix":""}],"container-title":"Energy","id":"ITEM-1","issued":{"date-parts":[["2018"]]},"page":"925-936","title":"CO2 capture from syngas generated by a biomass gasification power plant with chemical absorption process","type":"article-journal","volume":"149"},"uris":["http://www.mendeley.com/documents/?uuid=d62bae48-b00a-4e30-a806-cc5694a5abb7"]}],"mendeley":{"formattedCitation":"(Dinca et al., 2018)","plainTextFormattedCitation":"(Dinca et al., 2018)","previouslyFormattedCitation":"(Dinca et al., 2018)"},"properties":{"noteIndex":0},"schema":"https://github.com/citation-style-language/schema/raw/master/csl-citation.json"}</w:instrText>
      </w:r>
      <w:r w:rsidRPr="00BF730A">
        <w:rPr>
          <w:rStyle w:val="CETBodytextCarattere"/>
          <w:rFonts w:cs="Arial"/>
        </w:rPr>
        <w:fldChar w:fldCharType="separate"/>
      </w:r>
      <w:r w:rsidRPr="00BF730A">
        <w:rPr>
          <w:rStyle w:val="CETBodytextCarattere"/>
          <w:rFonts w:cs="Arial"/>
          <w:noProof/>
        </w:rPr>
        <w:t>(Dinca et al., 2018)</w:t>
      </w:r>
      <w:r w:rsidRPr="00BF730A">
        <w:rPr>
          <w:rStyle w:val="CETBodytextCarattere"/>
          <w:rFonts w:cs="Arial"/>
        </w:rPr>
        <w:fldChar w:fldCharType="end"/>
      </w:r>
      <w:r w:rsidRPr="00BF730A">
        <w:rPr>
          <w:rStyle w:val="CETBodytextCarattere"/>
          <w:rFonts w:cs="Arial"/>
        </w:rPr>
        <w:t>.</w:t>
      </w:r>
    </w:p>
    <w:p w14:paraId="01E7927B" w14:textId="77777777" w:rsidR="004E44B2" w:rsidRPr="00BF730A" w:rsidRDefault="004E44B2" w:rsidP="004E44B2">
      <w:pPr>
        <w:pStyle w:val="CETTabletitle"/>
        <w:rPr>
          <w:rFonts w:cs="Arial"/>
        </w:rPr>
      </w:pPr>
      <w:r w:rsidRPr="00BF730A">
        <w:rPr>
          <w:rFonts w:cs="Arial"/>
        </w:rPr>
        <w:t xml:space="preserve">Table 2: </w:t>
      </w:r>
      <w:r w:rsidRPr="00BF730A">
        <w:rPr>
          <w:rFonts w:cs="Arial"/>
          <w:lang w:val="en-US"/>
        </w:rPr>
        <w:t>Gas composition at the gasifier outlet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13"/>
        <w:gridCol w:w="2113"/>
      </w:tblGrid>
      <w:tr w:rsidR="004E44B2" w:rsidRPr="00BF730A" w14:paraId="3901D3F7" w14:textId="77777777" w:rsidTr="00B80906">
        <w:trPr>
          <w:trHeight w:val="227"/>
        </w:trPr>
        <w:tc>
          <w:tcPr>
            <w:tcW w:w="2113" w:type="dxa"/>
            <w:tcBorders>
              <w:top w:val="single" w:sz="12" w:space="0" w:color="008000"/>
              <w:bottom w:val="single" w:sz="6" w:space="0" w:color="008000"/>
            </w:tcBorders>
            <w:shd w:val="clear" w:color="auto" w:fill="FFFFFF"/>
            <w:vAlign w:val="center"/>
          </w:tcPr>
          <w:p w14:paraId="2BEB19BB" w14:textId="77777777" w:rsidR="004E44B2" w:rsidRPr="00BF730A" w:rsidRDefault="004E44B2" w:rsidP="00B80906">
            <w:pPr>
              <w:pStyle w:val="CETBodytext"/>
              <w:jc w:val="left"/>
              <w:rPr>
                <w:rFonts w:cs="Arial"/>
                <w:lang w:val="en-GB"/>
              </w:rPr>
            </w:pPr>
            <w:r w:rsidRPr="00BF730A">
              <w:rPr>
                <w:rFonts w:cs="Arial"/>
                <w:lang w:val="en-GB"/>
              </w:rPr>
              <w:t>Compound</w:t>
            </w:r>
          </w:p>
        </w:tc>
        <w:tc>
          <w:tcPr>
            <w:tcW w:w="2113" w:type="dxa"/>
            <w:tcBorders>
              <w:top w:val="single" w:sz="12" w:space="0" w:color="008000"/>
              <w:bottom w:val="single" w:sz="6" w:space="0" w:color="008000"/>
            </w:tcBorders>
            <w:shd w:val="clear" w:color="auto" w:fill="FFFFFF"/>
            <w:vAlign w:val="center"/>
          </w:tcPr>
          <w:p w14:paraId="7546D261" w14:textId="77777777" w:rsidR="004E44B2" w:rsidRPr="00BF730A" w:rsidRDefault="004E44B2" w:rsidP="00B80906">
            <w:pPr>
              <w:pStyle w:val="CETBodytext"/>
              <w:jc w:val="left"/>
              <w:rPr>
                <w:rFonts w:cs="Arial"/>
                <w:lang w:val="en-GB"/>
              </w:rPr>
            </w:pPr>
            <w:r w:rsidRPr="00BF730A">
              <w:rPr>
                <w:rFonts w:cs="Arial"/>
                <w:lang w:val="en-GB"/>
              </w:rPr>
              <w:t>Mass percentage (%wt)</w:t>
            </w:r>
          </w:p>
        </w:tc>
      </w:tr>
      <w:tr w:rsidR="004E44B2" w:rsidRPr="00BF730A" w14:paraId="662CAA02" w14:textId="77777777" w:rsidTr="00B80906">
        <w:trPr>
          <w:trHeight w:val="227"/>
        </w:trPr>
        <w:tc>
          <w:tcPr>
            <w:tcW w:w="2113" w:type="dxa"/>
            <w:shd w:val="clear" w:color="auto" w:fill="FFFFFF"/>
            <w:vAlign w:val="center"/>
          </w:tcPr>
          <w:p w14:paraId="162D86F8" w14:textId="77777777" w:rsidR="004E44B2" w:rsidRPr="00BF730A" w:rsidRDefault="004E44B2" w:rsidP="00B80906">
            <w:pPr>
              <w:pStyle w:val="CETBodytext"/>
              <w:jc w:val="left"/>
              <w:rPr>
                <w:rFonts w:cs="Arial"/>
                <w:lang w:val="en-GB"/>
              </w:rPr>
            </w:pPr>
            <w:r w:rsidRPr="00BF730A">
              <w:rPr>
                <w:rFonts w:cs="Arial"/>
                <w:color w:val="000000"/>
                <w:lang w:eastAsia="es-CO"/>
              </w:rPr>
              <w:t>H</w:t>
            </w:r>
            <w:r w:rsidRPr="00BF730A">
              <w:rPr>
                <w:rFonts w:cs="Arial"/>
                <w:color w:val="000000"/>
                <w:vertAlign w:val="subscript"/>
                <w:lang w:eastAsia="es-CO"/>
              </w:rPr>
              <w:t>2</w:t>
            </w:r>
          </w:p>
        </w:tc>
        <w:tc>
          <w:tcPr>
            <w:tcW w:w="2113" w:type="dxa"/>
            <w:shd w:val="clear" w:color="auto" w:fill="FFFFFF"/>
            <w:vAlign w:val="center"/>
          </w:tcPr>
          <w:p w14:paraId="6B9FA292" w14:textId="77777777" w:rsidR="004E44B2" w:rsidRPr="00BF730A" w:rsidRDefault="004E44B2" w:rsidP="00B80906">
            <w:pPr>
              <w:pStyle w:val="CETBodytext"/>
              <w:jc w:val="left"/>
              <w:rPr>
                <w:rFonts w:cs="Arial"/>
                <w:lang w:val="en-GB"/>
              </w:rPr>
            </w:pPr>
            <w:r w:rsidRPr="00BF730A">
              <w:rPr>
                <w:rFonts w:cs="Arial"/>
                <w:color w:val="000000"/>
                <w:lang w:eastAsia="es-CO"/>
              </w:rPr>
              <w:t>4.1383</w:t>
            </w:r>
          </w:p>
        </w:tc>
      </w:tr>
      <w:tr w:rsidR="004E44B2" w:rsidRPr="00BF730A" w14:paraId="7B25AF10" w14:textId="77777777" w:rsidTr="00B80906">
        <w:trPr>
          <w:trHeight w:val="227"/>
        </w:trPr>
        <w:tc>
          <w:tcPr>
            <w:tcW w:w="2113" w:type="dxa"/>
            <w:shd w:val="clear" w:color="auto" w:fill="FFFFFF"/>
            <w:vAlign w:val="center"/>
          </w:tcPr>
          <w:p w14:paraId="5A82E904"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CO</w:t>
            </w:r>
          </w:p>
        </w:tc>
        <w:tc>
          <w:tcPr>
            <w:tcW w:w="2113" w:type="dxa"/>
            <w:shd w:val="clear" w:color="auto" w:fill="FFFFFF"/>
            <w:vAlign w:val="center"/>
          </w:tcPr>
          <w:p w14:paraId="6B321392"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15.4993</w:t>
            </w:r>
          </w:p>
        </w:tc>
      </w:tr>
      <w:tr w:rsidR="004E44B2" w:rsidRPr="00BF730A" w14:paraId="4F949A84" w14:textId="77777777" w:rsidTr="00B80906">
        <w:trPr>
          <w:trHeight w:val="227"/>
        </w:trPr>
        <w:tc>
          <w:tcPr>
            <w:tcW w:w="2113" w:type="dxa"/>
            <w:shd w:val="clear" w:color="auto" w:fill="FFFFFF"/>
            <w:vAlign w:val="center"/>
          </w:tcPr>
          <w:p w14:paraId="6FB9EFB9"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CH</w:t>
            </w:r>
            <w:r w:rsidRPr="00BF730A">
              <w:rPr>
                <w:rFonts w:cs="Arial"/>
                <w:color w:val="000000"/>
                <w:vertAlign w:val="subscript"/>
                <w:lang w:eastAsia="es-CO"/>
              </w:rPr>
              <w:t>4</w:t>
            </w:r>
          </w:p>
        </w:tc>
        <w:tc>
          <w:tcPr>
            <w:tcW w:w="2113" w:type="dxa"/>
            <w:shd w:val="clear" w:color="auto" w:fill="FFFFFF"/>
            <w:vAlign w:val="center"/>
          </w:tcPr>
          <w:p w14:paraId="4B2E703C"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3.4599</w:t>
            </w:r>
          </w:p>
        </w:tc>
      </w:tr>
      <w:tr w:rsidR="004E44B2" w:rsidRPr="00BF730A" w14:paraId="1C832CE2" w14:textId="77777777" w:rsidTr="00B80906">
        <w:trPr>
          <w:trHeight w:val="227"/>
        </w:trPr>
        <w:tc>
          <w:tcPr>
            <w:tcW w:w="2113" w:type="dxa"/>
            <w:shd w:val="clear" w:color="auto" w:fill="FFFFFF"/>
            <w:vAlign w:val="center"/>
          </w:tcPr>
          <w:p w14:paraId="12F8A94D"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lastRenderedPageBreak/>
              <w:t>C</w:t>
            </w:r>
            <w:r w:rsidRPr="00BF730A">
              <w:rPr>
                <w:rFonts w:cs="Arial"/>
                <w:color w:val="000000"/>
                <w:vertAlign w:val="subscript"/>
                <w:lang w:eastAsia="es-CO"/>
              </w:rPr>
              <w:t>2</w:t>
            </w:r>
            <w:r w:rsidRPr="00BF730A">
              <w:rPr>
                <w:rFonts w:cs="Arial"/>
                <w:color w:val="000000"/>
                <w:lang w:eastAsia="es-CO"/>
              </w:rPr>
              <w:t>H</w:t>
            </w:r>
            <w:r w:rsidRPr="00BF730A">
              <w:rPr>
                <w:rFonts w:cs="Arial"/>
                <w:color w:val="000000"/>
                <w:vertAlign w:val="subscript"/>
                <w:lang w:eastAsia="es-CO"/>
              </w:rPr>
              <w:t>4</w:t>
            </w:r>
          </w:p>
        </w:tc>
        <w:tc>
          <w:tcPr>
            <w:tcW w:w="2113" w:type="dxa"/>
            <w:shd w:val="clear" w:color="auto" w:fill="FFFFFF"/>
            <w:vAlign w:val="center"/>
          </w:tcPr>
          <w:p w14:paraId="68839F4D"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2.3517</w:t>
            </w:r>
          </w:p>
        </w:tc>
      </w:tr>
      <w:tr w:rsidR="004E44B2" w:rsidRPr="00BF730A" w14:paraId="23A4DE3D" w14:textId="77777777" w:rsidTr="00B80906">
        <w:trPr>
          <w:trHeight w:val="227"/>
        </w:trPr>
        <w:tc>
          <w:tcPr>
            <w:tcW w:w="2113" w:type="dxa"/>
            <w:shd w:val="clear" w:color="auto" w:fill="FFFFFF"/>
            <w:vAlign w:val="center"/>
          </w:tcPr>
          <w:p w14:paraId="6F5DA0C2"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C</w:t>
            </w:r>
            <w:r w:rsidRPr="00BF730A">
              <w:rPr>
                <w:rFonts w:cs="Arial"/>
                <w:color w:val="000000"/>
                <w:vertAlign w:val="subscript"/>
                <w:lang w:eastAsia="es-CO"/>
              </w:rPr>
              <w:t>2</w:t>
            </w:r>
            <w:r w:rsidRPr="00BF730A">
              <w:rPr>
                <w:rFonts w:cs="Arial"/>
                <w:color w:val="000000"/>
                <w:lang w:eastAsia="es-CO"/>
              </w:rPr>
              <w:t>H</w:t>
            </w:r>
            <w:r w:rsidRPr="00BF730A">
              <w:rPr>
                <w:rFonts w:cs="Arial"/>
                <w:color w:val="000000"/>
                <w:vertAlign w:val="subscript"/>
                <w:lang w:eastAsia="es-CO"/>
              </w:rPr>
              <w:t>6</w:t>
            </w:r>
          </w:p>
        </w:tc>
        <w:tc>
          <w:tcPr>
            <w:tcW w:w="2113" w:type="dxa"/>
            <w:shd w:val="clear" w:color="auto" w:fill="FFFFFF"/>
            <w:vAlign w:val="center"/>
          </w:tcPr>
          <w:p w14:paraId="75ED1754"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0.1183</w:t>
            </w:r>
          </w:p>
        </w:tc>
      </w:tr>
      <w:tr w:rsidR="004E44B2" w:rsidRPr="00BF730A" w14:paraId="54AAA95D" w14:textId="77777777" w:rsidTr="00B80906">
        <w:trPr>
          <w:trHeight w:val="227"/>
        </w:trPr>
        <w:tc>
          <w:tcPr>
            <w:tcW w:w="2113" w:type="dxa"/>
            <w:shd w:val="clear" w:color="auto" w:fill="FFFFFF"/>
            <w:vAlign w:val="center"/>
          </w:tcPr>
          <w:p w14:paraId="06EE9338"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CO</w:t>
            </w:r>
            <w:r w:rsidRPr="00BF730A">
              <w:rPr>
                <w:rFonts w:cs="Arial"/>
                <w:color w:val="000000"/>
                <w:vertAlign w:val="subscript"/>
                <w:lang w:eastAsia="es-CO"/>
              </w:rPr>
              <w:t>2</w:t>
            </w:r>
          </w:p>
        </w:tc>
        <w:tc>
          <w:tcPr>
            <w:tcW w:w="2113" w:type="dxa"/>
            <w:shd w:val="clear" w:color="auto" w:fill="FFFFFF"/>
            <w:vAlign w:val="center"/>
          </w:tcPr>
          <w:p w14:paraId="099282A5"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45.1542</w:t>
            </w:r>
          </w:p>
        </w:tc>
      </w:tr>
      <w:tr w:rsidR="004E44B2" w:rsidRPr="00BF730A" w14:paraId="273F3DF7" w14:textId="77777777" w:rsidTr="00B80906">
        <w:trPr>
          <w:trHeight w:val="227"/>
        </w:trPr>
        <w:tc>
          <w:tcPr>
            <w:tcW w:w="2113" w:type="dxa"/>
            <w:shd w:val="clear" w:color="auto" w:fill="FFFFFF"/>
            <w:vAlign w:val="center"/>
          </w:tcPr>
          <w:p w14:paraId="3230422E"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H</w:t>
            </w:r>
            <w:r w:rsidRPr="00BF730A">
              <w:rPr>
                <w:rFonts w:cs="Arial"/>
                <w:color w:val="000000"/>
                <w:vertAlign w:val="subscript"/>
                <w:lang w:eastAsia="es-CO"/>
              </w:rPr>
              <w:t>2</w:t>
            </w:r>
            <w:r w:rsidRPr="00BF730A">
              <w:rPr>
                <w:rFonts w:cs="Arial"/>
                <w:color w:val="000000"/>
                <w:lang w:eastAsia="es-CO"/>
              </w:rPr>
              <w:t>S</w:t>
            </w:r>
          </w:p>
        </w:tc>
        <w:tc>
          <w:tcPr>
            <w:tcW w:w="2113" w:type="dxa"/>
            <w:shd w:val="clear" w:color="auto" w:fill="FFFFFF"/>
            <w:vAlign w:val="center"/>
          </w:tcPr>
          <w:p w14:paraId="0067C00C"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0.0202</w:t>
            </w:r>
          </w:p>
        </w:tc>
      </w:tr>
      <w:tr w:rsidR="004E44B2" w:rsidRPr="00BF730A" w14:paraId="595EBCE1" w14:textId="77777777" w:rsidTr="00B80906">
        <w:trPr>
          <w:trHeight w:val="227"/>
        </w:trPr>
        <w:tc>
          <w:tcPr>
            <w:tcW w:w="2113" w:type="dxa"/>
            <w:shd w:val="clear" w:color="auto" w:fill="FFFFFF"/>
            <w:vAlign w:val="center"/>
          </w:tcPr>
          <w:p w14:paraId="4038E9A6"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COS</w:t>
            </w:r>
          </w:p>
        </w:tc>
        <w:tc>
          <w:tcPr>
            <w:tcW w:w="2113" w:type="dxa"/>
            <w:shd w:val="clear" w:color="auto" w:fill="FFFFFF"/>
            <w:vAlign w:val="center"/>
          </w:tcPr>
          <w:p w14:paraId="62686104"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0.0039</w:t>
            </w:r>
          </w:p>
        </w:tc>
      </w:tr>
      <w:tr w:rsidR="004E44B2" w:rsidRPr="00BF730A" w14:paraId="0AA6E722" w14:textId="77777777" w:rsidTr="00B80906">
        <w:trPr>
          <w:trHeight w:val="227"/>
        </w:trPr>
        <w:tc>
          <w:tcPr>
            <w:tcW w:w="2113" w:type="dxa"/>
            <w:shd w:val="clear" w:color="auto" w:fill="FFFFFF"/>
            <w:vAlign w:val="center"/>
          </w:tcPr>
          <w:p w14:paraId="2280E931"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H</w:t>
            </w:r>
            <w:r w:rsidRPr="00BF730A">
              <w:rPr>
                <w:rFonts w:cs="Arial"/>
                <w:color w:val="000000"/>
                <w:vertAlign w:val="subscript"/>
                <w:lang w:eastAsia="es-CO"/>
              </w:rPr>
              <w:t>2</w:t>
            </w:r>
            <w:r w:rsidRPr="00BF730A">
              <w:rPr>
                <w:rFonts w:cs="Arial"/>
                <w:color w:val="000000"/>
                <w:lang w:eastAsia="es-CO"/>
              </w:rPr>
              <w:t>O</w:t>
            </w:r>
          </w:p>
        </w:tc>
        <w:tc>
          <w:tcPr>
            <w:tcW w:w="2113" w:type="dxa"/>
            <w:shd w:val="clear" w:color="auto" w:fill="FFFFFF"/>
            <w:vAlign w:val="center"/>
          </w:tcPr>
          <w:p w14:paraId="467ED464"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25.7381</w:t>
            </w:r>
          </w:p>
        </w:tc>
      </w:tr>
      <w:tr w:rsidR="004E44B2" w:rsidRPr="00BF730A" w14:paraId="75E44984" w14:textId="77777777" w:rsidTr="00B80906">
        <w:trPr>
          <w:trHeight w:val="227"/>
        </w:trPr>
        <w:tc>
          <w:tcPr>
            <w:tcW w:w="2113" w:type="dxa"/>
            <w:shd w:val="clear" w:color="auto" w:fill="FFFFFF"/>
            <w:vAlign w:val="center"/>
          </w:tcPr>
          <w:p w14:paraId="3FFDBEEB"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C</w:t>
            </w:r>
            <w:r w:rsidRPr="00BF730A">
              <w:rPr>
                <w:rFonts w:cs="Arial"/>
                <w:color w:val="000000"/>
                <w:vertAlign w:val="subscript"/>
                <w:lang w:eastAsia="es-CO"/>
              </w:rPr>
              <w:t>6</w:t>
            </w:r>
            <w:r w:rsidRPr="00BF730A">
              <w:rPr>
                <w:rFonts w:cs="Arial"/>
                <w:color w:val="000000"/>
                <w:lang w:eastAsia="es-CO"/>
              </w:rPr>
              <w:t>H</w:t>
            </w:r>
            <w:r w:rsidRPr="00BF730A">
              <w:rPr>
                <w:rFonts w:cs="Arial"/>
                <w:color w:val="000000"/>
                <w:vertAlign w:val="subscript"/>
                <w:lang w:eastAsia="es-CO"/>
              </w:rPr>
              <w:t>6</w:t>
            </w:r>
          </w:p>
        </w:tc>
        <w:tc>
          <w:tcPr>
            <w:tcW w:w="2113" w:type="dxa"/>
            <w:shd w:val="clear" w:color="auto" w:fill="FFFFFF"/>
            <w:vAlign w:val="center"/>
          </w:tcPr>
          <w:p w14:paraId="049226B9"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0.2504</w:t>
            </w:r>
          </w:p>
        </w:tc>
      </w:tr>
      <w:tr w:rsidR="004E44B2" w:rsidRPr="00BF730A" w14:paraId="10BE212B" w14:textId="77777777" w:rsidTr="00B80906">
        <w:trPr>
          <w:trHeight w:val="227"/>
        </w:trPr>
        <w:tc>
          <w:tcPr>
            <w:tcW w:w="2113" w:type="dxa"/>
            <w:shd w:val="clear" w:color="auto" w:fill="FFFFFF"/>
            <w:vAlign w:val="center"/>
          </w:tcPr>
          <w:p w14:paraId="51E543A4"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C</w:t>
            </w:r>
            <w:r w:rsidRPr="00BF730A">
              <w:rPr>
                <w:rFonts w:cs="Arial"/>
                <w:color w:val="000000"/>
                <w:vertAlign w:val="subscript"/>
                <w:lang w:eastAsia="es-CO"/>
              </w:rPr>
              <w:t>10</w:t>
            </w:r>
            <w:r w:rsidRPr="00BF730A">
              <w:rPr>
                <w:rFonts w:cs="Arial"/>
                <w:color w:val="000000"/>
                <w:lang w:eastAsia="es-CO"/>
              </w:rPr>
              <w:t>H</w:t>
            </w:r>
            <w:r w:rsidRPr="00BF730A">
              <w:rPr>
                <w:rFonts w:cs="Arial"/>
                <w:color w:val="000000"/>
                <w:vertAlign w:val="subscript"/>
                <w:lang w:eastAsia="es-CO"/>
              </w:rPr>
              <w:t>8</w:t>
            </w:r>
          </w:p>
        </w:tc>
        <w:tc>
          <w:tcPr>
            <w:tcW w:w="2113" w:type="dxa"/>
            <w:shd w:val="clear" w:color="auto" w:fill="FFFFFF"/>
            <w:vAlign w:val="center"/>
          </w:tcPr>
          <w:p w14:paraId="6360B9A0"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0.5843</w:t>
            </w:r>
          </w:p>
        </w:tc>
      </w:tr>
      <w:tr w:rsidR="004E44B2" w:rsidRPr="00BF730A" w14:paraId="41C291EB" w14:textId="77777777" w:rsidTr="00B80906">
        <w:trPr>
          <w:trHeight w:val="227"/>
        </w:trPr>
        <w:tc>
          <w:tcPr>
            <w:tcW w:w="2113" w:type="dxa"/>
            <w:shd w:val="clear" w:color="auto" w:fill="FFFFFF"/>
            <w:vAlign w:val="center"/>
          </w:tcPr>
          <w:p w14:paraId="690B33A1" w14:textId="77777777" w:rsidR="004E44B2" w:rsidRPr="00BF730A" w:rsidRDefault="004E44B2" w:rsidP="00B80906">
            <w:pPr>
              <w:pStyle w:val="CETBodytext"/>
              <w:ind w:right="-1"/>
              <w:jc w:val="left"/>
              <w:rPr>
                <w:rFonts w:cs="Arial"/>
                <w:szCs w:val="18"/>
                <w:lang w:val="en-GB"/>
              </w:rPr>
            </w:pPr>
            <w:r w:rsidRPr="00BF730A">
              <w:rPr>
                <w:rFonts w:cs="Arial"/>
              </w:rPr>
              <w:t>Ash</w:t>
            </w:r>
          </w:p>
        </w:tc>
        <w:tc>
          <w:tcPr>
            <w:tcW w:w="2113" w:type="dxa"/>
            <w:shd w:val="clear" w:color="auto" w:fill="FFFFFF"/>
            <w:vAlign w:val="center"/>
          </w:tcPr>
          <w:p w14:paraId="6DC88C7D" w14:textId="77777777" w:rsidR="004E44B2" w:rsidRPr="00BF730A" w:rsidRDefault="004E44B2" w:rsidP="00B80906">
            <w:pPr>
              <w:pStyle w:val="CETBodytext"/>
              <w:ind w:right="-1"/>
              <w:jc w:val="left"/>
              <w:rPr>
                <w:rFonts w:cs="Arial"/>
                <w:szCs w:val="18"/>
                <w:lang w:val="en-GB"/>
              </w:rPr>
            </w:pPr>
            <w:r w:rsidRPr="00BF730A">
              <w:rPr>
                <w:rFonts w:cs="Arial"/>
                <w:color w:val="000000"/>
                <w:lang w:eastAsia="es-CO"/>
              </w:rPr>
              <w:t>2.6814</w:t>
            </w:r>
          </w:p>
        </w:tc>
      </w:tr>
      <w:tr w:rsidR="00557B84" w:rsidRPr="00BF730A" w14:paraId="7CB73C50" w14:textId="77777777" w:rsidTr="00B80906">
        <w:trPr>
          <w:trHeight w:val="227"/>
        </w:trPr>
        <w:tc>
          <w:tcPr>
            <w:tcW w:w="2113" w:type="dxa"/>
            <w:shd w:val="clear" w:color="auto" w:fill="FFFFFF"/>
            <w:vAlign w:val="center"/>
          </w:tcPr>
          <w:p w14:paraId="00DC07ED" w14:textId="1C55406C" w:rsidR="00557B84" w:rsidRPr="00BF730A" w:rsidRDefault="00557B84" w:rsidP="00B80906">
            <w:pPr>
              <w:pStyle w:val="CETBodytext"/>
              <w:ind w:right="-1"/>
              <w:jc w:val="left"/>
              <w:rPr>
                <w:rFonts w:cs="Arial"/>
              </w:rPr>
            </w:pPr>
            <w:r w:rsidRPr="00BF730A">
              <w:rPr>
                <w:rFonts w:cs="Arial"/>
                <w:szCs w:val="18"/>
                <w:lang w:val="en-GB"/>
              </w:rPr>
              <w:t>LHV (MJ/kg)</w:t>
            </w:r>
          </w:p>
        </w:tc>
        <w:tc>
          <w:tcPr>
            <w:tcW w:w="2113" w:type="dxa"/>
            <w:shd w:val="clear" w:color="auto" w:fill="FFFFFF"/>
            <w:vAlign w:val="center"/>
          </w:tcPr>
          <w:p w14:paraId="1428CFC4" w14:textId="6B5CC35C" w:rsidR="00557B84" w:rsidRPr="00BF730A" w:rsidRDefault="00557B84" w:rsidP="00B80906">
            <w:pPr>
              <w:pStyle w:val="CETBodytext"/>
              <w:ind w:right="-1"/>
              <w:jc w:val="left"/>
              <w:rPr>
                <w:rFonts w:cs="Arial"/>
                <w:color w:val="000000"/>
                <w:lang w:eastAsia="es-CO"/>
              </w:rPr>
            </w:pPr>
            <w:r w:rsidRPr="00BF730A">
              <w:rPr>
                <w:rFonts w:cs="Arial"/>
                <w:color w:val="000000"/>
                <w:lang w:eastAsia="es-CO"/>
              </w:rPr>
              <w:t>10.06</w:t>
            </w:r>
          </w:p>
        </w:tc>
      </w:tr>
      <w:tr w:rsidR="00557B84" w:rsidRPr="00BF730A" w14:paraId="0D5BE30E" w14:textId="77777777" w:rsidTr="00B80906">
        <w:trPr>
          <w:trHeight w:val="227"/>
        </w:trPr>
        <w:tc>
          <w:tcPr>
            <w:tcW w:w="2113" w:type="dxa"/>
            <w:shd w:val="clear" w:color="auto" w:fill="FFFFFF"/>
            <w:vAlign w:val="center"/>
          </w:tcPr>
          <w:p w14:paraId="7D09E6FA" w14:textId="27E59C28" w:rsidR="00557B84" w:rsidRPr="00BF730A" w:rsidRDefault="00557B84" w:rsidP="00B80906">
            <w:pPr>
              <w:pStyle w:val="CETBodytext"/>
              <w:ind w:right="-1"/>
              <w:jc w:val="left"/>
              <w:rPr>
                <w:rFonts w:cs="Arial"/>
                <w:szCs w:val="18"/>
                <w:lang w:val="en-GB"/>
              </w:rPr>
            </w:pPr>
            <w:r w:rsidRPr="00BF730A">
              <w:rPr>
                <w:rFonts w:cs="Arial"/>
                <w:color w:val="000000"/>
                <w:lang w:eastAsia="es-CO"/>
              </w:rPr>
              <w:t>cold gas efficiency</w:t>
            </w:r>
          </w:p>
        </w:tc>
        <w:tc>
          <w:tcPr>
            <w:tcW w:w="2113" w:type="dxa"/>
            <w:shd w:val="clear" w:color="auto" w:fill="FFFFFF"/>
            <w:vAlign w:val="center"/>
          </w:tcPr>
          <w:p w14:paraId="7FEEF5E2" w14:textId="5941052E" w:rsidR="00557B84" w:rsidRPr="00BF730A" w:rsidRDefault="00557B84" w:rsidP="00B80906">
            <w:pPr>
              <w:pStyle w:val="CETBodytext"/>
              <w:ind w:right="-1"/>
              <w:jc w:val="left"/>
              <w:rPr>
                <w:rFonts w:cs="Arial"/>
                <w:color w:val="000000"/>
                <w:lang w:eastAsia="es-CO"/>
              </w:rPr>
            </w:pPr>
            <w:r w:rsidRPr="00BF730A">
              <w:rPr>
                <w:rFonts w:cs="Arial"/>
                <w:color w:val="000000"/>
                <w:lang w:eastAsia="es-CO"/>
              </w:rPr>
              <w:t>0.43</w:t>
            </w:r>
          </w:p>
        </w:tc>
      </w:tr>
    </w:tbl>
    <w:p w14:paraId="6064BD9C" w14:textId="77777777" w:rsidR="004E44B2" w:rsidRPr="00BF730A" w:rsidRDefault="004E44B2" w:rsidP="004E44B2">
      <w:pPr>
        <w:pStyle w:val="CETBodytext"/>
        <w:rPr>
          <w:rFonts w:cs="Arial"/>
          <w:lang w:val="en-GB"/>
        </w:rPr>
      </w:pPr>
    </w:p>
    <w:p w14:paraId="21043B2C" w14:textId="45165B57" w:rsidR="00110276" w:rsidRPr="00BF730A" w:rsidRDefault="008B3F26" w:rsidP="00403E7A">
      <w:pPr>
        <w:pStyle w:val="CETheadingx"/>
        <w:numPr>
          <w:ilvl w:val="0"/>
          <w:numId w:val="0"/>
        </w:numPr>
        <w:rPr>
          <w:rFonts w:cs="Arial"/>
        </w:rPr>
      </w:pPr>
      <w:r w:rsidRPr="00BF730A">
        <w:rPr>
          <w:rFonts w:cs="Arial"/>
        </w:rPr>
        <w:t xml:space="preserve">2.3.1 </w:t>
      </w:r>
      <w:r w:rsidR="00403E7A" w:rsidRPr="00BF730A">
        <w:rPr>
          <w:rFonts w:cs="Arial"/>
        </w:rPr>
        <w:t>Physical property method</w:t>
      </w:r>
    </w:p>
    <w:p w14:paraId="599A8F1C" w14:textId="6221FD6F" w:rsidR="00707009" w:rsidRPr="00BF730A" w:rsidRDefault="003D7D67" w:rsidP="00707009">
      <w:pPr>
        <w:autoSpaceDE w:val="0"/>
        <w:autoSpaceDN w:val="0"/>
        <w:adjustRightInd w:val="0"/>
        <w:spacing w:line="240" w:lineRule="auto"/>
        <w:rPr>
          <w:rStyle w:val="CETBodytextCarattere"/>
          <w:rFonts w:cs="Arial"/>
        </w:rPr>
      </w:pPr>
      <w:r w:rsidRPr="00BF730A">
        <w:rPr>
          <w:rFonts w:cs="Arial"/>
        </w:rPr>
        <w:t>​​​​​​​</w:t>
      </w:r>
      <w:r w:rsidRPr="00BF730A">
        <w:rPr>
          <w:rStyle w:val="CETBodytextCarattere"/>
          <w:rFonts w:cs="Arial"/>
        </w:rPr>
        <w:t>The Redlich-Kwong– Soave cubic equation of state method (RK-SOAVE) was chosen as the physical property method to estimate all the physical properties of conventional components. RK-SOAVE is characterized by its ability to calculate the physical properties of non-polar and weakly polar substances such as hydrocarbons and light gasses (CO</w:t>
      </w:r>
      <w:r w:rsidRPr="00BF730A">
        <w:rPr>
          <w:rStyle w:val="CETBodytextCarattere"/>
          <w:rFonts w:cs="Arial"/>
          <w:vertAlign w:val="subscript"/>
        </w:rPr>
        <w:t>2</w:t>
      </w:r>
      <w:r w:rsidRPr="00BF730A">
        <w:rPr>
          <w:rStyle w:val="CETBodytextCarattere"/>
          <w:rFonts w:cs="Arial"/>
        </w:rPr>
        <w:t>, H</w:t>
      </w:r>
      <w:r w:rsidRPr="00BF730A">
        <w:rPr>
          <w:rStyle w:val="CETBodytextCarattere"/>
          <w:rFonts w:cs="Arial"/>
          <w:vertAlign w:val="subscript"/>
        </w:rPr>
        <w:t>2</w:t>
      </w:r>
      <w:r w:rsidRPr="00BF730A">
        <w:rPr>
          <w:rStyle w:val="CETBodytextCarattere"/>
          <w:rFonts w:cs="Arial"/>
        </w:rPr>
        <w:t xml:space="preserve">). With RK-SOAVE, more accurate predicted results can be obtained under various temperature and pressure conditions </w:t>
      </w:r>
      <w:r w:rsidR="00707009" w:rsidRPr="00BF730A">
        <w:rPr>
          <w:rStyle w:val="CETBodytextCarattere"/>
          <w:rFonts w:cs="Arial"/>
        </w:rPr>
        <w:fldChar w:fldCharType="begin" w:fldLock="1"/>
      </w:r>
      <w:r w:rsidR="00707009" w:rsidRPr="00BF730A">
        <w:rPr>
          <w:rStyle w:val="CETBodytextCarattere"/>
          <w:rFonts w:cs="Arial"/>
        </w:rPr>
        <w:instrText>ADDIN CSL_CITATION {"citationItems":[{"id":"ITEM-1","itemData":{"DOI":"10.1016/j.jaap.2021.105094","ISSN":"01652370","abstract":"In this study, a comprehensive model was developed by Aspen Plus software to simulate the pine sawdust gasification process on the basis of the Gibbs free energy minimization method. The accuracy of this model was validated by experimental data and another model. In addition, the computational experiments were carried out. The influence of temperature, equivalence ratio (ER), steam to biomass ratio (S/B) and the reflux ratio of gas mixture on the gas composition, heating value and the carbon conversion efficiency was investigated. Results showed that the predicted values were in good agreement with experimental data. The root means square error (RMSE) of each gas composition except methane ranged from 3.72 % to 8.30 % when varying gasification temperature and also ranged from 2.75 % to 9.11 % when varying steam to biomass ratio, and values of methane were both below 20 %. As for the influence of parameters, temperature had a significant effect on biomass gasification. The increase of this parameter not only can enhance the carbon conversion efficiency and the production of H2, but inhibit the generation of CO and CH4. In addition, equivalence ratio was directly proportional to the carbon conversion efficiency and the molar fraction of CO and CO2. The effect of steam to biomass ratio was similar with that of temperature. And the reflux operation of gas mixture could promote the gaseous products’ quality by promoting the generation of CO and reducing the molar fraction of CO2.","author":[{"dropping-particle":"","family":"Gao","given":"Ningbo","non-dropping-particle":"","parse-names":false,"suffix":""},{"dropping-particle":"","family":"Chen","given":"Changxiang","non-dropping-particle":"","parse-names":false,"suffix":""},{"dropping-particle":"","family":"Magdziarz","given":"Aneta","non-dropping-particle":"","parse-names":false,"suffix":""},{"dropping-particle":"","family":"Zhang","given":"Liheng","non-dropping-particle":"","parse-names":false,"suffix":""},{"dropping-particle":"","family":"Quan","given":"Cui","non-dropping-particle":"","parse-names":false,"suffix":""}],"container-title":"Journal of Analytical and Applied Pyrolysis","id":"ITEM-1","issue":"February","issued":{"date-parts":[["2021"]]},"page":"105094","publisher":"Elsevier B.V.","title":"Modeling and simulation of pine sawdust gasification considering gas mixture reflux","type":"article-journal","volume":"155"},"uris":["http://www.mendeley.com/documents/?uuid=0a181bc3-a016-451f-8643-f101eabe6b05"]}],"mendeley":{"formattedCitation":"(Gao et al., 2021)","plainTextFormattedCitation":"(Gao et al., 2021)","previouslyFormattedCitation":"(Gao et al., 2021)"},"properties":{"noteIndex":0},"schema":"https://github.com/citation-style-language/schema/raw/master/csl-citation.json"}</w:instrText>
      </w:r>
      <w:r w:rsidR="00707009" w:rsidRPr="00BF730A">
        <w:rPr>
          <w:rStyle w:val="CETBodytextCarattere"/>
          <w:rFonts w:cs="Arial"/>
        </w:rPr>
        <w:fldChar w:fldCharType="separate"/>
      </w:r>
      <w:r w:rsidR="00707009" w:rsidRPr="00BF730A">
        <w:rPr>
          <w:rStyle w:val="CETBodytextCarattere"/>
          <w:rFonts w:cs="Arial"/>
          <w:noProof/>
        </w:rPr>
        <w:t>(Gao et al., 2021)</w:t>
      </w:r>
      <w:r w:rsidR="00707009" w:rsidRPr="00BF730A">
        <w:rPr>
          <w:rStyle w:val="CETBodytextCarattere"/>
          <w:rFonts w:cs="Arial"/>
        </w:rPr>
        <w:fldChar w:fldCharType="end"/>
      </w:r>
      <w:r w:rsidR="00707009" w:rsidRPr="00BF730A">
        <w:rPr>
          <w:rStyle w:val="CETBodytextCarattere"/>
          <w:rFonts w:cs="Arial"/>
        </w:rPr>
        <w:t xml:space="preserve">. </w:t>
      </w:r>
      <w:r w:rsidR="000F7EF7" w:rsidRPr="00BF730A">
        <w:rPr>
          <w:rStyle w:val="CETBodytextCarattere"/>
          <w:rFonts w:cs="Arial"/>
        </w:rPr>
        <w:t>For the calculation of the enthalpy and density of the non-conventional components (biomass and ash), the HCOALGEN and DCOALIGT models were selected, respectively</w:t>
      </w:r>
      <w:r w:rsidR="008E07FB" w:rsidRPr="00BF730A">
        <w:rPr>
          <w:rStyle w:val="CETBodytextCarattere"/>
          <w:rFonts w:cs="Arial"/>
        </w:rPr>
        <w:t>.</w:t>
      </w:r>
    </w:p>
    <w:p w14:paraId="07169854" w14:textId="77777777" w:rsidR="007A298F" w:rsidRPr="00BF730A" w:rsidRDefault="007A298F" w:rsidP="007A298F">
      <w:pPr>
        <w:pStyle w:val="CETBodytext"/>
        <w:rPr>
          <w:rFonts w:cs="Arial"/>
        </w:rPr>
      </w:pPr>
    </w:p>
    <w:p w14:paraId="4544AC04" w14:textId="4D34C1E2" w:rsidR="00707009" w:rsidRPr="00BF730A" w:rsidRDefault="00707009" w:rsidP="00707009">
      <w:pPr>
        <w:pStyle w:val="CETheadingx"/>
        <w:numPr>
          <w:ilvl w:val="0"/>
          <w:numId w:val="0"/>
        </w:numPr>
        <w:rPr>
          <w:rFonts w:cs="Arial"/>
        </w:rPr>
      </w:pPr>
      <w:r w:rsidRPr="00BF730A">
        <w:rPr>
          <w:rFonts w:cs="Arial"/>
        </w:rPr>
        <w:t>2.3.2 P</w:t>
      </w:r>
      <w:r w:rsidR="00AC0031" w:rsidRPr="00BF730A">
        <w:rPr>
          <w:rFonts w:cs="Arial"/>
        </w:rPr>
        <w:t>rocess description</w:t>
      </w:r>
    </w:p>
    <w:p w14:paraId="54B52B22" w14:textId="74D72BED" w:rsidR="00707009" w:rsidRPr="00BF730A" w:rsidRDefault="001A031B" w:rsidP="007A298F">
      <w:pPr>
        <w:pStyle w:val="CETBodytext"/>
        <w:rPr>
          <w:rFonts w:cs="Arial"/>
        </w:rPr>
      </w:pPr>
      <w:r w:rsidRPr="00BF730A">
        <w:rPr>
          <w:rFonts w:cs="Arial"/>
        </w:rPr>
        <w:t>A schematic of the proposed plant is shown in Figure 1. The overall process can be divided into four main</w:t>
      </w:r>
      <w:r w:rsidRPr="00BF730A">
        <w:rPr>
          <w:rFonts w:cs="Arial"/>
          <w:szCs w:val="18"/>
        </w:rPr>
        <w:t xml:space="preserve"> </w:t>
      </w:r>
      <w:r w:rsidRPr="00BF730A">
        <w:rPr>
          <w:rFonts w:cs="Arial"/>
        </w:rPr>
        <w:t>stages: drying of the EFB, gasification in a dual fluidized bed (DFB) reactor, cleaning and conditioning of the produced gas, and syngas methanation for syngas (SNG) production. First, the biomass created on the basis of its final and proximate analysis (stream 1) is introduced into the drying stage to reduce moisture using hot air (stream 3). The dried biomass is then fed into a dual-type gasifier (stream 5), where the gasifier is simulated</w:t>
      </w:r>
      <w:r w:rsidR="007F391F">
        <w:rPr>
          <w:rFonts w:cs="Arial"/>
        </w:rPr>
        <w:t xml:space="preserve"> based on experimental data</w:t>
      </w:r>
      <w:r w:rsidRPr="00BF730A">
        <w:rPr>
          <w:rFonts w:cs="Arial"/>
        </w:rPr>
        <w:t xml:space="preserve"> as a RYield reactor and the combustor as a RStoic reactor, to generate a raw gas called syngas (stream 15) with the composition shown in Table 2. The syngas mainly contains H</w:t>
      </w:r>
      <w:r w:rsidRPr="00BF730A">
        <w:rPr>
          <w:rFonts w:cs="Arial"/>
          <w:vertAlign w:val="subscript"/>
        </w:rPr>
        <w:t>2</w:t>
      </w:r>
      <w:r w:rsidRPr="00BF730A">
        <w:rPr>
          <w:rFonts w:cs="Arial"/>
        </w:rPr>
        <w:t>, CO, CO</w:t>
      </w:r>
      <w:r w:rsidRPr="00BF730A">
        <w:rPr>
          <w:rFonts w:cs="Arial"/>
          <w:vertAlign w:val="subscript"/>
        </w:rPr>
        <w:t>2</w:t>
      </w:r>
      <w:r w:rsidRPr="00BF730A">
        <w:rPr>
          <w:rFonts w:cs="Arial"/>
        </w:rPr>
        <w:t>, CH</w:t>
      </w:r>
      <w:r w:rsidRPr="00BF730A">
        <w:rPr>
          <w:rFonts w:cs="Arial"/>
          <w:vertAlign w:val="subscript"/>
        </w:rPr>
        <w:t>4</w:t>
      </w:r>
      <w:r w:rsidRPr="00BF730A">
        <w:rPr>
          <w:rFonts w:cs="Arial"/>
        </w:rPr>
        <w:t>, H</w:t>
      </w:r>
      <w:r w:rsidRPr="00BF730A">
        <w:rPr>
          <w:rFonts w:cs="Arial"/>
          <w:vertAlign w:val="subscript"/>
        </w:rPr>
        <w:t>2</w:t>
      </w:r>
      <w:r w:rsidRPr="00BF730A">
        <w:rPr>
          <w:rFonts w:cs="Arial"/>
        </w:rPr>
        <w:t>O and in smaller quantities, tars, sulfur compounds such as H</w:t>
      </w:r>
      <w:r w:rsidRPr="00BF730A">
        <w:rPr>
          <w:rFonts w:cs="Arial"/>
          <w:vertAlign w:val="subscript"/>
        </w:rPr>
        <w:t>2</w:t>
      </w:r>
      <w:r w:rsidRPr="00BF730A">
        <w:rPr>
          <w:rFonts w:cs="Arial"/>
        </w:rPr>
        <w:t>S and COS and particulate matter. The latter poisons the methanation catalyst and must therefore be removed beforehand. The unconverted char is transported along with the bed material (olivine) to the combustor (stream 8), which is fluidized with preheated air. In the combustor, the char, along with other waste streams from the process, is burned to heat the olivine, which returns to the gasifier and provides the heat for the endothermic gasification reactions. Fresh olivine (stream 9) is continuously fed to the combustor to maintain its catalytic activity and replenish the material leaving the system along with ash and flue gas. The syngas is cooled (stream 16) and passes through a filter that removes the ash and entrained bed material. After filtering, the syngas (stream 18) is fed to a scrubber that uses rapeseed methyl ester (RME) as a scrubbing liquid, which removes 99.9% of the heavy tars and polycyclic aromatic hydrocarbons. The spent RME containing the extracted tar (stream 20) is sent to the combustor for destruction and heat recovery. After scrubbing, the unwanted components present in the gas are predominantly light cyclic hydrocarbons, such as benzene, toluene, and xylene (referred to as BTX), a small fraction of naphthalene, and traces of heavier tar components. These compounds were removed in a series of three fixed beds containing activated carbon. The stream containing the BTX (stream 24) is sent to a separator tank to remove water, and the resulting stream (stream 25) is sent to the combustor for combustion and heat production. The product gas leaving the activated carbon beds (stream 27) is compressed in a centrifugal compressor and sent to the R-2 reactor (RStoic) where the alkenes are converted to alkanes. Next, the COS component is catalytically converted to H</w:t>
      </w:r>
      <w:r w:rsidRPr="00BF730A">
        <w:rPr>
          <w:rFonts w:cs="Arial"/>
          <w:vertAlign w:val="subscript"/>
        </w:rPr>
        <w:t>2</w:t>
      </w:r>
      <w:r w:rsidRPr="00BF730A">
        <w:rPr>
          <w:rFonts w:cs="Arial"/>
        </w:rPr>
        <w:t>S in the COS hydrolysis unit, reactor R-3 (RStoic), the resulting stream (stream 31) is cooled to enter a scrubber employing MDEA as a scrubbing solvent, where 99.0 % of H</w:t>
      </w:r>
      <w:r w:rsidRPr="00BF730A">
        <w:rPr>
          <w:rFonts w:cs="Arial"/>
          <w:vertAlign w:val="subscript"/>
        </w:rPr>
        <w:t>2</w:t>
      </w:r>
      <w:r w:rsidRPr="00BF730A">
        <w:rPr>
          <w:rFonts w:cs="Arial"/>
        </w:rPr>
        <w:t>S present is removed. The gas (stream 35) then enters a scrubber using MEA as the scrubbing solvent to remove 95 % of the CO</w:t>
      </w:r>
      <w:r w:rsidRPr="00BF730A">
        <w:rPr>
          <w:rFonts w:cs="Arial"/>
          <w:vertAlign w:val="subscript"/>
        </w:rPr>
        <w:t>2</w:t>
      </w:r>
      <w:r w:rsidRPr="00BF730A">
        <w:rPr>
          <w:rFonts w:cs="Arial"/>
        </w:rPr>
        <w:t>. Finally, the syngas (stream 38) enters the methanation stage, which consists of three adiabatic fixed-bed reactors. In the first methanation reactor R-4, recycling of part of the outgas stream is used to control the temperature increase. The outlet gas from the first methanation reactor (stream 41) is divided into two streams: one of these streams is pressurized, recirculated (stream 42), and mixed with the gas coming from the CO</w:t>
      </w:r>
      <w:r w:rsidRPr="00BF730A">
        <w:rPr>
          <w:rFonts w:cs="Arial"/>
          <w:vertAlign w:val="subscript"/>
        </w:rPr>
        <w:t>2</w:t>
      </w:r>
      <w:r w:rsidRPr="00BF730A">
        <w:rPr>
          <w:rFonts w:cs="Arial"/>
        </w:rPr>
        <w:t xml:space="preserve"> scrubber, while the second stream (stream 44) enters the second methanation reactor. For the other two reactors, heat exchangers are placed between them to reduce the temperature of the streams. At the end of the methanation stage, CH</w:t>
      </w:r>
      <w:r w:rsidRPr="00BF730A">
        <w:rPr>
          <w:rFonts w:cs="Arial"/>
          <w:vertAlign w:val="subscript"/>
        </w:rPr>
        <w:t>4</w:t>
      </w:r>
      <w:r w:rsidRPr="00BF730A">
        <w:rPr>
          <w:rFonts w:cs="Arial"/>
        </w:rPr>
        <w:t>-rich synthetic natural gas (SNG) is obtained (stream 53).</w:t>
      </w:r>
    </w:p>
    <w:p w14:paraId="169CAF9A" w14:textId="77777777" w:rsidR="00245429" w:rsidRPr="00BF730A" w:rsidRDefault="00245429" w:rsidP="007A298F">
      <w:pPr>
        <w:pStyle w:val="CETBodytext"/>
        <w:rPr>
          <w:rFonts w:cs="Arial"/>
        </w:rPr>
      </w:pPr>
    </w:p>
    <w:p w14:paraId="4A008350" w14:textId="77777777" w:rsidR="00245429" w:rsidRPr="00BF730A" w:rsidRDefault="00245429" w:rsidP="007A298F">
      <w:pPr>
        <w:pStyle w:val="CETBodytext"/>
        <w:rPr>
          <w:rFonts w:cs="Arial"/>
        </w:rPr>
      </w:pPr>
    </w:p>
    <w:p w14:paraId="5DB7AA53" w14:textId="0E92AFC6" w:rsidR="00245429" w:rsidRPr="00BF730A" w:rsidRDefault="006423D7" w:rsidP="007A298F">
      <w:pPr>
        <w:pStyle w:val="CETBodytext"/>
        <w:rPr>
          <w:rFonts w:cs="Arial"/>
        </w:rPr>
      </w:pPr>
      <w:r w:rsidRPr="00BF730A">
        <w:rPr>
          <w:rFonts w:cs="Arial"/>
          <w:noProof/>
        </w:rPr>
        <w:drawing>
          <wp:inline distT="0" distB="0" distL="0" distR="0" wp14:anchorId="2C6DE5AB" wp14:editId="0079BF65">
            <wp:extent cx="5324475" cy="2740102"/>
            <wp:effectExtent l="0" t="0" r="0" b="3175"/>
            <wp:docPr id="1592721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21805" name="Imagen 1592721805"/>
                    <pic:cNvPicPr/>
                  </pic:nvPicPr>
                  <pic:blipFill>
                    <a:blip r:embed="rId10"/>
                    <a:stretch>
                      <a:fillRect/>
                    </a:stretch>
                  </pic:blipFill>
                  <pic:spPr>
                    <a:xfrm>
                      <a:off x="0" y="0"/>
                      <a:ext cx="5325042" cy="2740394"/>
                    </a:xfrm>
                    <a:prstGeom prst="rect">
                      <a:avLst/>
                    </a:prstGeom>
                  </pic:spPr>
                </pic:pic>
              </a:graphicData>
            </a:graphic>
          </wp:inline>
        </w:drawing>
      </w:r>
    </w:p>
    <w:p w14:paraId="3CD4288F" w14:textId="49074EED" w:rsidR="00245429" w:rsidRPr="00BF730A" w:rsidRDefault="00EF5203" w:rsidP="007A298F">
      <w:pPr>
        <w:pStyle w:val="CETBodytext"/>
        <w:rPr>
          <w:rStyle w:val="CETCaptionCarattere"/>
          <w:rFonts w:cs="Arial"/>
        </w:rPr>
      </w:pPr>
      <w:r w:rsidRPr="00BF730A">
        <w:rPr>
          <w:rStyle w:val="CETCaptionCarattere"/>
          <w:rFonts w:cs="Arial"/>
        </w:rPr>
        <w:t xml:space="preserve">Figure 1: </w:t>
      </w:r>
      <w:r w:rsidR="00FE066B" w:rsidRPr="00BF730A">
        <w:rPr>
          <w:rStyle w:val="CETCaptionCarattere"/>
          <w:rFonts w:cs="Arial"/>
        </w:rPr>
        <w:t xml:space="preserve">Diagram of the production </w:t>
      </w:r>
      <w:r w:rsidR="00A53DA3" w:rsidRPr="00BF730A">
        <w:rPr>
          <w:rStyle w:val="CETCaptionCarattere"/>
          <w:rFonts w:cs="Arial"/>
        </w:rPr>
        <w:t>plant</w:t>
      </w:r>
      <w:r w:rsidR="00FE066B" w:rsidRPr="00BF730A">
        <w:rPr>
          <w:rStyle w:val="CETCaptionCarattere"/>
          <w:rFonts w:cs="Arial"/>
        </w:rPr>
        <w:t xml:space="preserve"> of SNG from EFB</w:t>
      </w:r>
    </w:p>
    <w:p w14:paraId="68124796" w14:textId="77777777" w:rsidR="00685E47" w:rsidRPr="00BF730A" w:rsidRDefault="00685E47" w:rsidP="007A298F">
      <w:pPr>
        <w:pStyle w:val="CETBodytext"/>
        <w:rPr>
          <w:rStyle w:val="CETCaptionCarattere"/>
          <w:rFonts w:cs="Arial"/>
        </w:rPr>
      </w:pPr>
    </w:p>
    <w:p w14:paraId="22D4AD67" w14:textId="77777777" w:rsidR="00685E47" w:rsidRPr="00BF730A" w:rsidRDefault="00685E47" w:rsidP="00685E47">
      <w:pPr>
        <w:pStyle w:val="CETheadingx"/>
        <w:rPr>
          <w:rFonts w:cs="Arial"/>
        </w:rPr>
      </w:pPr>
      <w:r w:rsidRPr="00BF730A">
        <w:rPr>
          <w:rFonts w:cs="Arial"/>
        </w:rPr>
        <w:t>Energy integration</w:t>
      </w:r>
    </w:p>
    <w:p w14:paraId="64A180BD" w14:textId="243DE74B" w:rsidR="00685E47" w:rsidRPr="00BF730A" w:rsidRDefault="00A338D3" w:rsidP="00A02721">
      <w:pPr>
        <w:pStyle w:val="CETBodytext"/>
        <w:rPr>
          <w:rFonts w:cs="Arial"/>
        </w:rPr>
      </w:pPr>
      <w:r w:rsidRPr="00BF730A">
        <w:rPr>
          <w:rFonts w:cs="Arial"/>
        </w:rPr>
        <w:t xml:space="preserve">Energy integration is a key solution in the chemical process and crude refining industries to minimize external fuel consumption and face the impact of growing energy crises. Typical energy integration projects can reduce heating fuels and cold utilities by up to 40 % compared with original designs or existing installations. Pinch analysis is a leading tool and an efficient method for increasing energy efficiency and minimizing fuel flow consumption </w:t>
      </w:r>
      <w:r w:rsidR="00685E47" w:rsidRPr="0006228F">
        <w:fldChar w:fldCharType="begin" w:fldLock="1"/>
      </w:r>
      <w:r w:rsidR="00685E47" w:rsidRPr="0006228F">
        <w:instrText>ADDIN CSL_CITATION {"citationItems":[{"id":"ITEM-1","itemData":{"DOI":"10.1016/j.energy.2014.12.011","ISSN":"03605442","abstract":"Energy integration is a key solution in chemical process and crude refining industries to minimise external fuel consumption and to face the impact of growing energy crises. Typical energy integration projects can reach a reduction of heating fuels and cold utilities by up to 40% compared with original designs or existing installations. Pinch Analysis is a leading tool and regarded as an efficient method to increase energy efficiency and minimise fuel flow consumptions. It is valid for both natures of design, grassroots and retrofit situations. It can practically be applied to synthesise a HEN (heat exchanger network) or modify an existing preheat train for minimum energy consumption. Heat recovery systems or HENs are networks for exchanging heat between hot and cold process sources. All heat transferred from hot process sources into cold process sinks represent the scope for energy integration. On the other hand, energies required beyond this integrated amount are to be satisfied by external utilities. Graphical representations of Pinch Analysis, such as Composite and Grand Composite Curves are very useful for grassroots designs. Nevertheless, in retrofit situation the analysis is not adequate and besides it is graphically tedious to represent existing exchangers on such graphs. This research proposes a new graphical method for the analysis of heat recovery systems, applicable to HEN retrofit. The new graphical method is based on plotting temperatures of process hot streams versus temperatures of process cold streams. A new graph is constructed for representing existing HENs. For a given network, each existing exchanger is represented by a straight line, whose slope is proportional to the ratio of heat capacities and flows. Further, the length of each exchanger line is related to the heat flow transferred across this exchanger. This new graphical representation can easily identify exchangers across the pinch, Network Pinch, pinching matches and improper placement of fuel consumption. Furthermore, such a graph can recognise promising modifications to improve the energy performance and hence less fuel and cooling water requirement. Graphs developed in this work can be used to analyse the energy performance of existing networks with respect to energy targets. They can also be used in junction with the background process to modify basic designs or existing network for better energy integration opportunities and minimum fuel demands. The application of the …","author":[{"dropping-particle":"","family":"Gadalla","given":"Mamdouh A.","non-dropping-particle":"","parse-names":false,"suffix":""}],"container-title":"Energy","id":"ITEM-1","issued":{"date-parts":[["2015"]]},"page":"159-174","publisher":"Elsevier Ltd","title":"A new graphical method for Pinch Analysis applications: Heat exchanger network retrofit and energy integration","type":"article-journal","volume":"81"},"uris":["http://www.mendeley.com/documents/?uuid=8012beb2-1f0b-4209-86d6-b58ff0aece75","http://www.mendeley.com/documents/?uuid=e72d6d26-0cf2-4d69-bddf-ec9bb28859e5"]}],"mendeley":{"formattedCitation":"(Gadalla, 2015)","plainTextFormattedCitation":"(Gadalla, 2015)","previouslyFormattedCitation":"(Gadalla, 2015)"},"properties":{"noteIndex":0},"schema":"https://github.com/citation-style-language/schema/raw/master/csl-citation.json"}</w:instrText>
      </w:r>
      <w:r w:rsidR="00685E47" w:rsidRPr="0006228F">
        <w:fldChar w:fldCharType="separate"/>
      </w:r>
      <w:r w:rsidR="00685E47" w:rsidRPr="0006228F">
        <w:t>(Gadalla, 2015)</w:t>
      </w:r>
      <w:r w:rsidR="00685E47" w:rsidRPr="0006228F">
        <w:fldChar w:fldCharType="end"/>
      </w:r>
      <w:r w:rsidR="00685E47" w:rsidRPr="0006228F">
        <w:t xml:space="preserve">. </w:t>
      </w:r>
      <w:r w:rsidR="0006228F" w:rsidRPr="0006228F">
        <w:rPr>
          <w:rFonts w:cs="Arial"/>
        </w:rPr>
        <w:t>The increase in energy efficiency refers to the savings in heating and cooling utilities obtained by implementing Pinch technology. The calculation was made by comparing the energy requirements before and after applying the energy integration</w:t>
      </w:r>
      <w:r w:rsidR="0006228F">
        <w:rPr>
          <w:rFonts w:cs="Arial"/>
        </w:rPr>
        <w:t xml:space="preserve">. </w:t>
      </w:r>
      <w:r w:rsidR="00D7019F" w:rsidRPr="00BF730A">
        <w:rPr>
          <w:rFonts w:cs="Arial"/>
        </w:rPr>
        <w:t>In this study, the Pinch technology</w:t>
      </w:r>
      <w:r w:rsidR="00685E47" w:rsidRPr="0006228F">
        <w:t xml:space="preserve"> </w:t>
      </w:r>
      <w:r w:rsidR="00685E47" w:rsidRPr="0006228F">
        <w:fldChar w:fldCharType="begin" w:fldLock="1"/>
      </w:r>
      <w:r w:rsidR="00685E47" w:rsidRPr="0006228F">
        <w:instrText>ADDIN CSL_CITATION {"citationItems":[{"id":"ITEM-1","itemData":{"DOI":"10.1016/B978-0-7506-8260-2.X5001-9","ISBN":"9780750682602","abstract":"\"Pinch analysis and related techniques are the key to design of inherently energy-efficient plants. This book shows engineers how to understand and optimise energy use in their processes, whether large or small. Energy savings go straight to the bottom line as increased profit, as well as reducing emissions.\"--BOOK JACKET. © 2006 Elsevier Ltd All rights reserved.","author":[{"dropping-particle":"","family":"Kemp","given":"Ian","non-dropping-particle":"","parse-names":false,"suffix":""}],"container-title":"Pinch Analysis and Process Integration","id":"ITEM-1","issued":{"date-parts":[["2006"]]},"page":"125-162","title":"Pinch Analysis and Process Integration","type":"article-journal","volume":"1"},"uris":["http://www.mendeley.com/documents/?uuid=705ff1d0-3af5-43d4-8ef3-55462658754e","http://www.mendeley.com/documents/?uuid=4519398c-6917-4145-96b5-4ab0b326ce13"]}],"mendeley":{"formattedCitation":"(Kemp, 2006)","plainTextFormattedCitation":"(Kemp, 2006)","previouslyFormattedCitation":"(Kemp, 2006)"},"properties":{"noteIndex":0},"schema":"https://github.com/citation-style-language/schema/raw/master/csl-citation.json"}</w:instrText>
      </w:r>
      <w:r w:rsidR="00685E47" w:rsidRPr="0006228F">
        <w:fldChar w:fldCharType="separate"/>
      </w:r>
      <w:r w:rsidR="00685E47" w:rsidRPr="0006228F">
        <w:t>(Kemp, 2006)</w:t>
      </w:r>
      <w:r w:rsidR="00685E47" w:rsidRPr="0006228F">
        <w:fldChar w:fldCharType="end"/>
      </w:r>
      <w:r w:rsidR="00685E47" w:rsidRPr="0006228F">
        <w:t xml:space="preserve"> </w:t>
      </w:r>
      <w:r w:rsidR="00666E47" w:rsidRPr="00BF730A">
        <w:rPr>
          <w:rFonts w:cs="Arial"/>
        </w:rPr>
        <w:t>was implemented to design an energy-efficient plant for the production of GNS from EFB</w:t>
      </w:r>
      <w:r w:rsidR="00A02721" w:rsidRPr="00BF730A">
        <w:rPr>
          <w:rFonts w:cs="Arial"/>
        </w:rPr>
        <w:t>.</w:t>
      </w:r>
    </w:p>
    <w:p w14:paraId="677EBFF0" w14:textId="00A6BD84" w:rsidR="00600535" w:rsidRPr="00BF730A" w:rsidRDefault="00CC7C82" w:rsidP="00600535">
      <w:pPr>
        <w:pStyle w:val="CETHeading1"/>
        <w:tabs>
          <w:tab w:val="clear" w:pos="360"/>
          <w:tab w:val="right" w:pos="7100"/>
        </w:tabs>
        <w:jc w:val="both"/>
        <w:rPr>
          <w:rFonts w:cs="Arial"/>
          <w:lang w:val="en-GB"/>
        </w:rPr>
      </w:pPr>
      <w:r w:rsidRPr="00BF730A">
        <w:rPr>
          <w:rFonts w:cs="Arial"/>
          <w:lang w:val="en-GB"/>
        </w:rPr>
        <w:t>Results</w:t>
      </w:r>
      <w:r w:rsidR="00147DFC" w:rsidRPr="00BF730A">
        <w:rPr>
          <w:rFonts w:cs="Arial"/>
          <w:lang w:val="en-GB"/>
        </w:rPr>
        <w:t xml:space="preserve"> and discussion</w:t>
      </w:r>
    </w:p>
    <w:p w14:paraId="21A9178A" w14:textId="1FD69629" w:rsidR="00015DB8" w:rsidRPr="00BF730A" w:rsidRDefault="00966949" w:rsidP="00A02721">
      <w:pPr>
        <w:pStyle w:val="CETBodytext"/>
        <w:rPr>
          <w:rFonts w:cs="Arial"/>
        </w:rPr>
      </w:pPr>
      <w:r w:rsidRPr="00BF730A">
        <w:rPr>
          <w:rFonts w:cs="Arial"/>
        </w:rPr>
        <w:t xml:space="preserve">For the conceptual design and simulation in Aspen Plus of the GNS production plant, a feed of 26.6 t/h of EFB was selected, which corresponds to approximately 65% of the production of this residue in the eastern region of Colombia, according to a report by Fedepalma </w:t>
      </w:r>
      <w:r w:rsidR="000C721E" w:rsidRPr="00BF730A">
        <w:rPr>
          <w:rFonts w:cs="Arial"/>
        </w:rPr>
        <w:fldChar w:fldCharType="begin" w:fldLock="1"/>
      </w:r>
      <w:r w:rsidR="003251AE">
        <w:rPr>
          <w:rFonts w:cs="Arial"/>
        </w:rPr>
        <w:instrText>ADDIN CSL_CITATION {"citationItems":[{"id":"ITEM-1","itemData":{"author":[{"dropping-particle":"","family":"Federación Nacional de Cultivadores de Palma de Aceite","given":"Fedepalma","non-dropping-particle":"","parse-names":false,"suffix":""}],"container-title":"Fedepalma","id":"ITEM-1","issued":{"date-parts":[["2023"]]},"title":"Anuario Estadístico 2023: Principales cifras de la agroindustria de la palma de aceite en Colombia y en el mundo 2018-2022","type":"book"},"uris":["http://www.mendeley.com/documents/?uuid=fde2978d-ab00-497b-90ef-ff4779181fe1"]}],"mendeley":{"formattedCitation":"(Federación Nacional de Cultivadores de Palma de Aceite, 2023)","plainTextFormattedCitation":"(Federación Nacional de Cultivadores de Palma de Aceite, 2023)","previouslyFormattedCitation":"(Federación Nacional de Cultivadores de Palma de Aceite, 2023)"},"properties":{"noteIndex":0},"schema":"https://github.com/citation-style-language/schema/raw/master/csl-citation.json"}</w:instrText>
      </w:r>
      <w:r w:rsidR="000C721E" w:rsidRPr="00BF730A">
        <w:rPr>
          <w:rFonts w:cs="Arial"/>
        </w:rPr>
        <w:fldChar w:fldCharType="separate"/>
      </w:r>
      <w:r w:rsidR="003251AE" w:rsidRPr="003251AE">
        <w:rPr>
          <w:rFonts w:cs="Arial"/>
          <w:noProof/>
        </w:rPr>
        <w:t>(Federación Nacional de Cultivadores de Palma de Aceite, 2023)</w:t>
      </w:r>
      <w:r w:rsidR="000C721E" w:rsidRPr="00BF730A">
        <w:rPr>
          <w:rFonts w:cs="Arial"/>
        </w:rPr>
        <w:fldChar w:fldCharType="end"/>
      </w:r>
      <w:r w:rsidR="00015DB8" w:rsidRPr="00BF730A">
        <w:rPr>
          <w:rFonts w:cs="Arial"/>
          <w:lang w:val="en-GB"/>
        </w:rPr>
        <w:t xml:space="preserve">. </w:t>
      </w:r>
      <w:r w:rsidR="001A6603" w:rsidRPr="00BF730A">
        <w:rPr>
          <w:rFonts w:cs="Arial"/>
        </w:rPr>
        <w:t>Characterization of the main process streams, the input and output streams to each of the four stages of the process, is shown in Table 3. Stream 1 corresponds to the EFB feed to the drying stage. Stream 5 is the dry EFB stream that is fed to the gasifier, which is why the mass flow is lower than that of stream 1. Stream 15 is the output of the gasifier (gasification stage) and therefore shows the composition of the raw syngas. Stream 38 is the one obtained after the cleaning and conditioning stage of the syngas, which is why in the composition compounds such as H</w:t>
      </w:r>
      <w:r w:rsidR="001A6603" w:rsidRPr="00BF730A">
        <w:rPr>
          <w:rFonts w:cs="Arial"/>
          <w:vertAlign w:val="subscript"/>
        </w:rPr>
        <w:t>2</w:t>
      </w:r>
      <w:r w:rsidR="001A6603" w:rsidRPr="00BF730A">
        <w:rPr>
          <w:rFonts w:cs="Arial"/>
        </w:rPr>
        <w:t>S, COS, ashes,</w:t>
      </w:r>
      <w:r w:rsidR="00A9563C" w:rsidRPr="00BF730A">
        <w:rPr>
          <w:rFonts w:cs="Arial"/>
        </w:rPr>
        <w:t xml:space="preserve"> CO</w:t>
      </w:r>
      <w:r w:rsidR="00A9563C" w:rsidRPr="00BF730A">
        <w:rPr>
          <w:rFonts w:cs="Arial"/>
          <w:vertAlign w:val="subscript"/>
        </w:rPr>
        <w:t>2</w:t>
      </w:r>
      <w:r w:rsidR="001A6603" w:rsidRPr="00BF730A">
        <w:rPr>
          <w:rFonts w:cs="Arial"/>
        </w:rPr>
        <w:t xml:space="preserve">, and tars are not obtained in a representative way. Finally, stream 53 is reported, which corresponds to the output of the process. </w:t>
      </w:r>
      <w:r w:rsidR="00775DBE" w:rsidRPr="00BF730A">
        <w:rPr>
          <w:rFonts w:cs="Arial"/>
        </w:rPr>
        <w:t xml:space="preserve">The molar composition of the SNG produced (95 %) is within the range of compositions reported in the literature for simulated SNG production processes produced from biomass. </w:t>
      </w:r>
      <w:r w:rsidR="00BA5CC2" w:rsidRPr="00BF730A">
        <w:rPr>
          <w:rFonts w:cs="Arial"/>
        </w:rPr>
        <w:fldChar w:fldCharType="begin" w:fldLock="1"/>
      </w:r>
      <w:r w:rsidR="003251AE">
        <w:rPr>
          <w:rFonts w:cs="Arial"/>
        </w:rPr>
        <w:instrText>ADDIN CSL_CITATION {"citationItems":[{"id":"ITEM-1","itemData":{"DOI":"10.1016/j.jclepro.2005.04.009","ISSN":"09596526","abstract":"The process design of a 10–20MWth Synthetic Natural Gas (SNG) production process from wood has been performed. Combining process modelling and process integration techniques, this study proceeds via the following stages:•thermodynamic modelling: mass, energy balances and simulation of the wood gasification, the methanation and the purification units;•process integration that identifies the energy saving opportunities and prepares a thermo-economic optimization. This work demonstrates that the process can transform wood into pipeline quality methane with a thermal efficiency of 57.9% based on the Lower Heating Value (LHV). The process integration study shows that the heat surplus of the process can be used to almost satisfy the mechanical work required by the process; only 7% of the mechanical needs should come from an external source.","author":[{"dropping-particle":"","family":"Duret","given":"Alexis","non-dropping-particle":"","parse-names":false,"suffix":""},{"dropping-particle":"","family":"Friedli","given":"Claude","non-dropping-particle":"","parse-names":false,"suffix":""},{"dropping-particle":"","family":"Maréchal","given":"François","non-dropping-particle":"","parse-names":false,"suffix":""}],"container-title":"Journal of Cleaner Production","id":"ITEM-1","issue":"15","issued":{"date-parts":[["2005"]]},"page":"1434-1446","title":"Process design of Synthetic Natural Gas (SNG) production using wood gasification","type":"article-journal","volume":"13"},"uris":["http://www.mendeley.com/documents/?uuid=99525f71-ddba-4334-9f13-85c5e45c7727","http://www.mendeley.com/documents/?uuid=b5c4d762-3757-4faf-b47e-a8aec1049a13"]}],"mendeley":{"formattedCitation":"(Duret et al., 2005)","manualFormatting":"Duret et al. (2005)","plainTextFormattedCitation":"(Duret et al., 2005)","previouslyFormattedCitation":"(Duret et al., 2005)"},"properties":{"noteIndex":0},"schema":"https://github.com/citation-style-language/schema/raw/master/csl-citation.json"}</w:instrText>
      </w:r>
      <w:r w:rsidR="00BA5CC2" w:rsidRPr="00BF730A">
        <w:rPr>
          <w:rFonts w:cs="Arial"/>
        </w:rPr>
        <w:fldChar w:fldCharType="separate"/>
      </w:r>
      <w:r w:rsidR="00BA5CC2" w:rsidRPr="00BF730A">
        <w:rPr>
          <w:rFonts w:cs="Arial"/>
          <w:noProof/>
        </w:rPr>
        <w:t xml:space="preserve">Duret et al. </w:t>
      </w:r>
      <w:r w:rsidR="00656F19" w:rsidRPr="00BF730A">
        <w:rPr>
          <w:rFonts w:cs="Arial"/>
          <w:noProof/>
        </w:rPr>
        <w:t>(</w:t>
      </w:r>
      <w:r w:rsidR="00BA5CC2" w:rsidRPr="00BF730A">
        <w:rPr>
          <w:rFonts w:cs="Arial"/>
          <w:noProof/>
        </w:rPr>
        <w:t>2005)</w:t>
      </w:r>
      <w:r w:rsidR="00BA5CC2" w:rsidRPr="00BF730A">
        <w:rPr>
          <w:rFonts w:cs="Arial"/>
        </w:rPr>
        <w:fldChar w:fldCharType="end"/>
      </w:r>
      <w:r w:rsidR="00656F19" w:rsidRPr="00BF730A">
        <w:rPr>
          <w:rFonts w:cs="Arial"/>
        </w:rPr>
        <w:t xml:space="preserve"> </w:t>
      </w:r>
      <w:r w:rsidR="00775DBE" w:rsidRPr="00BF730A">
        <w:rPr>
          <w:rFonts w:cs="Arial"/>
        </w:rPr>
        <w:t>used the commercial software BELSIM-VALI to simulate SNG production from wood, obtaining a CH</w:t>
      </w:r>
      <w:r w:rsidR="00775DBE" w:rsidRPr="00BF730A">
        <w:rPr>
          <w:rFonts w:cs="Arial"/>
          <w:vertAlign w:val="subscript"/>
        </w:rPr>
        <w:t>4</w:t>
      </w:r>
      <w:r w:rsidR="00775DBE" w:rsidRPr="00BF730A">
        <w:rPr>
          <w:rFonts w:cs="Arial"/>
        </w:rPr>
        <w:t xml:space="preserve"> molar composition of 96.1 %; similarly,</w:t>
      </w:r>
      <w:r w:rsidR="00656F19" w:rsidRPr="00BF730A">
        <w:rPr>
          <w:rFonts w:cs="Arial"/>
        </w:rPr>
        <w:t xml:space="preserve"> </w:t>
      </w:r>
      <w:r w:rsidR="00E26C56" w:rsidRPr="00BF730A">
        <w:rPr>
          <w:rFonts w:cs="Arial"/>
        </w:rPr>
        <w:fldChar w:fldCharType="begin" w:fldLock="1"/>
      </w:r>
      <w:r w:rsidR="003251AE">
        <w:rPr>
          <w:rFonts w:cs="Arial"/>
        </w:rPr>
        <w:instrText>ADDIN CSL_CITATION {"citationItems":[{"id":"ITEM-1","itemData":{"DOI":"10.1016/j.biombioe.2009.08.004","ISSN":"09619534","abstract":"A detailed thermo-economic model considering different technological alternatives for thermochemical production of Synthetic Natural Gas (SNG) from lignocellulosic biomass is presented. First, candidate technology for processes based on biomass gasification and subsequent methanation is discussed and assembled in a general superstructure. Both energetic and economic models for biomass drying with air or steam, thermal pretreatment by torrefaction or pyrolysis, indirectly and directly heated gasification, methane synthesis and carbon dioxide removal by physical absorption, pressure swing adsorption and polymeric membranes are then developed. Performance computations for the different process steps and some exemplary technology scenarios of integrated plants are carried out, and overall energy and exergy efficiencies in the range of 69-76% and 63-69%, respectively, are assessed. For these scenarios, the production cost of SNG including the investment depreciation is estimated to 76-107 € MWh-1SNG for a plant capacity of 20 MWth,biomass, whereas 59-97 € MWh-1SNG might be reached at scales of 150 MWth,biomass and above. Based on this work, a future thermo-economic optimisation will allow for determining the most promising options for the polygeneration of fuel, power and heat. © 2009 Elsevier Ltd. All rights reserved.","author":[{"dropping-particle":"","family":"Gassner","given":"Martin","non-dropping-particle":"","parse-names":false,"suffix":""},{"dropping-particle":"","family":"Maréchal","given":"François","non-dropping-particle":"","parse-names":false,"suffix":""}],"container-title":"Biomass and Bioenergy","id":"ITEM-1","issue":"11","issued":{"date-parts":[["2009"]]},"page":"1587-1604","title":"Thermo-economic process model for thermochemical production of Synthetic Natural Gas (SNG) from lignocellulosic biomass","type":"article-journal","volume":"33"},"uris":["http://www.mendeley.com/documents/?uuid=dcc1555c-0044-4a7f-9ca3-c536e2b41c1d","http://www.mendeley.com/documents/?uuid=972a7d69-34c5-47cd-8dff-f844215d4489"]}],"mendeley":{"formattedCitation":"(Gassner &amp; Maréchal, 2009)","manualFormatting":"Gassner and Maréchal (2009)","plainTextFormattedCitation":"(Gassner &amp; Maréchal, 2009)","previouslyFormattedCitation":"(Gassner &amp; Maréchal, 2009)"},"properties":{"noteIndex":0},"schema":"https://github.com/citation-style-language/schema/raw/master/csl-citation.json"}</w:instrText>
      </w:r>
      <w:r w:rsidR="00E26C56" w:rsidRPr="00BF730A">
        <w:rPr>
          <w:rFonts w:cs="Arial"/>
        </w:rPr>
        <w:fldChar w:fldCharType="separate"/>
      </w:r>
      <w:r w:rsidR="00E26C56" w:rsidRPr="00BF730A">
        <w:rPr>
          <w:rFonts w:cs="Arial"/>
          <w:noProof/>
        </w:rPr>
        <w:t xml:space="preserve">Gassner </w:t>
      </w:r>
      <w:r w:rsidR="00343954" w:rsidRPr="00BF730A">
        <w:rPr>
          <w:rFonts w:cs="Arial"/>
          <w:noProof/>
        </w:rPr>
        <w:t>and</w:t>
      </w:r>
      <w:r w:rsidR="00E26C56" w:rsidRPr="00BF730A">
        <w:rPr>
          <w:rFonts w:cs="Arial"/>
          <w:noProof/>
        </w:rPr>
        <w:t xml:space="preserve"> Maréchal </w:t>
      </w:r>
      <w:r w:rsidR="00343954" w:rsidRPr="00BF730A">
        <w:rPr>
          <w:rFonts w:cs="Arial"/>
          <w:noProof/>
        </w:rPr>
        <w:t>(</w:t>
      </w:r>
      <w:r w:rsidR="00E26C56" w:rsidRPr="00BF730A">
        <w:rPr>
          <w:rFonts w:cs="Arial"/>
          <w:noProof/>
        </w:rPr>
        <w:t>2009)</w:t>
      </w:r>
      <w:r w:rsidR="00E26C56" w:rsidRPr="00BF730A">
        <w:rPr>
          <w:rFonts w:cs="Arial"/>
        </w:rPr>
        <w:fldChar w:fldCharType="end"/>
      </w:r>
      <w:r w:rsidR="00E26C56" w:rsidRPr="00BF730A">
        <w:rPr>
          <w:rFonts w:cs="Arial"/>
        </w:rPr>
        <w:t xml:space="preserve"> </w:t>
      </w:r>
      <w:r w:rsidR="00775DBE" w:rsidRPr="00BF730A">
        <w:rPr>
          <w:rFonts w:cs="Arial"/>
        </w:rPr>
        <w:t>simulated SNG production from wood and obtained a gas with a CH</w:t>
      </w:r>
      <w:r w:rsidR="00775DBE" w:rsidRPr="00BF730A">
        <w:rPr>
          <w:rFonts w:cs="Arial"/>
          <w:vertAlign w:val="subscript"/>
        </w:rPr>
        <w:t>4</w:t>
      </w:r>
      <w:r w:rsidR="00775DBE" w:rsidRPr="00BF730A">
        <w:rPr>
          <w:rFonts w:cs="Arial"/>
        </w:rPr>
        <w:t xml:space="preserve"> molar composition of 96 %.</w:t>
      </w:r>
      <w:r w:rsidR="00842938" w:rsidRPr="00BF730A">
        <w:rPr>
          <w:rFonts w:cs="Arial"/>
        </w:rPr>
        <w:t xml:space="preserve"> </w:t>
      </w:r>
      <w:r w:rsidR="00842938" w:rsidRPr="00BF730A">
        <w:rPr>
          <w:rFonts w:cs="Arial"/>
        </w:rPr>
        <w:fldChar w:fldCharType="begin" w:fldLock="1"/>
      </w:r>
      <w:r w:rsidR="003251AE">
        <w:rPr>
          <w:rFonts w:cs="Arial"/>
        </w:rPr>
        <w:instrText>ADDIN CSL_CITATION {"citationItems":[{"id":"ITEM-1","itemData":{"DOI":"10.1016/j.biombioe.2009.11.001","ISSN":"09619534","abstract":"The production of Synthetic Natural Gas from biomass (Bio-SNG) by gasification and upgrading of the gas is an attractive option to reduce CO2 emissions and replace declining fossil natural gas reserves. Production of energy from biomass is approximately CO2 neutral. Production of Bio-SNG can even be CO2 negative, since in the final upgrading step, part of the biomass carbon is removed as CO2, which can be stored. The use of biomass for CO2 reduction will increase the biomass demand and therefore will increase the price of biomass. Consequently, a high overall efficiency is a prerequisite for any biomass conversion process. Various biomass gasification technologies are suitable to produce SNG. The present article contains an analysis of the Bio-SNG process efficiency that can be obtained using three different gasification technologies and associated gas cleaning and methanation equipment. These technologies are: 1) Entrained Flow, 2) Circulating Fluidized Bed and 3) Allothermal or Indirect gasification. The aim of this work is to identify the gasification route with the highest process efficiency from biomass to SNG and to quantify the differences in overall efficiency. Aspen Plus® was used as modeling tool. The heat and mass balances are based on experimental data from literature and our own experience. Overall efficiency to SNG is highest for Allothermal gasification. The net overall efficiencies on LHV basis, including electricity consumption and pre-treatment but excluding transport of biomass are 54% for Entrained Flow, 58% for CFB and 67% for Allothermal gasification. Because of the significantly higher efficiency to SNG for the route via Allothermal gasification, ECN is working on the further development of Allothermal gasification. ECN has built and tested a 30 kWth lab scale gasifier connected to a gas cleaning test rig and methanation unit and presently is building a 0.8 MWth pilot plant, called Milena, which will be connected to the existing pilot scale gas cleaning. © 2009 Elsevier Ltd. All rights reserved.","author":[{"dropping-particle":"","family":"Meijden","given":"Christiaan M.","non-dropping-particle":"van der","parse-names":false,"suffix":""},{"dropping-particle":"","family":"Veringa","given":"Hubert J.","non-dropping-particle":"","parse-names":false,"suffix":""},{"dropping-particle":"","family":"Rabou","given":"Luc P.L.M.","non-dropping-particle":"","parse-names":false,"suffix":""}],"container-title":"Biomass and Bioenergy","id":"ITEM-1","issue":"3","issued":{"date-parts":[["2010"]]},"page":"302-311","publisher":"Elsevier Ltd","title":"The production of synthetic natural gas (SNG): A comparison of three wood gasification systems for energy balance and overall efficiency","type":"article-journal","volume":"34"},"uris":["http://www.mendeley.com/documents/?uuid=ee2c5140-0bd9-4d4f-b77b-9c59c5833b7b","http://www.mendeley.com/documents/?uuid=7af3f95a-c570-46b3-8586-5e6080bc75a7"]}],"mendeley":{"formattedCitation":"(van der Meijden et al., 2010)","manualFormatting":"Van der Meijden et al. (2010)","plainTextFormattedCitation":"(van der Meijden et al., 2010)","previouslyFormattedCitation":"(van der Meijden et al., 2010)"},"properties":{"noteIndex":0},"schema":"https://github.com/citation-style-language/schema/raw/master/csl-citation.json"}</w:instrText>
      </w:r>
      <w:r w:rsidR="00842938" w:rsidRPr="00BF730A">
        <w:rPr>
          <w:rFonts w:cs="Arial"/>
        </w:rPr>
        <w:fldChar w:fldCharType="separate"/>
      </w:r>
      <w:r w:rsidR="009C2D84" w:rsidRPr="00BF730A">
        <w:rPr>
          <w:rFonts w:cs="Arial"/>
          <w:noProof/>
        </w:rPr>
        <w:t>V</w:t>
      </w:r>
      <w:r w:rsidR="00842938" w:rsidRPr="00BF730A">
        <w:rPr>
          <w:rFonts w:cs="Arial"/>
          <w:noProof/>
        </w:rPr>
        <w:t>an der Meijden et al. (2010)</w:t>
      </w:r>
      <w:r w:rsidR="00842938" w:rsidRPr="00BF730A">
        <w:rPr>
          <w:rFonts w:cs="Arial"/>
        </w:rPr>
        <w:fldChar w:fldCharType="end"/>
      </w:r>
      <w:r w:rsidR="00775DBE" w:rsidRPr="00BF730A">
        <w:rPr>
          <w:rFonts w:cs="Arial"/>
        </w:rPr>
        <w:t xml:space="preserve"> analyzed the Bio-SNG production process from biomass using the following three gasification technologies: 1) Entrained Flow, 2) Circulating Fluidized Bed and 3) Allothermal or Indirect gasification; the molar compositions of CH</w:t>
      </w:r>
      <w:r w:rsidR="00775DBE" w:rsidRPr="00BF730A">
        <w:rPr>
          <w:rFonts w:cs="Arial"/>
          <w:vertAlign w:val="subscript"/>
        </w:rPr>
        <w:t>4</w:t>
      </w:r>
      <w:r w:rsidR="00775DBE" w:rsidRPr="00BF730A">
        <w:rPr>
          <w:rFonts w:cs="Arial"/>
        </w:rPr>
        <w:t xml:space="preserve"> present in the SNG obtained with the three technologies were 90.5, 89.9 and 90.7 %, respectively.</w:t>
      </w:r>
    </w:p>
    <w:p w14:paraId="64DC4172" w14:textId="77777777" w:rsidR="00147DFC" w:rsidRPr="00BF730A" w:rsidRDefault="00147DFC" w:rsidP="00147DFC">
      <w:pPr>
        <w:pStyle w:val="CETBodytext"/>
        <w:rPr>
          <w:rFonts w:cs="Arial"/>
        </w:rPr>
      </w:pPr>
    </w:p>
    <w:p w14:paraId="5D6DE24F" w14:textId="600252E2" w:rsidR="00015DB8" w:rsidRPr="00BF730A" w:rsidRDefault="00015DB8" w:rsidP="00015DB8">
      <w:pPr>
        <w:pStyle w:val="CETTabletitle"/>
        <w:rPr>
          <w:rFonts w:cs="Arial"/>
        </w:rPr>
      </w:pPr>
      <w:r w:rsidRPr="00BF730A">
        <w:rPr>
          <w:rFonts w:cs="Arial"/>
        </w:rPr>
        <w:t xml:space="preserve">Table 3: </w:t>
      </w:r>
      <w:r w:rsidR="00997660" w:rsidRPr="00BF730A">
        <w:rPr>
          <w:rFonts w:cs="Arial"/>
        </w:rPr>
        <w:t xml:space="preserve">Characterization of the main </w:t>
      </w:r>
      <w:r w:rsidR="009D54D9" w:rsidRPr="00BF730A">
        <w:rPr>
          <w:rFonts w:cs="Arial"/>
        </w:rPr>
        <w:t>stream</w:t>
      </w:r>
      <w:r w:rsidR="00997660" w:rsidRPr="00BF730A">
        <w:rPr>
          <w:rFonts w:cs="Arial"/>
        </w:rPr>
        <w: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1272"/>
        <w:gridCol w:w="1416"/>
        <w:gridCol w:w="1416"/>
        <w:gridCol w:w="1416"/>
        <w:gridCol w:w="1416"/>
      </w:tblGrid>
      <w:tr w:rsidR="00221C2C" w:rsidRPr="00BF730A" w14:paraId="5B66C7F9" w14:textId="4AC50522" w:rsidTr="000B6C52">
        <w:trPr>
          <w:trHeight w:val="227"/>
        </w:trPr>
        <w:tc>
          <w:tcPr>
            <w:tcW w:w="1560" w:type="dxa"/>
            <w:tcBorders>
              <w:top w:val="single" w:sz="12" w:space="0" w:color="008000"/>
              <w:bottom w:val="single" w:sz="6" w:space="0" w:color="008000"/>
            </w:tcBorders>
            <w:shd w:val="clear" w:color="auto" w:fill="FFFFFF"/>
          </w:tcPr>
          <w:p w14:paraId="5B8FE80F" w14:textId="4EDBC7C4" w:rsidR="00221C2C" w:rsidRPr="00BF730A" w:rsidRDefault="00BF4A58" w:rsidP="00765BA4">
            <w:pPr>
              <w:pStyle w:val="CETBodytext"/>
              <w:rPr>
                <w:rFonts w:cs="Arial"/>
                <w:lang w:val="en-GB"/>
              </w:rPr>
            </w:pPr>
            <w:r w:rsidRPr="00BF730A">
              <w:rPr>
                <w:rFonts w:cs="Arial"/>
                <w:lang w:val="en-GB"/>
              </w:rPr>
              <w:t>Stream</w:t>
            </w:r>
            <w:r w:rsidR="00221C2C" w:rsidRPr="00BF730A">
              <w:rPr>
                <w:rFonts w:cs="Arial"/>
                <w:lang w:val="en-GB"/>
              </w:rPr>
              <w:t xml:space="preserve"> </w:t>
            </w:r>
          </w:p>
        </w:tc>
        <w:tc>
          <w:tcPr>
            <w:tcW w:w="1272" w:type="dxa"/>
            <w:tcBorders>
              <w:top w:val="single" w:sz="12" w:space="0" w:color="008000"/>
              <w:bottom w:val="single" w:sz="6" w:space="0" w:color="008000"/>
            </w:tcBorders>
            <w:shd w:val="clear" w:color="auto" w:fill="FFFFFF"/>
          </w:tcPr>
          <w:p w14:paraId="3AC66EDA" w14:textId="019815BF" w:rsidR="00221C2C" w:rsidRPr="00BF730A" w:rsidRDefault="000961F3" w:rsidP="00765BA4">
            <w:pPr>
              <w:pStyle w:val="CETBodytext"/>
              <w:rPr>
                <w:rFonts w:cs="Arial"/>
                <w:lang w:val="en-GB"/>
              </w:rPr>
            </w:pPr>
            <w:r w:rsidRPr="00BF730A">
              <w:rPr>
                <w:rFonts w:cs="Arial"/>
                <w:lang w:val="en-GB"/>
              </w:rPr>
              <w:t>1</w:t>
            </w:r>
          </w:p>
        </w:tc>
        <w:tc>
          <w:tcPr>
            <w:tcW w:w="1416" w:type="dxa"/>
            <w:tcBorders>
              <w:top w:val="single" w:sz="12" w:space="0" w:color="008000"/>
              <w:bottom w:val="single" w:sz="6" w:space="0" w:color="008000"/>
            </w:tcBorders>
            <w:shd w:val="clear" w:color="auto" w:fill="FFFFFF"/>
          </w:tcPr>
          <w:p w14:paraId="69976E25" w14:textId="66116B11" w:rsidR="00221C2C" w:rsidRPr="00BF730A" w:rsidRDefault="000961F3" w:rsidP="00765BA4">
            <w:pPr>
              <w:pStyle w:val="CETBodytext"/>
              <w:rPr>
                <w:rFonts w:cs="Arial"/>
                <w:lang w:val="en-GB"/>
              </w:rPr>
            </w:pPr>
            <w:r w:rsidRPr="00BF730A">
              <w:rPr>
                <w:rFonts w:cs="Arial"/>
                <w:lang w:val="en-GB"/>
              </w:rPr>
              <w:t>5</w:t>
            </w:r>
          </w:p>
        </w:tc>
        <w:tc>
          <w:tcPr>
            <w:tcW w:w="1416" w:type="dxa"/>
            <w:tcBorders>
              <w:top w:val="single" w:sz="12" w:space="0" w:color="008000"/>
              <w:bottom w:val="single" w:sz="6" w:space="0" w:color="008000"/>
            </w:tcBorders>
            <w:shd w:val="clear" w:color="auto" w:fill="FFFFFF"/>
          </w:tcPr>
          <w:p w14:paraId="7169702F" w14:textId="0E4472D1" w:rsidR="00221C2C" w:rsidRPr="00BF730A" w:rsidRDefault="000961F3" w:rsidP="00765BA4">
            <w:pPr>
              <w:pStyle w:val="CETBodytext"/>
              <w:ind w:right="-1"/>
              <w:rPr>
                <w:rFonts w:cs="Arial"/>
                <w:szCs w:val="18"/>
                <w:lang w:val="en-GB"/>
              </w:rPr>
            </w:pPr>
            <w:r w:rsidRPr="00BF730A">
              <w:rPr>
                <w:rFonts w:cs="Arial"/>
                <w:szCs w:val="18"/>
                <w:lang w:val="en-GB"/>
              </w:rPr>
              <w:t>15</w:t>
            </w:r>
          </w:p>
        </w:tc>
        <w:tc>
          <w:tcPr>
            <w:tcW w:w="1416" w:type="dxa"/>
            <w:tcBorders>
              <w:top w:val="single" w:sz="12" w:space="0" w:color="008000"/>
              <w:bottom w:val="single" w:sz="6" w:space="0" w:color="008000"/>
            </w:tcBorders>
            <w:shd w:val="clear" w:color="auto" w:fill="FFFFFF"/>
          </w:tcPr>
          <w:p w14:paraId="7501A6BE" w14:textId="4E354347" w:rsidR="00221C2C" w:rsidRPr="00BF730A" w:rsidRDefault="000961F3" w:rsidP="00765BA4">
            <w:pPr>
              <w:pStyle w:val="CETBodytext"/>
              <w:ind w:right="-1"/>
              <w:rPr>
                <w:rFonts w:cs="Arial"/>
                <w:szCs w:val="18"/>
                <w:lang w:val="en-GB"/>
              </w:rPr>
            </w:pPr>
            <w:r w:rsidRPr="00BF730A">
              <w:rPr>
                <w:rFonts w:cs="Arial"/>
                <w:szCs w:val="18"/>
                <w:lang w:val="en-GB"/>
              </w:rPr>
              <w:t>38</w:t>
            </w:r>
          </w:p>
        </w:tc>
        <w:tc>
          <w:tcPr>
            <w:tcW w:w="1416" w:type="dxa"/>
            <w:tcBorders>
              <w:top w:val="single" w:sz="12" w:space="0" w:color="008000"/>
              <w:bottom w:val="single" w:sz="6" w:space="0" w:color="008000"/>
            </w:tcBorders>
            <w:shd w:val="clear" w:color="auto" w:fill="FFFFFF"/>
          </w:tcPr>
          <w:p w14:paraId="0362CF09" w14:textId="26A69AF9" w:rsidR="00221C2C" w:rsidRPr="00BF730A" w:rsidRDefault="000961F3" w:rsidP="00765BA4">
            <w:pPr>
              <w:pStyle w:val="CETBodytext"/>
              <w:ind w:right="-1"/>
              <w:rPr>
                <w:rFonts w:cs="Arial"/>
                <w:szCs w:val="18"/>
                <w:lang w:val="en-GB"/>
              </w:rPr>
            </w:pPr>
            <w:r w:rsidRPr="00BF730A">
              <w:rPr>
                <w:rFonts w:cs="Arial"/>
                <w:szCs w:val="18"/>
                <w:lang w:val="en-GB"/>
              </w:rPr>
              <w:t>53</w:t>
            </w:r>
          </w:p>
        </w:tc>
      </w:tr>
      <w:tr w:rsidR="004B2160" w:rsidRPr="00BF730A" w14:paraId="6B13615C" w14:textId="4615D398" w:rsidTr="000B6C52">
        <w:trPr>
          <w:trHeight w:val="227"/>
        </w:trPr>
        <w:tc>
          <w:tcPr>
            <w:tcW w:w="1560" w:type="dxa"/>
            <w:shd w:val="clear" w:color="auto" w:fill="FFFFFF"/>
          </w:tcPr>
          <w:p w14:paraId="11128C87" w14:textId="26AB1055" w:rsidR="004B2160" w:rsidRPr="00BF730A" w:rsidRDefault="004B2160" w:rsidP="004B2160">
            <w:pPr>
              <w:pStyle w:val="CETBodytext"/>
              <w:rPr>
                <w:rFonts w:cs="Arial"/>
                <w:lang w:val="en-GB"/>
              </w:rPr>
            </w:pPr>
            <w:r w:rsidRPr="00BF730A">
              <w:rPr>
                <w:rFonts w:cs="Arial"/>
                <w:lang w:val="en-GB"/>
              </w:rPr>
              <w:t>Temperature (°C)</w:t>
            </w:r>
          </w:p>
        </w:tc>
        <w:tc>
          <w:tcPr>
            <w:tcW w:w="1272" w:type="dxa"/>
            <w:shd w:val="clear" w:color="auto" w:fill="FFFFFF"/>
            <w:vAlign w:val="center"/>
          </w:tcPr>
          <w:p w14:paraId="0FA5CE32" w14:textId="791DF1D5" w:rsidR="004B2160" w:rsidRPr="00BF730A" w:rsidRDefault="004B2160" w:rsidP="004B2160">
            <w:pPr>
              <w:pStyle w:val="CETBodytext"/>
              <w:rPr>
                <w:rFonts w:cs="Arial"/>
                <w:lang w:val="en-GB"/>
              </w:rPr>
            </w:pPr>
            <w:r w:rsidRPr="00BF730A">
              <w:rPr>
                <w:rFonts w:cs="Arial"/>
                <w:lang w:val="en-GB"/>
              </w:rPr>
              <w:t>25</w:t>
            </w:r>
          </w:p>
        </w:tc>
        <w:tc>
          <w:tcPr>
            <w:tcW w:w="1416" w:type="dxa"/>
            <w:shd w:val="clear" w:color="auto" w:fill="FFFFFF"/>
            <w:vAlign w:val="center"/>
          </w:tcPr>
          <w:p w14:paraId="66E3FBA6" w14:textId="0CD36C85" w:rsidR="004B2160" w:rsidRPr="00BF730A" w:rsidRDefault="004B2160" w:rsidP="004B2160">
            <w:pPr>
              <w:pStyle w:val="CETBodytext"/>
              <w:rPr>
                <w:rFonts w:cs="Arial"/>
                <w:lang w:val="en-GB"/>
              </w:rPr>
            </w:pPr>
            <w:r w:rsidRPr="00BF730A">
              <w:rPr>
                <w:rFonts w:cs="Arial"/>
                <w:lang w:val="en-GB"/>
              </w:rPr>
              <w:t>111</w:t>
            </w:r>
          </w:p>
        </w:tc>
        <w:tc>
          <w:tcPr>
            <w:tcW w:w="1416" w:type="dxa"/>
            <w:shd w:val="clear" w:color="auto" w:fill="FFFFFF"/>
            <w:vAlign w:val="center"/>
          </w:tcPr>
          <w:p w14:paraId="533A04F1" w14:textId="25F6F2C6" w:rsidR="004B2160" w:rsidRPr="00BF730A" w:rsidRDefault="004B2160" w:rsidP="004B2160">
            <w:pPr>
              <w:pStyle w:val="CETBodytext"/>
              <w:ind w:right="-1"/>
              <w:rPr>
                <w:rFonts w:cs="Arial"/>
                <w:lang w:val="en-GB"/>
              </w:rPr>
            </w:pPr>
            <w:r w:rsidRPr="00BF730A">
              <w:rPr>
                <w:rFonts w:cs="Arial"/>
                <w:lang w:val="en-GB"/>
              </w:rPr>
              <w:t>820</w:t>
            </w:r>
          </w:p>
        </w:tc>
        <w:tc>
          <w:tcPr>
            <w:tcW w:w="1416" w:type="dxa"/>
            <w:shd w:val="clear" w:color="auto" w:fill="FFFFFF"/>
            <w:vAlign w:val="center"/>
          </w:tcPr>
          <w:p w14:paraId="73DC7221" w14:textId="0DCC6236" w:rsidR="004B2160" w:rsidRPr="00BF730A" w:rsidRDefault="004B2160" w:rsidP="004B2160">
            <w:pPr>
              <w:pStyle w:val="CETBodytext"/>
              <w:ind w:right="-1"/>
              <w:rPr>
                <w:rFonts w:cs="Arial"/>
                <w:lang w:val="en-GB"/>
              </w:rPr>
            </w:pPr>
            <w:r w:rsidRPr="00BF730A">
              <w:rPr>
                <w:rFonts w:cs="Arial"/>
                <w:lang w:val="en-GB"/>
              </w:rPr>
              <w:t>27</w:t>
            </w:r>
          </w:p>
        </w:tc>
        <w:tc>
          <w:tcPr>
            <w:tcW w:w="1416" w:type="dxa"/>
            <w:shd w:val="clear" w:color="auto" w:fill="FFFFFF"/>
            <w:vAlign w:val="center"/>
          </w:tcPr>
          <w:p w14:paraId="4E635881" w14:textId="74E061A5" w:rsidR="004B2160" w:rsidRPr="00BF730A" w:rsidRDefault="004B2160" w:rsidP="004B2160">
            <w:pPr>
              <w:pStyle w:val="CETBodytext"/>
              <w:ind w:right="-1"/>
              <w:rPr>
                <w:rFonts w:cs="Arial"/>
                <w:lang w:val="en-GB"/>
              </w:rPr>
            </w:pPr>
            <w:r w:rsidRPr="00BF730A">
              <w:rPr>
                <w:rFonts w:cs="Arial"/>
                <w:lang w:val="en-GB"/>
              </w:rPr>
              <w:t>40</w:t>
            </w:r>
          </w:p>
        </w:tc>
      </w:tr>
      <w:tr w:rsidR="004B2160" w:rsidRPr="00BF730A" w14:paraId="004C7B10" w14:textId="51D85558" w:rsidTr="000B6C52">
        <w:trPr>
          <w:trHeight w:val="227"/>
        </w:trPr>
        <w:tc>
          <w:tcPr>
            <w:tcW w:w="1560" w:type="dxa"/>
            <w:shd w:val="clear" w:color="auto" w:fill="FFFFFF"/>
            <w:vAlign w:val="center"/>
          </w:tcPr>
          <w:p w14:paraId="618AEC8C" w14:textId="47964B16" w:rsidR="004B2160" w:rsidRPr="00BF730A" w:rsidRDefault="004B2160" w:rsidP="004B2160">
            <w:pPr>
              <w:pStyle w:val="CETBodytext"/>
              <w:ind w:right="-1"/>
              <w:rPr>
                <w:rFonts w:cs="Arial"/>
                <w:lang w:val="en-GB"/>
              </w:rPr>
            </w:pPr>
            <w:r w:rsidRPr="00BF730A">
              <w:rPr>
                <w:rFonts w:cs="Arial"/>
                <w:lang w:val="en-GB"/>
              </w:rPr>
              <w:lastRenderedPageBreak/>
              <w:t>Pressure [bar]</w:t>
            </w:r>
          </w:p>
        </w:tc>
        <w:tc>
          <w:tcPr>
            <w:tcW w:w="1272" w:type="dxa"/>
            <w:shd w:val="clear" w:color="auto" w:fill="FFFFFF"/>
            <w:vAlign w:val="center"/>
          </w:tcPr>
          <w:p w14:paraId="29A1A6E1" w14:textId="5F0EE157" w:rsidR="004B2160" w:rsidRPr="00BF730A" w:rsidRDefault="004B2160" w:rsidP="004B2160">
            <w:pPr>
              <w:pStyle w:val="CETBodytext"/>
              <w:ind w:right="-1"/>
              <w:rPr>
                <w:rFonts w:cs="Arial"/>
                <w:lang w:val="en-GB"/>
              </w:rPr>
            </w:pPr>
            <w:r w:rsidRPr="00BF730A">
              <w:rPr>
                <w:rFonts w:cs="Arial"/>
                <w:lang w:val="en-GB"/>
              </w:rPr>
              <w:t>1,01</w:t>
            </w:r>
          </w:p>
        </w:tc>
        <w:tc>
          <w:tcPr>
            <w:tcW w:w="1416" w:type="dxa"/>
            <w:shd w:val="clear" w:color="auto" w:fill="FFFFFF"/>
            <w:vAlign w:val="center"/>
          </w:tcPr>
          <w:p w14:paraId="398BCE6B" w14:textId="58E79DBF" w:rsidR="004B2160" w:rsidRPr="00BF730A" w:rsidRDefault="004B2160" w:rsidP="004B2160">
            <w:pPr>
              <w:pStyle w:val="CETBodytext"/>
              <w:ind w:right="-1"/>
              <w:rPr>
                <w:rFonts w:cs="Arial"/>
                <w:lang w:val="en-GB"/>
              </w:rPr>
            </w:pPr>
            <w:r w:rsidRPr="00BF730A">
              <w:rPr>
                <w:rFonts w:cs="Arial"/>
                <w:lang w:val="en-GB"/>
              </w:rPr>
              <w:t>1,01</w:t>
            </w:r>
          </w:p>
        </w:tc>
        <w:tc>
          <w:tcPr>
            <w:tcW w:w="1416" w:type="dxa"/>
            <w:shd w:val="clear" w:color="auto" w:fill="FFFFFF"/>
            <w:vAlign w:val="center"/>
          </w:tcPr>
          <w:p w14:paraId="437AC00E" w14:textId="489B8BBE" w:rsidR="004B2160" w:rsidRPr="00BF730A" w:rsidRDefault="004B2160" w:rsidP="004B2160">
            <w:pPr>
              <w:pStyle w:val="CETBodytext"/>
              <w:ind w:right="-1"/>
              <w:rPr>
                <w:rFonts w:cs="Arial"/>
                <w:lang w:val="en-GB"/>
              </w:rPr>
            </w:pPr>
            <w:r w:rsidRPr="00BF730A">
              <w:rPr>
                <w:rFonts w:cs="Arial"/>
                <w:lang w:val="en-GB"/>
              </w:rPr>
              <w:t>1,01</w:t>
            </w:r>
          </w:p>
        </w:tc>
        <w:tc>
          <w:tcPr>
            <w:tcW w:w="1416" w:type="dxa"/>
            <w:shd w:val="clear" w:color="auto" w:fill="FFFFFF"/>
            <w:vAlign w:val="center"/>
          </w:tcPr>
          <w:p w14:paraId="5726A31D" w14:textId="124CCC52" w:rsidR="004B2160" w:rsidRPr="00BF730A" w:rsidRDefault="004B2160" w:rsidP="004B2160">
            <w:pPr>
              <w:pStyle w:val="CETBodytext"/>
              <w:ind w:right="-1"/>
              <w:rPr>
                <w:rFonts w:cs="Arial"/>
                <w:lang w:val="en-GB"/>
              </w:rPr>
            </w:pPr>
            <w:r w:rsidRPr="00BF730A">
              <w:rPr>
                <w:rFonts w:cs="Arial"/>
                <w:lang w:val="en-GB"/>
              </w:rPr>
              <w:t>33,01</w:t>
            </w:r>
          </w:p>
        </w:tc>
        <w:tc>
          <w:tcPr>
            <w:tcW w:w="1416" w:type="dxa"/>
            <w:shd w:val="clear" w:color="auto" w:fill="FFFFFF"/>
            <w:vAlign w:val="center"/>
          </w:tcPr>
          <w:p w14:paraId="734EFD89" w14:textId="27472687" w:rsidR="004B2160" w:rsidRPr="00BF730A" w:rsidRDefault="004B2160" w:rsidP="004B2160">
            <w:pPr>
              <w:pStyle w:val="CETBodytext"/>
              <w:ind w:right="-1"/>
              <w:rPr>
                <w:rFonts w:cs="Arial"/>
                <w:lang w:val="en-GB"/>
              </w:rPr>
            </w:pPr>
            <w:r w:rsidRPr="00BF730A">
              <w:rPr>
                <w:rFonts w:cs="Arial"/>
                <w:lang w:val="en-GB"/>
              </w:rPr>
              <w:t>6,00</w:t>
            </w:r>
          </w:p>
        </w:tc>
      </w:tr>
      <w:tr w:rsidR="004B2160" w:rsidRPr="00BF730A" w14:paraId="3F4BEF43" w14:textId="77777777" w:rsidTr="000B6C52">
        <w:trPr>
          <w:trHeight w:val="227"/>
        </w:trPr>
        <w:tc>
          <w:tcPr>
            <w:tcW w:w="1560" w:type="dxa"/>
            <w:shd w:val="clear" w:color="auto" w:fill="FFFFFF"/>
            <w:vAlign w:val="center"/>
          </w:tcPr>
          <w:p w14:paraId="69F35093" w14:textId="6BCB6594" w:rsidR="004B2160" w:rsidRPr="00BF730A" w:rsidRDefault="004B2160" w:rsidP="004B2160">
            <w:pPr>
              <w:pStyle w:val="CETBodytext"/>
              <w:ind w:right="-1"/>
              <w:rPr>
                <w:rFonts w:cs="Arial"/>
                <w:lang w:val="en-GB"/>
              </w:rPr>
            </w:pPr>
            <w:r w:rsidRPr="00BF730A">
              <w:rPr>
                <w:rFonts w:cs="Arial"/>
                <w:lang w:val="en-GB"/>
              </w:rPr>
              <w:t>Mass flow [kg/h]</w:t>
            </w:r>
          </w:p>
        </w:tc>
        <w:tc>
          <w:tcPr>
            <w:tcW w:w="1272" w:type="dxa"/>
            <w:shd w:val="clear" w:color="auto" w:fill="FFFFFF"/>
            <w:vAlign w:val="center"/>
          </w:tcPr>
          <w:p w14:paraId="36671642" w14:textId="6F9DE07B" w:rsidR="004B2160" w:rsidRPr="00BF730A" w:rsidRDefault="004B2160" w:rsidP="004B2160">
            <w:pPr>
              <w:pStyle w:val="CETBodytext"/>
              <w:ind w:right="-1"/>
              <w:rPr>
                <w:rFonts w:cs="Arial"/>
                <w:lang w:val="en-GB"/>
              </w:rPr>
            </w:pPr>
            <w:r w:rsidRPr="00BF730A">
              <w:rPr>
                <w:rFonts w:cs="Arial"/>
                <w:lang w:val="en-GB"/>
              </w:rPr>
              <w:t>26660</w:t>
            </w:r>
          </w:p>
        </w:tc>
        <w:tc>
          <w:tcPr>
            <w:tcW w:w="1416" w:type="dxa"/>
            <w:shd w:val="clear" w:color="auto" w:fill="FFFFFF"/>
            <w:vAlign w:val="center"/>
          </w:tcPr>
          <w:p w14:paraId="2BCDA94F" w14:textId="16B9CDEA" w:rsidR="004B2160" w:rsidRPr="00BF730A" w:rsidRDefault="004B2160" w:rsidP="004B2160">
            <w:pPr>
              <w:pStyle w:val="CETBodytext"/>
              <w:ind w:right="-1"/>
              <w:rPr>
                <w:rFonts w:cs="Arial"/>
                <w:lang w:val="en-GB"/>
              </w:rPr>
            </w:pPr>
            <w:r w:rsidRPr="00BF730A">
              <w:rPr>
                <w:rFonts w:cs="Arial"/>
                <w:lang w:val="en-GB"/>
              </w:rPr>
              <w:t>19891</w:t>
            </w:r>
          </w:p>
        </w:tc>
        <w:tc>
          <w:tcPr>
            <w:tcW w:w="1416" w:type="dxa"/>
            <w:shd w:val="clear" w:color="auto" w:fill="FFFFFF"/>
            <w:vAlign w:val="center"/>
          </w:tcPr>
          <w:p w14:paraId="0BE5128B" w14:textId="711D4DF7" w:rsidR="004B2160" w:rsidRPr="00BF730A" w:rsidRDefault="004B2160" w:rsidP="004B2160">
            <w:pPr>
              <w:pStyle w:val="CETBodytext"/>
              <w:ind w:right="-1"/>
              <w:rPr>
                <w:rFonts w:cs="Arial"/>
                <w:lang w:val="en-GB"/>
              </w:rPr>
            </w:pPr>
            <w:r w:rsidRPr="00BF730A">
              <w:rPr>
                <w:rFonts w:cs="Arial"/>
                <w:lang w:val="en-GB"/>
              </w:rPr>
              <w:t>28765</w:t>
            </w:r>
          </w:p>
        </w:tc>
        <w:tc>
          <w:tcPr>
            <w:tcW w:w="1416" w:type="dxa"/>
            <w:shd w:val="clear" w:color="auto" w:fill="FFFFFF"/>
            <w:vAlign w:val="center"/>
          </w:tcPr>
          <w:p w14:paraId="6E0525FA" w14:textId="0C44F345" w:rsidR="004B2160" w:rsidRPr="00BF730A" w:rsidRDefault="004B2160" w:rsidP="004B2160">
            <w:pPr>
              <w:pStyle w:val="CETBodytext"/>
              <w:ind w:right="-1"/>
              <w:rPr>
                <w:rFonts w:cs="Arial"/>
                <w:lang w:val="en-GB"/>
              </w:rPr>
            </w:pPr>
            <w:r w:rsidRPr="00BF730A">
              <w:rPr>
                <w:rFonts w:cs="Arial"/>
                <w:lang w:val="en-GB"/>
              </w:rPr>
              <w:t>7926</w:t>
            </w:r>
          </w:p>
        </w:tc>
        <w:tc>
          <w:tcPr>
            <w:tcW w:w="1416" w:type="dxa"/>
            <w:shd w:val="clear" w:color="auto" w:fill="FFFFFF"/>
            <w:vAlign w:val="center"/>
          </w:tcPr>
          <w:p w14:paraId="568ECC99" w14:textId="4C355F54" w:rsidR="004B2160" w:rsidRPr="00BF730A" w:rsidRDefault="004B2160" w:rsidP="004B2160">
            <w:pPr>
              <w:pStyle w:val="CETBodytext"/>
              <w:ind w:right="-1"/>
              <w:rPr>
                <w:rFonts w:cs="Arial"/>
                <w:lang w:val="en-GB"/>
              </w:rPr>
            </w:pPr>
            <w:r w:rsidRPr="00BF730A">
              <w:rPr>
                <w:rFonts w:cs="Arial"/>
                <w:lang w:val="en-GB"/>
              </w:rPr>
              <w:t>4584</w:t>
            </w:r>
          </w:p>
        </w:tc>
      </w:tr>
      <w:tr w:rsidR="004B2160" w:rsidRPr="00BF730A" w14:paraId="6006F3FD" w14:textId="77777777" w:rsidTr="000B6C52">
        <w:trPr>
          <w:trHeight w:val="227"/>
        </w:trPr>
        <w:tc>
          <w:tcPr>
            <w:tcW w:w="8496" w:type="dxa"/>
            <w:gridSpan w:val="6"/>
            <w:shd w:val="clear" w:color="auto" w:fill="FFFFFF"/>
          </w:tcPr>
          <w:p w14:paraId="456F75CC" w14:textId="6D55B58B" w:rsidR="004B2160" w:rsidRPr="00BF730A" w:rsidRDefault="004B2160" w:rsidP="000B6C52">
            <w:pPr>
              <w:pStyle w:val="CETBodytext"/>
              <w:ind w:right="-1"/>
              <w:jc w:val="center"/>
              <w:rPr>
                <w:rFonts w:cs="Arial"/>
                <w:szCs w:val="18"/>
                <w:lang w:val="en-GB"/>
              </w:rPr>
            </w:pPr>
            <w:r w:rsidRPr="00BF730A">
              <w:rPr>
                <w:rFonts w:cs="Arial"/>
                <w:szCs w:val="18"/>
                <w:lang w:val="en-GB"/>
              </w:rPr>
              <w:t>Mass fraction</w:t>
            </w:r>
          </w:p>
        </w:tc>
      </w:tr>
      <w:tr w:rsidR="009427DD" w:rsidRPr="00BF730A" w14:paraId="1A44D544" w14:textId="77777777" w:rsidTr="000B6C52">
        <w:trPr>
          <w:trHeight w:val="227"/>
        </w:trPr>
        <w:tc>
          <w:tcPr>
            <w:tcW w:w="1560" w:type="dxa"/>
            <w:shd w:val="clear" w:color="auto" w:fill="FFFFFF"/>
            <w:vAlign w:val="center"/>
          </w:tcPr>
          <w:p w14:paraId="51E2191C" w14:textId="4564F272" w:rsidR="009427DD" w:rsidRPr="00BF730A" w:rsidRDefault="009427DD" w:rsidP="009427DD">
            <w:pPr>
              <w:pStyle w:val="CETBodytext"/>
              <w:ind w:right="-1"/>
              <w:rPr>
                <w:rFonts w:cs="Arial"/>
                <w:szCs w:val="18"/>
                <w:lang w:val="en-GB"/>
              </w:rPr>
            </w:pPr>
            <w:r w:rsidRPr="00BF730A">
              <w:rPr>
                <w:rFonts w:cs="Arial"/>
                <w:color w:val="000000"/>
                <w:sz w:val="20"/>
              </w:rPr>
              <w:t>H</w:t>
            </w:r>
            <w:r w:rsidRPr="00BF730A">
              <w:rPr>
                <w:rFonts w:cs="Arial"/>
                <w:color w:val="000000"/>
                <w:sz w:val="20"/>
                <w:vertAlign w:val="subscript"/>
              </w:rPr>
              <w:t>2</w:t>
            </w:r>
          </w:p>
        </w:tc>
        <w:tc>
          <w:tcPr>
            <w:tcW w:w="1272" w:type="dxa"/>
            <w:shd w:val="clear" w:color="auto" w:fill="FFFFFF"/>
            <w:vAlign w:val="center"/>
          </w:tcPr>
          <w:p w14:paraId="69EA323E" w14:textId="4CB5D80E"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58966404" w14:textId="772E665A"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1C87D216" w14:textId="4A197FA8" w:rsidR="009427DD" w:rsidRPr="00BF730A" w:rsidRDefault="009427DD" w:rsidP="009427DD">
            <w:pPr>
              <w:pStyle w:val="CETBodytext"/>
              <w:ind w:right="-1"/>
              <w:rPr>
                <w:rFonts w:cs="Arial"/>
                <w:szCs w:val="18"/>
                <w:lang w:val="en-GB"/>
              </w:rPr>
            </w:pPr>
            <w:r w:rsidRPr="00BF730A">
              <w:rPr>
                <w:rFonts w:cs="Arial"/>
                <w:color w:val="000000"/>
                <w:sz w:val="20"/>
              </w:rPr>
              <w:t>0,0414</w:t>
            </w:r>
          </w:p>
        </w:tc>
        <w:tc>
          <w:tcPr>
            <w:tcW w:w="1416" w:type="dxa"/>
            <w:shd w:val="clear" w:color="auto" w:fill="FFFFFF"/>
            <w:vAlign w:val="center"/>
          </w:tcPr>
          <w:p w14:paraId="2193474C" w14:textId="4F433EB3" w:rsidR="009427DD" w:rsidRPr="00BF730A" w:rsidRDefault="009427DD" w:rsidP="009427DD">
            <w:pPr>
              <w:pStyle w:val="CETBodytext"/>
              <w:ind w:right="-1"/>
              <w:rPr>
                <w:rFonts w:cs="Arial"/>
                <w:szCs w:val="18"/>
                <w:lang w:val="en-GB"/>
              </w:rPr>
            </w:pPr>
            <w:r w:rsidRPr="00BF730A">
              <w:rPr>
                <w:rFonts w:cs="Arial"/>
                <w:color w:val="000000"/>
                <w:sz w:val="20"/>
              </w:rPr>
              <w:t>0,1440</w:t>
            </w:r>
          </w:p>
        </w:tc>
        <w:tc>
          <w:tcPr>
            <w:tcW w:w="1416" w:type="dxa"/>
            <w:shd w:val="clear" w:color="auto" w:fill="FFFFFF"/>
            <w:vAlign w:val="center"/>
          </w:tcPr>
          <w:p w14:paraId="2A22F605" w14:textId="61C93DBB" w:rsidR="009427DD" w:rsidRPr="00BF730A" w:rsidRDefault="009427DD" w:rsidP="009427DD">
            <w:pPr>
              <w:pStyle w:val="CETBodytext"/>
              <w:ind w:right="-1"/>
              <w:rPr>
                <w:rFonts w:cs="Arial"/>
                <w:szCs w:val="18"/>
                <w:lang w:val="en-GB"/>
              </w:rPr>
            </w:pPr>
            <w:r w:rsidRPr="00BF730A">
              <w:rPr>
                <w:rFonts w:cs="Arial"/>
                <w:color w:val="000000"/>
                <w:sz w:val="20"/>
              </w:rPr>
              <w:t>0,0065</w:t>
            </w:r>
          </w:p>
        </w:tc>
      </w:tr>
      <w:tr w:rsidR="009427DD" w:rsidRPr="00BF730A" w14:paraId="2CC0F487" w14:textId="77777777" w:rsidTr="000B6C52">
        <w:trPr>
          <w:trHeight w:val="227"/>
        </w:trPr>
        <w:tc>
          <w:tcPr>
            <w:tcW w:w="1560" w:type="dxa"/>
            <w:shd w:val="clear" w:color="auto" w:fill="FFFFFF"/>
            <w:vAlign w:val="center"/>
          </w:tcPr>
          <w:p w14:paraId="70ED2A5A" w14:textId="00520D92" w:rsidR="009427DD" w:rsidRPr="00BF730A" w:rsidRDefault="009427DD" w:rsidP="009427DD">
            <w:pPr>
              <w:pStyle w:val="CETBodytext"/>
              <w:ind w:right="-1"/>
              <w:rPr>
                <w:rFonts w:cs="Arial"/>
                <w:szCs w:val="18"/>
                <w:lang w:val="en-GB"/>
              </w:rPr>
            </w:pPr>
            <w:r w:rsidRPr="00BF730A">
              <w:rPr>
                <w:rFonts w:cs="Arial"/>
                <w:color w:val="000000"/>
                <w:sz w:val="20"/>
              </w:rPr>
              <w:t>CO</w:t>
            </w:r>
          </w:p>
        </w:tc>
        <w:tc>
          <w:tcPr>
            <w:tcW w:w="1272" w:type="dxa"/>
            <w:shd w:val="clear" w:color="auto" w:fill="FFFFFF"/>
            <w:vAlign w:val="center"/>
          </w:tcPr>
          <w:p w14:paraId="557EC0C5" w14:textId="66DF5D53"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7AB62BFD" w14:textId="220C1757"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39C294BA" w14:textId="44E832D5" w:rsidR="009427DD" w:rsidRPr="00BF730A" w:rsidRDefault="009427DD" w:rsidP="009427DD">
            <w:pPr>
              <w:pStyle w:val="CETBodytext"/>
              <w:ind w:right="-1"/>
              <w:rPr>
                <w:rFonts w:cs="Arial"/>
                <w:szCs w:val="18"/>
                <w:lang w:val="en-GB"/>
              </w:rPr>
            </w:pPr>
            <w:r w:rsidRPr="00BF730A">
              <w:rPr>
                <w:rFonts w:cs="Arial"/>
                <w:color w:val="000000"/>
                <w:sz w:val="20"/>
              </w:rPr>
              <w:t>0,1550</w:t>
            </w:r>
          </w:p>
        </w:tc>
        <w:tc>
          <w:tcPr>
            <w:tcW w:w="1416" w:type="dxa"/>
            <w:shd w:val="clear" w:color="auto" w:fill="FFFFFF"/>
            <w:vAlign w:val="center"/>
          </w:tcPr>
          <w:p w14:paraId="78D07B4F" w14:textId="1AF2E122" w:rsidR="009427DD" w:rsidRPr="00BF730A" w:rsidRDefault="009427DD" w:rsidP="009427DD">
            <w:pPr>
              <w:pStyle w:val="CETBodytext"/>
              <w:ind w:right="-1"/>
              <w:rPr>
                <w:rFonts w:cs="Arial"/>
                <w:szCs w:val="18"/>
                <w:lang w:val="en-GB"/>
              </w:rPr>
            </w:pPr>
            <w:r w:rsidRPr="00BF730A">
              <w:rPr>
                <w:rFonts w:cs="Arial"/>
                <w:color w:val="000000"/>
                <w:sz w:val="20"/>
              </w:rPr>
              <w:t>0,5625</w:t>
            </w:r>
          </w:p>
        </w:tc>
        <w:tc>
          <w:tcPr>
            <w:tcW w:w="1416" w:type="dxa"/>
            <w:shd w:val="clear" w:color="auto" w:fill="FFFFFF"/>
            <w:vAlign w:val="center"/>
          </w:tcPr>
          <w:p w14:paraId="71177A6F" w14:textId="72B3A153"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11E2B0DE" w14:textId="77777777" w:rsidTr="000B6C52">
        <w:trPr>
          <w:trHeight w:val="227"/>
        </w:trPr>
        <w:tc>
          <w:tcPr>
            <w:tcW w:w="1560" w:type="dxa"/>
            <w:shd w:val="clear" w:color="auto" w:fill="FFFFFF"/>
            <w:vAlign w:val="center"/>
          </w:tcPr>
          <w:p w14:paraId="394A9CC7" w14:textId="7040F465" w:rsidR="009427DD" w:rsidRPr="00BF730A" w:rsidRDefault="009427DD" w:rsidP="009427DD">
            <w:pPr>
              <w:pStyle w:val="CETBodytext"/>
              <w:ind w:right="-1"/>
              <w:rPr>
                <w:rFonts w:cs="Arial"/>
                <w:szCs w:val="18"/>
                <w:lang w:val="en-GB"/>
              </w:rPr>
            </w:pPr>
            <w:r w:rsidRPr="00BF730A">
              <w:rPr>
                <w:rFonts w:cs="Arial"/>
                <w:color w:val="000000"/>
                <w:sz w:val="20"/>
              </w:rPr>
              <w:t>CH</w:t>
            </w:r>
            <w:r w:rsidRPr="00BF730A">
              <w:rPr>
                <w:rFonts w:cs="Arial"/>
                <w:color w:val="000000"/>
                <w:sz w:val="20"/>
                <w:vertAlign w:val="subscript"/>
              </w:rPr>
              <w:t>4</w:t>
            </w:r>
          </w:p>
        </w:tc>
        <w:tc>
          <w:tcPr>
            <w:tcW w:w="1272" w:type="dxa"/>
            <w:shd w:val="clear" w:color="auto" w:fill="FFFFFF"/>
            <w:vAlign w:val="center"/>
          </w:tcPr>
          <w:p w14:paraId="7E6D4E8A" w14:textId="06ECC1A7"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426AF294" w14:textId="43CDD9FE"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1BE8E7B7" w14:textId="4B30B333" w:rsidR="009427DD" w:rsidRPr="00BF730A" w:rsidRDefault="009427DD" w:rsidP="009427DD">
            <w:pPr>
              <w:pStyle w:val="CETBodytext"/>
              <w:ind w:right="-1"/>
              <w:rPr>
                <w:rFonts w:cs="Arial"/>
                <w:szCs w:val="18"/>
                <w:lang w:val="en-GB"/>
              </w:rPr>
            </w:pPr>
            <w:r w:rsidRPr="00BF730A">
              <w:rPr>
                <w:rFonts w:cs="Arial"/>
                <w:color w:val="000000"/>
                <w:sz w:val="20"/>
              </w:rPr>
              <w:t>0,0346</w:t>
            </w:r>
          </w:p>
        </w:tc>
        <w:tc>
          <w:tcPr>
            <w:tcW w:w="1416" w:type="dxa"/>
            <w:shd w:val="clear" w:color="auto" w:fill="FFFFFF"/>
            <w:vAlign w:val="center"/>
          </w:tcPr>
          <w:p w14:paraId="510E2A0D" w14:textId="265781C6" w:rsidR="009427DD" w:rsidRPr="00BF730A" w:rsidRDefault="009427DD" w:rsidP="009427DD">
            <w:pPr>
              <w:pStyle w:val="CETBodytext"/>
              <w:ind w:right="-1"/>
              <w:rPr>
                <w:rFonts w:cs="Arial"/>
                <w:szCs w:val="18"/>
                <w:lang w:val="en-GB"/>
              </w:rPr>
            </w:pPr>
            <w:r w:rsidRPr="00BF730A">
              <w:rPr>
                <w:rFonts w:cs="Arial"/>
                <w:color w:val="000000"/>
                <w:sz w:val="20"/>
              </w:rPr>
              <w:t>0,1255</w:t>
            </w:r>
          </w:p>
        </w:tc>
        <w:tc>
          <w:tcPr>
            <w:tcW w:w="1416" w:type="dxa"/>
            <w:shd w:val="clear" w:color="auto" w:fill="FFFFFF"/>
            <w:vAlign w:val="center"/>
          </w:tcPr>
          <w:p w14:paraId="27701502" w14:textId="061A3F08" w:rsidR="009427DD" w:rsidRPr="00BF730A" w:rsidRDefault="009427DD" w:rsidP="009427DD">
            <w:pPr>
              <w:pStyle w:val="CETBodytext"/>
              <w:ind w:right="-1"/>
              <w:rPr>
                <w:rFonts w:cs="Arial"/>
                <w:szCs w:val="18"/>
                <w:lang w:val="en-GB"/>
              </w:rPr>
            </w:pPr>
            <w:r w:rsidRPr="00BF730A">
              <w:rPr>
                <w:rFonts w:cs="Arial"/>
                <w:color w:val="000000"/>
                <w:sz w:val="20"/>
              </w:rPr>
              <w:t>0,9935</w:t>
            </w:r>
          </w:p>
        </w:tc>
      </w:tr>
      <w:tr w:rsidR="009427DD" w:rsidRPr="00BF730A" w14:paraId="6AE7267B" w14:textId="77777777" w:rsidTr="000B6C52">
        <w:trPr>
          <w:trHeight w:val="227"/>
        </w:trPr>
        <w:tc>
          <w:tcPr>
            <w:tcW w:w="1560" w:type="dxa"/>
            <w:shd w:val="clear" w:color="auto" w:fill="FFFFFF"/>
            <w:vAlign w:val="center"/>
          </w:tcPr>
          <w:p w14:paraId="35895BC7" w14:textId="37F0CEED" w:rsidR="009427DD" w:rsidRPr="00BF730A" w:rsidRDefault="009427DD" w:rsidP="009427DD">
            <w:pPr>
              <w:pStyle w:val="CETBodytext"/>
              <w:ind w:right="-1"/>
              <w:rPr>
                <w:rFonts w:cs="Arial"/>
                <w:szCs w:val="18"/>
                <w:lang w:val="en-GB"/>
              </w:rPr>
            </w:pPr>
            <w:r w:rsidRPr="00BF730A">
              <w:rPr>
                <w:rFonts w:cs="Arial"/>
                <w:color w:val="000000"/>
                <w:sz w:val="20"/>
              </w:rPr>
              <w:t>C</w:t>
            </w:r>
            <w:r w:rsidRPr="00BF730A">
              <w:rPr>
                <w:rFonts w:cs="Arial"/>
                <w:color w:val="000000"/>
                <w:sz w:val="20"/>
                <w:vertAlign w:val="subscript"/>
              </w:rPr>
              <w:t>2</w:t>
            </w:r>
            <w:r w:rsidRPr="00BF730A">
              <w:rPr>
                <w:rFonts w:cs="Arial"/>
                <w:color w:val="000000"/>
                <w:sz w:val="20"/>
              </w:rPr>
              <w:t>H</w:t>
            </w:r>
            <w:r w:rsidRPr="00BF730A">
              <w:rPr>
                <w:rFonts w:cs="Arial"/>
                <w:color w:val="000000"/>
                <w:sz w:val="20"/>
                <w:vertAlign w:val="subscript"/>
              </w:rPr>
              <w:t>4</w:t>
            </w:r>
          </w:p>
        </w:tc>
        <w:tc>
          <w:tcPr>
            <w:tcW w:w="1272" w:type="dxa"/>
            <w:shd w:val="clear" w:color="auto" w:fill="FFFFFF"/>
            <w:vAlign w:val="center"/>
          </w:tcPr>
          <w:p w14:paraId="7192A3E7" w14:textId="2C3F3CB4"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21A6C11E" w14:textId="1108A0BB"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154B5A77" w14:textId="130AE986" w:rsidR="009427DD" w:rsidRPr="00BF730A" w:rsidRDefault="009427DD" w:rsidP="009427DD">
            <w:pPr>
              <w:pStyle w:val="CETBodytext"/>
              <w:ind w:right="-1"/>
              <w:rPr>
                <w:rFonts w:cs="Arial"/>
                <w:szCs w:val="18"/>
                <w:lang w:val="en-GB"/>
              </w:rPr>
            </w:pPr>
            <w:r w:rsidRPr="00BF730A">
              <w:rPr>
                <w:rFonts w:cs="Arial"/>
                <w:color w:val="000000"/>
                <w:sz w:val="20"/>
              </w:rPr>
              <w:t>0,0235</w:t>
            </w:r>
          </w:p>
        </w:tc>
        <w:tc>
          <w:tcPr>
            <w:tcW w:w="1416" w:type="dxa"/>
            <w:shd w:val="clear" w:color="auto" w:fill="FFFFFF"/>
            <w:vAlign w:val="center"/>
          </w:tcPr>
          <w:p w14:paraId="06DA5469" w14:textId="24AD6703"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00E4F712" w14:textId="2B55B3CF"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7A72CCA4" w14:textId="77777777" w:rsidTr="000B6C52">
        <w:trPr>
          <w:trHeight w:val="227"/>
        </w:trPr>
        <w:tc>
          <w:tcPr>
            <w:tcW w:w="1560" w:type="dxa"/>
            <w:shd w:val="clear" w:color="auto" w:fill="FFFFFF"/>
            <w:vAlign w:val="center"/>
          </w:tcPr>
          <w:p w14:paraId="5578F09E" w14:textId="11DFDE40" w:rsidR="009427DD" w:rsidRPr="00BF730A" w:rsidRDefault="009427DD" w:rsidP="009427DD">
            <w:pPr>
              <w:pStyle w:val="CETBodytext"/>
              <w:ind w:right="-1"/>
              <w:rPr>
                <w:rFonts w:cs="Arial"/>
                <w:szCs w:val="18"/>
                <w:lang w:val="en-GB"/>
              </w:rPr>
            </w:pPr>
            <w:r w:rsidRPr="00BF730A">
              <w:rPr>
                <w:rFonts w:cs="Arial"/>
                <w:color w:val="000000"/>
                <w:sz w:val="20"/>
              </w:rPr>
              <w:t>C</w:t>
            </w:r>
            <w:r w:rsidRPr="00BF730A">
              <w:rPr>
                <w:rFonts w:cs="Arial"/>
                <w:color w:val="000000"/>
                <w:sz w:val="20"/>
                <w:vertAlign w:val="subscript"/>
              </w:rPr>
              <w:t>2</w:t>
            </w:r>
            <w:r w:rsidRPr="00BF730A">
              <w:rPr>
                <w:rFonts w:cs="Arial"/>
                <w:color w:val="000000"/>
                <w:sz w:val="20"/>
              </w:rPr>
              <w:t>H</w:t>
            </w:r>
            <w:r w:rsidRPr="00BF730A">
              <w:rPr>
                <w:rFonts w:cs="Arial"/>
                <w:color w:val="000000"/>
                <w:sz w:val="20"/>
                <w:vertAlign w:val="subscript"/>
              </w:rPr>
              <w:t>6</w:t>
            </w:r>
          </w:p>
        </w:tc>
        <w:tc>
          <w:tcPr>
            <w:tcW w:w="1272" w:type="dxa"/>
            <w:shd w:val="clear" w:color="auto" w:fill="FFFFFF"/>
            <w:vAlign w:val="center"/>
          </w:tcPr>
          <w:p w14:paraId="1BB3C720" w14:textId="545DECC1"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5AEAD56A" w14:textId="32508819"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7E0A2596" w14:textId="5681F4B5" w:rsidR="009427DD" w:rsidRPr="00BF730A" w:rsidRDefault="009427DD" w:rsidP="009427DD">
            <w:pPr>
              <w:pStyle w:val="CETBodytext"/>
              <w:ind w:right="-1"/>
              <w:rPr>
                <w:rFonts w:cs="Arial"/>
                <w:szCs w:val="18"/>
                <w:lang w:val="en-GB"/>
              </w:rPr>
            </w:pPr>
            <w:r w:rsidRPr="00BF730A">
              <w:rPr>
                <w:rFonts w:cs="Arial"/>
                <w:color w:val="000000"/>
                <w:sz w:val="20"/>
              </w:rPr>
              <w:t>0,0012</w:t>
            </w:r>
          </w:p>
        </w:tc>
        <w:tc>
          <w:tcPr>
            <w:tcW w:w="1416" w:type="dxa"/>
            <w:shd w:val="clear" w:color="auto" w:fill="FFFFFF"/>
            <w:vAlign w:val="center"/>
          </w:tcPr>
          <w:p w14:paraId="6650E2C7" w14:textId="5295A47C" w:rsidR="009427DD" w:rsidRPr="00BF730A" w:rsidRDefault="009427DD" w:rsidP="009427DD">
            <w:pPr>
              <w:pStyle w:val="CETBodytext"/>
              <w:ind w:right="-1"/>
              <w:rPr>
                <w:rFonts w:cs="Arial"/>
                <w:szCs w:val="18"/>
                <w:lang w:val="en-GB"/>
              </w:rPr>
            </w:pPr>
            <w:r w:rsidRPr="00BF730A">
              <w:rPr>
                <w:rFonts w:cs="Arial"/>
                <w:color w:val="000000"/>
                <w:sz w:val="20"/>
              </w:rPr>
              <w:t>0,0957</w:t>
            </w:r>
          </w:p>
        </w:tc>
        <w:tc>
          <w:tcPr>
            <w:tcW w:w="1416" w:type="dxa"/>
            <w:shd w:val="clear" w:color="auto" w:fill="FFFFFF"/>
            <w:vAlign w:val="center"/>
          </w:tcPr>
          <w:p w14:paraId="4818CCBA" w14:textId="51D415FE"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2BF762D5" w14:textId="77777777" w:rsidTr="000B6C52">
        <w:trPr>
          <w:trHeight w:val="227"/>
        </w:trPr>
        <w:tc>
          <w:tcPr>
            <w:tcW w:w="1560" w:type="dxa"/>
            <w:shd w:val="clear" w:color="auto" w:fill="FFFFFF"/>
            <w:vAlign w:val="center"/>
          </w:tcPr>
          <w:p w14:paraId="54F910AA" w14:textId="505C8F28" w:rsidR="009427DD" w:rsidRPr="00BF730A" w:rsidRDefault="009427DD" w:rsidP="009427DD">
            <w:pPr>
              <w:pStyle w:val="CETBodytext"/>
              <w:ind w:right="-1"/>
              <w:rPr>
                <w:rFonts w:cs="Arial"/>
                <w:szCs w:val="18"/>
                <w:lang w:val="en-GB"/>
              </w:rPr>
            </w:pPr>
            <w:r w:rsidRPr="00BF730A">
              <w:rPr>
                <w:rFonts w:cs="Arial"/>
                <w:color w:val="000000"/>
                <w:sz w:val="20"/>
              </w:rPr>
              <w:t>CO</w:t>
            </w:r>
            <w:r w:rsidRPr="00BF730A">
              <w:rPr>
                <w:rFonts w:cs="Arial"/>
                <w:color w:val="000000"/>
                <w:sz w:val="20"/>
                <w:vertAlign w:val="subscript"/>
              </w:rPr>
              <w:t>2</w:t>
            </w:r>
          </w:p>
        </w:tc>
        <w:tc>
          <w:tcPr>
            <w:tcW w:w="1272" w:type="dxa"/>
            <w:shd w:val="clear" w:color="auto" w:fill="FFFFFF"/>
            <w:vAlign w:val="center"/>
          </w:tcPr>
          <w:p w14:paraId="7201210C" w14:textId="09ECE23A"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305DBAA7" w14:textId="5FAF85BD"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16CE64B9" w14:textId="6BAA861D" w:rsidR="009427DD" w:rsidRPr="00BF730A" w:rsidRDefault="009427DD" w:rsidP="009427DD">
            <w:pPr>
              <w:pStyle w:val="CETBodytext"/>
              <w:ind w:right="-1"/>
              <w:rPr>
                <w:rFonts w:cs="Arial"/>
                <w:szCs w:val="18"/>
                <w:lang w:val="en-GB"/>
              </w:rPr>
            </w:pPr>
            <w:r w:rsidRPr="00BF730A">
              <w:rPr>
                <w:rFonts w:cs="Arial"/>
                <w:color w:val="000000"/>
                <w:sz w:val="20"/>
              </w:rPr>
              <w:t>0,4515</w:t>
            </w:r>
          </w:p>
        </w:tc>
        <w:tc>
          <w:tcPr>
            <w:tcW w:w="1416" w:type="dxa"/>
            <w:shd w:val="clear" w:color="auto" w:fill="FFFFFF"/>
            <w:vAlign w:val="center"/>
          </w:tcPr>
          <w:p w14:paraId="06FACEB3" w14:textId="07E7FA4E" w:rsidR="009427DD" w:rsidRPr="00BF730A" w:rsidRDefault="009427DD" w:rsidP="009427DD">
            <w:pPr>
              <w:pStyle w:val="CETBodytext"/>
              <w:ind w:right="-1"/>
              <w:rPr>
                <w:rFonts w:cs="Arial"/>
                <w:szCs w:val="18"/>
                <w:lang w:val="en-GB"/>
              </w:rPr>
            </w:pPr>
            <w:r w:rsidRPr="00BF730A">
              <w:rPr>
                <w:rFonts w:cs="Arial"/>
                <w:color w:val="000000"/>
                <w:sz w:val="20"/>
              </w:rPr>
              <w:t>0,0680</w:t>
            </w:r>
          </w:p>
        </w:tc>
        <w:tc>
          <w:tcPr>
            <w:tcW w:w="1416" w:type="dxa"/>
            <w:shd w:val="clear" w:color="auto" w:fill="FFFFFF"/>
            <w:vAlign w:val="center"/>
          </w:tcPr>
          <w:p w14:paraId="5ED85310" w14:textId="697A27DF"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093186CE" w14:textId="77777777" w:rsidTr="000B6C52">
        <w:trPr>
          <w:trHeight w:val="227"/>
        </w:trPr>
        <w:tc>
          <w:tcPr>
            <w:tcW w:w="1560" w:type="dxa"/>
            <w:shd w:val="clear" w:color="auto" w:fill="FFFFFF"/>
            <w:vAlign w:val="center"/>
          </w:tcPr>
          <w:p w14:paraId="6C49AF07" w14:textId="0E58964B" w:rsidR="009427DD" w:rsidRPr="00BF730A" w:rsidRDefault="009427DD" w:rsidP="009427DD">
            <w:pPr>
              <w:pStyle w:val="CETBodytext"/>
              <w:ind w:right="-1"/>
              <w:rPr>
                <w:rFonts w:cs="Arial"/>
                <w:szCs w:val="18"/>
                <w:lang w:val="en-GB"/>
              </w:rPr>
            </w:pPr>
            <w:r w:rsidRPr="00BF730A">
              <w:rPr>
                <w:rFonts w:cs="Arial"/>
                <w:color w:val="000000"/>
                <w:sz w:val="20"/>
              </w:rPr>
              <w:t>H</w:t>
            </w:r>
            <w:r w:rsidRPr="00BF730A">
              <w:rPr>
                <w:rFonts w:cs="Arial"/>
                <w:color w:val="000000"/>
                <w:sz w:val="20"/>
                <w:vertAlign w:val="subscript"/>
              </w:rPr>
              <w:t>2</w:t>
            </w:r>
            <w:r w:rsidRPr="00BF730A">
              <w:rPr>
                <w:rFonts w:cs="Arial"/>
                <w:color w:val="000000"/>
                <w:sz w:val="20"/>
              </w:rPr>
              <w:t>S</w:t>
            </w:r>
          </w:p>
        </w:tc>
        <w:tc>
          <w:tcPr>
            <w:tcW w:w="1272" w:type="dxa"/>
            <w:shd w:val="clear" w:color="auto" w:fill="FFFFFF"/>
            <w:vAlign w:val="center"/>
          </w:tcPr>
          <w:p w14:paraId="61CC7F3A" w14:textId="778A6D85"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7D39AC42" w14:textId="149882F3"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2892582A" w14:textId="39E47307" w:rsidR="009427DD" w:rsidRPr="00BF730A" w:rsidRDefault="009427DD" w:rsidP="009427DD">
            <w:pPr>
              <w:pStyle w:val="CETBodytext"/>
              <w:ind w:right="-1"/>
              <w:rPr>
                <w:rFonts w:cs="Arial"/>
                <w:szCs w:val="18"/>
                <w:lang w:val="en-GB"/>
              </w:rPr>
            </w:pPr>
            <w:r w:rsidRPr="00BF730A">
              <w:rPr>
                <w:rFonts w:cs="Arial"/>
                <w:color w:val="000000"/>
                <w:sz w:val="20"/>
              </w:rPr>
              <w:t>0,0002</w:t>
            </w:r>
          </w:p>
        </w:tc>
        <w:tc>
          <w:tcPr>
            <w:tcW w:w="1416" w:type="dxa"/>
            <w:shd w:val="clear" w:color="auto" w:fill="FFFFFF"/>
            <w:vAlign w:val="center"/>
          </w:tcPr>
          <w:p w14:paraId="114D0439" w14:textId="0C1DA9B7"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52A7C4B0" w14:textId="6904809C"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5B0E461B" w14:textId="77777777" w:rsidTr="000B6C52">
        <w:trPr>
          <w:trHeight w:val="227"/>
        </w:trPr>
        <w:tc>
          <w:tcPr>
            <w:tcW w:w="1560" w:type="dxa"/>
            <w:shd w:val="clear" w:color="auto" w:fill="FFFFFF"/>
            <w:vAlign w:val="center"/>
          </w:tcPr>
          <w:p w14:paraId="0CD2340D" w14:textId="6CC6C42D" w:rsidR="009427DD" w:rsidRPr="00BF730A" w:rsidRDefault="009427DD" w:rsidP="009427DD">
            <w:pPr>
              <w:pStyle w:val="CETBodytext"/>
              <w:ind w:right="-1"/>
              <w:rPr>
                <w:rFonts w:cs="Arial"/>
                <w:szCs w:val="18"/>
                <w:lang w:val="en-GB"/>
              </w:rPr>
            </w:pPr>
            <w:r w:rsidRPr="00BF730A">
              <w:rPr>
                <w:rFonts w:cs="Arial"/>
                <w:color w:val="000000"/>
                <w:sz w:val="20"/>
              </w:rPr>
              <w:t>C</w:t>
            </w:r>
            <w:r w:rsidRPr="00BF730A">
              <w:rPr>
                <w:rFonts w:cs="Arial"/>
                <w:color w:val="000000"/>
                <w:sz w:val="20"/>
                <w:vertAlign w:val="subscript"/>
              </w:rPr>
              <w:t>6</w:t>
            </w:r>
            <w:r w:rsidRPr="00BF730A">
              <w:rPr>
                <w:rFonts w:cs="Arial"/>
                <w:color w:val="000000"/>
                <w:sz w:val="20"/>
              </w:rPr>
              <w:t>H</w:t>
            </w:r>
            <w:r w:rsidRPr="00BF730A">
              <w:rPr>
                <w:rFonts w:cs="Arial"/>
                <w:color w:val="000000"/>
                <w:sz w:val="20"/>
                <w:vertAlign w:val="subscript"/>
              </w:rPr>
              <w:t>6</w:t>
            </w:r>
          </w:p>
        </w:tc>
        <w:tc>
          <w:tcPr>
            <w:tcW w:w="1272" w:type="dxa"/>
            <w:shd w:val="clear" w:color="auto" w:fill="FFFFFF"/>
            <w:vAlign w:val="center"/>
          </w:tcPr>
          <w:p w14:paraId="77238733" w14:textId="2060D495"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29069D60" w14:textId="3DC810B3"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7DD02A70" w14:textId="3F358230" w:rsidR="009427DD" w:rsidRPr="00BF730A" w:rsidRDefault="009427DD" w:rsidP="009427DD">
            <w:pPr>
              <w:pStyle w:val="CETBodytext"/>
              <w:ind w:right="-1"/>
              <w:rPr>
                <w:rFonts w:cs="Arial"/>
                <w:szCs w:val="18"/>
                <w:lang w:val="en-GB"/>
              </w:rPr>
            </w:pPr>
            <w:r w:rsidRPr="00BF730A">
              <w:rPr>
                <w:rFonts w:cs="Arial"/>
                <w:color w:val="000000"/>
                <w:sz w:val="20"/>
              </w:rPr>
              <w:t>0,0025</w:t>
            </w:r>
          </w:p>
        </w:tc>
        <w:tc>
          <w:tcPr>
            <w:tcW w:w="1416" w:type="dxa"/>
            <w:shd w:val="clear" w:color="auto" w:fill="FFFFFF"/>
            <w:vAlign w:val="center"/>
          </w:tcPr>
          <w:p w14:paraId="35F8FE3A" w14:textId="02D03924"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2C3DD482" w14:textId="092CDB6B"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1C618D76" w14:textId="77777777" w:rsidTr="000B6C52">
        <w:trPr>
          <w:trHeight w:val="227"/>
        </w:trPr>
        <w:tc>
          <w:tcPr>
            <w:tcW w:w="1560" w:type="dxa"/>
            <w:shd w:val="clear" w:color="auto" w:fill="FFFFFF"/>
            <w:vAlign w:val="center"/>
          </w:tcPr>
          <w:p w14:paraId="1CB539E2" w14:textId="18EA5A56" w:rsidR="009427DD" w:rsidRPr="00BF730A" w:rsidRDefault="009427DD" w:rsidP="009427DD">
            <w:pPr>
              <w:pStyle w:val="CETBodytext"/>
              <w:ind w:right="-1"/>
              <w:rPr>
                <w:rFonts w:cs="Arial"/>
                <w:szCs w:val="18"/>
                <w:lang w:val="en-GB"/>
              </w:rPr>
            </w:pPr>
            <w:r w:rsidRPr="00BF730A">
              <w:rPr>
                <w:rFonts w:cs="Arial"/>
                <w:color w:val="000000"/>
                <w:sz w:val="20"/>
              </w:rPr>
              <w:t>H</w:t>
            </w:r>
            <w:r w:rsidRPr="00BF730A">
              <w:rPr>
                <w:rFonts w:cs="Arial"/>
                <w:color w:val="000000"/>
                <w:sz w:val="20"/>
                <w:vertAlign w:val="subscript"/>
              </w:rPr>
              <w:t>2</w:t>
            </w:r>
            <w:r w:rsidRPr="00BF730A">
              <w:rPr>
                <w:rFonts w:cs="Arial"/>
                <w:color w:val="000000"/>
                <w:sz w:val="20"/>
              </w:rPr>
              <w:t>O</w:t>
            </w:r>
          </w:p>
        </w:tc>
        <w:tc>
          <w:tcPr>
            <w:tcW w:w="1272" w:type="dxa"/>
            <w:shd w:val="clear" w:color="auto" w:fill="FFFFFF"/>
            <w:vAlign w:val="center"/>
          </w:tcPr>
          <w:p w14:paraId="6F7A4706" w14:textId="71986421"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4103ACA9" w14:textId="7E464134"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4503B66C" w14:textId="6840702F" w:rsidR="009427DD" w:rsidRPr="00BF730A" w:rsidRDefault="009427DD" w:rsidP="009427DD">
            <w:pPr>
              <w:pStyle w:val="CETBodytext"/>
              <w:ind w:right="-1"/>
              <w:rPr>
                <w:rFonts w:cs="Arial"/>
                <w:szCs w:val="18"/>
                <w:lang w:val="en-GB"/>
              </w:rPr>
            </w:pPr>
            <w:r w:rsidRPr="00BF730A">
              <w:rPr>
                <w:rFonts w:cs="Arial"/>
                <w:color w:val="000000"/>
                <w:sz w:val="20"/>
              </w:rPr>
              <w:t>0,2574</w:t>
            </w:r>
          </w:p>
        </w:tc>
        <w:tc>
          <w:tcPr>
            <w:tcW w:w="1416" w:type="dxa"/>
            <w:shd w:val="clear" w:color="auto" w:fill="FFFFFF"/>
            <w:vAlign w:val="center"/>
          </w:tcPr>
          <w:p w14:paraId="3A7A1DB5" w14:textId="0B1CA480" w:rsidR="009427DD" w:rsidRPr="00BF730A" w:rsidRDefault="009427DD" w:rsidP="009427DD">
            <w:pPr>
              <w:pStyle w:val="CETBodytext"/>
              <w:ind w:right="-1"/>
              <w:rPr>
                <w:rFonts w:cs="Arial"/>
                <w:szCs w:val="18"/>
                <w:lang w:val="en-GB"/>
              </w:rPr>
            </w:pPr>
            <w:r w:rsidRPr="00BF730A">
              <w:rPr>
                <w:rFonts w:cs="Arial"/>
                <w:color w:val="000000"/>
                <w:sz w:val="20"/>
              </w:rPr>
              <w:t>0,0042</w:t>
            </w:r>
          </w:p>
        </w:tc>
        <w:tc>
          <w:tcPr>
            <w:tcW w:w="1416" w:type="dxa"/>
            <w:shd w:val="clear" w:color="auto" w:fill="FFFFFF"/>
            <w:vAlign w:val="center"/>
          </w:tcPr>
          <w:p w14:paraId="79D285BD" w14:textId="64DF8BC7"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72ECE49E" w14:textId="77777777" w:rsidTr="000B6C52">
        <w:trPr>
          <w:trHeight w:val="227"/>
        </w:trPr>
        <w:tc>
          <w:tcPr>
            <w:tcW w:w="1560" w:type="dxa"/>
            <w:shd w:val="clear" w:color="auto" w:fill="FFFFFF"/>
            <w:vAlign w:val="center"/>
          </w:tcPr>
          <w:p w14:paraId="7B0129BA" w14:textId="6F0243DB" w:rsidR="009427DD" w:rsidRPr="00BF730A" w:rsidRDefault="009427DD" w:rsidP="009427DD">
            <w:pPr>
              <w:pStyle w:val="CETBodytext"/>
              <w:ind w:right="-1"/>
              <w:rPr>
                <w:rFonts w:cs="Arial"/>
                <w:szCs w:val="18"/>
                <w:lang w:val="en-GB"/>
              </w:rPr>
            </w:pPr>
            <w:r w:rsidRPr="00BF730A">
              <w:rPr>
                <w:rFonts w:cs="Arial"/>
                <w:color w:val="000000"/>
                <w:sz w:val="20"/>
              </w:rPr>
              <w:t>C</w:t>
            </w:r>
            <w:r w:rsidRPr="00BF730A">
              <w:rPr>
                <w:rFonts w:cs="Arial"/>
                <w:color w:val="000000"/>
                <w:sz w:val="20"/>
                <w:vertAlign w:val="subscript"/>
              </w:rPr>
              <w:t>10</w:t>
            </w:r>
            <w:r w:rsidRPr="00BF730A">
              <w:rPr>
                <w:rFonts w:cs="Arial"/>
                <w:color w:val="000000"/>
                <w:sz w:val="20"/>
              </w:rPr>
              <w:t>H</w:t>
            </w:r>
            <w:r w:rsidRPr="00BF730A">
              <w:rPr>
                <w:rFonts w:cs="Arial"/>
                <w:color w:val="000000"/>
                <w:sz w:val="20"/>
                <w:vertAlign w:val="subscript"/>
              </w:rPr>
              <w:t>8</w:t>
            </w:r>
          </w:p>
        </w:tc>
        <w:tc>
          <w:tcPr>
            <w:tcW w:w="1272" w:type="dxa"/>
            <w:shd w:val="clear" w:color="auto" w:fill="FFFFFF"/>
            <w:vAlign w:val="center"/>
          </w:tcPr>
          <w:p w14:paraId="76AABC3A" w14:textId="44F21E59"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0F04006C" w14:textId="1783047E"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2790F2BF" w14:textId="1850062E" w:rsidR="009427DD" w:rsidRPr="00BF730A" w:rsidRDefault="009427DD" w:rsidP="009427DD">
            <w:pPr>
              <w:pStyle w:val="CETBodytext"/>
              <w:ind w:right="-1"/>
              <w:rPr>
                <w:rFonts w:cs="Arial"/>
                <w:szCs w:val="18"/>
                <w:lang w:val="en-GB"/>
              </w:rPr>
            </w:pPr>
            <w:r w:rsidRPr="00BF730A">
              <w:rPr>
                <w:rFonts w:cs="Arial"/>
                <w:color w:val="000000"/>
                <w:sz w:val="20"/>
              </w:rPr>
              <w:t>0,0058</w:t>
            </w:r>
          </w:p>
        </w:tc>
        <w:tc>
          <w:tcPr>
            <w:tcW w:w="1416" w:type="dxa"/>
            <w:shd w:val="clear" w:color="auto" w:fill="FFFFFF"/>
            <w:vAlign w:val="center"/>
          </w:tcPr>
          <w:p w14:paraId="7EBD561C" w14:textId="5109D339"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409D7060" w14:textId="00F91A9C"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4D6772BA" w14:textId="77777777" w:rsidTr="000B6C52">
        <w:trPr>
          <w:trHeight w:val="227"/>
        </w:trPr>
        <w:tc>
          <w:tcPr>
            <w:tcW w:w="1560" w:type="dxa"/>
            <w:shd w:val="clear" w:color="auto" w:fill="FFFFFF"/>
            <w:vAlign w:val="center"/>
          </w:tcPr>
          <w:p w14:paraId="6364ED4B" w14:textId="6F7E9189" w:rsidR="009427DD" w:rsidRPr="00BF730A" w:rsidRDefault="009427DD" w:rsidP="009427DD">
            <w:pPr>
              <w:pStyle w:val="CETBodytext"/>
              <w:ind w:right="-1"/>
              <w:rPr>
                <w:rFonts w:cs="Arial"/>
                <w:szCs w:val="18"/>
                <w:lang w:val="en-GB"/>
              </w:rPr>
            </w:pPr>
            <w:r w:rsidRPr="00BF730A">
              <w:rPr>
                <w:rFonts w:cs="Arial"/>
                <w:color w:val="000000"/>
                <w:sz w:val="20"/>
              </w:rPr>
              <w:t>EFB</w:t>
            </w:r>
          </w:p>
        </w:tc>
        <w:tc>
          <w:tcPr>
            <w:tcW w:w="1272" w:type="dxa"/>
            <w:shd w:val="clear" w:color="auto" w:fill="FFFFFF"/>
            <w:vAlign w:val="center"/>
          </w:tcPr>
          <w:p w14:paraId="31F053C1" w14:textId="65A21DD1" w:rsidR="009427DD" w:rsidRPr="00BF730A" w:rsidRDefault="009427DD" w:rsidP="009427DD">
            <w:pPr>
              <w:pStyle w:val="CETBodytext"/>
              <w:ind w:right="-1"/>
              <w:rPr>
                <w:rFonts w:cs="Arial"/>
                <w:szCs w:val="18"/>
                <w:lang w:val="en-GB"/>
              </w:rPr>
            </w:pPr>
            <w:r w:rsidRPr="00BF730A">
              <w:rPr>
                <w:rFonts w:cs="Arial"/>
                <w:color w:val="000000"/>
                <w:sz w:val="20"/>
              </w:rPr>
              <w:t>1,0000</w:t>
            </w:r>
          </w:p>
        </w:tc>
        <w:tc>
          <w:tcPr>
            <w:tcW w:w="1416" w:type="dxa"/>
            <w:shd w:val="clear" w:color="auto" w:fill="FFFFFF"/>
            <w:vAlign w:val="center"/>
          </w:tcPr>
          <w:p w14:paraId="6BC9D01A" w14:textId="175ED9A2" w:rsidR="009427DD" w:rsidRPr="00BF730A" w:rsidRDefault="009427DD" w:rsidP="009427DD">
            <w:pPr>
              <w:pStyle w:val="CETBodytext"/>
              <w:ind w:right="-1"/>
              <w:rPr>
                <w:rFonts w:cs="Arial"/>
                <w:szCs w:val="18"/>
                <w:lang w:val="en-GB"/>
              </w:rPr>
            </w:pPr>
            <w:r w:rsidRPr="00BF730A">
              <w:rPr>
                <w:rFonts w:cs="Arial"/>
                <w:color w:val="000000"/>
                <w:sz w:val="20"/>
              </w:rPr>
              <w:t>1,0000</w:t>
            </w:r>
          </w:p>
        </w:tc>
        <w:tc>
          <w:tcPr>
            <w:tcW w:w="1416" w:type="dxa"/>
            <w:shd w:val="clear" w:color="auto" w:fill="FFFFFF"/>
            <w:vAlign w:val="center"/>
          </w:tcPr>
          <w:p w14:paraId="3841701B" w14:textId="2CCFD540"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41767C9F" w14:textId="3C34B0F9"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7997BE2B" w14:textId="4C760730" w:rsidR="009427DD" w:rsidRPr="00BF730A" w:rsidRDefault="009427DD" w:rsidP="009427DD">
            <w:pPr>
              <w:pStyle w:val="CETBodytext"/>
              <w:ind w:right="-1"/>
              <w:rPr>
                <w:rFonts w:cs="Arial"/>
                <w:szCs w:val="18"/>
                <w:lang w:val="en-GB"/>
              </w:rPr>
            </w:pPr>
            <w:r w:rsidRPr="00BF730A">
              <w:rPr>
                <w:rFonts w:cs="Arial"/>
                <w:color w:val="000000"/>
                <w:sz w:val="20"/>
              </w:rPr>
              <w:t>--</w:t>
            </w:r>
          </w:p>
        </w:tc>
      </w:tr>
      <w:tr w:rsidR="009427DD" w:rsidRPr="00BF730A" w14:paraId="337E8A3F" w14:textId="77777777" w:rsidTr="000B6C52">
        <w:trPr>
          <w:trHeight w:val="227"/>
        </w:trPr>
        <w:tc>
          <w:tcPr>
            <w:tcW w:w="1560" w:type="dxa"/>
            <w:shd w:val="clear" w:color="auto" w:fill="FFFFFF"/>
            <w:vAlign w:val="center"/>
          </w:tcPr>
          <w:p w14:paraId="60D1F019" w14:textId="2EFBC6C6" w:rsidR="009427DD" w:rsidRPr="00BF730A" w:rsidRDefault="002E6E33" w:rsidP="009427DD">
            <w:pPr>
              <w:pStyle w:val="CETBodytext"/>
              <w:ind w:right="-1"/>
              <w:rPr>
                <w:rFonts w:cs="Arial"/>
                <w:szCs w:val="18"/>
                <w:lang w:val="en-GB"/>
              </w:rPr>
            </w:pPr>
            <w:r w:rsidRPr="00BF730A">
              <w:rPr>
                <w:rFonts w:cs="Arial"/>
                <w:color w:val="000000"/>
                <w:sz w:val="20"/>
              </w:rPr>
              <w:t>A</w:t>
            </w:r>
            <w:r w:rsidR="00557B84" w:rsidRPr="00BF730A">
              <w:rPr>
                <w:rFonts w:cs="Arial"/>
                <w:color w:val="000000"/>
                <w:sz w:val="20"/>
              </w:rPr>
              <w:t>shes</w:t>
            </w:r>
          </w:p>
        </w:tc>
        <w:tc>
          <w:tcPr>
            <w:tcW w:w="1272" w:type="dxa"/>
            <w:shd w:val="clear" w:color="auto" w:fill="FFFFFF"/>
            <w:vAlign w:val="center"/>
          </w:tcPr>
          <w:p w14:paraId="70F4CACB" w14:textId="5289D46D"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7A14B42B" w14:textId="0CA73B62"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0750E184" w14:textId="069DD3A8" w:rsidR="009427DD" w:rsidRPr="00BF730A" w:rsidRDefault="009427DD" w:rsidP="009427DD">
            <w:pPr>
              <w:pStyle w:val="CETBodytext"/>
              <w:ind w:right="-1"/>
              <w:rPr>
                <w:rFonts w:cs="Arial"/>
                <w:szCs w:val="18"/>
                <w:lang w:val="en-GB"/>
              </w:rPr>
            </w:pPr>
            <w:r w:rsidRPr="00BF730A">
              <w:rPr>
                <w:rFonts w:cs="Arial"/>
                <w:color w:val="000000"/>
                <w:sz w:val="20"/>
              </w:rPr>
              <w:t>0,0268</w:t>
            </w:r>
          </w:p>
        </w:tc>
        <w:tc>
          <w:tcPr>
            <w:tcW w:w="1416" w:type="dxa"/>
            <w:shd w:val="clear" w:color="auto" w:fill="FFFFFF"/>
            <w:vAlign w:val="center"/>
          </w:tcPr>
          <w:p w14:paraId="44E83D39" w14:textId="6FCD7838" w:rsidR="009427DD" w:rsidRPr="00BF730A" w:rsidRDefault="009427DD" w:rsidP="009427DD">
            <w:pPr>
              <w:pStyle w:val="CETBodytext"/>
              <w:ind w:right="-1"/>
              <w:rPr>
                <w:rFonts w:cs="Arial"/>
                <w:szCs w:val="18"/>
                <w:lang w:val="en-GB"/>
              </w:rPr>
            </w:pPr>
            <w:r w:rsidRPr="00BF730A">
              <w:rPr>
                <w:rFonts w:cs="Arial"/>
                <w:color w:val="000000"/>
                <w:sz w:val="20"/>
              </w:rPr>
              <w:t>--</w:t>
            </w:r>
          </w:p>
        </w:tc>
        <w:tc>
          <w:tcPr>
            <w:tcW w:w="1416" w:type="dxa"/>
            <w:shd w:val="clear" w:color="auto" w:fill="FFFFFF"/>
            <w:vAlign w:val="center"/>
          </w:tcPr>
          <w:p w14:paraId="1C819D5C" w14:textId="3889F248" w:rsidR="009427DD" w:rsidRPr="00BF730A" w:rsidRDefault="009427DD" w:rsidP="009427DD">
            <w:pPr>
              <w:pStyle w:val="CETBodytext"/>
              <w:ind w:right="-1"/>
              <w:rPr>
                <w:rFonts w:cs="Arial"/>
                <w:szCs w:val="18"/>
                <w:lang w:val="en-GB"/>
              </w:rPr>
            </w:pPr>
            <w:r w:rsidRPr="00BF730A">
              <w:rPr>
                <w:rFonts w:cs="Arial"/>
                <w:color w:val="000000"/>
                <w:sz w:val="20"/>
              </w:rPr>
              <w:t>--</w:t>
            </w:r>
          </w:p>
        </w:tc>
      </w:tr>
    </w:tbl>
    <w:p w14:paraId="36770C0E" w14:textId="77777777" w:rsidR="00147DFC" w:rsidRPr="00BF730A" w:rsidRDefault="00147DFC" w:rsidP="00147DFC">
      <w:pPr>
        <w:pStyle w:val="CETBodytext"/>
        <w:rPr>
          <w:rFonts w:cs="Arial"/>
          <w:lang w:val="en-GB"/>
        </w:rPr>
      </w:pPr>
    </w:p>
    <w:p w14:paraId="572D5A9E" w14:textId="319AE20C" w:rsidR="004A04B4" w:rsidRPr="00BF730A" w:rsidRDefault="00CC5620" w:rsidP="00A02721">
      <w:pPr>
        <w:pStyle w:val="CETBodytext"/>
        <w:rPr>
          <w:rFonts w:cs="Arial"/>
        </w:rPr>
      </w:pPr>
      <w:r w:rsidRPr="00BF730A">
        <w:rPr>
          <w:rFonts w:cs="Arial"/>
        </w:rPr>
        <w:t>With the implementation of Pinch technology, for process optimization through energy integration, the following results were obtained: 1)</w:t>
      </w:r>
      <w:r w:rsidR="00EE32E8" w:rsidRPr="00BF730A">
        <w:rPr>
          <w:rFonts w:cs="Arial"/>
        </w:rPr>
        <w:t xml:space="preserve"> the total process was identified as having eight hot streams that needed to be cooled and four cold streams that needed to be heated</w:t>
      </w:r>
      <w:r w:rsidR="00C71119" w:rsidRPr="00BF730A">
        <w:rPr>
          <w:rFonts w:cs="Arial"/>
        </w:rPr>
        <w:t>,</w:t>
      </w:r>
      <w:r w:rsidR="00EE32E8" w:rsidRPr="00BF730A">
        <w:rPr>
          <w:rFonts w:cs="Arial"/>
        </w:rPr>
        <w:t xml:space="preserve"> representing an approximate energy consumption of 41023 kW of cooling utility and 15472 kW of heating utility</w:t>
      </w:r>
      <w:r w:rsidRPr="00BF730A">
        <w:rPr>
          <w:rFonts w:cs="Arial"/>
        </w:rPr>
        <w:t>; 2) with the construction of the cascade diagram​​​​​​​ it became evident that the process was below the Pinch point and, therefore, only utility cooling was needed. According to the calculations performed, approximately 25.55 MW were needed; 3) the construction of the Composite Curves confirm that using a minimum temperature delta (ΔT</w:t>
      </w:r>
      <w:r w:rsidRPr="00BF730A">
        <w:rPr>
          <w:rFonts w:cs="Arial"/>
          <w:vertAlign w:val="subscript"/>
        </w:rPr>
        <w:t>minimum</w:t>
      </w:r>
      <w:r w:rsidRPr="00BF730A">
        <w:rPr>
          <w:rFonts w:cs="Arial"/>
        </w:rPr>
        <w:t xml:space="preserve">) of 10 °C, approximately 25.55 MW of cooling utility is needed after energy integration; 4) finally, with the construction of the exchanger network, it is observed that energy integration can be implemented using the same number of heat exchangers (12 exchangers), but four of them allow energy exchange between different streams of the process. </w:t>
      </w:r>
      <w:r w:rsidR="002A0B7F" w:rsidRPr="00BF730A">
        <w:rPr>
          <w:rFonts w:cs="Arial"/>
        </w:rPr>
        <w:t>The utilities required for this process, before and after energy integration, are shown in Figure 2</w:t>
      </w:r>
      <w:r w:rsidRPr="00BF730A">
        <w:rPr>
          <w:rFonts w:cs="Arial"/>
        </w:rPr>
        <w:t xml:space="preserve">. </w:t>
      </w:r>
    </w:p>
    <w:p w14:paraId="51EEC640" w14:textId="1253EF97" w:rsidR="004A04B4" w:rsidRPr="00BF730A" w:rsidRDefault="00B91978" w:rsidP="004A04B4">
      <w:pPr>
        <w:autoSpaceDE w:val="0"/>
        <w:autoSpaceDN w:val="0"/>
        <w:adjustRightInd w:val="0"/>
        <w:spacing w:line="240" w:lineRule="auto"/>
        <w:rPr>
          <w:rFonts w:cs="Arial"/>
          <w:lang w:val="en-US"/>
        </w:rPr>
      </w:pPr>
      <w:r w:rsidRPr="00BF730A">
        <w:rPr>
          <w:rFonts w:cs="Arial"/>
          <w:noProof/>
          <w:lang w:val="en-US"/>
        </w:rPr>
        <w:drawing>
          <wp:inline distT="0" distB="0" distL="0" distR="0" wp14:anchorId="391B2229" wp14:editId="73144724">
            <wp:extent cx="3181350" cy="1908811"/>
            <wp:effectExtent l="0" t="0" r="0" b="0"/>
            <wp:docPr id="1711279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9021" name="Imagen 1711279021"/>
                    <pic:cNvPicPr/>
                  </pic:nvPicPr>
                  <pic:blipFill>
                    <a:blip r:embed="rId11"/>
                    <a:stretch>
                      <a:fillRect/>
                    </a:stretch>
                  </pic:blipFill>
                  <pic:spPr>
                    <a:xfrm>
                      <a:off x="0" y="0"/>
                      <a:ext cx="3182025" cy="1909216"/>
                    </a:xfrm>
                    <a:prstGeom prst="rect">
                      <a:avLst/>
                    </a:prstGeom>
                  </pic:spPr>
                </pic:pic>
              </a:graphicData>
            </a:graphic>
          </wp:inline>
        </w:drawing>
      </w:r>
    </w:p>
    <w:p w14:paraId="09FCBC18" w14:textId="2E3FB23A" w:rsidR="00766907" w:rsidRPr="00BF730A" w:rsidRDefault="00766907" w:rsidP="00766907">
      <w:pPr>
        <w:pStyle w:val="CETBodytext"/>
        <w:rPr>
          <w:rStyle w:val="CETCaptionCarattere"/>
          <w:rFonts w:cs="Arial"/>
        </w:rPr>
      </w:pPr>
      <w:r w:rsidRPr="00BF730A">
        <w:rPr>
          <w:rStyle w:val="CETCaptionCarattere"/>
          <w:rFonts w:cs="Arial"/>
        </w:rPr>
        <w:t xml:space="preserve">Figure 2: </w:t>
      </w:r>
      <w:r w:rsidR="00915598" w:rsidRPr="00BF730A">
        <w:rPr>
          <w:rStyle w:val="CETCaptionCarattere"/>
          <w:rFonts w:cs="Arial"/>
        </w:rPr>
        <w:t xml:space="preserve">Required utilities in the production </w:t>
      </w:r>
      <w:r w:rsidR="00A53DA3" w:rsidRPr="00BF730A">
        <w:rPr>
          <w:rStyle w:val="CETCaptionCarattere"/>
          <w:rFonts w:cs="Arial"/>
        </w:rPr>
        <w:t>plant</w:t>
      </w:r>
      <w:r w:rsidR="00915598" w:rsidRPr="00BF730A">
        <w:rPr>
          <w:rStyle w:val="CETCaptionCarattere"/>
          <w:rFonts w:cs="Arial"/>
        </w:rPr>
        <w:t xml:space="preserve"> of SNG from EFB</w:t>
      </w:r>
    </w:p>
    <w:p w14:paraId="1F8A912C" w14:textId="77777777" w:rsidR="004A04B4" w:rsidRPr="00BF730A" w:rsidRDefault="004A04B4" w:rsidP="004A04B4">
      <w:pPr>
        <w:autoSpaceDE w:val="0"/>
        <w:autoSpaceDN w:val="0"/>
        <w:adjustRightInd w:val="0"/>
        <w:spacing w:line="240" w:lineRule="auto"/>
        <w:rPr>
          <w:rFonts w:cs="Arial"/>
        </w:rPr>
      </w:pPr>
    </w:p>
    <w:p w14:paraId="639F110D" w14:textId="0948C59A" w:rsidR="00BE3EFE" w:rsidRPr="00BF730A" w:rsidRDefault="00BE3EFE" w:rsidP="00B13C06">
      <w:pPr>
        <w:pStyle w:val="CETBodytext"/>
        <w:rPr>
          <w:rFonts w:cs="Arial"/>
        </w:rPr>
      </w:pPr>
      <w:r w:rsidRPr="00BF730A">
        <w:rPr>
          <w:rFonts w:cs="Arial"/>
        </w:rPr>
        <w:t>The results obtained show that the implementation of the systematic methodology of the pinch technology helps to minimize energy losses by adapting the heat exchanger network, since a 100% saving was achieved in heating utility and 37.7% in cooling utility.</w:t>
      </w:r>
      <w:r w:rsidR="003A542B" w:rsidRPr="00BF730A">
        <w:rPr>
          <w:rFonts w:cs="Arial"/>
        </w:rPr>
        <w:t xml:space="preserve"> </w:t>
      </w:r>
      <w:r w:rsidR="00AB1C16" w:rsidRPr="00BF730A">
        <w:rPr>
          <w:rFonts w:cs="Arial"/>
        </w:rPr>
        <w:t xml:space="preserve">Such process optimizations </w:t>
      </w:r>
      <w:r w:rsidR="009C0C28" w:rsidRPr="00BF730A">
        <w:rPr>
          <w:rFonts w:cs="Arial"/>
        </w:rPr>
        <w:t>using</w:t>
      </w:r>
      <w:r w:rsidR="00AB1C16" w:rsidRPr="00BF730A">
        <w:rPr>
          <w:rFonts w:cs="Arial"/>
        </w:rPr>
        <w:t xml:space="preserve"> waste energy streams are important </w:t>
      </w:r>
      <w:r w:rsidR="00153F46" w:rsidRPr="00BF730A">
        <w:rPr>
          <w:rFonts w:cs="Arial"/>
        </w:rPr>
        <w:t>for</w:t>
      </w:r>
      <w:r w:rsidR="00AB1C16" w:rsidRPr="00BF730A">
        <w:rPr>
          <w:rFonts w:cs="Arial"/>
        </w:rPr>
        <w:t xml:space="preserve"> reduc</w:t>
      </w:r>
      <w:r w:rsidR="00153F46" w:rsidRPr="00BF730A">
        <w:rPr>
          <w:rFonts w:cs="Arial"/>
        </w:rPr>
        <w:t>ing</w:t>
      </w:r>
      <w:r w:rsidR="00AB1C16" w:rsidRPr="00BF730A">
        <w:rPr>
          <w:rFonts w:cs="Arial"/>
        </w:rPr>
        <w:t xml:space="preserve"> industrial energy and resource consumption.</w:t>
      </w:r>
      <w:r w:rsidR="004D20E0" w:rsidRPr="00BF730A">
        <w:rPr>
          <w:rFonts w:cs="Arial"/>
        </w:rPr>
        <w:t xml:space="preserve"> </w:t>
      </w:r>
      <w:r w:rsidR="0094546C" w:rsidRPr="00BF730A">
        <w:rPr>
          <w:rFonts w:cs="Arial"/>
        </w:rPr>
        <w:t>Finally, there is still approximately 25.5 MW of waste heat available in the process that could be used for electricity production.</w:t>
      </w:r>
    </w:p>
    <w:p w14:paraId="68D26B83" w14:textId="77777777" w:rsidR="00600535" w:rsidRPr="00BF730A" w:rsidRDefault="00600535" w:rsidP="00600535">
      <w:pPr>
        <w:pStyle w:val="CETHeading1"/>
        <w:rPr>
          <w:rFonts w:cs="Arial"/>
          <w:lang w:val="en-GB"/>
        </w:rPr>
      </w:pPr>
      <w:r w:rsidRPr="00BF730A">
        <w:rPr>
          <w:rFonts w:cs="Arial"/>
          <w:lang w:val="en-GB"/>
        </w:rPr>
        <w:t>Conclusions</w:t>
      </w:r>
    </w:p>
    <w:p w14:paraId="7E7390CA" w14:textId="3249244A" w:rsidR="00E414AD" w:rsidRPr="00BF730A" w:rsidRDefault="00A02721" w:rsidP="00A02721">
      <w:pPr>
        <w:pStyle w:val="CETBodytext"/>
        <w:rPr>
          <w:rFonts w:cs="Arial"/>
        </w:rPr>
      </w:pPr>
      <w:r w:rsidRPr="00BF730A">
        <w:rPr>
          <w:rFonts w:cs="Arial"/>
        </w:rPr>
        <w:t>This study proposes a conceptual design for a plant to produce SNG from EFB. This combined gasification– methanation process conforms to the worldwide interest in finding cleaner energy sources and could provide a solution to the problem of open-air disposal of EFB. It was found that using EFB with a moisture content of 30% as feed, it is possible to obtain an SNG with a CH</w:t>
      </w:r>
      <w:r w:rsidRPr="00BF730A">
        <w:rPr>
          <w:rFonts w:cs="Arial"/>
          <w:vertAlign w:val="subscript"/>
        </w:rPr>
        <w:t>4</w:t>
      </w:r>
      <w:r w:rsidRPr="00BF730A">
        <w:rPr>
          <w:rFonts w:cs="Arial"/>
        </w:rPr>
        <w:t xml:space="preserve"> molar percentage of 95 % (mass percentage of 99.35 %) and an approximate yield of 0.064 m3 SNG/kg of EFB. In addition, the energy-optimized plant through the implementation of the Pinch technology allows a saving of 100% of the heating utility requirement and 37.7 % of the cooling utility requirement (approximately 15,472 kW).</w:t>
      </w:r>
      <w:r w:rsidR="003E65AA" w:rsidRPr="00BF730A">
        <w:rPr>
          <w:rFonts w:cs="Arial"/>
        </w:rPr>
        <w:t xml:space="preserve"> </w:t>
      </w:r>
      <w:r w:rsidR="00462F93" w:rsidRPr="00BF730A">
        <w:rPr>
          <w:rFonts w:cs="Arial"/>
        </w:rPr>
        <w:t xml:space="preserve">This study is important because it proposes an </w:t>
      </w:r>
      <w:r w:rsidR="00462F93" w:rsidRPr="00BF730A">
        <w:rPr>
          <w:rFonts w:cs="Arial"/>
        </w:rPr>
        <w:lastRenderedPageBreak/>
        <w:t>alternative use for one of the most produced biomasses in the country</w:t>
      </w:r>
      <w:r w:rsidR="00D819A2" w:rsidRPr="00BF730A">
        <w:rPr>
          <w:rFonts w:cs="Arial"/>
        </w:rPr>
        <w:t>,</w:t>
      </w:r>
      <w:r w:rsidR="00462F93" w:rsidRPr="00BF730A">
        <w:rPr>
          <w:rFonts w:cs="Arial"/>
        </w:rPr>
        <w:t xml:space="preserve"> EFB, </w:t>
      </w:r>
      <w:r w:rsidR="00D819A2" w:rsidRPr="00BF730A">
        <w:rPr>
          <w:rFonts w:cs="Arial"/>
        </w:rPr>
        <w:t xml:space="preserve">to </w:t>
      </w:r>
      <w:r w:rsidR="00462F93" w:rsidRPr="00BF730A">
        <w:rPr>
          <w:rFonts w:cs="Arial"/>
        </w:rPr>
        <w:t>reduc</w:t>
      </w:r>
      <w:r w:rsidR="00D819A2" w:rsidRPr="00BF730A">
        <w:rPr>
          <w:rFonts w:cs="Arial"/>
        </w:rPr>
        <w:t>e</w:t>
      </w:r>
      <w:r w:rsidR="00462F93" w:rsidRPr="00BF730A">
        <w:rPr>
          <w:rFonts w:cs="Arial"/>
        </w:rPr>
        <w:t xml:space="preserve"> environmental problems such as fouling, pest attraction</w:t>
      </w:r>
      <w:r w:rsidR="00AD1B9E" w:rsidRPr="00BF730A">
        <w:rPr>
          <w:rFonts w:cs="Arial"/>
        </w:rPr>
        <w:t>,</w:t>
      </w:r>
      <w:r w:rsidR="00462F93" w:rsidRPr="00BF730A">
        <w:rPr>
          <w:rFonts w:cs="Arial"/>
        </w:rPr>
        <w:t xml:space="preserve"> and greenhouse gas emissions up to soil acidification. In addition, the SNG produced can be used to meet the energy needs of a large part of the Colombian population that does not have access to the national natural gas grid.</w:t>
      </w:r>
    </w:p>
    <w:p w14:paraId="4F1327F8" w14:textId="3DEB1438" w:rsidR="00600535" w:rsidRPr="00BF730A" w:rsidRDefault="00600535" w:rsidP="00600535">
      <w:pPr>
        <w:pStyle w:val="CETReference"/>
        <w:rPr>
          <w:rFonts w:cs="Arial"/>
        </w:rPr>
      </w:pPr>
      <w:r w:rsidRPr="00BF730A">
        <w:rPr>
          <w:rFonts w:cs="Arial"/>
        </w:rPr>
        <w:t>References</w:t>
      </w:r>
    </w:p>
    <w:p w14:paraId="0A6B40FA" w14:textId="0B0AD2AB" w:rsidR="003251AE" w:rsidRPr="003251AE" w:rsidRDefault="00E400A1" w:rsidP="003251AE">
      <w:pPr>
        <w:widowControl w:val="0"/>
        <w:autoSpaceDE w:val="0"/>
        <w:autoSpaceDN w:val="0"/>
        <w:adjustRightInd w:val="0"/>
        <w:spacing w:line="240" w:lineRule="auto"/>
        <w:ind w:left="480" w:hanging="480"/>
        <w:rPr>
          <w:rFonts w:cs="Arial"/>
          <w:noProof/>
        </w:rPr>
      </w:pPr>
      <w:r w:rsidRPr="00BF730A">
        <w:rPr>
          <w:rFonts w:cs="Arial"/>
        </w:rPr>
        <w:fldChar w:fldCharType="begin" w:fldLock="1"/>
      </w:r>
      <w:r w:rsidRPr="00BF730A">
        <w:rPr>
          <w:rFonts w:cs="Arial"/>
        </w:rPr>
        <w:instrText xml:space="preserve">ADDIN Mendeley Bibliography CSL_BIBLIOGRAPHY </w:instrText>
      </w:r>
      <w:r w:rsidRPr="00BF730A">
        <w:rPr>
          <w:rFonts w:cs="Arial"/>
        </w:rPr>
        <w:fldChar w:fldCharType="separate"/>
      </w:r>
      <w:r w:rsidR="003251AE" w:rsidRPr="003251AE">
        <w:rPr>
          <w:rFonts w:cs="Arial"/>
          <w:noProof/>
        </w:rPr>
        <w:t xml:space="preserve">Akolgo, G. A., Kemausuor, F., Essandoh, E. O., Atta-Darkwa, T., Bart-Plange, A., Kyei-Baffour, N., Maria, C., &amp; De Freitas Maia, B. (2019). Review of Biomass Gasification Technologies: Guidelines for the Ghanaian Situation. </w:t>
      </w:r>
      <w:r w:rsidR="003251AE" w:rsidRPr="003251AE">
        <w:rPr>
          <w:rFonts w:cs="Arial"/>
          <w:i/>
          <w:iCs/>
          <w:noProof/>
        </w:rPr>
        <w:t>INTERNATIONAL JOURNAL of ENGINEERING SCIENCE AND APPLICATION Akolgo et Al</w:t>
      </w:r>
      <w:r w:rsidR="003251AE" w:rsidRPr="003251AE">
        <w:rPr>
          <w:rFonts w:cs="Arial"/>
          <w:noProof/>
        </w:rPr>
        <w:t xml:space="preserve">, </w:t>
      </w:r>
      <w:r w:rsidR="003251AE" w:rsidRPr="003251AE">
        <w:rPr>
          <w:rFonts w:cs="Arial"/>
          <w:i/>
          <w:iCs/>
          <w:noProof/>
        </w:rPr>
        <w:t>3</w:t>
      </w:r>
      <w:r w:rsidR="003251AE" w:rsidRPr="003251AE">
        <w:rPr>
          <w:rFonts w:cs="Arial"/>
          <w:noProof/>
        </w:rPr>
        <w:t>(4).</w:t>
      </w:r>
    </w:p>
    <w:p w14:paraId="4FA86640"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Akpan Sunday, N. (2022). Oil Palm Empty Fruit Bunches (OPEFB) – Alternative Fibre Source for Papermaking. </w:t>
      </w:r>
      <w:r w:rsidRPr="003251AE">
        <w:rPr>
          <w:rFonts w:cs="Arial"/>
          <w:i/>
          <w:iCs/>
          <w:noProof/>
        </w:rPr>
        <w:t>IntechOpen</w:t>
      </w:r>
      <w:r w:rsidRPr="003251AE">
        <w:rPr>
          <w:rFonts w:cs="Arial"/>
          <w:noProof/>
        </w:rPr>
        <w:t xml:space="preserve">, </w:t>
      </w:r>
      <w:r w:rsidRPr="003251AE">
        <w:rPr>
          <w:rFonts w:cs="Arial"/>
          <w:i/>
          <w:iCs/>
          <w:noProof/>
        </w:rPr>
        <w:t>11</w:t>
      </w:r>
      <w:r w:rsidRPr="003251AE">
        <w:rPr>
          <w:rFonts w:cs="Arial"/>
          <w:noProof/>
        </w:rPr>
        <w:t>(Papermaking), 13. https://doi.org/10.5772/intechopen.98256</w:t>
      </w:r>
    </w:p>
    <w:p w14:paraId="0A677E45"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AlNouss, A., McKay, G., &amp; Al-Ansari, T. (2020). A comparison of steam and oxygen fed biomass gasification through a techno-economic-environmental study. </w:t>
      </w:r>
      <w:r w:rsidRPr="003251AE">
        <w:rPr>
          <w:rFonts w:cs="Arial"/>
          <w:i/>
          <w:iCs/>
          <w:noProof/>
        </w:rPr>
        <w:t>Energy Conversion and Management</w:t>
      </w:r>
      <w:r w:rsidRPr="003251AE">
        <w:rPr>
          <w:rFonts w:cs="Arial"/>
          <w:noProof/>
        </w:rPr>
        <w:t xml:space="preserve">, </w:t>
      </w:r>
      <w:r w:rsidRPr="003251AE">
        <w:rPr>
          <w:rFonts w:cs="Arial"/>
          <w:i/>
          <w:iCs/>
          <w:noProof/>
        </w:rPr>
        <w:t>208</w:t>
      </w:r>
      <w:r w:rsidRPr="003251AE">
        <w:rPr>
          <w:rFonts w:cs="Arial"/>
          <w:noProof/>
        </w:rPr>
        <w:t>(February), 112612. https://doi.org/10.1016/j.enconman.2020.112612</w:t>
      </w:r>
    </w:p>
    <w:p w14:paraId="3F63C873"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D941EA">
        <w:rPr>
          <w:rFonts w:cs="Arial"/>
          <w:noProof/>
          <w:lang w:val="es-ES"/>
        </w:rPr>
        <w:t xml:space="preserve">Dinca, C., Slavu, N., Cormoş, C. C., &amp; Badea, A. (2018). </w:t>
      </w:r>
      <w:r w:rsidRPr="003251AE">
        <w:rPr>
          <w:rFonts w:cs="Arial"/>
          <w:noProof/>
        </w:rPr>
        <w:t xml:space="preserve">CO2 capture from syngas generated by a biomass gasification power plant with chemical absorption process. </w:t>
      </w:r>
      <w:r w:rsidRPr="003251AE">
        <w:rPr>
          <w:rFonts w:cs="Arial"/>
          <w:i/>
          <w:iCs/>
          <w:noProof/>
        </w:rPr>
        <w:t>Energy</w:t>
      </w:r>
      <w:r w:rsidRPr="003251AE">
        <w:rPr>
          <w:rFonts w:cs="Arial"/>
          <w:noProof/>
        </w:rPr>
        <w:t xml:space="preserve">, </w:t>
      </w:r>
      <w:r w:rsidRPr="003251AE">
        <w:rPr>
          <w:rFonts w:cs="Arial"/>
          <w:i/>
          <w:iCs/>
          <w:noProof/>
        </w:rPr>
        <w:t>149</w:t>
      </w:r>
      <w:r w:rsidRPr="003251AE">
        <w:rPr>
          <w:rFonts w:cs="Arial"/>
          <w:noProof/>
        </w:rPr>
        <w:t>, 925–936. https://doi.org/10.1016/j.energy.2018.02.109</w:t>
      </w:r>
    </w:p>
    <w:p w14:paraId="720DC422" w14:textId="77777777" w:rsidR="003251AE" w:rsidRPr="00D941EA" w:rsidRDefault="003251AE" w:rsidP="003251AE">
      <w:pPr>
        <w:widowControl w:val="0"/>
        <w:autoSpaceDE w:val="0"/>
        <w:autoSpaceDN w:val="0"/>
        <w:adjustRightInd w:val="0"/>
        <w:spacing w:line="240" w:lineRule="auto"/>
        <w:ind w:left="480" w:hanging="480"/>
        <w:rPr>
          <w:rFonts w:cs="Arial"/>
          <w:noProof/>
          <w:lang w:val="es-ES"/>
        </w:rPr>
      </w:pPr>
      <w:r w:rsidRPr="003251AE">
        <w:rPr>
          <w:rFonts w:cs="Arial"/>
          <w:noProof/>
        </w:rPr>
        <w:t xml:space="preserve">Duret, A., Friedli, C., &amp; Maréchal, F. (2005). Process design of Synthetic Natural Gas (SNG) production using wood gasification. </w:t>
      </w:r>
      <w:r w:rsidRPr="00D941EA">
        <w:rPr>
          <w:rFonts w:cs="Arial"/>
          <w:i/>
          <w:iCs/>
          <w:noProof/>
          <w:lang w:val="es-ES"/>
        </w:rPr>
        <w:t>Journal of Cleaner Production</w:t>
      </w:r>
      <w:r w:rsidRPr="00D941EA">
        <w:rPr>
          <w:rFonts w:cs="Arial"/>
          <w:noProof/>
          <w:lang w:val="es-ES"/>
        </w:rPr>
        <w:t xml:space="preserve">, </w:t>
      </w:r>
      <w:r w:rsidRPr="00D941EA">
        <w:rPr>
          <w:rFonts w:cs="Arial"/>
          <w:i/>
          <w:iCs/>
          <w:noProof/>
          <w:lang w:val="es-ES"/>
        </w:rPr>
        <w:t>13</w:t>
      </w:r>
      <w:r w:rsidRPr="00D941EA">
        <w:rPr>
          <w:rFonts w:cs="Arial"/>
          <w:noProof/>
          <w:lang w:val="es-ES"/>
        </w:rPr>
        <w:t>(15), 1434–1446. https://doi.org/10.1016/j.jclepro.2005.04.009</w:t>
      </w:r>
    </w:p>
    <w:p w14:paraId="152A3CD2" w14:textId="77777777" w:rsidR="003251AE" w:rsidRPr="00D941EA" w:rsidRDefault="003251AE" w:rsidP="003251AE">
      <w:pPr>
        <w:widowControl w:val="0"/>
        <w:autoSpaceDE w:val="0"/>
        <w:autoSpaceDN w:val="0"/>
        <w:adjustRightInd w:val="0"/>
        <w:spacing w:line="240" w:lineRule="auto"/>
        <w:ind w:left="480" w:hanging="480"/>
        <w:rPr>
          <w:rFonts w:cs="Arial"/>
          <w:noProof/>
          <w:lang w:val="es-ES"/>
        </w:rPr>
      </w:pPr>
      <w:r w:rsidRPr="00D941EA">
        <w:rPr>
          <w:rFonts w:cs="Arial"/>
          <w:noProof/>
          <w:lang w:val="es-ES"/>
        </w:rPr>
        <w:t xml:space="preserve">Federación Nacional de Cultivadores de de Palma de Aceite, F. (2023). Minianuario estadístico 2023: Principales cifras de la agroindustria de palma de aceite en Colombia. </w:t>
      </w:r>
      <w:r w:rsidRPr="00D941EA">
        <w:rPr>
          <w:rFonts w:cs="Arial"/>
          <w:i/>
          <w:iCs/>
          <w:noProof/>
          <w:lang w:val="es-ES"/>
        </w:rPr>
        <w:t>Federación Nacional de Cultivadores de de Palma de Aceite. Fedepalma.</w:t>
      </w:r>
      <w:r w:rsidRPr="00D941EA">
        <w:rPr>
          <w:rFonts w:cs="Arial"/>
          <w:noProof/>
          <w:lang w:val="es-ES"/>
        </w:rPr>
        <w:t xml:space="preserve"> https://repositorio.fedepalma.org/handle/123456789/142826</w:t>
      </w:r>
    </w:p>
    <w:p w14:paraId="106C107F"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D941EA">
        <w:rPr>
          <w:rFonts w:cs="Arial"/>
          <w:noProof/>
          <w:lang w:val="es-ES"/>
        </w:rPr>
        <w:t xml:space="preserve">Federación Nacional de Cultivadores de Palma de Aceite, F. (2023). Anuario Estadístico 2023: Principales cifras de la agroindustria de la palma de aceite en Colombia y en el mundo 2018-2022. </w:t>
      </w:r>
      <w:r w:rsidRPr="003251AE">
        <w:rPr>
          <w:rFonts w:cs="Arial"/>
          <w:noProof/>
        </w:rPr>
        <w:t xml:space="preserve">In </w:t>
      </w:r>
      <w:r w:rsidRPr="003251AE">
        <w:rPr>
          <w:rFonts w:cs="Arial"/>
          <w:i/>
          <w:iCs/>
          <w:noProof/>
        </w:rPr>
        <w:t>Fedepalma</w:t>
      </w:r>
      <w:r w:rsidRPr="003251AE">
        <w:rPr>
          <w:rFonts w:cs="Arial"/>
          <w:noProof/>
        </w:rPr>
        <w:t>.</w:t>
      </w:r>
    </w:p>
    <w:p w14:paraId="1CC18133" w14:textId="77777777" w:rsidR="003251AE" w:rsidRPr="00D941EA" w:rsidRDefault="003251AE" w:rsidP="003251AE">
      <w:pPr>
        <w:widowControl w:val="0"/>
        <w:autoSpaceDE w:val="0"/>
        <w:autoSpaceDN w:val="0"/>
        <w:adjustRightInd w:val="0"/>
        <w:spacing w:line="240" w:lineRule="auto"/>
        <w:ind w:left="480" w:hanging="480"/>
        <w:rPr>
          <w:rFonts w:cs="Arial"/>
          <w:noProof/>
          <w:lang w:val="es-ES"/>
        </w:rPr>
      </w:pPr>
      <w:r w:rsidRPr="003251AE">
        <w:rPr>
          <w:rFonts w:cs="Arial"/>
          <w:noProof/>
        </w:rPr>
        <w:t xml:space="preserve">Gadalla, M. A. (2015). A new graphical method for Pinch Analysis applications: Heat exchanger network retrofit and energy integration. </w:t>
      </w:r>
      <w:r w:rsidRPr="00D941EA">
        <w:rPr>
          <w:rFonts w:cs="Arial"/>
          <w:i/>
          <w:iCs/>
          <w:noProof/>
          <w:lang w:val="es-ES"/>
        </w:rPr>
        <w:t>Energy</w:t>
      </w:r>
      <w:r w:rsidRPr="00D941EA">
        <w:rPr>
          <w:rFonts w:cs="Arial"/>
          <w:noProof/>
          <w:lang w:val="es-ES"/>
        </w:rPr>
        <w:t xml:space="preserve">, </w:t>
      </w:r>
      <w:r w:rsidRPr="00D941EA">
        <w:rPr>
          <w:rFonts w:cs="Arial"/>
          <w:i/>
          <w:iCs/>
          <w:noProof/>
          <w:lang w:val="es-ES"/>
        </w:rPr>
        <w:t>81</w:t>
      </w:r>
      <w:r w:rsidRPr="00D941EA">
        <w:rPr>
          <w:rFonts w:cs="Arial"/>
          <w:noProof/>
          <w:lang w:val="es-ES"/>
        </w:rPr>
        <w:t>, 159–174. https://doi.org/10.1016/j.energy.2014.12.011</w:t>
      </w:r>
    </w:p>
    <w:p w14:paraId="468649AF"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D941EA">
        <w:rPr>
          <w:rFonts w:cs="Arial"/>
          <w:noProof/>
          <w:lang w:val="es-ES"/>
        </w:rPr>
        <w:t xml:space="preserve">Gambardella, A., &amp; Yasin Yahya, Y. (2017). </w:t>
      </w:r>
      <w:r w:rsidRPr="003251AE">
        <w:rPr>
          <w:rFonts w:cs="Arial"/>
          <w:i/>
          <w:iCs/>
          <w:noProof/>
        </w:rPr>
        <w:t>Power-to-Gas concepts integrated with syngas production through gasification of forest residues Process modelling Master’s thesis in Sustainable Energy System Programme</w:t>
      </w:r>
      <w:r w:rsidRPr="003251AE">
        <w:rPr>
          <w:rFonts w:cs="Arial"/>
          <w:noProof/>
        </w:rPr>
        <w:t>.</w:t>
      </w:r>
    </w:p>
    <w:p w14:paraId="28C59558"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Gao, N., Chen, C., Magdziarz, A., Zhang, L., &amp; Quan, C. (2021). Modeling and simulation of pine sawdust gasification considering gas mixture reflux. </w:t>
      </w:r>
      <w:r w:rsidRPr="003251AE">
        <w:rPr>
          <w:rFonts w:cs="Arial"/>
          <w:i/>
          <w:iCs/>
          <w:noProof/>
        </w:rPr>
        <w:t>Journal of Analytical and Applied Pyrolysis</w:t>
      </w:r>
      <w:r w:rsidRPr="003251AE">
        <w:rPr>
          <w:rFonts w:cs="Arial"/>
          <w:noProof/>
        </w:rPr>
        <w:t xml:space="preserve">, </w:t>
      </w:r>
      <w:r w:rsidRPr="003251AE">
        <w:rPr>
          <w:rFonts w:cs="Arial"/>
          <w:i/>
          <w:iCs/>
          <w:noProof/>
        </w:rPr>
        <w:t>155</w:t>
      </w:r>
      <w:r w:rsidRPr="003251AE">
        <w:rPr>
          <w:rFonts w:cs="Arial"/>
          <w:noProof/>
        </w:rPr>
        <w:t>(February), 105094. https://doi.org/10.1016/j.jaap.2021.105094</w:t>
      </w:r>
    </w:p>
    <w:p w14:paraId="3EFF117B"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Gassner, M., &amp; Maréchal, F. (2009). Thermo-economic process model for thermochemical production of Synthetic Natural Gas (SNG) from lignocellulosic biomass. </w:t>
      </w:r>
      <w:r w:rsidRPr="003251AE">
        <w:rPr>
          <w:rFonts w:cs="Arial"/>
          <w:i/>
          <w:iCs/>
          <w:noProof/>
        </w:rPr>
        <w:t>Biomass and Bioenergy</w:t>
      </w:r>
      <w:r w:rsidRPr="003251AE">
        <w:rPr>
          <w:rFonts w:cs="Arial"/>
          <w:noProof/>
        </w:rPr>
        <w:t xml:space="preserve">, </w:t>
      </w:r>
      <w:r w:rsidRPr="003251AE">
        <w:rPr>
          <w:rFonts w:cs="Arial"/>
          <w:i/>
          <w:iCs/>
          <w:noProof/>
        </w:rPr>
        <w:t>33</w:t>
      </w:r>
      <w:r w:rsidRPr="003251AE">
        <w:rPr>
          <w:rFonts w:cs="Arial"/>
          <w:noProof/>
        </w:rPr>
        <w:t>(11), 1587–1604. https://doi.org/10.1016/j.biombioe.2009.08.004</w:t>
      </w:r>
    </w:p>
    <w:p w14:paraId="5A4E8495"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Kemp, I. (2006). Pinch Analysis and Process Integration. </w:t>
      </w:r>
      <w:r w:rsidRPr="003251AE">
        <w:rPr>
          <w:rFonts w:cs="Arial"/>
          <w:i/>
          <w:iCs/>
          <w:noProof/>
        </w:rPr>
        <w:t>Pinch Analysis and Process Integration</w:t>
      </w:r>
      <w:r w:rsidRPr="003251AE">
        <w:rPr>
          <w:rFonts w:cs="Arial"/>
          <w:noProof/>
        </w:rPr>
        <w:t xml:space="preserve">, </w:t>
      </w:r>
      <w:r w:rsidRPr="003251AE">
        <w:rPr>
          <w:rFonts w:cs="Arial"/>
          <w:i/>
          <w:iCs/>
          <w:noProof/>
        </w:rPr>
        <w:t>1</w:t>
      </w:r>
      <w:r w:rsidRPr="003251AE">
        <w:rPr>
          <w:rFonts w:cs="Arial"/>
          <w:noProof/>
        </w:rPr>
        <w:t>, 125–162. https://doi.org/10.1016/B978-0-7506-8260-2.X5001-9</w:t>
      </w:r>
    </w:p>
    <w:p w14:paraId="11412D5C"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Park, J., Lee, S. Y., Kim, J., Um, W., Lee, I. B., &amp; Yoo, C. (2021). Energy, safety, and absorption efficiency evaluation of a pilot-scale H2S abatement process using MDEA solution in a coke-oven gas. </w:t>
      </w:r>
      <w:r w:rsidRPr="003251AE">
        <w:rPr>
          <w:rFonts w:cs="Arial"/>
          <w:i/>
          <w:iCs/>
          <w:noProof/>
        </w:rPr>
        <w:t>Journal of Environmental Chemical Engineering</w:t>
      </w:r>
      <w:r w:rsidRPr="003251AE">
        <w:rPr>
          <w:rFonts w:cs="Arial"/>
          <w:noProof/>
        </w:rPr>
        <w:t xml:space="preserve">, </w:t>
      </w:r>
      <w:r w:rsidRPr="003251AE">
        <w:rPr>
          <w:rFonts w:cs="Arial"/>
          <w:i/>
          <w:iCs/>
          <w:noProof/>
        </w:rPr>
        <w:t>9</w:t>
      </w:r>
      <w:r w:rsidRPr="003251AE">
        <w:rPr>
          <w:rFonts w:cs="Arial"/>
          <w:noProof/>
        </w:rPr>
        <w:t>(1), 105037. https://doi.org/10.1016/j.jece.2021.105037</w:t>
      </w:r>
    </w:p>
    <w:p w14:paraId="0C75E51D"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D941EA">
        <w:rPr>
          <w:rFonts w:cs="Arial"/>
          <w:noProof/>
          <w:lang w:val="es-ES"/>
        </w:rPr>
        <w:t xml:space="preserve">Pérez-Rodríguez, C. P., Ríos, L. A., Duarte González, C. S., Montaña, A., &amp; García-Marroquín, C. (2022). </w:t>
      </w:r>
      <w:r w:rsidRPr="003251AE">
        <w:rPr>
          <w:rFonts w:cs="Arial"/>
          <w:noProof/>
        </w:rPr>
        <w:t xml:space="preserve">Harnessing Residual Biomass as a Renewable Energy Source in Colombia: A Potential Gasification Scenario. </w:t>
      </w:r>
      <w:r w:rsidRPr="003251AE">
        <w:rPr>
          <w:rFonts w:cs="Arial"/>
          <w:i/>
          <w:iCs/>
          <w:noProof/>
        </w:rPr>
        <w:t>Sustainability (Switzerland)</w:t>
      </w:r>
      <w:r w:rsidRPr="003251AE">
        <w:rPr>
          <w:rFonts w:cs="Arial"/>
          <w:noProof/>
        </w:rPr>
        <w:t xml:space="preserve">, </w:t>
      </w:r>
      <w:r w:rsidRPr="003251AE">
        <w:rPr>
          <w:rFonts w:cs="Arial"/>
          <w:i/>
          <w:iCs/>
          <w:noProof/>
        </w:rPr>
        <w:t>14</w:t>
      </w:r>
      <w:r w:rsidRPr="003251AE">
        <w:rPr>
          <w:rFonts w:cs="Arial"/>
          <w:noProof/>
        </w:rPr>
        <w:t>(19), 1–14. https://doi.org/10.3390/su141912537</w:t>
      </w:r>
    </w:p>
    <w:p w14:paraId="21E32FFA"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Shahbaz, M., Yusup, S., Inayat, A., Ammar, M., Patrick, D. O., Pratama, A., &amp; Naqvi, S. R. (2017). Syngas Production from Steam Gasification of Palm Kernel Shell with Subsequent CO2 Capture Using CaO Sorbent: An Aspen Plus Modeling. </w:t>
      </w:r>
      <w:r w:rsidRPr="003251AE">
        <w:rPr>
          <w:rFonts w:cs="Arial"/>
          <w:i/>
          <w:iCs/>
          <w:noProof/>
        </w:rPr>
        <w:t>Energy and Fuels</w:t>
      </w:r>
      <w:r w:rsidRPr="003251AE">
        <w:rPr>
          <w:rFonts w:cs="Arial"/>
          <w:noProof/>
        </w:rPr>
        <w:t xml:space="preserve">, </w:t>
      </w:r>
      <w:r w:rsidRPr="003251AE">
        <w:rPr>
          <w:rFonts w:cs="Arial"/>
          <w:i/>
          <w:iCs/>
          <w:noProof/>
        </w:rPr>
        <w:t>31</w:t>
      </w:r>
      <w:r w:rsidRPr="003251AE">
        <w:rPr>
          <w:rFonts w:cs="Arial"/>
          <w:noProof/>
        </w:rPr>
        <w:t>(11), 12350–12357. https://doi.org/10.1021/acs.energyfuels.7b02670</w:t>
      </w:r>
    </w:p>
    <w:p w14:paraId="23B44444"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Sierra, V. J., Ceballos, C. M. M., &amp; Chejne, F. J. (2021). Simulation of Thermochemical Processes in Aspen Plus As a Tool for Biorefinery Analysis. </w:t>
      </w:r>
      <w:r w:rsidRPr="003251AE">
        <w:rPr>
          <w:rFonts w:cs="Arial"/>
          <w:i/>
          <w:iCs/>
          <w:noProof/>
        </w:rPr>
        <w:t>CTyF - Ciencia, Tecnologia y Futuro</w:t>
      </w:r>
      <w:r w:rsidRPr="003251AE">
        <w:rPr>
          <w:rFonts w:cs="Arial"/>
          <w:noProof/>
        </w:rPr>
        <w:t xml:space="preserve">, </w:t>
      </w:r>
      <w:r w:rsidRPr="003251AE">
        <w:rPr>
          <w:rFonts w:cs="Arial"/>
          <w:i/>
          <w:iCs/>
          <w:noProof/>
        </w:rPr>
        <w:t>11</w:t>
      </w:r>
      <w:r w:rsidRPr="003251AE">
        <w:rPr>
          <w:rFonts w:cs="Arial"/>
          <w:noProof/>
        </w:rPr>
        <w:t>(2), 27–38. https://doi.org/10.29047/01225383.372</w:t>
      </w:r>
    </w:p>
    <w:p w14:paraId="55ABB241" w14:textId="77777777" w:rsidR="003251AE" w:rsidRPr="003251AE" w:rsidRDefault="003251AE" w:rsidP="003251AE">
      <w:pPr>
        <w:widowControl w:val="0"/>
        <w:autoSpaceDE w:val="0"/>
        <w:autoSpaceDN w:val="0"/>
        <w:adjustRightInd w:val="0"/>
        <w:spacing w:line="240" w:lineRule="auto"/>
        <w:ind w:left="480" w:hanging="480"/>
        <w:rPr>
          <w:rFonts w:cs="Arial"/>
          <w:noProof/>
        </w:rPr>
      </w:pPr>
      <w:r w:rsidRPr="003251AE">
        <w:rPr>
          <w:rFonts w:cs="Arial"/>
          <w:noProof/>
        </w:rPr>
        <w:t xml:space="preserve">Tonpakdee, P., Hongrapipat, J., Siriwongrungson, V., Pang, S., Rauch, R., Messner, M., Henrich, C., Pessl, P., &amp; Dichand, M. (2021). Replacement of Palm Methyl Ester to Rapeseed Methyl Ester for Tar Removal in the Nong Bua Dual Fluidized Bed Gasification Power Plant. </w:t>
      </w:r>
      <w:r w:rsidRPr="003251AE">
        <w:rPr>
          <w:rFonts w:cs="Arial"/>
          <w:i/>
          <w:iCs/>
          <w:noProof/>
        </w:rPr>
        <w:t>IOP Conference Series: Earth and Environmental Science</w:t>
      </w:r>
      <w:r w:rsidRPr="003251AE">
        <w:rPr>
          <w:rFonts w:cs="Arial"/>
          <w:noProof/>
        </w:rPr>
        <w:t xml:space="preserve">, </w:t>
      </w:r>
      <w:r w:rsidRPr="003251AE">
        <w:rPr>
          <w:rFonts w:cs="Arial"/>
          <w:i/>
          <w:iCs/>
          <w:noProof/>
        </w:rPr>
        <w:t>801</w:t>
      </w:r>
      <w:r w:rsidRPr="003251AE">
        <w:rPr>
          <w:rFonts w:cs="Arial"/>
          <w:noProof/>
        </w:rPr>
        <w:t>(1). https://doi.org/10.1088/1755-1315/801/1/012021</w:t>
      </w:r>
    </w:p>
    <w:p w14:paraId="36E24161" w14:textId="73A002D1" w:rsidR="003251AE" w:rsidRPr="003251AE" w:rsidRDefault="00772DB6" w:rsidP="003251AE">
      <w:pPr>
        <w:widowControl w:val="0"/>
        <w:autoSpaceDE w:val="0"/>
        <w:autoSpaceDN w:val="0"/>
        <w:adjustRightInd w:val="0"/>
        <w:spacing w:line="240" w:lineRule="auto"/>
        <w:ind w:left="480" w:hanging="480"/>
        <w:rPr>
          <w:rFonts w:cs="Arial"/>
          <w:noProof/>
        </w:rPr>
      </w:pPr>
      <w:r>
        <w:rPr>
          <w:rFonts w:cs="Arial"/>
          <w:noProof/>
          <w:lang w:val="es-ES"/>
        </w:rPr>
        <w:t>V</w:t>
      </w:r>
      <w:r w:rsidR="003251AE" w:rsidRPr="00D941EA">
        <w:rPr>
          <w:rFonts w:cs="Arial"/>
          <w:noProof/>
          <w:lang w:val="es-ES"/>
        </w:rPr>
        <w:t xml:space="preserve">an der Meijden, C. M., Veringa, H. J., &amp; Rabou, L. P. L. M. (2010). </w:t>
      </w:r>
      <w:r w:rsidR="003251AE" w:rsidRPr="003251AE">
        <w:rPr>
          <w:rFonts w:cs="Arial"/>
          <w:noProof/>
        </w:rPr>
        <w:t xml:space="preserve">The production of synthetic natural gas (SNG): A comparison of three wood gasification systems for energy balance and overall efficiency. </w:t>
      </w:r>
      <w:r w:rsidR="003251AE" w:rsidRPr="003251AE">
        <w:rPr>
          <w:rFonts w:cs="Arial"/>
          <w:i/>
          <w:iCs/>
          <w:noProof/>
        </w:rPr>
        <w:t>Biomass and Bioenergy</w:t>
      </w:r>
      <w:r w:rsidR="003251AE" w:rsidRPr="003251AE">
        <w:rPr>
          <w:rFonts w:cs="Arial"/>
          <w:noProof/>
        </w:rPr>
        <w:t xml:space="preserve">, </w:t>
      </w:r>
      <w:r w:rsidR="003251AE" w:rsidRPr="003251AE">
        <w:rPr>
          <w:rFonts w:cs="Arial"/>
          <w:i/>
          <w:iCs/>
          <w:noProof/>
        </w:rPr>
        <w:t>34</w:t>
      </w:r>
      <w:r w:rsidR="003251AE" w:rsidRPr="003251AE">
        <w:rPr>
          <w:rFonts w:cs="Arial"/>
          <w:noProof/>
        </w:rPr>
        <w:t>(3), 302–311. https://doi.org/10.1016/j.biombioe.2009.11.001</w:t>
      </w:r>
    </w:p>
    <w:p w14:paraId="19C4FC68" w14:textId="758029E7" w:rsidR="004628D2" w:rsidRPr="00BF730A" w:rsidRDefault="003251AE" w:rsidP="00324AC1">
      <w:pPr>
        <w:widowControl w:val="0"/>
        <w:autoSpaceDE w:val="0"/>
        <w:autoSpaceDN w:val="0"/>
        <w:adjustRightInd w:val="0"/>
        <w:spacing w:line="240" w:lineRule="auto"/>
        <w:ind w:left="480" w:hanging="480"/>
        <w:rPr>
          <w:rFonts w:cs="Arial"/>
        </w:rPr>
      </w:pPr>
      <w:r w:rsidRPr="003251AE">
        <w:rPr>
          <w:rFonts w:cs="Arial"/>
          <w:noProof/>
        </w:rPr>
        <w:t xml:space="preserve">Xing, W., Liu, Y., Zhang, W., Sun, Y., Kai, X., &amp; Yang, T. (2020). Study on Methanation Performance of Biomass Gasification Syngas Based on a Ni/Al2O3Monolithic Catalyst. </w:t>
      </w:r>
      <w:r w:rsidRPr="003251AE">
        <w:rPr>
          <w:rFonts w:cs="Arial"/>
          <w:i/>
          <w:iCs/>
          <w:noProof/>
        </w:rPr>
        <w:t>ACS Omega</w:t>
      </w:r>
      <w:r w:rsidRPr="003251AE">
        <w:rPr>
          <w:rFonts w:cs="Arial"/>
          <w:noProof/>
        </w:rPr>
        <w:t xml:space="preserve">, </w:t>
      </w:r>
      <w:r w:rsidRPr="003251AE">
        <w:rPr>
          <w:rFonts w:cs="Arial"/>
          <w:i/>
          <w:iCs/>
          <w:noProof/>
        </w:rPr>
        <w:t>5</w:t>
      </w:r>
      <w:r w:rsidRPr="003251AE">
        <w:rPr>
          <w:rFonts w:cs="Arial"/>
          <w:noProof/>
        </w:rPr>
        <w:t>(44), 28597–28605. https://doi.org/10.1021/acsomega.0c03536</w:t>
      </w:r>
      <w:r w:rsidR="00E400A1" w:rsidRPr="00BF730A">
        <w:rPr>
          <w:rFonts w:cs="Arial"/>
        </w:rPr>
        <w:fldChar w:fldCharType="end"/>
      </w:r>
    </w:p>
    <w:sectPr w:rsidR="004628D2" w:rsidRPr="00BF730A" w:rsidSect="002C0486">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4E7311" w16cid:durableId="29ACB65C"/>
  <w16cid:commentId w16cid:paraId="392DAFCD" w16cid:durableId="29ACB7D9"/>
  <w16cid:commentId w16cid:paraId="2DB80EB3" w16cid:durableId="29ACB83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FA41E" w14:textId="77777777" w:rsidR="00B00839" w:rsidRDefault="00B00839" w:rsidP="004F5E36">
      <w:r>
        <w:separator/>
      </w:r>
    </w:p>
  </w:endnote>
  <w:endnote w:type="continuationSeparator" w:id="0">
    <w:p w14:paraId="1EADC13D" w14:textId="77777777" w:rsidR="00B00839" w:rsidRDefault="00B0083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D5BB5" w14:textId="77777777" w:rsidR="00B00839" w:rsidRDefault="00B00839" w:rsidP="004F5E36">
      <w:r>
        <w:separator/>
      </w:r>
    </w:p>
  </w:footnote>
  <w:footnote w:type="continuationSeparator" w:id="0">
    <w:p w14:paraId="6814ECA8" w14:textId="77777777" w:rsidR="00B00839" w:rsidRDefault="00B00839"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DB02CC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A23FD9"/>
    <w:multiLevelType w:val="hybridMultilevel"/>
    <w:tmpl w:val="41B08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22"/>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50D"/>
    <w:rsid w:val="000027C0"/>
    <w:rsid w:val="000052FB"/>
    <w:rsid w:val="000117CB"/>
    <w:rsid w:val="00015DB8"/>
    <w:rsid w:val="00026994"/>
    <w:rsid w:val="0003148D"/>
    <w:rsid w:val="00031EEC"/>
    <w:rsid w:val="00036DD8"/>
    <w:rsid w:val="000375BE"/>
    <w:rsid w:val="00051566"/>
    <w:rsid w:val="000562A9"/>
    <w:rsid w:val="0006228F"/>
    <w:rsid w:val="00062A9A"/>
    <w:rsid w:val="00065058"/>
    <w:rsid w:val="000661E6"/>
    <w:rsid w:val="00086C39"/>
    <w:rsid w:val="00091221"/>
    <w:rsid w:val="00093782"/>
    <w:rsid w:val="000961F3"/>
    <w:rsid w:val="0009701B"/>
    <w:rsid w:val="000A03B2"/>
    <w:rsid w:val="000A1134"/>
    <w:rsid w:val="000A367F"/>
    <w:rsid w:val="000B6C52"/>
    <w:rsid w:val="000C721E"/>
    <w:rsid w:val="000D0268"/>
    <w:rsid w:val="000D34BE"/>
    <w:rsid w:val="000D5FAD"/>
    <w:rsid w:val="000E102F"/>
    <w:rsid w:val="000E36F1"/>
    <w:rsid w:val="000E3A73"/>
    <w:rsid w:val="000E414A"/>
    <w:rsid w:val="000E4C0A"/>
    <w:rsid w:val="000F093C"/>
    <w:rsid w:val="000F4B19"/>
    <w:rsid w:val="000F787B"/>
    <w:rsid w:val="000F7EF7"/>
    <w:rsid w:val="00110276"/>
    <w:rsid w:val="0012091F"/>
    <w:rsid w:val="00126BC2"/>
    <w:rsid w:val="001308B6"/>
    <w:rsid w:val="0013121F"/>
    <w:rsid w:val="00131FE6"/>
    <w:rsid w:val="0013263F"/>
    <w:rsid w:val="001331DF"/>
    <w:rsid w:val="00134DE4"/>
    <w:rsid w:val="00137126"/>
    <w:rsid w:val="0014034D"/>
    <w:rsid w:val="00143165"/>
    <w:rsid w:val="00144D16"/>
    <w:rsid w:val="00147DFC"/>
    <w:rsid w:val="00150E59"/>
    <w:rsid w:val="00152DE3"/>
    <w:rsid w:val="00153A49"/>
    <w:rsid w:val="00153F46"/>
    <w:rsid w:val="00156F74"/>
    <w:rsid w:val="00164CF9"/>
    <w:rsid w:val="001667A6"/>
    <w:rsid w:val="00184AD6"/>
    <w:rsid w:val="0019745B"/>
    <w:rsid w:val="001A031B"/>
    <w:rsid w:val="001A271B"/>
    <w:rsid w:val="001A2DB5"/>
    <w:rsid w:val="001A4AF7"/>
    <w:rsid w:val="001A6603"/>
    <w:rsid w:val="001A6677"/>
    <w:rsid w:val="001A7B08"/>
    <w:rsid w:val="001B0349"/>
    <w:rsid w:val="001B1E93"/>
    <w:rsid w:val="001B65C1"/>
    <w:rsid w:val="001B77F7"/>
    <w:rsid w:val="001C684B"/>
    <w:rsid w:val="001D0CFB"/>
    <w:rsid w:val="001D21AF"/>
    <w:rsid w:val="001D4443"/>
    <w:rsid w:val="001D53FC"/>
    <w:rsid w:val="001D6190"/>
    <w:rsid w:val="001E0DF7"/>
    <w:rsid w:val="001E69BB"/>
    <w:rsid w:val="001F42A5"/>
    <w:rsid w:val="001F7B9D"/>
    <w:rsid w:val="00201C93"/>
    <w:rsid w:val="002075EF"/>
    <w:rsid w:val="00221C2C"/>
    <w:rsid w:val="002224B4"/>
    <w:rsid w:val="00223747"/>
    <w:rsid w:val="002311BD"/>
    <w:rsid w:val="00236EEC"/>
    <w:rsid w:val="00241717"/>
    <w:rsid w:val="002447EF"/>
    <w:rsid w:val="00245429"/>
    <w:rsid w:val="00251550"/>
    <w:rsid w:val="00263B05"/>
    <w:rsid w:val="0027221A"/>
    <w:rsid w:val="00275B61"/>
    <w:rsid w:val="00280FAF"/>
    <w:rsid w:val="00282656"/>
    <w:rsid w:val="00296B83"/>
    <w:rsid w:val="002A05BD"/>
    <w:rsid w:val="002A0B7F"/>
    <w:rsid w:val="002B4015"/>
    <w:rsid w:val="002B78CE"/>
    <w:rsid w:val="002C0486"/>
    <w:rsid w:val="002C2FB6"/>
    <w:rsid w:val="002D21DC"/>
    <w:rsid w:val="002D6B22"/>
    <w:rsid w:val="002E5FA7"/>
    <w:rsid w:val="002E6E33"/>
    <w:rsid w:val="002F078B"/>
    <w:rsid w:val="002F3309"/>
    <w:rsid w:val="003008CE"/>
    <w:rsid w:val="003009B7"/>
    <w:rsid w:val="00300E56"/>
    <w:rsid w:val="0030152C"/>
    <w:rsid w:val="003015A5"/>
    <w:rsid w:val="0030469C"/>
    <w:rsid w:val="00305276"/>
    <w:rsid w:val="003147B4"/>
    <w:rsid w:val="00321CA6"/>
    <w:rsid w:val="00323763"/>
    <w:rsid w:val="00323C5F"/>
    <w:rsid w:val="0032441C"/>
    <w:rsid w:val="00324AC1"/>
    <w:rsid w:val="003251AE"/>
    <w:rsid w:val="00326456"/>
    <w:rsid w:val="00326A22"/>
    <w:rsid w:val="00334C09"/>
    <w:rsid w:val="00343954"/>
    <w:rsid w:val="003723D4"/>
    <w:rsid w:val="00381905"/>
    <w:rsid w:val="003832A4"/>
    <w:rsid w:val="00384CC8"/>
    <w:rsid w:val="003871FD"/>
    <w:rsid w:val="00390011"/>
    <w:rsid w:val="003A14E1"/>
    <w:rsid w:val="003A1E30"/>
    <w:rsid w:val="003A2013"/>
    <w:rsid w:val="003A2829"/>
    <w:rsid w:val="003A542B"/>
    <w:rsid w:val="003A6FC6"/>
    <w:rsid w:val="003A7D1C"/>
    <w:rsid w:val="003B0E04"/>
    <w:rsid w:val="003B304B"/>
    <w:rsid w:val="003B3146"/>
    <w:rsid w:val="003D3DDE"/>
    <w:rsid w:val="003D7D67"/>
    <w:rsid w:val="003E65AA"/>
    <w:rsid w:val="003F015E"/>
    <w:rsid w:val="00400414"/>
    <w:rsid w:val="00403E7A"/>
    <w:rsid w:val="00405BF2"/>
    <w:rsid w:val="00413CF3"/>
    <w:rsid w:val="0041446B"/>
    <w:rsid w:val="00433079"/>
    <w:rsid w:val="0044071E"/>
    <w:rsid w:val="0044329C"/>
    <w:rsid w:val="004463A9"/>
    <w:rsid w:val="0044695A"/>
    <w:rsid w:val="00453E24"/>
    <w:rsid w:val="00457456"/>
    <w:rsid w:val="004577FE"/>
    <w:rsid w:val="00457B9C"/>
    <w:rsid w:val="0046164A"/>
    <w:rsid w:val="004628D2"/>
    <w:rsid w:val="00462DCD"/>
    <w:rsid w:val="00462F93"/>
    <w:rsid w:val="004648AD"/>
    <w:rsid w:val="004703A9"/>
    <w:rsid w:val="00475826"/>
    <w:rsid w:val="004760DE"/>
    <w:rsid w:val="004761E9"/>
    <w:rsid w:val="004763D7"/>
    <w:rsid w:val="00492A6E"/>
    <w:rsid w:val="0049490F"/>
    <w:rsid w:val="004A004E"/>
    <w:rsid w:val="004A04B4"/>
    <w:rsid w:val="004A06F0"/>
    <w:rsid w:val="004A24CF"/>
    <w:rsid w:val="004B2160"/>
    <w:rsid w:val="004B2C9D"/>
    <w:rsid w:val="004C3D1D"/>
    <w:rsid w:val="004C3D84"/>
    <w:rsid w:val="004C7913"/>
    <w:rsid w:val="004D20E0"/>
    <w:rsid w:val="004E44B2"/>
    <w:rsid w:val="004E4DD6"/>
    <w:rsid w:val="004F40E0"/>
    <w:rsid w:val="004F5E36"/>
    <w:rsid w:val="00500CF4"/>
    <w:rsid w:val="0050203B"/>
    <w:rsid w:val="005071C7"/>
    <w:rsid w:val="00507B47"/>
    <w:rsid w:val="00507BEF"/>
    <w:rsid w:val="00507CC9"/>
    <w:rsid w:val="005119A5"/>
    <w:rsid w:val="0051640D"/>
    <w:rsid w:val="00516AAC"/>
    <w:rsid w:val="00525A0B"/>
    <w:rsid w:val="005278B7"/>
    <w:rsid w:val="00532016"/>
    <w:rsid w:val="00533FAF"/>
    <w:rsid w:val="005346C8"/>
    <w:rsid w:val="005402D1"/>
    <w:rsid w:val="00540382"/>
    <w:rsid w:val="00543E7D"/>
    <w:rsid w:val="00547A68"/>
    <w:rsid w:val="00547D56"/>
    <w:rsid w:val="00551C28"/>
    <w:rsid w:val="005531C9"/>
    <w:rsid w:val="00555DB7"/>
    <w:rsid w:val="00557B84"/>
    <w:rsid w:val="00560D46"/>
    <w:rsid w:val="00570C43"/>
    <w:rsid w:val="005745C6"/>
    <w:rsid w:val="0058607E"/>
    <w:rsid w:val="005945F7"/>
    <w:rsid w:val="005A7030"/>
    <w:rsid w:val="005B2110"/>
    <w:rsid w:val="005B61E6"/>
    <w:rsid w:val="005B726B"/>
    <w:rsid w:val="005C77E1"/>
    <w:rsid w:val="005D668A"/>
    <w:rsid w:val="005D6A2F"/>
    <w:rsid w:val="005E1A82"/>
    <w:rsid w:val="005E794C"/>
    <w:rsid w:val="005F0A28"/>
    <w:rsid w:val="005F0E5E"/>
    <w:rsid w:val="00600535"/>
    <w:rsid w:val="00603013"/>
    <w:rsid w:val="00610CD6"/>
    <w:rsid w:val="006173AD"/>
    <w:rsid w:val="00620DEE"/>
    <w:rsid w:val="00621F92"/>
    <w:rsid w:val="0062280A"/>
    <w:rsid w:val="00625639"/>
    <w:rsid w:val="006272BE"/>
    <w:rsid w:val="00631B33"/>
    <w:rsid w:val="00633329"/>
    <w:rsid w:val="0064184D"/>
    <w:rsid w:val="006422CC"/>
    <w:rsid w:val="006423D7"/>
    <w:rsid w:val="0064600B"/>
    <w:rsid w:val="00656F19"/>
    <w:rsid w:val="00660E3E"/>
    <w:rsid w:val="00662E74"/>
    <w:rsid w:val="00666E47"/>
    <w:rsid w:val="006738F6"/>
    <w:rsid w:val="00676F87"/>
    <w:rsid w:val="00680C23"/>
    <w:rsid w:val="00683F85"/>
    <w:rsid w:val="00685E47"/>
    <w:rsid w:val="00691110"/>
    <w:rsid w:val="00693766"/>
    <w:rsid w:val="006A1BCA"/>
    <w:rsid w:val="006A23E9"/>
    <w:rsid w:val="006A3281"/>
    <w:rsid w:val="006B1093"/>
    <w:rsid w:val="006B4888"/>
    <w:rsid w:val="006C2BB9"/>
    <w:rsid w:val="006C2E45"/>
    <w:rsid w:val="006C359C"/>
    <w:rsid w:val="006C5579"/>
    <w:rsid w:val="006C7ECE"/>
    <w:rsid w:val="006D206D"/>
    <w:rsid w:val="006D6E8B"/>
    <w:rsid w:val="006E0DC2"/>
    <w:rsid w:val="006E737D"/>
    <w:rsid w:val="006E7EB1"/>
    <w:rsid w:val="006F3473"/>
    <w:rsid w:val="006F5CC0"/>
    <w:rsid w:val="00700958"/>
    <w:rsid w:val="00707009"/>
    <w:rsid w:val="00713973"/>
    <w:rsid w:val="00715D5D"/>
    <w:rsid w:val="00720A24"/>
    <w:rsid w:val="00725C8F"/>
    <w:rsid w:val="00732386"/>
    <w:rsid w:val="0073514D"/>
    <w:rsid w:val="00737407"/>
    <w:rsid w:val="007447F3"/>
    <w:rsid w:val="00752396"/>
    <w:rsid w:val="0075499F"/>
    <w:rsid w:val="007661C8"/>
    <w:rsid w:val="00766907"/>
    <w:rsid w:val="0077098D"/>
    <w:rsid w:val="00772DB6"/>
    <w:rsid w:val="00772E8D"/>
    <w:rsid w:val="00773FF8"/>
    <w:rsid w:val="00775DBE"/>
    <w:rsid w:val="007919B8"/>
    <w:rsid w:val="007931FA"/>
    <w:rsid w:val="00797C5E"/>
    <w:rsid w:val="007A298F"/>
    <w:rsid w:val="007A4861"/>
    <w:rsid w:val="007A7BBA"/>
    <w:rsid w:val="007B0321"/>
    <w:rsid w:val="007B0C50"/>
    <w:rsid w:val="007B48F9"/>
    <w:rsid w:val="007B61E2"/>
    <w:rsid w:val="007C1A43"/>
    <w:rsid w:val="007C20DB"/>
    <w:rsid w:val="007D0951"/>
    <w:rsid w:val="007D4189"/>
    <w:rsid w:val="007D77E2"/>
    <w:rsid w:val="007E29A1"/>
    <w:rsid w:val="007E4CFC"/>
    <w:rsid w:val="007F2F0B"/>
    <w:rsid w:val="007F391F"/>
    <w:rsid w:val="0080013E"/>
    <w:rsid w:val="00811C23"/>
    <w:rsid w:val="00813288"/>
    <w:rsid w:val="008168FC"/>
    <w:rsid w:val="008234C5"/>
    <w:rsid w:val="008237BC"/>
    <w:rsid w:val="00830996"/>
    <w:rsid w:val="008345F1"/>
    <w:rsid w:val="00842938"/>
    <w:rsid w:val="00843EAC"/>
    <w:rsid w:val="00865B07"/>
    <w:rsid w:val="008667EA"/>
    <w:rsid w:val="0087105F"/>
    <w:rsid w:val="0087637F"/>
    <w:rsid w:val="00892AD5"/>
    <w:rsid w:val="008A1512"/>
    <w:rsid w:val="008A33E3"/>
    <w:rsid w:val="008B3F26"/>
    <w:rsid w:val="008B7C03"/>
    <w:rsid w:val="008C367A"/>
    <w:rsid w:val="008D32B9"/>
    <w:rsid w:val="008D3C54"/>
    <w:rsid w:val="008D433B"/>
    <w:rsid w:val="008D4A16"/>
    <w:rsid w:val="008E07FB"/>
    <w:rsid w:val="008E566E"/>
    <w:rsid w:val="008F1F3F"/>
    <w:rsid w:val="008F30C4"/>
    <w:rsid w:val="008F3EDE"/>
    <w:rsid w:val="0090161A"/>
    <w:rsid w:val="00901DBC"/>
    <w:rsid w:val="00901EB6"/>
    <w:rsid w:val="00902EDA"/>
    <w:rsid w:val="00904C62"/>
    <w:rsid w:val="00915598"/>
    <w:rsid w:val="00922BA8"/>
    <w:rsid w:val="00924DAC"/>
    <w:rsid w:val="00927058"/>
    <w:rsid w:val="009365C3"/>
    <w:rsid w:val="00942750"/>
    <w:rsid w:val="009427DD"/>
    <w:rsid w:val="009450CE"/>
    <w:rsid w:val="0094546C"/>
    <w:rsid w:val="009459BB"/>
    <w:rsid w:val="009461CD"/>
    <w:rsid w:val="00947179"/>
    <w:rsid w:val="0095164B"/>
    <w:rsid w:val="00954090"/>
    <w:rsid w:val="00955F43"/>
    <w:rsid w:val="009573E7"/>
    <w:rsid w:val="0096178A"/>
    <w:rsid w:val="00963E05"/>
    <w:rsid w:val="00964A45"/>
    <w:rsid w:val="00965658"/>
    <w:rsid w:val="00966949"/>
    <w:rsid w:val="00967843"/>
    <w:rsid w:val="00967D54"/>
    <w:rsid w:val="00971028"/>
    <w:rsid w:val="00983FB4"/>
    <w:rsid w:val="00993B84"/>
    <w:rsid w:val="00996483"/>
    <w:rsid w:val="00996F5A"/>
    <w:rsid w:val="00997660"/>
    <w:rsid w:val="009B041A"/>
    <w:rsid w:val="009C0C28"/>
    <w:rsid w:val="009C2D84"/>
    <w:rsid w:val="009C37C3"/>
    <w:rsid w:val="009C7C86"/>
    <w:rsid w:val="009D2FF7"/>
    <w:rsid w:val="009D54D9"/>
    <w:rsid w:val="009E226F"/>
    <w:rsid w:val="009E7884"/>
    <w:rsid w:val="009E788A"/>
    <w:rsid w:val="009F0E08"/>
    <w:rsid w:val="00A00FAB"/>
    <w:rsid w:val="00A02721"/>
    <w:rsid w:val="00A1763D"/>
    <w:rsid w:val="00A17CEC"/>
    <w:rsid w:val="00A20119"/>
    <w:rsid w:val="00A20E22"/>
    <w:rsid w:val="00A27EF0"/>
    <w:rsid w:val="00A338D3"/>
    <w:rsid w:val="00A42361"/>
    <w:rsid w:val="00A50B20"/>
    <w:rsid w:val="00A51390"/>
    <w:rsid w:val="00A53DA3"/>
    <w:rsid w:val="00A60D13"/>
    <w:rsid w:val="00A611A4"/>
    <w:rsid w:val="00A65A59"/>
    <w:rsid w:val="00A66BBA"/>
    <w:rsid w:val="00A7223D"/>
    <w:rsid w:val="00A72745"/>
    <w:rsid w:val="00A73B78"/>
    <w:rsid w:val="00A76EFC"/>
    <w:rsid w:val="00A87D50"/>
    <w:rsid w:val="00A91010"/>
    <w:rsid w:val="00A9563C"/>
    <w:rsid w:val="00A97F29"/>
    <w:rsid w:val="00AA6D87"/>
    <w:rsid w:val="00AA702E"/>
    <w:rsid w:val="00AA794A"/>
    <w:rsid w:val="00AA7D26"/>
    <w:rsid w:val="00AB0964"/>
    <w:rsid w:val="00AB1C16"/>
    <w:rsid w:val="00AB5011"/>
    <w:rsid w:val="00AC0031"/>
    <w:rsid w:val="00AC29D9"/>
    <w:rsid w:val="00AC5D79"/>
    <w:rsid w:val="00AC7368"/>
    <w:rsid w:val="00AD16B9"/>
    <w:rsid w:val="00AD1B9E"/>
    <w:rsid w:val="00AE377D"/>
    <w:rsid w:val="00AF0EBA"/>
    <w:rsid w:val="00B00839"/>
    <w:rsid w:val="00B02C8A"/>
    <w:rsid w:val="00B121A6"/>
    <w:rsid w:val="00B13C06"/>
    <w:rsid w:val="00B15EBF"/>
    <w:rsid w:val="00B179ED"/>
    <w:rsid w:val="00B17FBD"/>
    <w:rsid w:val="00B242B1"/>
    <w:rsid w:val="00B315A6"/>
    <w:rsid w:val="00B31813"/>
    <w:rsid w:val="00B33365"/>
    <w:rsid w:val="00B37D83"/>
    <w:rsid w:val="00B54173"/>
    <w:rsid w:val="00B545A2"/>
    <w:rsid w:val="00B57B36"/>
    <w:rsid w:val="00B57E6F"/>
    <w:rsid w:val="00B648B9"/>
    <w:rsid w:val="00B674B2"/>
    <w:rsid w:val="00B8686D"/>
    <w:rsid w:val="00B91978"/>
    <w:rsid w:val="00B92240"/>
    <w:rsid w:val="00B93F69"/>
    <w:rsid w:val="00BA5CC2"/>
    <w:rsid w:val="00BB1DDC"/>
    <w:rsid w:val="00BC30C9"/>
    <w:rsid w:val="00BD077D"/>
    <w:rsid w:val="00BD652A"/>
    <w:rsid w:val="00BD702A"/>
    <w:rsid w:val="00BE3E58"/>
    <w:rsid w:val="00BE3EFE"/>
    <w:rsid w:val="00BF4798"/>
    <w:rsid w:val="00BF4A58"/>
    <w:rsid w:val="00BF730A"/>
    <w:rsid w:val="00BF7B7C"/>
    <w:rsid w:val="00C01616"/>
    <w:rsid w:val="00C0162B"/>
    <w:rsid w:val="00C0301D"/>
    <w:rsid w:val="00C031B6"/>
    <w:rsid w:val="00C068ED"/>
    <w:rsid w:val="00C11C26"/>
    <w:rsid w:val="00C1422C"/>
    <w:rsid w:val="00C20408"/>
    <w:rsid w:val="00C22E0C"/>
    <w:rsid w:val="00C258B3"/>
    <w:rsid w:val="00C345B1"/>
    <w:rsid w:val="00C40142"/>
    <w:rsid w:val="00C4165A"/>
    <w:rsid w:val="00C52C3C"/>
    <w:rsid w:val="00C57182"/>
    <w:rsid w:val="00C57863"/>
    <w:rsid w:val="00C640AF"/>
    <w:rsid w:val="00C655FD"/>
    <w:rsid w:val="00C66667"/>
    <w:rsid w:val="00C71119"/>
    <w:rsid w:val="00C72BC5"/>
    <w:rsid w:val="00C75407"/>
    <w:rsid w:val="00C83EF2"/>
    <w:rsid w:val="00C864F7"/>
    <w:rsid w:val="00C870A8"/>
    <w:rsid w:val="00C94434"/>
    <w:rsid w:val="00C970C6"/>
    <w:rsid w:val="00CA0D4A"/>
    <w:rsid w:val="00CA0D75"/>
    <w:rsid w:val="00CA1C95"/>
    <w:rsid w:val="00CA5A9C"/>
    <w:rsid w:val="00CC4C20"/>
    <w:rsid w:val="00CC5620"/>
    <w:rsid w:val="00CC7320"/>
    <w:rsid w:val="00CC7C82"/>
    <w:rsid w:val="00CD3517"/>
    <w:rsid w:val="00CD5F75"/>
    <w:rsid w:val="00CD5FE2"/>
    <w:rsid w:val="00CD64B5"/>
    <w:rsid w:val="00CE38E9"/>
    <w:rsid w:val="00CE7C68"/>
    <w:rsid w:val="00D02B4C"/>
    <w:rsid w:val="00D040C4"/>
    <w:rsid w:val="00D17D12"/>
    <w:rsid w:val="00D20AD1"/>
    <w:rsid w:val="00D35A9B"/>
    <w:rsid w:val="00D412CD"/>
    <w:rsid w:val="00D46B7E"/>
    <w:rsid w:val="00D53122"/>
    <w:rsid w:val="00D56123"/>
    <w:rsid w:val="00D57C84"/>
    <w:rsid w:val="00D6057D"/>
    <w:rsid w:val="00D6238C"/>
    <w:rsid w:val="00D648EC"/>
    <w:rsid w:val="00D65A34"/>
    <w:rsid w:val="00D7019F"/>
    <w:rsid w:val="00D71640"/>
    <w:rsid w:val="00D771BE"/>
    <w:rsid w:val="00D80A68"/>
    <w:rsid w:val="00D819A2"/>
    <w:rsid w:val="00D836C5"/>
    <w:rsid w:val="00D84576"/>
    <w:rsid w:val="00D941EA"/>
    <w:rsid w:val="00DA0B21"/>
    <w:rsid w:val="00DA1399"/>
    <w:rsid w:val="00DA24C6"/>
    <w:rsid w:val="00DA4D7B"/>
    <w:rsid w:val="00DB1013"/>
    <w:rsid w:val="00DB3233"/>
    <w:rsid w:val="00DC26BF"/>
    <w:rsid w:val="00DD271C"/>
    <w:rsid w:val="00DE264A"/>
    <w:rsid w:val="00DE7CD8"/>
    <w:rsid w:val="00DF5072"/>
    <w:rsid w:val="00DF5D54"/>
    <w:rsid w:val="00DF65A3"/>
    <w:rsid w:val="00E02D18"/>
    <w:rsid w:val="00E041E7"/>
    <w:rsid w:val="00E079C4"/>
    <w:rsid w:val="00E23CA1"/>
    <w:rsid w:val="00E26C56"/>
    <w:rsid w:val="00E303C4"/>
    <w:rsid w:val="00E33DD7"/>
    <w:rsid w:val="00E400A1"/>
    <w:rsid w:val="00E409A8"/>
    <w:rsid w:val="00E414AD"/>
    <w:rsid w:val="00E455D2"/>
    <w:rsid w:val="00E50C12"/>
    <w:rsid w:val="00E62576"/>
    <w:rsid w:val="00E65B91"/>
    <w:rsid w:val="00E7209D"/>
    <w:rsid w:val="00E72EAD"/>
    <w:rsid w:val="00E77223"/>
    <w:rsid w:val="00E80092"/>
    <w:rsid w:val="00E845A8"/>
    <w:rsid w:val="00E8528B"/>
    <w:rsid w:val="00E85B94"/>
    <w:rsid w:val="00E934D0"/>
    <w:rsid w:val="00E95B12"/>
    <w:rsid w:val="00E978D0"/>
    <w:rsid w:val="00EA4613"/>
    <w:rsid w:val="00EA7F91"/>
    <w:rsid w:val="00EB1523"/>
    <w:rsid w:val="00EC0E49"/>
    <w:rsid w:val="00EC101F"/>
    <w:rsid w:val="00EC1D9F"/>
    <w:rsid w:val="00EE0131"/>
    <w:rsid w:val="00EE17B0"/>
    <w:rsid w:val="00EE32E8"/>
    <w:rsid w:val="00EE7829"/>
    <w:rsid w:val="00EF06D9"/>
    <w:rsid w:val="00EF5203"/>
    <w:rsid w:val="00EF550E"/>
    <w:rsid w:val="00F13A8E"/>
    <w:rsid w:val="00F3049E"/>
    <w:rsid w:val="00F30C64"/>
    <w:rsid w:val="00F32BA2"/>
    <w:rsid w:val="00F32CDB"/>
    <w:rsid w:val="00F4454D"/>
    <w:rsid w:val="00F565FE"/>
    <w:rsid w:val="00F60EEE"/>
    <w:rsid w:val="00F63A70"/>
    <w:rsid w:val="00F63D8C"/>
    <w:rsid w:val="00F669D0"/>
    <w:rsid w:val="00F709FE"/>
    <w:rsid w:val="00F7534E"/>
    <w:rsid w:val="00F825DF"/>
    <w:rsid w:val="00F93EDF"/>
    <w:rsid w:val="00FA1802"/>
    <w:rsid w:val="00FA21D0"/>
    <w:rsid w:val="00FA5F5F"/>
    <w:rsid w:val="00FB730C"/>
    <w:rsid w:val="00FC2695"/>
    <w:rsid w:val="00FC3E03"/>
    <w:rsid w:val="00FC3FC1"/>
    <w:rsid w:val="00FD5AB6"/>
    <w:rsid w:val="00FE066B"/>
    <w:rsid w:val="00FE299A"/>
    <w:rsid w:val="00FF1373"/>
    <w:rsid w:val="00FF43D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00050D"/>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qFormat/>
    <w:rsid w:val="00280FAF"/>
    <w:pPr>
      <w:ind w:left="720"/>
      <w:contextualSpacing/>
    </w:pPr>
  </w:style>
  <w:style w:type="character" w:customStyle="1" w:styleId="jlqj4b">
    <w:name w:val="jlqj4b"/>
    <w:basedOn w:val="Fuentedeprrafopredeter"/>
    <w:rsid w:val="00B179ED"/>
  </w:style>
  <w:style w:type="character" w:customStyle="1" w:styleId="rynqvb">
    <w:name w:val="rynqvb"/>
    <w:basedOn w:val="Fuentedeprrafopredeter"/>
    <w:rsid w:val="001A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34DDF-78D4-45E8-8F50-91A239FE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11166</Words>
  <Characters>63650</Characters>
  <Application>Microsoft Office Word</Application>
  <DocSecurity>0</DocSecurity>
  <Lines>530</Lines>
  <Paragraphs>149</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74667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Karina Ojeda</cp:lastModifiedBy>
  <cp:revision>4</cp:revision>
  <cp:lastPrinted>2015-05-12T18:31:00Z</cp:lastPrinted>
  <dcterms:created xsi:type="dcterms:W3CDTF">2024-04-01T14:15:00Z</dcterms:created>
  <dcterms:modified xsi:type="dcterms:W3CDTF">2024-04-01T14:57:00Z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http://www.zotero.org/styles/energy-and-fuels</vt:lpwstr>
  </property>
  <property fmtid="{D5CDD505-2E9C-101B-9397-08002B2CF9AE}" pid="17" name="Mendeley Recent Style Name 6_1">
    <vt:lpwstr>Energy &amp; Fuels</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9th edition</vt:lpwstr>
  </property>
  <property fmtid="{D5CDD505-2E9C-101B-9397-08002B2CF9AE}" pid="24" name="Mendeley Document_1">
    <vt:lpwstr>True</vt:lpwstr>
  </property>
  <property fmtid="{D5CDD505-2E9C-101B-9397-08002B2CF9AE}" pid="25" name="Mendeley Unique User Id_1">
    <vt:lpwstr>dbb6e7f5-275c-3313-9776-46427236e5a0</vt:lpwstr>
  </property>
  <property fmtid="{D5CDD505-2E9C-101B-9397-08002B2CF9AE}" pid="26" name="Mendeley Citation Style_1">
    <vt:lpwstr>http://www.zotero.org/styles/apa</vt:lpwstr>
  </property>
  <property fmtid="{D5CDD505-2E9C-101B-9397-08002B2CF9AE}" pid="27" name="GrammarlyDocumentId">
    <vt:lpwstr>bcb5e265e96a48edc7190e4c5d521de1eea074a860e32a169a110361909047f2</vt:lpwstr>
  </property>
</Properties>
</file>