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707B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5BB38D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707B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707B6">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E55138B" w14:textId="5B1502A7" w:rsidR="00C96AB4" w:rsidRPr="00C96AB4" w:rsidRDefault="00A707B6" w:rsidP="00C96AB4">
      <w:pPr>
        <w:pStyle w:val="CETTitle"/>
        <w:spacing w:after="240"/>
      </w:pPr>
      <w:r>
        <w:t xml:space="preserve">Microemulsion </w:t>
      </w:r>
      <w:r w:rsidR="00C96AB4">
        <w:t>modeling</w:t>
      </w:r>
      <w:r>
        <w:t xml:space="preserve"> of biodiesel to describe fuel upgrading using emulsified</w:t>
      </w:r>
      <w:r w:rsidR="00982038">
        <w:t xml:space="preserve"> </w:t>
      </w:r>
      <w:r w:rsidR="00C96AB4">
        <w:t>water</w:t>
      </w:r>
    </w:p>
    <w:p w14:paraId="0488FED2" w14:textId="18364F53" w:rsidR="00B57E6F" w:rsidRPr="00C96AB4" w:rsidRDefault="00A707B6" w:rsidP="00B57E6F">
      <w:pPr>
        <w:pStyle w:val="CETAuthors"/>
        <w:rPr>
          <w:lang w:val="pt-BR"/>
        </w:rPr>
      </w:pPr>
      <w:r w:rsidRPr="00C96AB4">
        <w:rPr>
          <w:lang w:val="pt-BR"/>
        </w:rPr>
        <w:t>Nadia G.</w:t>
      </w:r>
      <w:r w:rsidR="00982038" w:rsidRPr="00C96AB4">
        <w:rPr>
          <w:lang w:val="pt-BR"/>
        </w:rPr>
        <w:t xml:space="preserve"> Khouri</w:t>
      </w:r>
      <w:r w:rsidRPr="00C96AB4">
        <w:rPr>
          <w:lang w:val="pt-BR"/>
        </w:rPr>
        <w:t>*, Rubens Maciel Filho</w:t>
      </w:r>
    </w:p>
    <w:p w14:paraId="3D72B0B0" w14:textId="3CCB5501" w:rsidR="00B57E6F" w:rsidRPr="00982038" w:rsidRDefault="00982038" w:rsidP="00982038">
      <w:pPr>
        <w:pStyle w:val="Els-Affiliation"/>
        <w:spacing w:after="120"/>
        <w:jc w:val="both"/>
        <w:rPr>
          <w:lang w:val="en-US"/>
        </w:rPr>
      </w:pPr>
      <w:r w:rsidRPr="00973EB1">
        <w:t>State University of Campinas (UNICAMP)</w:t>
      </w:r>
      <w:r>
        <w:t xml:space="preserve">, </w:t>
      </w:r>
      <w:r w:rsidRPr="00973EB1">
        <w:t>School of Chemical Engineering</w:t>
      </w:r>
      <w:r>
        <w:t xml:space="preserve">, </w:t>
      </w:r>
      <w:r w:rsidRPr="00973EB1">
        <w:t xml:space="preserve">Av. </w:t>
      </w:r>
      <w:r w:rsidRPr="009E038C">
        <w:rPr>
          <w:lang w:val="en-US"/>
        </w:rPr>
        <w:t>Albert Einstein, 500, Campinas, 13083-852, Brazil.</w:t>
      </w:r>
      <w:r w:rsidR="00B57E6F" w:rsidRPr="00B57B36">
        <w:t xml:space="preserve"> </w:t>
      </w:r>
    </w:p>
    <w:p w14:paraId="03F966A7" w14:textId="55016D37" w:rsidR="00982038" w:rsidRPr="00982038" w:rsidRDefault="00982038" w:rsidP="00982038">
      <w:pPr>
        <w:pStyle w:val="CETemail"/>
      </w:pPr>
      <w:r w:rsidRPr="00982038">
        <w:t>*</w:t>
      </w:r>
      <w:r w:rsidR="00D87F8C">
        <w:t>nadiagk</w:t>
      </w:r>
      <w:r w:rsidRPr="00982038">
        <w:t>@</w:t>
      </w:r>
      <w:r w:rsidR="00D87F8C">
        <w:t>unicamp.br</w:t>
      </w:r>
    </w:p>
    <w:p w14:paraId="3141DEA5" w14:textId="4ED261A5" w:rsidR="00982038" w:rsidRDefault="00982038" w:rsidP="00982038">
      <w:pPr>
        <w:pStyle w:val="CETBodytext"/>
        <w:rPr>
          <w:lang w:val="en-GB"/>
        </w:rPr>
      </w:pPr>
      <w:r w:rsidRPr="00982038">
        <w:rPr>
          <w:lang w:val="en-GB"/>
        </w:rPr>
        <w:t>Diesel is an essential energy source in heavy-duty vehicles due to its high energy</w:t>
      </w:r>
      <w:r>
        <w:rPr>
          <w:lang w:val="en-GB"/>
        </w:rPr>
        <w:t xml:space="preserve"> </w:t>
      </w:r>
      <w:r w:rsidRPr="00982038">
        <w:rPr>
          <w:lang w:val="en-GB"/>
        </w:rPr>
        <w:t>density and combustion efficiency. However, its non-renewable nature and high pollution</w:t>
      </w:r>
      <w:r>
        <w:rPr>
          <w:lang w:val="en-GB"/>
        </w:rPr>
        <w:t xml:space="preserve"> </w:t>
      </w:r>
      <w:r w:rsidRPr="00982038">
        <w:rPr>
          <w:lang w:val="en-GB"/>
        </w:rPr>
        <w:t xml:space="preserve">emissions are inherent challenges that are sought to </w:t>
      </w:r>
      <w:r w:rsidR="00D87F8C">
        <w:rPr>
          <w:lang w:val="en-GB"/>
        </w:rPr>
        <w:t>be overcome</w:t>
      </w:r>
      <w:r w:rsidRPr="00982038">
        <w:rPr>
          <w:lang w:val="en-GB"/>
        </w:rPr>
        <w:t>. The production of</w:t>
      </w:r>
      <w:r>
        <w:rPr>
          <w:lang w:val="en-GB"/>
        </w:rPr>
        <w:t xml:space="preserve"> </w:t>
      </w:r>
      <w:r w:rsidRPr="00982038">
        <w:rPr>
          <w:lang w:val="en-GB"/>
        </w:rPr>
        <w:t>biodiesel is a reality to ensure a renewable fuel source, being currently used in a mixture</w:t>
      </w:r>
      <w:r>
        <w:rPr>
          <w:lang w:val="en-GB"/>
        </w:rPr>
        <w:t xml:space="preserve"> </w:t>
      </w:r>
      <w:r w:rsidRPr="00982038">
        <w:rPr>
          <w:lang w:val="en-GB"/>
        </w:rPr>
        <w:t>with conventional diesel in a percentage up to 12% in Brazil. The pollution emissions</w:t>
      </w:r>
      <w:r>
        <w:rPr>
          <w:lang w:val="en-GB"/>
        </w:rPr>
        <w:t xml:space="preserve"> </w:t>
      </w:r>
      <w:r w:rsidRPr="00982038">
        <w:rPr>
          <w:lang w:val="en-GB"/>
        </w:rPr>
        <w:t>are usually settled by using catalysts</w:t>
      </w:r>
      <w:r w:rsidR="00D87F8C">
        <w:rPr>
          <w:lang w:val="en-GB"/>
        </w:rPr>
        <w:t>. H</w:t>
      </w:r>
      <w:r w:rsidRPr="00982038">
        <w:rPr>
          <w:lang w:val="en-GB"/>
        </w:rPr>
        <w:t>owever</w:t>
      </w:r>
      <w:r w:rsidR="00D87F8C">
        <w:rPr>
          <w:lang w:val="en-GB"/>
        </w:rPr>
        <w:t>,</w:t>
      </w:r>
      <w:r w:rsidRPr="00982038">
        <w:rPr>
          <w:lang w:val="en-GB"/>
        </w:rPr>
        <w:t xml:space="preserve"> water/diesel (W/D)</w:t>
      </w:r>
      <w:r>
        <w:rPr>
          <w:lang w:val="en-GB"/>
        </w:rPr>
        <w:t xml:space="preserve"> </w:t>
      </w:r>
      <w:r w:rsidRPr="00982038">
        <w:rPr>
          <w:lang w:val="en-GB"/>
        </w:rPr>
        <w:t xml:space="preserve">microemulsions </w:t>
      </w:r>
      <w:r w:rsidR="00D87F8C">
        <w:rPr>
          <w:lang w:val="en-GB"/>
        </w:rPr>
        <w:t>are</w:t>
      </w:r>
      <w:r w:rsidRPr="00982038">
        <w:rPr>
          <w:lang w:val="en-GB"/>
        </w:rPr>
        <w:t xml:space="preserve"> a potential and promising solution. Taking this into account, a</w:t>
      </w:r>
      <w:r>
        <w:rPr>
          <w:lang w:val="en-GB"/>
        </w:rPr>
        <w:t xml:space="preserve"> </w:t>
      </w:r>
      <w:r w:rsidRPr="00982038">
        <w:rPr>
          <w:lang w:val="en-GB"/>
        </w:rPr>
        <w:t>populational balance model was developed and computationally implemented, in Python</w:t>
      </w:r>
      <w:r>
        <w:rPr>
          <w:lang w:val="en-GB"/>
        </w:rPr>
        <w:t xml:space="preserve"> </w:t>
      </w:r>
      <w:r w:rsidRPr="00982038">
        <w:rPr>
          <w:lang w:val="en-GB"/>
        </w:rPr>
        <w:t>language, to describe W/D microemulsions formed using emulsifiers and agitation with</w:t>
      </w:r>
      <w:r>
        <w:rPr>
          <w:lang w:val="en-GB"/>
        </w:rPr>
        <w:t xml:space="preserve"> </w:t>
      </w:r>
      <w:r w:rsidRPr="00982038">
        <w:rPr>
          <w:lang w:val="en-GB"/>
        </w:rPr>
        <w:t xml:space="preserve">a homogenizer. The water </w:t>
      </w:r>
      <w:r w:rsidR="00D87F8C">
        <w:rPr>
          <w:lang w:val="en-GB"/>
        </w:rPr>
        <w:t>droplet</w:t>
      </w:r>
      <w:r w:rsidRPr="00982038">
        <w:rPr>
          <w:lang w:val="en-GB"/>
        </w:rPr>
        <w:t xml:space="preserve"> distribution was properly determined, and the</w:t>
      </w:r>
      <w:r>
        <w:rPr>
          <w:lang w:val="en-GB"/>
        </w:rPr>
        <w:t xml:space="preserve"> </w:t>
      </w:r>
      <w:r w:rsidRPr="00982038">
        <w:rPr>
          <w:lang w:val="en-GB"/>
        </w:rPr>
        <w:t xml:space="preserve">influence of parameters could be </w:t>
      </w:r>
      <w:r w:rsidR="00D87F8C">
        <w:rPr>
          <w:lang w:val="en-GB"/>
        </w:rPr>
        <w:t>analyzed</w:t>
      </w:r>
      <w:r w:rsidRPr="00982038">
        <w:rPr>
          <w:lang w:val="en-GB"/>
        </w:rPr>
        <w:t>. The objective of this work is to evaluate the</w:t>
      </w:r>
      <w:r>
        <w:rPr>
          <w:lang w:val="en-GB"/>
        </w:rPr>
        <w:t xml:space="preserve"> </w:t>
      </w:r>
      <w:r w:rsidRPr="00982038">
        <w:rPr>
          <w:lang w:val="en-GB"/>
        </w:rPr>
        <w:t>capability of this phenomenological model to describe the process and use it to</w:t>
      </w:r>
      <w:r>
        <w:rPr>
          <w:lang w:val="en-GB"/>
        </w:rPr>
        <w:t xml:space="preserve"> </w:t>
      </w:r>
      <w:r w:rsidRPr="00982038">
        <w:rPr>
          <w:lang w:val="en-GB"/>
        </w:rPr>
        <w:t>represent a system using biodiesel. The validation of the considered assumptions was</w:t>
      </w:r>
      <w:r>
        <w:rPr>
          <w:lang w:val="en-GB"/>
        </w:rPr>
        <w:t xml:space="preserve"> </w:t>
      </w:r>
      <w:r w:rsidRPr="00982038">
        <w:rPr>
          <w:lang w:val="en-GB"/>
        </w:rPr>
        <w:t>achieved by comparing the computational results with experimental data. As expected, a</w:t>
      </w:r>
      <w:r>
        <w:rPr>
          <w:lang w:val="en-GB"/>
        </w:rPr>
        <w:t xml:space="preserve"> </w:t>
      </w:r>
      <w:r w:rsidRPr="00982038">
        <w:rPr>
          <w:lang w:val="en-GB"/>
        </w:rPr>
        <w:t>correction factor was used to ensure the adequate portrayal of the micrometric scale. The</w:t>
      </w:r>
      <w:r>
        <w:rPr>
          <w:lang w:val="en-GB"/>
        </w:rPr>
        <w:t xml:space="preserve"> </w:t>
      </w:r>
      <w:r w:rsidRPr="00982038">
        <w:rPr>
          <w:lang w:val="en-GB"/>
        </w:rPr>
        <w:t xml:space="preserve">proposed methodology proved to be a reliable tool </w:t>
      </w:r>
      <w:r w:rsidR="00D87F8C">
        <w:rPr>
          <w:lang w:val="en-GB"/>
        </w:rPr>
        <w:t>for determining</w:t>
      </w:r>
      <w:r w:rsidRPr="00982038">
        <w:rPr>
          <w:lang w:val="en-GB"/>
        </w:rPr>
        <w:t xml:space="preserve"> the characteristics of biodiesel microemulsions with fewer experimental efforts.</w:t>
      </w:r>
      <w:r>
        <w:rPr>
          <w:lang w:val="en-GB"/>
        </w:rPr>
        <w:t xml:space="preserve"> </w:t>
      </w:r>
    </w:p>
    <w:p w14:paraId="4EF89E06" w14:textId="77777777" w:rsidR="00CC4A71" w:rsidRDefault="00CC4A71" w:rsidP="00982038">
      <w:pPr>
        <w:pStyle w:val="CETBodytext"/>
        <w:rPr>
          <w:lang w:val="en-GB"/>
        </w:rPr>
      </w:pPr>
    </w:p>
    <w:p w14:paraId="4D552B7C" w14:textId="45124922" w:rsidR="00CC4A71" w:rsidRDefault="00600535" w:rsidP="00CC4A71">
      <w:pPr>
        <w:pStyle w:val="CETHeading1"/>
        <w:rPr>
          <w:lang w:val="en-GB"/>
        </w:rPr>
      </w:pPr>
      <w:r w:rsidRPr="00B57B36">
        <w:rPr>
          <w:lang w:val="en-GB"/>
        </w:rPr>
        <w:t>Introduction</w:t>
      </w:r>
    </w:p>
    <w:p w14:paraId="3E4A925D" w14:textId="77777777" w:rsidR="006E1B11" w:rsidRPr="006E1B11" w:rsidRDefault="006E1B11" w:rsidP="006E1B11">
      <w:pPr>
        <w:pStyle w:val="CETBodytext"/>
        <w:rPr>
          <w:lang w:val="en-GB"/>
        </w:rPr>
      </w:pPr>
    </w:p>
    <w:p w14:paraId="5BA9679D" w14:textId="6099BF28" w:rsidR="006E1210" w:rsidRDefault="00630173" w:rsidP="00982038">
      <w:pPr>
        <w:pStyle w:val="CETBodytext"/>
        <w:rPr>
          <w:lang w:val="en-GB"/>
        </w:rPr>
      </w:pPr>
      <w:r>
        <w:rPr>
          <w:lang w:val="en-GB"/>
        </w:rPr>
        <w:t>D</w:t>
      </w:r>
      <w:r w:rsidR="00982038" w:rsidRPr="00982038">
        <w:rPr>
          <w:lang w:val="en-GB"/>
        </w:rPr>
        <w:t xml:space="preserve">iesel engines </w:t>
      </w:r>
      <w:r>
        <w:rPr>
          <w:lang w:val="en-GB"/>
        </w:rPr>
        <w:t xml:space="preserve">have the </w:t>
      </w:r>
      <w:r w:rsidRPr="00630173">
        <w:rPr>
          <w:lang w:val="en-GB"/>
        </w:rPr>
        <w:t>potential to withstand high compressions, resulting in durability and compatibility for heavy vehicles</w:t>
      </w:r>
      <w:r>
        <w:rPr>
          <w:lang w:val="en-GB"/>
        </w:rPr>
        <w:t>. Thus, the</w:t>
      </w:r>
      <w:r w:rsidR="00982038" w:rsidRPr="00982038">
        <w:rPr>
          <w:lang w:val="en-GB"/>
        </w:rPr>
        <w:t xml:space="preserve"> high </w:t>
      </w:r>
      <w:r>
        <w:rPr>
          <w:lang w:val="en-GB"/>
        </w:rPr>
        <w:t xml:space="preserve">efficiency of diesel as a fuel </w:t>
      </w:r>
      <w:r w:rsidR="00D87F8C">
        <w:rPr>
          <w:lang w:val="en-GB"/>
        </w:rPr>
        <w:t>ensures</w:t>
      </w:r>
      <w:r>
        <w:rPr>
          <w:lang w:val="en-GB"/>
        </w:rPr>
        <w:t xml:space="preserve"> its importance as a power source. However, the </w:t>
      </w:r>
      <w:r w:rsidRPr="00982038">
        <w:rPr>
          <w:lang w:val="en-GB"/>
        </w:rPr>
        <w:t>high emission of polluting gases</w:t>
      </w:r>
      <w:r>
        <w:rPr>
          <w:lang w:val="en-GB"/>
        </w:rPr>
        <w:t xml:space="preserve"> involved in</w:t>
      </w:r>
      <w:r w:rsidR="00DF7D0E">
        <w:rPr>
          <w:lang w:val="en-GB"/>
        </w:rPr>
        <w:t xml:space="preserve"> the combustion is an environmental issue that limits its usage. The combustion between nitrogen (N</w:t>
      </w:r>
      <w:r w:rsidR="00DF7D0E" w:rsidRPr="00DF7D0E">
        <w:rPr>
          <w:vertAlign w:val="subscript"/>
          <w:lang w:val="en-GB"/>
        </w:rPr>
        <w:t>2</w:t>
      </w:r>
      <w:r w:rsidR="00DF7D0E">
        <w:rPr>
          <w:lang w:val="en-GB"/>
        </w:rPr>
        <w:t>) and oxygen (O</w:t>
      </w:r>
      <w:r w:rsidR="00DF7D0E" w:rsidRPr="00DF7D0E">
        <w:rPr>
          <w:vertAlign w:val="subscript"/>
          <w:lang w:val="en-GB"/>
        </w:rPr>
        <w:t>2</w:t>
      </w:r>
      <w:r w:rsidR="00DF7D0E">
        <w:rPr>
          <w:lang w:val="en-GB"/>
        </w:rPr>
        <w:t xml:space="preserve">) at around </w:t>
      </w:r>
      <w:r w:rsidR="00DF7D0E" w:rsidRPr="00982038">
        <w:rPr>
          <w:lang w:val="en-GB"/>
        </w:rPr>
        <w:t>1300 °C</w:t>
      </w:r>
      <w:r w:rsidR="00DF7D0E">
        <w:rPr>
          <w:lang w:val="en-GB"/>
        </w:rPr>
        <w:t xml:space="preserve"> produces </w:t>
      </w:r>
      <w:r w:rsidR="00DF7D0E" w:rsidRPr="00982038">
        <w:rPr>
          <w:lang w:val="en-GB"/>
        </w:rPr>
        <w:t>nitrogen monoxide (NO)</w:t>
      </w:r>
      <w:r w:rsidR="00DF7D0E">
        <w:rPr>
          <w:lang w:val="en-GB"/>
        </w:rPr>
        <w:t>, a</w:t>
      </w:r>
      <w:r w:rsidR="006E1210">
        <w:rPr>
          <w:lang w:val="en-GB"/>
        </w:rPr>
        <w:t xml:space="preserve"> lethal</w:t>
      </w:r>
      <w:r w:rsidR="00DF7D0E">
        <w:rPr>
          <w:lang w:val="en-GB"/>
        </w:rPr>
        <w:t xml:space="preserve"> air pollutant</w:t>
      </w:r>
      <w:r w:rsidR="00151568">
        <w:rPr>
          <w:lang w:val="en-GB"/>
        </w:rPr>
        <w:t xml:space="preserve"> (Driscoll, 1997)</w:t>
      </w:r>
      <w:r w:rsidR="00DF7D0E">
        <w:rPr>
          <w:lang w:val="en-GB"/>
        </w:rPr>
        <w:t>.</w:t>
      </w:r>
      <w:r w:rsidR="006E1210">
        <w:rPr>
          <w:lang w:val="en-GB"/>
        </w:rPr>
        <w:t xml:space="preserve"> </w:t>
      </w:r>
      <w:r w:rsidR="006E1210" w:rsidRPr="006E1210">
        <w:rPr>
          <w:lang w:val="en-GB"/>
        </w:rPr>
        <w:t xml:space="preserve">Lowering the required combustion temperature is a strategy that can be employed to minimize the release of </w:t>
      </w:r>
      <w:r w:rsidR="006E1210">
        <w:rPr>
          <w:lang w:val="en-GB"/>
        </w:rPr>
        <w:t>polluting emissions</w:t>
      </w:r>
      <w:r w:rsidR="006E1210" w:rsidRPr="006E1210">
        <w:rPr>
          <w:lang w:val="en-GB"/>
        </w:rPr>
        <w:t xml:space="preserve">, although it may impact the engine's performance. Enhancing diesel through the </w:t>
      </w:r>
      <w:r w:rsidR="006E1210">
        <w:rPr>
          <w:lang w:val="en-GB"/>
        </w:rPr>
        <w:t>formation</w:t>
      </w:r>
      <w:r w:rsidR="006E1210" w:rsidRPr="006E1210">
        <w:rPr>
          <w:lang w:val="en-GB"/>
        </w:rPr>
        <w:t xml:space="preserve"> of </w:t>
      </w:r>
      <w:r w:rsidR="00F818CA" w:rsidRPr="00F818CA">
        <w:rPr>
          <w:lang w:val="en-GB"/>
        </w:rPr>
        <w:t>water/diesel (W/D) microemulsions</w:t>
      </w:r>
      <w:r w:rsidR="00F818CA" w:rsidRPr="006E1210">
        <w:rPr>
          <w:lang w:val="en-GB"/>
        </w:rPr>
        <w:t xml:space="preserve"> </w:t>
      </w:r>
      <w:r w:rsidR="006E1210" w:rsidRPr="006E1210">
        <w:rPr>
          <w:lang w:val="en-GB"/>
        </w:rPr>
        <w:t>proves to be an efficient approach</w:t>
      </w:r>
      <w:r w:rsidR="00026306">
        <w:rPr>
          <w:lang w:val="en-GB"/>
        </w:rPr>
        <w:t xml:space="preserve"> (Debnath et al., 2015)</w:t>
      </w:r>
      <w:r w:rsidR="006E1210" w:rsidRPr="006E1210">
        <w:rPr>
          <w:lang w:val="en-GB"/>
        </w:rPr>
        <w:t>.</w:t>
      </w:r>
      <w:r w:rsidR="006E1210">
        <w:rPr>
          <w:lang w:val="en-GB"/>
        </w:rPr>
        <w:t xml:space="preserve"> The combustion of this dispersion</w:t>
      </w:r>
      <w:r w:rsidR="006E1210" w:rsidRPr="006E1210">
        <w:rPr>
          <w:lang w:val="en-GB"/>
        </w:rPr>
        <w:t xml:space="preserve"> induces a microexplosion</w:t>
      </w:r>
      <w:r w:rsidR="006E1210">
        <w:rPr>
          <w:lang w:val="en-GB"/>
        </w:rPr>
        <w:t xml:space="preserve"> of the water droplets</w:t>
      </w:r>
      <w:r w:rsidR="006E1210" w:rsidRPr="006E1210">
        <w:rPr>
          <w:lang w:val="en-GB"/>
        </w:rPr>
        <w:t>,</w:t>
      </w:r>
      <w:r w:rsidR="006E1210">
        <w:rPr>
          <w:lang w:val="en-GB"/>
        </w:rPr>
        <w:t xml:space="preserve"> </w:t>
      </w:r>
      <w:r w:rsidR="00D87F8C">
        <w:rPr>
          <w:lang w:val="en-GB"/>
        </w:rPr>
        <w:t>which</w:t>
      </w:r>
      <w:r w:rsidR="006E1210" w:rsidRPr="006E1210">
        <w:rPr>
          <w:lang w:val="en-GB"/>
        </w:rPr>
        <w:t xml:space="preserve"> lead</w:t>
      </w:r>
      <w:r w:rsidR="000E10DC">
        <w:rPr>
          <w:lang w:val="en-GB"/>
        </w:rPr>
        <w:t xml:space="preserve">s to an improvement of the engine efficiency due to the diesel atomization and </w:t>
      </w:r>
      <w:r w:rsidR="006E1210" w:rsidRPr="006E1210">
        <w:rPr>
          <w:lang w:val="en-GB"/>
        </w:rPr>
        <w:t>the endothermic nature of water vaporization</w:t>
      </w:r>
      <w:r w:rsidR="000E10DC">
        <w:rPr>
          <w:lang w:val="en-GB"/>
        </w:rPr>
        <w:t xml:space="preserve"> lowers the temperature, and consequently ensures a cleaner combustion</w:t>
      </w:r>
      <w:r w:rsidR="00026306">
        <w:rPr>
          <w:lang w:val="en-GB"/>
        </w:rPr>
        <w:t xml:space="preserve"> (Nissar et al., 2020)</w:t>
      </w:r>
      <w:r w:rsidR="006E1210" w:rsidRPr="006E1210">
        <w:rPr>
          <w:lang w:val="en-GB"/>
        </w:rPr>
        <w:t>.</w:t>
      </w:r>
    </w:p>
    <w:p w14:paraId="64548184" w14:textId="77777777" w:rsidR="00982038" w:rsidRPr="00982038" w:rsidRDefault="00982038" w:rsidP="00982038">
      <w:pPr>
        <w:pStyle w:val="CETBodytext"/>
        <w:rPr>
          <w:lang w:val="en-GB"/>
        </w:rPr>
      </w:pPr>
    </w:p>
    <w:p w14:paraId="20508153" w14:textId="4D44FD0F" w:rsidR="00F818CA" w:rsidRDefault="00F818CA" w:rsidP="00982038">
      <w:pPr>
        <w:pStyle w:val="CETBodytext"/>
        <w:rPr>
          <w:lang w:val="en-GB"/>
        </w:rPr>
      </w:pPr>
      <w:r w:rsidRPr="00F818CA">
        <w:rPr>
          <w:lang w:val="en-GB"/>
        </w:rPr>
        <w:t>Various methods can be employed to create W/D microemulsions</w:t>
      </w:r>
      <w:r>
        <w:rPr>
          <w:lang w:val="en-GB"/>
        </w:rPr>
        <w:t xml:space="preserve"> and the </w:t>
      </w:r>
      <w:r w:rsidRPr="00F818CA">
        <w:rPr>
          <w:lang w:val="en-GB"/>
        </w:rPr>
        <w:t>operational and physical factors exert an</w:t>
      </w:r>
      <w:r>
        <w:rPr>
          <w:lang w:val="en-GB"/>
        </w:rPr>
        <w:t xml:space="preserve"> important</w:t>
      </w:r>
      <w:r w:rsidRPr="00F818CA">
        <w:rPr>
          <w:lang w:val="en-GB"/>
        </w:rPr>
        <w:t xml:space="preserve"> influence on both engine efficiency and pollutant emissions.</w:t>
      </w:r>
      <w:r>
        <w:rPr>
          <w:lang w:val="en-GB"/>
        </w:rPr>
        <w:t xml:space="preserve"> L</w:t>
      </w:r>
      <w:r w:rsidRPr="00F818CA">
        <w:rPr>
          <w:lang w:val="en-GB"/>
        </w:rPr>
        <w:t>imited attention has been given to the development of phenomenological models</w:t>
      </w:r>
      <w:r>
        <w:rPr>
          <w:lang w:val="en-GB"/>
        </w:rPr>
        <w:t xml:space="preserve"> and </w:t>
      </w:r>
      <w:r w:rsidRPr="00F818CA">
        <w:rPr>
          <w:lang w:val="en-GB"/>
        </w:rPr>
        <w:t>this</w:t>
      </w:r>
      <w:r>
        <w:rPr>
          <w:lang w:val="en-GB"/>
        </w:rPr>
        <w:t xml:space="preserve"> </w:t>
      </w:r>
      <w:r w:rsidRPr="00F818CA">
        <w:rPr>
          <w:lang w:val="en-GB"/>
        </w:rPr>
        <w:t>gap</w:t>
      </w:r>
      <w:r>
        <w:rPr>
          <w:lang w:val="en-GB"/>
        </w:rPr>
        <w:t xml:space="preserve"> was addressed</w:t>
      </w:r>
      <w:r w:rsidRPr="00F818CA">
        <w:rPr>
          <w:lang w:val="en-GB"/>
        </w:rPr>
        <w:t xml:space="preserve"> by introducing population balances to elucidate the formation of W/D microemulsions through mechanical homogenization</w:t>
      </w:r>
      <w:r>
        <w:rPr>
          <w:lang w:val="en-GB"/>
        </w:rPr>
        <w:t xml:space="preserve"> with emulsifiers </w:t>
      </w:r>
      <w:r w:rsidRPr="00F818CA">
        <w:rPr>
          <w:lang w:val="en-GB"/>
        </w:rPr>
        <w:t>(Khouri et al., 2023)</w:t>
      </w:r>
      <w:r>
        <w:rPr>
          <w:lang w:val="en-GB"/>
        </w:rPr>
        <w:t xml:space="preserve">. Such </w:t>
      </w:r>
      <w:r w:rsidR="00D87F8C">
        <w:rPr>
          <w:lang w:val="en-GB"/>
        </w:rPr>
        <w:t xml:space="preserve">a </w:t>
      </w:r>
      <w:r>
        <w:rPr>
          <w:lang w:val="en-GB"/>
        </w:rPr>
        <w:t>model was</w:t>
      </w:r>
      <w:r w:rsidRPr="00F818CA">
        <w:rPr>
          <w:lang w:val="en-GB"/>
        </w:rPr>
        <w:t xml:space="preserve"> implemented using the Python programming language</w:t>
      </w:r>
      <w:r>
        <w:rPr>
          <w:lang w:val="en-GB"/>
        </w:rPr>
        <w:t xml:space="preserve"> and the </w:t>
      </w:r>
      <w:r w:rsidR="00704C4F">
        <w:rPr>
          <w:lang w:val="en-GB"/>
        </w:rPr>
        <w:t xml:space="preserve">following </w:t>
      </w:r>
      <w:r w:rsidRPr="00F818CA">
        <w:rPr>
          <w:lang w:val="en-GB"/>
        </w:rPr>
        <w:t>set of hypotheses</w:t>
      </w:r>
      <w:r w:rsidR="00704C4F">
        <w:rPr>
          <w:lang w:val="en-GB"/>
        </w:rPr>
        <w:t xml:space="preserve"> were necessary</w:t>
      </w:r>
      <w:r w:rsidRPr="00F818CA">
        <w:rPr>
          <w:lang w:val="en-GB"/>
        </w:rPr>
        <w:t xml:space="preserve"> to </w:t>
      </w:r>
      <w:r w:rsidR="00704C4F">
        <w:rPr>
          <w:lang w:val="en-GB"/>
        </w:rPr>
        <w:t xml:space="preserve">predict the </w:t>
      </w:r>
      <w:r w:rsidR="00D87F8C">
        <w:rPr>
          <w:lang w:val="en-GB"/>
        </w:rPr>
        <w:t>behavior</w:t>
      </w:r>
      <w:r w:rsidR="00704C4F">
        <w:rPr>
          <w:lang w:val="en-GB"/>
        </w:rPr>
        <w:t xml:space="preserve"> of</w:t>
      </w:r>
      <w:r w:rsidRPr="00F818CA">
        <w:rPr>
          <w:lang w:val="en-GB"/>
        </w:rPr>
        <w:t xml:space="preserve"> the micro-droplets of water in diesel</w:t>
      </w:r>
      <w:r w:rsidR="00704C4F">
        <w:rPr>
          <w:lang w:val="en-GB"/>
        </w:rPr>
        <w:t xml:space="preserve">: </w:t>
      </w:r>
    </w:p>
    <w:p w14:paraId="297182AC" w14:textId="77777777" w:rsidR="000B50F7" w:rsidRDefault="000B50F7" w:rsidP="00982038">
      <w:pPr>
        <w:pStyle w:val="CETBodytext"/>
        <w:rPr>
          <w:lang w:val="en-GB"/>
        </w:rPr>
      </w:pPr>
    </w:p>
    <w:p w14:paraId="5822746D" w14:textId="777F04C6" w:rsidR="000B50F7" w:rsidRPr="000B50F7" w:rsidRDefault="000B50F7" w:rsidP="000B50F7">
      <w:pPr>
        <w:pStyle w:val="CETBodytext"/>
        <w:numPr>
          <w:ilvl w:val="0"/>
          <w:numId w:val="23"/>
        </w:numPr>
        <w:spacing w:after="60"/>
        <w:ind w:left="714" w:hanging="357"/>
        <w:rPr>
          <w:lang w:val="en-GB"/>
        </w:rPr>
      </w:pPr>
      <w:r>
        <w:rPr>
          <w:lang w:val="en-GB"/>
        </w:rPr>
        <w:lastRenderedPageBreak/>
        <w:t>T</w:t>
      </w:r>
      <w:r w:rsidRPr="000B50F7">
        <w:rPr>
          <w:lang w:val="en-GB"/>
        </w:rPr>
        <w:t>he droplet volume is the main variable</w:t>
      </w:r>
      <w:r>
        <w:rPr>
          <w:lang w:val="en-GB"/>
        </w:rPr>
        <w:t xml:space="preserve"> – univariate </w:t>
      </w:r>
      <w:r w:rsidRPr="000B50F7">
        <w:rPr>
          <w:lang w:val="en-GB"/>
        </w:rPr>
        <w:t>population balance (</w:t>
      </w:r>
      <w:r w:rsidR="006F31DE">
        <w:rPr>
          <w:lang w:val="en-GB"/>
        </w:rPr>
        <w:t>M</w:t>
      </w:r>
      <w:r w:rsidR="006F31DE" w:rsidRPr="000B50F7">
        <w:rPr>
          <w:lang w:val="en-GB"/>
        </w:rPr>
        <w:t>archisio</w:t>
      </w:r>
      <w:r w:rsidR="006F31DE">
        <w:rPr>
          <w:lang w:val="en-GB"/>
        </w:rPr>
        <w:t xml:space="preserve"> and F</w:t>
      </w:r>
      <w:r w:rsidR="006F31DE" w:rsidRPr="000B50F7">
        <w:rPr>
          <w:lang w:val="en-GB"/>
        </w:rPr>
        <w:t>ox</w:t>
      </w:r>
      <w:r w:rsidRPr="000B50F7">
        <w:rPr>
          <w:lang w:val="en-GB"/>
        </w:rPr>
        <w:t>, 2013)</w:t>
      </w:r>
      <w:r w:rsidR="00295162">
        <w:rPr>
          <w:lang w:val="en-GB"/>
        </w:rPr>
        <w:t>.</w:t>
      </w:r>
    </w:p>
    <w:p w14:paraId="7A626A56" w14:textId="0B62D55E" w:rsidR="000B50F7" w:rsidRPr="000B50F7" w:rsidRDefault="000B50F7" w:rsidP="00DA0E50">
      <w:pPr>
        <w:pStyle w:val="CETBodytext"/>
        <w:numPr>
          <w:ilvl w:val="0"/>
          <w:numId w:val="23"/>
        </w:numPr>
        <w:spacing w:after="60"/>
        <w:ind w:left="714" w:hanging="357"/>
        <w:rPr>
          <w:lang w:val="en-GB"/>
        </w:rPr>
      </w:pPr>
      <w:r w:rsidRPr="000B50F7">
        <w:rPr>
          <w:lang w:val="en-GB"/>
        </w:rPr>
        <w:t xml:space="preserve">The system is </w:t>
      </w:r>
      <w:r w:rsidR="00D87F8C">
        <w:rPr>
          <w:lang w:val="en-GB"/>
        </w:rPr>
        <w:t>time-dependent</w:t>
      </w:r>
      <w:r w:rsidRPr="000B50F7">
        <w:rPr>
          <w:lang w:val="en-GB"/>
        </w:rPr>
        <w:t xml:space="preserve"> but not on spatial position – homogeneous and transient mixing</w:t>
      </w:r>
      <w:r w:rsidR="00295162">
        <w:rPr>
          <w:lang w:val="en-GB"/>
        </w:rPr>
        <w:t>.</w:t>
      </w:r>
    </w:p>
    <w:p w14:paraId="78008894" w14:textId="297A035B" w:rsidR="000B50F7" w:rsidRDefault="000B50F7" w:rsidP="000B50F7">
      <w:pPr>
        <w:pStyle w:val="CETBodytext"/>
        <w:numPr>
          <w:ilvl w:val="0"/>
          <w:numId w:val="23"/>
        </w:numPr>
        <w:spacing w:after="60"/>
        <w:ind w:left="714" w:hanging="357"/>
        <w:rPr>
          <w:lang w:val="en-GB"/>
        </w:rPr>
      </w:pPr>
      <w:r>
        <w:rPr>
          <w:lang w:val="en-GB"/>
        </w:rPr>
        <w:t xml:space="preserve">The </w:t>
      </w:r>
      <w:r w:rsidRPr="000B50F7">
        <w:rPr>
          <w:lang w:val="en-GB"/>
        </w:rPr>
        <w:t>momentum transfer</w:t>
      </w:r>
      <w:r>
        <w:rPr>
          <w:lang w:val="en-GB"/>
        </w:rPr>
        <w:t xml:space="preserve"> of the breakage processe</w:t>
      </w:r>
      <w:r w:rsidR="00295162">
        <w:rPr>
          <w:lang w:val="en-GB"/>
        </w:rPr>
        <w:t>s</w:t>
      </w:r>
      <w:r w:rsidRPr="000B50F7">
        <w:rPr>
          <w:lang w:val="en-GB"/>
        </w:rPr>
        <w:t xml:space="preserve"> is described by discrete </w:t>
      </w:r>
      <w:r w:rsidR="00295162" w:rsidRPr="000B50F7">
        <w:rPr>
          <w:lang w:val="en-GB"/>
        </w:rPr>
        <w:t>events.</w:t>
      </w:r>
    </w:p>
    <w:p w14:paraId="77422A62" w14:textId="40BE0BBA" w:rsidR="00295162" w:rsidRPr="000B50F7" w:rsidRDefault="00295162" w:rsidP="000B50F7">
      <w:pPr>
        <w:pStyle w:val="CETBodytext"/>
        <w:numPr>
          <w:ilvl w:val="0"/>
          <w:numId w:val="23"/>
        </w:numPr>
        <w:spacing w:after="60"/>
        <w:ind w:left="714" w:hanging="357"/>
        <w:rPr>
          <w:lang w:val="en-GB"/>
        </w:rPr>
      </w:pPr>
      <w:r>
        <w:rPr>
          <w:lang w:val="en-GB"/>
        </w:rPr>
        <w:t xml:space="preserve">The coalescence of water droplets </w:t>
      </w:r>
      <w:r w:rsidR="00D87F8C">
        <w:rPr>
          <w:lang w:val="en-GB"/>
        </w:rPr>
        <w:t>is</w:t>
      </w:r>
      <w:r>
        <w:rPr>
          <w:lang w:val="en-GB"/>
        </w:rPr>
        <w:t xml:space="preserve"> negligible.</w:t>
      </w:r>
    </w:p>
    <w:p w14:paraId="1FFB20F5" w14:textId="5E4013F8" w:rsidR="000B50F7" w:rsidRPr="000B50F7" w:rsidRDefault="00295162" w:rsidP="000B50F7">
      <w:pPr>
        <w:pStyle w:val="CETBodytext"/>
        <w:numPr>
          <w:ilvl w:val="0"/>
          <w:numId w:val="23"/>
        </w:numPr>
        <w:spacing w:after="60"/>
        <w:ind w:left="714" w:hanging="357"/>
        <w:rPr>
          <w:lang w:val="en-GB"/>
        </w:rPr>
      </w:pPr>
      <w:r>
        <w:rPr>
          <w:lang w:val="en-GB"/>
        </w:rPr>
        <w:t>T</w:t>
      </w:r>
      <w:r w:rsidR="000B50F7" w:rsidRPr="000B50F7">
        <w:rPr>
          <w:lang w:val="en-GB"/>
        </w:rPr>
        <w:t>wo breakage functions</w:t>
      </w:r>
      <w:r>
        <w:rPr>
          <w:lang w:val="en-GB"/>
        </w:rPr>
        <w:t xml:space="preserve"> </w:t>
      </w:r>
      <w:r w:rsidR="000B50F7" w:rsidRPr="000B50F7">
        <w:rPr>
          <w:lang w:val="en-GB"/>
        </w:rPr>
        <w:t>(</w:t>
      </w:r>
      <w:r w:rsidR="006F31DE" w:rsidRPr="000B50F7">
        <w:rPr>
          <w:lang w:val="en-GB"/>
        </w:rPr>
        <w:t>Coulaloglou</w:t>
      </w:r>
      <w:r w:rsidR="000B50F7" w:rsidRPr="000B50F7">
        <w:rPr>
          <w:lang w:val="en-GB"/>
        </w:rPr>
        <w:t xml:space="preserve"> and </w:t>
      </w:r>
      <w:r w:rsidR="006F31DE">
        <w:rPr>
          <w:lang w:val="en-GB"/>
        </w:rPr>
        <w:t>T</w:t>
      </w:r>
      <w:r w:rsidR="006F31DE" w:rsidRPr="000B50F7">
        <w:rPr>
          <w:lang w:val="en-GB"/>
        </w:rPr>
        <w:t xml:space="preserve">avlarides, 1977 &amp; </w:t>
      </w:r>
      <w:r w:rsidR="006F31DE">
        <w:rPr>
          <w:lang w:val="en-GB"/>
        </w:rPr>
        <w:t>A</w:t>
      </w:r>
      <w:r w:rsidR="006F31DE" w:rsidRPr="000B50F7">
        <w:rPr>
          <w:lang w:val="en-GB"/>
        </w:rPr>
        <w:t xml:space="preserve">ndersson and </w:t>
      </w:r>
      <w:r w:rsidR="006F31DE">
        <w:rPr>
          <w:lang w:val="en-GB"/>
        </w:rPr>
        <w:t>A</w:t>
      </w:r>
      <w:r w:rsidR="006F31DE" w:rsidRPr="000B50F7">
        <w:rPr>
          <w:lang w:val="en-GB"/>
        </w:rPr>
        <w:t>ndersson</w:t>
      </w:r>
      <w:r w:rsidR="000B50F7" w:rsidRPr="000B50F7">
        <w:rPr>
          <w:lang w:val="en-GB"/>
        </w:rPr>
        <w:t>, 2006)</w:t>
      </w:r>
      <w:r>
        <w:rPr>
          <w:lang w:val="en-GB"/>
        </w:rPr>
        <w:t xml:space="preserve"> were </w:t>
      </w:r>
      <w:r w:rsidR="00D87F8C">
        <w:rPr>
          <w:lang w:val="en-GB"/>
        </w:rPr>
        <w:t>analyzed</w:t>
      </w:r>
      <w:r w:rsidR="000B50F7" w:rsidRPr="000B50F7">
        <w:rPr>
          <w:lang w:val="en-GB"/>
        </w:rPr>
        <w:t xml:space="preserve"> to determine the most suitable for the water/diesel system</w:t>
      </w:r>
      <w:r>
        <w:rPr>
          <w:lang w:val="en-GB"/>
        </w:rPr>
        <w:t>.</w:t>
      </w:r>
    </w:p>
    <w:p w14:paraId="7230B3A4" w14:textId="651519A1" w:rsidR="00F818CA" w:rsidRDefault="00295162" w:rsidP="000B50F7">
      <w:pPr>
        <w:pStyle w:val="CETBodytext"/>
        <w:numPr>
          <w:ilvl w:val="0"/>
          <w:numId w:val="23"/>
        </w:numPr>
        <w:spacing w:after="60"/>
        <w:ind w:left="714" w:hanging="357"/>
        <w:rPr>
          <w:lang w:val="en-GB"/>
        </w:rPr>
      </w:pPr>
      <w:r>
        <w:rPr>
          <w:lang w:val="en-GB"/>
        </w:rPr>
        <w:t>T</w:t>
      </w:r>
      <w:r w:rsidR="000B50F7" w:rsidRPr="000B50F7">
        <w:rPr>
          <w:lang w:val="en-GB"/>
        </w:rPr>
        <w:t xml:space="preserve">he method of classes </w:t>
      </w:r>
      <w:r w:rsidR="00D87F8C">
        <w:rPr>
          <w:lang w:val="en-GB"/>
        </w:rPr>
        <w:t>was</w:t>
      </w:r>
      <w:r>
        <w:rPr>
          <w:lang w:val="en-GB"/>
        </w:rPr>
        <w:t xml:space="preserve"> used as the </w:t>
      </w:r>
      <w:r w:rsidR="000B50F7" w:rsidRPr="000B50F7">
        <w:rPr>
          <w:lang w:val="en-GB"/>
        </w:rPr>
        <w:t>numerical solution.</w:t>
      </w:r>
    </w:p>
    <w:p w14:paraId="2521569F" w14:textId="77777777" w:rsidR="00982038" w:rsidRPr="00982038" w:rsidRDefault="00982038" w:rsidP="000B50F7">
      <w:pPr>
        <w:pStyle w:val="CETBodytext"/>
        <w:spacing w:after="120"/>
        <w:rPr>
          <w:lang w:val="en-GB"/>
        </w:rPr>
      </w:pPr>
    </w:p>
    <w:p w14:paraId="2BB957B8" w14:textId="32C7CD25" w:rsidR="00295162" w:rsidRDefault="00295162" w:rsidP="00C736AC">
      <w:pPr>
        <w:pStyle w:val="CETBodytext"/>
        <w:rPr>
          <w:lang w:val="en-GB"/>
        </w:rPr>
      </w:pPr>
      <w:r>
        <w:rPr>
          <w:lang w:val="en-GB"/>
        </w:rPr>
        <w:t xml:space="preserve">The main results of this work showed that an adjustment of the </w:t>
      </w:r>
      <w:r w:rsidRPr="00982038">
        <w:rPr>
          <w:lang w:val="en-GB"/>
        </w:rPr>
        <w:t xml:space="preserve">Andersson and Andersson (2006) </w:t>
      </w:r>
      <w:r>
        <w:rPr>
          <w:lang w:val="en-GB"/>
        </w:rPr>
        <w:t xml:space="preserve">model was necessary to ensure the breakage of micrometric droplets, highlighting the limitation of this model in depicting micrometric scales. </w:t>
      </w:r>
      <w:r w:rsidR="00C736AC" w:rsidRPr="00C736AC">
        <w:rPr>
          <w:lang w:val="en-GB"/>
        </w:rPr>
        <w:t>A correction factor (CF) was employed to obtain distributions that accurately reflect the experimental data. A CF &lt; 1 ensures that the vortices formed in the agitation process have sufficient energy to break water droplets and produce suitable microemulsions. Thus, the adjusted model achieved reasonable results</w:t>
      </w:r>
      <w:r w:rsidR="00C736AC">
        <w:rPr>
          <w:lang w:val="en-GB"/>
        </w:rPr>
        <w:t>. After validating the model conditions</w:t>
      </w:r>
      <w:r w:rsidR="00C736AC" w:rsidRPr="00C736AC">
        <w:rPr>
          <w:lang w:val="en-GB"/>
        </w:rPr>
        <w:t xml:space="preserve">, </w:t>
      </w:r>
      <w:r w:rsidR="00C736AC">
        <w:rPr>
          <w:lang w:val="en-GB"/>
        </w:rPr>
        <w:t xml:space="preserve">the influence of the operational variables </w:t>
      </w:r>
      <w:r w:rsidR="00D87F8C">
        <w:rPr>
          <w:lang w:val="en-GB"/>
        </w:rPr>
        <w:t>was</w:t>
      </w:r>
      <w:r w:rsidR="00C736AC">
        <w:rPr>
          <w:lang w:val="en-GB"/>
        </w:rPr>
        <w:t xml:space="preserve"> </w:t>
      </w:r>
      <w:r w:rsidR="00D87F8C">
        <w:rPr>
          <w:lang w:val="en-GB"/>
        </w:rPr>
        <w:t>analyzed</w:t>
      </w:r>
      <w:r w:rsidR="00C736AC">
        <w:rPr>
          <w:lang w:val="en-GB"/>
        </w:rPr>
        <w:t xml:space="preserve"> </w:t>
      </w:r>
      <w:r w:rsidR="00C736AC" w:rsidRPr="00C736AC">
        <w:rPr>
          <w:lang w:val="en-GB"/>
        </w:rPr>
        <w:t>(agitation time and speed, interfacial tension, density, and dispersing element diameter</w:t>
      </w:r>
      <w:r w:rsidR="00D87F8C">
        <w:rPr>
          <w:lang w:val="en-GB"/>
        </w:rPr>
        <w:t>)</w:t>
      </w:r>
      <w:r w:rsidR="00C736AC" w:rsidRPr="00C736AC">
        <w:rPr>
          <w:lang w:val="en-GB"/>
        </w:rPr>
        <w:t>. It was observed that agitation time and speed affected the final distributions, resulting in smaller and more uniform droplets.</w:t>
      </w:r>
    </w:p>
    <w:p w14:paraId="7AD2994B" w14:textId="77777777" w:rsidR="00982038" w:rsidRDefault="00982038" w:rsidP="00982038">
      <w:pPr>
        <w:pStyle w:val="CETBodytext"/>
        <w:rPr>
          <w:lang w:val="en-GB"/>
        </w:rPr>
      </w:pPr>
    </w:p>
    <w:p w14:paraId="0A456C19" w14:textId="52DC8AD2" w:rsidR="00C736AC" w:rsidRDefault="00C736AC" w:rsidP="00982038">
      <w:pPr>
        <w:pStyle w:val="CETBodytext"/>
        <w:rPr>
          <w:lang w:val="en-GB"/>
        </w:rPr>
      </w:pPr>
      <w:r w:rsidRPr="00C736AC">
        <w:rPr>
          <w:lang w:val="en-GB"/>
        </w:rPr>
        <w:t xml:space="preserve">Hence, the objective of this </w:t>
      </w:r>
      <w:r>
        <w:rPr>
          <w:lang w:val="en-GB"/>
        </w:rPr>
        <w:t>work</w:t>
      </w:r>
      <w:r w:rsidRPr="00C736AC">
        <w:rPr>
          <w:lang w:val="en-GB"/>
        </w:rPr>
        <w:t xml:space="preserve"> is to employ the same methodology in examining </w:t>
      </w:r>
      <w:r w:rsidR="004072E9">
        <w:rPr>
          <w:lang w:val="en-GB"/>
        </w:rPr>
        <w:t>water/biodiesel</w:t>
      </w:r>
      <w:r w:rsidRPr="00C736AC">
        <w:rPr>
          <w:lang w:val="en-GB"/>
        </w:rPr>
        <w:t xml:space="preserve"> </w:t>
      </w:r>
      <w:r w:rsidR="004072E9">
        <w:rPr>
          <w:lang w:val="en-GB"/>
        </w:rPr>
        <w:t>(W/</w:t>
      </w:r>
      <w:r w:rsidR="004072E9" w:rsidRPr="004072E9">
        <w:t>D</w:t>
      </w:r>
      <w:r w:rsidR="004072E9">
        <w:rPr>
          <w:lang w:val="en-GB"/>
        </w:rPr>
        <w:t xml:space="preserve">) </w:t>
      </w:r>
      <w:r w:rsidRPr="00C736AC">
        <w:rPr>
          <w:lang w:val="en-GB"/>
        </w:rPr>
        <w:t xml:space="preserve">microemulsions, given that this system also enables </w:t>
      </w:r>
      <w:r>
        <w:rPr>
          <w:lang w:val="en-GB"/>
        </w:rPr>
        <w:t>the reduction of</w:t>
      </w:r>
      <w:r w:rsidRPr="00C736AC">
        <w:rPr>
          <w:lang w:val="en-GB"/>
        </w:rPr>
        <w:t xml:space="preserve"> pollutant emissions. </w:t>
      </w:r>
      <w:r w:rsidRPr="004F0247">
        <w:t>(H</w:t>
      </w:r>
      <w:r w:rsidR="006F31DE" w:rsidRPr="004F0247">
        <w:t>eidari</w:t>
      </w:r>
      <w:r w:rsidRPr="004F0247">
        <w:t xml:space="preserve"> et al., 2018; L</w:t>
      </w:r>
      <w:r w:rsidR="006F31DE" w:rsidRPr="004F0247">
        <w:t>eng</w:t>
      </w:r>
      <w:r w:rsidRPr="004F0247">
        <w:t xml:space="preserve"> et al., 2018, 2022). </w:t>
      </w:r>
      <w:r w:rsidRPr="00C736AC">
        <w:rPr>
          <w:lang w:val="en-GB"/>
        </w:rPr>
        <w:t xml:space="preserve">Consequently, it </w:t>
      </w:r>
      <w:r w:rsidR="004F0247">
        <w:rPr>
          <w:lang w:val="en-GB"/>
        </w:rPr>
        <w:t xml:space="preserve">was </w:t>
      </w:r>
      <w:r w:rsidRPr="00C736AC">
        <w:rPr>
          <w:lang w:val="en-GB"/>
        </w:rPr>
        <w:t xml:space="preserve">possible to assess </w:t>
      </w:r>
      <w:r w:rsidR="004F0247">
        <w:rPr>
          <w:lang w:val="en-GB"/>
        </w:rPr>
        <w:t>t</w:t>
      </w:r>
      <w:r w:rsidRPr="00C736AC">
        <w:rPr>
          <w:lang w:val="en-GB"/>
        </w:rPr>
        <w:t>he performance of</w:t>
      </w:r>
      <w:r w:rsidR="004F0247">
        <w:rPr>
          <w:lang w:val="en-GB"/>
        </w:rPr>
        <w:t xml:space="preserve"> the model to predict the formation of</w:t>
      </w:r>
      <w:r w:rsidRPr="00C736AC">
        <w:rPr>
          <w:lang w:val="en-GB"/>
        </w:rPr>
        <w:t xml:space="preserve"> a microemulsion using a renewable fuel</w:t>
      </w:r>
      <w:r w:rsidR="00D87F8C">
        <w:rPr>
          <w:lang w:val="en-GB"/>
        </w:rPr>
        <w:t xml:space="preserve"> (biodiesel blend)</w:t>
      </w:r>
      <w:r w:rsidR="004F0247">
        <w:rPr>
          <w:lang w:val="en-GB"/>
        </w:rPr>
        <w:t xml:space="preserve">, </w:t>
      </w:r>
      <w:r w:rsidR="00BC4485">
        <w:rPr>
          <w:lang w:val="en-GB"/>
        </w:rPr>
        <w:t xml:space="preserve">being a </w:t>
      </w:r>
      <w:r w:rsidR="004F0247">
        <w:rPr>
          <w:lang w:val="en-GB"/>
        </w:rPr>
        <w:t>further</w:t>
      </w:r>
      <w:r w:rsidR="00BC4485">
        <w:rPr>
          <w:lang w:val="en-GB"/>
        </w:rPr>
        <w:t xml:space="preserve"> upgrade in the life cycle of diesel engines.</w:t>
      </w:r>
    </w:p>
    <w:p w14:paraId="46DDCEC4" w14:textId="77777777" w:rsidR="00C736AC" w:rsidRDefault="00C736AC" w:rsidP="00982038">
      <w:pPr>
        <w:pStyle w:val="CETBodytext"/>
        <w:rPr>
          <w:lang w:val="en-GB"/>
        </w:rPr>
      </w:pPr>
    </w:p>
    <w:p w14:paraId="4801F859" w14:textId="3ADAC829" w:rsidR="00CC4A71" w:rsidRDefault="00CC4A71" w:rsidP="00CC4A71">
      <w:pPr>
        <w:pStyle w:val="CETHeading1"/>
      </w:pPr>
      <w:r>
        <w:t>Methodology</w:t>
      </w:r>
    </w:p>
    <w:p w14:paraId="33862AC0" w14:textId="77777777" w:rsidR="00CC4A71" w:rsidRDefault="00CC4A71" w:rsidP="00982038">
      <w:pPr>
        <w:pStyle w:val="CETBodytext"/>
        <w:rPr>
          <w:lang w:val="en-GB"/>
        </w:rPr>
      </w:pPr>
    </w:p>
    <w:p w14:paraId="7B3CCB46" w14:textId="1F1FB862" w:rsidR="00CC4A71" w:rsidRPr="002A3B60" w:rsidRDefault="00CC4A71" w:rsidP="00CC4A71">
      <w:pPr>
        <w:pStyle w:val="CETBodytext"/>
      </w:pPr>
      <w:r w:rsidRPr="00CC4A71">
        <w:rPr>
          <w:lang w:val="en-GB"/>
        </w:rPr>
        <w:t>Th</w:t>
      </w:r>
      <w:r w:rsidR="004072E9">
        <w:rPr>
          <w:lang w:val="en-GB"/>
        </w:rPr>
        <w:t xml:space="preserve">is study used the computational model implemented by </w:t>
      </w:r>
      <w:r w:rsidR="004072E9" w:rsidRPr="00CC4A71">
        <w:rPr>
          <w:lang w:val="en-GB"/>
        </w:rPr>
        <w:t>Khouri et al. (2023)</w:t>
      </w:r>
      <w:r w:rsidR="004072E9">
        <w:rPr>
          <w:lang w:val="en-GB"/>
        </w:rPr>
        <w:t xml:space="preserve"> to evaluate its performance to depict </w:t>
      </w:r>
      <w:r w:rsidR="001E3893">
        <w:rPr>
          <w:lang w:val="en-GB"/>
        </w:rPr>
        <w:t xml:space="preserve">a </w:t>
      </w:r>
      <w:r w:rsidR="004072E9" w:rsidRPr="00CC4A71">
        <w:rPr>
          <w:lang w:val="en-GB"/>
        </w:rPr>
        <w:t>W/</w:t>
      </w:r>
      <w:r w:rsidR="004072E9">
        <w:rPr>
          <w:lang w:val="en-GB"/>
        </w:rPr>
        <w:t>B</w:t>
      </w:r>
      <w:r w:rsidR="004072E9" w:rsidRPr="00CC4A71">
        <w:rPr>
          <w:lang w:val="en-GB"/>
        </w:rPr>
        <w:t xml:space="preserve"> emulsion homogenization</w:t>
      </w:r>
      <w:r w:rsidR="001E3893">
        <w:rPr>
          <w:lang w:val="en-GB"/>
        </w:rPr>
        <w:t xml:space="preserve"> process with the operational conditions established by </w:t>
      </w:r>
      <w:r w:rsidR="004072E9">
        <w:rPr>
          <w:lang w:val="en-GB"/>
        </w:rPr>
        <w:t>Table 1</w:t>
      </w:r>
      <w:r w:rsidR="004369D0">
        <w:rPr>
          <w:lang w:val="en-GB"/>
        </w:rPr>
        <w:t xml:space="preserve"> </w:t>
      </w:r>
      <w:r w:rsidR="004369D0" w:rsidRPr="004369D0">
        <w:rPr>
          <w:lang w:val="en-GB"/>
        </w:rPr>
        <w:t>(Khan</w:t>
      </w:r>
      <w:r w:rsidR="004369D0">
        <w:rPr>
          <w:lang w:val="en-GB"/>
        </w:rPr>
        <w:t> </w:t>
      </w:r>
      <w:r w:rsidR="004369D0" w:rsidRPr="004369D0">
        <w:rPr>
          <w:lang w:val="en-GB"/>
        </w:rPr>
        <w:t>et al., 2017)</w:t>
      </w:r>
      <w:r w:rsidR="004072E9">
        <w:rPr>
          <w:lang w:val="en-GB"/>
        </w:rPr>
        <w:t xml:space="preserve">. </w:t>
      </w:r>
      <w:r w:rsidR="002A3B60" w:rsidRPr="002A3B60">
        <w:t xml:space="preserve">The dataset chosen for this study involved a blend </w:t>
      </w:r>
      <w:r w:rsidR="00D87F8C">
        <w:t>of</w:t>
      </w:r>
      <w:r w:rsidR="002A3B60" w:rsidRPr="002A3B60">
        <w:t xml:space="preserve"> commercial diesel and palm oil, offering a suitable context to evaluate the effectiveness of the phenomenological model of water/diesel microemulsions in comparison to </w:t>
      </w:r>
      <w:r w:rsidR="00D87F8C">
        <w:t>bio-oil</w:t>
      </w:r>
      <w:r w:rsidR="002A3B60">
        <w:t xml:space="preserve"> blends</w:t>
      </w:r>
      <w:r w:rsidR="002A3B60" w:rsidRPr="002A3B60">
        <w:t xml:space="preserve">. </w:t>
      </w:r>
      <w:r w:rsidR="00C96AB4" w:rsidRPr="002A3B60">
        <w:t xml:space="preserve">Additionally, the </w:t>
      </w:r>
      <w:r w:rsidR="00C96AB4">
        <w:t>e</w:t>
      </w:r>
      <w:r w:rsidR="002A3B60" w:rsidRPr="002A3B60">
        <w:t>xperimental data also highlight the significant influence of the emulsifier:</w:t>
      </w:r>
      <w:r w:rsidR="002A3B60">
        <w:t xml:space="preserve"> </w:t>
      </w:r>
      <w:r w:rsidR="002A3B60" w:rsidRPr="002A3B60">
        <w:t xml:space="preserve">a threefold increase in its quantity leads to an elevation in the system's interfacial tension, resulting in a </w:t>
      </w:r>
      <w:r w:rsidR="00C96AB4">
        <w:t>smaller</w:t>
      </w:r>
      <w:r w:rsidR="002A3B60" w:rsidRPr="002A3B60">
        <w:t xml:space="preserve"> and</w:t>
      </w:r>
      <w:r w:rsidR="00C96AB4">
        <w:t xml:space="preserve"> more</w:t>
      </w:r>
      <w:r w:rsidR="002A3B60" w:rsidRPr="002A3B60">
        <w:t xml:space="preserve"> uniform final emulsion distribution </w:t>
      </w:r>
      <w:r w:rsidR="00C96AB4" w:rsidRPr="002A3B60">
        <w:t>while keeping the other conditions constant.</w:t>
      </w:r>
    </w:p>
    <w:p w14:paraId="52696FBC" w14:textId="70967472" w:rsidR="00263431" w:rsidRPr="00B57B36" w:rsidRDefault="00263431" w:rsidP="00263431">
      <w:pPr>
        <w:pStyle w:val="CETTabletitle"/>
      </w:pPr>
      <w:r w:rsidRPr="00B57B36">
        <w:t xml:space="preserve">Table 1: </w:t>
      </w:r>
      <w:r>
        <w:t xml:space="preserve">Operational data and results of a W/B microemulsion </w:t>
      </w:r>
      <w:r w:rsidRPr="004369D0">
        <w:t>formation –</w:t>
      </w:r>
      <w:r w:rsidR="004369D0" w:rsidRPr="004369D0">
        <w:t xml:space="preserve"> </w:t>
      </w:r>
      <w:bookmarkStart w:id="0" w:name="_Hlk156242541"/>
      <w:r w:rsidR="00B3575E" w:rsidRPr="004369D0">
        <w:t>(</w:t>
      </w:r>
      <w:r w:rsidR="004369D0" w:rsidRPr="004369D0">
        <w:t>Khan et al., 2017</w:t>
      </w:r>
      <w:r w:rsidR="00B3575E" w:rsidRPr="004369D0">
        <w:t>)</w:t>
      </w:r>
      <w:bookmarkEnd w:id="0"/>
      <w:r w:rsidRPr="004369D0">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2125"/>
        <w:gridCol w:w="2126"/>
      </w:tblGrid>
      <w:tr w:rsidR="0013733D" w:rsidRPr="00B57B36" w14:paraId="28DC41AE" w14:textId="0457C62A" w:rsidTr="007D344E">
        <w:trPr>
          <w:jc w:val="center"/>
        </w:trPr>
        <w:tc>
          <w:tcPr>
            <w:tcW w:w="2410" w:type="dxa"/>
            <w:tcBorders>
              <w:top w:val="single" w:sz="12" w:space="0" w:color="008000"/>
              <w:bottom w:val="nil"/>
            </w:tcBorders>
            <w:shd w:val="clear" w:color="auto" w:fill="FFFFFF"/>
          </w:tcPr>
          <w:p w14:paraId="439496CF" w14:textId="1326F478" w:rsidR="0013733D" w:rsidRPr="0013733D" w:rsidRDefault="0013733D" w:rsidP="00263431">
            <w:pPr>
              <w:pStyle w:val="CETBodytext"/>
              <w:spacing w:before="20" w:after="20"/>
              <w:rPr>
                <w:b/>
                <w:bCs/>
              </w:rPr>
            </w:pPr>
            <w:r w:rsidRPr="0013733D">
              <w:rPr>
                <w:b/>
                <w:bCs/>
              </w:rPr>
              <w:t>Variables</w:t>
            </w:r>
          </w:p>
        </w:tc>
        <w:tc>
          <w:tcPr>
            <w:tcW w:w="2125" w:type="dxa"/>
            <w:tcBorders>
              <w:top w:val="single" w:sz="12" w:space="0" w:color="008000"/>
              <w:bottom w:val="nil"/>
            </w:tcBorders>
            <w:shd w:val="clear" w:color="auto" w:fill="FFFFFF"/>
          </w:tcPr>
          <w:p w14:paraId="366A58C5" w14:textId="2D088CD0" w:rsidR="0013733D" w:rsidRPr="0013733D" w:rsidRDefault="0013733D" w:rsidP="0013733D">
            <w:pPr>
              <w:pStyle w:val="CETBodytext"/>
              <w:spacing w:before="20" w:after="20"/>
              <w:jc w:val="center"/>
              <w:rPr>
                <w:b/>
                <w:bCs/>
                <w:lang w:val="en-GB"/>
              </w:rPr>
            </w:pPr>
            <w:r w:rsidRPr="0013733D">
              <w:rPr>
                <w:b/>
                <w:bCs/>
                <w:lang w:val="en-GB"/>
              </w:rPr>
              <w:t>Dataset A (WiDE-</w:t>
            </w:r>
            <w:r w:rsidR="00C96AB4">
              <w:rPr>
                <w:b/>
                <w:bCs/>
                <w:lang w:val="en-GB"/>
              </w:rPr>
              <w:t>16</w:t>
            </w:r>
            <w:r w:rsidRPr="0013733D">
              <w:rPr>
                <w:b/>
                <w:bCs/>
                <w:lang w:val="en-GB"/>
              </w:rPr>
              <w:t>)</w:t>
            </w:r>
          </w:p>
        </w:tc>
        <w:tc>
          <w:tcPr>
            <w:tcW w:w="2126" w:type="dxa"/>
            <w:tcBorders>
              <w:top w:val="single" w:sz="12" w:space="0" w:color="008000"/>
              <w:bottom w:val="nil"/>
            </w:tcBorders>
            <w:shd w:val="clear" w:color="auto" w:fill="FFFFFF"/>
          </w:tcPr>
          <w:p w14:paraId="3659E77D" w14:textId="1F9049B5" w:rsidR="0013733D" w:rsidRPr="0013733D" w:rsidRDefault="0013733D" w:rsidP="0013733D">
            <w:pPr>
              <w:pStyle w:val="CETBodytext"/>
              <w:spacing w:before="20" w:after="20"/>
              <w:jc w:val="center"/>
              <w:rPr>
                <w:b/>
                <w:bCs/>
                <w:lang w:val="en-GB"/>
              </w:rPr>
            </w:pPr>
            <w:r w:rsidRPr="0013733D">
              <w:rPr>
                <w:b/>
                <w:bCs/>
                <w:lang w:val="en-GB"/>
              </w:rPr>
              <w:t xml:space="preserve">Dataset </w:t>
            </w:r>
            <w:r>
              <w:rPr>
                <w:b/>
                <w:bCs/>
                <w:lang w:val="en-GB"/>
              </w:rPr>
              <w:t>B</w:t>
            </w:r>
            <w:r w:rsidRPr="0013733D">
              <w:rPr>
                <w:b/>
                <w:bCs/>
                <w:lang w:val="en-GB"/>
              </w:rPr>
              <w:t xml:space="preserve"> (WiDE-24)</w:t>
            </w:r>
          </w:p>
        </w:tc>
      </w:tr>
      <w:tr w:rsidR="0013733D" w:rsidRPr="00B57B36" w14:paraId="603CE179" w14:textId="32128306" w:rsidTr="007D344E">
        <w:trPr>
          <w:jc w:val="center"/>
        </w:trPr>
        <w:tc>
          <w:tcPr>
            <w:tcW w:w="2410" w:type="dxa"/>
            <w:tcBorders>
              <w:top w:val="single" w:sz="12" w:space="0" w:color="008000"/>
              <w:bottom w:val="nil"/>
            </w:tcBorders>
            <w:shd w:val="clear" w:color="auto" w:fill="FFFFFF"/>
          </w:tcPr>
          <w:p w14:paraId="54EABFCD" w14:textId="20979214" w:rsidR="0013733D" w:rsidRPr="00B57B36" w:rsidRDefault="0013733D" w:rsidP="00263431">
            <w:pPr>
              <w:pStyle w:val="CETBodytext"/>
              <w:spacing w:before="20" w:after="20"/>
              <w:rPr>
                <w:lang w:val="en-GB"/>
              </w:rPr>
            </w:pPr>
            <w:r>
              <w:t>Base fuel composition</w:t>
            </w:r>
          </w:p>
        </w:tc>
        <w:tc>
          <w:tcPr>
            <w:tcW w:w="4251" w:type="dxa"/>
            <w:gridSpan w:val="2"/>
            <w:tcBorders>
              <w:top w:val="single" w:sz="12" w:space="0" w:color="008000"/>
            </w:tcBorders>
            <w:shd w:val="clear" w:color="auto" w:fill="FFFFFF"/>
          </w:tcPr>
          <w:p w14:paraId="0B394424" w14:textId="152B448A" w:rsidR="0013733D" w:rsidRPr="00B57B36" w:rsidRDefault="0013733D" w:rsidP="0013733D">
            <w:pPr>
              <w:pStyle w:val="CETBodytext"/>
              <w:spacing w:before="20" w:after="20"/>
              <w:ind w:right="-1"/>
              <w:jc w:val="center"/>
              <w:rPr>
                <w:lang w:val="en-GB"/>
              </w:rPr>
            </w:pPr>
            <w:r>
              <w:rPr>
                <w:lang w:val="en-GB"/>
              </w:rPr>
              <w:t xml:space="preserve">95% </w:t>
            </w:r>
            <w:r w:rsidR="007D344E">
              <w:rPr>
                <w:lang w:val="en-GB"/>
              </w:rPr>
              <w:t xml:space="preserve">commercial </w:t>
            </w:r>
            <w:r>
              <w:rPr>
                <w:lang w:val="en-GB"/>
              </w:rPr>
              <w:t>diesel + 5% palm oil</w:t>
            </w:r>
          </w:p>
        </w:tc>
      </w:tr>
      <w:tr w:rsidR="0013733D" w:rsidRPr="00B57B36" w14:paraId="200F1B25" w14:textId="2EF7CD14" w:rsidTr="007D344E">
        <w:trPr>
          <w:jc w:val="center"/>
        </w:trPr>
        <w:tc>
          <w:tcPr>
            <w:tcW w:w="2410" w:type="dxa"/>
            <w:tcBorders>
              <w:top w:val="nil"/>
            </w:tcBorders>
            <w:shd w:val="clear" w:color="auto" w:fill="FFFFFF"/>
          </w:tcPr>
          <w:p w14:paraId="313608BF" w14:textId="0A768E5E" w:rsidR="0013733D" w:rsidRPr="00713AD8" w:rsidRDefault="0013733D" w:rsidP="009025CC">
            <w:pPr>
              <w:pStyle w:val="CETBodytext"/>
              <w:spacing w:before="20" w:after="20"/>
            </w:pPr>
            <w:r w:rsidRPr="00713AD8">
              <w:t>Emulsifier composition</w:t>
            </w:r>
          </w:p>
        </w:tc>
        <w:tc>
          <w:tcPr>
            <w:tcW w:w="4251" w:type="dxa"/>
            <w:gridSpan w:val="2"/>
            <w:shd w:val="clear" w:color="auto" w:fill="FFFFFF"/>
          </w:tcPr>
          <w:p w14:paraId="7383545A" w14:textId="4539593B" w:rsidR="0013733D" w:rsidRPr="00B57B36" w:rsidRDefault="0013733D" w:rsidP="0013733D">
            <w:pPr>
              <w:pStyle w:val="CETBodytext"/>
              <w:spacing w:before="20" w:after="20"/>
              <w:ind w:right="-1"/>
              <w:jc w:val="center"/>
              <w:rPr>
                <w:lang w:val="en-GB"/>
              </w:rPr>
            </w:pPr>
            <w:r>
              <w:rPr>
                <w:lang w:val="en-GB"/>
              </w:rPr>
              <w:t>7</w:t>
            </w:r>
            <w:r w:rsidRPr="00B262E7">
              <w:rPr>
                <w:lang w:val="en-GB"/>
              </w:rPr>
              <w:t>0% Span© 80</w:t>
            </w:r>
            <w:r>
              <w:rPr>
                <w:lang w:val="en-GB"/>
              </w:rPr>
              <w:t xml:space="preserve"> + 3</w:t>
            </w:r>
            <w:r w:rsidRPr="00B262E7">
              <w:rPr>
                <w:lang w:val="en-GB"/>
              </w:rPr>
              <w:t>0% Tween© 8</w:t>
            </w:r>
            <w:r>
              <w:rPr>
                <w:lang w:val="en-GB"/>
              </w:rPr>
              <w:t>5</w:t>
            </w:r>
          </w:p>
        </w:tc>
      </w:tr>
      <w:tr w:rsidR="0013733D" w:rsidRPr="00B57B36" w14:paraId="73A681EF" w14:textId="6390A332" w:rsidTr="007D344E">
        <w:trPr>
          <w:jc w:val="center"/>
        </w:trPr>
        <w:tc>
          <w:tcPr>
            <w:tcW w:w="2410" w:type="dxa"/>
            <w:shd w:val="clear" w:color="auto" w:fill="FFFFFF"/>
          </w:tcPr>
          <w:p w14:paraId="0DC6F054" w14:textId="66771E9F" w:rsidR="0013733D" w:rsidRPr="00B57B36" w:rsidRDefault="0013733D" w:rsidP="009025CC">
            <w:pPr>
              <w:pStyle w:val="CETBodytext"/>
              <w:spacing w:before="20" w:after="20"/>
              <w:ind w:right="-1"/>
              <w:rPr>
                <w:rFonts w:cs="Arial"/>
                <w:szCs w:val="18"/>
                <w:lang w:val="en-GB"/>
              </w:rPr>
            </w:pPr>
            <w:r w:rsidRPr="00713AD8">
              <w:t>Mixing time</w:t>
            </w:r>
            <w:r w:rsidR="0043343F">
              <w:t xml:space="preserve"> [min]</w:t>
            </w:r>
          </w:p>
        </w:tc>
        <w:tc>
          <w:tcPr>
            <w:tcW w:w="4251" w:type="dxa"/>
            <w:gridSpan w:val="2"/>
            <w:shd w:val="clear" w:color="auto" w:fill="FFFFFF"/>
          </w:tcPr>
          <w:p w14:paraId="3ED19885" w14:textId="5EDA82BB" w:rsidR="0013733D" w:rsidRPr="00B57B36" w:rsidRDefault="0013733D" w:rsidP="0013733D">
            <w:pPr>
              <w:pStyle w:val="CETBodytext"/>
              <w:spacing w:before="20" w:after="20"/>
              <w:ind w:right="-1"/>
              <w:jc w:val="center"/>
              <w:rPr>
                <w:rFonts w:cs="Arial"/>
                <w:szCs w:val="18"/>
                <w:lang w:val="en-GB"/>
              </w:rPr>
            </w:pPr>
            <w:r>
              <w:rPr>
                <w:rFonts w:cs="Arial"/>
                <w:szCs w:val="18"/>
                <w:lang w:val="en-GB"/>
              </w:rPr>
              <w:t>15</w:t>
            </w:r>
          </w:p>
        </w:tc>
      </w:tr>
      <w:tr w:rsidR="0013733D" w:rsidRPr="00B57B36" w14:paraId="5DDD84EB" w14:textId="09D4FA9D" w:rsidTr="007D344E">
        <w:trPr>
          <w:jc w:val="center"/>
        </w:trPr>
        <w:tc>
          <w:tcPr>
            <w:tcW w:w="2410" w:type="dxa"/>
            <w:shd w:val="clear" w:color="auto" w:fill="FFFFFF"/>
          </w:tcPr>
          <w:p w14:paraId="418396B3" w14:textId="4F91B128" w:rsidR="0013733D" w:rsidRPr="00B57B36" w:rsidRDefault="0013733D" w:rsidP="009025CC">
            <w:pPr>
              <w:pStyle w:val="CETBodytext"/>
              <w:spacing w:before="20" w:after="20"/>
              <w:ind w:right="-1"/>
              <w:rPr>
                <w:rFonts w:cs="Arial"/>
                <w:szCs w:val="18"/>
                <w:lang w:val="en-GB"/>
              </w:rPr>
            </w:pPr>
            <w:r w:rsidRPr="00713AD8">
              <w:t>Rotational speed</w:t>
            </w:r>
            <w:r w:rsidR="0043343F">
              <w:t xml:space="preserve"> [rpm]</w:t>
            </w:r>
          </w:p>
        </w:tc>
        <w:tc>
          <w:tcPr>
            <w:tcW w:w="4251" w:type="dxa"/>
            <w:gridSpan w:val="2"/>
            <w:shd w:val="clear" w:color="auto" w:fill="FFFFFF"/>
          </w:tcPr>
          <w:p w14:paraId="4A9F19C6" w14:textId="1CDEDB41" w:rsidR="0013733D" w:rsidRPr="00B57B36" w:rsidRDefault="0013733D" w:rsidP="0013733D">
            <w:pPr>
              <w:pStyle w:val="CETBodytext"/>
              <w:spacing w:before="20" w:after="20"/>
              <w:ind w:right="-1"/>
              <w:jc w:val="center"/>
              <w:rPr>
                <w:rFonts w:cs="Arial"/>
                <w:szCs w:val="18"/>
                <w:lang w:val="en-GB"/>
              </w:rPr>
            </w:pPr>
            <w:r>
              <w:rPr>
                <w:rFonts w:cs="Arial"/>
                <w:szCs w:val="18"/>
                <w:lang w:val="en-GB"/>
              </w:rPr>
              <w:t>1500</w:t>
            </w:r>
          </w:p>
        </w:tc>
      </w:tr>
      <w:tr w:rsidR="0043343F" w:rsidRPr="00B57B36" w14:paraId="7FE89BED" w14:textId="77777777" w:rsidTr="007D344E">
        <w:trPr>
          <w:jc w:val="center"/>
        </w:trPr>
        <w:tc>
          <w:tcPr>
            <w:tcW w:w="2410" w:type="dxa"/>
            <w:shd w:val="clear" w:color="auto" w:fill="FFFFFF"/>
          </w:tcPr>
          <w:p w14:paraId="22580847" w14:textId="1C8FA38D" w:rsidR="0043343F" w:rsidRPr="00713AD8" w:rsidRDefault="0043343F" w:rsidP="0013733D">
            <w:pPr>
              <w:pStyle w:val="CETBodytext"/>
              <w:spacing w:before="20" w:after="20"/>
              <w:ind w:right="-1"/>
            </w:pPr>
            <w:r w:rsidRPr="00713AD8">
              <w:t>Water volume</w:t>
            </w:r>
            <w:r>
              <w:t xml:space="preserve"> fraction</w:t>
            </w:r>
          </w:p>
        </w:tc>
        <w:tc>
          <w:tcPr>
            <w:tcW w:w="4251" w:type="dxa"/>
            <w:gridSpan w:val="2"/>
            <w:shd w:val="clear" w:color="auto" w:fill="FFFFFF"/>
          </w:tcPr>
          <w:p w14:paraId="47FE3FF6" w14:textId="56DE5ABF" w:rsidR="0043343F" w:rsidRPr="00B57B36" w:rsidRDefault="0043343F" w:rsidP="0013733D">
            <w:pPr>
              <w:pStyle w:val="CETBodytext"/>
              <w:spacing w:before="20" w:after="20"/>
              <w:ind w:right="-1"/>
              <w:jc w:val="center"/>
              <w:rPr>
                <w:rFonts w:cs="Arial"/>
                <w:szCs w:val="18"/>
                <w:lang w:val="en-GB"/>
              </w:rPr>
            </w:pPr>
            <w:r>
              <w:rPr>
                <w:rFonts w:cs="Arial"/>
                <w:szCs w:val="18"/>
                <w:lang w:val="en-GB"/>
              </w:rPr>
              <w:t>0</w:t>
            </w:r>
            <w:r w:rsidR="007D344E">
              <w:rPr>
                <w:rFonts w:cs="Arial"/>
                <w:szCs w:val="18"/>
                <w:lang w:val="en-GB"/>
              </w:rPr>
              <w:t>.</w:t>
            </w:r>
            <w:r>
              <w:rPr>
                <w:rFonts w:cs="Arial"/>
                <w:szCs w:val="18"/>
                <w:lang w:val="en-GB"/>
              </w:rPr>
              <w:t>18</w:t>
            </w:r>
            <w:r w:rsidR="007D344E">
              <w:rPr>
                <w:rFonts w:cs="Arial"/>
                <w:szCs w:val="18"/>
                <w:lang w:val="en-GB"/>
              </w:rPr>
              <w:t>0</w:t>
            </w:r>
          </w:p>
        </w:tc>
      </w:tr>
      <w:tr w:rsidR="007D344E" w:rsidRPr="00B57B36" w14:paraId="22F742D9" w14:textId="77777777" w:rsidTr="007D344E">
        <w:trPr>
          <w:jc w:val="center"/>
        </w:trPr>
        <w:tc>
          <w:tcPr>
            <w:tcW w:w="2410" w:type="dxa"/>
            <w:shd w:val="clear" w:color="auto" w:fill="FFFFFF"/>
          </w:tcPr>
          <w:p w14:paraId="538D637A" w14:textId="52DF8021" w:rsidR="007D344E" w:rsidRDefault="007D344E" w:rsidP="0013733D">
            <w:pPr>
              <w:pStyle w:val="CETBodytext"/>
              <w:spacing w:before="20" w:after="20"/>
              <w:ind w:right="-1"/>
            </w:pPr>
            <w:r>
              <w:t>Emulsifier volume fraction</w:t>
            </w:r>
          </w:p>
        </w:tc>
        <w:tc>
          <w:tcPr>
            <w:tcW w:w="2125" w:type="dxa"/>
            <w:shd w:val="clear" w:color="auto" w:fill="FFFFFF"/>
          </w:tcPr>
          <w:p w14:paraId="722E1ABB" w14:textId="7BA8B24A" w:rsidR="007D344E" w:rsidRDefault="007D344E" w:rsidP="0013733D">
            <w:pPr>
              <w:pStyle w:val="CETBodytext"/>
              <w:spacing w:before="20" w:after="20"/>
              <w:ind w:right="-1"/>
              <w:jc w:val="center"/>
              <w:rPr>
                <w:rFonts w:cs="Arial"/>
                <w:szCs w:val="18"/>
                <w:lang w:val="en-GB"/>
              </w:rPr>
            </w:pPr>
            <w:r>
              <w:rPr>
                <w:rFonts w:cs="Arial"/>
                <w:szCs w:val="18"/>
                <w:lang w:val="en-GB"/>
              </w:rPr>
              <w:t>0.009</w:t>
            </w:r>
          </w:p>
        </w:tc>
        <w:tc>
          <w:tcPr>
            <w:tcW w:w="2126" w:type="dxa"/>
            <w:shd w:val="clear" w:color="auto" w:fill="FFFFFF"/>
          </w:tcPr>
          <w:p w14:paraId="6DC468D9" w14:textId="5AB7C3C6" w:rsidR="007D344E" w:rsidRDefault="007D344E" w:rsidP="0013733D">
            <w:pPr>
              <w:pStyle w:val="CETBodytext"/>
              <w:spacing w:before="20" w:after="20"/>
              <w:ind w:right="-1"/>
              <w:jc w:val="center"/>
              <w:rPr>
                <w:rFonts w:cs="Arial"/>
                <w:szCs w:val="18"/>
                <w:lang w:val="en-GB"/>
              </w:rPr>
            </w:pPr>
            <w:r>
              <w:rPr>
                <w:rFonts w:cs="Arial"/>
                <w:szCs w:val="18"/>
                <w:lang w:val="en-GB"/>
              </w:rPr>
              <w:t>0.027</w:t>
            </w:r>
          </w:p>
        </w:tc>
      </w:tr>
      <w:tr w:rsidR="0013733D" w:rsidRPr="00B57B36" w14:paraId="05AA089D" w14:textId="77777777" w:rsidTr="007D344E">
        <w:trPr>
          <w:jc w:val="center"/>
        </w:trPr>
        <w:tc>
          <w:tcPr>
            <w:tcW w:w="2410" w:type="dxa"/>
            <w:shd w:val="clear" w:color="auto" w:fill="FFFFFF"/>
          </w:tcPr>
          <w:p w14:paraId="2AB6C4DC" w14:textId="3BE92987" w:rsidR="0013733D" w:rsidRPr="00713AD8" w:rsidRDefault="0013733D" w:rsidP="0013733D">
            <w:pPr>
              <w:pStyle w:val="CETBodytext"/>
              <w:spacing w:before="20" w:after="20"/>
              <w:ind w:right="-1"/>
            </w:pPr>
            <w:r>
              <w:t>Density</w:t>
            </w:r>
            <w:r w:rsidR="0043343F">
              <w:t xml:space="preserve"> [Kg/m³]</w:t>
            </w:r>
          </w:p>
        </w:tc>
        <w:tc>
          <w:tcPr>
            <w:tcW w:w="2125" w:type="dxa"/>
            <w:shd w:val="clear" w:color="auto" w:fill="FFFFFF"/>
          </w:tcPr>
          <w:p w14:paraId="40AAE551" w14:textId="78B47DF1" w:rsidR="0013733D" w:rsidRPr="00B57B36" w:rsidRDefault="0043343F" w:rsidP="0013733D">
            <w:pPr>
              <w:pStyle w:val="CETBodytext"/>
              <w:spacing w:before="20" w:after="20"/>
              <w:ind w:right="-1"/>
              <w:jc w:val="center"/>
              <w:rPr>
                <w:rFonts w:cs="Arial"/>
                <w:szCs w:val="18"/>
                <w:lang w:val="en-GB"/>
              </w:rPr>
            </w:pPr>
            <w:r>
              <w:rPr>
                <w:rFonts w:cs="Arial"/>
                <w:szCs w:val="18"/>
                <w:lang w:val="en-GB"/>
              </w:rPr>
              <w:t>880</w:t>
            </w:r>
            <w:r w:rsidR="007D344E">
              <w:rPr>
                <w:rFonts w:cs="Arial"/>
                <w:szCs w:val="18"/>
                <w:lang w:val="en-GB"/>
              </w:rPr>
              <w:t>.</w:t>
            </w:r>
            <w:r>
              <w:rPr>
                <w:rFonts w:cs="Arial"/>
                <w:szCs w:val="18"/>
                <w:lang w:val="en-GB"/>
              </w:rPr>
              <w:t>40</w:t>
            </w:r>
          </w:p>
        </w:tc>
        <w:tc>
          <w:tcPr>
            <w:tcW w:w="2126" w:type="dxa"/>
            <w:shd w:val="clear" w:color="auto" w:fill="FFFFFF"/>
          </w:tcPr>
          <w:p w14:paraId="75C0EF52" w14:textId="108D7D95" w:rsidR="0013733D" w:rsidRPr="00B57B36" w:rsidRDefault="0043343F" w:rsidP="0013733D">
            <w:pPr>
              <w:pStyle w:val="CETBodytext"/>
              <w:spacing w:before="20" w:after="20"/>
              <w:ind w:right="-1"/>
              <w:jc w:val="center"/>
              <w:rPr>
                <w:rFonts w:cs="Arial"/>
                <w:szCs w:val="18"/>
                <w:lang w:val="en-GB"/>
              </w:rPr>
            </w:pPr>
            <w:r>
              <w:rPr>
                <w:rFonts w:cs="Arial"/>
                <w:szCs w:val="18"/>
                <w:lang w:val="en-GB"/>
              </w:rPr>
              <w:t>884</w:t>
            </w:r>
            <w:r w:rsidR="007D344E">
              <w:rPr>
                <w:rFonts w:cs="Arial"/>
                <w:szCs w:val="18"/>
                <w:lang w:val="en-GB"/>
              </w:rPr>
              <w:t>.</w:t>
            </w:r>
            <w:r>
              <w:rPr>
                <w:rFonts w:cs="Arial"/>
                <w:szCs w:val="18"/>
                <w:lang w:val="en-GB"/>
              </w:rPr>
              <w:t>76</w:t>
            </w:r>
          </w:p>
        </w:tc>
      </w:tr>
      <w:tr w:rsidR="0013733D" w:rsidRPr="00B57B36" w14:paraId="7DA5D10D" w14:textId="77777777" w:rsidTr="007D344E">
        <w:trPr>
          <w:jc w:val="center"/>
        </w:trPr>
        <w:tc>
          <w:tcPr>
            <w:tcW w:w="2410" w:type="dxa"/>
            <w:shd w:val="clear" w:color="auto" w:fill="FFFFFF"/>
          </w:tcPr>
          <w:p w14:paraId="55C114F8" w14:textId="33D5BAC0" w:rsidR="0013733D" w:rsidRPr="00713AD8" w:rsidRDefault="0013733D" w:rsidP="0013733D">
            <w:pPr>
              <w:pStyle w:val="CETBodytext"/>
              <w:spacing w:before="20" w:after="20"/>
              <w:ind w:right="-1"/>
            </w:pPr>
            <w:r>
              <w:t>Surface</w:t>
            </w:r>
            <w:r w:rsidRPr="00713AD8">
              <w:t xml:space="preserve"> tension</w:t>
            </w:r>
            <w:r w:rsidR="0043343F">
              <w:t xml:space="preserve"> [mN/m]</w:t>
            </w:r>
          </w:p>
        </w:tc>
        <w:tc>
          <w:tcPr>
            <w:tcW w:w="2125" w:type="dxa"/>
            <w:shd w:val="clear" w:color="auto" w:fill="FFFFFF"/>
          </w:tcPr>
          <w:p w14:paraId="6B4E55F1" w14:textId="27A52309" w:rsidR="0013733D" w:rsidRPr="00B57B36" w:rsidRDefault="0043343F" w:rsidP="0013733D">
            <w:pPr>
              <w:pStyle w:val="CETBodytext"/>
              <w:spacing w:before="20" w:after="20"/>
              <w:ind w:right="-1"/>
              <w:jc w:val="center"/>
              <w:rPr>
                <w:rFonts w:cs="Arial"/>
                <w:szCs w:val="18"/>
                <w:lang w:val="en-GB"/>
              </w:rPr>
            </w:pPr>
            <w:r>
              <w:rPr>
                <w:rFonts w:cs="Arial"/>
                <w:szCs w:val="18"/>
                <w:lang w:val="en-GB"/>
              </w:rPr>
              <w:t>25</w:t>
            </w:r>
            <w:r w:rsidR="007D344E">
              <w:rPr>
                <w:rFonts w:cs="Arial"/>
                <w:szCs w:val="18"/>
                <w:lang w:val="en-GB"/>
              </w:rPr>
              <w:t>.</w:t>
            </w:r>
            <w:r>
              <w:rPr>
                <w:rFonts w:cs="Arial"/>
                <w:szCs w:val="18"/>
                <w:lang w:val="en-GB"/>
              </w:rPr>
              <w:t>08</w:t>
            </w:r>
          </w:p>
        </w:tc>
        <w:tc>
          <w:tcPr>
            <w:tcW w:w="2126" w:type="dxa"/>
            <w:shd w:val="clear" w:color="auto" w:fill="FFFFFF"/>
          </w:tcPr>
          <w:p w14:paraId="4526D428" w14:textId="63BD3FA8" w:rsidR="0013733D" w:rsidRPr="00B57B36" w:rsidRDefault="0043343F" w:rsidP="0013733D">
            <w:pPr>
              <w:pStyle w:val="CETBodytext"/>
              <w:spacing w:before="20" w:after="20"/>
              <w:ind w:right="-1"/>
              <w:jc w:val="center"/>
              <w:rPr>
                <w:rFonts w:cs="Arial"/>
                <w:szCs w:val="18"/>
                <w:lang w:val="en-GB"/>
              </w:rPr>
            </w:pPr>
            <w:r>
              <w:rPr>
                <w:rFonts w:cs="Arial"/>
                <w:szCs w:val="18"/>
                <w:lang w:val="en-GB"/>
              </w:rPr>
              <w:t>25</w:t>
            </w:r>
            <w:r w:rsidR="007D344E">
              <w:rPr>
                <w:rFonts w:cs="Arial"/>
                <w:szCs w:val="18"/>
                <w:lang w:val="en-GB"/>
              </w:rPr>
              <w:t>.</w:t>
            </w:r>
            <w:r>
              <w:rPr>
                <w:rFonts w:cs="Arial"/>
                <w:szCs w:val="18"/>
                <w:lang w:val="en-GB"/>
              </w:rPr>
              <w:t>54</w:t>
            </w:r>
          </w:p>
        </w:tc>
      </w:tr>
      <w:tr w:rsidR="0013733D" w:rsidRPr="00B57B36" w14:paraId="2DAF46F1" w14:textId="128BE099" w:rsidTr="007D344E">
        <w:trPr>
          <w:jc w:val="center"/>
        </w:trPr>
        <w:tc>
          <w:tcPr>
            <w:tcW w:w="2410" w:type="dxa"/>
            <w:shd w:val="clear" w:color="auto" w:fill="FFFFFF"/>
          </w:tcPr>
          <w:p w14:paraId="5CF1FD99" w14:textId="1976221D" w:rsidR="0013733D" w:rsidRPr="00B57B36" w:rsidRDefault="0013733D" w:rsidP="0013733D">
            <w:pPr>
              <w:pStyle w:val="CETBodytext"/>
              <w:spacing w:before="20" w:after="20"/>
              <w:ind w:right="-1"/>
              <w:rPr>
                <w:rFonts w:cs="Arial"/>
                <w:szCs w:val="18"/>
                <w:lang w:val="en-GB"/>
              </w:rPr>
            </w:pPr>
            <w:r>
              <w:t>Emulsion distribution</w:t>
            </w:r>
            <w:r w:rsidR="0043343F">
              <w:t xml:space="preserve"> [</w:t>
            </w:r>
            <w:r w:rsidR="0043343F" w:rsidRPr="0043343F">
              <w:t>μm</w:t>
            </w:r>
            <w:r w:rsidR="0043343F">
              <w:t>]</w:t>
            </w:r>
          </w:p>
        </w:tc>
        <w:tc>
          <w:tcPr>
            <w:tcW w:w="2125" w:type="dxa"/>
            <w:shd w:val="clear" w:color="auto" w:fill="FFFFFF"/>
          </w:tcPr>
          <w:p w14:paraId="4A9ABF72" w14:textId="7CD17D7B" w:rsidR="0013733D" w:rsidRPr="00B57B36" w:rsidRDefault="0043343F" w:rsidP="0013733D">
            <w:pPr>
              <w:pStyle w:val="CETBodytext"/>
              <w:spacing w:before="20" w:after="20"/>
              <w:ind w:right="-1"/>
              <w:jc w:val="center"/>
              <w:rPr>
                <w:rFonts w:cs="Arial"/>
                <w:szCs w:val="18"/>
                <w:lang w:val="en-GB"/>
              </w:rPr>
            </w:pPr>
            <w:r>
              <w:rPr>
                <w:rFonts w:cs="Arial"/>
                <w:szCs w:val="18"/>
                <w:lang w:val="en-GB"/>
              </w:rPr>
              <w:t>4</w:t>
            </w:r>
            <w:r w:rsidR="007D344E">
              <w:rPr>
                <w:rFonts w:cs="Arial"/>
                <w:szCs w:val="18"/>
                <w:lang w:val="en-GB"/>
              </w:rPr>
              <w:t>.</w:t>
            </w:r>
            <w:r>
              <w:rPr>
                <w:rFonts w:cs="Arial"/>
                <w:szCs w:val="18"/>
                <w:lang w:val="en-GB"/>
              </w:rPr>
              <w:t>67</w:t>
            </w:r>
            <w:r w:rsidRPr="0043343F">
              <w:rPr>
                <w:rFonts w:cs="Arial"/>
                <w:szCs w:val="18"/>
                <w:lang w:val="en-GB"/>
              </w:rPr>
              <w:t>±</w:t>
            </w:r>
            <w:r>
              <w:rPr>
                <w:rFonts w:cs="Arial"/>
                <w:szCs w:val="18"/>
                <w:lang w:val="en-GB"/>
              </w:rPr>
              <w:t>1</w:t>
            </w:r>
            <w:r w:rsidR="007D344E">
              <w:rPr>
                <w:rFonts w:cs="Arial"/>
                <w:szCs w:val="18"/>
                <w:lang w:val="en-GB"/>
              </w:rPr>
              <w:t>.</w:t>
            </w:r>
            <w:r>
              <w:rPr>
                <w:rFonts w:cs="Arial"/>
                <w:szCs w:val="18"/>
                <w:lang w:val="en-GB"/>
              </w:rPr>
              <w:t>49</w:t>
            </w:r>
          </w:p>
        </w:tc>
        <w:tc>
          <w:tcPr>
            <w:tcW w:w="2126" w:type="dxa"/>
            <w:shd w:val="clear" w:color="auto" w:fill="FFFFFF"/>
          </w:tcPr>
          <w:p w14:paraId="1B33F645" w14:textId="7CD7520C" w:rsidR="0013733D" w:rsidRPr="00B57B36" w:rsidRDefault="0043343F" w:rsidP="0013733D">
            <w:pPr>
              <w:pStyle w:val="CETBodytext"/>
              <w:spacing w:before="20" w:after="20"/>
              <w:ind w:right="-1"/>
              <w:jc w:val="center"/>
              <w:rPr>
                <w:rFonts w:cs="Arial"/>
                <w:szCs w:val="18"/>
                <w:lang w:val="en-GB"/>
              </w:rPr>
            </w:pPr>
            <w:r>
              <w:rPr>
                <w:rFonts w:cs="Arial"/>
                <w:szCs w:val="18"/>
                <w:lang w:val="en-GB"/>
              </w:rPr>
              <w:t>2</w:t>
            </w:r>
            <w:r w:rsidR="007D344E">
              <w:rPr>
                <w:rFonts w:cs="Arial"/>
                <w:szCs w:val="18"/>
                <w:lang w:val="en-GB"/>
              </w:rPr>
              <w:t>.</w:t>
            </w:r>
            <w:r>
              <w:rPr>
                <w:rFonts w:cs="Arial"/>
                <w:szCs w:val="18"/>
                <w:lang w:val="en-GB"/>
              </w:rPr>
              <w:t>20</w:t>
            </w:r>
            <w:r w:rsidRPr="0043343F">
              <w:rPr>
                <w:rFonts w:cs="Arial"/>
                <w:szCs w:val="18"/>
                <w:lang w:val="en-GB"/>
              </w:rPr>
              <w:t>±</w:t>
            </w:r>
            <w:r>
              <w:rPr>
                <w:rFonts w:cs="Arial"/>
                <w:szCs w:val="18"/>
                <w:lang w:val="en-GB"/>
              </w:rPr>
              <w:t>1</w:t>
            </w:r>
            <w:r w:rsidR="007D344E">
              <w:rPr>
                <w:rFonts w:cs="Arial"/>
                <w:szCs w:val="18"/>
                <w:lang w:val="en-GB"/>
              </w:rPr>
              <w:t>.</w:t>
            </w:r>
            <w:r>
              <w:rPr>
                <w:rFonts w:cs="Arial"/>
                <w:szCs w:val="18"/>
                <w:lang w:val="en-GB"/>
              </w:rPr>
              <w:t>10</w:t>
            </w:r>
          </w:p>
        </w:tc>
      </w:tr>
    </w:tbl>
    <w:p w14:paraId="5E10FDC1" w14:textId="77777777" w:rsidR="00C96AB4" w:rsidRDefault="00C96AB4" w:rsidP="0043343F">
      <w:pPr>
        <w:pStyle w:val="CETBodytext"/>
        <w:rPr>
          <w:lang w:val="pt-BR"/>
        </w:rPr>
      </w:pPr>
    </w:p>
    <w:p w14:paraId="2FB4D43D" w14:textId="71782998" w:rsidR="0043343F" w:rsidRDefault="00574BF2" w:rsidP="00574BF2">
      <w:pPr>
        <w:pStyle w:val="CETBodytext"/>
        <w:rPr>
          <w:lang w:val="en-GB"/>
        </w:rPr>
      </w:pPr>
      <w:r w:rsidRPr="00574BF2">
        <w:rPr>
          <w:lang w:val="en-GB"/>
        </w:rPr>
        <w:t xml:space="preserve">Thus, in this case, the population balance adhered to </w:t>
      </w:r>
      <w:r>
        <w:rPr>
          <w:lang w:val="en-GB"/>
        </w:rPr>
        <w:t xml:space="preserve">most of </w:t>
      </w:r>
      <w:r w:rsidRPr="00574BF2">
        <w:rPr>
          <w:lang w:val="en-GB"/>
        </w:rPr>
        <w:t>the hypotheses outlined in Item 1</w:t>
      </w:r>
      <w:r w:rsidR="00220771">
        <w:rPr>
          <w:lang w:val="en-GB"/>
        </w:rPr>
        <w:t xml:space="preserve"> </w:t>
      </w:r>
      <w:r w:rsidR="00220771" w:rsidRPr="00574BF2">
        <w:rPr>
          <w:lang w:val="en-GB"/>
        </w:rPr>
        <w:t xml:space="preserve">the mathematical formulations utilized are elucidated by equations 1 </w:t>
      </w:r>
      <w:r w:rsidR="00220771" w:rsidRPr="00220771">
        <w:rPr>
          <w:lang w:val="en-GB"/>
        </w:rPr>
        <w:t>to 3.</w:t>
      </w:r>
      <w:r w:rsidR="00220771">
        <w:rPr>
          <w:lang w:val="en-GB"/>
        </w:rPr>
        <w:t xml:space="preserve"> However,</w:t>
      </w:r>
      <w:r w:rsidRPr="00574BF2">
        <w:rPr>
          <w:lang w:val="en-GB"/>
        </w:rPr>
        <w:t xml:space="preserve"> the breakage function</w:t>
      </w:r>
      <w:r w:rsidR="00220771">
        <w:rPr>
          <w:lang w:val="en-GB"/>
        </w:rPr>
        <w:t xml:space="preserve"> used in this work is</w:t>
      </w:r>
      <w:r w:rsidRPr="00574BF2">
        <w:rPr>
          <w:lang w:val="en-GB"/>
        </w:rPr>
        <w:t xml:space="preserve"> the modified version proposed by Khouri et al. (2023)</w:t>
      </w:r>
      <w:r w:rsidR="00220771">
        <w:rPr>
          <w:lang w:val="en-GB"/>
        </w:rPr>
        <w:t xml:space="preserve">, </w:t>
      </w:r>
      <w:r w:rsidR="00D87F8C">
        <w:rPr>
          <w:lang w:val="en-GB"/>
        </w:rPr>
        <w:t xml:space="preserve">in </w:t>
      </w:r>
      <w:r w:rsidR="00220771">
        <w:rPr>
          <w:lang w:val="en-GB"/>
        </w:rPr>
        <w:t xml:space="preserve">which a correction factor </w:t>
      </w:r>
      <w:r w:rsidR="007009D4">
        <w:rPr>
          <w:lang w:val="en-GB"/>
        </w:rPr>
        <w:t xml:space="preserve">(CF) </w:t>
      </w:r>
      <w:r w:rsidR="00220771">
        <w:rPr>
          <w:lang w:val="en-GB"/>
        </w:rPr>
        <w:t xml:space="preserve">is used in the breakage criteria of </w:t>
      </w:r>
      <w:r w:rsidR="00220771" w:rsidRPr="00220771">
        <w:rPr>
          <w:lang w:val="en-GB"/>
        </w:rPr>
        <w:t>critical energy and critical tension</w:t>
      </w:r>
      <w:r w:rsidR="00220771">
        <w:rPr>
          <w:lang w:val="en-GB"/>
        </w:rPr>
        <w:t xml:space="preserve"> (</w:t>
      </w:r>
      <w:r w:rsidR="00D87F8C">
        <w:rPr>
          <w:lang w:val="en-GB"/>
        </w:rPr>
        <w:t>equations</w:t>
      </w:r>
      <w:r w:rsidR="00220771">
        <w:rPr>
          <w:lang w:val="en-GB"/>
        </w:rPr>
        <w:t xml:space="preserve"> 4 to 5)</w:t>
      </w:r>
      <w:r w:rsidR="00C96AB4">
        <w:rPr>
          <w:lang w:val="en-GB"/>
        </w:rPr>
        <w:t xml:space="preserve">. </w:t>
      </w:r>
      <w:r w:rsidR="002B1C99">
        <w:rPr>
          <w:lang w:val="en-GB"/>
        </w:rPr>
        <w:t>A further explication of these equations</w:t>
      </w:r>
      <w:r w:rsidR="00452FE5">
        <w:rPr>
          <w:lang w:val="en-GB"/>
        </w:rPr>
        <w:t xml:space="preserve"> and their meaning</w:t>
      </w:r>
      <w:r w:rsidR="002B1C99">
        <w:rPr>
          <w:lang w:val="en-GB"/>
        </w:rPr>
        <w:t xml:space="preserve"> </w:t>
      </w:r>
      <w:r w:rsidR="00452FE5">
        <w:rPr>
          <w:lang w:val="en-GB"/>
        </w:rPr>
        <w:t>is</w:t>
      </w:r>
      <w:r w:rsidR="002B1C99">
        <w:rPr>
          <w:lang w:val="en-GB"/>
        </w:rPr>
        <w:t xml:space="preserve"> presented in the </w:t>
      </w:r>
      <w:r w:rsidR="00452FE5">
        <w:rPr>
          <w:lang w:val="en-GB"/>
        </w:rPr>
        <w:t xml:space="preserve">previous work </w:t>
      </w:r>
      <w:r w:rsidR="00452FE5" w:rsidRPr="00F818CA">
        <w:rPr>
          <w:lang w:val="en-GB"/>
        </w:rPr>
        <w:t>(Khouri et al., 2023)</w:t>
      </w:r>
      <w:r w:rsidR="002B1C99">
        <w:rPr>
          <w:lang w:val="en-GB"/>
        </w:rPr>
        <w:t>.</w:t>
      </w:r>
      <w:r w:rsidR="00452FE5">
        <w:rPr>
          <w:lang w:val="en-GB"/>
        </w:rPr>
        <w:t xml:space="preserve"> </w:t>
      </w:r>
      <w:r w:rsidR="00C96AB4">
        <w:rPr>
          <w:lang w:val="en-GB"/>
        </w:rPr>
        <w:t>Besides that,</w:t>
      </w:r>
      <w:r w:rsidR="0043343F">
        <w:rPr>
          <w:lang w:val="en-GB"/>
        </w:rPr>
        <w:t xml:space="preserve"> a flexible mesh was employed to</w:t>
      </w:r>
      <w:r w:rsidR="00C96AB4">
        <w:rPr>
          <w:lang w:val="en-GB"/>
        </w:rPr>
        <w:t xml:space="preserve"> guarantee an adequate</w:t>
      </w:r>
      <w:r w:rsidR="0043343F">
        <w:rPr>
          <w:lang w:val="en-GB"/>
        </w:rPr>
        <w:t xml:space="preserve"> represent</w:t>
      </w:r>
      <w:r w:rsidR="00C96AB4">
        <w:rPr>
          <w:lang w:val="en-GB"/>
        </w:rPr>
        <w:t>ation of the micrometric</w:t>
      </w:r>
      <w:r w:rsidR="0043343F">
        <w:rPr>
          <w:lang w:val="en-GB"/>
        </w:rPr>
        <w:t xml:space="preserve"> distribution</w:t>
      </w:r>
      <w:r w:rsidR="00C96AB4">
        <w:rPr>
          <w:lang w:val="en-GB"/>
        </w:rPr>
        <w:t>s</w:t>
      </w:r>
      <w:r w:rsidR="0043343F">
        <w:rPr>
          <w:lang w:val="en-GB"/>
        </w:rPr>
        <w:t xml:space="preserve"> (</w:t>
      </w:r>
      <w:r w:rsidR="0043343F" w:rsidRPr="006E1B11">
        <w:rPr>
          <w:lang w:val="en-GB"/>
        </w:rPr>
        <w:t>Figure 1</w:t>
      </w:r>
      <w:r w:rsidR="0043343F">
        <w:rPr>
          <w:lang w:val="en-GB"/>
        </w:rPr>
        <w:t>)</w:t>
      </w:r>
      <w:r>
        <w:rPr>
          <w:lang w:val="en-GB"/>
        </w:rPr>
        <w:t xml:space="preserve"> and a</w:t>
      </w:r>
      <w:r w:rsidRPr="00574BF2">
        <w:rPr>
          <w:lang w:val="en-GB"/>
        </w:rPr>
        <w:t>t t = 0, 100% of the frequency is assigned to the highest value in the mesh</w:t>
      </w:r>
      <w:r>
        <w:rPr>
          <w:lang w:val="en-GB"/>
        </w:rPr>
        <w:t xml:space="preserve">, </w:t>
      </w:r>
      <w:r w:rsidR="00D87F8C">
        <w:rPr>
          <w:lang w:val="en-GB"/>
        </w:rPr>
        <w:t xml:space="preserve">and </w:t>
      </w:r>
      <w:r>
        <w:rPr>
          <w:lang w:val="en-GB"/>
        </w:rPr>
        <w:t>t</w:t>
      </w:r>
      <w:r w:rsidRPr="00574BF2">
        <w:rPr>
          <w:lang w:val="en-GB"/>
        </w:rPr>
        <w:t xml:space="preserve">he water added to the </w:t>
      </w:r>
      <w:r>
        <w:rPr>
          <w:lang w:val="en-GB"/>
        </w:rPr>
        <w:t>system (18mL).</w:t>
      </w:r>
    </w:p>
    <w:p w14:paraId="781264EB" w14:textId="77777777" w:rsidR="00CC4A71" w:rsidRDefault="00CC4A71" w:rsidP="00CC4A71">
      <w:pPr>
        <w:pStyle w:val="CETBodytext"/>
        <w:rPr>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220771" w:rsidRPr="00AD6027" w14:paraId="1408185F" w14:textId="77777777" w:rsidTr="00220771">
        <w:tc>
          <w:tcPr>
            <w:tcW w:w="7792" w:type="dxa"/>
            <w:vAlign w:val="bottom"/>
          </w:tcPr>
          <w:p w14:paraId="045C850D" w14:textId="493510C5" w:rsidR="00220771" w:rsidRPr="00AD6027" w:rsidRDefault="00000000" w:rsidP="00220771">
            <w:pPr>
              <w:spacing w:line="480" w:lineRule="auto"/>
              <w:ind w:left="893"/>
              <w:jc w:val="center"/>
              <w:rPr>
                <w:rFonts w:eastAsiaTheme="minorEastAsia"/>
                <w:iCs/>
              </w:rPr>
            </w:pPr>
            <m:oMathPara>
              <m:oMath>
                <m:f>
                  <m:fPr>
                    <m:ctrlPr>
                      <w:rPr>
                        <w:rFonts w:ascii="Cambria Math" w:hAnsi="Cambria Math"/>
                        <w:iCs/>
                      </w:rPr>
                    </m:ctrlPr>
                  </m:fPr>
                  <m:num>
                    <m:r>
                      <m:rPr>
                        <m:sty m:val="p"/>
                      </m:rPr>
                      <w:rPr>
                        <w:rFonts w:ascii="Cambria Math" w:hAnsi="Cambria Math"/>
                      </w:rPr>
                      <m:t>∂n(v,t)</m:t>
                    </m:r>
                  </m:num>
                  <m:den>
                    <m:r>
                      <m:rPr>
                        <m:sty m:val="p"/>
                      </m:rPr>
                      <w:rPr>
                        <w:rFonts w:ascii="Cambria Math" w:hAnsi="Cambria Math"/>
                      </w:rPr>
                      <m:t>∂t</m:t>
                    </m:r>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B</m:t>
                    </m:r>
                  </m:e>
                  <m:sub>
                    <m:r>
                      <m:rPr>
                        <m:sty m:val="p"/>
                      </m:rPr>
                      <w:rPr>
                        <w:rFonts w:ascii="Cambria Math" w:hAnsi="Cambria Math"/>
                      </w:rPr>
                      <m:t>g</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g</m:t>
                    </m:r>
                  </m:sub>
                </m:sSub>
              </m:oMath>
            </m:oMathPara>
          </w:p>
        </w:tc>
        <w:tc>
          <w:tcPr>
            <w:tcW w:w="702" w:type="dxa"/>
            <w:vAlign w:val="center"/>
          </w:tcPr>
          <w:p w14:paraId="6C690595" w14:textId="3D80CFEF" w:rsidR="00220771" w:rsidRPr="00220771" w:rsidRDefault="00220771" w:rsidP="00220771">
            <w:pPr>
              <w:pStyle w:val="CorpodoTexto"/>
              <w:ind w:firstLine="0"/>
              <w:jc w:val="right"/>
              <w:rPr>
                <w:rFonts w:ascii="Arial" w:hAnsi="Arial" w:cs="Arial"/>
                <w:sz w:val="18"/>
                <w:szCs w:val="18"/>
              </w:rPr>
            </w:pPr>
            <w:r w:rsidRPr="00220771">
              <w:rPr>
                <w:rFonts w:ascii="Arial" w:hAnsi="Arial" w:cs="Arial"/>
                <w:sz w:val="18"/>
                <w:szCs w:val="18"/>
              </w:rPr>
              <w:t>(1)</w:t>
            </w:r>
          </w:p>
        </w:tc>
      </w:tr>
    </w:tbl>
    <w:p w14:paraId="159BB614" w14:textId="77777777" w:rsidR="00220771" w:rsidRPr="00AD6027" w:rsidRDefault="00220771" w:rsidP="00220771">
      <w:pPr>
        <w:pStyle w:val="Legenda"/>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220771" w:rsidRPr="00AD6027" w14:paraId="1B0711AA" w14:textId="77777777" w:rsidTr="00D3765F">
        <w:tc>
          <w:tcPr>
            <w:tcW w:w="7792" w:type="dxa"/>
            <w:vAlign w:val="center"/>
          </w:tcPr>
          <w:p w14:paraId="11A4CE46" w14:textId="5BEEF09F" w:rsidR="00220771" w:rsidRPr="00AD6027" w:rsidRDefault="00000000" w:rsidP="00D3765F">
            <w:pPr>
              <w:spacing w:line="480" w:lineRule="auto"/>
              <w:ind w:left="993"/>
              <w:jc w:val="center"/>
              <w:rPr>
                <w:rFonts w:eastAsiaTheme="minorEastAsia"/>
                <w:iCs/>
                <w:sz w:val="22"/>
              </w:rPr>
            </w:pPr>
            <m:oMathPara>
              <m:oMath>
                <m:sSub>
                  <m:sSubPr>
                    <m:ctrlPr>
                      <w:rPr>
                        <w:rFonts w:ascii="Cambria Math" w:hAnsi="Cambria Math"/>
                        <w:iCs/>
                        <w:szCs w:val="32"/>
                      </w:rPr>
                    </m:ctrlPr>
                  </m:sSubPr>
                  <m:e>
                    <m:r>
                      <w:rPr>
                        <w:rFonts w:ascii="Cambria Math" w:hAnsi="Cambria Math"/>
                        <w:szCs w:val="32"/>
                      </w:rPr>
                      <m:t>B</m:t>
                    </m:r>
                  </m:e>
                  <m:sub>
                    <m:r>
                      <m:rPr>
                        <m:sty m:val="p"/>
                      </m:rPr>
                      <w:rPr>
                        <w:rFonts w:ascii="Cambria Math" w:hAnsi="Cambria Math"/>
                      </w:rPr>
                      <m:t>g</m:t>
                    </m:r>
                  </m:sub>
                </m:sSub>
                <m:d>
                  <m:dPr>
                    <m:ctrlPr>
                      <w:rPr>
                        <w:rFonts w:ascii="Cambria Math" w:hAnsi="Cambria Math"/>
                        <w:iCs/>
                        <w:szCs w:val="32"/>
                      </w:rPr>
                    </m:ctrlPr>
                  </m:dPr>
                  <m:e>
                    <m:r>
                      <m:rPr>
                        <m:sty m:val="p"/>
                      </m:rPr>
                      <w:rPr>
                        <w:rFonts w:ascii="Cambria Math" w:hAnsi="Cambria Math"/>
                        <w:szCs w:val="32"/>
                      </w:rPr>
                      <m:t>v,</m:t>
                    </m:r>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r>
                      <m:rPr>
                        <m:sty m:val="p"/>
                      </m:rPr>
                      <w:rPr>
                        <w:rFonts w:ascii="Cambria Math" w:hAnsi="Cambria Math"/>
                        <w:szCs w:val="32"/>
                      </w:rPr>
                      <m:t>,t</m:t>
                    </m:r>
                  </m:e>
                </m:d>
                <m:r>
                  <m:rPr>
                    <m:sty m:val="p"/>
                  </m:rPr>
                  <w:rPr>
                    <w:rFonts w:ascii="Cambria Math" w:hAnsi="Cambria Math"/>
                    <w:szCs w:val="32"/>
                  </w:rPr>
                  <m:t xml:space="preserve">= </m:t>
                </m:r>
                <m:nary>
                  <m:naryPr>
                    <m:limLoc m:val="subSup"/>
                    <m:ctrlPr>
                      <w:rPr>
                        <w:rFonts w:ascii="Cambria Math" w:hAnsi="Cambria Math"/>
                        <w:iCs/>
                        <w:szCs w:val="32"/>
                      </w:rPr>
                    </m:ctrlPr>
                  </m:naryPr>
                  <m:sub>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r>
                      <m:rPr>
                        <m:sty m:val="p"/>
                      </m:rPr>
                      <w:rPr>
                        <w:rFonts w:ascii="Cambria Math" w:hAnsi="Cambria Math"/>
                        <w:szCs w:val="32"/>
                      </w:rPr>
                      <m:t>=v</m:t>
                    </m:r>
                  </m:sub>
                  <m:sup>
                    <m:r>
                      <m:rPr>
                        <m:sty m:val="p"/>
                      </m:rPr>
                      <w:rPr>
                        <w:rFonts w:ascii="Cambria Math" w:hAnsi="Cambria Math"/>
                        <w:szCs w:val="32"/>
                      </w:rPr>
                      <m:t>∞</m:t>
                    </m:r>
                  </m:sup>
                  <m:e>
                    <m:r>
                      <m:rPr>
                        <m:sty m:val="p"/>
                      </m:rPr>
                      <w:rPr>
                        <w:rFonts w:ascii="Cambria Math" w:hAnsi="Cambria Math"/>
                        <w:szCs w:val="32"/>
                      </w:rPr>
                      <m:t>m</m:t>
                    </m:r>
                    <m:d>
                      <m:dPr>
                        <m:ctrlPr>
                          <w:rPr>
                            <w:rFonts w:ascii="Cambria Math" w:hAnsi="Cambria Math"/>
                            <w:iCs/>
                            <w:szCs w:val="32"/>
                          </w:rPr>
                        </m:ctrlPr>
                      </m:dPr>
                      <m:e>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e>
                    </m:d>
                    <m:r>
                      <m:rPr>
                        <m:sty m:val="p"/>
                      </m:rPr>
                      <w:rPr>
                        <w:rFonts w:ascii="Cambria Math" w:hAnsi="Cambria Math"/>
                        <w:szCs w:val="32"/>
                      </w:rPr>
                      <m:t xml:space="preserve"> f</m:t>
                    </m:r>
                    <m:d>
                      <m:dPr>
                        <m:ctrlPr>
                          <w:rPr>
                            <w:rFonts w:ascii="Cambria Math" w:hAnsi="Cambria Math"/>
                            <w:iCs/>
                            <w:szCs w:val="32"/>
                          </w:rPr>
                        </m:ctrlPr>
                      </m:dPr>
                      <m:e>
                        <m:r>
                          <m:rPr>
                            <m:sty m:val="p"/>
                          </m:rPr>
                          <w:rPr>
                            <w:rFonts w:ascii="Cambria Math" w:hAnsi="Cambria Math"/>
                            <w:szCs w:val="32"/>
                          </w:rPr>
                          <m:t>v,</m:t>
                        </m:r>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e>
                    </m:d>
                    <m:r>
                      <m:rPr>
                        <m:sty m:val="p"/>
                      </m:rPr>
                      <w:rPr>
                        <w:rFonts w:ascii="Cambria Math" w:hAnsi="Cambria Math"/>
                        <w:szCs w:val="32"/>
                      </w:rPr>
                      <m:t xml:space="preserve"> g</m:t>
                    </m:r>
                    <m:d>
                      <m:dPr>
                        <m:ctrlPr>
                          <w:rPr>
                            <w:rFonts w:ascii="Cambria Math" w:hAnsi="Cambria Math"/>
                            <w:iCs/>
                            <w:szCs w:val="32"/>
                          </w:rPr>
                        </m:ctrlPr>
                      </m:dPr>
                      <m:e>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e>
                    </m:d>
                    <m:r>
                      <m:rPr>
                        <m:sty m:val="p"/>
                      </m:rPr>
                      <w:rPr>
                        <w:rFonts w:ascii="Cambria Math" w:hAnsi="Cambria Math"/>
                        <w:szCs w:val="32"/>
                      </w:rPr>
                      <m:t>n</m:t>
                    </m:r>
                    <m:d>
                      <m:dPr>
                        <m:ctrlPr>
                          <w:rPr>
                            <w:rFonts w:ascii="Cambria Math" w:hAnsi="Cambria Math"/>
                            <w:iCs/>
                            <w:szCs w:val="32"/>
                          </w:rPr>
                        </m:ctrlPr>
                      </m:dPr>
                      <m:e>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r>
                          <m:rPr>
                            <m:sty m:val="p"/>
                          </m:rPr>
                          <w:rPr>
                            <w:rFonts w:ascii="Cambria Math" w:hAnsi="Cambria Math"/>
                            <w:szCs w:val="32"/>
                          </w:rPr>
                          <m:t>,t</m:t>
                        </m:r>
                      </m:e>
                    </m:d>
                    <m:r>
                      <m:rPr>
                        <m:sty m:val="p"/>
                      </m:rPr>
                      <w:rPr>
                        <w:rFonts w:ascii="Cambria Math" w:hAnsi="Cambria Math"/>
                        <w:szCs w:val="32"/>
                      </w:rPr>
                      <m:t>d</m:t>
                    </m:r>
                    <m:sSup>
                      <m:sSupPr>
                        <m:ctrlPr>
                          <w:rPr>
                            <w:rFonts w:ascii="Cambria Math" w:hAnsi="Cambria Math"/>
                            <w:iCs/>
                            <w:szCs w:val="32"/>
                          </w:rPr>
                        </m:ctrlPr>
                      </m:sSupPr>
                      <m:e>
                        <m:r>
                          <m:rPr>
                            <m:sty m:val="p"/>
                          </m:rPr>
                          <w:rPr>
                            <w:rFonts w:ascii="Cambria Math" w:hAnsi="Cambria Math"/>
                            <w:szCs w:val="32"/>
                          </w:rPr>
                          <m:t>v</m:t>
                        </m:r>
                      </m:e>
                      <m:sup>
                        <m:r>
                          <m:rPr>
                            <m:sty m:val="p"/>
                          </m:rPr>
                          <w:rPr>
                            <w:rFonts w:ascii="Cambria Math" w:hAnsi="Cambria Math"/>
                            <w:szCs w:val="32"/>
                          </w:rPr>
                          <m:t>'</m:t>
                        </m:r>
                      </m:sup>
                    </m:sSup>
                  </m:e>
                </m:nary>
              </m:oMath>
            </m:oMathPara>
          </w:p>
        </w:tc>
        <w:tc>
          <w:tcPr>
            <w:tcW w:w="702" w:type="dxa"/>
            <w:vAlign w:val="center"/>
          </w:tcPr>
          <w:p w14:paraId="7A89FEF6" w14:textId="49699310" w:rsidR="00220771" w:rsidRPr="00AD6027" w:rsidRDefault="00220771" w:rsidP="00220771">
            <w:pPr>
              <w:pStyle w:val="CorpodoTexto"/>
              <w:ind w:firstLine="0"/>
              <w:jc w:val="right"/>
            </w:pPr>
            <w:r w:rsidRPr="00220771">
              <w:rPr>
                <w:rFonts w:ascii="Arial" w:hAnsi="Arial" w:cs="Arial"/>
                <w:sz w:val="18"/>
                <w:szCs w:val="18"/>
              </w:rPr>
              <w:t>(</w:t>
            </w:r>
            <w:r>
              <w:rPr>
                <w:rFonts w:ascii="Arial" w:hAnsi="Arial" w:cs="Arial"/>
                <w:sz w:val="18"/>
                <w:szCs w:val="18"/>
              </w:rPr>
              <w:t>2</w:t>
            </w:r>
            <w:r w:rsidRPr="00220771">
              <w:rPr>
                <w:rFonts w:ascii="Arial" w:hAnsi="Arial" w:cs="Arial"/>
                <w:sz w:val="18"/>
                <w:szCs w:val="18"/>
              </w:rPr>
              <w:t>)</w:t>
            </w:r>
          </w:p>
        </w:tc>
      </w:tr>
    </w:tbl>
    <w:p w14:paraId="793D689E" w14:textId="77777777" w:rsidR="00220771" w:rsidRPr="00AD6027" w:rsidRDefault="00220771" w:rsidP="00220771">
      <w:pPr>
        <w:pStyle w:val="Legenda"/>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220771" w:rsidRPr="00AD6027" w14:paraId="4B94C572" w14:textId="77777777" w:rsidTr="00D3765F">
        <w:tc>
          <w:tcPr>
            <w:tcW w:w="7792" w:type="dxa"/>
            <w:vAlign w:val="center"/>
          </w:tcPr>
          <w:p w14:paraId="43E368A3" w14:textId="77777777" w:rsidR="00220771" w:rsidRPr="00AD6027" w:rsidRDefault="00000000" w:rsidP="00D3765F">
            <w:pPr>
              <w:spacing w:line="480" w:lineRule="auto"/>
              <w:ind w:left="893"/>
              <w:jc w:val="center"/>
              <w:rPr>
                <w:rFonts w:eastAsiaTheme="minorEastAsia"/>
                <w:iCs/>
                <w:sz w:val="22"/>
              </w:rPr>
            </w:pPr>
            <m:oMathPara>
              <m:oMathParaPr>
                <m:jc m:val="center"/>
              </m:oMathParaPr>
              <m:oMath>
                <m:sSub>
                  <m:sSubPr>
                    <m:ctrlPr>
                      <w:rPr>
                        <w:rFonts w:ascii="Cambria Math" w:hAnsi="Cambria Math"/>
                        <w:iCs/>
                        <w:szCs w:val="32"/>
                      </w:rPr>
                    </m:ctrlPr>
                  </m:sSubPr>
                  <m:e>
                    <m:r>
                      <m:rPr>
                        <m:sty m:val="p"/>
                      </m:rPr>
                      <w:rPr>
                        <w:rFonts w:ascii="Cambria Math" w:hAnsi="Cambria Math"/>
                        <w:szCs w:val="32"/>
                      </w:rPr>
                      <m:t>D</m:t>
                    </m:r>
                  </m:e>
                  <m:sub>
                    <m:r>
                      <m:rPr>
                        <m:sty m:val="p"/>
                      </m:rPr>
                      <w:rPr>
                        <w:rFonts w:ascii="Cambria Math" w:hAnsi="Cambria Math"/>
                      </w:rPr>
                      <m:t>g</m:t>
                    </m:r>
                  </m:sub>
                </m:sSub>
                <m:d>
                  <m:dPr>
                    <m:ctrlPr>
                      <w:rPr>
                        <w:rFonts w:ascii="Cambria Math" w:hAnsi="Cambria Math"/>
                        <w:iCs/>
                        <w:szCs w:val="32"/>
                      </w:rPr>
                    </m:ctrlPr>
                  </m:dPr>
                  <m:e>
                    <m:r>
                      <m:rPr>
                        <m:sty m:val="p"/>
                      </m:rPr>
                      <w:rPr>
                        <w:rFonts w:ascii="Cambria Math" w:hAnsi="Cambria Math"/>
                        <w:szCs w:val="32"/>
                      </w:rPr>
                      <m:t>v,t</m:t>
                    </m:r>
                  </m:e>
                </m:d>
                <m:r>
                  <m:rPr>
                    <m:sty m:val="p"/>
                  </m:rPr>
                  <w:rPr>
                    <w:rFonts w:ascii="Cambria Math" w:hAnsi="Cambria Math"/>
                    <w:szCs w:val="32"/>
                  </w:rPr>
                  <m:t>= g</m:t>
                </m:r>
                <m:d>
                  <m:dPr>
                    <m:ctrlPr>
                      <w:rPr>
                        <w:rFonts w:ascii="Cambria Math" w:hAnsi="Cambria Math"/>
                        <w:iCs/>
                        <w:szCs w:val="32"/>
                      </w:rPr>
                    </m:ctrlPr>
                  </m:dPr>
                  <m:e>
                    <m:r>
                      <m:rPr>
                        <m:sty m:val="p"/>
                      </m:rPr>
                      <w:rPr>
                        <w:rFonts w:ascii="Cambria Math" w:hAnsi="Cambria Math"/>
                        <w:szCs w:val="32"/>
                      </w:rPr>
                      <m:t>v</m:t>
                    </m:r>
                  </m:e>
                </m:d>
                <m:r>
                  <m:rPr>
                    <m:sty m:val="p"/>
                  </m:rPr>
                  <w:rPr>
                    <w:rFonts w:ascii="Cambria Math" w:hAnsi="Cambria Math"/>
                    <w:szCs w:val="32"/>
                  </w:rPr>
                  <m:t>n</m:t>
                </m:r>
                <m:d>
                  <m:dPr>
                    <m:ctrlPr>
                      <w:rPr>
                        <w:rFonts w:ascii="Cambria Math" w:hAnsi="Cambria Math"/>
                        <w:iCs/>
                        <w:szCs w:val="32"/>
                      </w:rPr>
                    </m:ctrlPr>
                  </m:dPr>
                  <m:e>
                    <m:r>
                      <m:rPr>
                        <m:sty m:val="p"/>
                      </m:rPr>
                      <w:rPr>
                        <w:rFonts w:ascii="Cambria Math" w:hAnsi="Cambria Math"/>
                        <w:szCs w:val="32"/>
                      </w:rPr>
                      <m:t>v,t</m:t>
                    </m:r>
                  </m:e>
                </m:d>
              </m:oMath>
            </m:oMathPara>
          </w:p>
        </w:tc>
        <w:tc>
          <w:tcPr>
            <w:tcW w:w="702" w:type="dxa"/>
            <w:vAlign w:val="center"/>
          </w:tcPr>
          <w:p w14:paraId="06321D25" w14:textId="73B4BA83" w:rsidR="00220771" w:rsidRPr="00AD6027" w:rsidRDefault="00220771" w:rsidP="00220771">
            <w:pPr>
              <w:pStyle w:val="CorpodoTexto"/>
              <w:ind w:firstLine="0"/>
              <w:jc w:val="right"/>
            </w:pPr>
            <w:r w:rsidRPr="00220771">
              <w:rPr>
                <w:rFonts w:ascii="Arial" w:hAnsi="Arial" w:cs="Arial"/>
                <w:sz w:val="18"/>
                <w:szCs w:val="18"/>
              </w:rPr>
              <w:t>(</w:t>
            </w:r>
            <w:r>
              <w:rPr>
                <w:rFonts w:ascii="Arial" w:hAnsi="Arial" w:cs="Arial"/>
                <w:sz w:val="18"/>
                <w:szCs w:val="18"/>
              </w:rPr>
              <w:t>3</w:t>
            </w:r>
            <w:r w:rsidRPr="00220771">
              <w:rPr>
                <w:rFonts w:ascii="Arial" w:hAnsi="Arial" w:cs="Arial"/>
                <w:sz w:val="18"/>
                <w:szCs w:val="18"/>
              </w:rPr>
              <w:t>)</w:t>
            </w:r>
          </w:p>
        </w:tc>
      </w:tr>
    </w:tbl>
    <w:p w14:paraId="6DC6F2C6" w14:textId="77777777" w:rsidR="00220771" w:rsidRDefault="00220771" w:rsidP="00CC4A71">
      <w:pPr>
        <w:pStyle w:val="CETBodytext"/>
        <w:rPr>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EC4901" w:rsidRPr="00AD6027" w14:paraId="1CC011A6" w14:textId="77777777" w:rsidTr="00D3765F">
        <w:tc>
          <w:tcPr>
            <w:tcW w:w="7792" w:type="dxa"/>
            <w:vAlign w:val="center"/>
          </w:tcPr>
          <w:p w14:paraId="3846EEB9" w14:textId="69A69F81" w:rsidR="00EC4901" w:rsidRPr="00AD6027" w:rsidRDefault="00000000" w:rsidP="00D3765F">
            <w:pPr>
              <w:spacing w:line="480" w:lineRule="auto"/>
              <w:ind w:left="893"/>
              <w:jc w:val="center"/>
              <w:rPr>
                <w:rFonts w:eastAsiaTheme="minorEastAsia"/>
                <w:iCs/>
                <w:sz w:val="22"/>
              </w:rPr>
            </w:pPr>
            <m:oMathPara>
              <m:oMathParaPr>
                <m:jc m:val="center"/>
              </m:oMathParaPr>
              <m:oMath>
                <m:sSub>
                  <m:sSubPr>
                    <m:ctrlPr>
                      <w:rPr>
                        <w:rFonts w:ascii="Cambria Math" w:eastAsia="Arial Unicode MS" w:hAnsi="Cambria Math"/>
                        <w:i/>
                        <w:szCs w:val="22"/>
                      </w:rPr>
                    </m:ctrlPr>
                  </m:sSubPr>
                  <m:e>
                    <m:r>
                      <w:rPr>
                        <w:rFonts w:ascii="Cambria Math" w:eastAsia="Arial Unicode MS" w:hAnsi="Cambria Math"/>
                      </w:rPr>
                      <m:t>χ</m:t>
                    </m:r>
                  </m:e>
                  <m:sub>
                    <m:r>
                      <w:rPr>
                        <w:rFonts w:ascii="Cambria Math" w:eastAsia="Arial Unicode MS" w:hAnsi="Cambria Math"/>
                        <w:szCs w:val="22"/>
                      </w:rPr>
                      <m:t>Ecrit</m:t>
                    </m:r>
                  </m:sub>
                </m:sSub>
                <m:r>
                  <w:rPr>
                    <w:rFonts w:ascii="Cambria Math" w:hAnsi="Cambria Math"/>
                    <w:szCs w:val="40"/>
                  </w:rPr>
                  <m:t>=(CF)</m:t>
                </m:r>
                <m:f>
                  <m:fPr>
                    <m:ctrlPr>
                      <w:rPr>
                        <w:rFonts w:ascii="Cambria Math" w:hAnsi="Cambria Math"/>
                        <w:i/>
                        <w:szCs w:val="40"/>
                      </w:rPr>
                    </m:ctrlPr>
                  </m:fPr>
                  <m:num>
                    <m:r>
                      <w:rPr>
                        <w:rFonts w:ascii="Cambria Math" w:hAnsi="Cambria Math"/>
                        <w:szCs w:val="40"/>
                      </w:rPr>
                      <m:t>0,3π</m:t>
                    </m:r>
                    <m:sSup>
                      <m:sSupPr>
                        <m:ctrlPr>
                          <w:rPr>
                            <w:rFonts w:ascii="Cambria Math" w:hAnsi="Cambria Math"/>
                            <w:i/>
                            <w:szCs w:val="40"/>
                          </w:rPr>
                        </m:ctrlPr>
                      </m:sSupPr>
                      <m:e>
                        <m:sSub>
                          <m:sSubPr>
                            <m:ctrlPr>
                              <w:rPr>
                                <w:rFonts w:ascii="Cambria Math" w:hAnsi="Cambria Math"/>
                                <w:i/>
                                <w:szCs w:val="40"/>
                              </w:rPr>
                            </m:ctrlPr>
                          </m:sSubPr>
                          <m:e>
                            <m:r>
                              <w:rPr>
                                <w:rFonts w:ascii="Cambria Math" w:hAnsi="Cambria Math"/>
                                <w:szCs w:val="40"/>
                              </w:rPr>
                              <m:t>d</m:t>
                            </m:r>
                          </m:e>
                          <m:sub>
                            <m:r>
                              <w:rPr>
                                <w:rFonts w:ascii="Cambria Math" w:hAnsi="Cambria Math"/>
                                <w:szCs w:val="40"/>
                              </w:rPr>
                              <m:t>0</m:t>
                            </m:r>
                          </m:sub>
                        </m:sSub>
                      </m:e>
                      <m:sup>
                        <m:r>
                          <w:rPr>
                            <w:rFonts w:ascii="Cambria Math" w:hAnsi="Cambria Math"/>
                            <w:szCs w:val="40"/>
                          </w:rPr>
                          <m:t>2</m:t>
                        </m:r>
                      </m:sup>
                    </m:sSup>
                    <m:r>
                      <w:rPr>
                        <w:rFonts w:ascii="Cambria Math" w:hAnsi="Cambria Math"/>
                        <w:szCs w:val="40"/>
                      </w:rPr>
                      <m:t>σ</m:t>
                    </m:r>
                  </m:num>
                  <m:den>
                    <m:sSub>
                      <m:sSubPr>
                        <m:ctrlPr>
                          <w:rPr>
                            <w:rFonts w:ascii="Cambria Math" w:eastAsia="Arial Unicode MS" w:hAnsi="Cambria Math"/>
                            <w:i/>
                            <w:szCs w:val="22"/>
                          </w:rPr>
                        </m:ctrlPr>
                      </m:sSubPr>
                      <m:e>
                        <m:r>
                          <w:rPr>
                            <w:rFonts w:ascii="Cambria Math" w:eastAsia="Arial Unicode MS" w:hAnsi="Cambria Math"/>
                          </w:rPr>
                          <m:t>e</m:t>
                        </m:r>
                      </m:e>
                      <m:sub>
                        <m:r>
                          <w:rPr>
                            <w:rFonts w:ascii="Cambria Math" w:eastAsia="Arial Unicode MS" w:hAnsi="Cambria Math"/>
                          </w:rPr>
                          <m:t>disp</m:t>
                        </m:r>
                      </m:sub>
                    </m:sSub>
                  </m:den>
                </m:f>
              </m:oMath>
            </m:oMathPara>
          </w:p>
        </w:tc>
        <w:tc>
          <w:tcPr>
            <w:tcW w:w="702" w:type="dxa"/>
            <w:vAlign w:val="center"/>
          </w:tcPr>
          <w:p w14:paraId="14410095" w14:textId="62BE25E4" w:rsidR="00EC4901" w:rsidRPr="00AD6027" w:rsidRDefault="00EC4901" w:rsidP="00D3765F">
            <w:pPr>
              <w:pStyle w:val="CorpodoTexto"/>
              <w:ind w:firstLine="0"/>
              <w:jc w:val="right"/>
            </w:pPr>
            <w:r w:rsidRPr="00220771">
              <w:rPr>
                <w:rFonts w:ascii="Arial" w:hAnsi="Arial" w:cs="Arial"/>
                <w:sz w:val="18"/>
                <w:szCs w:val="18"/>
              </w:rPr>
              <w:t>(</w:t>
            </w:r>
            <w:r>
              <w:rPr>
                <w:rFonts w:ascii="Arial" w:hAnsi="Arial" w:cs="Arial"/>
                <w:sz w:val="18"/>
                <w:szCs w:val="18"/>
              </w:rPr>
              <w:t>4</w:t>
            </w:r>
            <w:r w:rsidRPr="00220771">
              <w:rPr>
                <w:rFonts w:ascii="Arial" w:hAnsi="Arial" w:cs="Arial"/>
                <w:sz w:val="18"/>
                <w:szCs w:val="18"/>
              </w:rPr>
              <w:t>)</w:t>
            </w:r>
          </w:p>
        </w:tc>
      </w:tr>
    </w:tbl>
    <w:p w14:paraId="3097528E" w14:textId="77777777" w:rsidR="00EC4901" w:rsidRDefault="00EC4901" w:rsidP="00CC4A71">
      <w:pPr>
        <w:pStyle w:val="CETBodytext"/>
        <w:rPr>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EC4901" w:rsidRPr="00AD6027" w14:paraId="6C99D8F6" w14:textId="77777777" w:rsidTr="00D3765F">
        <w:tc>
          <w:tcPr>
            <w:tcW w:w="7792" w:type="dxa"/>
            <w:vAlign w:val="center"/>
          </w:tcPr>
          <w:p w14:paraId="2E9174CD" w14:textId="74B634AE" w:rsidR="00EC4901" w:rsidRPr="00AD6027" w:rsidRDefault="00000000" w:rsidP="00D3765F">
            <w:pPr>
              <w:spacing w:line="480" w:lineRule="auto"/>
              <w:ind w:left="893"/>
              <w:jc w:val="center"/>
              <w:rPr>
                <w:rFonts w:eastAsiaTheme="minorEastAsia"/>
                <w:iCs/>
                <w:sz w:val="22"/>
              </w:rPr>
            </w:pPr>
            <m:oMathPara>
              <m:oMathParaPr>
                <m:jc m:val="center"/>
              </m:oMathParaPr>
              <m:oMath>
                <m:sSub>
                  <m:sSubPr>
                    <m:ctrlPr>
                      <w:rPr>
                        <w:rFonts w:ascii="Cambria Math" w:eastAsia="Arial Unicode MS" w:hAnsi="Cambria Math"/>
                        <w:i/>
                        <w:szCs w:val="22"/>
                      </w:rPr>
                    </m:ctrlPr>
                  </m:sSubPr>
                  <m:e>
                    <m:r>
                      <w:rPr>
                        <w:rFonts w:ascii="Cambria Math" w:eastAsia="Arial Unicode MS" w:hAnsi="Cambria Math"/>
                      </w:rPr>
                      <m:t>χ</m:t>
                    </m:r>
                  </m:e>
                  <m:sub>
                    <m:r>
                      <w:rPr>
                        <w:rFonts w:ascii="Cambria Math" w:eastAsia="Arial Unicode MS" w:hAnsi="Cambria Math"/>
                        <w:szCs w:val="22"/>
                      </w:rPr>
                      <m:t>Tcrit</m:t>
                    </m:r>
                  </m:sub>
                </m:sSub>
                <m:r>
                  <w:rPr>
                    <w:rFonts w:ascii="Cambria Math" w:hAnsi="Cambria Math"/>
                    <w:szCs w:val="40"/>
                  </w:rPr>
                  <m:t>=(CF)</m:t>
                </m:r>
                <m:f>
                  <m:fPr>
                    <m:ctrlPr>
                      <w:rPr>
                        <w:rFonts w:ascii="Cambria Math" w:hAnsi="Cambria Math"/>
                        <w:i/>
                        <w:szCs w:val="40"/>
                      </w:rPr>
                    </m:ctrlPr>
                  </m:fPr>
                  <m:num>
                    <m:r>
                      <w:rPr>
                        <w:rFonts w:ascii="Cambria Math" w:hAnsi="Cambria Math"/>
                        <w:szCs w:val="40"/>
                      </w:rPr>
                      <m:t>2σ</m:t>
                    </m:r>
                  </m:num>
                  <m:den>
                    <m:sSub>
                      <m:sSubPr>
                        <m:ctrlPr>
                          <w:rPr>
                            <w:rFonts w:ascii="Cambria Math" w:hAnsi="Cambria Math"/>
                            <w:i/>
                            <w:szCs w:val="40"/>
                          </w:rPr>
                        </m:ctrlPr>
                      </m:sSubPr>
                      <m:e>
                        <m:r>
                          <w:rPr>
                            <w:rFonts w:ascii="Cambria Math" w:hAnsi="Cambria Math"/>
                            <w:szCs w:val="40"/>
                          </w:rPr>
                          <m:t>ρ</m:t>
                        </m:r>
                      </m:e>
                      <m:sub>
                        <m:r>
                          <w:rPr>
                            <w:rFonts w:ascii="Cambria Math" w:hAnsi="Cambria Math"/>
                            <w:szCs w:val="40"/>
                          </w:rPr>
                          <m:t>D</m:t>
                        </m:r>
                      </m:sub>
                    </m:sSub>
                    <m:sSub>
                      <m:sSubPr>
                        <m:ctrlPr>
                          <w:rPr>
                            <w:rFonts w:ascii="Cambria Math" w:hAnsi="Cambria Math"/>
                            <w:i/>
                            <w:szCs w:val="40"/>
                          </w:rPr>
                        </m:ctrlPr>
                      </m:sSubPr>
                      <m:e>
                        <m:r>
                          <w:rPr>
                            <w:rFonts w:ascii="Cambria Math" w:hAnsi="Cambria Math"/>
                            <w:szCs w:val="40"/>
                          </w:rPr>
                          <m:t>d</m:t>
                        </m:r>
                      </m:e>
                      <m:sub>
                        <m:r>
                          <w:rPr>
                            <w:rFonts w:ascii="Cambria Math" w:hAnsi="Cambria Math"/>
                            <w:szCs w:val="40"/>
                          </w:rPr>
                          <m:t>0</m:t>
                        </m:r>
                      </m:sub>
                    </m:sSub>
                    <m:sSup>
                      <m:sSupPr>
                        <m:ctrlPr>
                          <w:rPr>
                            <w:rFonts w:ascii="Cambria Math" w:hAnsi="Cambria Math"/>
                            <w:i/>
                            <w:szCs w:val="40"/>
                          </w:rPr>
                        </m:ctrlPr>
                      </m:sSupPr>
                      <m:e>
                        <m:r>
                          <w:rPr>
                            <w:rFonts w:ascii="Cambria Math" w:hAnsi="Cambria Math"/>
                            <w:szCs w:val="40"/>
                          </w:rPr>
                          <m:t>λ</m:t>
                        </m:r>
                      </m:e>
                      <m:sup>
                        <m:r>
                          <w:rPr>
                            <w:rFonts w:ascii="Cambria Math" w:hAnsi="Cambria Math"/>
                            <w:szCs w:val="40"/>
                          </w:rPr>
                          <m:t>2/3</m:t>
                        </m:r>
                      </m:sup>
                    </m:sSup>
                    <m:sSup>
                      <m:sSupPr>
                        <m:ctrlPr>
                          <w:rPr>
                            <w:rFonts w:ascii="Cambria Math" w:hAnsi="Cambria Math"/>
                            <w:i/>
                            <w:szCs w:val="40"/>
                          </w:rPr>
                        </m:ctrlPr>
                      </m:sSupPr>
                      <m:e>
                        <m:r>
                          <w:rPr>
                            <w:rFonts w:ascii="Cambria Math" w:hAnsi="Cambria Math"/>
                            <w:szCs w:val="40"/>
                          </w:rPr>
                          <m:t>ψ</m:t>
                        </m:r>
                      </m:e>
                      <m:sup>
                        <m:r>
                          <w:rPr>
                            <w:rFonts w:ascii="Cambria Math" w:hAnsi="Cambria Math"/>
                            <w:szCs w:val="40"/>
                          </w:rPr>
                          <m:t>2/3</m:t>
                        </m:r>
                      </m:sup>
                    </m:sSup>
                  </m:den>
                </m:f>
              </m:oMath>
            </m:oMathPara>
          </w:p>
        </w:tc>
        <w:tc>
          <w:tcPr>
            <w:tcW w:w="702" w:type="dxa"/>
            <w:vAlign w:val="center"/>
          </w:tcPr>
          <w:p w14:paraId="1D3A9CB0" w14:textId="7AA284F4" w:rsidR="00EC4901" w:rsidRPr="00AD6027" w:rsidRDefault="00EC4901" w:rsidP="00D3765F">
            <w:pPr>
              <w:pStyle w:val="CorpodoTexto"/>
              <w:ind w:firstLine="0"/>
              <w:jc w:val="right"/>
            </w:pPr>
            <w:r w:rsidRPr="00220771">
              <w:rPr>
                <w:rFonts w:ascii="Arial" w:hAnsi="Arial" w:cs="Arial"/>
                <w:sz w:val="18"/>
                <w:szCs w:val="18"/>
              </w:rPr>
              <w:t>(</w:t>
            </w:r>
            <w:r>
              <w:rPr>
                <w:rFonts w:ascii="Arial" w:hAnsi="Arial" w:cs="Arial"/>
                <w:sz w:val="18"/>
                <w:szCs w:val="18"/>
              </w:rPr>
              <w:t>5</w:t>
            </w:r>
            <w:r w:rsidRPr="00220771">
              <w:rPr>
                <w:rFonts w:ascii="Arial" w:hAnsi="Arial" w:cs="Arial"/>
                <w:sz w:val="18"/>
                <w:szCs w:val="18"/>
              </w:rPr>
              <w:t>)</w:t>
            </w:r>
          </w:p>
        </w:tc>
      </w:tr>
    </w:tbl>
    <w:p w14:paraId="4F5837A2" w14:textId="77777777" w:rsidR="00355F79" w:rsidRDefault="00355F79" w:rsidP="00CC4A71">
      <w:pPr>
        <w:pStyle w:val="CETBodytext"/>
        <w:rPr>
          <w:lang w:val="en-GB"/>
        </w:rPr>
      </w:pPr>
    </w:p>
    <w:p w14:paraId="68B01712" w14:textId="77777777" w:rsidR="004369D0" w:rsidRDefault="004369D0" w:rsidP="00CC4A71">
      <w:pPr>
        <w:pStyle w:val="CETBodytext"/>
        <w:rPr>
          <w:lang w:val="en-GB"/>
        </w:rPr>
      </w:pPr>
    </w:p>
    <w:p w14:paraId="22A541BD" w14:textId="3B96293D" w:rsidR="00355F79" w:rsidRDefault="00355F79" w:rsidP="00E17A6E">
      <w:pPr>
        <w:pStyle w:val="CETBodytext"/>
        <w:spacing w:after="120"/>
        <w:jc w:val="center"/>
        <w:rPr>
          <w:lang w:val="en-GB"/>
        </w:rPr>
      </w:pPr>
      <w:r>
        <w:rPr>
          <w:noProof/>
          <w:lang w:val="en-GB"/>
        </w:rPr>
        <w:drawing>
          <wp:inline distT="0" distB="0" distL="0" distR="0" wp14:anchorId="48F54510" wp14:editId="3ECE113D">
            <wp:extent cx="4651513" cy="803564"/>
            <wp:effectExtent l="0" t="0" r="0" b="0"/>
            <wp:docPr id="152614337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733" cy="808612"/>
                    </a:xfrm>
                    <a:prstGeom prst="rect">
                      <a:avLst/>
                    </a:prstGeom>
                    <a:noFill/>
                  </pic:spPr>
                </pic:pic>
              </a:graphicData>
            </a:graphic>
          </wp:inline>
        </w:drawing>
      </w:r>
    </w:p>
    <w:p w14:paraId="035631E5" w14:textId="421FDAAD" w:rsidR="00355F79" w:rsidRDefault="00355F79" w:rsidP="00355F79">
      <w:pPr>
        <w:pStyle w:val="CETBodytext"/>
        <w:rPr>
          <w:rStyle w:val="CETCaptionCarattere"/>
        </w:rPr>
      </w:pPr>
      <w:r w:rsidRPr="00BD077D">
        <w:rPr>
          <w:rStyle w:val="CETCaptionCarattere"/>
        </w:rPr>
        <w:t xml:space="preserve">Figure 1: </w:t>
      </w:r>
      <w:r>
        <w:rPr>
          <w:rStyle w:val="CETCaptionCarattere"/>
        </w:rPr>
        <w:t xml:space="preserve">Graphical representation of the flexible mesh used in the W/B microemulsion modeling. </w:t>
      </w:r>
    </w:p>
    <w:p w14:paraId="471C4E3D" w14:textId="77777777" w:rsidR="00355F79" w:rsidRDefault="00355F79" w:rsidP="00355F79">
      <w:pPr>
        <w:pStyle w:val="CETBodytext"/>
        <w:rPr>
          <w:rStyle w:val="CETCaptionCarattere"/>
        </w:rPr>
      </w:pPr>
    </w:p>
    <w:p w14:paraId="151D7766" w14:textId="1CC4DB43" w:rsidR="00B3575E" w:rsidRPr="00B3575E" w:rsidRDefault="00B3575E" w:rsidP="00355F79">
      <w:pPr>
        <w:pStyle w:val="CETHeading1"/>
      </w:pPr>
      <w:r>
        <w:t>Results and discussion</w:t>
      </w:r>
    </w:p>
    <w:p w14:paraId="4B1A0838" w14:textId="77777777" w:rsidR="00B3575E" w:rsidRDefault="00B3575E" w:rsidP="00CC4A71">
      <w:pPr>
        <w:pStyle w:val="CETBodytext"/>
        <w:rPr>
          <w:lang w:val="en-GB"/>
        </w:rPr>
      </w:pPr>
    </w:p>
    <w:p w14:paraId="49F04A71" w14:textId="70112119" w:rsidR="006F31DE" w:rsidRPr="006F31DE" w:rsidRDefault="006F31DE" w:rsidP="00B3575E">
      <w:pPr>
        <w:pStyle w:val="CETBodytext"/>
      </w:pPr>
      <w:r w:rsidRPr="006F31DE">
        <w:t xml:space="preserve">Initially, an analysis was conducted to observe the effect of the correction factor </w:t>
      </w:r>
      <w:r>
        <w:t>CF</w:t>
      </w:r>
      <w:r w:rsidRPr="006F31DE">
        <w:t xml:space="preserve"> on the system and determine which one is most suitable for W/</w:t>
      </w:r>
      <w:r>
        <w:t>B</w:t>
      </w:r>
      <w:r w:rsidRPr="006F31DE">
        <w:t xml:space="preserve"> microemulsions.</w:t>
      </w:r>
      <w:r w:rsidR="00D87F8C">
        <w:t xml:space="preserve"> </w:t>
      </w:r>
      <w:r w:rsidRPr="006F31DE">
        <w:t xml:space="preserve">As established earlier, droplet breakage is favored for </w:t>
      </w:r>
      <w:r>
        <w:t>CF </w:t>
      </w:r>
      <w:r w:rsidRPr="006F31DE">
        <w:t>&lt;</w:t>
      </w:r>
      <w:r>
        <w:t> </w:t>
      </w:r>
      <w:r w:rsidRPr="006F31DE">
        <w:t xml:space="preserve">1, and only values within this range were employed. </w:t>
      </w:r>
      <w:r w:rsidR="00466751">
        <w:t>Table 2 summarizes the results of CF testing</w:t>
      </w:r>
      <w:r w:rsidR="00466751" w:rsidRPr="006F31DE">
        <w:t xml:space="preserve"> </w:t>
      </w:r>
      <w:r w:rsidR="00466751">
        <w:t xml:space="preserve">using the </w:t>
      </w:r>
      <w:r w:rsidR="00466751" w:rsidRPr="00F447E3">
        <w:t>Standardized Mean Difference (SMD) as a</w:t>
      </w:r>
      <w:r w:rsidR="00466751">
        <w:t xml:space="preserve">n effective </w:t>
      </w:r>
      <w:r w:rsidR="00466751" w:rsidRPr="00F447E3">
        <w:t xml:space="preserve">quantitative metric </w:t>
      </w:r>
      <w:r w:rsidR="00466751">
        <w:t>(Equation 6)</w:t>
      </w:r>
      <w:r w:rsidR="00466751">
        <w:t xml:space="preserve"> to determine the best CF for Dataset A</w:t>
      </w:r>
      <w:r w:rsidR="00466751" w:rsidRPr="00F447E3">
        <w:t>.</w:t>
      </w:r>
      <w:r w:rsidR="00466751">
        <w:t xml:space="preserve"> </w:t>
      </w:r>
      <w:r w:rsidRPr="006F31DE">
        <w:t>As expected, without the correction factor (</w:t>
      </w:r>
      <w:r w:rsidR="00D87F8C">
        <w:t>CF</w:t>
      </w:r>
      <w:r w:rsidRPr="006F31DE">
        <w:t>=1), the model is unable to describe the behavior of systems at the micro/</w:t>
      </w:r>
      <w:r w:rsidR="00D87F8C">
        <w:t>nanoscale</w:t>
      </w:r>
      <w:r w:rsidRPr="006F31DE">
        <w:t>.</w:t>
      </w:r>
    </w:p>
    <w:p w14:paraId="388957DB" w14:textId="382E53AB" w:rsidR="00B3575E" w:rsidRPr="00B57B36" w:rsidRDefault="00B3575E" w:rsidP="00B3575E">
      <w:pPr>
        <w:pStyle w:val="CETTabletitle"/>
      </w:pPr>
      <w:r w:rsidRPr="006C4F8A">
        <w:t xml:space="preserve">Table 2: </w:t>
      </w:r>
      <w:r w:rsidR="006C4F8A" w:rsidRPr="006C4F8A">
        <w:t xml:space="preserve">Effect of the correction factor on the </w:t>
      </w:r>
      <w:r w:rsidR="006C4F8A">
        <w:t xml:space="preserve">Dataset A </w:t>
      </w:r>
      <w:r w:rsidR="006C4F8A" w:rsidRPr="006C4F8A">
        <w:t>distribution.</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2268"/>
        <w:gridCol w:w="2268"/>
      </w:tblGrid>
      <w:tr w:rsidR="00D87F8C" w:rsidRPr="00B57B36" w14:paraId="2FEE2D1B" w14:textId="4D2EED3F" w:rsidTr="00466751">
        <w:trPr>
          <w:jc w:val="center"/>
        </w:trPr>
        <w:tc>
          <w:tcPr>
            <w:tcW w:w="993" w:type="dxa"/>
            <w:tcBorders>
              <w:top w:val="single" w:sz="12" w:space="0" w:color="008000"/>
              <w:bottom w:val="single" w:sz="6" w:space="0" w:color="008000"/>
            </w:tcBorders>
            <w:shd w:val="clear" w:color="auto" w:fill="FFFFFF"/>
            <w:vAlign w:val="center"/>
          </w:tcPr>
          <w:p w14:paraId="07FC51CA" w14:textId="24850C40" w:rsidR="00D87F8C" w:rsidRPr="00B57B36" w:rsidRDefault="00D87F8C" w:rsidP="00466751">
            <w:pPr>
              <w:pStyle w:val="CETBodytext"/>
              <w:jc w:val="center"/>
              <w:rPr>
                <w:lang w:val="en-GB"/>
              </w:rPr>
            </w:pPr>
            <w:r>
              <w:rPr>
                <w:lang w:val="en-GB"/>
              </w:rPr>
              <w:t>CF</w:t>
            </w:r>
          </w:p>
        </w:tc>
        <w:tc>
          <w:tcPr>
            <w:tcW w:w="2268" w:type="dxa"/>
            <w:tcBorders>
              <w:top w:val="single" w:sz="12" w:space="0" w:color="008000"/>
              <w:bottom w:val="single" w:sz="6" w:space="0" w:color="008000"/>
            </w:tcBorders>
            <w:shd w:val="clear" w:color="auto" w:fill="FFFFFF"/>
          </w:tcPr>
          <w:p w14:paraId="4160C95A" w14:textId="6CB52BB4" w:rsidR="00D87F8C" w:rsidRDefault="00D87F8C" w:rsidP="00E17A6E">
            <w:pPr>
              <w:pStyle w:val="CETBodytext"/>
              <w:jc w:val="center"/>
              <w:rPr>
                <w:lang w:val="en-GB"/>
              </w:rPr>
            </w:pPr>
            <w:r>
              <w:rPr>
                <w:lang w:val="en-GB"/>
              </w:rPr>
              <w:t>Emulsion distribution</w:t>
            </w:r>
          </w:p>
          <w:p w14:paraId="75DA7511" w14:textId="69B78B1D" w:rsidR="00D87F8C" w:rsidRPr="00B57B36" w:rsidRDefault="00D87F8C" w:rsidP="00E17A6E">
            <w:pPr>
              <w:pStyle w:val="CETBodytext"/>
              <w:jc w:val="center"/>
              <w:rPr>
                <w:lang w:val="en-GB"/>
              </w:rPr>
            </w:pPr>
            <w:r>
              <w:rPr>
                <w:lang w:val="en-GB"/>
              </w:rPr>
              <w:t>Dataset A</w:t>
            </w:r>
          </w:p>
        </w:tc>
        <w:tc>
          <w:tcPr>
            <w:tcW w:w="2268" w:type="dxa"/>
            <w:tcBorders>
              <w:top w:val="single" w:sz="12" w:space="0" w:color="008000"/>
              <w:bottom w:val="single" w:sz="6" w:space="0" w:color="008000"/>
            </w:tcBorders>
            <w:shd w:val="clear" w:color="auto" w:fill="FFFFFF"/>
            <w:vAlign w:val="center"/>
          </w:tcPr>
          <w:p w14:paraId="1C506F7E" w14:textId="7DBF8FA3" w:rsidR="00D87F8C" w:rsidRDefault="00466751" w:rsidP="00466751">
            <w:pPr>
              <w:pStyle w:val="CETBodytext"/>
              <w:jc w:val="center"/>
              <w:rPr>
                <w:lang w:val="en-GB"/>
              </w:rPr>
            </w:pPr>
            <w:r>
              <w:rPr>
                <w:lang w:val="en-GB"/>
              </w:rPr>
              <w:t>SMD</w:t>
            </w:r>
          </w:p>
        </w:tc>
      </w:tr>
      <w:tr w:rsidR="00D87F8C" w:rsidRPr="00B57B36" w14:paraId="6E9B601D" w14:textId="54D1F3F0" w:rsidTr="00466751">
        <w:trPr>
          <w:jc w:val="center"/>
        </w:trPr>
        <w:tc>
          <w:tcPr>
            <w:tcW w:w="993" w:type="dxa"/>
            <w:shd w:val="clear" w:color="auto" w:fill="FFFFFF"/>
            <w:vAlign w:val="center"/>
          </w:tcPr>
          <w:p w14:paraId="5F452FE3" w14:textId="45C408EB" w:rsidR="00D87F8C" w:rsidRPr="00B57B36" w:rsidRDefault="00D87F8C" w:rsidP="00466751">
            <w:pPr>
              <w:pStyle w:val="CETBodytext"/>
              <w:jc w:val="left"/>
              <w:rPr>
                <w:lang w:val="en-GB"/>
              </w:rPr>
            </w:pPr>
            <w:r>
              <w:rPr>
                <w:lang w:val="en-GB"/>
              </w:rPr>
              <w:t>1</w:t>
            </w:r>
          </w:p>
        </w:tc>
        <w:tc>
          <w:tcPr>
            <w:tcW w:w="2268" w:type="dxa"/>
            <w:shd w:val="clear" w:color="auto" w:fill="FFFFFF"/>
          </w:tcPr>
          <w:p w14:paraId="7C4AF173" w14:textId="47EEDFA4" w:rsidR="00D87F8C" w:rsidRPr="00B57B36" w:rsidRDefault="00D87F8C" w:rsidP="00E17A6E">
            <w:pPr>
              <w:pStyle w:val="CETBodytext"/>
              <w:jc w:val="center"/>
              <w:rPr>
                <w:lang w:val="en-GB"/>
              </w:rPr>
            </w:pPr>
            <w:r>
              <w:rPr>
                <w:lang w:val="en-GB"/>
              </w:rPr>
              <w:t xml:space="preserve">101.05 </w:t>
            </w:r>
            <w:r w:rsidRPr="0043343F">
              <w:rPr>
                <w:rFonts w:cs="Arial"/>
                <w:szCs w:val="18"/>
                <w:lang w:val="en-GB"/>
              </w:rPr>
              <w:t>±</w:t>
            </w:r>
            <w:r>
              <w:rPr>
                <w:rFonts w:cs="Arial"/>
                <w:szCs w:val="18"/>
                <w:lang w:val="en-GB"/>
              </w:rPr>
              <w:t xml:space="preserve"> 67.60 </w:t>
            </w:r>
            <w:r w:rsidRPr="0043343F">
              <w:t>μm</w:t>
            </w:r>
          </w:p>
        </w:tc>
        <w:tc>
          <w:tcPr>
            <w:tcW w:w="2268" w:type="dxa"/>
            <w:shd w:val="clear" w:color="auto" w:fill="FFFFFF"/>
          </w:tcPr>
          <w:p w14:paraId="15881CC0" w14:textId="588D3628" w:rsidR="00D87F8C" w:rsidRDefault="006E720B" w:rsidP="00E17A6E">
            <w:pPr>
              <w:pStyle w:val="CETBodytext"/>
              <w:jc w:val="center"/>
              <w:rPr>
                <w:lang w:val="en-GB"/>
              </w:rPr>
            </w:pPr>
            <w:r>
              <w:rPr>
                <w:lang w:val="en-GB"/>
              </w:rPr>
              <w:t>97.916</w:t>
            </w:r>
          </w:p>
        </w:tc>
      </w:tr>
      <w:tr w:rsidR="00D87F8C" w:rsidRPr="00B57B36" w14:paraId="5123FFD7" w14:textId="21C3AE12" w:rsidTr="00466751">
        <w:trPr>
          <w:jc w:val="center"/>
        </w:trPr>
        <w:tc>
          <w:tcPr>
            <w:tcW w:w="993" w:type="dxa"/>
            <w:shd w:val="clear" w:color="auto" w:fill="FFFFFF"/>
            <w:vAlign w:val="center"/>
          </w:tcPr>
          <w:p w14:paraId="59C32807" w14:textId="0C970607" w:rsidR="00D87F8C" w:rsidRPr="00B57B36" w:rsidRDefault="00D87F8C" w:rsidP="00466751">
            <w:pPr>
              <w:pStyle w:val="CETBodytext"/>
              <w:ind w:right="-1"/>
              <w:jc w:val="left"/>
              <w:rPr>
                <w:rFonts w:cs="Arial"/>
                <w:szCs w:val="18"/>
                <w:lang w:val="en-GB"/>
              </w:rPr>
            </w:pPr>
            <w:r>
              <w:rPr>
                <w:rFonts w:cs="Arial"/>
                <w:szCs w:val="18"/>
                <w:lang w:val="en-GB"/>
              </w:rPr>
              <w:t>0.1</w:t>
            </w:r>
          </w:p>
        </w:tc>
        <w:tc>
          <w:tcPr>
            <w:tcW w:w="2268" w:type="dxa"/>
            <w:shd w:val="clear" w:color="auto" w:fill="FFFFFF"/>
          </w:tcPr>
          <w:p w14:paraId="2EE3792C" w14:textId="32067A3C" w:rsidR="00D87F8C" w:rsidRPr="00B57B36" w:rsidRDefault="00D87F8C" w:rsidP="00E17A6E">
            <w:pPr>
              <w:pStyle w:val="CETBodytext"/>
              <w:ind w:right="-1"/>
              <w:jc w:val="center"/>
              <w:rPr>
                <w:rFonts w:cs="Arial"/>
                <w:szCs w:val="18"/>
                <w:lang w:val="en-GB"/>
              </w:rPr>
            </w:pPr>
            <w:r>
              <w:rPr>
                <w:rFonts w:cs="Arial"/>
                <w:szCs w:val="18"/>
                <w:lang w:val="en-GB"/>
              </w:rPr>
              <w:t xml:space="preserve">23.81 </w:t>
            </w:r>
            <w:r w:rsidRPr="0043343F">
              <w:rPr>
                <w:rFonts w:cs="Arial"/>
                <w:szCs w:val="18"/>
                <w:lang w:val="en-GB"/>
              </w:rPr>
              <w:t>±</w:t>
            </w:r>
            <w:r>
              <w:rPr>
                <w:rFonts w:cs="Arial"/>
                <w:szCs w:val="18"/>
                <w:lang w:val="en-GB"/>
              </w:rPr>
              <w:t xml:space="preserve"> 16.05 </w:t>
            </w:r>
            <w:r w:rsidRPr="0043343F">
              <w:t>μm</w:t>
            </w:r>
          </w:p>
        </w:tc>
        <w:tc>
          <w:tcPr>
            <w:tcW w:w="2268" w:type="dxa"/>
            <w:shd w:val="clear" w:color="auto" w:fill="FFFFFF"/>
          </w:tcPr>
          <w:p w14:paraId="6AF9A47B" w14:textId="0B44BA19" w:rsidR="00D87F8C" w:rsidRDefault="006E720B" w:rsidP="00E17A6E">
            <w:pPr>
              <w:pStyle w:val="CETBodytext"/>
              <w:ind w:right="-1"/>
              <w:jc w:val="center"/>
              <w:rPr>
                <w:rFonts w:cs="Arial"/>
                <w:szCs w:val="18"/>
                <w:lang w:val="en-GB"/>
              </w:rPr>
            </w:pPr>
            <w:r>
              <w:rPr>
                <w:rFonts w:cs="Arial"/>
                <w:szCs w:val="18"/>
                <w:lang w:val="en-GB"/>
              </w:rPr>
              <w:t>12.846</w:t>
            </w:r>
          </w:p>
        </w:tc>
      </w:tr>
      <w:tr w:rsidR="00D87F8C" w:rsidRPr="00B57B36" w14:paraId="5BA4622D" w14:textId="0627E884" w:rsidTr="00466751">
        <w:trPr>
          <w:jc w:val="center"/>
        </w:trPr>
        <w:tc>
          <w:tcPr>
            <w:tcW w:w="993" w:type="dxa"/>
            <w:shd w:val="clear" w:color="auto" w:fill="FFFFFF"/>
            <w:vAlign w:val="center"/>
          </w:tcPr>
          <w:p w14:paraId="48A0F61C" w14:textId="18CEE82D" w:rsidR="00D87F8C" w:rsidRDefault="00D87F8C" w:rsidP="00466751">
            <w:pPr>
              <w:pStyle w:val="CETBodytext"/>
              <w:ind w:right="-1"/>
              <w:jc w:val="left"/>
              <w:rPr>
                <w:rFonts w:cs="Arial"/>
                <w:szCs w:val="18"/>
                <w:lang w:val="en-GB"/>
              </w:rPr>
            </w:pPr>
            <w:r>
              <w:rPr>
                <w:rFonts w:cs="Arial"/>
                <w:szCs w:val="18"/>
                <w:lang w:val="en-GB"/>
              </w:rPr>
              <w:t>0.01</w:t>
            </w:r>
          </w:p>
        </w:tc>
        <w:tc>
          <w:tcPr>
            <w:tcW w:w="2268" w:type="dxa"/>
            <w:shd w:val="clear" w:color="auto" w:fill="FFFFFF"/>
          </w:tcPr>
          <w:p w14:paraId="620E5A20" w14:textId="6D5AB0A1" w:rsidR="00D87F8C" w:rsidRPr="00B57B36" w:rsidRDefault="00D87F8C" w:rsidP="00E17A6E">
            <w:pPr>
              <w:pStyle w:val="CETBodytext"/>
              <w:ind w:right="-1"/>
              <w:jc w:val="center"/>
              <w:rPr>
                <w:rFonts w:cs="Arial"/>
                <w:szCs w:val="18"/>
                <w:lang w:val="en-GB"/>
              </w:rPr>
            </w:pPr>
            <w:r>
              <w:rPr>
                <w:rFonts w:cs="Arial"/>
                <w:szCs w:val="18"/>
                <w:lang w:val="en-GB"/>
              </w:rPr>
              <w:t xml:space="preserve">5.65 </w:t>
            </w:r>
            <w:r w:rsidRPr="0043343F">
              <w:rPr>
                <w:rFonts w:cs="Arial"/>
                <w:szCs w:val="18"/>
                <w:lang w:val="en-GB"/>
              </w:rPr>
              <w:t>±</w:t>
            </w:r>
            <w:r>
              <w:rPr>
                <w:rFonts w:cs="Arial"/>
                <w:szCs w:val="18"/>
                <w:lang w:val="en-GB"/>
              </w:rPr>
              <w:t xml:space="preserve"> 3.89 </w:t>
            </w:r>
            <w:r w:rsidRPr="0043343F">
              <w:t>μm</w:t>
            </w:r>
          </w:p>
        </w:tc>
        <w:tc>
          <w:tcPr>
            <w:tcW w:w="2268" w:type="dxa"/>
            <w:shd w:val="clear" w:color="auto" w:fill="FFFFFF"/>
          </w:tcPr>
          <w:p w14:paraId="440FBDBC" w14:textId="3E8625A7" w:rsidR="00D87F8C" w:rsidRDefault="006E720B" w:rsidP="00E17A6E">
            <w:pPr>
              <w:pStyle w:val="CETBodytext"/>
              <w:ind w:right="-1"/>
              <w:jc w:val="center"/>
              <w:rPr>
                <w:rFonts w:cs="Arial"/>
                <w:szCs w:val="18"/>
                <w:lang w:val="en-GB"/>
              </w:rPr>
            </w:pPr>
            <w:r>
              <w:rPr>
                <w:rFonts w:cs="Arial"/>
                <w:szCs w:val="18"/>
                <w:lang w:val="en-GB"/>
              </w:rPr>
              <w:t>0.671</w:t>
            </w:r>
          </w:p>
        </w:tc>
      </w:tr>
      <w:tr w:rsidR="006E720B" w:rsidRPr="00B57B36" w14:paraId="3DD1C77A" w14:textId="77777777" w:rsidTr="00466751">
        <w:trPr>
          <w:jc w:val="center"/>
        </w:trPr>
        <w:tc>
          <w:tcPr>
            <w:tcW w:w="993" w:type="dxa"/>
            <w:shd w:val="clear" w:color="auto" w:fill="FFFFFF"/>
            <w:vAlign w:val="center"/>
          </w:tcPr>
          <w:p w14:paraId="5D5F4AF7" w14:textId="3BEF6193" w:rsidR="006E720B" w:rsidRDefault="006E720B" w:rsidP="00466751">
            <w:pPr>
              <w:pStyle w:val="CETBodytext"/>
              <w:ind w:right="-1"/>
              <w:jc w:val="left"/>
              <w:rPr>
                <w:rFonts w:cs="Arial"/>
                <w:szCs w:val="18"/>
                <w:lang w:val="en-GB"/>
              </w:rPr>
            </w:pPr>
            <w:r>
              <w:rPr>
                <w:rFonts w:cs="Arial"/>
                <w:szCs w:val="18"/>
                <w:lang w:val="en-GB"/>
              </w:rPr>
              <w:t>0.0072</w:t>
            </w:r>
          </w:p>
        </w:tc>
        <w:tc>
          <w:tcPr>
            <w:tcW w:w="2268" w:type="dxa"/>
            <w:shd w:val="clear" w:color="auto" w:fill="FFFFFF"/>
          </w:tcPr>
          <w:p w14:paraId="2BCBC305" w14:textId="1BFA8DC7" w:rsidR="006E720B" w:rsidRDefault="006E720B" w:rsidP="00E17A6E">
            <w:pPr>
              <w:pStyle w:val="CETBodytext"/>
              <w:ind w:right="-1"/>
              <w:jc w:val="center"/>
              <w:rPr>
                <w:rFonts w:cs="Arial"/>
                <w:szCs w:val="18"/>
                <w:lang w:val="en-GB"/>
              </w:rPr>
            </w:pPr>
            <w:r>
              <w:rPr>
                <w:rFonts w:cs="Arial"/>
                <w:szCs w:val="18"/>
                <w:lang w:val="en-GB"/>
              </w:rPr>
              <w:t>4.66</w:t>
            </w:r>
            <w:r>
              <w:rPr>
                <w:rFonts w:cs="Arial"/>
                <w:szCs w:val="18"/>
                <w:lang w:val="en-GB"/>
              </w:rPr>
              <w:t xml:space="preserve"> </w:t>
            </w:r>
            <w:r w:rsidRPr="0043343F">
              <w:rPr>
                <w:rFonts w:cs="Arial"/>
                <w:szCs w:val="18"/>
                <w:lang w:val="en-GB"/>
              </w:rPr>
              <w:t>±</w:t>
            </w:r>
            <w:r>
              <w:rPr>
                <w:rFonts w:cs="Arial"/>
                <w:szCs w:val="18"/>
                <w:lang w:val="en-GB"/>
              </w:rPr>
              <w:t xml:space="preserve"> 3.</w:t>
            </w:r>
            <w:r>
              <w:rPr>
                <w:rFonts w:cs="Arial"/>
                <w:szCs w:val="18"/>
                <w:lang w:val="en-GB"/>
              </w:rPr>
              <w:t>11</w:t>
            </w:r>
            <w:r>
              <w:rPr>
                <w:rFonts w:cs="Arial"/>
                <w:szCs w:val="18"/>
                <w:lang w:val="en-GB"/>
              </w:rPr>
              <w:t xml:space="preserve"> </w:t>
            </w:r>
            <w:r w:rsidRPr="0043343F">
              <w:t>μm</w:t>
            </w:r>
          </w:p>
        </w:tc>
        <w:tc>
          <w:tcPr>
            <w:tcW w:w="2268" w:type="dxa"/>
            <w:shd w:val="clear" w:color="auto" w:fill="FFFFFF"/>
          </w:tcPr>
          <w:p w14:paraId="43054FC3" w14:textId="4967A3A0" w:rsidR="006E720B" w:rsidRDefault="006E720B" w:rsidP="00E17A6E">
            <w:pPr>
              <w:pStyle w:val="CETBodytext"/>
              <w:ind w:right="-1"/>
              <w:jc w:val="center"/>
              <w:rPr>
                <w:rFonts w:cs="Arial"/>
                <w:szCs w:val="18"/>
                <w:lang w:val="en-GB"/>
              </w:rPr>
            </w:pPr>
            <w:r>
              <w:rPr>
                <w:rFonts w:cs="Arial"/>
                <w:szCs w:val="18"/>
                <w:lang w:val="en-GB"/>
              </w:rPr>
              <w:t>0.007</w:t>
            </w:r>
          </w:p>
        </w:tc>
      </w:tr>
      <w:tr w:rsidR="00D87F8C" w:rsidRPr="00B57B36" w14:paraId="27758B5B" w14:textId="2AEEAE77" w:rsidTr="00466751">
        <w:trPr>
          <w:jc w:val="center"/>
        </w:trPr>
        <w:tc>
          <w:tcPr>
            <w:tcW w:w="993" w:type="dxa"/>
            <w:shd w:val="clear" w:color="auto" w:fill="FFFFFF"/>
            <w:vAlign w:val="center"/>
          </w:tcPr>
          <w:p w14:paraId="2B5A98F5" w14:textId="4EFF9474" w:rsidR="00D87F8C" w:rsidRDefault="00D87F8C" w:rsidP="00466751">
            <w:pPr>
              <w:pStyle w:val="CETBodytext"/>
              <w:ind w:right="-1"/>
              <w:jc w:val="left"/>
              <w:rPr>
                <w:rFonts w:cs="Arial"/>
                <w:szCs w:val="18"/>
                <w:lang w:val="en-GB"/>
              </w:rPr>
            </w:pPr>
            <w:r>
              <w:rPr>
                <w:rFonts w:cs="Arial"/>
                <w:szCs w:val="18"/>
                <w:lang w:val="en-GB"/>
              </w:rPr>
              <w:t>0.005</w:t>
            </w:r>
          </w:p>
        </w:tc>
        <w:tc>
          <w:tcPr>
            <w:tcW w:w="2268" w:type="dxa"/>
            <w:shd w:val="clear" w:color="auto" w:fill="FFFFFF"/>
          </w:tcPr>
          <w:p w14:paraId="4DAAAB2C" w14:textId="5A35A641" w:rsidR="00D87F8C" w:rsidRPr="00B57B36" w:rsidRDefault="00D87F8C" w:rsidP="00E17A6E">
            <w:pPr>
              <w:pStyle w:val="CETBodytext"/>
              <w:ind w:right="-1"/>
              <w:jc w:val="center"/>
              <w:rPr>
                <w:rFonts w:cs="Arial"/>
                <w:szCs w:val="18"/>
                <w:lang w:val="en-GB"/>
              </w:rPr>
            </w:pPr>
            <w:r>
              <w:rPr>
                <w:rFonts w:cs="Arial"/>
                <w:szCs w:val="18"/>
                <w:lang w:val="en-GB"/>
              </w:rPr>
              <w:t xml:space="preserve">3.86 </w:t>
            </w:r>
            <w:r w:rsidRPr="0043343F">
              <w:rPr>
                <w:rFonts w:cs="Arial"/>
                <w:szCs w:val="18"/>
                <w:lang w:val="en-GB"/>
              </w:rPr>
              <w:t>±</w:t>
            </w:r>
            <w:r>
              <w:rPr>
                <w:rFonts w:cs="Arial"/>
                <w:szCs w:val="18"/>
                <w:lang w:val="en-GB"/>
              </w:rPr>
              <w:t xml:space="preserve"> 1.46 </w:t>
            </w:r>
            <w:r w:rsidRPr="0043343F">
              <w:t>μm</w:t>
            </w:r>
          </w:p>
        </w:tc>
        <w:tc>
          <w:tcPr>
            <w:tcW w:w="2268" w:type="dxa"/>
            <w:shd w:val="clear" w:color="auto" w:fill="FFFFFF"/>
          </w:tcPr>
          <w:p w14:paraId="21A7C48E" w14:textId="54FFE04A" w:rsidR="00D87F8C" w:rsidRDefault="006E720B" w:rsidP="00E17A6E">
            <w:pPr>
              <w:pStyle w:val="CETBodytext"/>
              <w:ind w:right="-1"/>
              <w:jc w:val="center"/>
              <w:rPr>
                <w:rFonts w:cs="Arial"/>
                <w:szCs w:val="18"/>
                <w:lang w:val="en-GB"/>
              </w:rPr>
            </w:pPr>
            <w:r>
              <w:rPr>
                <w:rFonts w:cs="Arial"/>
                <w:szCs w:val="18"/>
                <w:lang w:val="en-GB"/>
              </w:rPr>
              <w:t>0.543</w:t>
            </w:r>
          </w:p>
        </w:tc>
      </w:tr>
    </w:tbl>
    <w:p w14:paraId="17182978" w14:textId="77777777" w:rsidR="00E17A6E" w:rsidRDefault="00E17A6E" w:rsidP="001B3B4E">
      <w:pPr>
        <w:pStyle w:val="CETBodytext"/>
        <w:spacing w:after="120"/>
        <w:rPr>
          <w:lang w:val="pt-BR"/>
        </w:rPr>
      </w:pPr>
    </w:p>
    <w:p w14:paraId="0D1361DD" w14:textId="0CF7B874" w:rsidR="00361552" w:rsidRDefault="00F447E3" w:rsidP="006E720B">
      <w:pPr>
        <w:pStyle w:val="CETBodytext"/>
      </w:pPr>
      <w:r w:rsidRPr="00F447E3">
        <w:t xml:space="preserve">From this analysis, a CF of 0.0072 was determined, resulting in a distribution with a diameter of </w:t>
      </w:r>
      <w:r>
        <w:t>4.66</w:t>
      </w:r>
      <w:r w:rsidRPr="00F447E3">
        <w:t xml:space="preserve"> </w:t>
      </w:r>
      <w:r w:rsidRPr="00F447E3">
        <w:rPr>
          <w:lang w:val="pt-BR"/>
        </w:rPr>
        <w:t>μ</w:t>
      </w:r>
      <w:r w:rsidRPr="00F447E3">
        <w:t>m</w:t>
      </w:r>
      <w:r>
        <w:t xml:space="preserve"> and a</w:t>
      </w:r>
      <w:r w:rsidR="00361552" w:rsidRPr="00F447E3">
        <w:t xml:space="preserve"> mean deviation of </w:t>
      </w:r>
      <w:r>
        <w:t>3.11</w:t>
      </w:r>
      <w:r w:rsidR="00361552" w:rsidRPr="00F447E3">
        <w:t xml:space="preserve"> </w:t>
      </w:r>
      <w:r w:rsidR="00361552" w:rsidRPr="00361552">
        <w:rPr>
          <w:lang w:val="pt-BR"/>
        </w:rPr>
        <w:t>μ</w:t>
      </w:r>
      <w:r w:rsidR="00361552" w:rsidRPr="00F447E3">
        <w:t>m</w:t>
      </w:r>
      <w:r w:rsidRPr="00F447E3">
        <w:t xml:space="preserve">. </w:t>
      </w:r>
      <w:r w:rsidR="00466751">
        <w:t>I</w:t>
      </w:r>
      <w:r>
        <w:t>n this case, the</w:t>
      </w:r>
      <w:r w:rsidR="00361552" w:rsidRPr="00F447E3">
        <w:t xml:space="preserve"> SMD </w:t>
      </w:r>
      <w:r>
        <w:t>is equal to</w:t>
      </w:r>
      <w:r w:rsidR="00361552" w:rsidRPr="00F447E3">
        <w:t xml:space="preserve"> 0.0</w:t>
      </w:r>
      <w:r w:rsidR="006E1B11">
        <w:t>07</w:t>
      </w:r>
      <w:r>
        <w:t xml:space="preserve">, indicating that the values obtained by the </w:t>
      </w:r>
      <w:r w:rsidR="0083224F">
        <w:t>phenomenology</w:t>
      </w:r>
      <w:r>
        <w:t xml:space="preserve"> are </w:t>
      </w:r>
      <w:r w:rsidR="006F31DE">
        <w:t>close to Dataset A</w:t>
      </w:r>
      <w:r w:rsidR="00452FE5">
        <w:t xml:space="preserve"> compared to the other CF values (Table 2)</w:t>
      </w:r>
      <w:r w:rsidR="00361552" w:rsidRPr="00F447E3">
        <w:t>.</w:t>
      </w:r>
      <w:r>
        <w:t xml:space="preserve"> </w:t>
      </w:r>
      <w:r w:rsidR="006E1B11">
        <w:t>Figure 2</w:t>
      </w:r>
      <w:r w:rsidR="006E720B">
        <w:t xml:space="preserve"> shows that </w:t>
      </w:r>
      <w:r w:rsidR="006E720B">
        <w:t>the standard deviation of the Gaussian distribution is higher for</w:t>
      </w:r>
      <w:r w:rsidR="006E720B">
        <w:t xml:space="preserve"> </w:t>
      </w:r>
      <w:r w:rsidR="006E720B">
        <w:t xml:space="preserve">the model, </w:t>
      </w:r>
      <w:r w:rsidR="006E720B">
        <w:t>resulting in</w:t>
      </w:r>
      <w:r w:rsidR="006E720B">
        <w:t xml:space="preserve"> a lower peak </w:t>
      </w:r>
      <w:r w:rsidR="006E720B">
        <w:t>and a less uniform distribution</w:t>
      </w:r>
      <w:r w:rsidR="006E720B">
        <w:t>.</w:t>
      </w:r>
      <w:r w:rsidR="006E720B">
        <w:t xml:space="preserve"> However, considering the small scale worked in this case, the results </w:t>
      </w:r>
      <w:r w:rsidR="006E1B11">
        <w:t>of the computational model</w:t>
      </w:r>
      <w:r w:rsidR="006E720B">
        <w:t xml:space="preserve"> can describe </w:t>
      </w:r>
      <w:r w:rsidR="0083224F">
        <w:t>the behavior of the microemulsions formed by the variables of Table 1</w:t>
      </w:r>
      <w:r w:rsidR="006E720B">
        <w:t xml:space="preserve"> and </w:t>
      </w:r>
      <w:r w:rsidR="00274AC9">
        <w:t>have</w:t>
      </w:r>
      <w:r w:rsidR="006E720B">
        <w:t xml:space="preserve"> a better response </w:t>
      </w:r>
      <w:r w:rsidR="00274AC9">
        <w:t>concerning</w:t>
      </w:r>
      <w:r w:rsidR="006E720B">
        <w:t xml:space="preserve"> the droplet’s mean diameter.</w:t>
      </w:r>
    </w:p>
    <w:p w14:paraId="2BBF7C8E" w14:textId="77777777" w:rsidR="00361552" w:rsidRDefault="00361552" w:rsidP="001B3B4E">
      <w:pPr>
        <w:pStyle w:val="CETBodytext"/>
        <w:spacing w:after="12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F447E3" w:rsidRPr="00AD6027" w14:paraId="283E172F" w14:textId="77777777" w:rsidTr="00D3765F">
        <w:tc>
          <w:tcPr>
            <w:tcW w:w="7792" w:type="dxa"/>
            <w:vAlign w:val="center"/>
          </w:tcPr>
          <w:p w14:paraId="1D5A7B79" w14:textId="644702A0" w:rsidR="00F447E3" w:rsidRPr="00AD6027" w:rsidRDefault="00F447E3" w:rsidP="00D3765F">
            <w:pPr>
              <w:spacing w:line="480" w:lineRule="auto"/>
              <w:ind w:left="893"/>
              <w:jc w:val="center"/>
              <w:rPr>
                <w:rFonts w:eastAsiaTheme="minorEastAsia"/>
                <w:iCs/>
                <w:sz w:val="22"/>
              </w:rPr>
            </w:pPr>
            <m:oMathPara>
              <m:oMathParaPr>
                <m:jc m:val="center"/>
              </m:oMathParaPr>
              <m:oMath>
                <m:r>
                  <w:rPr>
                    <w:rFonts w:ascii="Cambria Math" w:hAnsi="Cambria Math"/>
                    <w:szCs w:val="32"/>
                  </w:rPr>
                  <w:lastRenderedPageBreak/>
                  <m:t xml:space="preserve">SMD= </m:t>
                </m:r>
                <m:f>
                  <m:fPr>
                    <m:ctrlPr>
                      <w:rPr>
                        <w:rFonts w:ascii="Cambria Math" w:hAnsi="Cambria Math"/>
                        <w:i/>
                        <w:szCs w:val="32"/>
                      </w:rPr>
                    </m:ctrlPr>
                  </m:fPr>
                  <m:num>
                    <m:d>
                      <m:dPr>
                        <m:begChr m:val="|"/>
                        <m:endChr m:val="|"/>
                        <m:ctrlPr>
                          <w:rPr>
                            <w:rFonts w:ascii="Cambria Math" w:hAnsi="Cambria Math"/>
                            <w:i/>
                            <w:szCs w:val="32"/>
                          </w:rPr>
                        </m:ctrlPr>
                      </m:dPr>
                      <m:e>
                        <m:sSub>
                          <m:sSubPr>
                            <m:ctrlPr>
                              <w:rPr>
                                <w:rFonts w:ascii="Cambria Math" w:hAnsi="Cambria Math"/>
                                <w:i/>
                                <w:szCs w:val="32"/>
                              </w:rPr>
                            </m:ctrlPr>
                          </m:sSubPr>
                          <m:e>
                            <m:r>
                              <w:rPr>
                                <w:rFonts w:ascii="Cambria Math" w:hAnsi="Cambria Math"/>
                                <w:szCs w:val="32"/>
                              </w:rPr>
                              <m:t>μ</m:t>
                            </m:r>
                          </m:e>
                          <m:sub>
                            <m:r>
                              <w:rPr>
                                <w:rFonts w:ascii="Cambria Math" w:hAnsi="Cambria Math"/>
                                <w:szCs w:val="32"/>
                              </w:rPr>
                              <m:t>data</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μ</m:t>
                            </m:r>
                          </m:e>
                          <m:sub>
                            <m:r>
                              <w:rPr>
                                <w:rFonts w:ascii="Cambria Math" w:hAnsi="Cambria Math"/>
                                <w:szCs w:val="32"/>
                              </w:rPr>
                              <m:t>dist</m:t>
                            </m:r>
                          </m:sub>
                        </m:sSub>
                      </m:e>
                    </m:d>
                  </m:num>
                  <m:den>
                    <m:sSub>
                      <m:sSubPr>
                        <m:ctrlPr>
                          <w:rPr>
                            <w:rFonts w:ascii="Cambria Math" w:hAnsi="Cambria Math"/>
                            <w:i/>
                            <w:szCs w:val="32"/>
                          </w:rPr>
                        </m:ctrlPr>
                      </m:sSubPr>
                      <m:e>
                        <m:r>
                          <w:rPr>
                            <w:rFonts w:ascii="Cambria Math" w:hAnsi="Cambria Math"/>
                            <w:szCs w:val="32"/>
                          </w:rPr>
                          <m:t>SD</m:t>
                        </m:r>
                      </m:e>
                      <m:sub>
                        <m:r>
                          <w:rPr>
                            <w:rFonts w:ascii="Cambria Math" w:hAnsi="Cambria Math"/>
                            <w:szCs w:val="32"/>
                          </w:rPr>
                          <m:t>data</m:t>
                        </m:r>
                      </m:sub>
                    </m:sSub>
                  </m:den>
                </m:f>
              </m:oMath>
            </m:oMathPara>
          </w:p>
        </w:tc>
        <w:tc>
          <w:tcPr>
            <w:tcW w:w="702" w:type="dxa"/>
            <w:vAlign w:val="center"/>
          </w:tcPr>
          <w:p w14:paraId="333F8E2D" w14:textId="619FC068" w:rsidR="00F447E3" w:rsidRPr="00AD6027" w:rsidRDefault="00F447E3" w:rsidP="00D3765F">
            <w:pPr>
              <w:pStyle w:val="CorpodoTexto"/>
              <w:ind w:firstLine="0"/>
              <w:jc w:val="right"/>
            </w:pPr>
            <w:r w:rsidRPr="00220771">
              <w:rPr>
                <w:rFonts w:ascii="Arial" w:hAnsi="Arial" w:cs="Arial"/>
                <w:sz w:val="18"/>
                <w:szCs w:val="18"/>
              </w:rPr>
              <w:t>(</w:t>
            </w:r>
            <w:r>
              <w:rPr>
                <w:rFonts w:ascii="Arial" w:hAnsi="Arial" w:cs="Arial"/>
                <w:sz w:val="18"/>
                <w:szCs w:val="18"/>
              </w:rPr>
              <w:t>6</w:t>
            </w:r>
            <w:r w:rsidRPr="00220771">
              <w:rPr>
                <w:rFonts w:ascii="Arial" w:hAnsi="Arial" w:cs="Arial"/>
                <w:sz w:val="18"/>
                <w:szCs w:val="18"/>
              </w:rPr>
              <w:t>)</w:t>
            </w:r>
          </w:p>
        </w:tc>
      </w:tr>
    </w:tbl>
    <w:p w14:paraId="4E7C9B31" w14:textId="77777777" w:rsidR="00F447E3" w:rsidRDefault="00F447E3" w:rsidP="00982038">
      <w:pPr>
        <w:pStyle w:val="CETBodytext"/>
      </w:pPr>
    </w:p>
    <w:p w14:paraId="72568C68" w14:textId="7D555A3A" w:rsidR="00553B1B" w:rsidRDefault="00A0147D" w:rsidP="00553B1B">
      <w:pPr>
        <w:pStyle w:val="CETBodytext"/>
        <w:jc w:val="center"/>
      </w:pPr>
      <w:r>
        <w:rPr>
          <w:noProof/>
        </w:rPr>
        <w:drawing>
          <wp:inline distT="0" distB="0" distL="0" distR="0" wp14:anchorId="1C5134FF" wp14:editId="3756D686">
            <wp:extent cx="4320000" cy="3138871"/>
            <wp:effectExtent l="0" t="0" r="4445" b="4445"/>
            <wp:docPr id="11293793" name="Imagem 3"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793" name="Imagem 3" descr="Gráfico, Histograma&#10;&#10;Descrição gerada automaticamente"/>
                    <pic:cNvPicPr/>
                  </pic:nvPicPr>
                  <pic:blipFill rotWithShape="1">
                    <a:blip r:embed="rId11"/>
                    <a:srcRect t="10261" r="7373"/>
                    <a:stretch/>
                  </pic:blipFill>
                  <pic:spPr bwMode="auto">
                    <a:xfrm>
                      <a:off x="0" y="0"/>
                      <a:ext cx="4320000" cy="3138871"/>
                    </a:xfrm>
                    <a:prstGeom prst="rect">
                      <a:avLst/>
                    </a:prstGeom>
                    <a:ln>
                      <a:noFill/>
                    </a:ln>
                    <a:extLst>
                      <a:ext uri="{53640926-AAD7-44D8-BBD7-CCE9431645EC}">
                        <a14:shadowObscured xmlns:a14="http://schemas.microsoft.com/office/drawing/2010/main"/>
                      </a:ext>
                    </a:extLst>
                  </pic:spPr>
                </pic:pic>
              </a:graphicData>
            </a:graphic>
          </wp:inline>
        </w:drawing>
      </w:r>
    </w:p>
    <w:p w14:paraId="6F954201" w14:textId="34E0865C" w:rsidR="00A0147D" w:rsidRDefault="00A0147D" w:rsidP="00A0147D">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 xml:space="preserve">Distribution of the results achieved by the phenomenological model compared to dataset A. </w:t>
      </w:r>
    </w:p>
    <w:p w14:paraId="1ACAC286" w14:textId="77777777" w:rsidR="00A0147D" w:rsidRDefault="00A0147D" w:rsidP="00A0147D">
      <w:pPr>
        <w:pStyle w:val="CETBodytext"/>
        <w:jc w:val="center"/>
        <w:rPr>
          <w:lang w:val="en-GB"/>
        </w:rPr>
      </w:pPr>
    </w:p>
    <w:p w14:paraId="71271BC1" w14:textId="77777777" w:rsidR="00553B1B" w:rsidRDefault="00553B1B" w:rsidP="00452FE5">
      <w:pPr>
        <w:pStyle w:val="CETBodytext"/>
        <w:rPr>
          <w:lang w:val="en-GB"/>
        </w:rPr>
      </w:pPr>
    </w:p>
    <w:p w14:paraId="3CEAB836" w14:textId="6E5CEA10" w:rsidR="00553B1B" w:rsidRDefault="002557DD" w:rsidP="00A27C1C">
      <w:pPr>
        <w:pStyle w:val="CETBodytext"/>
        <w:rPr>
          <w:rFonts w:cs="Arial"/>
          <w:szCs w:val="18"/>
        </w:rPr>
      </w:pPr>
      <w:r w:rsidRPr="002557DD">
        <w:t>Next, the same methodology was applied to dataset B. A distribution of 2.</w:t>
      </w:r>
      <w:r w:rsidR="00041E39">
        <w:t>45</w:t>
      </w:r>
      <w:r w:rsidRPr="002557DD">
        <w:t>±1.</w:t>
      </w:r>
      <w:r w:rsidR="00041E39">
        <w:t>21</w:t>
      </w:r>
      <w:r w:rsidRPr="002557DD">
        <w:t xml:space="preserve"> was obtained by the mathematical model (Figure 3) using a CF (correction factor) of 0.00</w:t>
      </w:r>
      <w:r w:rsidR="00041E39">
        <w:t>45</w:t>
      </w:r>
      <w:r w:rsidRPr="002557DD">
        <w:t>. When compared with the experimental values, an SMD (Standardized Mean Difference) of 0.</w:t>
      </w:r>
      <w:r w:rsidR="00041E39">
        <w:t>227</w:t>
      </w:r>
      <w:r w:rsidRPr="002557DD">
        <w:t xml:space="preserve"> was obtained</w:t>
      </w:r>
      <w:r w:rsidR="00274AC9">
        <w:t xml:space="preserve">. </w:t>
      </w:r>
    </w:p>
    <w:p w14:paraId="0C6F5614" w14:textId="77777777" w:rsidR="00553B1B" w:rsidRPr="00A27C1C" w:rsidRDefault="00553B1B" w:rsidP="00A27C1C">
      <w:pPr>
        <w:pStyle w:val="CETBodytext"/>
        <w:rPr>
          <w:rFonts w:cs="Arial"/>
          <w:szCs w:val="18"/>
        </w:rPr>
      </w:pPr>
    </w:p>
    <w:p w14:paraId="56020F5B" w14:textId="434A8614" w:rsidR="002557DD" w:rsidRPr="00553B1B" w:rsidRDefault="00553B1B" w:rsidP="00553B1B">
      <w:pPr>
        <w:pStyle w:val="CETBodytext"/>
        <w:jc w:val="center"/>
        <w:rPr>
          <w:rFonts w:cs="Arial"/>
          <w:szCs w:val="18"/>
        </w:rPr>
      </w:pPr>
      <w:r>
        <w:rPr>
          <w:rFonts w:cs="Arial"/>
          <w:noProof/>
          <w:szCs w:val="18"/>
        </w:rPr>
        <w:drawing>
          <wp:inline distT="0" distB="0" distL="0" distR="0" wp14:anchorId="447002AB" wp14:editId="54D3F239">
            <wp:extent cx="4320000" cy="3109733"/>
            <wp:effectExtent l="0" t="0" r="4445" b="0"/>
            <wp:docPr id="1644926459" name="Imagem 4"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26459" name="Imagem 4" descr="Gráfico&#10;&#10;Descrição gerada automaticamente"/>
                    <pic:cNvPicPr/>
                  </pic:nvPicPr>
                  <pic:blipFill rotWithShape="1">
                    <a:blip r:embed="rId12"/>
                    <a:srcRect t="10261" r="6505"/>
                    <a:stretch/>
                  </pic:blipFill>
                  <pic:spPr bwMode="auto">
                    <a:xfrm>
                      <a:off x="0" y="0"/>
                      <a:ext cx="4320000" cy="3109733"/>
                    </a:xfrm>
                    <a:prstGeom prst="rect">
                      <a:avLst/>
                    </a:prstGeom>
                    <a:ln>
                      <a:noFill/>
                    </a:ln>
                    <a:extLst>
                      <a:ext uri="{53640926-AAD7-44D8-BBD7-CCE9431645EC}">
                        <a14:shadowObscured xmlns:a14="http://schemas.microsoft.com/office/drawing/2010/main"/>
                      </a:ext>
                    </a:extLst>
                  </pic:spPr>
                </pic:pic>
              </a:graphicData>
            </a:graphic>
          </wp:inline>
        </w:drawing>
      </w:r>
    </w:p>
    <w:p w14:paraId="2814088D" w14:textId="60D94885" w:rsidR="002557DD" w:rsidRDefault="002557DD" w:rsidP="002557DD">
      <w:pPr>
        <w:pStyle w:val="CETBodytext"/>
        <w:rPr>
          <w:rStyle w:val="CETCaptionCarattere"/>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 xml:space="preserve">Distribution of the results achieved by the phenomenological model compared to the dataset B. </w:t>
      </w:r>
    </w:p>
    <w:p w14:paraId="0BD5F1EE" w14:textId="77777777" w:rsidR="00274AC9" w:rsidRDefault="00274AC9" w:rsidP="002557DD">
      <w:pPr>
        <w:pStyle w:val="CETBodytext"/>
        <w:rPr>
          <w:rStyle w:val="CETCaptionCarattere"/>
        </w:rPr>
      </w:pPr>
    </w:p>
    <w:p w14:paraId="3563D747" w14:textId="4E293BA8" w:rsidR="00274AC9" w:rsidRPr="00274AC9" w:rsidRDefault="00274AC9" w:rsidP="002557DD">
      <w:pPr>
        <w:pStyle w:val="CETBodytext"/>
        <w:rPr>
          <w:rStyle w:val="CETCaptionCarattere"/>
          <w:rFonts w:cs="Arial"/>
          <w:i w:val="0"/>
          <w:szCs w:val="18"/>
          <w:lang w:val="en-US"/>
        </w:rPr>
      </w:pPr>
      <w:r w:rsidRPr="00274AC9">
        <w:t>Figure 3 (Dataset B) illustrates a shift in peak position towards higher diameters along with a decrease in peak value</w:t>
      </w:r>
      <w:r>
        <w:t>, demonstrating that the model obtained a worse prediction when comparing it to Dataset A</w:t>
      </w:r>
      <w:r w:rsidRPr="00274AC9">
        <w:t>. The</w:t>
      </w:r>
      <w:r>
        <w:t xml:space="preserve"> model’s</w:t>
      </w:r>
      <w:r w:rsidRPr="00274AC9">
        <w:t xml:space="preserve"> </w:t>
      </w:r>
      <w:r>
        <w:lastRenderedPageBreak/>
        <w:t>lower</w:t>
      </w:r>
      <w:r w:rsidRPr="00274AC9">
        <w:t xml:space="preserve"> effectiveness can be attributed to the reduced scale</w:t>
      </w:r>
      <w:r>
        <w:t xml:space="preserve"> in this case</w:t>
      </w:r>
      <w:r w:rsidRPr="00274AC9">
        <w:t>, as noted by Khouri et al. (2023).</w:t>
      </w:r>
      <w:r>
        <w:t xml:space="preserve"> However, the computational result in this case produced </w:t>
      </w:r>
      <w:r>
        <w:t>a</w:t>
      </w:r>
      <w:r>
        <w:t xml:space="preserve"> more uniform emulsion, being </w:t>
      </w:r>
      <w:r>
        <w:t>closer</w:t>
      </w:r>
      <w:r>
        <w:t xml:space="preserve"> to </w:t>
      </w:r>
      <w:r>
        <w:t>representing</w:t>
      </w:r>
      <w:r>
        <w:t xml:space="preserve"> Dataset</w:t>
      </w:r>
      <w:r>
        <w:t> </w:t>
      </w:r>
      <w:r>
        <w:t>B characteristics.</w:t>
      </w:r>
    </w:p>
    <w:p w14:paraId="68D26B83" w14:textId="26192471" w:rsidR="00600535" w:rsidRDefault="00600535" w:rsidP="00A27C1C">
      <w:pPr>
        <w:pStyle w:val="CETHeading1"/>
      </w:pPr>
      <w:r w:rsidRPr="00B57B36">
        <w:t>Conclusions</w:t>
      </w:r>
    </w:p>
    <w:p w14:paraId="71E437C4" w14:textId="77777777" w:rsidR="009D5D2A" w:rsidRPr="009D5D2A" w:rsidRDefault="009D5D2A" w:rsidP="009D5D2A">
      <w:pPr>
        <w:pStyle w:val="CETBodytext"/>
      </w:pPr>
    </w:p>
    <w:p w14:paraId="75156531" w14:textId="1200A432" w:rsidR="002557DD" w:rsidRDefault="009D5D2A" w:rsidP="002557DD">
      <w:pPr>
        <w:pStyle w:val="CETBodytext"/>
      </w:pPr>
      <w:r w:rsidRPr="009D5D2A">
        <w:t>The main objective of this study has been achieved: population balance-based modeling adequately describes the formation of biodiesel/water microemulsions. In essence, this work has showcased the potential and versatility of the population balance methodology, illustrating the application of established codes across diverse systems. As a future direction, it is advisable to evaluate various blends with bio-oils and investigate the influence of physical-chemical and operational variables on the process. Additionally, with the results obtained from the emulsions, the mathematical formulation can be enhanced to evaluate the combustion of these fuels and their impact on environmental aspects, such as improving the life cycle of heavy-duty vehicles.</w:t>
      </w:r>
    </w:p>
    <w:p w14:paraId="278496B9" w14:textId="77777777" w:rsidR="001B3B4E" w:rsidRPr="002557DD" w:rsidRDefault="001B3B4E" w:rsidP="002557DD">
      <w:pPr>
        <w:pStyle w:val="CETBodytext"/>
      </w:pPr>
    </w:p>
    <w:p w14:paraId="07A6D20F" w14:textId="0ECF229E" w:rsidR="00280FAF" w:rsidRPr="00280FAF" w:rsidRDefault="00280FAF" w:rsidP="00280FAF">
      <w:pPr>
        <w:pStyle w:val="CETHeadingxx"/>
        <w:rPr>
          <w:lang w:val="en-GB"/>
        </w:rPr>
        <w:sectPr w:rsidR="00280FAF" w:rsidRPr="00280FAF" w:rsidSect="001973AF">
          <w:type w:val="continuous"/>
          <w:pgSz w:w="11906" w:h="16838" w:code="9"/>
          <w:pgMar w:top="1701" w:right="1418" w:bottom="1701" w:left="1701" w:header="1701" w:footer="0" w:gutter="0"/>
          <w:cols w:space="708"/>
          <w:formProt w:val="0"/>
          <w:titlePg/>
          <w:docGrid w:linePitch="360"/>
        </w:sectPr>
      </w:pPr>
      <w:r>
        <w:t>Nomenclature</w:t>
      </w:r>
    </w:p>
    <w:p w14:paraId="7DFFBF41" w14:textId="7657296A" w:rsidR="00280FAF" w:rsidRPr="00280FAF" w:rsidRDefault="00280FAF" w:rsidP="00280FAF">
      <w:pPr>
        <w:pStyle w:val="CETBodytext"/>
        <w:jc w:val="left"/>
        <w:rPr>
          <w:rFonts w:eastAsia="SimSun"/>
        </w:rPr>
        <w:sectPr w:rsidR="00280FAF" w:rsidRPr="00280FAF" w:rsidSect="001973AF">
          <w:type w:val="continuous"/>
          <w:pgSz w:w="11906" w:h="16838" w:code="9"/>
          <w:pgMar w:top="1701" w:right="1418" w:bottom="1701" w:left="1701" w:header="1701" w:footer="0" w:gutter="0"/>
          <w:cols w:space="708"/>
          <w:formProt w:val="0"/>
          <w:titlePg/>
          <w:docGrid w:linePitch="360"/>
        </w:sectPr>
      </w:pPr>
    </w:p>
    <w:p w14:paraId="33935776" w14:textId="2AEA5C03" w:rsidR="0070080A" w:rsidRDefault="0070080A" w:rsidP="0070080A">
      <w:pPr>
        <w:pBdr>
          <w:top w:val="nil"/>
          <w:left w:val="nil"/>
          <w:bottom w:val="nil"/>
          <w:right w:val="nil"/>
          <w:between w:val="nil"/>
        </w:pBdr>
        <w:rPr>
          <w:lang w:val="en-US"/>
        </w:rPr>
      </w:pPr>
      <w:r w:rsidRPr="00AD6027">
        <w:rPr>
          <w:lang w:val="en-US"/>
        </w:rPr>
        <w:t xml:space="preserve">B </w:t>
      </w:r>
      <w:r w:rsidRPr="00280FAF">
        <w:rPr>
          <w:rFonts w:eastAsia="SimSun"/>
        </w:rPr>
        <w:t>–</w:t>
      </w:r>
      <w:r w:rsidRPr="00AD6027">
        <w:rPr>
          <w:lang w:val="en-US"/>
        </w:rPr>
        <w:t xml:space="preserve"> birth of particles by a discrete event</w:t>
      </w:r>
    </w:p>
    <w:p w14:paraId="312FB103" w14:textId="6EB606A7" w:rsidR="00F03B84" w:rsidRPr="00F03B84" w:rsidRDefault="00F03B84" w:rsidP="0070080A">
      <w:pPr>
        <w:pBdr>
          <w:top w:val="nil"/>
          <w:left w:val="nil"/>
          <w:bottom w:val="nil"/>
          <w:right w:val="nil"/>
          <w:between w:val="nil"/>
        </w:pBdr>
        <w:rPr>
          <w:color w:val="000000"/>
          <w:lang w:val="en-US"/>
        </w:rPr>
      </w:pPr>
      <w:r w:rsidRPr="00AD6027">
        <w:rPr>
          <w:color w:val="000000"/>
          <w:lang w:val="en-US"/>
        </w:rPr>
        <w:t xml:space="preserve">CF </w:t>
      </w:r>
      <w:r w:rsidRPr="00280FAF">
        <w:rPr>
          <w:rFonts w:eastAsia="SimSun"/>
        </w:rPr>
        <w:t>–</w:t>
      </w:r>
      <w:r w:rsidRPr="00AD6027">
        <w:rPr>
          <w:color w:val="000000"/>
          <w:lang w:val="en-US"/>
        </w:rPr>
        <w:t xml:space="preserve"> correction factor</w:t>
      </w:r>
    </w:p>
    <w:p w14:paraId="368F1F70" w14:textId="7BD8A60B" w:rsidR="0070080A" w:rsidRPr="00AD6027" w:rsidRDefault="0070080A" w:rsidP="0070080A">
      <w:pPr>
        <w:pBdr>
          <w:top w:val="nil"/>
          <w:left w:val="nil"/>
          <w:bottom w:val="nil"/>
          <w:right w:val="nil"/>
          <w:between w:val="nil"/>
        </w:pBdr>
        <w:rPr>
          <w:color w:val="000000"/>
          <w:lang w:val="en-US"/>
        </w:rPr>
      </w:pPr>
      <m:oMath>
        <m:r>
          <m:rPr>
            <m:sty m:val="p"/>
          </m:rPr>
          <w:rPr>
            <w:rFonts w:ascii="Cambria Math" w:eastAsia="Cambria Math" w:hAnsi="Cambria Math" w:cs="Cambria Math"/>
            <w:color w:val="000000"/>
            <w:lang w:val="en-US"/>
          </w:rPr>
          <m:t>d</m:t>
        </m:r>
      </m:oMath>
      <w:r w:rsidRPr="00AD6027">
        <w:rPr>
          <w:color w:val="000000"/>
          <w:lang w:val="en-US"/>
        </w:rPr>
        <w:t xml:space="preserve"> </w:t>
      </w:r>
      <w:r w:rsidRPr="00280FAF">
        <w:rPr>
          <w:rFonts w:eastAsia="SimSun"/>
        </w:rPr>
        <w:t>–</w:t>
      </w:r>
      <w:r w:rsidRPr="00AD6027">
        <w:rPr>
          <w:color w:val="000000"/>
          <w:lang w:val="en-US"/>
        </w:rPr>
        <w:t xml:space="preserve"> droplet’s diameter</w:t>
      </w:r>
    </w:p>
    <w:p w14:paraId="2BB5CFCD" w14:textId="4166F4B9" w:rsidR="0070080A" w:rsidRPr="00AD6027" w:rsidRDefault="0070080A" w:rsidP="0070080A">
      <w:pPr>
        <w:pBdr>
          <w:top w:val="nil"/>
          <w:left w:val="nil"/>
          <w:bottom w:val="nil"/>
          <w:right w:val="nil"/>
          <w:between w:val="nil"/>
        </w:pBdr>
        <w:rPr>
          <w:color w:val="000000"/>
          <w:lang w:val="en-US"/>
        </w:rPr>
      </w:pPr>
      <w:r w:rsidRPr="00AD6027">
        <w:rPr>
          <w:color w:val="000000"/>
          <w:lang w:val="en-US"/>
        </w:rPr>
        <w:t xml:space="preserve">D </w:t>
      </w:r>
      <w:r w:rsidRPr="00280FAF">
        <w:rPr>
          <w:rFonts w:eastAsia="SimSun"/>
        </w:rPr>
        <w:t>–</w:t>
      </w:r>
      <w:r w:rsidRPr="00AD6027">
        <w:rPr>
          <w:color w:val="000000"/>
          <w:lang w:val="en-US"/>
        </w:rPr>
        <w:t xml:space="preserve"> death of particles by a discrete event</w:t>
      </w:r>
    </w:p>
    <w:p w14:paraId="78F1A337" w14:textId="79B23743" w:rsidR="0070080A" w:rsidRPr="00AD6027" w:rsidRDefault="00000000" w:rsidP="0070080A">
      <w:pPr>
        <w:pBdr>
          <w:top w:val="nil"/>
          <w:left w:val="nil"/>
          <w:bottom w:val="nil"/>
          <w:right w:val="nil"/>
          <w:between w:val="nil"/>
        </w:pBdr>
        <w:rPr>
          <w:color w:val="000000"/>
          <w:lang w:val="en-US"/>
        </w:rPr>
      </w:pPr>
      <m:oMath>
        <m:sSub>
          <m:sSubPr>
            <m:ctrlPr>
              <w:rPr>
                <w:rFonts w:ascii="Cambria Math" w:eastAsia="Cambria Math" w:hAnsi="Cambria Math" w:cs="Cambria Math"/>
                <w:color w:val="000000"/>
                <w:lang w:val="en-US"/>
              </w:rPr>
            </m:ctrlPr>
          </m:sSubPr>
          <m:e>
            <m:r>
              <w:rPr>
                <w:rFonts w:ascii="Cambria Math" w:eastAsia="Cambria Math" w:hAnsi="Cambria Math" w:cs="Cambria Math"/>
                <w:color w:val="000000"/>
                <w:lang w:val="en-US"/>
              </w:rPr>
              <m:t>e</m:t>
            </m:r>
          </m:e>
          <m:sub>
            <m:r>
              <w:rPr>
                <w:rFonts w:ascii="Cambria Math" w:eastAsia="Cambria Math" w:hAnsi="Cambria Math" w:cs="Cambria Math"/>
                <w:color w:val="000000"/>
                <w:lang w:val="en-US"/>
              </w:rPr>
              <m:t>disp</m:t>
            </m:r>
          </m:sub>
        </m:sSub>
      </m:oMath>
      <w:r w:rsidR="0070080A" w:rsidRPr="00AD6027">
        <w:rPr>
          <w:color w:val="000000"/>
          <w:lang w:val="en-US"/>
        </w:rPr>
        <w:t xml:space="preserve"> </w:t>
      </w:r>
      <w:r w:rsidR="0070080A" w:rsidRPr="00280FAF">
        <w:rPr>
          <w:rFonts w:eastAsia="SimSun"/>
        </w:rPr>
        <w:t>–</w:t>
      </w:r>
      <w:r w:rsidR="0070080A" w:rsidRPr="00AD6027">
        <w:rPr>
          <w:color w:val="000000"/>
          <w:lang w:val="en-US"/>
        </w:rPr>
        <w:t xml:space="preserve"> </w:t>
      </w:r>
      <w:r w:rsidR="00F03B84">
        <w:rPr>
          <w:color w:val="000000"/>
          <w:lang w:val="en-US"/>
        </w:rPr>
        <w:t>energy available</w:t>
      </w:r>
    </w:p>
    <w:p w14:paraId="1C813603" w14:textId="2AAB2725" w:rsidR="0070080A" w:rsidRPr="00AD6027" w:rsidRDefault="0070080A" w:rsidP="0070080A">
      <w:pPr>
        <w:pBdr>
          <w:top w:val="nil"/>
          <w:left w:val="nil"/>
          <w:bottom w:val="nil"/>
          <w:right w:val="nil"/>
          <w:between w:val="nil"/>
        </w:pBdr>
        <w:rPr>
          <w:color w:val="000000"/>
          <w:lang w:val="en-US"/>
        </w:rPr>
      </w:pPr>
      <w:r w:rsidRPr="00AD6027">
        <w:rPr>
          <w:color w:val="000000"/>
          <w:lang w:val="en-US"/>
        </w:rPr>
        <w:t>f(</w:t>
      </w:r>
      <w:r w:rsidR="00263AED">
        <w:rPr>
          <w:color w:val="000000"/>
          <w:lang w:val="en-US"/>
        </w:rPr>
        <w:t>v,v’</w:t>
      </w:r>
      <w:r w:rsidRPr="00AD6027">
        <w:rPr>
          <w:color w:val="000000"/>
          <w:lang w:val="en-US"/>
        </w:rPr>
        <w:t>)</w:t>
      </w:r>
      <w:r>
        <w:rPr>
          <w:color w:val="000000"/>
          <w:lang w:val="en-US"/>
        </w:rPr>
        <w:t xml:space="preserve"> </w:t>
      </w:r>
      <w:r w:rsidRPr="00280FAF">
        <w:rPr>
          <w:rFonts w:eastAsia="SimSun"/>
        </w:rPr>
        <w:t>–</w:t>
      </w:r>
      <w:r w:rsidRPr="00AD6027">
        <w:rPr>
          <w:color w:val="000000"/>
          <w:lang w:val="en-US"/>
        </w:rPr>
        <w:t xml:space="preserve"> distribution function of the daughter droplet’s size</w:t>
      </w:r>
    </w:p>
    <w:p w14:paraId="2401C5D7" w14:textId="0E80B554" w:rsidR="0070080A" w:rsidRPr="00AD6027" w:rsidRDefault="0070080A" w:rsidP="0070080A">
      <w:pPr>
        <w:pBdr>
          <w:top w:val="nil"/>
          <w:left w:val="nil"/>
          <w:bottom w:val="nil"/>
          <w:right w:val="nil"/>
          <w:between w:val="nil"/>
        </w:pBdr>
        <w:rPr>
          <w:color w:val="000000"/>
          <w:lang w:val="en-US"/>
        </w:rPr>
      </w:pPr>
      <w:r w:rsidRPr="00AD6027">
        <w:rPr>
          <w:color w:val="000000"/>
          <w:lang w:val="en-US"/>
        </w:rPr>
        <w:t>g(</w:t>
      </w:r>
      <w:r>
        <w:rPr>
          <w:color w:val="000000"/>
          <w:lang w:val="en-US"/>
        </w:rPr>
        <w:t>v</w:t>
      </w:r>
      <w:r w:rsidRPr="00AD6027">
        <w:rPr>
          <w:color w:val="000000"/>
          <w:lang w:val="en-US"/>
        </w:rPr>
        <w:t>)</w:t>
      </w:r>
      <w:r>
        <w:rPr>
          <w:color w:val="000000"/>
          <w:lang w:val="en-US"/>
        </w:rPr>
        <w:t xml:space="preserve"> </w:t>
      </w:r>
      <w:r w:rsidRPr="00280FAF">
        <w:rPr>
          <w:rFonts w:eastAsia="SimSun"/>
        </w:rPr>
        <w:t>–</w:t>
      </w:r>
      <w:r w:rsidRPr="00AD6027">
        <w:rPr>
          <w:color w:val="000000"/>
          <w:lang w:val="en-US"/>
        </w:rPr>
        <w:t xml:space="preserve"> breakage function</w:t>
      </w:r>
    </w:p>
    <w:p w14:paraId="735BAE07" w14:textId="7DA9DF25" w:rsidR="0070080A" w:rsidRPr="00AD6027" w:rsidRDefault="0070080A" w:rsidP="0070080A">
      <w:pPr>
        <w:pBdr>
          <w:top w:val="nil"/>
          <w:left w:val="nil"/>
          <w:bottom w:val="nil"/>
          <w:right w:val="nil"/>
          <w:between w:val="nil"/>
        </w:pBdr>
        <w:rPr>
          <w:color w:val="000000"/>
          <w:lang w:val="en-US"/>
        </w:rPr>
      </w:pPr>
      <w:r w:rsidRPr="00AD6027">
        <w:rPr>
          <w:color w:val="000000"/>
          <w:lang w:val="en-US"/>
        </w:rPr>
        <w:t>m(</w:t>
      </w:r>
      <w:r w:rsidR="00263AED">
        <w:rPr>
          <w:color w:val="000000"/>
          <w:lang w:val="en-US"/>
        </w:rPr>
        <w:t>v’</w:t>
      </w:r>
      <w:r w:rsidRPr="00AD6027">
        <w:rPr>
          <w:color w:val="000000"/>
          <w:lang w:val="en-US"/>
        </w:rPr>
        <w:t xml:space="preserve">) </w:t>
      </w:r>
      <w:r w:rsidRPr="00280FAF">
        <w:rPr>
          <w:rFonts w:eastAsia="SimSun"/>
        </w:rPr>
        <w:t>–</w:t>
      </w:r>
      <w:r w:rsidRPr="00AD6027">
        <w:rPr>
          <w:color w:val="000000"/>
          <w:lang w:val="en-US"/>
        </w:rPr>
        <w:t xml:space="preserve"> density function of the fragments formed by droplet breakage;</w:t>
      </w:r>
    </w:p>
    <w:p w14:paraId="1F302D18" w14:textId="1D08AFD7" w:rsidR="0070080A" w:rsidRPr="00AD6027" w:rsidRDefault="0070080A" w:rsidP="0070080A">
      <w:pPr>
        <w:pBdr>
          <w:top w:val="nil"/>
          <w:left w:val="nil"/>
          <w:bottom w:val="nil"/>
          <w:right w:val="nil"/>
          <w:between w:val="nil"/>
        </w:pBdr>
        <w:rPr>
          <w:color w:val="000000"/>
          <w:lang w:val="en-US"/>
        </w:rPr>
      </w:pPr>
      <w:r w:rsidRPr="00AD6027">
        <w:rPr>
          <w:color w:val="000000"/>
          <w:lang w:val="en-US"/>
        </w:rPr>
        <w:t>n(</w:t>
      </w:r>
      <w:r w:rsidR="00263AED">
        <w:rPr>
          <w:color w:val="000000"/>
          <w:lang w:val="en-US"/>
        </w:rPr>
        <w:t>v</w:t>
      </w:r>
      <w:r w:rsidRPr="00AD6027">
        <w:rPr>
          <w:color w:val="000000"/>
          <w:lang w:val="en-US"/>
        </w:rPr>
        <w:t xml:space="preserve">,t) </w:t>
      </w:r>
      <w:r w:rsidRPr="00280FAF">
        <w:rPr>
          <w:rFonts w:eastAsia="SimSun"/>
        </w:rPr>
        <w:t>–</w:t>
      </w:r>
      <w:r w:rsidRPr="00AD6027">
        <w:rPr>
          <w:color w:val="000000"/>
          <w:lang w:val="en-US"/>
        </w:rPr>
        <w:t xml:space="preserve"> numerical density function of countable entities</w:t>
      </w:r>
    </w:p>
    <w:p w14:paraId="2BFB2479" w14:textId="46E9B61D" w:rsidR="0070080A" w:rsidRPr="00AD6027" w:rsidRDefault="0070080A" w:rsidP="0070080A">
      <w:pPr>
        <w:pBdr>
          <w:top w:val="nil"/>
          <w:left w:val="nil"/>
          <w:bottom w:val="nil"/>
          <w:right w:val="nil"/>
          <w:between w:val="nil"/>
        </w:pBdr>
        <w:rPr>
          <w:color w:val="000000"/>
          <w:lang w:val="en-US"/>
        </w:rPr>
      </w:pPr>
      <w:r w:rsidRPr="00AD6027">
        <w:rPr>
          <w:color w:val="000000"/>
          <w:lang w:val="en-US"/>
        </w:rPr>
        <w:t>SMD = standardized mean difference</w:t>
      </w:r>
    </w:p>
    <w:p w14:paraId="5CB30A7A" w14:textId="68014710" w:rsidR="0070080A" w:rsidRPr="00AD6027" w:rsidRDefault="0070080A" w:rsidP="0070080A">
      <w:pPr>
        <w:pBdr>
          <w:top w:val="nil"/>
          <w:left w:val="nil"/>
          <w:bottom w:val="nil"/>
          <w:right w:val="nil"/>
          <w:between w:val="nil"/>
        </w:pBdr>
        <w:rPr>
          <w:color w:val="000000"/>
          <w:lang w:val="en-US"/>
        </w:rPr>
      </w:pPr>
      <w:r w:rsidRPr="00AD6027">
        <w:rPr>
          <w:color w:val="000000"/>
          <w:lang w:val="en-US"/>
        </w:rPr>
        <w:t>SD = standard deviation</w:t>
      </w:r>
    </w:p>
    <w:p w14:paraId="5BA5BFF6" w14:textId="308937DE" w:rsidR="0070080A" w:rsidRPr="00AD6027" w:rsidRDefault="0070080A" w:rsidP="0070080A">
      <w:pPr>
        <w:pBdr>
          <w:top w:val="nil"/>
          <w:left w:val="nil"/>
          <w:bottom w:val="nil"/>
          <w:right w:val="nil"/>
          <w:between w:val="nil"/>
        </w:pBdr>
        <w:rPr>
          <w:color w:val="000000"/>
          <w:lang w:val="en-US"/>
        </w:rPr>
      </w:pPr>
      <w:r w:rsidRPr="00AD6027">
        <w:rPr>
          <w:color w:val="000000"/>
          <w:lang w:val="en-US"/>
        </w:rPr>
        <w:t>t = time</w:t>
      </w:r>
    </w:p>
    <w:p w14:paraId="34FDAC30" w14:textId="16B59944" w:rsidR="0070080A" w:rsidRPr="00AD6027" w:rsidRDefault="0070080A" w:rsidP="0070080A">
      <w:pPr>
        <w:pBdr>
          <w:top w:val="nil"/>
          <w:left w:val="nil"/>
          <w:bottom w:val="nil"/>
          <w:right w:val="nil"/>
          <w:between w:val="nil"/>
        </w:pBdr>
        <w:rPr>
          <w:color w:val="000000"/>
          <w:lang w:val="en-US"/>
        </w:rPr>
      </w:pPr>
      <m:oMath>
        <m:r>
          <m:rPr>
            <m:sty m:val="p"/>
          </m:rPr>
          <w:rPr>
            <w:rFonts w:ascii="Cambria Math" w:eastAsia="Cambria Math" w:hAnsi="Cambria Math" w:cs="Cambria Math"/>
            <w:color w:val="000000"/>
            <w:lang w:val="en-US"/>
          </w:rPr>
          <m:t>v</m:t>
        </m:r>
      </m:oMath>
      <w:r w:rsidRPr="00AD6027">
        <w:rPr>
          <w:color w:val="000000"/>
          <w:lang w:val="en-US"/>
        </w:rPr>
        <w:t xml:space="preserve"> = droplet’s volume</w:t>
      </w:r>
    </w:p>
    <w:p w14:paraId="721B09E2" w14:textId="125721CF" w:rsidR="001B58A6" w:rsidRDefault="0070080A" w:rsidP="0070080A">
      <w:pPr>
        <w:pBdr>
          <w:top w:val="nil"/>
          <w:left w:val="nil"/>
          <w:bottom w:val="nil"/>
          <w:right w:val="nil"/>
          <w:between w:val="nil"/>
        </w:pBdr>
        <w:rPr>
          <w:color w:val="000000"/>
          <w:lang w:val="en-US"/>
        </w:rPr>
      </w:pPr>
      <m:oMath>
        <m:r>
          <m:rPr>
            <m:sty m:val="p"/>
          </m:rPr>
          <w:rPr>
            <w:rFonts w:ascii="Cambria Math" w:eastAsia="Cambria Math" w:hAnsi="Cambria Math" w:cs="Cambria Math"/>
            <w:color w:val="000000"/>
            <w:lang w:val="en-US"/>
          </w:rPr>
          <m:t>v'</m:t>
        </m:r>
      </m:oMath>
      <w:r w:rsidRPr="00AD6027">
        <w:rPr>
          <w:color w:val="000000"/>
          <w:lang w:val="en-US"/>
        </w:rPr>
        <w:t xml:space="preserve"> = mother droplet’s volume</w:t>
      </w:r>
    </w:p>
    <w:p w14:paraId="431DAA2D" w14:textId="77777777" w:rsidR="0070080A" w:rsidRPr="00AD6027" w:rsidRDefault="0070080A" w:rsidP="0070080A">
      <w:pPr>
        <w:pBdr>
          <w:top w:val="nil"/>
          <w:left w:val="nil"/>
          <w:bottom w:val="nil"/>
          <w:right w:val="nil"/>
          <w:between w:val="nil"/>
        </w:pBdr>
        <w:rPr>
          <w:color w:val="000000"/>
          <w:lang w:val="en-US"/>
        </w:rPr>
      </w:pPr>
    </w:p>
    <w:p w14:paraId="56A7D197" w14:textId="77777777" w:rsidR="0070080A" w:rsidRPr="00AD6027" w:rsidRDefault="0070080A" w:rsidP="0070080A">
      <w:pPr>
        <w:pBdr>
          <w:top w:val="nil"/>
          <w:left w:val="nil"/>
          <w:bottom w:val="nil"/>
          <w:right w:val="nil"/>
          <w:between w:val="nil"/>
        </w:pBdr>
        <w:ind w:firstLine="709"/>
        <w:rPr>
          <w:i/>
          <w:iCs/>
          <w:color w:val="000000"/>
          <w:lang w:val="en-US"/>
        </w:rPr>
      </w:pPr>
      <w:r w:rsidRPr="00AD6027">
        <w:rPr>
          <w:i/>
          <w:iCs/>
          <w:color w:val="000000"/>
          <w:lang w:val="en-US"/>
        </w:rPr>
        <w:t>Greek letters</w:t>
      </w:r>
    </w:p>
    <w:p w14:paraId="19482890" w14:textId="63F47A69"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ρ</w:t>
      </w:r>
      <w:r w:rsidRPr="00AD6027">
        <w:rPr>
          <w:color w:val="000000"/>
          <w:vertAlign w:val="subscript"/>
          <w:lang w:val="en-US"/>
        </w:rPr>
        <w:t xml:space="preserve"> </w:t>
      </w:r>
      <w:r w:rsidRPr="00AD6027">
        <w:rPr>
          <w:color w:val="000000"/>
          <w:lang w:val="en-US"/>
        </w:rPr>
        <w:t xml:space="preserve">= </w:t>
      </w:r>
      <w:r>
        <w:rPr>
          <w:color w:val="000000"/>
          <w:lang w:val="en-US"/>
        </w:rPr>
        <w:t>density</w:t>
      </w:r>
    </w:p>
    <w:p w14:paraId="0048DCFB"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xml:space="preserve">• </w:t>
      </w:r>
      <m:oMath>
        <m:r>
          <w:rPr>
            <w:rFonts w:ascii="Cambria Math" w:hAnsi="Cambria Math"/>
            <w:lang w:val="en-US"/>
          </w:rPr>
          <m:t>λ</m:t>
        </m:r>
      </m:oMath>
      <w:r w:rsidRPr="00AD6027">
        <w:rPr>
          <w:color w:val="000000"/>
          <w:lang w:val="en-US"/>
        </w:rPr>
        <w:t>= eddy size;</w:t>
      </w:r>
    </w:p>
    <w:p w14:paraId="0652334C"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xml:space="preserve">• </w:t>
      </w:r>
      <m:oMath>
        <m:r>
          <w:rPr>
            <w:rFonts w:ascii="Cambria Math" w:hAnsi="Cambria Math"/>
            <w:lang w:val="en-US"/>
          </w:rPr>
          <m:t>σ</m:t>
        </m:r>
      </m:oMath>
      <w:r w:rsidRPr="00AD6027">
        <w:rPr>
          <w:color w:val="000000"/>
          <w:lang w:val="en-US"/>
        </w:rPr>
        <w:t xml:space="preserve"> = interfacial tension.</w:t>
      </w:r>
    </w:p>
    <w:p w14:paraId="1A86A13C"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µ = mean;</w:t>
      </w:r>
    </w:p>
    <w:p w14:paraId="065BA6BF"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ψ = energy dissipation rate;</w:t>
      </w:r>
    </w:p>
    <w:p w14:paraId="0518B3AC" w14:textId="77777777" w:rsidR="0070080A" w:rsidRPr="00AD6027" w:rsidRDefault="0070080A" w:rsidP="0070080A">
      <w:pPr>
        <w:pBdr>
          <w:top w:val="nil"/>
          <w:left w:val="nil"/>
          <w:bottom w:val="nil"/>
          <w:right w:val="nil"/>
          <w:between w:val="nil"/>
        </w:pBdr>
        <w:ind w:firstLine="709"/>
        <w:rPr>
          <w:lang w:val="en-US"/>
        </w:rPr>
      </w:pPr>
      <w:r w:rsidRPr="00AD6027">
        <w:rPr>
          <w:color w:val="000000"/>
          <w:lang w:val="en-US"/>
        </w:rPr>
        <w:t xml:space="preserve">• </w:t>
      </w:r>
      <m:oMath>
        <m:sSub>
          <m:sSubPr>
            <m:ctrlPr>
              <w:rPr>
                <w:rFonts w:ascii="Cambria Math" w:eastAsia="Arial Unicode MS" w:hAnsi="Cambria Math"/>
                <w:i/>
                <w:szCs w:val="22"/>
                <w:lang w:val="en-US"/>
              </w:rPr>
            </m:ctrlPr>
          </m:sSubPr>
          <m:e>
            <m:r>
              <w:rPr>
                <w:rFonts w:ascii="Cambria Math" w:eastAsia="Arial Unicode MS" w:hAnsi="Cambria Math"/>
                <w:lang w:val="en-US"/>
              </w:rPr>
              <m:t>χ</m:t>
            </m:r>
          </m:e>
          <m:sub>
            <m:r>
              <w:rPr>
                <w:rFonts w:ascii="Cambria Math" w:eastAsia="Arial Unicode MS" w:hAnsi="Cambria Math"/>
                <w:szCs w:val="22"/>
                <w:lang w:val="en-US"/>
              </w:rPr>
              <m:t>Ecrit</m:t>
            </m:r>
          </m:sub>
        </m:sSub>
      </m:oMath>
      <w:r w:rsidRPr="00AD6027">
        <w:rPr>
          <w:lang w:val="en-US"/>
        </w:rPr>
        <w:t xml:space="preserve"> = critical energy criterion;</w:t>
      </w:r>
    </w:p>
    <w:p w14:paraId="1FB18F80"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xml:space="preserve">• </w:t>
      </w:r>
      <m:oMath>
        <m:sSub>
          <m:sSubPr>
            <m:ctrlPr>
              <w:rPr>
                <w:rFonts w:ascii="Cambria Math" w:eastAsia="Arial Unicode MS" w:hAnsi="Cambria Math"/>
                <w:i/>
                <w:szCs w:val="22"/>
                <w:lang w:val="en-US"/>
              </w:rPr>
            </m:ctrlPr>
          </m:sSubPr>
          <m:e>
            <m:r>
              <w:rPr>
                <w:rFonts w:ascii="Cambria Math" w:eastAsia="Arial Unicode MS" w:hAnsi="Cambria Math"/>
                <w:lang w:val="en-US"/>
              </w:rPr>
              <m:t>χ</m:t>
            </m:r>
          </m:e>
          <m:sub>
            <m:r>
              <w:rPr>
                <w:rFonts w:ascii="Cambria Math" w:hAnsi="Cambria Math"/>
                <w:lang w:val="en-US"/>
              </w:rPr>
              <m:t>T</m:t>
            </m:r>
            <m:r>
              <w:rPr>
                <w:rFonts w:ascii="Cambria Math" w:eastAsia="Arial Unicode MS" w:hAnsi="Cambria Math"/>
                <w:szCs w:val="22"/>
                <w:lang w:val="en-US"/>
              </w:rPr>
              <m:t>crit</m:t>
            </m:r>
          </m:sub>
        </m:sSub>
      </m:oMath>
      <w:r w:rsidRPr="00AD6027">
        <w:rPr>
          <w:lang w:val="en-US"/>
        </w:rPr>
        <w:t xml:space="preserve"> = critical stress criterion;</w:t>
      </w:r>
    </w:p>
    <w:p w14:paraId="79DAD5F2" w14:textId="77777777" w:rsidR="0070080A" w:rsidRPr="00AD6027" w:rsidRDefault="0070080A" w:rsidP="0070080A">
      <w:pPr>
        <w:pBdr>
          <w:top w:val="nil"/>
          <w:left w:val="nil"/>
          <w:bottom w:val="nil"/>
          <w:right w:val="nil"/>
          <w:between w:val="nil"/>
        </w:pBdr>
        <w:ind w:firstLine="709"/>
        <w:rPr>
          <w:color w:val="000000"/>
          <w:lang w:val="en-US"/>
        </w:rPr>
      </w:pPr>
    </w:p>
    <w:p w14:paraId="5B4EAACF" w14:textId="77777777" w:rsidR="0070080A" w:rsidRPr="00AD6027" w:rsidRDefault="0070080A" w:rsidP="0070080A">
      <w:pPr>
        <w:pBdr>
          <w:top w:val="nil"/>
          <w:left w:val="nil"/>
          <w:bottom w:val="nil"/>
          <w:right w:val="nil"/>
          <w:between w:val="nil"/>
        </w:pBdr>
        <w:ind w:firstLine="709"/>
        <w:rPr>
          <w:i/>
          <w:iCs/>
          <w:color w:val="000000"/>
          <w:lang w:val="en-US"/>
        </w:rPr>
      </w:pPr>
      <w:r w:rsidRPr="00AD6027">
        <w:rPr>
          <w:i/>
          <w:iCs/>
          <w:color w:val="000000"/>
          <w:lang w:val="en-US"/>
        </w:rPr>
        <w:t>Subscripts</w:t>
      </w:r>
    </w:p>
    <w:p w14:paraId="73FBB7D0"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d = diesel – continuous phase;</w:t>
      </w:r>
    </w:p>
    <w:p w14:paraId="1AC7A6FE"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data = dataset value;</w:t>
      </w:r>
    </w:p>
    <w:p w14:paraId="785E1EA2"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dist = model distribution value;</w:t>
      </w:r>
    </w:p>
    <w:p w14:paraId="4DCA2E2D"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g = breakage;</w:t>
      </w:r>
    </w:p>
    <w:p w14:paraId="605A61F7" w14:textId="77777777" w:rsidR="0070080A" w:rsidRPr="00AD6027" w:rsidRDefault="0070080A" w:rsidP="0070080A">
      <w:pPr>
        <w:pBdr>
          <w:top w:val="nil"/>
          <w:left w:val="nil"/>
          <w:bottom w:val="nil"/>
          <w:right w:val="nil"/>
          <w:between w:val="nil"/>
        </w:pBdr>
        <w:ind w:firstLine="709"/>
        <w:rPr>
          <w:color w:val="000000"/>
          <w:lang w:val="en-US"/>
        </w:rPr>
      </w:pPr>
      <w:r w:rsidRPr="00AD6027">
        <w:rPr>
          <w:color w:val="000000"/>
          <w:lang w:val="en-US"/>
        </w:rPr>
        <w:t>• w = water – dispersed phase;</w:t>
      </w:r>
    </w:p>
    <w:p w14:paraId="38BFE636" w14:textId="6EF44E4A" w:rsidR="00280FAF" w:rsidRPr="00E377D0" w:rsidRDefault="00280FAF" w:rsidP="00280FAF">
      <w:pPr>
        <w:pStyle w:val="CETBodytext"/>
        <w:jc w:val="left"/>
        <w:rPr>
          <w:rFonts w:eastAsia="SimSun"/>
        </w:rPr>
        <w:sectPr w:rsidR="00280FAF" w:rsidRPr="00E377D0" w:rsidSect="001973AF">
          <w:type w:val="continuous"/>
          <w:pgSz w:w="11906" w:h="16838" w:code="9"/>
          <w:pgMar w:top="1701" w:right="1418" w:bottom="1701" w:left="1701" w:header="1701" w:footer="0" w:gutter="0"/>
          <w:cols w:num="2" w:space="708"/>
          <w:formProt w:val="0"/>
          <w:titlePg/>
          <w:docGrid w:linePitch="360"/>
        </w:sectPr>
      </w:pPr>
      <w:r w:rsidRPr="00280FAF">
        <w:rPr>
          <w:rFonts w:eastAsia="SimSun"/>
        </w:rPr>
        <w:t xml:space="preserve">  -</w:t>
      </w:r>
    </w:p>
    <w:p w14:paraId="7786EBEE" w14:textId="0E1610EF" w:rsidR="00822F75" w:rsidRPr="00D87F8C" w:rsidRDefault="00600535" w:rsidP="00822F75">
      <w:pPr>
        <w:pStyle w:val="CETAcknowledgementstitle"/>
        <w:rPr>
          <w:lang w:val="en-US"/>
        </w:rPr>
      </w:pPr>
      <w:r w:rsidRPr="00B57B36">
        <w:t>Acknowledgments</w:t>
      </w:r>
    </w:p>
    <w:p w14:paraId="33F8138F" w14:textId="34757908" w:rsidR="00600535" w:rsidRPr="00B57B36" w:rsidRDefault="006F31DE" w:rsidP="00600535">
      <w:pPr>
        <w:pStyle w:val="CETBodytext"/>
        <w:rPr>
          <w:lang w:val="en-GB"/>
        </w:rPr>
      </w:pPr>
      <w:r>
        <w:rPr>
          <w:lang w:val="en-GB"/>
        </w:rPr>
        <w:t>The authors</w:t>
      </w:r>
      <w:r w:rsidR="00A27C1C">
        <w:rPr>
          <w:lang w:val="en-GB"/>
        </w:rPr>
        <w:t xml:space="preserve"> </w:t>
      </w:r>
      <w:r w:rsidR="00A27C1C" w:rsidRPr="00A27C1C">
        <w:rPr>
          <w:lang w:val="en-GB"/>
        </w:rPr>
        <w:t xml:space="preserve">acknowledge the </w:t>
      </w:r>
      <w:r w:rsidR="00A27C1C">
        <w:rPr>
          <w:lang w:val="en-GB"/>
        </w:rPr>
        <w:t>Universidade</w:t>
      </w:r>
      <w:r w:rsidR="00646A1C">
        <w:rPr>
          <w:lang w:val="en-GB"/>
        </w:rPr>
        <w:t xml:space="preserve"> Estadual</w:t>
      </w:r>
      <w:r w:rsidR="00A27C1C">
        <w:rPr>
          <w:lang w:val="en-GB"/>
        </w:rPr>
        <w:t xml:space="preserve"> de Campinas (UNICAMP)</w:t>
      </w:r>
      <w:r w:rsidR="00A27C1C" w:rsidRPr="00A27C1C">
        <w:rPr>
          <w:lang w:val="en-GB"/>
        </w:rPr>
        <w:t xml:space="preserve"> and the School of Chemical Engineering, Campinas, SP, Brazil</w:t>
      </w:r>
      <w:r w:rsidR="00A27C1C">
        <w:rPr>
          <w:lang w:val="en-GB"/>
        </w:rPr>
        <w:t>.</w:t>
      </w:r>
      <w:r>
        <w:rPr>
          <w:lang w:val="en-GB"/>
        </w:rPr>
        <w:t xml:space="preserve"> </w:t>
      </w:r>
    </w:p>
    <w:p w14:paraId="4F1327F8" w14:textId="77777777" w:rsidR="00600535" w:rsidRPr="00B57B36" w:rsidRDefault="00600535" w:rsidP="00600535">
      <w:pPr>
        <w:pStyle w:val="CETReference"/>
      </w:pPr>
      <w:r w:rsidRPr="00B57B36">
        <w:t>References</w:t>
      </w:r>
    </w:p>
    <w:p w14:paraId="74325295" w14:textId="77777777" w:rsidR="00151568" w:rsidRDefault="00151568" w:rsidP="00151568">
      <w:pPr>
        <w:pStyle w:val="CETReferencetext"/>
      </w:pPr>
      <w:r>
        <w:t>R. Andersson, B. Andersson, 2006, Modeling the breakup of fluid particles in turbulent flows, AIChE Journal, 52, 2031-2038. https://doi.org/10.1002/aic.10832.</w:t>
      </w:r>
    </w:p>
    <w:p w14:paraId="4193C151" w14:textId="55BEBE17" w:rsidR="00151568" w:rsidRDefault="00151568" w:rsidP="00151568">
      <w:pPr>
        <w:pStyle w:val="CETReferencetext"/>
      </w:pPr>
      <w:r>
        <w:t xml:space="preserve">C.A. Coulaloglou, L.L. Tavlarides, 1977, Description of interaction processes in agitated </w:t>
      </w:r>
      <w:r w:rsidR="00D87F8C">
        <w:t>liquid-liquid</w:t>
      </w:r>
      <w:r>
        <w:t xml:space="preserve"> dispersions, Chemical Engineering Science, 32, 1289-1297, https://doi.org/10.1016/0009 2509(77)85023-9.</w:t>
      </w:r>
    </w:p>
    <w:p w14:paraId="3530282B" w14:textId="017B48A2" w:rsidR="00026306" w:rsidRDefault="00026306" w:rsidP="00151568">
      <w:pPr>
        <w:pStyle w:val="CETReferencetext"/>
      </w:pPr>
      <w:r w:rsidRPr="00026306">
        <w:t>B.K. Debnath, U.K. Saha, N. Sahoo, 2015, A comprehensive review on the application of emulsions as an alternative fuel for diesel engines, Renewable and Sustainable Energy Reviews, 42, 196 211, http://dx.doi.org/10.1016/j.rser.2014.10.023.</w:t>
      </w:r>
    </w:p>
    <w:p w14:paraId="3C96F916" w14:textId="77777777" w:rsidR="00151568" w:rsidRDefault="00151568" w:rsidP="00151568">
      <w:pPr>
        <w:pStyle w:val="CETReferencetext"/>
      </w:pPr>
      <w:r>
        <w:t>J. A. Driscoll, 1997, Acid rain demonstration: The formation of nitrogen oxides as a by-product of high-temperature flames in connection with internal combustion engines, Journal of Chemical Education, 74, 12, 1424, https://doi.org/10.1021/ed074p1424.</w:t>
      </w:r>
    </w:p>
    <w:p w14:paraId="2CD63CC6" w14:textId="3DCB1075" w:rsidR="00026306" w:rsidRDefault="00026306" w:rsidP="00026306">
      <w:pPr>
        <w:pStyle w:val="CETReferencetext"/>
      </w:pPr>
      <w:r>
        <w:t xml:space="preserve">S. Heidari, R. Najjar, G. Burnens, S. Awad, M. Tazerout, 2018, </w:t>
      </w:r>
      <w:r w:rsidRPr="00026306">
        <w:t>Experimental Investigation of Emission, Combustion, and Energy Performance of a Novel Diesel/Colza Oil Fuel Microemulsion in a Direct-Injection Diesel Engine</w:t>
      </w:r>
      <w:r>
        <w:t>, Energy &amp; Fuels, 32 (10), 10923-10932, https://doi.org/10.1021/acs.energyfuels.7b03181</w:t>
      </w:r>
    </w:p>
    <w:p w14:paraId="46F7594F" w14:textId="6CCEBE3D" w:rsidR="0070080A" w:rsidRPr="0070080A" w:rsidRDefault="0070080A" w:rsidP="00026306">
      <w:pPr>
        <w:pStyle w:val="CETReferencetext"/>
        <w:rPr>
          <w:lang w:val="en-US"/>
        </w:rPr>
      </w:pPr>
      <w:r w:rsidRPr="0070080A">
        <w:rPr>
          <w:lang w:val="en-US"/>
        </w:rPr>
        <w:t>M. Y. Khan, Z. A. A. Karim, A. R. A. Aziz, I. M. Tan, 2017, A Case Study on the Influence of Selected Parameters on Microexplosion Behavior of Water in Biodiesel Emulsion Droplets</w:t>
      </w:r>
      <w:r>
        <w:rPr>
          <w:lang w:val="en-US"/>
        </w:rPr>
        <w:t xml:space="preserve">, </w:t>
      </w:r>
      <w:r w:rsidRPr="0070080A">
        <w:rPr>
          <w:lang w:val="en-US"/>
        </w:rPr>
        <w:t>139(2)</w:t>
      </w:r>
      <w:r>
        <w:rPr>
          <w:lang w:val="en-US"/>
        </w:rPr>
        <w:t>,</w:t>
      </w:r>
      <w:r w:rsidRPr="0070080A">
        <w:rPr>
          <w:lang w:val="en-US"/>
        </w:rPr>
        <w:t xml:space="preserve"> 022203</w:t>
      </w:r>
      <w:r>
        <w:rPr>
          <w:lang w:val="en-US"/>
        </w:rPr>
        <w:t xml:space="preserve">, </w:t>
      </w:r>
      <w:r w:rsidRPr="0070080A">
        <w:rPr>
          <w:lang w:val="en-US"/>
        </w:rPr>
        <w:t>https://doi.org/10.1115/1.4034230</w:t>
      </w:r>
    </w:p>
    <w:p w14:paraId="06DEA733" w14:textId="77777777" w:rsidR="00151568" w:rsidRDefault="00151568" w:rsidP="00151568">
      <w:pPr>
        <w:pStyle w:val="CETReferencetext"/>
      </w:pPr>
      <w:r>
        <w:lastRenderedPageBreak/>
        <w:t>N. G. Khouri, J. O. Bahú, N. T. Miranda, C. B. Batistella, M. R. W. Maciel, V. O. C. Concha, R. Maciel Filho, 2023, Diesel upgrading: A modeling of its microemulsions, Fuel Processing Technology, 239, 107545, https://doi.org/10.1016/j.fuproc.2022.107545.</w:t>
      </w:r>
    </w:p>
    <w:p w14:paraId="2BEF4324" w14:textId="77777777" w:rsidR="00026306" w:rsidRDefault="00026306" w:rsidP="00026306">
      <w:pPr>
        <w:pStyle w:val="CETReferencetext"/>
        <w:rPr>
          <w:lang w:val="en-US"/>
        </w:rPr>
      </w:pPr>
      <w:r w:rsidRPr="00026306">
        <w:rPr>
          <w:lang w:val="en-US"/>
        </w:rPr>
        <w:t>L</w:t>
      </w:r>
      <w:r>
        <w:rPr>
          <w:lang w:val="en-US"/>
        </w:rPr>
        <w:t>.</w:t>
      </w:r>
      <w:r w:rsidRPr="00026306">
        <w:rPr>
          <w:lang w:val="en-US"/>
        </w:rPr>
        <w:t xml:space="preserve"> Leng, P</w:t>
      </w:r>
      <w:r>
        <w:rPr>
          <w:lang w:val="en-US"/>
        </w:rPr>
        <w:t>.</w:t>
      </w:r>
      <w:r w:rsidRPr="00026306">
        <w:rPr>
          <w:lang w:val="en-US"/>
        </w:rPr>
        <w:t xml:space="preserve"> Han, X</w:t>
      </w:r>
      <w:r>
        <w:rPr>
          <w:lang w:val="en-US"/>
        </w:rPr>
        <w:t>.</w:t>
      </w:r>
      <w:r w:rsidRPr="00026306">
        <w:rPr>
          <w:lang w:val="en-US"/>
        </w:rPr>
        <w:t xml:space="preserve"> Yuan, J</w:t>
      </w:r>
      <w:r>
        <w:rPr>
          <w:lang w:val="en-US"/>
        </w:rPr>
        <w:t>.</w:t>
      </w:r>
      <w:r w:rsidRPr="00026306">
        <w:rPr>
          <w:lang w:val="en-US"/>
        </w:rPr>
        <w:t xml:space="preserve"> Li, W</w:t>
      </w:r>
      <w:r>
        <w:rPr>
          <w:lang w:val="en-US"/>
        </w:rPr>
        <w:t>.</w:t>
      </w:r>
      <w:r w:rsidRPr="00026306">
        <w:rPr>
          <w:lang w:val="en-US"/>
        </w:rPr>
        <w:t xml:space="preserve"> Zhou,</w:t>
      </w:r>
      <w:r>
        <w:rPr>
          <w:lang w:val="en-US"/>
        </w:rPr>
        <w:t xml:space="preserve"> 2018, </w:t>
      </w:r>
      <w:r w:rsidRPr="00026306">
        <w:rPr>
          <w:lang w:val="en-US"/>
        </w:rPr>
        <w:t>Biodiesel microemulsion upgrading and thermogravimetric study of bio-oil produced by liquefaction of different sludges,</w:t>
      </w:r>
      <w:r>
        <w:rPr>
          <w:lang w:val="en-US"/>
        </w:rPr>
        <w:t xml:space="preserve"> </w:t>
      </w:r>
      <w:r w:rsidRPr="00026306">
        <w:rPr>
          <w:lang w:val="en-US"/>
        </w:rPr>
        <w:t>Energy,153,1061-1072,</w:t>
      </w:r>
      <w:r>
        <w:rPr>
          <w:lang w:val="en-US"/>
        </w:rPr>
        <w:t xml:space="preserve"> </w:t>
      </w:r>
      <w:r w:rsidRPr="00026306">
        <w:rPr>
          <w:lang w:val="en-US"/>
        </w:rPr>
        <w:t>https://doi.org/10.1016/j.energy.2018.04.087.</w:t>
      </w:r>
    </w:p>
    <w:p w14:paraId="18917A21" w14:textId="33D9B782" w:rsidR="00026306" w:rsidRDefault="00026306" w:rsidP="00026306">
      <w:pPr>
        <w:pStyle w:val="CETReferencetext"/>
        <w:rPr>
          <w:lang w:val="en-US"/>
        </w:rPr>
      </w:pPr>
      <w:r w:rsidRPr="00026306">
        <w:rPr>
          <w:lang w:val="en-US"/>
        </w:rPr>
        <w:t>L</w:t>
      </w:r>
      <w:r>
        <w:rPr>
          <w:lang w:val="en-US"/>
        </w:rPr>
        <w:t>.</w:t>
      </w:r>
      <w:r w:rsidRPr="00026306">
        <w:rPr>
          <w:lang w:val="en-US"/>
        </w:rPr>
        <w:t xml:space="preserve"> Leng, L</w:t>
      </w:r>
      <w:r>
        <w:rPr>
          <w:lang w:val="en-US"/>
        </w:rPr>
        <w:t>.</w:t>
      </w:r>
      <w:r w:rsidRPr="00026306">
        <w:rPr>
          <w:lang w:val="en-US"/>
        </w:rPr>
        <w:t xml:space="preserve"> Wei, W</w:t>
      </w:r>
      <w:r>
        <w:rPr>
          <w:lang w:val="en-US"/>
        </w:rPr>
        <w:t>.</w:t>
      </w:r>
      <w:r w:rsidRPr="00026306">
        <w:rPr>
          <w:lang w:val="en-US"/>
        </w:rPr>
        <w:t xml:space="preserve"> Li, X</w:t>
      </w:r>
      <w:r>
        <w:rPr>
          <w:lang w:val="en-US"/>
        </w:rPr>
        <w:t>.</w:t>
      </w:r>
      <w:r w:rsidRPr="00026306">
        <w:rPr>
          <w:lang w:val="en-US"/>
        </w:rPr>
        <w:t xml:space="preserve"> Xu, S</w:t>
      </w:r>
      <w:r>
        <w:rPr>
          <w:lang w:val="en-US"/>
        </w:rPr>
        <w:t>.</w:t>
      </w:r>
      <w:r w:rsidRPr="00026306">
        <w:rPr>
          <w:lang w:val="en-US"/>
        </w:rPr>
        <w:t xml:space="preserve"> Leng, J</w:t>
      </w:r>
      <w:r>
        <w:rPr>
          <w:lang w:val="en-US"/>
        </w:rPr>
        <w:t>.</w:t>
      </w:r>
      <w:r w:rsidRPr="00026306">
        <w:rPr>
          <w:lang w:val="en-US"/>
        </w:rPr>
        <w:t xml:space="preserve"> Li</w:t>
      </w:r>
      <w:r>
        <w:rPr>
          <w:lang w:val="en-US"/>
        </w:rPr>
        <w:t>,</w:t>
      </w:r>
      <w:r w:rsidRPr="00026306">
        <w:rPr>
          <w:lang w:val="en-US"/>
        </w:rPr>
        <w:t xml:space="preserve"> W</w:t>
      </w:r>
      <w:r>
        <w:rPr>
          <w:lang w:val="en-US"/>
        </w:rPr>
        <w:t>.</w:t>
      </w:r>
      <w:r w:rsidRPr="00026306">
        <w:rPr>
          <w:lang w:val="en-US"/>
        </w:rPr>
        <w:t xml:space="preserve"> Zhou</w:t>
      </w:r>
      <w:r>
        <w:rPr>
          <w:lang w:val="en-US"/>
        </w:rPr>
        <w:t xml:space="preserve">, </w:t>
      </w:r>
      <w:r w:rsidRPr="00026306">
        <w:rPr>
          <w:lang w:val="en-US"/>
        </w:rPr>
        <w:t>2022</w:t>
      </w:r>
      <w:r>
        <w:rPr>
          <w:lang w:val="en-US"/>
        </w:rPr>
        <w:t>,</w:t>
      </w:r>
      <w:r w:rsidRPr="00026306">
        <w:rPr>
          <w:lang w:val="en-US"/>
        </w:rPr>
        <w:t xml:space="preserve"> Determination and comparison of the activation energies of biodiesel microemulsion and biodiesel blends, Energy Sources, Part A: Recovery, Utilization, and Environmental Effects, 44:1, 116-125, https://doi.org/10.1080/15567036.2019.1648594</w:t>
      </w:r>
    </w:p>
    <w:p w14:paraId="36104CD7" w14:textId="5A500C53" w:rsidR="00026306" w:rsidRDefault="0070080A" w:rsidP="00151568">
      <w:pPr>
        <w:pStyle w:val="CETReferencetext"/>
      </w:pPr>
      <w:r w:rsidRPr="00026306">
        <w:t>D. L.</w:t>
      </w:r>
      <w:r>
        <w:t xml:space="preserve"> </w:t>
      </w:r>
      <w:r w:rsidR="00026306" w:rsidRPr="00026306">
        <w:t>M</w:t>
      </w:r>
      <w:r w:rsidR="00026306">
        <w:t>archisio</w:t>
      </w:r>
      <w:r>
        <w:t>,</w:t>
      </w:r>
      <w:r w:rsidR="00026306" w:rsidRPr="00026306">
        <w:t xml:space="preserve"> </w:t>
      </w:r>
      <w:r w:rsidRPr="00026306">
        <w:t>R. O</w:t>
      </w:r>
      <w:r>
        <w:t xml:space="preserve">. </w:t>
      </w:r>
      <w:r w:rsidR="00026306" w:rsidRPr="00026306">
        <w:t>F</w:t>
      </w:r>
      <w:r w:rsidR="00026306">
        <w:t xml:space="preserve">ox, 2013, </w:t>
      </w:r>
      <w:r w:rsidR="00026306" w:rsidRPr="00026306">
        <w:t>Computational Models for Polydisperse Particulate and Multiphase Systems. 1</w:t>
      </w:r>
      <w:r w:rsidR="00026306">
        <w:t>st</w:t>
      </w:r>
      <w:r w:rsidR="00026306" w:rsidRPr="00026306">
        <w:t xml:space="preserve"> ed. Cambridge University Press.</w:t>
      </w:r>
    </w:p>
    <w:p w14:paraId="19C4FC68" w14:textId="5DD54E97" w:rsidR="004628D2" w:rsidRDefault="00151568" w:rsidP="0070080A">
      <w:pPr>
        <w:pStyle w:val="CETReferencetext"/>
      </w:pPr>
      <w:r>
        <w:t>Z. Nissar, O. Rybdylova, S.S. Sazhin, M. Heikal, A.Rashid B.A. Aziz, Mhadi A. Ismael, 2020, A model for puffing/microexplosions in water/fuel emulsion droplets, International Journal of Heat and Mass Transfer,</w:t>
      </w:r>
      <w:r w:rsidR="00026306">
        <w:t xml:space="preserve"> </w:t>
      </w:r>
      <w:r>
        <w:t>149,119208,https://doi.org/10.1016/j.ijheatmasstransfer.2019.119208.</w:t>
      </w:r>
    </w:p>
    <w:sectPr w:rsidR="004628D2" w:rsidSect="001973A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7488" w14:textId="77777777" w:rsidR="001973AF" w:rsidRDefault="001973AF" w:rsidP="004F5E36">
      <w:r>
        <w:separator/>
      </w:r>
    </w:p>
  </w:endnote>
  <w:endnote w:type="continuationSeparator" w:id="0">
    <w:p w14:paraId="3679FA53" w14:textId="77777777" w:rsidR="001973AF" w:rsidRDefault="001973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B0E8" w14:textId="77777777" w:rsidR="001973AF" w:rsidRDefault="001973AF" w:rsidP="004F5E36">
      <w:r>
        <w:separator/>
      </w:r>
    </w:p>
  </w:footnote>
  <w:footnote w:type="continuationSeparator" w:id="0">
    <w:p w14:paraId="5D11908E" w14:textId="77777777" w:rsidR="001973AF" w:rsidRDefault="001973A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8F163EF"/>
    <w:multiLevelType w:val="hybridMultilevel"/>
    <w:tmpl w:val="124A0D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462961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6306"/>
    <w:rsid w:val="0003148D"/>
    <w:rsid w:val="00031EEC"/>
    <w:rsid w:val="00041E39"/>
    <w:rsid w:val="00051566"/>
    <w:rsid w:val="000562A9"/>
    <w:rsid w:val="00062A9A"/>
    <w:rsid w:val="00065058"/>
    <w:rsid w:val="00086C39"/>
    <w:rsid w:val="000A03B2"/>
    <w:rsid w:val="000B50F7"/>
    <w:rsid w:val="000D0268"/>
    <w:rsid w:val="000D34BE"/>
    <w:rsid w:val="000E102F"/>
    <w:rsid w:val="000E10DC"/>
    <w:rsid w:val="000E36F1"/>
    <w:rsid w:val="000E3A73"/>
    <w:rsid w:val="000E414A"/>
    <w:rsid w:val="000F093C"/>
    <w:rsid w:val="000F787B"/>
    <w:rsid w:val="0012091F"/>
    <w:rsid w:val="00126BC2"/>
    <w:rsid w:val="001308B6"/>
    <w:rsid w:val="0013121F"/>
    <w:rsid w:val="00131FE6"/>
    <w:rsid w:val="0013263F"/>
    <w:rsid w:val="001331DF"/>
    <w:rsid w:val="00134DE4"/>
    <w:rsid w:val="0013733D"/>
    <w:rsid w:val="0014034D"/>
    <w:rsid w:val="00144D16"/>
    <w:rsid w:val="00150E59"/>
    <w:rsid w:val="00151568"/>
    <w:rsid w:val="00152DE3"/>
    <w:rsid w:val="00156F74"/>
    <w:rsid w:val="00164CF9"/>
    <w:rsid w:val="001667A6"/>
    <w:rsid w:val="00184AD6"/>
    <w:rsid w:val="001973AF"/>
    <w:rsid w:val="001A4AF7"/>
    <w:rsid w:val="001B0349"/>
    <w:rsid w:val="001B1E93"/>
    <w:rsid w:val="001B3B4E"/>
    <w:rsid w:val="001B58A6"/>
    <w:rsid w:val="001B65C1"/>
    <w:rsid w:val="001C684B"/>
    <w:rsid w:val="001D0CFB"/>
    <w:rsid w:val="001D21AF"/>
    <w:rsid w:val="001D53FC"/>
    <w:rsid w:val="001E3893"/>
    <w:rsid w:val="001F42A5"/>
    <w:rsid w:val="001F7B9D"/>
    <w:rsid w:val="00201C93"/>
    <w:rsid w:val="00220771"/>
    <w:rsid w:val="002224B4"/>
    <w:rsid w:val="002447EF"/>
    <w:rsid w:val="00251550"/>
    <w:rsid w:val="002557DD"/>
    <w:rsid w:val="00263431"/>
    <w:rsid w:val="00263AED"/>
    <w:rsid w:val="00263B05"/>
    <w:rsid w:val="0027221A"/>
    <w:rsid w:val="00274AC9"/>
    <w:rsid w:val="00275B61"/>
    <w:rsid w:val="00280FAF"/>
    <w:rsid w:val="00282656"/>
    <w:rsid w:val="00295162"/>
    <w:rsid w:val="00296B83"/>
    <w:rsid w:val="002A3B60"/>
    <w:rsid w:val="002B1C99"/>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55F79"/>
    <w:rsid w:val="00361552"/>
    <w:rsid w:val="003723D4"/>
    <w:rsid w:val="00381905"/>
    <w:rsid w:val="00384CC8"/>
    <w:rsid w:val="003871FD"/>
    <w:rsid w:val="003A1E30"/>
    <w:rsid w:val="003A2829"/>
    <w:rsid w:val="003A6FC6"/>
    <w:rsid w:val="003A7D1C"/>
    <w:rsid w:val="003B304B"/>
    <w:rsid w:val="003B3146"/>
    <w:rsid w:val="003F015E"/>
    <w:rsid w:val="00400414"/>
    <w:rsid w:val="004072E9"/>
    <w:rsid w:val="0041446B"/>
    <w:rsid w:val="0043343F"/>
    <w:rsid w:val="004369D0"/>
    <w:rsid w:val="0044071E"/>
    <w:rsid w:val="0044329C"/>
    <w:rsid w:val="00452FE5"/>
    <w:rsid w:val="00453E24"/>
    <w:rsid w:val="00457456"/>
    <w:rsid w:val="004577FE"/>
    <w:rsid w:val="00457B9C"/>
    <w:rsid w:val="0046164A"/>
    <w:rsid w:val="004628D2"/>
    <w:rsid w:val="00462DCD"/>
    <w:rsid w:val="004648AD"/>
    <w:rsid w:val="00466751"/>
    <w:rsid w:val="004703A9"/>
    <w:rsid w:val="004760DE"/>
    <w:rsid w:val="004761E9"/>
    <w:rsid w:val="004763D7"/>
    <w:rsid w:val="004A004E"/>
    <w:rsid w:val="004A24CF"/>
    <w:rsid w:val="004C3D1D"/>
    <w:rsid w:val="004C3D84"/>
    <w:rsid w:val="004C7913"/>
    <w:rsid w:val="004E4DD6"/>
    <w:rsid w:val="004F0247"/>
    <w:rsid w:val="004F5E36"/>
    <w:rsid w:val="00507B47"/>
    <w:rsid w:val="00507BEF"/>
    <w:rsid w:val="00507CC9"/>
    <w:rsid w:val="005119A5"/>
    <w:rsid w:val="00516AAC"/>
    <w:rsid w:val="005278B7"/>
    <w:rsid w:val="00532016"/>
    <w:rsid w:val="005346C8"/>
    <w:rsid w:val="00543E7D"/>
    <w:rsid w:val="00547A68"/>
    <w:rsid w:val="005531C9"/>
    <w:rsid w:val="00553B1B"/>
    <w:rsid w:val="00570C43"/>
    <w:rsid w:val="00574BF2"/>
    <w:rsid w:val="005B2110"/>
    <w:rsid w:val="005B61E6"/>
    <w:rsid w:val="005C77E1"/>
    <w:rsid w:val="005D668A"/>
    <w:rsid w:val="005D6A2F"/>
    <w:rsid w:val="005E1A82"/>
    <w:rsid w:val="005E794C"/>
    <w:rsid w:val="005F0A28"/>
    <w:rsid w:val="005F0E5E"/>
    <w:rsid w:val="005F5CF6"/>
    <w:rsid w:val="00600535"/>
    <w:rsid w:val="00610CD6"/>
    <w:rsid w:val="00620DEE"/>
    <w:rsid w:val="00621F92"/>
    <w:rsid w:val="0062280A"/>
    <w:rsid w:val="00625639"/>
    <w:rsid w:val="00630173"/>
    <w:rsid w:val="00631B33"/>
    <w:rsid w:val="0064184D"/>
    <w:rsid w:val="006422CC"/>
    <w:rsid w:val="00646A1C"/>
    <w:rsid w:val="00660E3E"/>
    <w:rsid w:val="00662E74"/>
    <w:rsid w:val="00664232"/>
    <w:rsid w:val="00680C23"/>
    <w:rsid w:val="00693766"/>
    <w:rsid w:val="006A23E9"/>
    <w:rsid w:val="006A3281"/>
    <w:rsid w:val="006B4888"/>
    <w:rsid w:val="006C2E45"/>
    <w:rsid w:val="006C359C"/>
    <w:rsid w:val="006C4F8A"/>
    <w:rsid w:val="006C5579"/>
    <w:rsid w:val="006D6E8B"/>
    <w:rsid w:val="006E1210"/>
    <w:rsid w:val="006E1B11"/>
    <w:rsid w:val="006E720B"/>
    <w:rsid w:val="006E737D"/>
    <w:rsid w:val="006F31DE"/>
    <w:rsid w:val="0070080A"/>
    <w:rsid w:val="007009D4"/>
    <w:rsid w:val="00704C4F"/>
    <w:rsid w:val="00713973"/>
    <w:rsid w:val="00720A24"/>
    <w:rsid w:val="00732386"/>
    <w:rsid w:val="0073514D"/>
    <w:rsid w:val="007447F3"/>
    <w:rsid w:val="0075499F"/>
    <w:rsid w:val="007661C8"/>
    <w:rsid w:val="0077098D"/>
    <w:rsid w:val="007931FA"/>
    <w:rsid w:val="00797C5E"/>
    <w:rsid w:val="007A20B4"/>
    <w:rsid w:val="007A4861"/>
    <w:rsid w:val="007A7BBA"/>
    <w:rsid w:val="007B0C50"/>
    <w:rsid w:val="007B48F9"/>
    <w:rsid w:val="007C1A43"/>
    <w:rsid w:val="007D0951"/>
    <w:rsid w:val="007D344E"/>
    <w:rsid w:val="0080013E"/>
    <w:rsid w:val="00813288"/>
    <w:rsid w:val="008168FC"/>
    <w:rsid w:val="00822F75"/>
    <w:rsid w:val="00830996"/>
    <w:rsid w:val="0083224F"/>
    <w:rsid w:val="008345F1"/>
    <w:rsid w:val="00843EAC"/>
    <w:rsid w:val="00865B07"/>
    <w:rsid w:val="008667EA"/>
    <w:rsid w:val="0087637F"/>
    <w:rsid w:val="00892AD5"/>
    <w:rsid w:val="008A1512"/>
    <w:rsid w:val="008B7C03"/>
    <w:rsid w:val="008D32B9"/>
    <w:rsid w:val="008D433B"/>
    <w:rsid w:val="008D4A16"/>
    <w:rsid w:val="008E566E"/>
    <w:rsid w:val="0090161A"/>
    <w:rsid w:val="00901EB6"/>
    <w:rsid w:val="009025CC"/>
    <w:rsid w:val="00902EDA"/>
    <w:rsid w:val="00904C62"/>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82038"/>
    <w:rsid w:val="00993B84"/>
    <w:rsid w:val="00996483"/>
    <w:rsid w:val="00996F5A"/>
    <w:rsid w:val="009A0F1C"/>
    <w:rsid w:val="009B041A"/>
    <w:rsid w:val="009C37C3"/>
    <w:rsid w:val="009C7C86"/>
    <w:rsid w:val="009D2FF7"/>
    <w:rsid w:val="009D5D2A"/>
    <w:rsid w:val="009E7884"/>
    <w:rsid w:val="009E788A"/>
    <w:rsid w:val="009F0E08"/>
    <w:rsid w:val="00A0147D"/>
    <w:rsid w:val="00A1763D"/>
    <w:rsid w:val="00A17CEC"/>
    <w:rsid w:val="00A27C1C"/>
    <w:rsid w:val="00A27EF0"/>
    <w:rsid w:val="00A42361"/>
    <w:rsid w:val="00A50B20"/>
    <w:rsid w:val="00A51390"/>
    <w:rsid w:val="00A60D13"/>
    <w:rsid w:val="00A707B6"/>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5EBF"/>
    <w:rsid w:val="00B17FBD"/>
    <w:rsid w:val="00B262E7"/>
    <w:rsid w:val="00B315A6"/>
    <w:rsid w:val="00B31813"/>
    <w:rsid w:val="00B33365"/>
    <w:rsid w:val="00B3575E"/>
    <w:rsid w:val="00B57B36"/>
    <w:rsid w:val="00B57E6F"/>
    <w:rsid w:val="00B8686D"/>
    <w:rsid w:val="00B93F69"/>
    <w:rsid w:val="00BB1DDC"/>
    <w:rsid w:val="00BC30C9"/>
    <w:rsid w:val="00BC4485"/>
    <w:rsid w:val="00BD077D"/>
    <w:rsid w:val="00BE3E58"/>
    <w:rsid w:val="00C01616"/>
    <w:rsid w:val="00C0162B"/>
    <w:rsid w:val="00C068ED"/>
    <w:rsid w:val="00C22E0C"/>
    <w:rsid w:val="00C345B1"/>
    <w:rsid w:val="00C40142"/>
    <w:rsid w:val="00C4165A"/>
    <w:rsid w:val="00C52C3C"/>
    <w:rsid w:val="00C57182"/>
    <w:rsid w:val="00C57863"/>
    <w:rsid w:val="00C640AF"/>
    <w:rsid w:val="00C655FD"/>
    <w:rsid w:val="00C736AC"/>
    <w:rsid w:val="00C75407"/>
    <w:rsid w:val="00C870A8"/>
    <w:rsid w:val="00C94434"/>
    <w:rsid w:val="00C96AB4"/>
    <w:rsid w:val="00CA0D4A"/>
    <w:rsid w:val="00CA0D75"/>
    <w:rsid w:val="00CA1C95"/>
    <w:rsid w:val="00CA5A9C"/>
    <w:rsid w:val="00CC4A71"/>
    <w:rsid w:val="00CC4C20"/>
    <w:rsid w:val="00CD3517"/>
    <w:rsid w:val="00CD5FE2"/>
    <w:rsid w:val="00CE7C68"/>
    <w:rsid w:val="00D02B4C"/>
    <w:rsid w:val="00D040C4"/>
    <w:rsid w:val="00D20AD1"/>
    <w:rsid w:val="00D46B7E"/>
    <w:rsid w:val="00D57C84"/>
    <w:rsid w:val="00D6057D"/>
    <w:rsid w:val="00D648EC"/>
    <w:rsid w:val="00D71640"/>
    <w:rsid w:val="00D836C5"/>
    <w:rsid w:val="00D84576"/>
    <w:rsid w:val="00D87F8C"/>
    <w:rsid w:val="00DA1399"/>
    <w:rsid w:val="00DA24C6"/>
    <w:rsid w:val="00DA4D7B"/>
    <w:rsid w:val="00DB3233"/>
    <w:rsid w:val="00DD271C"/>
    <w:rsid w:val="00DE264A"/>
    <w:rsid w:val="00DF5072"/>
    <w:rsid w:val="00DF7D0E"/>
    <w:rsid w:val="00E02D18"/>
    <w:rsid w:val="00E041E7"/>
    <w:rsid w:val="00E17A6E"/>
    <w:rsid w:val="00E23CA1"/>
    <w:rsid w:val="00E33DD7"/>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4901"/>
    <w:rsid w:val="00ED6322"/>
    <w:rsid w:val="00EE0131"/>
    <w:rsid w:val="00EE17B0"/>
    <w:rsid w:val="00EF06D9"/>
    <w:rsid w:val="00F03B84"/>
    <w:rsid w:val="00F3049E"/>
    <w:rsid w:val="00F30C64"/>
    <w:rsid w:val="00F32BA2"/>
    <w:rsid w:val="00F32CDB"/>
    <w:rsid w:val="00F447E3"/>
    <w:rsid w:val="00F565FE"/>
    <w:rsid w:val="00F63A70"/>
    <w:rsid w:val="00F63D8C"/>
    <w:rsid w:val="00F7534E"/>
    <w:rsid w:val="00F818CA"/>
    <w:rsid w:val="00F93EDF"/>
    <w:rsid w:val="00FA1802"/>
    <w:rsid w:val="00FA21D0"/>
    <w:rsid w:val="00FA5F5F"/>
    <w:rsid w:val="00FB5EC4"/>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paragraph" w:customStyle="1" w:styleId="Els-Affiliation">
    <w:name w:val="Els-Affiliation"/>
    <w:rsid w:val="00982038"/>
    <w:pPr>
      <w:suppressAutoHyphens/>
      <w:spacing w:after="0" w:line="240" w:lineRule="exact"/>
    </w:pPr>
    <w:rPr>
      <w:rFonts w:ascii="Times New Roman" w:eastAsia="Times New Roman" w:hAnsi="Times New Roman" w:cs="Times New Roman"/>
      <w:i/>
      <w:noProof/>
      <w:sz w:val="20"/>
      <w:szCs w:val="20"/>
      <w:lang w:val="en-GB"/>
    </w:rPr>
  </w:style>
  <w:style w:type="character" w:styleId="MenoPendente">
    <w:name w:val="Unresolved Mention"/>
    <w:basedOn w:val="Fontepargpadro"/>
    <w:uiPriority w:val="99"/>
    <w:semiHidden/>
    <w:unhideWhenUsed/>
    <w:rsid w:val="00982038"/>
    <w:rPr>
      <w:color w:val="605E5C"/>
      <w:shd w:val="clear" w:color="auto" w:fill="E1DFDD"/>
    </w:rPr>
  </w:style>
  <w:style w:type="paragraph" w:customStyle="1" w:styleId="Els-Abstract">
    <w:name w:val="Els-Abstract"/>
    <w:basedOn w:val="Normal"/>
    <w:next w:val="Normal"/>
    <w:autoRedefine/>
    <w:rsid w:val="00982038"/>
    <w:pPr>
      <w:keepNext/>
      <w:tabs>
        <w:tab w:val="clear" w:pos="7100"/>
      </w:tabs>
      <w:suppressAutoHyphens/>
      <w:spacing w:before="240" w:after="60" w:line="240" w:lineRule="exact"/>
    </w:pPr>
    <w:rPr>
      <w:rFonts w:cs="Arial"/>
      <w:b/>
      <w:sz w:val="20"/>
      <w:lang w:val="en-US"/>
    </w:rPr>
  </w:style>
  <w:style w:type="paragraph" w:customStyle="1" w:styleId="CorpodoTexto">
    <w:name w:val="Corpo do Texto"/>
    <w:basedOn w:val="Normal"/>
    <w:qFormat/>
    <w:rsid w:val="00220771"/>
    <w:pPr>
      <w:tabs>
        <w:tab w:val="clear" w:pos="7100"/>
      </w:tabs>
      <w:spacing w:line="360" w:lineRule="auto"/>
      <w:ind w:firstLine="709"/>
    </w:pPr>
    <w:rPr>
      <w:rFonts w:ascii="Times New Roman" w:eastAsia="Arial Unicode MS" w:hAnsi="Times New Roman"/>
      <w:sz w:val="24"/>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69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7583</TotalTime>
  <Pages>6</Pages>
  <Words>2161</Words>
  <Characters>12615</Characters>
  <Application>Microsoft Office Word</Application>
  <DocSecurity>0</DocSecurity>
  <Lines>277</Lines>
  <Paragraphs>139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Nadia Gagliardi Khouri</cp:lastModifiedBy>
  <cp:revision>12</cp:revision>
  <cp:lastPrinted>2015-05-12T18:31:00Z</cp:lastPrinted>
  <dcterms:created xsi:type="dcterms:W3CDTF">2024-01-10T18:03:00Z</dcterms:created>
  <dcterms:modified xsi:type="dcterms:W3CDTF">2024-02-29T13:11:00Z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http://www.zotero.org/styles/associacao-brasileira-de-normas-tecnicas</vt:lpwstr>
  </property>
  <property fmtid="{D5CDD505-2E9C-101B-9397-08002B2CF9AE}" pid="7" name="Mendeley Recent Style Name 1_1">
    <vt:lpwstr>Associação Brasileira de Normas Técnicas (Portuguese - Brazil)</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http://www.zotero.org/styles/education-for-chemical-engineers</vt:lpwstr>
  </property>
  <property fmtid="{D5CDD505-2E9C-101B-9397-08002B2CF9AE}" pid="13" name="Mendeley Recent Style Name 4_1">
    <vt:lpwstr>Education for Chemical Engineers</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http://www.zotero.org/styles/journal-of-chemical-education</vt:lpwstr>
  </property>
  <property fmtid="{D5CDD505-2E9C-101B-9397-08002B2CF9AE}" pid="17" name="Mendeley Recent Style Name 6_1">
    <vt:lpwstr>Journal of Chemical Education</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GrammarlyDocumentId">
    <vt:lpwstr>60bf3a3e91c886d8af8b9a01069274185e06dc67fa6ec29afefd53b7cdcb2e3c</vt:lpwstr>
  </property>
</Properties>
</file>