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5698CE78" w14:textId="77777777" w:rsidTr="00DE264A">
        <w:trPr>
          <w:trHeight w:val="852"/>
          <w:jc w:val="center"/>
        </w:trPr>
        <w:tc>
          <w:tcPr>
            <w:tcW w:w="6946" w:type="dxa"/>
            <w:vMerge w:val="restart"/>
            <w:tcBorders>
              <w:right w:val="single" w:sz="4" w:space="0" w:color="auto"/>
            </w:tcBorders>
          </w:tcPr>
          <w:p w14:paraId="065C78F1"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421109EC" wp14:editId="22B6699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cs="Arial"/>
                <w:b/>
                <w:bCs/>
                <w:i/>
                <w:iCs/>
                <w:color w:val="000066"/>
                <w:sz w:val="24"/>
                <w:szCs w:val="24"/>
                <w:lang w:eastAsia="it-IT"/>
              </w:rPr>
              <w:t>CHEMICAL ENGINEERING</w:t>
            </w:r>
            <w:r w:rsidRPr="00B57B36">
              <w:rPr>
                <w:rFonts w:cs="Arial"/>
                <w:b/>
                <w:bCs/>
                <w:i/>
                <w:iCs/>
                <w:color w:val="666666"/>
                <w:sz w:val="24"/>
                <w:szCs w:val="24"/>
                <w:lang w:eastAsia="it-IT"/>
              </w:rPr>
              <w:t>TRANSACTIONS</w:t>
            </w:r>
            <w:r w:rsidRPr="00B57B36">
              <w:rPr>
                <w:rFonts w:cs="Arial"/>
                <w:b/>
                <w:bCs/>
                <w:i/>
                <w:iCs/>
                <w:color w:val="000066"/>
                <w:sz w:val="27"/>
                <w:szCs w:val="27"/>
                <w:lang w:eastAsia="it-IT"/>
              </w:rPr>
              <w:br/>
            </w:r>
          </w:p>
          <w:p w14:paraId="24985C5E" w14:textId="77777777"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B48F9">
              <w:rPr>
                <w:rFonts w:cs="Arial"/>
                <w:b/>
                <w:bCs/>
                <w:i/>
                <w:iCs/>
                <w:color w:val="000066"/>
                <w:sz w:val="22"/>
                <w:szCs w:val="22"/>
                <w:lang w:eastAsia="it-IT"/>
              </w:rPr>
              <w:t>,</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041C3913"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49C646D9" w14:textId="77777777" w:rsidR="000A03B2" w:rsidRPr="00B57B36" w:rsidRDefault="000A03B2" w:rsidP="00CD5FE2">
            <w:pPr>
              <w:jc w:val="right"/>
            </w:pPr>
            <w:r w:rsidRPr="00B57B36">
              <w:rPr>
                <w:noProof/>
                <w:lang w:val="pt-BR" w:eastAsia="pt-BR"/>
              </w:rPr>
              <w:drawing>
                <wp:inline distT="0" distB="0" distL="0" distR="0" wp14:anchorId="4AFEA5CB" wp14:editId="262B3CF5">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19E0611" w14:textId="77777777" w:rsidTr="00DE264A">
        <w:trPr>
          <w:trHeight w:val="567"/>
          <w:jc w:val="center"/>
        </w:trPr>
        <w:tc>
          <w:tcPr>
            <w:tcW w:w="6946" w:type="dxa"/>
            <w:vMerge/>
            <w:tcBorders>
              <w:right w:val="single" w:sz="4" w:space="0" w:color="auto"/>
            </w:tcBorders>
          </w:tcPr>
          <w:p w14:paraId="3F35B10E"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09D6294D"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7FB1FD3"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800CBF9"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06E8E1D7" w14:textId="77777777" w:rsidTr="00DE264A">
        <w:trPr>
          <w:trHeight w:val="68"/>
          <w:jc w:val="center"/>
        </w:trPr>
        <w:tc>
          <w:tcPr>
            <w:tcW w:w="8789" w:type="dxa"/>
            <w:gridSpan w:val="2"/>
          </w:tcPr>
          <w:p w14:paraId="365BA8B2" w14:textId="77777777"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75638B6E" w14:textId="77777777"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F2CB7B8" w14:textId="77777777" w:rsidR="00E978D0" w:rsidRPr="00B57B36" w:rsidRDefault="00117824" w:rsidP="00E978D0">
      <w:pPr>
        <w:pStyle w:val="CETTitle"/>
      </w:pPr>
      <w:r w:rsidRPr="00117824">
        <w:t xml:space="preserve">Evaluation </w:t>
      </w:r>
      <w:r>
        <w:t>o</w:t>
      </w:r>
      <w:r w:rsidRPr="00117824">
        <w:t xml:space="preserve">f </w:t>
      </w:r>
      <w:r>
        <w:t>t</w:t>
      </w:r>
      <w:r w:rsidRPr="00117824">
        <w:t xml:space="preserve">he Impact </w:t>
      </w:r>
      <w:r>
        <w:t>o</w:t>
      </w:r>
      <w:r w:rsidRPr="00117824">
        <w:t xml:space="preserve">f Catalyst Composition </w:t>
      </w:r>
      <w:r>
        <w:t>o</w:t>
      </w:r>
      <w:r w:rsidRPr="00117824">
        <w:t xml:space="preserve">n Ethanol Steam Reforming </w:t>
      </w:r>
      <w:r>
        <w:t>i</w:t>
      </w:r>
      <w:r w:rsidRPr="00117824">
        <w:t xml:space="preserve">n </w:t>
      </w:r>
      <w:r>
        <w:t>a</w:t>
      </w:r>
      <w:r w:rsidRPr="00117824">
        <w:t xml:space="preserve"> Microchannel Reactor</w:t>
      </w:r>
    </w:p>
    <w:p w14:paraId="6190D3AD" w14:textId="77777777" w:rsidR="00B57E6F" w:rsidRPr="00117824" w:rsidRDefault="00117824" w:rsidP="00B57E6F">
      <w:pPr>
        <w:pStyle w:val="CETAuthors"/>
        <w:rPr>
          <w:lang w:val="pt-BR"/>
        </w:rPr>
      </w:pPr>
      <w:r w:rsidRPr="00117824">
        <w:rPr>
          <w:lang w:val="pt-BR"/>
        </w:rPr>
        <w:t>Bruna G. Floriam</w:t>
      </w:r>
      <w:r w:rsidR="00B57E6F" w:rsidRPr="00117824">
        <w:rPr>
          <w:vertAlign w:val="superscript"/>
          <w:lang w:val="pt-BR"/>
        </w:rPr>
        <w:t>a</w:t>
      </w:r>
      <w:r w:rsidRPr="00117824">
        <w:rPr>
          <w:vertAlign w:val="superscript"/>
          <w:lang w:val="pt-BR"/>
        </w:rPr>
        <w:t>,</w:t>
      </w:r>
      <w:r w:rsidRPr="00117824">
        <w:rPr>
          <w:lang w:val="pt-BR"/>
        </w:rPr>
        <w:t>*</w:t>
      </w:r>
      <w:r w:rsidR="00B57E6F" w:rsidRPr="00117824">
        <w:rPr>
          <w:lang w:val="pt-BR"/>
        </w:rPr>
        <w:t xml:space="preserve">, </w:t>
      </w:r>
      <w:r w:rsidRPr="00117824">
        <w:rPr>
          <w:lang w:val="pt-BR"/>
        </w:rPr>
        <w:t>Vitória C. Poletti</w:t>
      </w:r>
      <w:r w:rsidR="003D2E60" w:rsidRPr="00117824">
        <w:rPr>
          <w:vertAlign w:val="superscript"/>
          <w:lang w:val="pt-BR"/>
        </w:rPr>
        <w:t>a</w:t>
      </w:r>
      <w:r w:rsidR="00B57E6F" w:rsidRPr="00117824">
        <w:rPr>
          <w:lang w:val="pt-BR"/>
        </w:rPr>
        <w:t xml:space="preserve">, </w:t>
      </w:r>
      <w:r>
        <w:rPr>
          <w:lang w:val="pt-BR"/>
        </w:rPr>
        <w:t>André L. Jardini Munhoz</w:t>
      </w:r>
      <w:r w:rsidR="003D2E60" w:rsidRPr="00117824">
        <w:rPr>
          <w:vertAlign w:val="superscript"/>
          <w:lang w:val="pt-BR"/>
        </w:rPr>
        <w:t>b</w:t>
      </w:r>
      <w:r>
        <w:rPr>
          <w:lang w:val="pt-BR"/>
        </w:rPr>
        <w:t>,</w:t>
      </w:r>
      <w:r w:rsidR="003D2E60">
        <w:rPr>
          <w:lang w:val="pt-BR"/>
        </w:rPr>
        <w:t xml:space="preserve"> Aulus R. R. Binelli</w:t>
      </w:r>
      <w:r w:rsidR="003D2E60" w:rsidRPr="00117824">
        <w:rPr>
          <w:vertAlign w:val="superscript"/>
          <w:lang w:val="pt-BR"/>
        </w:rPr>
        <w:t>a</w:t>
      </w:r>
      <w:r w:rsidR="003D2E60">
        <w:rPr>
          <w:lang w:val="pt-BR"/>
        </w:rPr>
        <w:t>, Rubens Maciel Filho</w:t>
      </w:r>
      <w:r w:rsidR="003D2E60" w:rsidRPr="00117824">
        <w:rPr>
          <w:vertAlign w:val="superscript"/>
          <w:lang w:val="pt-BR"/>
        </w:rPr>
        <w:t>a</w:t>
      </w:r>
    </w:p>
    <w:p w14:paraId="0C1578C8" w14:textId="77777777" w:rsidR="00B57E6F" w:rsidRPr="003D2E60" w:rsidRDefault="00B57E6F" w:rsidP="00B57E6F">
      <w:pPr>
        <w:pStyle w:val="CETAddress"/>
        <w:rPr>
          <w:lang w:val="pt-BR"/>
        </w:rPr>
      </w:pPr>
      <w:r w:rsidRPr="00B57B36">
        <w:rPr>
          <w:vertAlign w:val="superscript"/>
        </w:rPr>
        <w:t>a</w:t>
      </w:r>
      <w:r w:rsidR="003D2E60">
        <w:t xml:space="preserve">VALPET, </w:t>
      </w:r>
      <w:r w:rsidR="003D2E60" w:rsidRPr="003D2E60">
        <w:t>Sch</w:t>
      </w:r>
      <w:r w:rsidR="004972BF">
        <w:t>o</w:t>
      </w:r>
      <w:r w:rsidR="003D2E60" w:rsidRPr="003D2E60">
        <w:t xml:space="preserve">ol of Chemical Engineering, Universidade Estadual de Campinas. </w:t>
      </w:r>
      <w:r w:rsidR="003D2E60" w:rsidRPr="003D2E60">
        <w:rPr>
          <w:lang w:val="pt-BR"/>
        </w:rPr>
        <w:t>R. Josiah Willard Gibbs, s/n, Cidade Universitária, Campinas, SP, Zip code 13417-780, Brazil</w:t>
      </w:r>
    </w:p>
    <w:p w14:paraId="2EC73778" w14:textId="77777777" w:rsidR="00B57E6F" w:rsidRPr="003D2E60" w:rsidRDefault="00B57E6F" w:rsidP="003D2E60">
      <w:pPr>
        <w:pStyle w:val="CETAddress"/>
        <w:rPr>
          <w:lang w:val="pt-BR"/>
        </w:rPr>
      </w:pPr>
      <w:r w:rsidRPr="00B57B36">
        <w:rPr>
          <w:vertAlign w:val="superscript"/>
        </w:rPr>
        <w:t>b</w:t>
      </w:r>
      <w:r w:rsidR="003D2E60">
        <w:t xml:space="preserve">National Institute of S&amp;T in Biomanufacturing, Av. </w:t>
      </w:r>
      <w:r w:rsidR="003D2E60" w:rsidRPr="003D2E60">
        <w:rPr>
          <w:lang w:val="pt-BR"/>
        </w:rPr>
        <w:t>Albert Einstein, 500, Cidade Universitária, Campinas</w:t>
      </w:r>
      <w:r w:rsidR="003D2E60">
        <w:rPr>
          <w:lang w:val="pt-BR"/>
        </w:rPr>
        <w:t xml:space="preserve">, SP, Zip code </w:t>
      </w:r>
      <w:r w:rsidR="003D2E60" w:rsidRPr="003D2E60">
        <w:rPr>
          <w:lang w:val="pt-BR"/>
        </w:rPr>
        <w:t>13083-852</w:t>
      </w:r>
      <w:r w:rsidR="003D2E60">
        <w:rPr>
          <w:lang w:val="pt-BR"/>
        </w:rPr>
        <w:t>, Brazil</w:t>
      </w:r>
    </w:p>
    <w:p w14:paraId="2BA7D3E2" w14:textId="77777777" w:rsidR="00B57E6F" w:rsidRPr="0034345C" w:rsidRDefault="003D2E60" w:rsidP="00B57E6F">
      <w:pPr>
        <w:pStyle w:val="CETemail"/>
        <w:rPr>
          <w:lang w:val="pt-BR"/>
        </w:rPr>
      </w:pPr>
      <w:r w:rsidRPr="0034345C">
        <w:rPr>
          <w:lang w:val="pt-BR"/>
        </w:rPr>
        <w:t>brunna.gfl@gmail.com, b219361@dac.unicamp.br</w:t>
      </w:r>
    </w:p>
    <w:p w14:paraId="60783E0C" w14:textId="77777777" w:rsidR="00DA24C6" w:rsidRPr="00E21036" w:rsidRDefault="00E21036" w:rsidP="008111F7">
      <w:pPr>
        <w:pStyle w:val="CETBodytext"/>
        <w:rPr>
          <w:lang w:val="en-GB"/>
        </w:rPr>
      </w:pPr>
      <w:r w:rsidRPr="00E21036">
        <w:rPr>
          <w:lang w:val="en-GB"/>
        </w:rPr>
        <w:t>Hydrogen has</w:t>
      </w:r>
      <w:r w:rsidR="003C1AE7">
        <w:rPr>
          <w:lang w:val="en-GB"/>
        </w:rPr>
        <w:t xml:space="preserve"> the</w:t>
      </w:r>
      <w:r w:rsidRPr="00E21036">
        <w:rPr>
          <w:lang w:val="en-GB"/>
        </w:rPr>
        <w:t xml:space="preserve"> potential for storing and supplying clean energy in various sectors, but the method of obtaining hydrogen needs to be sustainable. </w:t>
      </w:r>
      <w:r w:rsidR="008111F7" w:rsidRPr="008111F7">
        <w:rPr>
          <w:lang w:val="en-GB"/>
        </w:rPr>
        <w:t>Currently, most of the hydrogen is produced by reforming fossil fuels, with only a small portion coming from water electrolysis. However, there is an alternative method called ethanol steam reforming (ESR) that has a lot of potential and should be explored further. To make progress in this area, studies focused on process optimization are necessary to improve the efficiency of the ESR process. To this end, this investigation aims</w:t>
      </w:r>
      <w:r w:rsidRPr="00E21036">
        <w:rPr>
          <w:lang w:val="en-GB"/>
        </w:rPr>
        <w:t xml:space="preserve"> to analyse the influence of catalytic composition and temperature on hydrogen production</w:t>
      </w:r>
      <w:r w:rsidR="00185A5A">
        <w:rPr>
          <w:lang w:val="en-GB"/>
        </w:rPr>
        <w:t xml:space="preserve"> for mobility application</w:t>
      </w:r>
      <w:r w:rsidR="003C1AE7">
        <w:rPr>
          <w:lang w:val="en-GB"/>
        </w:rPr>
        <w:t>s</w:t>
      </w:r>
      <w:r w:rsidRPr="00E21036">
        <w:rPr>
          <w:lang w:val="en-GB"/>
        </w:rPr>
        <w:t>, evaluating the responses of hydrogen productivity and selectivity, ethanol conversion</w:t>
      </w:r>
      <w:r w:rsidR="003C1AE7">
        <w:rPr>
          <w:lang w:val="en-GB"/>
        </w:rPr>
        <w:t>,</w:t>
      </w:r>
      <w:r w:rsidRPr="00E21036">
        <w:rPr>
          <w:lang w:val="en-GB"/>
        </w:rPr>
        <w:t xml:space="preserve"> and reaction yield</w:t>
      </w:r>
      <w:r w:rsidR="00185A5A">
        <w:rPr>
          <w:lang w:val="en-GB"/>
        </w:rPr>
        <w:t xml:space="preserve"> in a microchannel reactor</w:t>
      </w:r>
      <w:r w:rsidRPr="00E21036">
        <w:rPr>
          <w:lang w:val="en-GB"/>
        </w:rPr>
        <w:t>. The results showed that the main statistical factor influencing the responses was temperature</w:t>
      </w:r>
      <w:r>
        <w:rPr>
          <w:lang w:val="en-GB"/>
        </w:rPr>
        <w:t xml:space="preserve"> and th</w:t>
      </w:r>
      <w:r w:rsidRPr="00E21036">
        <w:rPr>
          <w:lang w:val="en-GB"/>
        </w:rPr>
        <w:t>e relevance of the response to the composition of the catalytic support and the relationship between temperature and catalytic support. The use of bimetallic active phases capable of having a positive effect on the water-gas shift reaction favours the ethanol</w:t>
      </w:r>
      <w:r w:rsidR="00400920">
        <w:rPr>
          <w:lang w:val="en-GB"/>
        </w:rPr>
        <w:t xml:space="preserve"> conversion</w:t>
      </w:r>
      <w:r w:rsidRPr="00E21036">
        <w:rPr>
          <w:lang w:val="en-GB"/>
        </w:rPr>
        <w:t xml:space="preserve"> and thus provides positive results.</w:t>
      </w:r>
      <w:r w:rsidR="005B10A8" w:rsidRPr="005B10A8">
        <w:rPr>
          <w:lang w:val="en-GB"/>
        </w:rPr>
        <w:t xml:space="preserve">This study suggests that to enhance </w:t>
      </w:r>
      <w:r w:rsidR="005B10A8">
        <w:rPr>
          <w:lang w:val="en-GB"/>
        </w:rPr>
        <w:t xml:space="preserve">onboard </w:t>
      </w:r>
      <w:r w:rsidR="005B10A8" w:rsidRPr="005B10A8">
        <w:rPr>
          <w:lang w:val="en-GB"/>
        </w:rPr>
        <w:t>hydrogen production and reduce coke formation in a microchannel reactor, a catalyst consisting of ceria/zirconia support and Ni-Co active phase should be used at 700°C for steam reforming.</w:t>
      </w:r>
    </w:p>
    <w:p w14:paraId="7FF12DFE" w14:textId="77777777" w:rsidR="00600535" w:rsidRPr="00B57B36" w:rsidRDefault="00600535" w:rsidP="00600535">
      <w:pPr>
        <w:pStyle w:val="CETHeading1"/>
        <w:rPr>
          <w:lang w:val="en-GB"/>
        </w:rPr>
      </w:pPr>
      <w:r w:rsidRPr="00B57B36">
        <w:rPr>
          <w:lang w:val="en-GB"/>
        </w:rPr>
        <w:t>Introduction</w:t>
      </w:r>
    </w:p>
    <w:p w14:paraId="627E6F18" w14:textId="77777777" w:rsidR="001E0810" w:rsidRDefault="00E21036" w:rsidP="00600535">
      <w:pPr>
        <w:pStyle w:val="CETBodytext"/>
        <w:rPr>
          <w:lang w:val="en-GB"/>
        </w:rPr>
      </w:pPr>
      <w:r w:rsidRPr="00E21036">
        <w:rPr>
          <w:lang w:val="en-GB"/>
        </w:rPr>
        <w:t xml:space="preserve">Hydrogen is a convenient solution to the challenges of the current energy transition towards a more sustainable and carbon-neutral future, seeking alternatives to the use of fossil fuels. It has remarkable potential for storing and supplying clean energy, and its versatility extends across various sectors, from transportation and industrial applications to electricity generation and energy storage. However, the method of obtaining hydrogen is of utmost importance to deliver truly clean energy in a sustainable way. Currently, </w:t>
      </w:r>
      <w:r w:rsidR="0076360A" w:rsidRPr="00E21036">
        <w:rPr>
          <w:lang w:val="en-GB"/>
        </w:rPr>
        <w:t>most of the</w:t>
      </w:r>
      <w:r w:rsidRPr="00E21036">
        <w:rPr>
          <w:lang w:val="en-GB"/>
        </w:rPr>
        <w:t xml:space="preserve"> hydrogen is obtained by reforming fossil fuels and some small parcel from water electrolysis</w:t>
      </w:r>
      <w:r w:rsidR="001E0810">
        <w:rPr>
          <w:lang w:val="en-GB"/>
        </w:rPr>
        <w:t xml:space="preserve"> (</w:t>
      </w:r>
      <w:r w:rsidR="00605144">
        <w:rPr>
          <w:lang w:val="en-GB"/>
        </w:rPr>
        <w:t>IE</w:t>
      </w:r>
      <w:r w:rsidR="00D467AE">
        <w:rPr>
          <w:lang w:val="en-GB"/>
        </w:rPr>
        <w:t>A, 2023</w:t>
      </w:r>
      <w:r w:rsidR="001E0810">
        <w:rPr>
          <w:lang w:val="en-GB"/>
        </w:rPr>
        <w:t>)</w:t>
      </w:r>
      <w:r w:rsidRPr="00E21036">
        <w:rPr>
          <w:lang w:val="en-GB"/>
        </w:rPr>
        <w:t xml:space="preserve">. </w:t>
      </w:r>
      <w:r w:rsidR="00495282" w:rsidRPr="00495282">
        <w:rPr>
          <w:lang w:val="en-GB"/>
        </w:rPr>
        <w:t>Considering the increasing demand for sustainable and renewable energy sources, ethanol steam reforming (ESR) has emerged as a promising alternative with a lot of potential to be explored</w:t>
      </w:r>
      <w:r w:rsidR="00495282">
        <w:rPr>
          <w:lang w:val="en-GB"/>
        </w:rPr>
        <w:t xml:space="preserve">. </w:t>
      </w:r>
      <w:r w:rsidR="00ED4074" w:rsidRPr="00ED4074">
        <w:rPr>
          <w:lang w:val="en-GB"/>
        </w:rPr>
        <w:t xml:space="preserve">Catalytic steam reforming is a process that involves the reaction of ethanol with water vapor in the presence of a catalyst. This reaction produces hydrogen and carbon dioxide, which is represented by </w:t>
      </w:r>
      <w:r w:rsidR="00C73F67">
        <w:rPr>
          <w:lang w:val="en-GB"/>
        </w:rPr>
        <w:t>Eq</w:t>
      </w:r>
      <w:r w:rsidR="00ED4074" w:rsidRPr="00ED4074">
        <w:rPr>
          <w:lang w:val="en-GB"/>
        </w:rPr>
        <w:t>(1). Different catalysts can be used to obtain various routes, leading to different by-products being produced. Each route has its benefits and challenges, which can be adjusted to meet specific operational requirements and resource availability. This contributes to the development of sustainable hydrogen production processes. Therefore, selecting the appropriate catalyst</w:t>
      </w:r>
      <w:r w:rsidR="000D6583">
        <w:rPr>
          <w:lang w:val="en-GB"/>
        </w:rPr>
        <w:t>, synthesis method,</w:t>
      </w:r>
      <w:r w:rsidR="00ED4074" w:rsidRPr="00ED4074">
        <w:rPr>
          <w:lang w:val="en-GB"/>
        </w:rPr>
        <w:t xml:space="preserve"> and </w:t>
      </w:r>
      <w:r w:rsidR="000D6583">
        <w:rPr>
          <w:lang w:val="en-GB"/>
        </w:rPr>
        <w:t xml:space="preserve">reaction </w:t>
      </w:r>
      <w:r w:rsidR="00ED4074" w:rsidRPr="00ED4074">
        <w:rPr>
          <w:lang w:val="en-GB"/>
        </w:rPr>
        <w:t>operating conditions is a critical step</w:t>
      </w:r>
      <w:r w:rsidR="000D6583">
        <w:rPr>
          <w:lang w:val="en-GB"/>
        </w:rPr>
        <w:t xml:space="preserve"> (Rosha</w:t>
      </w:r>
      <w:r w:rsidR="00E76AB0">
        <w:rPr>
          <w:lang w:val="en-GB"/>
        </w:rPr>
        <w:t xml:space="preserve"> et al.</w:t>
      </w:r>
      <w:r w:rsidR="000D6583">
        <w:rPr>
          <w:lang w:val="en-GB"/>
        </w:rPr>
        <w:t>, 2023)</w:t>
      </w:r>
      <w:r w:rsidR="00ED4074" w:rsidRPr="00ED4074">
        <w:rPr>
          <w:lang w:val="en-GB"/>
        </w:rPr>
        <w:t>.</w:t>
      </w:r>
    </w:p>
    <w:tbl>
      <w:tblPr>
        <w:tblW w:w="5000" w:type="pct"/>
        <w:tblLook w:val="04A0" w:firstRow="1" w:lastRow="0" w:firstColumn="1" w:lastColumn="0" w:noHBand="0" w:noVBand="1"/>
      </w:tblPr>
      <w:tblGrid>
        <w:gridCol w:w="8188"/>
        <w:gridCol w:w="815"/>
      </w:tblGrid>
      <w:tr w:rsidR="00A612D1" w:rsidRPr="00B57B36" w14:paraId="0082EDFA" w14:textId="77777777" w:rsidTr="006A06EF">
        <w:tc>
          <w:tcPr>
            <w:tcW w:w="8188" w:type="dxa"/>
            <w:shd w:val="clear" w:color="auto" w:fill="auto"/>
            <w:vAlign w:val="center"/>
          </w:tcPr>
          <w:p w14:paraId="2778D572" w14:textId="77777777" w:rsidR="00A612D1" w:rsidRPr="00D467AE" w:rsidRDefault="00D467AE" w:rsidP="006A06EF">
            <w:pPr>
              <w:pStyle w:val="CETEquation"/>
              <w:rPr>
                <w:lang w:val="pt-BR"/>
              </w:rPr>
            </w:pPr>
            <w:r w:rsidRPr="00F05089">
              <w:rPr>
                <w:lang w:val="pt-BR"/>
              </w:rPr>
              <w:t>C</w:t>
            </w:r>
            <w:r w:rsidRPr="00F05089">
              <w:rPr>
                <w:vertAlign w:val="subscript"/>
                <w:lang w:val="pt-BR"/>
              </w:rPr>
              <w:t>2</w:t>
            </w:r>
            <w:r w:rsidRPr="00F05089">
              <w:rPr>
                <w:lang w:val="pt-BR"/>
              </w:rPr>
              <w:t>H</w:t>
            </w:r>
            <w:r w:rsidRPr="00F05089">
              <w:rPr>
                <w:vertAlign w:val="subscript"/>
                <w:lang w:val="pt-BR"/>
              </w:rPr>
              <w:t>5</w:t>
            </w:r>
            <w:r w:rsidRPr="00F05089">
              <w:rPr>
                <w:lang w:val="pt-BR"/>
              </w:rPr>
              <w:t>OH</w:t>
            </w:r>
            <w:r w:rsidRPr="005A2ADA">
              <w:rPr>
                <w:vertAlign w:val="subscript"/>
                <w:lang w:val="pt-BR"/>
              </w:rPr>
              <w:t>(g)</w:t>
            </w:r>
            <w:r w:rsidRPr="00F05089">
              <w:rPr>
                <w:lang w:val="pt-BR"/>
              </w:rPr>
              <w:t xml:space="preserve"> + H</w:t>
            </w:r>
            <w:r w:rsidRPr="00F05089">
              <w:rPr>
                <w:vertAlign w:val="subscript"/>
                <w:lang w:val="pt-BR"/>
              </w:rPr>
              <w:t>2</w:t>
            </w:r>
            <w:r w:rsidRPr="00F05089">
              <w:rPr>
                <w:lang w:val="pt-BR"/>
              </w:rPr>
              <w:t xml:space="preserve">O </w:t>
            </w:r>
            <w:r w:rsidRPr="00F05089">
              <w:rPr>
                <w:rFonts w:ascii="Cambria Math" w:hAnsi="Cambria Math" w:cs="Cambria Math"/>
                <w:lang w:val="pt-BR"/>
              </w:rPr>
              <w:t>⇌</w:t>
            </w:r>
            <w:r w:rsidRPr="00F05089">
              <w:rPr>
                <w:lang w:val="pt-BR"/>
              </w:rPr>
              <w:t xml:space="preserve"> 2CO</w:t>
            </w:r>
            <w:r w:rsidRPr="005A2ADA">
              <w:rPr>
                <w:vertAlign w:val="subscript"/>
                <w:lang w:val="pt-BR"/>
              </w:rPr>
              <w:t>(g)</w:t>
            </w:r>
            <w:r w:rsidRPr="00F05089">
              <w:rPr>
                <w:lang w:val="pt-BR"/>
              </w:rPr>
              <w:t xml:space="preserve"> + 4H</w:t>
            </w:r>
            <w:r w:rsidRPr="00F05089">
              <w:rPr>
                <w:vertAlign w:val="subscript"/>
                <w:lang w:val="pt-BR"/>
              </w:rPr>
              <w:t>2</w:t>
            </w:r>
            <w:r w:rsidRPr="00F05089">
              <w:rPr>
                <w:lang w:val="pt-BR"/>
              </w:rPr>
              <w:t>(</w:t>
            </w:r>
            <w:r w:rsidRPr="005A2ADA">
              <w:rPr>
                <w:vertAlign w:val="subscript"/>
                <w:lang w:val="pt-BR"/>
              </w:rPr>
              <w:t xml:space="preserve">g)   </w:t>
            </w:r>
            <w:r w:rsidRPr="00F05089">
              <w:rPr>
                <w:rFonts w:ascii="Cambria Math" w:hAnsi="Cambria Math" w:cs="Cambria Math"/>
              </w:rPr>
              <w:t>𝛥𝐻</w:t>
            </w:r>
            <w:r w:rsidRPr="00D467AE">
              <w:rPr>
                <w:lang w:val="pt-BR"/>
              </w:rPr>
              <w:t xml:space="preserve"> = </w:t>
            </w:r>
            <w:r w:rsidR="001414D0">
              <w:rPr>
                <w:lang w:val="pt-BR"/>
              </w:rPr>
              <w:t>174</w:t>
            </w:r>
            <w:r w:rsidRPr="00D467AE">
              <w:rPr>
                <w:lang w:val="pt-BR"/>
              </w:rPr>
              <w:t xml:space="preserve"> kJ/mol</w:t>
            </w:r>
          </w:p>
        </w:tc>
        <w:tc>
          <w:tcPr>
            <w:tcW w:w="815" w:type="dxa"/>
            <w:shd w:val="clear" w:color="auto" w:fill="auto"/>
            <w:vAlign w:val="center"/>
          </w:tcPr>
          <w:p w14:paraId="61A13534" w14:textId="77777777" w:rsidR="00A612D1" w:rsidRPr="00B57B36" w:rsidRDefault="00A612D1" w:rsidP="006A06EF">
            <w:pPr>
              <w:pStyle w:val="CETEquation"/>
              <w:jc w:val="right"/>
            </w:pPr>
            <w:r w:rsidRPr="00B57B36">
              <w:t>(1)</w:t>
            </w:r>
          </w:p>
        </w:tc>
      </w:tr>
    </w:tbl>
    <w:p w14:paraId="39F03A61" w14:textId="77777777" w:rsidR="00B63FE9" w:rsidRDefault="00DA380F" w:rsidP="0046533A">
      <w:pPr>
        <w:pStyle w:val="CETBodytext"/>
      </w:pPr>
      <w:r>
        <w:t>T</w:t>
      </w:r>
      <w:r w:rsidRPr="00DA380F">
        <w:t xml:space="preserve">here are two categories of metals that are utilized for ethanol steam reforming, namely noble metals and non-noble metals. To select more affordable and easily accessible materials, Ni, Cu, and Co-based materials </w:t>
      </w:r>
      <w:r w:rsidRPr="00DA380F">
        <w:lastRenderedPageBreak/>
        <w:t>have been found to exhibit promising yield and conversion outcomes</w:t>
      </w:r>
      <w:r>
        <w:t xml:space="preserve">(Deng et al., 2023). </w:t>
      </w:r>
      <w:r w:rsidR="00B63FE9">
        <w:t>T</w:t>
      </w:r>
      <w:r w:rsidR="00B63FE9" w:rsidRPr="001719FA">
        <w:t xml:space="preserve">he study </w:t>
      </w:r>
      <w:r w:rsidR="00B63FE9">
        <w:t>focused on</w:t>
      </w:r>
      <w:r w:rsidR="00B63FE9" w:rsidRPr="001719FA">
        <w:t xml:space="preserve"> the analysis of nickel-based catalysts which are known for their high yields</w:t>
      </w:r>
      <w:r w:rsidR="00B63FE9">
        <w:t xml:space="preserve">, </w:t>
      </w:r>
      <w:r w:rsidR="00B63FE9" w:rsidRPr="001719FA">
        <w:t>stability,</w:t>
      </w:r>
      <w:r w:rsidR="00B63FE9">
        <w:t xml:space="preserve"> and ability to cleavage the C-C bond in the ethanol molecule</w:t>
      </w:r>
      <w:r w:rsidR="000D6583">
        <w:t xml:space="preserve"> (Rosha</w:t>
      </w:r>
      <w:r w:rsidR="00E76AB0">
        <w:t xml:space="preserve"> et al.</w:t>
      </w:r>
      <w:r w:rsidR="000D6583">
        <w:t>, 2023)</w:t>
      </w:r>
      <w:r w:rsidR="00B63FE9" w:rsidRPr="001719FA">
        <w:t>. However, these catalysts have a drawback as they tend to promote coke formation, which results in a significant reduction in catalytic activity over time. To overcome this issue, bimetallic-based catalysts were explored, as they have an advantage over their single-metal counterparts in terms of activity</w:t>
      </w:r>
      <w:r w:rsidR="00B63FE9">
        <w:t xml:space="preserve"> (</w:t>
      </w:r>
      <w:r w:rsidR="00B63FE9" w:rsidRPr="008B362A">
        <w:t>Bshish,</w:t>
      </w:r>
      <w:r w:rsidR="00B63FE9">
        <w:t xml:space="preserve"> 2010</w:t>
      </w:r>
      <w:r w:rsidR="00BA4674">
        <w:t>, Rosha et al., 2023</w:t>
      </w:r>
      <w:r w:rsidR="001D5A7F">
        <w:t>).</w:t>
      </w:r>
    </w:p>
    <w:p w14:paraId="4FFC7BAC" w14:textId="77777777" w:rsidR="0076360A" w:rsidRDefault="00E76AB0" w:rsidP="0046533A">
      <w:pPr>
        <w:pStyle w:val="CETBodytext"/>
        <w:rPr>
          <w:lang w:val="en-GB"/>
        </w:rPr>
      </w:pPr>
      <w:r w:rsidRPr="00E76AB0">
        <w:rPr>
          <w:lang w:val="en-GB"/>
        </w:rPr>
        <w:t xml:space="preserve">Another important factor to consider is the design of the reactor, which is directly linked to its final application. </w:t>
      </w:r>
      <w:r w:rsidR="0076360A">
        <w:rPr>
          <w:lang w:val="en-GB"/>
        </w:rPr>
        <w:t>M</w:t>
      </w:r>
      <w:r w:rsidR="0076360A" w:rsidRPr="0076360A">
        <w:rPr>
          <w:lang w:val="en-GB"/>
        </w:rPr>
        <w:t>icrostructured reactors with high surface area-to-volume ratios offer</w:t>
      </w:r>
      <w:r w:rsidR="0076360A">
        <w:rPr>
          <w:lang w:val="en-GB"/>
        </w:rPr>
        <w:t xml:space="preserve"> many advantages, including</w:t>
      </w:r>
      <w:r w:rsidR="0076360A" w:rsidRPr="0076360A">
        <w:rPr>
          <w:lang w:val="en-GB"/>
        </w:rPr>
        <w:t xml:space="preserve"> safety and scalability</w:t>
      </w:r>
      <w:r w:rsidR="0076360A">
        <w:rPr>
          <w:lang w:val="en-GB"/>
        </w:rPr>
        <w:t>(</w:t>
      </w:r>
      <w:r w:rsidR="0076360A" w:rsidRPr="00E76AB0">
        <w:rPr>
          <w:lang w:val="en-GB"/>
        </w:rPr>
        <w:t>Verdnik</w:t>
      </w:r>
      <w:r w:rsidR="0076360A">
        <w:rPr>
          <w:lang w:val="en-GB"/>
        </w:rPr>
        <w:t xml:space="preserve"> et al., 2022)</w:t>
      </w:r>
      <w:r w:rsidR="0076360A" w:rsidRPr="0076360A">
        <w:rPr>
          <w:lang w:val="en-GB"/>
        </w:rPr>
        <w:t>, making them advantageous for on-board production, particularly noted for hydrogen production in transportation</w:t>
      </w:r>
      <w:r w:rsidR="0076360A">
        <w:rPr>
          <w:lang w:val="en-GB"/>
        </w:rPr>
        <w:t>.</w:t>
      </w:r>
    </w:p>
    <w:p w14:paraId="24215206" w14:textId="77777777" w:rsidR="0046533A" w:rsidRPr="0046533A" w:rsidRDefault="0046533A" w:rsidP="0046533A">
      <w:pPr>
        <w:pStyle w:val="CETBodytext"/>
        <w:rPr>
          <w:lang w:val="en-GB"/>
        </w:rPr>
      </w:pPr>
      <w:r w:rsidRPr="0046533A">
        <w:rPr>
          <w:lang w:val="en-GB"/>
        </w:rPr>
        <w:t xml:space="preserve">Asthe </w:t>
      </w:r>
      <w:r>
        <w:rPr>
          <w:lang w:val="en-GB"/>
        </w:rPr>
        <w:t>final</w:t>
      </w:r>
      <w:r w:rsidRPr="0046533A">
        <w:rPr>
          <w:lang w:val="en-GB"/>
        </w:rPr>
        <w:t xml:space="preserve"> objective is to have high hydrogen production and yield, with low coke formation</w:t>
      </w:r>
      <w:r w:rsidR="0076360A">
        <w:rPr>
          <w:lang w:val="en-GB"/>
        </w:rPr>
        <w:t xml:space="preserve"> for mobility applications</w:t>
      </w:r>
      <w:r w:rsidRPr="0046533A">
        <w:rPr>
          <w:lang w:val="en-GB"/>
        </w:rPr>
        <w:t>, catalysts</w:t>
      </w:r>
      <w:r>
        <w:rPr>
          <w:lang w:val="en-GB"/>
        </w:rPr>
        <w:t xml:space="preserve"> composition</w:t>
      </w:r>
      <w:r w:rsidRPr="0046533A">
        <w:rPr>
          <w:lang w:val="en-GB"/>
        </w:rPr>
        <w:t xml:space="preserve"> and operating conditions that promote the reactions of ethanol dehydration and acetaldehyde decomposition, which lead to the formation of ethylene and methane respectively, and consequently coke formation, should be avoided</w:t>
      </w:r>
      <w:r w:rsidR="00D467AE">
        <w:rPr>
          <w:lang w:val="en-GB"/>
        </w:rPr>
        <w:t xml:space="preserve"> (Liu et al., 2019)</w:t>
      </w:r>
      <w:r w:rsidRPr="0046533A">
        <w:rPr>
          <w:lang w:val="en-GB"/>
        </w:rPr>
        <w:t xml:space="preserve">. </w:t>
      </w:r>
      <w:r>
        <w:rPr>
          <w:lang w:val="en-GB"/>
        </w:rPr>
        <w:t>Therefore</w:t>
      </w:r>
      <w:r w:rsidRPr="0046533A">
        <w:rPr>
          <w:lang w:val="en-GB"/>
        </w:rPr>
        <w:t xml:space="preserve">, this study helps to understand the influence of the factors reaction temperature and catalytic composition on the results of yield, </w:t>
      </w:r>
      <w:r w:rsidR="00D467AE" w:rsidRPr="0046533A">
        <w:rPr>
          <w:lang w:val="en-GB"/>
        </w:rPr>
        <w:t>selectivity,</w:t>
      </w:r>
      <w:r w:rsidRPr="0046533A">
        <w:rPr>
          <w:lang w:val="en-GB"/>
        </w:rPr>
        <w:t xml:space="preserve"> and hydrogen productivity, as well as ethanol conversion</w:t>
      </w:r>
      <w:r w:rsidR="00E76AB0">
        <w:rPr>
          <w:lang w:val="en-GB"/>
        </w:rPr>
        <w:t>,</w:t>
      </w:r>
      <w:r w:rsidRPr="0046533A">
        <w:rPr>
          <w:lang w:val="en-GB"/>
        </w:rPr>
        <w:t xml:space="preserve"> unifying the desirability of all these dependent variables in a desirability function to select the best conditions for carrying out ethanol steam reforming</w:t>
      </w:r>
      <w:r w:rsidR="00E76AB0">
        <w:rPr>
          <w:lang w:val="en-GB"/>
        </w:rPr>
        <w:t xml:space="preserve"> in a microchannel reactor</w:t>
      </w:r>
      <w:r w:rsidRPr="0046533A">
        <w:rPr>
          <w:lang w:val="en-GB"/>
        </w:rPr>
        <w:t>.</w:t>
      </w:r>
    </w:p>
    <w:p w14:paraId="2D54702B" w14:textId="77777777" w:rsidR="00453E24" w:rsidRDefault="0034345C" w:rsidP="00453E24">
      <w:pPr>
        <w:pStyle w:val="CETHeading1"/>
      </w:pPr>
      <w:r>
        <w:t>Methodology</w:t>
      </w:r>
    </w:p>
    <w:p w14:paraId="1B60001C" w14:textId="77777777" w:rsidR="0034345C" w:rsidRDefault="0034345C" w:rsidP="0034345C">
      <w:pPr>
        <w:pStyle w:val="CETBodytext"/>
      </w:pPr>
      <w:r>
        <w:t>M</w:t>
      </w:r>
      <w:r w:rsidRPr="0034345C">
        <w:t xml:space="preserve">icrochannel reactors were produced by </w:t>
      </w:r>
      <w:r>
        <w:t xml:space="preserve">direct </w:t>
      </w:r>
      <w:r w:rsidRPr="0034345C">
        <w:t>laser</w:t>
      </w:r>
      <w:r>
        <w:t xml:space="preserve"> metal</w:t>
      </w:r>
      <w:r w:rsidRPr="0034345C">
        <w:t xml:space="preserve"> sintering (DLMS) 316L stainless steel and deposited with oxide catalytic support, as well as wet impregnation of the active phase following the methodology proposed by Bineli (2013). The compositions evaluated included three different catalytic support compositions (CeO</w:t>
      </w:r>
      <w:r w:rsidRPr="0034345C">
        <w:rPr>
          <w:vertAlign w:val="subscript"/>
        </w:rPr>
        <w:t>2</w:t>
      </w:r>
      <w:r w:rsidRPr="0034345C">
        <w:t>, Al</w:t>
      </w:r>
      <w:r w:rsidRPr="0034345C">
        <w:rPr>
          <w:vertAlign w:val="subscript"/>
        </w:rPr>
        <w:t>2</w:t>
      </w:r>
      <w:r w:rsidRPr="0034345C">
        <w:t>O</w:t>
      </w:r>
      <w:r w:rsidRPr="0034345C">
        <w:rPr>
          <w:vertAlign w:val="subscript"/>
        </w:rPr>
        <w:t>3</w:t>
      </w:r>
      <w:r w:rsidRPr="0034345C">
        <w:t>, CeO</w:t>
      </w:r>
      <w:r w:rsidRPr="0034345C">
        <w:rPr>
          <w:vertAlign w:val="subscript"/>
        </w:rPr>
        <w:t>2</w:t>
      </w:r>
      <w:r w:rsidRPr="0034345C">
        <w:t>/ZrO</w:t>
      </w:r>
      <w:r w:rsidRPr="0034345C">
        <w:rPr>
          <w:vertAlign w:val="subscript"/>
        </w:rPr>
        <w:t>2</w:t>
      </w:r>
      <w:r w:rsidRPr="0034345C">
        <w:t>) and three different active phase compositions (Ni, Ni-Cu, Ni-Co), in an attempt to evaluate the influence of bimetallic catalysts, while the reaction temperature was also evaluated at three different levels (600, 650 and 700°C)</w:t>
      </w:r>
      <w:r w:rsidR="00E00C79">
        <w:t xml:space="preserve">. </w:t>
      </w:r>
      <w:r w:rsidR="00E00C79">
        <w:rPr>
          <w:rFonts w:cs="Arial"/>
          <w:color w:val="1C1C1C"/>
          <w:shd w:val="clear" w:color="auto" w:fill="FFFFFF"/>
        </w:rPr>
        <w:t>The study comprised a</w:t>
      </w:r>
      <w:r w:rsidR="00E00C79" w:rsidRPr="00E00C79">
        <w:t xml:space="preserve">factorial design experiment </w:t>
      </w:r>
      <w:r w:rsidR="00E00C79">
        <w:t xml:space="preserve">of </w:t>
      </w:r>
      <w:r w:rsidR="00E00C79" w:rsidRPr="00E00C79">
        <w:t xml:space="preserve">three distinct factors, among which two were qualitative variables (support material and active phase metal), and one was a quantitative variable (reaction temperature). </w:t>
      </w:r>
      <w:r w:rsidR="00E00C79">
        <w:t>It</w:t>
      </w:r>
      <w:r w:rsidR="00E00C79" w:rsidRPr="00E00C79">
        <w:t xml:space="preserve"> focused on the 2x2 case studies, systematically examining all possible combinations of the two qualitative variables, as outlined in Table 1.</w:t>
      </w:r>
      <w:r w:rsidRPr="0034345C">
        <w:t xml:space="preserve">The products formed in the reactions were analyzed by gas chromatography using Agilent 7890A equipment equipped with </w:t>
      </w:r>
      <w:r>
        <w:t>Flame Ionization Detector (</w:t>
      </w:r>
      <w:r w:rsidRPr="0034345C">
        <w:t>FID</w:t>
      </w:r>
      <w:r>
        <w:t>)</w:t>
      </w:r>
      <w:r w:rsidRPr="0034345C">
        <w:t xml:space="preserve"> and </w:t>
      </w:r>
      <w:r>
        <w:t>Thermal Conductivity Detector (</w:t>
      </w:r>
      <w:r w:rsidRPr="0034345C">
        <w:t>TCD</w:t>
      </w:r>
      <w:r>
        <w:t>)</w:t>
      </w:r>
      <w:r w:rsidRPr="0034345C">
        <w:t xml:space="preserve"> to determine the components formed</w:t>
      </w:r>
      <w:r>
        <w:t>.</w:t>
      </w:r>
    </w:p>
    <w:p w14:paraId="4CF0E785" w14:textId="77777777" w:rsidR="00B477CA" w:rsidRPr="00B57B36" w:rsidRDefault="00B477CA" w:rsidP="00B477CA">
      <w:pPr>
        <w:pStyle w:val="CETTabletitle"/>
      </w:pPr>
      <w:r w:rsidRPr="00B57B36">
        <w:t xml:space="preserve">Table 1: </w:t>
      </w:r>
      <w:r>
        <w:t xml:space="preserve">Factorial Design of Experiments evaluating the influence of temperature, </w:t>
      </w:r>
      <w:r w:rsidR="00AC192A">
        <w:t>support,</w:t>
      </w:r>
      <w:r>
        <w:t xml:space="preserve"> and active phase composition</w:t>
      </w:r>
      <w:r w:rsidR="00AC192A">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96"/>
        <w:gridCol w:w="2197"/>
        <w:gridCol w:w="2197"/>
        <w:gridCol w:w="2197"/>
      </w:tblGrid>
      <w:tr w:rsidR="00B477CA" w:rsidRPr="00B57B36" w14:paraId="4FD9E04A" w14:textId="77777777" w:rsidTr="00B477CA">
        <w:tc>
          <w:tcPr>
            <w:tcW w:w="1250" w:type="pct"/>
            <w:tcBorders>
              <w:top w:val="single" w:sz="12" w:space="0" w:color="008000"/>
              <w:bottom w:val="single" w:sz="6" w:space="0" w:color="008000"/>
            </w:tcBorders>
            <w:shd w:val="clear" w:color="auto" w:fill="FFFFFF"/>
          </w:tcPr>
          <w:p w14:paraId="50EEBFBE" w14:textId="77777777" w:rsidR="00B477CA" w:rsidRPr="00B57B36" w:rsidRDefault="005A2ADA" w:rsidP="00B477CA">
            <w:pPr>
              <w:pStyle w:val="CETBodytext"/>
              <w:rPr>
                <w:lang w:val="en-GB"/>
              </w:rPr>
            </w:pPr>
            <w:r>
              <w:rPr>
                <w:lang w:val="en-GB"/>
              </w:rPr>
              <w:t>Fators</w:t>
            </w:r>
          </w:p>
        </w:tc>
        <w:tc>
          <w:tcPr>
            <w:tcW w:w="1250" w:type="pct"/>
            <w:tcBorders>
              <w:top w:val="single" w:sz="12" w:space="0" w:color="008000"/>
              <w:bottom w:val="single" w:sz="6" w:space="0" w:color="008000"/>
            </w:tcBorders>
            <w:shd w:val="clear" w:color="auto" w:fill="FFFFFF"/>
            <w:vAlign w:val="center"/>
          </w:tcPr>
          <w:p w14:paraId="723EC179" w14:textId="77777777" w:rsidR="00B477CA" w:rsidRPr="00B57B36" w:rsidRDefault="00B477CA" w:rsidP="00B477CA">
            <w:pPr>
              <w:pStyle w:val="CETBodytext"/>
              <w:jc w:val="center"/>
              <w:rPr>
                <w:lang w:val="en-GB"/>
              </w:rPr>
            </w:pPr>
            <w:r>
              <w:rPr>
                <w:lang w:val="en-GB"/>
              </w:rPr>
              <w:t>Temperature (1)</w:t>
            </w:r>
            <w:r w:rsidR="00C73F67">
              <w:rPr>
                <w:lang w:val="en-GB"/>
              </w:rPr>
              <w:t xml:space="preserve"> (°C)</w:t>
            </w:r>
          </w:p>
        </w:tc>
        <w:tc>
          <w:tcPr>
            <w:tcW w:w="1250" w:type="pct"/>
            <w:tcBorders>
              <w:top w:val="single" w:sz="12" w:space="0" w:color="008000"/>
              <w:bottom w:val="single" w:sz="6" w:space="0" w:color="008000"/>
            </w:tcBorders>
            <w:shd w:val="clear" w:color="auto" w:fill="FFFFFF"/>
            <w:vAlign w:val="center"/>
          </w:tcPr>
          <w:p w14:paraId="6C913CE9" w14:textId="77777777" w:rsidR="00B477CA" w:rsidRPr="00B57B36" w:rsidRDefault="00B477CA" w:rsidP="00B477CA">
            <w:pPr>
              <w:pStyle w:val="CETBodytext"/>
              <w:jc w:val="center"/>
              <w:rPr>
                <w:lang w:val="en-GB"/>
              </w:rPr>
            </w:pPr>
            <w:r>
              <w:rPr>
                <w:lang w:val="en-GB"/>
              </w:rPr>
              <w:t>Support (2)</w:t>
            </w:r>
          </w:p>
        </w:tc>
        <w:tc>
          <w:tcPr>
            <w:tcW w:w="1250" w:type="pct"/>
            <w:tcBorders>
              <w:top w:val="single" w:sz="12" w:space="0" w:color="008000"/>
              <w:bottom w:val="single" w:sz="6" w:space="0" w:color="008000"/>
            </w:tcBorders>
            <w:shd w:val="clear" w:color="auto" w:fill="FFFFFF"/>
            <w:vAlign w:val="center"/>
          </w:tcPr>
          <w:p w14:paraId="1ADA9D86" w14:textId="77777777" w:rsidR="00B477CA" w:rsidRPr="00B57B36" w:rsidRDefault="00B477CA" w:rsidP="00B477CA">
            <w:pPr>
              <w:pStyle w:val="CETBodytext"/>
              <w:ind w:right="-1"/>
              <w:jc w:val="center"/>
              <w:rPr>
                <w:rFonts w:cs="Arial"/>
                <w:szCs w:val="18"/>
                <w:lang w:val="en-GB"/>
              </w:rPr>
            </w:pPr>
            <w:r>
              <w:rPr>
                <w:lang w:val="en-GB"/>
              </w:rPr>
              <w:t>Active Phase (3)</w:t>
            </w:r>
          </w:p>
        </w:tc>
      </w:tr>
      <w:tr w:rsidR="00B477CA" w:rsidRPr="00B57B36" w14:paraId="1FC32C2E" w14:textId="77777777" w:rsidTr="00B477CA">
        <w:tc>
          <w:tcPr>
            <w:tcW w:w="1250" w:type="pct"/>
            <w:shd w:val="clear" w:color="auto" w:fill="FFFFFF"/>
          </w:tcPr>
          <w:p w14:paraId="747E6314" w14:textId="77777777" w:rsidR="00B477CA" w:rsidRPr="00B57B36" w:rsidRDefault="00B477CA" w:rsidP="00B477CA">
            <w:pPr>
              <w:pStyle w:val="CETBodytext"/>
              <w:rPr>
                <w:lang w:val="en-GB"/>
              </w:rPr>
            </w:pPr>
            <w:r>
              <w:rPr>
                <w:lang w:val="en-GB"/>
              </w:rPr>
              <w:t>Case 1</w:t>
            </w:r>
          </w:p>
        </w:tc>
        <w:tc>
          <w:tcPr>
            <w:tcW w:w="1250" w:type="pct"/>
            <w:shd w:val="clear" w:color="auto" w:fill="FFFFFF"/>
            <w:vAlign w:val="center"/>
          </w:tcPr>
          <w:p w14:paraId="2FABDB32" w14:textId="77777777" w:rsidR="00B477CA" w:rsidRPr="00B57B36" w:rsidRDefault="00B477CA" w:rsidP="00B477CA">
            <w:pPr>
              <w:pStyle w:val="CETBodytext"/>
              <w:jc w:val="center"/>
              <w:rPr>
                <w:lang w:val="en-GB"/>
              </w:rPr>
            </w:pPr>
            <w:r>
              <w:rPr>
                <w:lang w:val="en-GB"/>
              </w:rPr>
              <w:t>600-700</w:t>
            </w:r>
          </w:p>
        </w:tc>
        <w:tc>
          <w:tcPr>
            <w:tcW w:w="1250" w:type="pct"/>
            <w:shd w:val="clear" w:color="auto" w:fill="FFFFFF"/>
            <w:vAlign w:val="center"/>
          </w:tcPr>
          <w:p w14:paraId="6F04DA6A" w14:textId="77777777" w:rsidR="00B477CA" w:rsidRPr="00B57B36" w:rsidRDefault="00B477CA" w:rsidP="00B477CA">
            <w:pPr>
              <w:pStyle w:val="CETBodytext"/>
              <w:jc w:val="center"/>
              <w:rPr>
                <w:lang w:val="en-GB"/>
              </w:rPr>
            </w:pPr>
            <w:r>
              <w:rPr>
                <w:lang w:val="en-GB"/>
              </w:rPr>
              <w:t>CeO</w:t>
            </w:r>
            <w:r w:rsidRPr="00B477CA">
              <w:rPr>
                <w:vertAlign w:val="subscript"/>
                <w:lang w:val="en-GB"/>
              </w:rPr>
              <w:t>2</w:t>
            </w:r>
            <w:r>
              <w:rPr>
                <w:lang w:val="en-GB"/>
              </w:rPr>
              <w:t xml:space="preserve"> – CeO</w:t>
            </w:r>
            <w:r w:rsidRPr="00B477CA">
              <w:rPr>
                <w:vertAlign w:val="subscript"/>
                <w:lang w:val="en-GB"/>
              </w:rPr>
              <w:t>2</w:t>
            </w:r>
            <w:r>
              <w:rPr>
                <w:lang w:val="en-GB"/>
              </w:rPr>
              <w:t>/ZrO</w:t>
            </w:r>
            <w:r w:rsidRPr="00B477CA">
              <w:rPr>
                <w:vertAlign w:val="subscript"/>
                <w:lang w:val="en-GB"/>
              </w:rPr>
              <w:t>2</w:t>
            </w:r>
          </w:p>
        </w:tc>
        <w:tc>
          <w:tcPr>
            <w:tcW w:w="1250" w:type="pct"/>
            <w:shd w:val="clear" w:color="auto" w:fill="FFFFFF"/>
            <w:vAlign w:val="center"/>
          </w:tcPr>
          <w:p w14:paraId="283BF8C3" w14:textId="77777777" w:rsidR="00B477CA" w:rsidRPr="00B57B36" w:rsidRDefault="00B477CA" w:rsidP="00B477CA">
            <w:pPr>
              <w:pStyle w:val="CETBodytext"/>
              <w:ind w:right="-1"/>
              <w:jc w:val="center"/>
              <w:rPr>
                <w:rFonts w:cs="Arial"/>
                <w:szCs w:val="18"/>
                <w:lang w:val="en-GB"/>
              </w:rPr>
            </w:pPr>
            <w:r>
              <w:rPr>
                <w:rFonts w:cs="Arial"/>
                <w:szCs w:val="18"/>
                <w:lang w:val="en-GB"/>
              </w:rPr>
              <w:t>Ni – Ni/Cu</w:t>
            </w:r>
          </w:p>
        </w:tc>
      </w:tr>
      <w:tr w:rsidR="00B477CA" w:rsidRPr="00B57B36" w14:paraId="70A37A37" w14:textId="77777777" w:rsidTr="00BA7852">
        <w:tc>
          <w:tcPr>
            <w:tcW w:w="1250" w:type="pct"/>
            <w:shd w:val="clear" w:color="auto" w:fill="FFFFFF"/>
          </w:tcPr>
          <w:p w14:paraId="1D82A44C" w14:textId="77777777" w:rsidR="00B477CA" w:rsidRPr="00B57B36" w:rsidRDefault="00B477CA" w:rsidP="00B477CA">
            <w:pPr>
              <w:pStyle w:val="CETBodytext"/>
              <w:ind w:right="-1"/>
              <w:rPr>
                <w:rFonts w:cs="Arial"/>
                <w:szCs w:val="18"/>
                <w:lang w:val="en-GB"/>
              </w:rPr>
            </w:pPr>
            <w:r w:rsidRPr="003E2231">
              <w:rPr>
                <w:lang w:val="en-GB"/>
              </w:rPr>
              <w:t xml:space="preserve">Case </w:t>
            </w:r>
            <w:r>
              <w:rPr>
                <w:lang w:val="en-GB"/>
              </w:rPr>
              <w:t>2</w:t>
            </w:r>
          </w:p>
        </w:tc>
        <w:tc>
          <w:tcPr>
            <w:tcW w:w="1250" w:type="pct"/>
            <w:shd w:val="clear" w:color="auto" w:fill="FFFFFF"/>
          </w:tcPr>
          <w:p w14:paraId="37E5CB4E" w14:textId="77777777" w:rsidR="00B477CA" w:rsidRPr="00B57B36" w:rsidRDefault="00B477CA" w:rsidP="00B477CA">
            <w:pPr>
              <w:pStyle w:val="CETBodytext"/>
              <w:ind w:right="-1"/>
              <w:jc w:val="center"/>
              <w:rPr>
                <w:rFonts w:cs="Arial"/>
                <w:szCs w:val="18"/>
                <w:lang w:val="en-GB"/>
              </w:rPr>
            </w:pPr>
            <w:r w:rsidRPr="00CC2497">
              <w:rPr>
                <w:lang w:val="en-GB"/>
              </w:rPr>
              <w:t>600-700</w:t>
            </w:r>
          </w:p>
        </w:tc>
        <w:tc>
          <w:tcPr>
            <w:tcW w:w="1250" w:type="pct"/>
            <w:shd w:val="clear" w:color="auto" w:fill="FFFFFF"/>
            <w:vAlign w:val="center"/>
          </w:tcPr>
          <w:p w14:paraId="05B5450F" w14:textId="77777777" w:rsidR="00B477CA" w:rsidRPr="00B57B36" w:rsidRDefault="00B477CA" w:rsidP="00B477CA">
            <w:pPr>
              <w:pStyle w:val="CETBodytext"/>
              <w:ind w:right="-1"/>
              <w:jc w:val="center"/>
              <w:rPr>
                <w:rFonts w:cs="Arial"/>
                <w:szCs w:val="18"/>
                <w:lang w:val="en-GB"/>
              </w:rPr>
            </w:pPr>
            <w:r>
              <w:rPr>
                <w:lang w:val="en-GB"/>
              </w:rPr>
              <w:t>CeO</w:t>
            </w:r>
            <w:r w:rsidRPr="00B477CA">
              <w:rPr>
                <w:vertAlign w:val="subscript"/>
                <w:lang w:val="en-GB"/>
              </w:rPr>
              <w:t>2</w:t>
            </w:r>
            <w:r>
              <w:rPr>
                <w:lang w:val="en-GB"/>
              </w:rPr>
              <w:t xml:space="preserve"> – CeO</w:t>
            </w:r>
            <w:r w:rsidRPr="00B477CA">
              <w:rPr>
                <w:vertAlign w:val="subscript"/>
                <w:lang w:val="en-GB"/>
              </w:rPr>
              <w:t>2</w:t>
            </w:r>
            <w:r>
              <w:rPr>
                <w:lang w:val="en-GB"/>
              </w:rPr>
              <w:t>/ZrO</w:t>
            </w:r>
            <w:r w:rsidRPr="00B477CA">
              <w:rPr>
                <w:vertAlign w:val="subscript"/>
                <w:lang w:val="en-GB"/>
              </w:rPr>
              <w:t>2</w:t>
            </w:r>
          </w:p>
        </w:tc>
        <w:tc>
          <w:tcPr>
            <w:tcW w:w="1250" w:type="pct"/>
            <w:shd w:val="clear" w:color="auto" w:fill="FFFFFF"/>
            <w:vAlign w:val="center"/>
          </w:tcPr>
          <w:p w14:paraId="1626FC23" w14:textId="77777777" w:rsidR="00B477CA" w:rsidRPr="00B57B36" w:rsidRDefault="00B477CA" w:rsidP="00B477CA">
            <w:pPr>
              <w:pStyle w:val="CETBodytext"/>
              <w:ind w:right="-1"/>
              <w:jc w:val="center"/>
              <w:rPr>
                <w:rFonts w:cs="Arial"/>
                <w:szCs w:val="18"/>
                <w:lang w:val="en-GB"/>
              </w:rPr>
            </w:pPr>
            <w:r>
              <w:rPr>
                <w:rFonts w:cs="Arial"/>
                <w:szCs w:val="18"/>
                <w:lang w:val="en-GB"/>
              </w:rPr>
              <w:t xml:space="preserve">Ni – Ni/Co </w:t>
            </w:r>
          </w:p>
        </w:tc>
      </w:tr>
      <w:tr w:rsidR="00B477CA" w:rsidRPr="00B57B36" w14:paraId="71D23A87" w14:textId="77777777" w:rsidTr="00BA7852">
        <w:tc>
          <w:tcPr>
            <w:tcW w:w="1250" w:type="pct"/>
            <w:shd w:val="clear" w:color="auto" w:fill="FFFFFF"/>
          </w:tcPr>
          <w:p w14:paraId="4A949654" w14:textId="77777777" w:rsidR="00B477CA" w:rsidRPr="00B57B36" w:rsidRDefault="00B477CA" w:rsidP="00B477CA">
            <w:pPr>
              <w:pStyle w:val="CETBodytext"/>
              <w:ind w:right="-1"/>
              <w:rPr>
                <w:rFonts w:cs="Arial"/>
                <w:szCs w:val="18"/>
                <w:lang w:val="en-GB"/>
              </w:rPr>
            </w:pPr>
            <w:r w:rsidRPr="003E2231">
              <w:rPr>
                <w:lang w:val="en-GB"/>
              </w:rPr>
              <w:t xml:space="preserve">Case </w:t>
            </w:r>
            <w:r>
              <w:rPr>
                <w:lang w:val="en-GB"/>
              </w:rPr>
              <w:t>3</w:t>
            </w:r>
          </w:p>
        </w:tc>
        <w:tc>
          <w:tcPr>
            <w:tcW w:w="1250" w:type="pct"/>
            <w:shd w:val="clear" w:color="auto" w:fill="FFFFFF"/>
          </w:tcPr>
          <w:p w14:paraId="4157E237" w14:textId="77777777" w:rsidR="00B477CA" w:rsidRPr="00B57B36" w:rsidRDefault="00B477CA" w:rsidP="00B477CA">
            <w:pPr>
              <w:pStyle w:val="CETBodytext"/>
              <w:ind w:right="-1"/>
              <w:jc w:val="center"/>
              <w:rPr>
                <w:rFonts w:cs="Arial"/>
                <w:szCs w:val="18"/>
                <w:lang w:val="en-GB"/>
              </w:rPr>
            </w:pPr>
            <w:r w:rsidRPr="00CC2497">
              <w:rPr>
                <w:lang w:val="en-GB"/>
              </w:rPr>
              <w:t>600-700</w:t>
            </w:r>
          </w:p>
        </w:tc>
        <w:tc>
          <w:tcPr>
            <w:tcW w:w="1250" w:type="pct"/>
            <w:shd w:val="clear" w:color="auto" w:fill="FFFFFF"/>
            <w:vAlign w:val="center"/>
          </w:tcPr>
          <w:p w14:paraId="638E3FAE" w14:textId="77777777" w:rsidR="00B477CA" w:rsidRPr="00B57B36" w:rsidRDefault="00B477CA" w:rsidP="00B477CA">
            <w:pPr>
              <w:pStyle w:val="CETBodytext"/>
              <w:ind w:right="-1"/>
              <w:jc w:val="center"/>
              <w:rPr>
                <w:rFonts w:cs="Arial"/>
                <w:szCs w:val="18"/>
                <w:lang w:val="en-GB"/>
              </w:rPr>
            </w:pPr>
            <w:r>
              <w:rPr>
                <w:lang w:val="en-GB"/>
              </w:rPr>
              <w:t>CeO</w:t>
            </w:r>
            <w:r w:rsidRPr="00B477CA">
              <w:rPr>
                <w:vertAlign w:val="subscript"/>
                <w:lang w:val="en-GB"/>
              </w:rPr>
              <w:t>2</w:t>
            </w:r>
            <w:r>
              <w:rPr>
                <w:lang w:val="en-GB"/>
              </w:rPr>
              <w:t xml:space="preserve"> – Al</w:t>
            </w:r>
            <w:r w:rsidRPr="00B477CA">
              <w:rPr>
                <w:vertAlign w:val="subscript"/>
                <w:lang w:val="en-GB"/>
              </w:rPr>
              <w:t>2</w:t>
            </w:r>
            <w:r>
              <w:rPr>
                <w:lang w:val="en-GB"/>
              </w:rPr>
              <w:t>O</w:t>
            </w:r>
            <w:r w:rsidRPr="00B477CA">
              <w:rPr>
                <w:vertAlign w:val="subscript"/>
                <w:lang w:val="en-GB"/>
              </w:rPr>
              <w:t>3</w:t>
            </w:r>
          </w:p>
        </w:tc>
        <w:tc>
          <w:tcPr>
            <w:tcW w:w="1250" w:type="pct"/>
            <w:shd w:val="clear" w:color="auto" w:fill="FFFFFF"/>
            <w:vAlign w:val="center"/>
          </w:tcPr>
          <w:p w14:paraId="632DDF09" w14:textId="77777777" w:rsidR="00B477CA" w:rsidRPr="00B57B36" w:rsidRDefault="00B477CA" w:rsidP="00B477CA">
            <w:pPr>
              <w:pStyle w:val="CETBodytext"/>
              <w:ind w:right="-1"/>
              <w:jc w:val="center"/>
              <w:rPr>
                <w:rFonts w:cs="Arial"/>
                <w:szCs w:val="18"/>
                <w:lang w:val="en-GB"/>
              </w:rPr>
            </w:pPr>
            <w:r>
              <w:rPr>
                <w:rFonts w:cs="Arial"/>
                <w:szCs w:val="18"/>
                <w:lang w:val="en-GB"/>
              </w:rPr>
              <w:t>Ni – Ni/Cu</w:t>
            </w:r>
          </w:p>
        </w:tc>
      </w:tr>
      <w:tr w:rsidR="00B477CA" w:rsidRPr="00B57B36" w14:paraId="329A58AF" w14:textId="77777777" w:rsidTr="00BA7852">
        <w:tc>
          <w:tcPr>
            <w:tcW w:w="1250" w:type="pct"/>
            <w:shd w:val="clear" w:color="auto" w:fill="FFFFFF"/>
          </w:tcPr>
          <w:p w14:paraId="291C3A37" w14:textId="77777777" w:rsidR="00B477CA" w:rsidRPr="00B57B36" w:rsidRDefault="00B477CA" w:rsidP="00B477CA">
            <w:pPr>
              <w:pStyle w:val="CETBodytext"/>
              <w:ind w:right="-1"/>
              <w:rPr>
                <w:rFonts w:cs="Arial"/>
                <w:szCs w:val="18"/>
                <w:lang w:val="en-GB"/>
              </w:rPr>
            </w:pPr>
            <w:r w:rsidRPr="003E2231">
              <w:rPr>
                <w:lang w:val="en-GB"/>
              </w:rPr>
              <w:t xml:space="preserve">Case </w:t>
            </w:r>
            <w:r>
              <w:rPr>
                <w:lang w:val="en-GB"/>
              </w:rPr>
              <w:t>4</w:t>
            </w:r>
          </w:p>
        </w:tc>
        <w:tc>
          <w:tcPr>
            <w:tcW w:w="1250" w:type="pct"/>
            <w:shd w:val="clear" w:color="auto" w:fill="FFFFFF"/>
          </w:tcPr>
          <w:p w14:paraId="3AF21C7C" w14:textId="77777777" w:rsidR="00B477CA" w:rsidRPr="00B57B36" w:rsidRDefault="00B477CA" w:rsidP="00B477CA">
            <w:pPr>
              <w:pStyle w:val="CETBodytext"/>
              <w:ind w:right="-1"/>
              <w:jc w:val="center"/>
              <w:rPr>
                <w:rFonts w:cs="Arial"/>
                <w:szCs w:val="18"/>
                <w:lang w:val="en-GB"/>
              </w:rPr>
            </w:pPr>
            <w:r w:rsidRPr="00CC2497">
              <w:rPr>
                <w:lang w:val="en-GB"/>
              </w:rPr>
              <w:t>600-700</w:t>
            </w:r>
          </w:p>
        </w:tc>
        <w:tc>
          <w:tcPr>
            <w:tcW w:w="1250" w:type="pct"/>
            <w:shd w:val="clear" w:color="auto" w:fill="FFFFFF"/>
            <w:vAlign w:val="center"/>
          </w:tcPr>
          <w:p w14:paraId="753B85FA" w14:textId="77777777" w:rsidR="00B477CA" w:rsidRPr="00B57B36" w:rsidRDefault="00B477CA" w:rsidP="00B477CA">
            <w:pPr>
              <w:pStyle w:val="CETBodytext"/>
              <w:ind w:right="-1"/>
              <w:jc w:val="center"/>
              <w:rPr>
                <w:rFonts w:cs="Arial"/>
                <w:szCs w:val="18"/>
                <w:lang w:val="en-GB"/>
              </w:rPr>
            </w:pPr>
            <w:r>
              <w:rPr>
                <w:lang w:val="en-GB"/>
              </w:rPr>
              <w:t>CeO</w:t>
            </w:r>
            <w:r w:rsidRPr="00B477CA">
              <w:rPr>
                <w:vertAlign w:val="subscript"/>
                <w:lang w:val="en-GB"/>
              </w:rPr>
              <w:t>2</w:t>
            </w:r>
            <w:r>
              <w:rPr>
                <w:lang w:val="en-GB"/>
              </w:rPr>
              <w:t xml:space="preserve"> – Al</w:t>
            </w:r>
            <w:r w:rsidRPr="00B477CA">
              <w:rPr>
                <w:vertAlign w:val="subscript"/>
                <w:lang w:val="en-GB"/>
              </w:rPr>
              <w:t>2</w:t>
            </w:r>
            <w:r>
              <w:rPr>
                <w:lang w:val="en-GB"/>
              </w:rPr>
              <w:t>O</w:t>
            </w:r>
            <w:r w:rsidRPr="00B477CA">
              <w:rPr>
                <w:vertAlign w:val="subscript"/>
                <w:lang w:val="en-GB"/>
              </w:rPr>
              <w:t>3</w:t>
            </w:r>
          </w:p>
        </w:tc>
        <w:tc>
          <w:tcPr>
            <w:tcW w:w="1250" w:type="pct"/>
            <w:shd w:val="clear" w:color="auto" w:fill="FFFFFF"/>
            <w:vAlign w:val="center"/>
          </w:tcPr>
          <w:p w14:paraId="078FCC39" w14:textId="77777777" w:rsidR="00B477CA" w:rsidRPr="00B57B36" w:rsidRDefault="00B477CA" w:rsidP="00B477CA">
            <w:pPr>
              <w:pStyle w:val="CETBodytext"/>
              <w:ind w:right="-1"/>
              <w:jc w:val="center"/>
              <w:rPr>
                <w:rFonts w:cs="Arial"/>
                <w:szCs w:val="18"/>
                <w:lang w:val="en-GB"/>
              </w:rPr>
            </w:pPr>
            <w:r>
              <w:rPr>
                <w:rFonts w:cs="Arial"/>
                <w:szCs w:val="18"/>
                <w:lang w:val="en-GB"/>
              </w:rPr>
              <w:t xml:space="preserve">Ni – Ni/Co </w:t>
            </w:r>
          </w:p>
        </w:tc>
      </w:tr>
      <w:tr w:rsidR="00B477CA" w:rsidRPr="00B57B36" w14:paraId="2370BC64" w14:textId="77777777" w:rsidTr="00BA7852">
        <w:tc>
          <w:tcPr>
            <w:tcW w:w="1250" w:type="pct"/>
            <w:shd w:val="clear" w:color="auto" w:fill="FFFFFF"/>
          </w:tcPr>
          <w:p w14:paraId="66491155" w14:textId="77777777" w:rsidR="00B477CA" w:rsidRPr="00B57B36" w:rsidRDefault="00B477CA" w:rsidP="00B477CA">
            <w:pPr>
              <w:pStyle w:val="CETBodytext"/>
              <w:ind w:right="-1"/>
              <w:rPr>
                <w:rFonts w:cs="Arial"/>
                <w:szCs w:val="18"/>
                <w:lang w:val="en-GB"/>
              </w:rPr>
            </w:pPr>
            <w:r w:rsidRPr="003E2231">
              <w:rPr>
                <w:lang w:val="en-GB"/>
              </w:rPr>
              <w:t xml:space="preserve">Case </w:t>
            </w:r>
            <w:r>
              <w:rPr>
                <w:lang w:val="en-GB"/>
              </w:rPr>
              <w:t>5</w:t>
            </w:r>
          </w:p>
        </w:tc>
        <w:tc>
          <w:tcPr>
            <w:tcW w:w="1250" w:type="pct"/>
            <w:shd w:val="clear" w:color="auto" w:fill="FFFFFF"/>
          </w:tcPr>
          <w:p w14:paraId="1C2AC8F7" w14:textId="77777777" w:rsidR="00B477CA" w:rsidRPr="00B57B36" w:rsidRDefault="00B477CA" w:rsidP="00B477CA">
            <w:pPr>
              <w:pStyle w:val="CETBodytext"/>
              <w:ind w:right="-1"/>
              <w:jc w:val="center"/>
              <w:rPr>
                <w:rFonts w:cs="Arial"/>
                <w:szCs w:val="18"/>
                <w:lang w:val="en-GB"/>
              </w:rPr>
            </w:pPr>
            <w:r w:rsidRPr="00CC2497">
              <w:rPr>
                <w:lang w:val="en-GB"/>
              </w:rPr>
              <w:t>600-700</w:t>
            </w:r>
          </w:p>
        </w:tc>
        <w:tc>
          <w:tcPr>
            <w:tcW w:w="1250" w:type="pct"/>
            <w:shd w:val="clear" w:color="auto" w:fill="FFFFFF"/>
            <w:vAlign w:val="center"/>
          </w:tcPr>
          <w:p w14:paraId="306C7277" w14:textId="77777777" w:rsidR="00B477CA" w:rsidRPr="00B57B36" w:rsidRDefault="00B477CA" w:rsidP="00B477CA">
            <w:pPr>
              <w:pStyle w:val="CETBodytext"/>
              <w:ind w:right="-1"/>
              <w:jc w:val="center"/>
              <w:rPr>
                <w:rFonts w:cs="Arial"/>
                <w:szCs w:val="18"/>
                <w:lang w:val="en-GB"/>
              </w:rPr>
            </w:pPr>
            <w:r>
              <w:rPr>
                <w:lang w:val="en-GB"/>
              </w:rPr>
              <w:t>CeO</w:t>
            </w:r>
            <w:r w:rsidRPr="00B477CA">
              <w:rPr>
                <w:vertAlign w:val="subscript"/>
                <w:lang w:val="en-GB"/>
              </w:rPr>
              <w:t>2</w:t>
            </w:r>
            <w:r>
              <w:rPr>
                <w:lang w:val="en-GB"/>
              </w:rPr>
              <w:t>/ZrO</w:t>
            </w:r>
            <w:r w:rsidRPr="00B477CA">
              <w:rPr>
                <w:vertAlign w:val="subscript"/>
                <w:lang w:val="en-GB"/>
              </w:rPr>
              <w:t>2</w:t>
            </w:r>
            <w:r>
              <w:rPr>
                <w:lang w:val="en-GB"/>
              </w:rPr>
              <w:t>– Al</w:t>
            </w:r>
            <w:r w:rsidRPr="00B477CA">
              <w:rPr>
                <w:vertAlign w:val="subscript"/>
                <w:lang w:val="en-GB"/>
              </w:rPr>
              <w:t>2</w:t>
            </w:r>
            <w:r>
              <w:rPr>
                <w:lang w:val="en-GB"/>
              </w:rPr>
              <w:t>O</w:t>
            </w:r>
            <w:r w:rsidRPr="00B477CA">
              <w:rPr>
                <w:vertAlign w:val="subscript"/>
                <w:lang w:val="en-GB"/>
              </w:rPr>
              <w:t>3</w:t>
            </w:r>
          </w:p>
        </w:tc>
        <w:tc>
          <w:tcPr>
            <w:tcW w:w="1250" w:type="pct"/>
            <w:shd w:val="clear" w:color="auto" w:fill="FFFFFF"/>
            <w:vAlign w:val="center"/>
          </w:tcPr>
          <w:p w14:paraId="4B7004B0" w14:textId="77777777" w:rsidR="00B477CA" w:rsidRPr="00B57B36" w:rsidRDefault="00B477CA" w:rsidP="00B477CA">
            <w:pPr>
              <w:pStyle w:val="CETBodytext"/>
              <w:ind w:right="-1"/>
              <w:jc w:val="center"/>
              <w:rPr>
                <w:rFonts w:cs="Arial"/>
                <w:szCs w:val="18"/>
                <w:lang w:val="en-GB"/>
              </w:rPr>
            </w:pPr>
            <w:r>
              <w:rPr>
                <w:rFonts w:cs="Arial"/>
                <w:szCs w:val="18"/>
                <w:lang w:val="en-GB"/>
              </w:rPr>
              <w:t>Ni – Ni/Cu</w:t>
            </w:r>
          </w:p>
        </w:tc>
      </w:tr>
      <w:tr w:rsidR="00B477CA" w:rsidRPr="00B57B36" w14:paraId="3671F0FE" w14:textId="77777777" w:rsidTr="00BA7852">
        <w:tc>
          <w:tcPr>
            <w:tcW w:w="1250" w:type="pct"/>
            <w:shd w:val="clear" w:color="auto" w:fill="FFFFFF"/>
          </w:tcPr>
          <w:p w14:paraId="36F803BF" w14:textId="77777777" w:rsidR="00B477CA" w:rsidRPr="00B57B36" w:rsidRDefault="00B477CA" w:rsidP="00B477CA">
            <w:pPr>
              <w:pStyle w:val="CETBodytext"/>
              <w:ind w:right="-1"/>
              <w:rPr>
                <w:rFonts w:cs="Arial"/>
                <w:szCs w:val="18"/>
                <w:lang w:val="en-GB"/>
              </w:rPr>
            </w:pPr>
            <w:r w:rsidRPr="003E2231">
              <w:rPr>
                <w:lang w:val="en-GB"/>
              </w:rPr>
              <w:t xml:space="preserve">Case </w:t>
            </w:r>
            <w:r>
              <w:rPr>
                <w:lang w:val="en-GB"/>
              </w:rPr>
              <w:t>6</w:t>
            </w:r>
          </w:p>
        </w:tc>
        <w:tc>
          <w:tcPr>
            <w:tcW w:w="1250" w:type="pct"/>
            <w:shd w:val="clear" w:color="auto" w:fill="FFFFFF"/>
          </w:tcPr>
          <w:p w14:paraId="63B491CC" w14:textId="77777777" w:rsidR="00B477CA" w:rsidRPr="00B57B36" w:rsidRDefault="00B477CA" w:rsidP="00B477CA">
            <w:pPr>
              <w:pStyle w:val="CETBodytext"/>
              <w:ind w:right="-1"/>
              <w:jc w:val="center"/>
              <w:rPr>
                <w:rFonts w:cs="Arial"/>
                <w:szCs w:val="18"/>
                <w:lang w:val="en-GB"/>
              </w:rPr>
            </w:pPr>
            <w:r w:rsidRPr="00CC2497">
              <w:rPr>
                <w:lang w:val="en-GB"/>
              </w:rPr>
              <w:t>600-700</w:t>
            </w:r>
          </w:p>
        </w:tc>
        <w:tc>
          <w:tcPr>
            <w:tcW w:w="1250" w:type="pct"/>
            <w:shd w:val="clear" w:color="auto" w:fill="FFFFFF"/>
            <w:vAlign w:val="center"/>
          </w:tcPr>
          <w:p w14:paraId="214A3007" w14:textId="77777777" w:rsidR="00B477CA" w:rsidRPr="00B57B36" w:rsidRDefault="00B477CA" w:rsidP="00B477CA">
            <w:pPr>
              <w:pStyle w:val="CETBodytext"/>
              <w:ind w:right="-1"/>
              <w:jc w:val="center"/>
              <w:rPr>
                <w:rFonts w:cs="Arial"/>
                <w:szCs w:val="18"/>
                <w:lang w:val="en-GB"/>
              </w:rPr>
            </w:pPr>
            <w:r>
              <w:rPr>
                <w:lang w:val="en-GB"/>
              </w:rPr>
              <w:t>CeO</w:t>
            </w:r>
            <w:r w:rsidRPr="00B477CA">
              <w:rPr>
                <w:vertAlign w:val="subscript"/>
                <w:lang w:val="en-GB"/>
              </w:rPr>
              <w:t>2</w:t>
            </w:r>
            <w:r>
              <w:rPr>
                <w:lang w:val="en-GB"/>
              </w:rPr>
              <w:t>/ZrO</w:t>
            </w:r>
            <w:r w:rsidRPr="00B477CA">
              <w:rPr>
                <w:vertAlign w:val="subscript"/>
                <w:lang w:val="en-GB"/>
              </w:rPr>
              <w:t>2</w:t>
            </w:r>
            <w:r>
              <w:rPr>
                <w:lang w:val="en-GB"/>
              </w:rPr>
              <w:t>– Al</w:t>
            </w:r>
            <w:r w:rsidRPr="00B477CA">
              <w:rPr>
                <w:vertAlign w:val="subscript"/>
                <w:lang w:val="en-GB"/>
              </w:rPr>
              <w:t>2</w:t>
            </w:r>
            <w:r>
              <w:rPr>
                <w:lang w:val="en-GB"/>
              </w:rPr>
              <w:t>O</w:t>
            </w:r>
            <w:r w:rsidRPr="00B477CA">
              <w:rPr>
                <w:vertAlign w:val="subscript"/>
                <w:lang w:val="en-GB"/>
              </w:rPr>
              <w:t>3</w:t>
            </w:r>
          </w:p>
        </w:tc>
        <w:tc>
          <w:tcPr>
            <w:tcW w:w="1250" w:type="pct"/>
            <w:shd w:val="clear" w:color="auto" w:fill="FFFFFF"/>
            <w:vAlign w:val="center"/>
          </w:tcPr>
          <w:p w14:paraId="36214C1E" w14:textId="77777777" w:rsidR="00B477CA" w:rsidRPr="00B57B36" w:rsidRDefault="00B477CA" w:rsidP="00B477CA">
            <w:pPr>
              <w:pStyle w:val="CETBodytext"/>
              <w:ind w:right="-1"/>
              <w:jc w:val="center"/>
              <w:rPr>
                <w:rFonts w:cs="Arial"/>
                <w:szCs w:val="18"/>
                <w:lang w:val="en-GB"/>
              </w:rPr>
            </w:pPr>
            <w:r>
              <w:rPr>
                <w:rFonts w:cs="Arial"/>
                <w:szCs w:val="18"/>
                <w:lang w:val="en-GB"/>
              </w:rPr>
              <w:t xml:space="preserve">Ni – Ni/Co </w:t>
            </w:r>
          </w:p>
        </w:tc>
      </w:tr>
    </w:tbl>
    <w:p w14:paraId="4C370ECC" w14:textId="77777777" w:rsidR="00B477CA" w:rsidRDefault="00B477CA" w:rsidP="0034345C">
      <w:pPr>
        <w:pStyle w:val="CETBodytext"/>
      </w:pPr>
    </w:p>
    <w:p w14:paraId="773F8FBB" w14:textId="77777777" w:rsidR="00605144" w:rsidRPr="00605144" w:rsidRDefault="00605144" w:rsidP="00605144">
      <w:pPr>
        <w:rPr>
          <w:lang w:val="en-US"/>
        </w:rPr>
      </w:pPr>
      <w:r w:rsidRPr="00605144">
        <w:rPr>
          <w:lang w:val="en-US"/>
        </w:rPr>
        <w:t>The results from the gas chromatography analyses were use</w:t>
      </w:r>
      <w:r>
        <w:rPr>
          <w:lang w:val="en-US"/>
        </w:rPr>
        <w:t>d</w:t>
      </w:r>
      <w:r w:rsidRPr="00605144">
        <w:rPr>
          <w:lang w:val="en-US"/>
        </w:rPr>
        <w:t xml:space="preserve"> to determine the conversion of ethanol, selectivity, yield, and productivity of the reaction using Eq (2), (3) and (4) respectively.</w:t>
      </w:r>
    </w:p>
    <w:p w14:paraId="5C7A0127" w14:textId="77777777" w:rsidR="00A612D1" w:rsidRDefault="00A612D1" w:rsidP="0034345C">
      <w:pPr>
        <w:pStyle w:val="CETBodytext"/>
      </w:pPr>
    </w:p>
    <w:tbl>
      <w:tblPr>
        <w:tblW w:w="5000" w:type="pct"/>
        <w:tblLook w:val="04A0" w:firstRow="1" w:lastRow="0" w:firstColumn="1" w:lastColumn="0" w:noHBand="0" w:noVBand="1"/>
      </w:tblPr>
      <w:tblGrid>
        <w:gridCol w:w="8188"/>
        <w:gridCol w:w="815"/>
      </w:tblGrid>
      <w:tr w:rsidR="00A612D1" w:rsidRPr="00B57B36" w14:paraId="287DCAC3" w14:textId="77777777" w:rsidTr="00E00C79">
        <w:tc>
          <w:tcPr>
            <w:tcW w:w="8188" w:type="dxa"/>
            <w:shd w:val="clear" w:color="auto" w:fill="auto"/>
            <w:vAlign w:val="center"/>
          </w:tcPr>
          <w:p w14:paraId="4F8B17B3" w14:textId="77777777" w:rsidR="00A612D1" w:rsidRPr="00A612D1" w:rsidRDefault="00A612D1" w:rsidP="00A612D1">
            <w:pPr>
              <w:pStyle w:val="CETEquation"/>
            </w:pPr>
            <m:oMathPara>
              <m:oMathParaPr>
                <m:jc m:val="left"/>
              </m:oMathParaPr>
              <m:oMath>
                <m:r>
                  <w:rPr>
                    <w:rStyle w:val="hps"/>
                    <w:rFonts w:ascii="Cambria Math" w:hAnsi="Cambria Math"/>
                    <w:szCs w:val="18"/>
                    <w:lang w:val="en-US"/>
                  </w:rPr>
                  <m:t>% Coversi</m:t>
                </m:r>
                <m:r>
                  <w:rPr>
                    <w:rStyle w:val="hps"/>
                    <w:rFonts w:ascii="Cambria Math" w:hAnsi="Cambria Math"/>
                    <w:szCs w:val="18"/>
                  </w:rPr>
                  <m:t>on</m:t>
                </m:r>
                <m:r>
                  <w:rPr>
                    <w:rStyle w:val="hps"/>
                    <w:rFonts w:ascii="Cambria Math" w:hAnsi="Cambria Math"/>
                    <w:szCs w:val="18"/>
                    <w:lang w:val="en-US"/>
                  </w:rPr>
                  <m:t>=100 x</m:t>
                </m:r>
                <m:f>
                  <m:fPr>
                    <m:ctrlPr>
                      <w:rPr>
                        <w:rStyle w:val="hps"/>
                        <w:rFonts w:ascii="Cambria Math" w:hAnsi="Cambria Math"/>
                        <w:bCs/>
                        <w:i/>
                        <w:szCs w:val="18"/>
                        <w:lang w:val="en-US"/>
                      </w:rPr>
                    </m:ctrlPr>
                  </m:fPr>
                  <m:num>
                    <m:r>
                      <w:rPr>
                        <w:rStyle w:val="hps"/>
                        <w:rFonts w:ascii="Cambria Math" w:hAnsi="Cambria Math"/>
                        <w:szCs w:val="18"/>
                        <w:lang w:val="en-US"/>
                      </w:rPr>
                      <m:t>mol ethanol inlet-mol ethanol outlet</m:t>
                    </m:r>
                  </m:num>
                  <m:den>
                    <m:r>
                      <w:rPr>
                        <w:rStyle w:val="hps"/>
                        <w:rFonts w:ascii="Cambria Math" w:hAnsi="Cambria Math"/>
                        <w:szCs w:val="18"/>
                        <w:lang w:val="en-US"/>
                      </w:rPr>
                      <m:t>mol ethanol inlet</m:t>
                    </m:r>
                  </m:den>
                </m:f>
              </m:oMath>
            </m:oMathPara>
          </w:p>
        </w:tc>
        <w:tc>
          <w:tcPr>
            <w:tcW w:w="815" w:type="dxa"/>
            <w:shd w:val="clear" w:color="auto" w:fill="auto"/>
            <w:vAlign w:val="center"/>
          </w:tcPr>
          <w:p w14:paraId="26190266" w14:textId="77777777" w:rsidR="00A612D1" w:rsidRPr="00B57B36" w:rsidRDefault="00A612D1" w:rsidP="00A612D1">
            <w:pPr>
              <w:pStyle w:val="CETEquation"/>
              <w:jc w:val="right"/>
            </w:pPr>
            <w:r>
              <w:t>(2</w:t>
            </w:r>
            <w:r w:rsidRPr="00B57B36">
              <w:t>)</w:t>
            </w:r>
          </w:p>
        </w:tc>
      </w:tr>
      <w:tr w:rsidR="00A612D1" w:rsidRPr="00B57B36" w14:paraId="23D0A315" w14:textId="77777777" w:rsidTr="00E00C79">
        <w:tc>
          <w:tcPr>
            <w:tcW w:w="8188" w:type="dxa"/>
            <w:shd w:val="clear" w:color="auto" w:fill="auto"/>
            <w:vAlign w:val="center"/>
          </w:tcPr>
          <w:p w14:paraId="7CD86E28" w14:textId="77777777" w:rsidR="00A612D1" w:rsidRPr="00A612D1" w:rsidRDefault="00000000" w:rsidP="006A06EF">
            <w:pPr>
              <w:pStyle w:val="CETEquation"/>
            </w:pPr>
            <m:oMathPara>
              <m:oMathParaPr>
                <m:jc m:val="left"/>
              </m:oMathParaPr>
              <m:oMath>
                <m:sSub>
                  <m:sSubPr>
                    <m:ctrlPr>
                      <w:rPr>
                        <w:rStyle w:val="hps"/>
                        <w:rFonts w:ascii="Cambria Math" w:hAnsi="Cambria Math"/>
                        <w:bCs/>
                        <w:i/>
                        <w:szCs w:val="18"/>
                        <w:lang w:val="en-US"/>
                      </w:rPr>
                    </m:ctrlPr>
                  </m:sSubPr>
                  <m:e>
                    <m:r>
                      <w:rPr>
                        <w:rStyle w:val="hps"/>
                        <w:rFonts w:ascii="Cambria Math" w:hAnsi="Cambria Math"/>
                        <w:szCs w:val="18"/>
                        <w:lang w:val="en-US"/>
                      </w:rPr>
                      <m:t>Selectivity</m:t>
                    </m:r>
                  </m:e>
                  <m:sub>
                    <m:sSub>
                      <m:sSubPr>
                        <m:ctrlPr>
                          <w:rPr>
                            <w:rStyle w:val="hps"/>
                            <w:rFonts w:ascii="Cambria Math" w:hAnsi="Cambria Math"/>
                            <w:bCs/>
                            <w:i/>
                            <w:szCs w:val="18"/>
                            <w:lang w:val="en-US"/>
                          </w:rPr>
                        </m:ctrlPr>
                      </m:sSubPr>
                      <m:e>
                        <m:r>
                          <w:rPr>
                            <w:rStyle w:val="hps"/>
                            <w:rFonts w:ascii="Cambria Math" w:hAnsi="Cambria Math"/>
                            <w:szCs w:val="18"/>
                            <w:lang w:val="en-US"/>
                          </w:rPr>
                          <m:t>H</m:t>
                        </m:r>
                      </m:e>
                      <m:sub>
                        <m:r>
                          <w:rPr>
                            <w:rStyle w:val="hps"/>
                            <w:rFonts w:ascii="Cambria Math" w:hAnsi="Cambria Math"/>
                            <w:szCs w:val="18"/>
                            <w:lang w:val="en-US"/>
                          </w:rPr>
                          <m:t>2</m:t>
                        </m:r>
                      </m:sub>
                    </m:sSub>
                  </m:sub>
                </m:sSub>
                <m:r>
                  <w:rPr>
                    <w:rStyle w:val="hps"/>
                    <w:rFonts w:ascii="Cambria Math" w:hAnsi="Cambria Math"/>
                    <w:szCs w:val="18"/>
                    <w:lang w:val="en-US"/>
                  </w:rPr>
                  <m:t>=</m:t>
                </m:r>
                <m:f>
                  <m:fPr>
                    <m:ctrlPr>
                      <w:rPr>
                        <w:rFonts w:ascii="Cambria Math" w:hAnsi="Cambria Math"/>
                        <w:i/>
                        <w:szCs w:val="18"/>
                        <w:lang w:val="en-US"/>
                      </w:rPr>
                    </m:ctrlPr>
                  </m:fPr>
                  <m:num>
                    <m:r>
                      <w:rPr>
                        <w:rStyle w:val="hps"/>
                        <w:rFonts w:ascii="Cambria Math" w:hAnsi="Cambria Math"/>
                        <w:szCs w:val="18"/>
                        <w:lang w:val="en-US"/>
                      </w:rPr>
                      <m:t>mol</m:t>
                    </m:r>
                    <m:sSub>
                      <m:sSubPr>
                        <m:ctrlPr>
                          <w:rPr>
                            <w:rFonts w:ascii="Cambria Math" w:hAnsi="Cambria Math"/>
                            <w:i/>
                            <w:szCs w:val="18"/>
                            <w:lang w:val="en-US"/>
                          </w:rPr>
                        </m:ctrlPr>
                      </m:sSubPr>
                      <m:e>
                        <m:r>
                          <w:rPr>
                            <w:rFonts w:ascii="Cambria Math" w:hAnsi="Cambria Math"/>
                            <w:szCs w:val="18"/>
                            <w:lang w:val="en-US"/>
                          </w:rPr>
                          <m:t>H</m:t>
                        </m:r>
                      </m:e>
                      <m:sub>
                        <m:r>
                          <w:rPr>
                            <w:rFonts w:ascii="Cambria Math" w:hAnsi="Cambria Math"/>
                            <w:szCs w:val="18"/>
                            <w:lang w:val="en-US"/>
                          </w:rPr>
                          <m:t>2</m:t>
                        </m:r>
                      </m:sub>
                    </m:sSub>
                    <m:r>
                      <w:rPr>
                        <w:rFonts w:ascii="Cambria Math" w:hAnsi="Cambria Math"/>
                        <w:szCs w:val="18"/>
                        <w:lang w:val="en-US"/>
                      </w:rPr>
                      <m:t>outlet</m:t>
                    </m:r>
                  </m:num>
                  <m:den>
                    <m:nary>
                      <m:naryPr>
                        <m:chr m:val="∑"/>
                        <m:limLoc m:val="undOvr"/>
                        <m:subHide m:val="1"/>
                        <m:supHide m:val="1"/>
                        <m:ctrlPr>
                          <w:rPr>
                            <w:rFonts w:ascii="Cambria Math" w:hAnsi="Cambria Math"/>
                            <w:i/>
                            <w:szCs w:val="18"/>
                            <w:lang w:val="en-US"/>
                          </w:rPr>
                        </m:ctrlPr>
                      </m:naryPr>
                      <m:sub/>
                      <m:sup/>
                      <m:e>
                        <m:r>
                          <w:rPr>
                            <w:rFonts w:ascii="Cambria Math" w:hAnsi="Cambria Math"/>
                            <w:szCs w:val="18"/>
                            <w:lang w:val="en-US"/>
                          </w:rPr>
                          <m:t>molsubproductsoutlet</m:t>
                        </m:r>
                      </m:e>
                    </m:nary>
                  </m:den>
                </m:f>
              </m:oMath>
            </m:oMathPara>
          </w:p>
        </w:tc>
        <w:tc>
          <w:tcPr>
            <w:tcW w:w="815" w:type="dxa"/>
            <w:shd w:val="clear" w:color="auto" w:fill="auto"/>
            <w:vAlign w:val="center"/>
          </w:tcPr>
          <w:p w14:paraId="1606F423" w14:textId="77777777" w:rsidR="00A612D1" w:rsidRPr="00B57B36" w:rsidRDefault="00A612D1" w:rsidP="006A06EF">
            <w:pPr>
              <w:pStyle w:val="CETEquation"/>
              <w:jc w:val="right"/>
            </w:pPr>
            <w:r w:rsidRPr="00B57B36">
              <w:t>(</w:t>
            </w:r>
            <w:r>
              <w:t>3</w:t>
            </w:r>
            <w:r w:rsidRPr="00B57B36">
              <w:t>)</w:t>
            </w:r>
          </w:p>
        </w:tc>
      </w:tr>
      <w:tr w:rsidR="00A612D1" w:rsidRPr="00B57B36" w14:paraId="4C3F556F" w14:textId="77777777" w:rsidTr="006A06EF">
        <w:tc>
          <w:tcPr>
            <w:tcW w:w="8188" w:type="dxa"/>
            <w:shd w:val="clear" w:color="auto" w:fill="auto"/>
            <w:vAlign w:val="center"/>
          </w:tcPr>
          <w:p w14:paraId="160D113B" w14:textId="77777777" w:rsidR="00A612D1" w:rsidRPr="00A612D1" w:rsidRDefault="00A612D1" w:rsidP="006A06EF">
            <w:pPr>
              <w:pStyle w:val="CETEquation"/>
            </w:pPr>
            <m:oMathPara>
              <m:oMathParaPr>
                <m:jc m:val="left"/>
              </m:oMathParaPr>
              <m:oMath>
                <m:r>
                  <w:rPr>
                    <w:rStyle w:val="hps"/>
                    <w:rFonts w:ascii="Cambria Math" w:hAnsi="Cambria Math"/>
                    <w:szCs w:val="18"/>
                    <w:lang w:val="en-US"/>
                  </w:rPr>
                  <m:t>% Y</m:t>
                </m:r>
                <m:r>
                  <w:rPr>
                    <w:rStyle w:val="hps"/>
                    <w:rFonts w:ascii="Cambria Math" w:hAnsi="Cambria Math"/>
                  </w:rPr>
                  <m:t>ield</m:t>
                </m:r>
                <m:r>
                  <w:rPr>
                    <w:rStyle w:val="hps"/>
                    <w:rFonts w:ascii="Cambria Math" w:hAnsi="Cambria Math"/>
                    <w:szCs w:val="18"/>
                    <w:lang w:val="en-US"/>
                  </w:rPr>
                  <m:t>=100x</m:t>
                </m:r>
                <m:f>
                  <m:fPr>
                    <m:ctrlPr>
                      <w:rPr>
                        <w:rFonts w:ascii="Cambria Math" w:hAnsi="Cambria Math"/>
                        <w:i/>
                        <w:szCs w:val="18"/>
                        <w:lang w:val="en-US"/>
                      </w:rPr>
                    </m:ctrlPr>
                  </m:fPr>
                  <m:num>
                    <m:r>
                      <w:rPr>
                        <w:rStyle w:val="hps"/>
                        <w:rFonts w:ascii="Cambria Math" w:hAnsi="Cambria Math"/>
                        <w:szCs w:val="18"/>
                        <w:lang w:val="en-US"/>
                      </w:rPr>
                      <m:t xml:space="preserve">mol </m:t>
                    </m:r>
                    <m:sSub>
                      <m:sSubPr>
                        <m:ctrlPr>
                          <w:rPr>
                            <w:rFonts w:ascii="Cambria Math" w:hAnsi="Cambria Math"/>
                            <w:i/>
                            <w:szCs w:val="18"/>
                            <w:lang w:val="en-US"/>
                          </w:rPr>
                        </m:ctrlPr>
                      </m:sSubPr>
                      <m:e>
                        <m:r>
                          <w:rPr>
                            <w:rFonts w:ascii="Cambria Math" w:hAnsi="Cambria Math"/>
                            <w:szCs w:val="18"/>
                            <w:lang w:val="en-US"/>
                          </w:rPr>
                          <m:t>H</m:t>
                        </m:r>
                      </m:e>
                      <m:sub>
                        <m:r>
                          <w:rPr>
                            <w:rFonts w:ascii="Cambria Math" w:hAnsi="Cambria Math"/>
                            <w:szCs w:val="18"/>
                            <w:lang w:val="en-US"/>
                          </w:rPr>
                          <m:t>2</m:t>
                        </m:r>
                      </m:sub>
                    </m:sSub>
                    <m:r>
                      <w:rPr>
                        <w:rFonts w:ascii="Cambria Math" w:hAnsi="Cambria Math"/>
                        <w:szCs w:val="18"/>
                        <w:lang w:val="en-US"/>
                      </w:rPr>
                      <m:t xml:space="preserve"> outlet</m:t>
                    </m:r>
                  </m:num>
                  <m:den>
                    <m:r>
                      <w:rPr>
                        <w:rFonts w:ascii="Cambria Math" w:hAnsi="Cambria Math"/>
                        <w:szCs w:val="18"/>
                        <w:lang w:val="en-US"/>
                      </w:rPr>
                      <m:t>mol ethanol inlet</m:t>
                    </m:r>
                  </m:den>
                </m:f>
              </m:oMath>
            </m:oMathPara>
          </w:p>
        </w:tc>
        <w:tc>
          <w:tcPr>
            <w:tcW w:w="815" w:type="dxa"/>
            <w:shd w:val="clear" w:color="auto" w:fill="auto"/>
            <w:vAlign w:val="center"/>
          </w:tcPr>
          <w:p w14:paraId="0E5ACB8B" w14:textId="77777777" w:rsidR="00A612D1" w:rsidRPr="00B57B36" w:rsidRDefault="00A612D1" w:rsidP="006A06EF">
            <w:pPr>
              <w:pStyle w:val="CETEquation"/>
              <w:jc w:val="right"/>
            </w:pPr>
            <w:r w:rsidRPr="00B57B36">
              <w:t>(</w:t>
            </w:r>
            <w:r>
              <w:t>4</w:t>
            </w:r>
            <w:r w:rsidRPr="00B57B36">
              <w:t>)</w:t>
            </w:r>
          </w:p>
        </w:tc>
      </w:tr>
      <w:tr w:rsidR="00AF0D38" w:rsidRPr="00B57B36" w14:paraId="6A9F9D98" w14:textId="77777777" w:rsidTr="00AF0D38">
        <w:tc>
          <w:tcPr>
            <w:tcW w:w="8188" w:type="dxa"/>
            <w:shd w:val="clear" w:color="auto" w:fill="auto"/>
            <w:vAlign w:val="center"/>
          </w:tcPr>
          <w:p w14:paraId="34BD572C" w14:textId="77777777" w:rsidR="00AF0D38" w:rsidRPr="00AF0D38" w:rsidRDefault="00AF0D38" w:rsidP="006A06EF">
            <w:pPr>
              <w:pStyle w:val="CETEquation"/>
              <w:rPr>
                <w:rFonts w:ascii="Cambria Math" w:hAnsi="Cambria Math"/>
                <w:szCs w:val="18"/>
                <w:lang w:val="en-US"/>
                <w:oMath/>
              </w:rPr>
            </w:pPr>
            <m:oMathPara>
              <m:oMathParaPr>
                <m:jc m:val="left"/>
              </m:oMathParaPr>
              <m:oMath>
                <m:r>
                  <w:rPr>
                    <w:rFonts w:ascii="Cambria Math" w:hAnsi="Cambria Math"/>
                    <w:szCs w:val="18"/>
                    <w:lang w:val="en-US"/>
                  </w:rPr>
                  <m:t>Productivity=</m:t>
                </m:r>
                <m:sSub>
                  <m:sSubPr>
                    <m:ctrlPr>
                      <w:rPr>
                        <w:rFonts w:ascii="Cambria Math" w:hAnsi="Cambria Math"/>
                        <w:i/>
                        <w:szCs w:val="18"/>
                        <w:lang w:val="en-US"/>
                      </w:rPr>
                    </m:ctrlPr>
                  </m:sSubPr>
                  <m:e>
                    <m:r>
                      <w:rPr>
                        <w:rFonts w:ascii="Cambria Math" w:hAnsi="Cambria Math"/>
                        <w:szCs w:val="18"/>
                        <w:lang w:val="en-US"/>
                      </w:rPr>
                      <m:t>H</m:t>
                    </m:r>
                  </m:e>
                  <m:sub>
                    <m:r>
                      <w:rPr>
                        <w:rFonts w:ascii="Cambria Math" w:hAnsi="Cambria Math"/>
                        <w:szCs w:val="18"/>
                        <w:lang w:val="en-US"/>
                      </w:rPr>
                      <m:t>2</m:t>
                    </m:r>
                  </m:sub>
                </m:sSub>
                <m:r>
                  <w:rPr>
                    <w:rFonts w:ascii="Cambria Math" w:hAnsi="Cambria Math"/>
                    <w:szCs w:val="18"/>
                    <w:lang w:val="en-US"/>
                  </w:rPr>
                  <m:t xml:space="preserve"> molar fractio</m:t>
                </m:r>
                <m:sSub>
                  <m:sSubPr>
                    <m:ctrlPr>
                      <w:rPr>
                        <w:rFonts w:ascii="Cambria Math" w:hAnsi="Cambria Math"/>
                        <w:i/>
                        <w:szCs w:val="18"/>
                        <w:lang w:val="en-US"/>
                      </w:rPr>
                    </m:ctrlPr>
                  </m:sSubPr>
                  <m:e>
                    <m:r>
                      <w:rPr>
                        <w:rFonts w:ascii="Cambria Math" w:hAnsi="Cambria Math"/>
                        <w:szCs w:val="18"/>
                        <w:lang w:val="en-US"/>
                      </w:rPr>
                      <m:t>n</m:t>
                    </m:r>
                  </m:e>
                  <m:sub>
                    <m:r>
                      <w:rPr>
                        <w:rFonts w:ascii="Cambria Math" w:hAnsi="Cambria Math"/>
                        <w:szCs w:val="18"/>
                        <w:lang w:val="en-US"/>
                      </w:rPr>
                      <m:t>outlet</m:t>
                    </m:r>
                  </m:sub>
                </m:sSub>
                <m:r>
                  <w:rPr>
                    <w:rFonts w:ascii="Cambria Math" w:hAnsi="Cambria Math"/>
                    <w:szCs w:val="18"/>
                    <w:lang w:val="en-US"/>
                  </w:rPr>
                  <m:t xml:space="preserve">  x molar flow rat</m:t>
                </m:r>
                <m:sSub>
                  <m:sSubPr>
                    <m:ctrlPr>
                      <w:rPr>
                        <w:rFonts w:ascii="Cambria Math" w:hAnsi="Cambria Math"/>
                        <w:i/>
                        <w:szCs w:val="18"/>
                        <w:lang w:val="en-US"/>
                      </w:rPr>
                    </m:ctrlPr>
                  </m:sSubPr>
                  <m:e>
                    <m:r>
                      <w:rPr>
                        <w:rFonts w:ascii="Cambria Math" w:hAnsi="Cambria Math"/>
                        <w:szCs w:val="18"/>
                        <w:lang w:val="en-US"/>
                      </w:rPr>
                      <m:t>e</m:t>
                    </m:r>
                  </m:e>
                  <m:sub>
                    <m:r>
                      <w:rPr>
                        <w:rFonts w:ascii="Cambria Math" w:hAnsi="Cambria Math"/>
                        <w:szCs w:val="18"/>
                        <w:lang w:val="en-US"/>
                      </w:rPr>
                      <m:t>outlet</m:t>
                    </m:r>
                  </m:sub>
                </m:sSub>
              </m:oMath>
            </m:oMathPara>
          </w:p>
        </w:tc>
        <w:tc>
          <w:tcPr>
            <w:tcW w:w="815" w:type="dxa"/>
            <w:shd w:val="clear" w:color="auto" w:fill="auto"/>
            <w:vAlign w:val="center"/>
          </w:tcPr>
          <w:p w14:paraId="5EC5F046" w14:textId="77777777" w:rsidR="00AF0D38" w:rsidRPr="00B57B36" w:rsidRDefault="00AF0D38" w:rsidP="006A06EF">
            <w:pPr>
              <w:pStyle w:val="CETEquation"/>
              <w:jc w:val="right"/>
            </w:pPr>
            <w:r w:rsidRPr="00B57B36">
              <w:t>(</w:t>
            </w:r>
            <w:r>
              <w:t>5</w:t>
            </w:r>
            <w:r w:rsidRPr="00B57B36">
              <w:t>)</w:t>
            </w:r>
          </w:p>
        </w:tc>
      </w:tr>
    </w:tbl>
    <w:p w14:paraId="086DCD34" w14:textId="77777777" w:rsidR="0078182D" w:rsidRDefault="0078182D" w:rsidP="0078182D">
      <w:pPr>
        <w:pStyle w:val="CETBodytext"/>
      </w:pPr>
      <w:r>
        <w:lastRenderedPageBreak/>
        <w:t xml:space="preserve">Based on the calculations, the influence of temperature, support material, and the use of bimetallic catalyst on independent variables was analyzed statistically. Pareto charts were used to determine the statistical relevance of each case. The charts helped to identify the most significant factors in a set of variables, when associated with the p-value &lt; 0.05, it means that it has statistical significance greater than 95%. In hypothesis testing, researchers establish a null hypothesis, usually stating that there is no effect or difference, and an alternative hypothesis. </w:t>
      </w:r>
    </w:p>
    <w:p w14:paraId="7765F677" w14:textId="77777777" w:rsidR="00B64DCD" w:rsidRPr="00B64DCD" w:rsidRDefault="0078182D" w:rsidP="0078182D">
      <w:pPr>
        <w:pStyle w:val="CETBodytext"/>
      </w:pPr>
      <w:r>
        <w:t>Finally, predictions were made, and the desirability function was calculated for each case</w:t>
      </w:r>
      <w:r w:rsidR="009D3664">
        <w:t xml:space="preserve"> using </w:t>
      </w:r>
      <w:r w:rsidR="009D3664" w:rsidRPr="009D3664">
        <w:t xml:space="preserve">Statisticasoftware, </w:t>
      </w:r>
      <w:r w:rsidR="009D3664">
        <w:t>version</w:t>
      </w:r>
      <w:r w:rsidR="009D3664" w:rsidRPr="009D3664">
        <w:t xml:space="preserve"> 7.0</w:t>
      </w:r>
      <w:r w:rsidR="009D3664">
        <w:t xml:space="preserve"> (</w:t>
      </w:r>
      <w:r w:rsidR="009D3664" w:rsidRPr="009D3664">
        <w:t>Statsoft.</w:t>
      </w:r>
      <w:r w:rsidR="004B2ED4">
        <w:t>Inc.</w:t>
      </w:r>
      <w:r w:rsidR="009D3664" w:rsidRPr="009D3664">
        <w:t>, 2004</w:t>
      </w:r>
      <w:r w:rsidR="009D3664">
        <w:t>).</w:t>
      </w:r>
      <w:r>
        <w:t xml:space="preserve"> The desirability function assigns a value between 0 and 1 to each response, where 0 indicates an undesirable outcome, 1 indicates a highly desirable outcome, and intermediate values represent intermediate desirability. Overall desirability is often calculated as a product or average of these individual desirability. These functions play a key role in multi-criteria decision making and optimization in various fields (Costa </w:t>
      </w:r>
      <w:r w:rsidRPr="00E00C79">
        <w:t>et al.,</w:t>
      </w:r>
      <w:r>
        <w:t xml:space="preserve"> 2011).</w:t>
      </w:r>
    </w:p>
    <w:p w14:paraId="1DAD2460" w14:textId="77777777" w:rsidR="00600535" w:rsidRDefault="00E50B03" w:rsidP="00600535">
      <w:pPr>
        <w:pStyle w:val="CETHeading1"/>
        <w:tabs>
          <w:tab w:val="clear" w:pos="360"/>
          <w:tab w:val="right" w:pos="7100"/>
        </w:tabs>
        <w:jc w:val="both"/>
        <w:rPr>
          <w:lang w:val="en-GB"/>
        </w:rPr>
      </w:pPr>
      <w:r>
        <w:rPr>
          <w:lang w:val="en-GB"/>
        </w:rPr>
        <w:t>Results and discussion</w:t>
      </w:r>
    </w:p>
    <w:p w14:paraId="16593525" w14:textId="77777777" w:rsidR="00716717" w:rsidRPr="000955BF" w:rsidRDefault="00716717" w:rsidP="00716717">
      <w:pPr>
        <w:pStyle w:val="CETBodytext"/>
        <w:rPr>
          <w:lang w:val="en-GB"/>
        </w:rPr>
      </w:pPr>
      <w:r w:rsidRPr="000955BF">
        <w:rPr>
          <w:lang w:val="en-GB"/>
        </w:rPr>
        <w:t xml:space="preserve">The </w:t>
      </w:r>
      <w:r w:rsidR="00DB5EB9" w:rsidRPr="000955BF">
        <w:rPr>
          <w:lang w:val="en-GB"/>
        </w:rPr>
        <w:t>study</w:t>
      </w:r>
      <w:r w:rsidRPr="000955BF">
        <w:rPr>
          <w:lang w:val="en-GB"/>
        </w:rPr>
        <w:t xml:space="preserve"> revealed that temperature played a crucial role in determining the responses with a 95% level of confidence</w:t>
      </w:r>
      <w:r w:rsidR="000A04D9" w:rsidRPr="000955BF">
        <w:rPr>
          <w:lang w:val="en-GB"/>
        </w:rPr>
        <w:t xml:space="preserve">. </w:t>
      </w:r>
      <w:r w:rsidRPr="000955BF">
        <w:rPr>
          <w:lang w:val="en-GB"/>
        </w:rPr>
        <w:t xml:space="preserve">The influence of each factor on the yield of hydrogen production and ethanol conversion can be seen in Figure 1 for each case. It was observed that temperature had a linear and directly proportional relationship with all the cases, indicating that higher temperatures led to better outcomes. </w:t>
      </w:r>
    </w:p>
    <w:p w14:paraId="77587DBE" w14:textId="77777777" w:rsidR="006819AE" w:rsidRPr="000955BF" w:rsidRDefault="00E00C79" w:rsidP="006819AE">
      <w:pPr>
        <w:pStyle w:val="CETBodytext"/>
        <w:rPr>
          <w:lang w:val="en-GB"/>
        </w:rPr>
      </w:pPr>
      <w:r w:rsidRPr="000955BF">
        <w:rPr>
          <w:lang w:val="en-GB"/>
        </w:rPr>
        <w:t xml:space="preserve">The catalytic response is dependent on the composition of its support. </w:t>
      </w:r>
      <w:r w:rsidR="00716717" w:rsidRPr="000955BF">
        <w:rPr>
          <w:lang w:val="en-GB"/>
        </w:rPr>
        <w:t>The correlation between temperature and catalytic support was also established, indicating that the temperature had a direct impact on the catalytic support and its efficiency</w:t>
      </w:r>
      <w:r w:rsidR="001719FA" w:rsidRPr="000955BF">
        <w:rPr>
          <w:lang w:val="en-GB"/>
        </w:rPr>
        <w:t xml:space="preserve">. </w:t>
      </w:r>
      <w:r w:rsidR="0058538C" w:rsidRPr="000955BF">
        <w:rPr>
          <w:lang w:val="en-GB"/>
        </w:rPr>
        <w:t>Indeed, temperature plays a crucial role in influencing this reaction, as it directly impacts the reaction kinetics and thermodynamics (</w:t>
      </w:r>
      <w:r w:rsidR="008D34F5" w:rsidRPr="000955BF">
        <w:rPr>
          <w:lang w:val="en-GB"/>
        </w:rPr>
        <w:t>Vasudeva et al., 199</w:t>
      </w:r>
      <w:r w:rsidR="00906B74" w:rsidRPr="000955BF">
        <w:rPr>
          <w:lang w:val="en-GB"/>
        </w:rPr>
        <w:t>6</w:t>
      </w:r>
      <w:r w:rsidR="0058538C" w:rsidRPr="000955BF">
        <w:rPr>
          <w:lang w:val="en-GB"/>
        </w:rPr>
        <w:t xml:space="preserve">). The reaction is endothermic, meaning it absorbs heat from the surroundings. As the temperature increases, the reaction rate accelerates due to the increased kinetic energy of the molecules, leading to more collisions and successful reactions between the reactants. Additionally, higher temperatures can thermodynamically favour the production of hydrogen. </w:t>
      </w:r>
      <w:r w:rsidR="00ED704A" w:rsidRPr="000955BF">
        <w:rPr>
          <w:lang w:val="en-GB"/>
        </w:rPr>
        <w:t>Therefore</w:t>
      </w:r>
      <w:r w:rsidR="0058538C" w:rsidRPr="000955BF">
        <w:rPr>
          <w:lang w:val="en-GB"/>
        </w:rPr>
        <w:t>, maintaining an appropriate temperature is essential for achieving efficient ethanol steam reforming, balancing the need for a favourable reaction rate with the stability of the catalyst and selectivity towards the desired products.</w:t>
      </w:r>
    </w:p>
    <w:p w14:paraId="18DCCFCC" w14:textId="77777777" w:rsidR="000A04D9" w:rsidRPr="000955BF" w:rsidRDefault="000A04D9" w:rsidP="000A04D9">
      <w:pPr>
        <w:pStyle w:val="CETBodytext"/>
      </w:pPr>
      <w:r w:rsidRPr="000955BF">
        <w:t>Analyzing the predictions and desirability functions as depicted in Figure 2, it has been determined that selecting a reaction temperature at the highest limit of 700 °C is the most optimal choice in all cases. Additionally, it is advisable to opt for a catalytic support that consists of a 50/50 wt.% mixture of CeO</w:t>
      </w:r>
      <w:r w:rsidRPr="000955BF">
        <w:rPr>
          <w:vertAlign w:val="subscript"/>
        </w:rPr>
        <w:t>2</w:t>
      </w:r>
      <w:r w:rsidRPr="000955BF">
        <w:t xml:space="preserve"> and ZrO</w:t>
      </w:r>
      <w:r w:rsidRPr="000955BF">
        <w:rPr>
          <w:vertAlign w:val="subscript"/>
        </w:rPr>
        <w:t>2</w:t>
      </w:r>
      <w:r w:rsidRPr="000955BF">
        <w:t xml:space="preserve"> as the primary preference, followed by the CeO</w:t>
      </w:r>
      <w:r w:rsidRPr="000955BF">
        <w:rPr>
          <w:vertAlign w:val="subscript"/>
        </w:rPr>
        <w:t>2</w:t>
      </w:r>
      <w:r w:rsidRPr="000955BF">
        <w:t xml:space="preserve"> support. It is justifiable to choose ceria/zirconia-supported catalysts over alumina support because they offer more alkali active sites, which are essential for the reaction to take place efficiently, while the Al</w:t>
      </w:r>
      <w:r w:rsidRPr="000955BF">
        <w:rPr>
          <w:vertAlign w:val="subscript"/>
        </w:rPr>
        <w:t>2</w:t>
      </w:r>
      <w:r w:rsidRPr="000955BF">
        <w:t>O</w:t>
      </w:r>
      <w:r w:rsidRPr="000955BF">
        <w:rPr>
          <w:vertAlign w:val="subscript"/>
        </w:rPr>
        <w:t>3</w:t>
      </w:r>
      <w:r w:rsidRPr="000955BF">
        <w:t xml:space="preserve"> support provides acidic active sites that promote the dehydration of ethanol, which leads to polymerization and coke formation (Llorca et al., 2002). Moreover, the addition of zirconia to the support enhances the catalyst's stability, resulting in better performance and contributes to minimizing coke formation, due to the enhanced oxygen mobility in this solid solution that oxidizes carbon residues (Llorca et al., 2013), ensuring a more efficient process. </w:t>
      </w:r>
      <w:r w:rsidR="00D657AF" w:rsidRPr="000955BF">
        <w:t>In this study, among the supports investigated, ceria and ceria/zirconia are effective in producing desirable results for the dependent variables when combined with the Ni active phase, demonstrating their applicability to microchannel reactors for ERS. Although all the comparisons result in a desirability function with a maximum selected between 0.915 and 0.844, i.e. close to 1, by comparing each case, the ceria-zirconia support prevails over the others, Figures 2b, 2e</w:t>
      </w:r>
      <w:r w:rsidR="003C1AE7">
        <w:t>,</w:t>
      </w:r>
      <w:r w:rsidR="00D657AF" w:rsidRPr="000955BF">
        <w:t xml:space="preserve"> and 2f, except in case 1, Figure 2a, where the ceria and ceria-zirconia support has similar desirability.</w:t>
      </w:r>
    </w:p>
    <w:p w14:paraId="6A1C7CA1" w14:textId="77777777" w:rsidR="00665BFD" w:rsidRPr="000955BF" w:rsidRDefault="000A04D9" w:rsidP="00D657AF">
      <w:pPr>
        <w:pStyle w:val="CETBodytext"/>
      </w:pPr>
      <w:r w:rsidRPr="000955BF">
        <w:t>The desirability of bimetallic catalysts was also favored due to their better performance</w:t>
      </w:r>
      <w:r w:rsidR="00D657AF" w:rsidRPr="000955BF">
        <w:t xml:space="preserve"> as shown in </w:t>
      </w:r>
      <w:r w:rsidR="001E2CA7" w:rsidRPr="000955BF">
        <w:t>all</w:t>
      </w:r>
      <w:r w:rsidR="00D657AF" w:rsidRPr="000955BF">
        <w:t xml:space="preserve"> the cases</w:t>
      </w:r>
      <w:r w:rsidRPr="000955BF">
        <w:t>. This was due to its ability to favor the gas</w:t>
      </w:r>
      <w:r w:rsidR="003079ED">
        <w:t>-</w:t>
      </w:r>
      <w:r w:rsidRPr="000955BF">
        <w:t>water shift reaction, producing more favorable outcomes. The addition of another metal also helps in preventing Ni sintering, which is the agglomeration of nickel particles, thereby maintaining the catalytic surface area. Secondly, the electronic and structural properties of the bimetallic catalysts are conducive to better adsorption and activation of ethanol molecules, facilitating the desired reaction pathways leading to enhanced hydrogen production.</w:t>
      </w:r>
    </w:p>
    <w:p w14:paraId="61E61D2E" w14:textId="77777777" w:rsidR="003E1158" w:rsidRPr="000955BF" w:rsidRDefault="003E1158" w:rsidP="00D657AF">
      <w:pPr>
        <w:pStyle w:val="CETBodytext"/>
      </w:pPr>
      <w:r w:rsidRPr="000955BF">
        <w:t>Observing Figure 3, coke deposition is noticeable on the reactor surface post-reforming reactions. Using ImageJ software</w:t>
      </w:r>
      <w:r w:rsidR="004B2ED4">
        <w:t xml:space="preserve"> (</w:t>
      </w:r>
      <w:r w:rsidR="004B2ED4" w:rsidRPr="004B2ED4">
        <w:t>Schneider</w:t>
      </w:r>
      <w:r w:rsidR="004B2ED4">
        <w:t xml:space="preserve"> et al., 2012)</w:t>
      </w:r>
      <w:r w:rsidRPr="000955BF">
        <w:t xml:space="preserve">, the sections showcasing coke deposition are highlighted in red, as displayed in the figures. The use of a bimetallic active phase decreased in coke formation, as seen in Figures 3c and 3d. </w:t>
      </w:r>
      <w:r w:rsidR="00255B0B" w:rsidRPr="000955BF">
        <w:t>Examining the bimetallic composition, it is possible to note that the reactor with Ni-Co catalyst (Figure 3d) has significantly less coke deposition than the reactor with Ni-Cu catalyst (Figure 3c).</w:t>
      </w:r>
      <w:r w:rsidRPr="000955BF">
        <w:t xml:space="preserve">While the </w:t>
      </w:r>
      <w:r w:rsidR="00255B0B" w:rsidRPr="000955BF">
        <w:t xml:space="preserve">desirability function </w:t>
      </w:r>
      <w:r w:rsidRPr="000955BF">
        <w:t>values remain similar for the Ni-Cu and Ni-Co active phases, the qualitative evaluation of coke formation suggests the selection of the bimetallic active phase containing cobalt.</w:t>
      </w:r>
    </w:p>
    <w:p w14:paraId="53FA4EBE" w14:textId="77777777" w:rsidR="00AE10D0" w:rsidRDefault="00EC05D6" w:rsidP="00D657AF">
      <w:pPr>
        <w:pStyle w:val="CETBodytext"/>
      </w:pPr>
      <w:r w:rsidRPr="000955BF">
        <w:t>Based on the findings of this study, the conditions for enhancing ethanol conversion and maximizing hydrogen yield, productivity, and selectivity</w:t>
      </w:r>
      <w:r w:rsidR="00255B0B" w:rsidRPr="000955BF">
        <w:t xml:space="preserve"> in a microchannel reactor</w:t>
      </w:r>
      <w:r w:rsidRPr="000955BF">
        <w:t xml:space="preserve"> while minimizing coke formation involve utilizing a </w:t>
      </w:r>
      <w:r w:rsidRPr="000955BF">
        <w:lastRenderedPageBreak/>
        <w:t>catalyst comprised of a ceria/zirconia support and a Ni-Co active phase and at a temperature of 700°C for the steam reforming reaction.</w:t>
      </w:r>
      <w:r w:rsidR="00255B0B" w:rsidRPr="000955BF">
        <w:t>This composition seems to be effective in facilitating the desired chemical reactions and reducing undesirable by-products, thus presenting a favorable option for ethanol-to-hydrogen conversion procedures in microchannel reactors.</w:t>
      </w:r>
    </w:p>
    <w:p w14:paraId="44ABB17B" w14:textId="77777777" w:rsidR="00BA4674" w:rsidRDefault="00BA4674" w:rsidP="00D657AF">
      <w:pPr>
        <w:pStyle w:val="CETBodytext"/>
      </w:pPr>
      <w:r>
        <w:rPr>
          <w:noProof/>
          <w:lang w:val="pt-BR" w:eastAsia="pt-BR"/>
        </w:rPr>
        <w:drawing>
          <wp:anchor distT="0" distB="0" distL="114300" distR="114300" simplePos="0" relativeHeight="251659264" behindDoc="0" locked="0" layoutInCell="1" allowOverlap="1" wp14:anchorId="63CE3F2B" wp14:editId="7A5A4F5A">
            <wp:simplePos x="0" y="0"/>
            <wp:positionH relativeFrom="column">
              <wp:posOffset>0</wp:posOffset>
            </wp:positionH>
            <wp:positionV relativeFrom="paragraph">
              <wp:posOffset>152400</wp:posOffset>
            </wp:positionV>
            <wp:extent cx="4629150" cy="6687185"/>
            <wp:effectExtent l="0" t="0" r="0" b="0"/>
            <wp:wrapTopAndBottom/>
            <wp:docPr id="1919137428" name="Imagem 5"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7428" name="Imagem 5" descr="Interface gráfica do usuário&#10;&#10;Descrição gerada automaticamente"/>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29150" cy="6687185"/>
                    </a:xfrm>
                    <a:prstGeom prst="rect">
                      <a:avLst/>
                    </a:prstGeom>
                    <a:noFill/>
                  </pic:spPr>
                </pic:pic>
              </a:graphicData>
            </a:graphic>
          </wp:anchor>
        </w:drawing>
      </w:r>
    </w:p>
    <w:p w14:paraId="09C48917" w14:textId="77777777" w:rsidR="007762DE" w:rsidRDefault="007B1A90" w:rsidP="00AE10D0">
      <w:pPr>
        <w:pStyle w:val="CETCaption"/>
      </w:pPr>
      <w:r>
        <w:t xml:space="preserve">Figure </w:t>
      </w:r>
      <w:r w:rsidR="00F350B6">
        <w:fldChar w:fldCharType="begin"/>
      </w:r>
      <w:r>
        <w:instrText xml:space="preserve"> SEQ Figure \* ARABIC </w:instrText>
      </w:r>
      <w:r w:rsidR="00F350B6">
        <w:fldChar w:fldCharType="separate"/>
      </w:r>
      <w:r>
        <w:t>1</w:t>
      </w:r>
      <w:r w:rsidR="00F350B6">
        <w:fldChar w:fldCharType="end"/>
      </w:r>
      <w:r>
        <w:t>:</w:t>
      </w:r>
      <w:r w:rsidR="007762DE" w:rsidRPr="007762DE">
        <w:t xml:space="preserve"> Pareto chart evaluating the influence of temperature, support composition and active phase composition on reaction yield (a) in case 1; (b) in case 2; (c) in case 3; (d) in case 4; (e) in case 5; (f) in case 6; and ethanol conversion (g) in case 1; (h) in case 2; (i) in case 3; (j) in case 4; (k) in case 5; (l) in case 6.</w:t>
      </w:r>
    </w:p>
    <w:p w14:paraId="53CBDCD2" w14:textId="77777777" w:rsidR="00DF274B" w:rsidRDefault="00B05DD2" w:rsidP="00B05DD2">
      <w:pPr>
        <w:pStyle w:val="CETCaption"/>
        <w:jc w:val="left"/>
      </w:pPr>
      <w:r>
        <w:rPr>
          <w:noProof/>
          <w:lang w:val="pt-BR" w:eastAsia="pt-BR"/>
        </w:rPr>
        <w:lastRenderedPageBreak/>
        <w:drawing>
          <wp:inline distT="0" distB="0" distL="0" distR="0" wp14:anchorId="75A31DC3" wp14:editId="0DB9BB9A">
            <wp:extent cx="4324350" cy="5853672"/>
            <wp:effectExtent l="0" t="0" r="0" b="0"/>
            <wp:docPr id="1483565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9205" cy="5927926"/>
                    </a:xfrm>
                    <a:prstGeom prst="rect">
                      <a:avLst/>
                    </a:prstGeom>
                    <a:noFill/>
                  </pic:spPr>
                </pic:pic>
              </a:graphicData>
            </a:graphic>
          </wp:inline>
        </w:drawing>
      </w:r>
    </w:p>
    <w:p w14:paraId="4EE3373C" w14:textId="77777777" w:rsidR="00DF274B" w:rsidRDefault="007762DE" w:rsidP="007762DE">
      <w:pPr>
        <w:pStyle w:val="CETCaption"/>
      </w:pPr>
      <w:r>
        <w:t xml:space="preserve">Figure </w:t>
      </w:r>
      <w:r w:rsidR="00F350B6">
        <w:fldChar w:fldCharType="begin"/>
      </w:r>
      <w:r>
        <w:instrText xml:space="preserve"> SEQ Figure \* ARABIC </w:instrText>
      </w:r>
      <w:r w:rsidR="00F350B6">
        <w:fldChar w:fldCharType="separate"/>
      </w:r>
      <w:r>
        <w:rPr>
          <w:noProof/>
        </w:rPr>
        <w:t>2</w:t>
      </w:r>
      <w:r w:rsidR="00F350B6">
        <w:fldChar w:fldCharType="end"/>
      </w:r>
      <w:r>
        <w:t>:</w:t>
      </w:r>
      <w:r w:rsidRPr="007762DE">
        <w:t xml:space="preserve"> Desirability function </w:t>
      </w:r>
      <w:r w:rsidR="000A04D9">
        <w:t xml:space="preserve">for hydrogen production </w:t>
      </w:r>
      <w:r w:rsidRPr="007762DE">
        <w:t>considering the parameters of temperature, support composition and active phase composition in the reaction yield (a) in case 1; (b) in case 2; (c) in case 3; (d) in case 4; (e) in case 5; (f) in case 6.</w:t>
      </w:r>
    </w:p>
    <w:p w14:paraId="7DCAD58E" w14:textId="77777777" w:rsidR="008810D1" w:rsidRDefault="009C2AD8" w:rsidP="007762DE">
      <w:pPr>
        <w:pStyle w:val="CETCaption"/>
        <w:rPr>
          <w:i w:val="0"/>
          <w:iCs/>
        </w:rPr>
      </w:pPr>
      <w:r>
        <w:rPr>
          <w:i w:val="0"/>
          <w:iCs/>
          <w:noProof/>
          <w:lang w:val="pt-BR" w:eastAsia="pt-BR"/>
        </w:rPr>
        <w:drawing>
          <wp:inline distT="0" distB="0" distL="0" distR="0" wp14:anchorId="295EBCDE" wp14:editId="328053C9">
            <wp:extent cx="3817343" cy="1285875"/>
            <wp:effectExtent l="0" t="0" r="0" b="0"/>
            <wp:docPr id="82202019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6147" cy="1295578"/>
                    </a:xfrm>
                    <a:prstGeom prst="rect">
                      <a:avLst/>
                    </a:prstGeom>
                    <a:noFill/>
                  </pic:spPr>
                </pic:pic>
              </a:graphicData>
            </a:graphic>
          </wp:inline>
        </w:drawing>
      </w:r>
    </w:p>
    <w:p w14:paraId="696FA3D7" w14:textId="77777777" w:rsidR="001E2CA7" w:rsidRPr="008810D1" w:rsidRDefault="001E2CA7" w:rsidP="007762DE">
      <w:pPr>
        <w:pStyle w:val="CETCaption"/>
        <w:rPr>
          <w:i w:val="0"/>
          <w:iCs/>
        </w:rPr>
      </w:pPr>
      <w:r>
        <w:t xml:space="preserve">Figure </w:t>
      </w:r>
      <w:r w:rsidR="00F350B6">
        <w:fldChar w:fldCharType="begin"/>
      </w:r>
      <w:r>
        <w:instrText xml:space="preserve"> SEQ Figure \* ARABIC </w:instrText>
      </w:r>
      <w:r w:rsidR="00F350B6">
        <w:fldChar w:fldCharType="separate"/>
      </w:r>
      <w:r>
        <w:rPr>
          <w:noProof/>
        </w:rPr>
        <w:t>3</w:t>
      </w:r>
      <w:r w:rsidR="00F350B6">
        <w:fldChar w:fldCharType="end"/>
      </w:r>
      <w:r>
        <w:t>:</w:t>
      </w:r>
      <w:r w:rsidRPr="001E2CA7">
        <w:t>Surface deposition of coke in the microchannel reactor after the reforming reaction (a) reactor without catalyst; (b) reactor with Ni active phase catalyst; (c) reactor with Ni-Cu active phase catalyst; (d) reactor with Ni-Co active phase catalyst.</w:t>
      </w:r>
    </w:p>
    <w:p w14:paraId="7AED67A9" w14:textId="77777777" w:rsidR="00600535" w:rsidRPr="00B57B36" w:rsidRDefault="00600535" w:rsidP="00600535">
      <w:pPr>
        <w:pStyle w:val="CETHeading1"/>
        <w:rPr>
          <w:lang w:val="en-GB"/>
        </w:rPr>
      </w:pPr>
      <w:r w:rsidRPr="00B57B36">
        <w:rPr>
          <w:lang w:val="en-GB"/>
        </w:rPr>
        <w:lastRenderedPageBreak/>
        <w:t>Conclusions</w:t>
      </w:r>
    </w:p>
    <w:p w14:paraId="00AEC891" w14:textId="77777777" w:rsidR="0087436D" w:rsidRDefault="00036357" w:rsidP="00600535">
      <w:pPr>
        <w:pStyle w:val="CETBodytext"/>
        <w:rPr>
          <w:lang w:val="en-GB"/>
        </w:rPr>
      </w:pPr>
      <w:r>
        <w:rPr>
          <w:lang w:val="en-GB"/>
        </w:rPr>
        <w:t>The</w:t>
      </w:r>
      <w:r w:rsidR="00307CD8" w:rsidRPr="00307CD8">
        <w:rPr>
          <w:lang w:val="en-GB"/>
        </w:rPr>
        <w:t xml:space="preserve"> results obtained in this study contribute to a greater understanding of the relationship between the variables in the procedure and the results obtained, both in terms of deposition and the effectiveness of the steam reforming reaction</w:t>
      </w:r>
      <w:r w:rsidR="005A2ADA">
        <w:rPr>
          <w:lang w:val="en-GB"/>
        </w:rPr>
        <w:t xml:space="preserve"> in microchannel reactors</w:t>
      </w:r>
      <w:r w:rsidR="00307CD8" w:rsidRPr="00307CD8">
        <w:rPr>
          <w:lang w:val="en-GB"/>
        </w:rPr>
        <w:t>.</w:t>
      </w:r>
      <w:r w:rsidR="00DB5EB9">
        <w:rPr>
          <w:lang w:val="en-GB"/>
        </w:rPr>
        <w:t xml:space="preserve"> T</w:t>
      </w:r>
      <w:r w:rsidR="00DB5EB9" w:rsidRPr="00DB5EB9">
        <w:rPr>
          <w:lang w:val="en-GB"/>
        </w:rPr>
        <w:t>emperature</w:t>
      </w:r>
      <w:r w:rsidR="00DB5EB9">
        <w:rPr>
          <w:lang w:val="en-GB"/>
        </w:rPr>
        <w:t xml:space="preserve"> has an important role</w:t>
      </w:r>
      <w:r w:rsidR="00DB5EB9" w:rsidRPr="00DB5EB9">
        <w:rPr>
          <w:lang w:val="en-GB"/>
        </w:rPr>
        <w:t xml:space="preserve"> in the process of ESR, demonstrating a direct relationship between temperature and outcomes. </w:t>
      </w:r>
      <w:r>
        <w:rPr>
          <w:lang w:val="en-GB"/>
        </w:rPr>
        <w:t>H</w:t>
      </w:r>
      <w:r w:rsidR="00DB5EB9" w:rsidRPr="00DB5EB9">
        <w:rPr>
          <w:lang w:val="en-GB"/>
        </w:rPr>
        <w:t>igher temperatures led to better results, impacting hydrogen production</w:t>
      </w:r>
      <w:r w:rsidR="00DB5EB9">
        <w:rPr>
          <w:lang w:val="en-GB"/>
        </w:rPr>
        <w:t xml:space="preserve"> and </w:t>
      </w:r>
      <w:r w:rsidR="00DB5EB9" w:rsidRPr="00DB5EB9">
        <w:rPr>
          <w:lang w:val="en-GB"/>
        </w:rPr>
        <w:t xml:space="preserve">ethanol conversion. </w:t>
      </w:r>
    </w:p>
    <w:p w14:paraId="4C51140E" w14:textId="77777777" w:rsidR="0087436D" w:rsidRDefault="00DB5EB9" w:rsidP="00600535">
      <w:pPr>
        <w:pStyle w:val="CETBodytext"/>
        <w:rPr>
          <w:lang w:val="en-GB"/>
        </w:rPr>
      </w:pPr>
      <w:r w:rsidRPr="00DB5EB9">
        <w:rPr>
          <w:lang w:val="en-GB"/>
        </w:rPr>
        <w:t xml:space="preserve">The research also underscores the importance of the composition of catalytic support, finding that catalysts supported by </w:t>
      </w:r>
      <w:r>
        <w:rPr>
          <w:lang w:val="en-GB"/>
        </w:rPr>
        <w:t>CeO</w:t>
      </w:r>
      <w:r w:rsidRPr="00DB5EB9">
        <w:rPr>
          <w:vertAlign w:val="subscript"/>
          <w:lang w:val="en-GB"/>
        </w:rPr>
        <w:t>2</w:t>
      </w:r>
      <w:r>
        <w:rPr>
          <w:lang w:val="en-GB"/>
        </w:rPr>
        <w:t xml:space="preserve"> and ZrO</w:t>
      </w:r>
      <w:r w:rsidRPr="00DB5EB9">
        <w:rPr>
          <w:vertAlign w:val="subscript"/>
          <w:lang w:val="en-GB"/>
        </w:rPr>
        <w:t>2</w:t>
      </w:r>
      <w:r w:rsidRPr="00DB5EB9">
        <w:rPr>
          <w:lang w:val="en-GB"/>
        </w:rPr>
        <w:t xml:space="preserve"> are preferable over those supported by </w:t>
      </w:r>
      <w:r>
        <w:rPr>
          <w:lang w:val="en-GB"/>
        </w:rPr>
        <w:t>Al</w:t>
      </w:r>
      <w:r w:rsidRPr="00DB5EB9">
        <w:rPr>
          <w:vertAlign w:val="subscript"/>
          <w:lang w:val="en-GB"/>
        </w:rPr>
        <w:t>2</w:t>
      </w:r>
      <w:r>
        <w:rPr>
          <w:lang w:val="en-GB"/>
        </w:rPr>
        <w:t>O</w:t>
      </w:r>
      <w:r w:rsidRPr="00DB5EB9">
        <w:rPr>
          <w:vertAlign w:val="subscript"/>
          <w:lang w:val="en-GB"/>
        </w:rPr>
        <w:t>3</w:t>
      </w:r>
      <w:r w:rsidRPr="00DB5EB9">
        <w:rPr>
          <w:lang w:val="en-GB"/>
        </w:rPr>
        <w:t xml:space="preserve"> due to their alkali active sites and improved stability, ultimately minimizing coke formation. According to desirability analysis, the optimal choices for ESR are a reaction temperature of 700°C</w:t>
      </w:r>
      <w:r>
        <w:rPr>
          <w:lang w:val="en-GB"/>
        </w:rPr>
        <w:t xml:space="preserve"> and </w:t>
      </w:r>
      <w:r w:rsidRPr="00DB5EB9">
        <w:rPr>
          <w:lang w:val="en-GB"/>
        </w:rPr>
        <w:t xml:space="preserve">a 50/50 </w:t>
      </w:r>
      <w:r w:rsidR="00ED704A">
        <w:rPr>
          <w:lang w:val="en-GB"/>
        </w:rPr>
        <w:t>wt.%</w:t>
      </w:r>
      <w:r w:rsidRPr="00DB5EB9">
        <w:rPr>
          <w:lang w:val="en-GB"/>
        </w:rPr>
        <w:t xml:space="preserve"> mixture of CeO</w:t>
      </w:r>
      <w:r w:rsidRPr="00DB5EB9">
        <w:rPr>
          <w:vertAlign w:val="subscript"/>
          <w:lang w:val="en-GB"/>
        </w:rPr>
        <w:t>2</w:t>
      </w:r>
      <w:r w:rsidRPr="00DB5EB9">
        <w:rPr>
          <w:lang w:val="en-GB"/>
        </w:rPr>
        <w:t xml:space="preserve"> and ZrO</w:t>
      </w:r>
      <w:r w:rsidRPr="00DB5EB9">
        <w:rPr>
          <w:vertAlign w:val="subscript"/>
          <w:lang w:val="en-GB"/>
        </w:rPr>
        <w:t>2</w:t>
      </w:r>
      <w:r w:rsidRPr="00DB5EB9">
        <w:rPr>
          <w:lang w:val="en-GB"/>
        </w:rPr>
        <w:t xml:space="preserve"> as the primary catalytic support. </w:t>
      </w:r>
    </w:p>
    <w:p w14:paraId="5D7B2B76" w14:textId="77777777" w:rsidR="0087436D" w:rsidRDefault="00DB5EB9" w:rsidP="00600535">
      <w:pPr>
        <w:pStyle w:val="CETBodytext"/>
        <w:rPr>
          <w:lang w:val="en-GB"/>
        </w:rPr>
      </w:pPr>
      <w:r w:rsidRPr="00DB5EB9">
        <w:rPr>
          <w:lang w:val="en-GB"/>
        </w:rPr>
        <w:t>The study also explores bimetallic catalysts, with a preference for Ni-Co over Ni-Cu due to their reduced coke formation,</w:t>
      </w:r>
      <w:r w:rsidR="003079ED">
        <w:rPr>
          <w:lang w:val="en-GB"/>
        </w:rPr>
        <w:t xml:space="preserve"> and</w:t>
      </w:r>
      <w:r w:rsidRPr="00DB5EB9">
        <w:rPr>
          <w:lang w:val="en-GB"/>
        </w:rPr>
        <w:t xml:space="preserve"> better gas-water shift reaction. </w:t>
      </w:r>
      <w:r w:rsidR="005B10A8">
        <w:rPr>
          <w:lang w:val="en-GB"/>
        </w:rPr>
        <w:t xml:space="preserve">Therefore, </w:t>
      </w:r>
      <w:r w:rsidR="005B10A8" w:rsidRPr="005B10A8">
        <w:rPr>
          <w:lang w:val="en-GB"/>
        </w:rPr>
        <w:t xml:space="preserve">a ceria/zirconia and Ni-Co active phase catalyst at 700°C for </w:t>
      </w:r>
      <w:r w:rsidR="005B10A8">
        <w:rPr>
          <w:lang w:val="en-GB"/>
        </w:rPr>
        <w:t xml:space="preserve">ethanol </w:t>
      </w:r>
      <w:r w:rsidR="005B10A8" w:rsidRPr="005B10A8">
        <w:rPr>
          <w:lang w:val="en-GB"/>
        </w:rPr>
        <w:t xml:space="preserve">steam reforming is the </w:t>
      </w:r>
      <w:r w:rsidR="005B10A8">
        <w:rPr>
          <w:lang w:val="en-GB"/>
        </w:rPr>
        <w:t>selected</w:t>
      </w:r>
      <w:r w:rsidR="005B10A8" w:rsidRPr="005B10A8">
        <w:rPr>
          <w:lang w:val="en-GB"/>
        </w:rPr>
        <w:t xml:space="preserve"> condition to enhance hydrogen production while minimizing coke formation in a microchannel reactor.</w:t>
      </w:r>
    </w:p>
    <w:p w14:paraId="593F3305" w14:textId="77777777" w:rsidR="001D0CFB" w:rsidRDefault="00DB5EB9" w:rsidP="00600535">
      <w:pPr>
        <w:pStyle w:val="CETBodytext"/>
        <w:rPr>
          <w:lang w:val="en-GB"/>
        </w:rPr>
      </w:pPr>
      <w:r w:rsidRPr="00DB5EB9">
        <w:rPr>
          <w:lang w:val="en-GB"/>
        </w:rPr>
        <w:t>Recognizing these nuanced aspects provides valuable insights for future research, highlighting the importance of thoroughly evaluating stability under chosen conditions to ensure long-term efficiency in the steam reforming of ethanol</w:t>
      </w:r>
      <w:r>
        <w:rPr>
          <w:lang w:val="en-GB"/>
        </w:rPr>
        <w:t>.</w:t>
      </w:r>
    </w:p>
    <w:p w14:paraId="689528E5" w14:textId="77777777" w:rsidR="00274961" w:rsidRDefault="00274961" w:rsidP="00600535">
      <w:pPr>
        <w:pStyle w:val="CETBodytext"/>
        <w:rPr>
          <w:lang w:val="en-GB"/>
        </w:rPr>
      </w:pPr>
    </w:p>
    <w:p w14:paraId="3D4ED07A" w14:textId="77777777" w:rsidR="00280FAF" w:rsidRPr="00280FAF" w:rsidRDefault="00280FAF" w:rsidP="00280FAF">
      <w:pPr>
        <w:pStyle w:val="CETHeadingxx"/>
        <w:rPr>
          <w:lang w:val="en-GB"/>
        </w:rPr>
        <w:sectPr w:rsidR="00280FAF" w:rsidRPr="00280FAF" w:rsidSect="00515B23">
          <w:type w:val="continuous"/>
          <w:pgSz w:w="11906" w:h="16838" w:code="9"/>
          <w:pgMar w:top="1701" w:right="1418" w:bottom="1701" w:left="1701" w:header="1701" w:footer="0" w:gutter="0"/>
          <w:cols w:space="708"/>
          <w:formProt w:val="0"/>
          <w:titlePg/>
          <w:docGrid w:linePitch="360"/>
        </w:sectPr>
      </w:pPr>
      <w:r>
        <w:t>Nomenclature</w:t>
      </w:r>
    </w:p>
    <w:p w14:paraId="13A0B8C2" w14:textId="77777777" w:rsidR="009F24A4" w:rsidRDefault="009F24A4" w:rsidP="009F24A4">
      <w:pPr>
        <w:pStyle w:val="CETBodytext"/>
        <w:jc w:val="left"/>
        <w:rPr>
          <w:lang w:val="en-GB"/>
        </w:rPr>
      </w:pPr>
      <w:r w:rsidRPr="0034345C">
        <w:t>DLMS</w:t>
      </w:r>
      <w:r>
        <w:t xml:space="preserve"> – D</w:t>
      </w:r>
      <w:r w:rsidRPr="009F24A4">
        <w:t>irect laser metal sintering</w:t>
      </w:r>
    </w:p>
    <w:p w14:paraId="17DC9530" w14:textId="77777777" w:rsidR="009F24A4" w:rsidRDefault="009F24A4" w:rsidP="009F24A4">
      <w:pPr>
        <w:pStyle w:val="CETBodytext"/>
        <w:jc w:val="left"/>
        <w:rPr>
          <w:lang w:val="en-GB"/>
        </w:rPr>
      </w:pPr>
      <w:r w:rsidRPr="00E21036">
        <w:rPr>
          <w:lang w:val="en-GB"/>
        </w:rPr>
        <w:t>ESR</w:t>
      </w:r>
      <w:r>
        <w:rPr>
          <w:lang w:val="en-GB"/>
        </w:rPr>
        <w:t xml:space="preserve"> – E</w:t>
      </w:r>
      <w:r w:rsidRPr="00AF0D38">
        <w:rPr>
          <w:lang w:val="en-GB"/>
        </w:rPr>
        <w:t>thanol steam reforming</w:t>
      </w:r>
    </w:p>
    <w:p w14:paraId="04541A73" w14:textId="77777777" w:rsidR="009F24A4" w:rsidRDefault="009F24A4" w:rsidP="009F24A4">
      <w:pPr>
        <w:pStyle w:val="CETBodytext"/>
        <w:jc w:val="left"/>
      </w:pPr>
      <w:r w:rsidRPr="0034345C">
        <w:t>FID</w:t>
      </w:r>
      <w:r>
        <w:t xml:space="preserve"> – Flame Ionization Detector </w:t>
      </w:r>
    </w:p>
    <w:p w14:paraId="2987503F" w14:textId="77777777" w:rsidR="009F24A4" w:rsidRDefault="009F24A4" w:rsidP="009F24A4">
      <w:pPr>
        <w:pStyle w:val="CETBodytext"/>
        <w:jc w:val="left"/>
        <w:rPr>
          <w:rFonts w:eastAsia="SimSun"/>
          <w:highlight w:val="yellow"/>
        </w:rPr>
      </w:pPr>
      <w:r>
        <w:t>TCD – Thermal Conductivity Detector</w:t>
      </w:r>
    </w:p>
    <w:p w14:paraId="471E49A4" w14:textId="77777777" w:rsidR="009F24A4" w:rsidRPr="00E377D0" w:rsidRDefault="009F24A4" w:rsidP="00280FAF">
      <w:pPr>
        <w:pStyle w:val="CETBodytext"/>
        <w:jc w:val="left"/>
        <w:rPr>
          <w:rFonts w:eastAsia="SimSun"/>
        </w:rPr>
        <w:sectPr w:rsidR="009F24A4" w:rsidRPr="00E377D0" w:rsidSect="00515B23">
          <w:type w:val="continuous"/>
          <w:pgSz w:w="11906" w:h="16838" w:code="9"/>
          <w:pgMar w:top="1701" w:right="1418" w:bottom="1701" w:left="1701" w:header="1701" w:footer="0" w:gutter="0"/>
          <w:cols w:num="2" w:space="708"/>
          <w:formProt w:val="0"/>
          <w:titlePg/>
          <w:docGrid w:linePitch="360"/>
        </w:sectPr>
      </w:pPr>
      <w:r>
        <w:rPr>
          <w:rFonts w:eastAsia="SimSun"/>
        </w:rPr>
        <w:t xml:space="preserve">wt. – Weight </w:t>
      </w:r>
    </w:p>
    <w:p w14:paraId="6FFC00BA" w14:textId="77777777" w:rsidR="00600535" w:rsidRPr="00B57B36" w:rsidRDefault="00600535" w:rsidP="00600535">
      <w:pPr>
        <w:pStyle w:val="CETAcknowledgementstitle"/>
      </w:pPr>
      <w:bookmarkStart w:id="0" w:name="_Hlk156199433"/>
      <w:r w:rsidRPr="00B57B36">
        <w:t>Acknowledgments</w:t>
      </w:r>
    </w:p>
    <w:p w14:paraId="31B4CBD8" w14:textId="3C4571F8" w:rsidR="00600535" w:rsidRPr="00B57B36" w:rsidRDefault="007F31EA" w:rsidP="00600535">
      <w:pPr>
        <w:pStyle w:val="CETBodytext"/>
        <w:rPr>
          <w:lang w:val="en-GB"/>
        </w:rPr>
      </w:pPr>
      <w:r w:rsidRPr="007F31EA">
        <w:rPr>
          <w:lang w:val="en-GB"/>
        </w:rPr>
        <w:t>The authors gratefully acknowledge the support from FAPESP (the Sao Paulo Research Foundation, Project Number 2022/10644-1, Grant Numbers 2021/08940-9</w:t>
      </w:r>
      <w:r w:rsidR="00B20575">
        <w:rPr>
          <w:lang w:val="en-GB"/>
        </w:rPr>
        <w:t>, 20</w:t>
      </w:r>
      <w:r w:rsidR="00B20575" w:rsidRPr="00B20575">
        <w:rPr>
          <w:lang w:val="en-GB"/>
        </w:rPr>
        <w:t>22/02016-0</w:t>
      </w:r>
      <w:r w:rsidRPr="007F31EA">
        <w:rPr>
          <w:lang w:val="en-GB"/>
        </w:rPr>
        <w:t xml:space="preserve"> and 2023/14455-1)</w:t>
      </w:r>
      <w:r w:rsidR="00E041FA">
        <w:rPr>
          <w:lang w:val="en-GB"/>
        </w:rPr>
        <w:t>,</w:t>
      </w:r>
      <w:r w:rsidR="00E041FA" w:rsidRPr="00E041FA">
        <w:rPr>
          <w:color w:val="000000"/>
        </w:rPr>
        <w:t xml:space="preserve"> </w:t>
      </w:r>
      <w:r w:rsidR="00E041FA">
        <w:rPr>
          <w:color w:val="000000"/>
        </w:rPr>
        <w:t>and to Vesta Green</w:t>
      </w:r>
      <w:r w:rsidR="00C63571">
        <w:rPr>
          <w:color w:val="000000"/>
        </w:rPr>
        <w:t>t</w:t>
      </w:r>
      <w:r w:rsidR="00E041FA">
        <w:rPr>
          <w:color w:val="000000"/>
        </w:rPr>
        <w:t>ech</w:t>
      </w:r>
      <w:r w:rsidR="00B815A1">
        <w:rPr>
          <w:color w:val="000000"/>
        </w:rPr>
        <w:t>.</w:t>
      </w:r>
    </w:p>
    <w:bookmarkEnd w:id="0"/>
    <w:p w14:paraId="7FFCE313" w14:textId="77777777" w:rsidR="00600535" w:rsidRPr="00B57B36" w:rsidRDefault="00600535" w:rsidP="00600535">
      <w:pPr>
        <w:pStyle w:val="CETReference"/>
      </w:pPr>
      <w:r w:rsidRPr="00B57B36">
        <w:t>References</w:t>
      </w:r>
    </w:p>
    <w:p w14:paraId="23A0464B" w14:textId="77777777" w:rsidR="005A7346" w:rsidRPr="00605144" w:rsidRDefault="005A7346" w:rsidP="00906B74">
      <w:pPr>
        <w:pStyle w:val="CETReferencetext"/>
        <w:rPr>
          <w:lang w:val="pt-BR"/>
        </w:rPr>
      </w:pPr>
      <w:bookmarkStart w:id="1" w:name="_Hlk156199570"/>
      <w:r w:rsidRPr="00814F21">
        <w:rPr>
          <w:lang w:val="en-US"/>
        </w:rPr>
        <w:t xml:space="preserve">Bineli A., 2013, </w:t>
      </w:r>
      <w:r w:rsidR="00814F21" w:rsidRPr="00906B74">
        <w:t>Design</w:t>
      </w:r>
      <w:r w:rsidR="00906B74" w:rsidRPr="00906B74">
        <w:t>, Manufacture and Testing of a Catalytic Microreactor for Hydrogen Production from Ethanol Steam Reforming</w:t>
      </w:r>
      <w:r w:rsidRPr="00906B74">
        <w:t xml:space="preserve">. </w:t>
      </w:r>
      <w:r w:rsidRPr="00605144">
        <w:rPr>
          <w:lang w:val="pt-BR"/>
        </w:rPr>
        <w:t>PhD Thesis, Faculdade de Engenharia Química da Universidade Estadual de Campinas, Campinas, SP, Brazil.</w:t>
      </w:r>
    </w:p>
    <w:bookmarkEnd w:id="1"/>
    <w:p w14:paraId="56B55E6C" w14:textId="77777777" w:rsidR="008B362A" w:rsidRPr="00906B74" w:rsidRDefault="008B362A" w:rsidP="00906B74">
      <w:pPr>
        <w:pStyle w:val="CETReferencetext"/>
      </w:pPr>
      <w:r w:rsidRPr="00906B74">
        <w:t>Bshish</w:t>
      </w:r>
      <w:r w:rsidR="005A7346" w:rsidRPr="00906B74">
        <w:t xml:space="preserve"> A., Yakoob Z., Narayanan B., Ramakrishnan R., Ebshish A., </w:t>
      </w:r>
      <w:r w:rsidRPr="00906B74">
        <w:t>2010</w:t>
      </w:r>
      <w:r w:rsidR="005A7346" w:rsidRPr="00906B74">
        <w:t xml:space="preserve">, Steam-reforming of </w:t>
      </w:r>
      <w:r w:rsidR="00906B74" w:rsidRPr="00906B74">
        <w:t>E</w:t>
      </w:r>
      <w:r w:rsidR="005A7346" w:rsidRPr="00906B74">
        <w:t xml:space="preserve">thanol for </w:t>
      </w:r>
      <w:r w:rsidR="00906B74" w:rsidRPr="00906B74">
        <w:t>H</w:t>
      </w:r>
      <w:r w:rsidR="005A7346" w:rsidRPr="00906B74">
        <w:t xml:space="preserve">ydrogen </w:t>
      </w:r>
      <w:r w:rsidR="00906B74" w:rsidRPr="00906B74">
        <w:t>P</w:t>
      </w:r>
      <w:r w:rsidR="005A7346" w:rsidRPr="00906B74">
        <w:t>roduction, Chemical Papers, 65, 251–266.</w:t>
      </w:r>
    </w:p>
    <w:p w14:paraId="06F43166" w14:textId="77777777" w:rsidR="007B1A90" w:rsidRDefault="007B1A90" w:rsidP="00906B74">
      <w:pPr>
        <w:pStyle w:val="CETReferencetext"/>
      </w:pPr>
      <w:r w:rsidRPr="00906B74">
        <w:t>Costa</w:t>
      </w:r>
      <w:r w:rsidR="005A7346" w:rsidRPr="00906B74">
        <w:t xml:space="preserve"> N. R., Lourenço J., Pereira Z.L.,</w:t>
      </w:r>
      <w:r w:rsidRPr="00906B74">
        <w:t xml:space="preserve"> 2011</w:t>
      </w:r>
      <w:r w:rsidR="005A7346" w:rsidRPr="00906B74">
        <w:t xml:space="preserve">, Desirability </w:t>
      </w:r>
      <w:r w:rsidR="00906B74" w:rsidRPr="00906B74">
        <w:t>F</w:t>
      </w:r>
      <w:r w:rsidR="005A7346" w:rsidRPr="00906B74">
        <w:t xml:space="preserve">unction </w:t>
      </w:r>
      <w:r w:rsidR="00906B74" w:rsidRPr="00906B74">
        <w:t>A</w:t>
      </w:r>
      <w:r w:rsidR="005A7346" w:rsidRPr="00906B74">
        <w:t xml:space="preserve">pproach: A </w:t>
      </w:r>
      <w:r w:rsidR="00906B74" w:rsidRPr="00906B74">
        <w:t>R</w:t>
      </w:r>
      <w:r w:rsidR="005A7346" w:rsidRPr="00906B74">
        <w:t xml:space="preserve">eview and </w:t>
      </w:r>
      <w:r w:rsidR="00906B74" w:rsidRPr="00906B74">
        <w:t>P</w:t>
      </w:r>
      <w:r w:rsidR="005A7346" w:rsidRPr="00906B74">
        <w:t xml:space="preserve">erformance </w:t>
      </w:r>
      <w:r w:rsidR="00906B74" w:rsidRPr="00906B74">
        <w:t>E</w:t>
      </w:r>
      <w:r w:rsidR="005A7346" w:rsidRPr="00906B74">
        <w:t xml:space="preserve">valuation in </w:t>
      </w:r>
      <w:r w:rsidR="00906B74" w:rsidRPr="00906B74">
        <w:t>A</w:t>
      </w:r>
      <w:r w:rsidR="005A7346" w:rsidRPr="00906B74">
        <w:t xml:space="preserve">dverse </w:t>
      </w:r>
      <w:r w:rsidR="00906B74" w:rsidRPr="00906B74">
        <w:t>C</w:t>
      </w:r>
      <w:r w:rsidR="005A7346" w:rsidRPr="00906B74">
        <w:t>onditions, Chemometrics and Intelligent Laboratory Systems, 107, 234-244.</w:t>
      </w:r>
    </w:p>
    <w:p w14:paraId="6117D990" w14:textId="77777777" w:rsidR="00DA380F" w:rsidRPr="00906B74" w:rsidRDefault="00DA380F" w:rsidP="00906B74">
      <w:pPr>
        <w:pStyle w:val="CETReferencetext"/>
      </w:pPr>
      <w:r>
        <w:t xml:space="preserve">Deng Y., Li S., Apples L., Zhang H., Sweygers N., Baeyens J, Dewil R.., 2023, </w:t>
      </w:r>
      <w:r w:rsidRPr="00DA380F">
        <w:t>Steam reforming of ethanol by non-noble metal catalysts</w:t>
      </w:r>
      <w:r>
        <w:t xml:space="preserve">, </w:t>
      </w:r>
      <w:r w:rsidRPr="00DA380F">
        <w:t>Renewable and Sustainable Energy Reviews</w:t>
      </w:r>
      <w:r>
        <w:t xml:space="preserve">, 175, </w:t>
      </w:r>
      <w:r w:rsidR="00BA4674">
        <w:t>113184.</w:t>
      </w:r>
    </w:p>
    <w:p w14:paraId="6B025C66" w14:textId="77777777" w:rsidR="005A7346" w:rsidRPr="00906B74" w:rsidRDefault="005A7346" w:rsidP="00906B74">
      <w:pPr>
        <w:pStyle w:val="CETReferencetext"/>
      </w:pPr>
      <w:r w:rsidRPr="00906B74">
        <w:t>IEA, 2023, Global Hydrogen Review 2023, IEA, Paris https://www.iea.org/reports/global-hydrogen-review-2023, License: CC BY 4.0</w:t>
      </w:r>
    </w:p>
    <w:p w14:paraId="549FB542" w14:textId="77777777" w:rsidR="00091212" w:rsidRPr="00906B74" w:rsidRDefault="00091212" w:rsidP="00906B74">
      <w:pPr>
        <w:pStyle w:val="CETReferencetext"/>
      </w:pPr>
      <w:r w:rsidRPr="00906B74">
        <w:t>Llorca</w:t>
      </w:r>
      <w:r w:rsidR="005A7346" w:rsidRPr="00906B74">
        <w:t xml:space="preserve"> J.</w:t>
      </w:r>
      <w:r w:rsidR="00814F21" w:rsidRPr="00906B74">
        <w:t>,Homs N., Sales J., Ramirez de la Piscina</w:t>
      </w:r>
      <w:r w:rsidRPr="00906B74">
        <w:t>, 2002</w:t>
      </w:r>
      <w:r w:rsidR="00814F21" w:rsidRPr="00906B74">
        <w:t xml:space="preserve">, Efficient </w:t>
      </w:r>
      <w:r w:rsidR="00906B74" w:rsidRPr="00906B74">
        <w:t>Production of Hydrogen over Supported Cobalt Catalysts from Ethanol Steam Reforming,</w:t>
      </w:r>
      <w:r w:rsidR="00814F21" w:rsidRPr="00906B74">
        <w:t xml:space="preserve"> Journal of Catalysis, 209, 306–317.</w:t>
      </w:r>
    </w:p>
    <w:p w14:paraId="0DF976BA" w14:textId="77777777" w:rsidR="001719FA" w:rsidRDefault="008D34F5" w:rsidP="00906B74">
      <w:pPr>
        <w:pStyle w:val="CETReferencetext"/>
      </w:pPr>
      <w:r w:rsidRPr="00906B74">
        <w:t>Llorca</w:t>
      </w:r>
      <w:r w:rsidR="00814F21" w:rsidRPr="00906B74">
        <w:t xml:space="preserve"> J., Corbera V. C., Divins N. J., Fraile R. O., Taboada E</w:t>
      </w:r>
      <w:r w:rsidRPr="00906B74">
        <w:t>., 2013</w:t>
      </w:r>
      <w:r w:rsidR="00814F21" w:rsidRPr="00906B74">
        <w:t>, Hydrogen from Bioethanol, Chapter In: Gandia L. M., Arzamedi G., Dieguez P. M. (Ed.), Renewable Hydrogen Technologies: Production, Purification, Storage, Applications and Safety, Elsevier Science and Technology, 135-169.</w:t>
      </w:r>
    </w:p>
    <w:p w14:paraId="364C7791" w14:textId="77777777" w:rsidR="000D6583" w:rsidRDefault="000D6583" w:rsidP="00906B74">
      <w:pPr>
        <w:pStyle w:val="CETReferencetext"/>
        <w:rPr>
          <w:lang w:val="en-US"/>
        </w:rPr>
      </w:pPr>
      <w:r w:rsidRPr="000D6583">
        <w:rPr>
          <w:lang w:val="en-US"/>
        </w:rPr>
        <w:t>Rosha P., Ali F. M., Ibrahim H., 2023, Recent advances in hydrogen production through catalytic steam reforming of ethanol: Advances in catalytic design</w:t>
      </w:r>
      <w:r>
        <w:rPr>
          <w:lang w:val="en-US"/>
        </w:rPr>
        <w:t>,</w:t>
      </w:r>
      <w:r w:rsidRPr="000D6583">
        <w:rPr>
          <w:lang w:val="en-US"/>
        </w:rPr>
        <w:t>The Canadian Journal of Chemical Engineering</w:t>
      </w:r>
      <w:r>
        <w:rPr>
          <w:lang w:val="en-US"/>
        </w:rPr>
        <w:t>, 101, 10, 5441–6044.</w:t>
      </w:r>
    </w:p>
    <w:p w14:paraId="2E93BFC8" w14:textId="77777777" w:rsidR="004B2ED4" w:rsidRDefault="004B2ED4" w:rsidP="00906B74">
      <w:pPr>
        <w:pStyle w:val="CETReferencetext"/>
        <w:rPr>
          <w:lang w:val="en-US"/>
        </w:rPr>
      </w:pPr>
      <w:r w:rsidRPr="004B2ED4">
        <w:rPr>
          <w:lang w:val="en-US"/>
        </w:rPr>
        <w:t>Schneider, C. A., Rasband, W. S., Eliceiri, K. W.</w:t>
      </w:r>
      <w:r>
        <w:rPr>
          <w:lang w:val="en-US"/>
        </w:rPr>
        <w:t xml:space="preserve">, </w:t>
      </w:r>
      <w:r w:rsidRPr="004B2ED4">
        <w:rPr>
          <w:lang w:val="en-US"/>
        </w:rPr>
        <w:t>2012</w:t>
      </w:r>
      <w:r>
        <w:rPr>
          <w:lang w:val="en-US"/>
        </w:rPr>
        <w:t>,</w:t>
      </w:r>
      <w:r w:rsidRPr="004B2ED4">
        <w:rPr>
          <w:lang w:val="en-US"/>
        </w:rPr>
        <w:t xml:space="preserve"> NIH Image to ImageJ: 25 years of image analysis</w:t>
      </w:r>
      <w:r>
        <w:rPr>
          <w:lang w:val="en-US"/>
        </w:rPr>
        <w:t xml:space="preserve">, </w:t>
      </w:r>
      <w:r w:rsidRPr="004B2ED4">
        <w:rPr>
          <w:lang w:val="en-US"/>
        </w:rPr>
        <w:t>Nature Methods, 9, 671–675.</w:t>
      </w:r>
    </w:p>
    <w:p w14:paraId="753127C8" w14:textId="77777777" w:rsidR="00BA4674" w:rsidRPr="000D6583" w:rsidRDefault="00BA4674" w:rsidP="00906B74">
      <w:pPr>
        <w:pStyle w:val="CETReferencetext"/>
        <w:rPr>
          <w:lang w:val="en-US"/>
        </w:rPr>
      </w:pPr>
      <w:r>
        <w:rPr>
          <w:lang w:val="en-US"/>
        </w:rPr>
        <w:t xml:space="preserve">StatSoft Inc., 2004, </w:t>
      </w:r>
      <w:r w:rsidRPr="00BA4674">
        <w:rPr>
          <w:lang w:val="en-US"/>
        </w:rPr>
        <w:t>STATISTICA (Data Analysis Software System), Version 7.</w:t>
      </w:r>
    </w:p>
    <w:p w14:paraId="79D01279" w14:textId="77777777" w:rsidR="00814F21" w:rsidRDefault="00814F21" w:rsidP="00906B74">
      <w:pPr>
        <w:pStyle w:val="CETReferencetext"/>
        <w:rPr>
          <w:lang w:val="en-US"/>
        </w:rPr>
      </w:pPr>
      <w:r w:rsidRPr="00906B74">
        <w:t>Vasudeva K., Mitra N., Umasankar P., Dhingra S. C., 199</w:t>
      </w:r>
      <w:r w:rsidR="00906B74" w:rsidRPr="00906B74">
        <w:t>6</w:t>
      </w:r>
      <w:r w:rsidRPr="00906B74">
        <w:t xml:space="preserve">, </w:t>
      </w:r>
      <w:r w:rsidR="00906B74" w:rsidRPr="00906B74">
        <w:t>Steam Reforming of Ethanol for Hydrogen Production: Thermodynamic Analysis</w:t>
      </w:r>
      <w:r w:rsidRPr="00906B74">
        <w:t>, International Journal of Hydrogen Energy,</w:t>
      </w:r>
      <w:r>
        <w:rPr>
          <w:lang w:val="en-US"/>
        </w:rPr>
        <w:t xml:space="preserve"> 21, </w:t>
      </w:r>
      <w:r w:rsidR="00906B74">
        <w:rPr>
          <w:lang w:val="en-US"/>
        </w:rPr>
        <w:t>13-18.</w:t>
      </w:r>
    </w:p>
    <w:p w14:paraId="3E619EAC" w14:textId="77777777" w:rsidR="00BA4674" w:rsidRPr="00BA4674" w:rsidRDefault="00BA4674" w:rsidP="00906B74">
      <w:pPr>
        <w:pStyle w:val="CETReferencetext"/>
        <w:rPr>
          <w:lang w:val="en-US"/>
        </w:rPr>
      </w:pPr>
      <w:r w:rsidRPr="00BA4674">
        <w:rPr>
          <w:lang w:val="en-US"/>
        </w:rPr>
        <w:t xml:space="preserve">Verdnik A., Pintarič Z. N., Kravanja Z., </w:t>
      </w:r>
      <w:r>
        <w:rPr>
          <w:lang w:val="en-US"/>
        </w:rPr>
        <w:t xml:space="preserve">2022, </w:t>
      </w:r>
      <w:r w:rsidRPr="00BA4674">
        <w:rPr>
          <w:lang w:val="en-US"/>
        </w:rPr>
        <w:t>Process Intensification with Microprocess Engineering</w:t>
      </w:r>
      <w:r>
        <w:rPr>
          <w:lang w:val="en-US"/>
        </w:rPr>
        <w:t xml:space="preserve">, </w:t>
      </w:r>
      <w:r w:rsidRPr="00BA4674">
        <w:rPr>
          <w:lang w:val="en-US"/>
        </w:rPr>
        <w:t>Chemical Engineering Transactions</w:t>
      </w:r>
      <w:r>
        <w:rPr>
          <w:lang w:val="en-US"/>
        </w:rPr>
        <w:t>, 94, 589 – 594.</w:t>
      </w:r>
    </w:p>
    <w:sectPr w:rsidR="00BA4674" w:rsidRPr="00BA4674" w:rsidSect="00515B2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75A0D" w14:textId="77777777" w:rsidR="00515B23" w:rsidRDefault="00515B23" w:rsidP="004F5E36">
      <w:r>
        <w:separator/>
      </w:r>
    </w:p>
  </w:endnote>
  <w:endnote w:type="continuationSeparator" w:id="0">
    <w:p w14:paraId="0902680D" w14:textId="77777777" w:rsidR="00515B23" w:rsidRDefault="00515B2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A7128" w14:textId="77777777" w:rsidR="00515B23" w:rsidRDefault="00515B23" w:rsidP="004F5E36">
      <w:r>
        <w:separator/>
      </w:r>
    </w:p>
  </w:footnote>
  <w:footnote w:type="continuationSeparator" w:id="0">
    <w:p w14:paraId="060E33A3" w14:textId="77777777" w:rsidR="00515B23" w:rsidRDefault="00515B2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2263005">
    <w:abstractNumId w:val="10"/>
  </w:num>
  <w:num w:numId="2" w16cid:durableId="1134954615">
    <w:abstractNumId w:val="8"/>
  </w:num>
  <w:num w:numId="3" w16cid:durableId="564338513">
    <w:abstractNumId w:val="3"/>
  </w:num>
  <w:num w:numId="4" w16cid:durableId="1995452037">
    <w:abstractNumId w:val="2"/>
  </w:num>
  <w:num w:numId="5" w16cid:durableId="133065330">
    <w:abstractNumId w:val="1"/>
  </w:num>
  <w:num w:numId="6" w16cid:durableId="2086414989">
    <w:abstractNumId w:val="0"/>
  </w:num>
  <w:num w:numId="7" w16cid:durableId="646201499">
    <w:abstractNumId w:val="9"/>
  </w:num>
  <w:num w:numId="8" w16cid:durableId="2120878796">
    <w:abstractNumId w:val="7"/>
  </w:num>
  <w:num w:numId="9" w16cid:durableId="125009447">
    <w:abstractNumId w:val="6"/>
  </w:num>
  <w:num w:numId="10" w16cid:durableId="505941382">
    <w:abstractNumId w:val="5"/>
  </w:num>
  <w:num w:numId="11" w16cid:durableId="927155463">
    <w:abstractNumId w:val="4"/>
  </w:num>
  <w:num w:numId="12" w16cid:durableId="1110780793">
    <w:abstractNumId w:val="17"/>
  </w:num>
  <w:num w:numId="13" w16cid:durableId="159546668">
    <w:abstractNumId w:val="12"/>
  </w:num>
  <w:num w:numId="14" w16cid:durableId="359357061">
    <w:abstractNumId w:val="18"/>
  </w:num>
  <w:num w:numId="15" w16cid:durableId="1835949987">
    <w:abstractNumId w:val="20"/>
  </w:num>
  <w:num w:numId="16" w16cid:durableId="938290069">
    <w:abstractNumId w:val="19"/>
  </w:num>
  <w:num w:numId="17" w16cid:durableId="889994023">
    <w:abstractNumId w:val="11"/>
  </w:num>
  <w:num w:numId="18" w16cid:durableId="56247459">
    <w:abstractNumId w:val="12"/>
    <w:lvlOverride w:ilvl="0">
      <w:startOverride w:val="1"/>
    </w:lvlOverride>
  </w:num>
  <w:num w:numId="19" w16cid:durableId="1840078181">
    <w:abstractNumId w:val="16"/>
  </w:num>
  <w:num w:numId="20" w16cid:durableId="1916163778">
    <w:abstractNumId w:val="15"/>
  </w:num>
  <w:num w:numId="21" w16cid:durableId="1855848956">
    <w:abstractNumId w:val="14"/>
  </w:num>
  <w:num w:numId="22" w16cid:durableId="3921188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4103"/>
    <w:rsid w:val="000261F8"/>
    <w:rsid w:val="0003148D"/>
    <w:rsid w:val="00031EEC"/>
    <w:rsid w:val="00036357"/>
    <w:rsid w:val="00051566"/>
    <w:rsid w:val="000562A9"/>
    <w:rsid w:val="00062A9A"/>
    <w:rsid w:val="00065058"/>
    <w:rsid w:val="00086C39"/>
    <w:rsid w:val="00091212"/>
    <w:rsid w:val="00094FB2"/>
    <w:rsid w:val="000955BF"/>
    <w:rsid w:val="0009745E"/>
    <w:rsid w:val="000A03B2"/>
    <w:rsid w:val="000A04D9"/>
    <w:rsid w:val="000D0268"/>
    <w:rsid w:val="000D34BE"/>
    <w:rsid w:val="000D6583"/>
    <w:rsid w:val="000E102F"/>
    <w:rsid w:val="000E36F1"/>
    <w:rsid w:val="000E3A73"/>
    <w:rsid w:val="000E414A"/>
    <w:rsid w:val="000E50AC"/>
    <w:rsid w:val="000F093C"/>
    <w:rsid w:val="000F787B"/>
    <w:rsid w:val="00117824"/>
    <w:rsid w:val="0012091F"/>
    <w:rsid w:val="00126BC2"/>
    <w:rsid w:val="001308B6"/>
    <w:rsid w:val="0013121F"/>
    <w:rsid w:val="00131FE6"/>
    <w:rsid w:val="0013263F"/>
    <w:rsid w:val="001331DF"/>
    <w:rsid w:val="00134DE4"/>
    <w:rsid w:val="0014034D"/>
    <w:rsid w:val="001414D0"/>
    <w:rsid w:val="00144D16"/>
    <w:rsid w:val="00150E59"/>
    <w:rsid w:val="00152DE3"/>
    <w:rsid w:val="00156F74"/>
    <w:rsid w:val="00164CF9"/>
    <w:rsid w:val="001667A6"/>
    <w:rsid w:val="001712AD"/>
    <w:rsid w:val="001719FA"/>
    <w:rsid w:val="0017495D"/>
    <w:rsid w:val="00184AD6"/>
    <w:rsid w:val="00185A5A"/>
    <w:rsid w:val="001A4AF7"/>
    <w:rsid w:val="001B0349"/>
    <w:rsid w:val="001B1E93"/>
    <w:rsid w:val="001B3918"/>
    <w:rsid w:val="001B65C1"/>
    <w:rsid w:val="001C684B"/>
    <w:rsid w:val="001C717A"/>
    <w:rsid w:val="001D0CFB"/>
    <w:rsid w:val="001D21AF"/>
    <w:rsid w:val="001D53FC"/>
    <w:rsid w:val="001D5A7F"/>
    <w:rsid w:val="001E0810"/>
    <w:rsid w:val="001E2CA7"/>
    <w:rsid w:val="001F42A5"/>
    <w:rsid w:val="001F7B9D"/>
    <w:rsid w:val="00201C93"/>
    <w:rsid w:val="002224B4"/>
    <w:rsid w:val="002447EF"/>
    <w:rsid w:val="00251550"/>
    <w:rsid w:val="00255B0B"/>
    <w:rsid w:val="00260DFD"/>
    <w:rsid w:val="00263B05"/>
    <w:rsid w:val="002719FF"/>
    <w:rsid w:val="0027221A"/>
    <w:rsid w:val="00274961"/>
    <w:rsid w:val="00275B61"/>
    <w:rsid w:val="00280FAF"/>
    <w:rsid w:val="00282656"/>
    <w:rsid w:val="00296B83"/>
    <w:rsid w:val="002B4015"/>
    <w:rsid w:val="002B78CE"/>
    <w:rsid w:val="002C2FB6"/>
    <w:rsid w:val="002E5FA7"/>
    <w:rsid w:val="002F3309"/>
    <w:rsid w:val="003008CE"/>
    <w:rsid w:val="003009B7"/>
    <w:rsid w:val="00300E56"/>
    <w:rsid w:val="0030152C"/>
    <w:rsid w:val="0030469C"/>
    <w:rsid w:val="003079ED"/>
    <w:rsid w:val="00307CD8"/>
    <w:rsid w:val="003201F0"/>
    <w:rsid w:val="00321CA6"/>
    <w:rsid w:val="00323763"/>
    <w:rsid w:val="00323C5F"/>
    <w:rsid w:val="00334C09"/>
    <w:rsid w:val="0034345C"/>
    <w:rsid w:val="00356C49"/>
    <w:rsid w:val="003618AE"/>
    <w:rsid w:val="003642F4"/>
    <w:rsid w:val="003723D4"/>
    <w:rsid w:val="00381905"/>
    <w:rsid w:val="00384CC8"/>
    <w:rsid w:val="003871FD"/>
    <w:rsid w:val="00393A20"/>
    <w:rsid w:val="003A1E30"/>
    <w:rsid w:val="003A2829"/>
    <w:rsid w:val="003A6FC6"/>
    <w:rsid w:val="003A7D1C"/>
    <w:rsid w:val="003B304B"/>
    <w:rsid w:val="003B3146"/>
    <w:rsid w:val="003B35FE"/>
    <w:rsid w:val="003C1AE7"/>
    <w:rsid w:val="003D2E60"/>
    <w:rsid w:val="003D5EF8"/>
    <w:rsid w:val="003E1158"/>
    <w:rsid w:val="003F015E"/>
    <w:rsid w:val="00400414"/>
    <w:rsid w:val="00400920"/>
    <w:rsid w:val="0041446B"/>
    <w:rsid w:val="0044071E"/>
    <w:rsid w:val="0044329C"/>
    <w:rsid w:val="00452278"/>
    <w:rsid w:val="00453E24"/>
    <w:rsid w:val="00455BEA"/>
    <w:rsid w:val="00457456"/>
    <w:rsid w:val="004577FE"/>
    <w:rsid w:val="00457B9C"/>
    <w:rsid w:val="0046164A"/>
    <w:rsid w:val="004628D2"/>
    <w:rsid w:val="00462DCD"/>
    <w:rsid w:val="004648AD"/>
    <w:rsid w:val="0046533A"/>
    <w:rsid w:val="004703A9"/>
    <w:rsid w:val="004760DE"/>
    <w:rsid w:val="004761E9"/>
    <w:rsid w:val="004763D7"/>
    <w:rsid w:val="00487C01"/>
    <w:rsid w:val="00495282"/>
    <w:rsid w:val="004972BF"/>
    <w:rsid w:val="004A004E"/>
    <w:rsid w:val="004A24CF"/>
    <w:rsid w:val="004B2ED4"/>
    <w:rsid w:val="004B3364"/>
    <w:rsid w:val="004C20D2"/>
    <w:rsid w:val="004C3D1D"/>
    <w:rsid w:val="004C3D84"/>
    <w:rsid w:val="004C7913"/>
    <w:rsid w:val="004E4DD6"/>
    <w:rsid w:val="004F5E36"/>
    <w:rsid w:val="00507B47"/>
    <w:rsid w:val="00507BEF"/>
    <w:rsid w:val="00507CC9"/>
    <w:rsid w:val="005119A5"/>
    <w:rsid w:val="00515B23"/>
    <w:rsid w:val="00516AAC"/>
    <w:rsid w:val="005278B7"/>
    <w:rsid w:val="00532016"/>
    <w:rsid w:val="005346C8"/>
    <w:rsid w:val="00543E7D"/>
    <w:rsid w:val="00547A68"/>
    <w:rsid w:val="005531C9"/>
    <w:rsid w:val="00570C43"/>
    <w:rsid w:val="0058538C"/>
    <w:rsid w:val="005923EB"/>
    <w:rsid w:val="005A2ADA"/>
    <w:rsid w:val="005A2DB7"/>
    <w:rsid w:val="005A7346"/>
    <w:rsid w:val="005B10A8"/>
    <w:rsid w:val="005B2110"/>
    <w:rsid w:val="005B505B"/>
    <w:rsid w:val="005B61E6"/>
    <w:rsid w:val="005C77E1"/>
    <w:rsid w:val="005D668A"/>
    <w:rsid w:val="005D6A2F"/>
    <w:rsid w:val="005E1A82"/>
    <w:rsid w:val="005E794C"/>
    <w:rsid w:val="005F0A28"/>
    <w:rsid w:val="005F0E5E"/>
    <w:rsid w:val="00600535"/>
    <w:rsid w:val="00605144"/>
    <w:rsid w:val="00610CD6"/>
    <w:rsid w:val="00620DEE"/>
    <w:rsid w:val="00621F92"/>
    <w:rsid w:val="0062280A"/>
    <w:rsid w:val="00625639"/>
    <w:rsid w:val="00631B33"/>
    <w:rsid w:val="00635494"/>
    <w:rsid w:val="0064184D"/>
    <w:rsid w:val="006422CC"/>
    <w:rsid w:val="00660E3E"/>
    <w:rsid w:val="00662E74"/>
    <w:rsid w:val="00665BFD"/>
    <w:rsid w:val="00680C23"/>
    <w:rsid w:val="006819AE"/>
    <w:rsid w:val="00683739"/>
    <w:rsid w:val="00693766"/>
    <w:rsid w:val="006A23E9"/>
    <w:rsid w:val="006A3281"/>
    <w:rsid w:val="006B4888"/>
    <w:rsid w:val="006C2E45"/>
    <w:rsid w:val="006C31AF"/>
    <w:rsid w:val="006C359C"/>
    <w:rsid w:val="006C5579"/>
    <w:rsid w:val="006D6E8B"/>
    <w:rsid w:val="006E737D"/>
    <w:rsid w:val="00713973"/>
    <w:rsid w:val="00716717"/>
    <w:rsid w:val="00720A24"/>
    <w:rsid w:val="00732386"/>
    <w:rsid w:val="0073514D"/>
    <w:rsid w:val="007447F3"/>
    <w:rsid w:val="0075499F"/>
    <w:rsid w:val="0076360A"/>
    <w:rsid w:val="007661C8"/>
    <w:rsid w:val="0077098D"/>
    <w:rsid w:val="00773489"/>
    <w:rsid w:val="007762DE"/>
    <w:rsid w:val="0078182D"/>
    <w:rsid w:val="007931FA"/>
    <w:rsid w:val="007953BD"/>
    <w:rsid w:val="00797C5E"/>
    <w:rsid w:val="007A4861"/>
    <w:rsid w:val="007A7BBA"/>
    <w:rsid w:val="007B0C50"/>
    <w:rsid w:val="007B1A90"/>
    <w:rsid w:val="007B48F9"/>
    <w:rsid w:val="007B7C70"/>
    <w:rsid w:val="007C1A43"/>
    <w:rsid w:val="007D0951"/>
    <w:rsid w:val="007F31EA"/>
    <w:rsid w:val="0080013E"/>
    <w:rsid w:val="00806D94"/>
    <w:rsid w:val="008111F7"/>
    <w:rsid w:val="00813288"/>
    <w:rsid w:val="00814F21"/>
    <w:rsid w:val="008168FC"/>
    <w:rsid w:val="00830996"/>
    <w:rsid w:val="008345F1"/>
    <w:rsid w:val="00843EAC"/>
    <w:rsid w:val="00856DF2"/>
    <w:rsid w:val="00865B07"/>
    <w:rsid w:val="008667EA"/>
    <w:rsid w:val="0087436D"/>
    <w:rsid w:val="0087637F"/>
    <w:rsid w:val="008766F4"/>
    <w:rsid w:val="008810D1"/>
    <w:rsid w:val="00892AD5"/>
    <w:rsid w:val="008A1512"/>
    <w:rsid w:val="008B362A"/>
    <w:rsid w:val="008B7C03"/>
    <w:rsid w:val="008D32B9"/>
    <w:rsid w:val="008D34F5"/>
    <w:rsid w:val="008D433B"/>
    <w:rsid w:val="008D4A16"/>
    <w:rsid w:val="008E566E"/>
    <w:rsid w:val="0090161A"/>
    <w:rsid w:val="00901EB6"/>
    <w:rsid w:val="00902EDA"/>
    <w:rsid w:val="00904C62"/>
    <w:rsid w:val="00906B74"/>
    <w:rsid w:val="00922BA8"/>
    <w:rsid w:val="00924DAC"/>
    <w:rsid w:val="00927058"/>
    <w:rsid w:val="009313D7"/>
    <w:rsid w:val="00942750"/>
    <w:rsid w:val="009450CE"/>
    <w:rsid w:val="009459BB"/>
    <w:rsid w:val="00947179"/>
    <w:rsid w:val="00950D7C"/>
    <w:rsid w:val="0095164B"/>
    <w:rsid w:val="00952EB5"/>
    <w:rsid w:val="00954090"/>
    <w:rsid w:val="009573E7"/>
    <w:rsid w:val="0096178A"/>
    <w:rsid w:val="00963E05"/>
    <w:rsid w:val="00964A45"/>
    <w:rsid w:val="00967843"/>
    <w:rsid w:val="00967D54"/>
    <w:rsid w:val="00971028"/>
    <w:rsid w:val="00990398"/>
    <w:rsid w:val="00993B84"/>
    <w:rsid w:val="00996483"/>
    <w:rsid w:val="00996F5A"/>
    <w:rsid w:val="009B041A"/>
    <w:rsid w:val="009C2AD8"/>
    <w:rsid w:val="009C37C3"/>
    <w:rsid w:val="009C3C20"/>
    <w:rsid w:val="009C7C86"/>
    <w:rsid w:val="009D2FF7"/>
    <w:rsid w:val="009D3664"/>
    <w:rsid w:val="009D7159"/>
    <w:rsid w:val="009E2518"/>
    <w:rsid w:val="009E7884"/>
    <w:rsid w:val="009E788A"/>
    <w:rsid w:val="009F0E08"/>
    <w:rsid w:val="009F24A4"/>
    <w:rsid w:val="00A052D2"/>
    <w:rsid w:val="00A1763D"/>
    <w:rsid w:val="00A17CEC"/>
    <w:rsid w:val="00A27EF0"/>
    <w:rsid w:val="00A42361"/>
    <w:rsid w:val="00A50B20"/>
    <w:rsid w:val="00A51390"/>
    <w:rsid w:val="00A60D13"/>
    <w:rsid w:val="00A612D1"/>
    <w:rsid w:val="00A7223D"/>
    <w:rsid w:val="00A72745"/>
    <w:rsid w:val="00A76EFC"/>
    <w:rsid w:val="00A87D50"/>
    <w:rsid w:val="00A91010"/>
    <w:rsid w:val="00A97F29"/>
    <w:rsid w:val="00AA465B"/>
    <w:rsid w:val="00AA702E"/>
    <w:rsid w:val="00AA7D26"/>
    <w:rsid w:val="00AB0964"/>
    <w:rsid w:val="00AB5011"/>
    <w:rsid w:val="00AC0C9D"/>
    <w:rsid w:val="00AC192A"/>
    <w:rsid w:val="00AC7368"/>
    <w:rsid w:val="00AD16B9"/>
    <w:rsid w:val="00AD64C7"/>
    <w:rsid w:val="00AD6852"/>
    <w:rsid w:val="00AE10D0"/>
    <w:rsid w:val="00AE377D"/>
    <w:rsid w:val="00AF0D38"/>
    <w:rsid w:val="00AF0EBA"/>
    <w:rsid w:val="00B02C8A"/>
    <w:rsid w:val="00B05DD2"/>
    <w:rsid w:val="00B15EBF"/>
    <w:rsid w:val="00B16F22"/>
    <w:rsid w:val="00B17FBD"/>
    <w:rsid w:val="00B20575"/>
    <w:rsid w:val="00B315A6"/>
    <w:rsid w:val="00B31813"/>
    <w:rsid w:val="00B3286B"/>
    <w:rsid w:val="00B33365"/>
    <w:rsid w:val="00B477CA"/>
    <w:rsid w:val="00B57B36"/>
    <w:rsid w:val="00B57E6F"/>
    <w:rsid w:val="00B63FE9"/>
    <w:rsid w:val="00B64969"/>
    <w:rsid w:val="00B64DCD"/>
    <w:rsid w:val="00B760EA"/>
    <w:rsid w:val="00B815A1"/>
    <w:rsid w:val="00B8686D"/>
    <w:rsid w:val="00B93F69"/>
    <w:rsid w:val="00BA4674"/>
    <w:rsid w:val="00BA7852"/>
    <w:rsid w:val="00BB131B"/>
    <w:rsid w:val="00BB1DDC"/>
    <w:rsid w:val="00BC30C9"/>
    <w:rsid w:val="00BD077D"/>
    <w:rsid w:val="00BE3CBC"/>
    <w:rsid w:val="00BE3E58"/>
    <w:rsid w:val="00C01616"/>
    <w:rsid w:val="00C0162B"/>
    <w:rsid w:val="00C068ED"/>
    <w:rsid w:val="00C22E0C"/>
    <w:rsid w:val="00C345B1"/>
    <w:rsid w:val="00C359F9"/>
    <w:rsid w:val="00C40142"/>
    <w:rsid w:val="00C4165A"/>
    <w:rsid w:val="00C47ADA"/>
    <w:rsid w:val="00C52C3C"/>
    <w:rsid w:val="00C57182"/>
    <w:rsid w:val="00C57863"/>
    <w:rsid w:val="00C60AF2"/>
    <w:rsid w:val="00C63571"/>
    <w:rsid w:val="00C640AF"/>
    <w:rsid w:val="00C655FD"/>
    <w:rsid w:val="00C73F67"/>
    <w:rsid w:val="00C75407"/>
    <w:rsid w:val="00C870A8"/>
    <w:rsid w:val="00C87C1C"/>
    <w:rsid w:val="00C94434"/>
    <w:rsid w:val="00CA0D4A"/>
    <w:rsid w:val="00CA0D75"/>
    <w:rsid w:val="00CA1C95"/>
    <w:rsid w:val="00CA5A9C"/>
    <w:rsid w:val="00CC4C20"/>
    <w:rsid w:val="00CD3517"/>
    <w:rsid w:val="00CD5FE2"/>
    <w:rsid w:val="00CD60A9"/>
    <w:rsid w:val="00CE314D"/>
    <w:rsid w:val="00CE7C68"/>
    <w:rsid w:val="00CF55DD"/>
    <w:rsid w:val="00D02B4C"/>
    <w:rsid w:val="00D040C4"/>
    <w:rsid w:val="00D150B6"/>
    <w:rsid w:val="00D20AD1"/>
    <w:rsid w:val="00D467AE"/>
    <w:rsid w:val="00D46B7E"/>
    <w:rsid w:val="00D5719D"/>
    <w:rsid w:val="00D57C84"/>
    <w:rsid w:val="00D6057D"/>
    <w:rsid w:val="00D648EC"/>
    <w:rsid w:val="00D657AF"/>
    <w:rsid w:val="00D71640"/>
    <w:rsid w:val="00D836C5"/>
    <w:rsid w:val="00D84576"/>
    <w:rsid w:val="00DA1399"/>
    <w:rsid w:val="00DA24C6"/>
    <w:rsid w:val="00DA380F"/>
    <w:rsid w:val="00DA4D7B"/>
    <w:rsid w:val="00DB3233"/>
    <w:rsid w:val="00DB5EB9"/>
    <w:rsid w:val="00DD271C"/>
    <w:rsid w:val="00DD3E93"/>
    <w:rsid w:val="00DE264A"/>
    <w:rsid w:val="00DF274B"/>
    <w:rsid w:val="00DF5072"/>
    <w:rsid w:val="00E00C79"/>
    <w:rsid w:val="00E02D18"/>
    <w:rsid w:val="00E03C5B"/>
    <w:rsid w:val="00E041E7"/>
    <w:rsid w:val="00E041FA"/>
    <w:rsid w:val="00E21036"/>
    <w:rsid w:val="00E23CA1"/>
    <w:rsid w:val="00E33DD7"/>
    <w:rsid w:val="00E409A8"/>
    <w:rsid w:val="00E50B03"/>
    <w:rsid w:val="00E50C12"/>
    <w:rsid w:val="00E64091"/>
    <w:rsid w:val="00E65562"/>
    <w:rsid w:val="00E65B91"/>
    <w:rsid w:val="00E7209D"/>
    <w:rsid w:val="00E72EAD"/>
    <w:rsid w:val="00E75168"/>
    <w:rsid w:val="00E76AB0"/>
    <w:rsid w:val="00E77223"/>
    <w:rsid w:val="00E812DB"/>
    <w:rsid w:val="00E8268A"/>
    <w:rsid w:val="00E8528B"/>
    <w:rsid w:val="00E85B94"/>
    <w:rsid w:val="00E95DEB"/>
    <w:rsid w:val="00E978D0"/>
    <w:rsid w:val="00EA4613"/>
    <w:rsid w:val="00EA7F91"/>
    <w:rsid w:val="00EB1523"/>
    <w:rsid w:val="00EC05D6"/>
    <w:rsid w:val="00EC0E49"/>
    <w:rsid w:val="00EC101F"/>
    <w:rsid w:val="00EC1D9F"/>
    <w:rsid w:val="00ED4074"/>
    <w:rsid w:val="00ED704A"/>
    <w:rsid w:val="00EE0131"/>
    <w:rsid w:val="00EE0293"/>
    <w:rsid w:val="00EE17B0"/>
    <w:rsid w:val="00EF06D9"/>
    <w:rsid w:val="00F3049E"/>
    <w:rsid w:val="00F30C64"/>
    <w:rsid w:val="00F32BA2"/>
    <w:rsid w:val="00F32CDB"/>
    <w:rsid w:val="00F350B6"/>
    <w:rsid w:val="00F4187B"/>
    <w:rsid w:val="00F565FE"/>
    <w:rsid w:val="00F63A70"/>
    <w:rsid w:val="00F63D8C"/>
    <w:rsid w:val="00F66937"/>
    <w:rsid w:val="00F7534E"/>
    <w:rsid w:val="00F75DF0"/>
    <w:rsid w:val="00F80B51"/>
    <w:rsid w:val="00F93EDF"/>
    <w:rsid w:val="00FA1802"/>
    <w:rsid w:val="00FA21D0"/>
    <w:rsid w:val="00FA5F5F"/>
    <w:rsid w:val="00FB5A66"/>
    <w:rsid w:val="00FB730C"/>
    <w:rsid w:val="00FC2695"/>
    <w:rsid w:val="00FC3E03"/>
    <w:rsid w:val="00FC3FC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B67306"/>
  <w15:docId w15:val="{E576660F-5CFD-4124-8A66-41800C91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hps">
    <w:name w:val="hps"/>
    <w:basedOn w:val="Fontepargpadro"/>
    <w:rsid w:val="00A61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742284">
      <w:bodyDiv w:val="1"/>
      <w:marLeft w:val="0"/>
      <w:marRight w:val="0"/>
      <w:marTop w:val="0"/>
      <w:marBottom w:val="0"/>
      <w:divBdr>
        <w:top w:val="none" w:sz="0" w:space="0" w:color="auto"/>
        <w:left w:val="none" w:sz="0" w:space="0" w:color="auto"/>
        <w:bottom w:val="none" w:sz="0" w:space="0" w:color="auto"/>
        <w:right w:val="none" w:sz="0" w:space="0" w:color="auto"/>
      </w:divBdr>
      <w:divsChild>
        <w:div w:id="904611908">
          <w:marLeft w:val="0"/>
          <w:marRight w:val="0"/>
          <w:marTop w:val="0"/>
          <w:marBottom w:val="0"/>
          <w:divBdr>
            <w:top w:val="none" w:sz="0" w:space="0" w:color="auto"/>
            <w:left w:val="none" w:sz="0" w:space="0" w:color="auto"/>
            <w:bottom w:val="none" w:sz="0" w:space="0" w:color="auto"/>
            <w:right w:val="none" w:sz="0" w:space="0" w:color="auto"/>
          </w:divBdr>
          <w:divsChild>
            <w:div w:id="795416065">
              <w:marLeft w:val="0"/>
              <w:marRight w:val="0"/>
              <w:marTop w:val="0"/>
              <w:marBottom w:val="0"/>
              <w:divBdr>
                <w:top w:val="none" w:sz="0" w:space="0" w:color="auto"/>
                <w:left w:val="none" w:sz="0" w:space="0" w:color="auto"/>
                <w:bottom w:val="none" w:sz="0" w:space="0" w:color="auto"/>
                <w:right w:val="none" w:sz="0" w:space="0" w:color="auto"/>
              </w:divBdr>
              <w:divsChild>
                <w:div w:id="51078629">
                  <w:marLeft w:val="0"/>
                  <w:marRight w:val="0"/>
                  <w:marTop w:val="0"/>
                  <w:marBottom w:val="0"/>
                  <w:divBdr>
                    <w:top w:val="none" w:sz="0" w:space="0" w:color="auto"/>
                    <w:left w:val="none" w:sz="0" w:space="0" w:color="auto"/>
                    <w:bottom w:val="none" w:sz="0" w:space="0" w:color="auto"/>
                    <w:right w:val="none" w:sz="0" w:space="0" w:color="auto"/>
                  </w:divBdr>
                  <w:divsChild>
                    <w:div w:id="317812058">
                      <w:marLeft w:val="0"/>
                      <w:marRight w:val="0"/>
                      <w:marTop w:val="0"/>
                      <w:marBottom w:val="0"/>
                      <w:divBdr>
                        <w:top w:val="none" w:sz="0" w:space="0" w:color="auto"/>
                        <w:left w:val="none" w:sz="0" w:space="0" w:color="auto"/>
                        <w:bottom w:val="none" w:sz="0" w:space="0" w:color="auto"/>
                        <w:right w:val="none" w:sz="0" w:space="0" w:color="auto"/>
                      </w:divBdr>
                    </w:div>
                    <w:div w:id="1753316170">
                      <w:marLeft w:val="0"/>
                      <w:marRight w:val="0"/>
                      <w:marTop w:val="0"/>
                      <w:marBottom w:val="0"/>
                      <w:divBdr>
                        <w:top w:val="none" w:sz="0" w:space="0" w:color="auto"/>
                        <w:left w:val="none" w:sz="0" w:space="0" w:color="auto"/>
                        <w:bottom w:val="none" w:sz="0" w:space="0" w:color="auto"/>
                        <w:right w:val="none" w:sz="0" w:space="0" w:color="auto"/>
                      </w:divBdr>
                      <w:divsChild>
                        <w:div w:id="1468355402">
                          <w:marLeft w:val="0"/>
                          <w:marRight w:val="0"/>
                          <w:marTop w:val="0"/>
                          <w:marBottom w:val="0"/>
                          <w:divBdr>
                            <w:top w:val="none" w:sz="0" w:space="0" w:color="auto"/>
                            <w:left w:val="none" w:sz="0" w:space="0" w:color="auto"/>
                            <w:bottom w:val="none" w:sz="0" w:space="0" w:color="auto"/>
                            <w:right w:val="none" w:sz="0" w:space="0" w:color="auto"/>
                          </w:divBdr>
                          <w:divsChild>
                            <w:div w:id="1082868716">
                              <w:marLeft w:val="0"/>
                              <w:marRight w:val="0"/>
                              <w:marTop w:val="0"/>
                              <w:marBottom w:val="0"/>
                              <w:divBdr>
                                <w:top w:val="none" w:sz="0" w:space="0" w:color="auto"/>
                                <w:left w:val="none" w:sz="0" w:space="0" w:color="auto"/>
                                <w:bottom w:val="none" w:sz="0" w:space="0" w:color="auto"/>
                                <w:right w:val="none" w:sz="0" w:space="0" w:color="auto"/>
                              </w:divBdr>
                              <w:divsChild>
                                <w:div w:id="9936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46">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494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3034</Words>
  <Characters>16385</Characters>
  <Application>Microsoft Office Word</Application>
  <DocSecurity>0</DocSecurity>
  <Lines>136</Lines>
  <Paragraphs>38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Bruna Gava Floriam</cp:lastModifiedBy>
  <cp:revision>4</cp:revision>
  <cp:lastPrinted>2015-05-12T18:31:00Z</cp:lastPrinted>
  <dcterms:created xsi:type="dcterms:W3CDTF">2024-03-21T21:01:00Z</dcterms:created>
  <dcterms:modified xsi:type="dcterms:W3CDTF">2024-03-26T16:01:00Z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