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203AC9" w14:paraId="2A131A54" w14:textId="77777777" w:rsidTr="00E34B60">
        <w:trPr>
          <w:trHeight w:val="852"/>
          <w:jc w:val="center"/>
        </w:trPr>
        <w:tc>
          <w:tcPr>
            <w:tcW w:w="6940" w:type="dxa"/>
            <w:vMerge w:val="restart"/>
            <w:tcBorders>
              <w:right w:val="single" w:sz="4" w:space="0" w:color="auto"/>
            </w:tcBorders>
          </w:tcPr>
          <w:p w14:paraId="38C3D2BA" w14:textId="77777777" w:rsidR="000A03B2" w:rsidRPr="00203AC9" w:rsidRDefault="000A03B2" w:rsidP="00DE264A">
            <w:pPr>
              <w:tabs>
                <w:tab w:val="left" w:pos="-108"/>
              </w:tabs>
              <w:ind w:left="-108"/>
              <w:jc w:val="left"/>
              <w:rPr>
                <w:rFonts w:cs="Arial"/>
                <w:b/>
                <w:bCs/>
                <w:i/>
                <w:iCs/>
                <w:color w:val="000066"/>
                <w:sz w:val="12"/>
                <w:szCs w:val="12"/>
                <w:lang w:eastAsia="it-IT"/>
              </w:rPr>
            </w:pPr>
            <w:r w:rsidRPr="00203AC9">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Pictur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203AC9">
              <w:rPr>
                <w:rFonts w:ascii="AdvP6960" w:hAnsi="AdvP6960" w:cs="AdvP6960"/>
                <w:color w:val="241F20"/>
                <w:szCs w:val="18"/>
                <w:lang w:eastAsia="it-IT"/>
              </w:rPr>
              <w:t xml:space="preserve"> </w:t>
            </w:r>
            <w:r w:rsidRPr="00203AC9">
              <w:rPr>
                <w:rFonts w:cs="Arial"/>
                <w:b/>
                <w:bCs/>
                <w:i/>
                <w:iCs/>
                <w:color w:val="000066"/>
                <w:sz w:val="24"/>
                <w:szCs w:val="24"/>
                <w:lang w:eastAsia="it-IT"/>
              </w:rPr>
              <w:t>CHEMICAL ENGINEERING</w:t>
            </w:r>
            <w:r w:rsidRPr="00203AC9">
              <w:rPr>
                <w:rFonts w:cs="Arial"/>
                <w:b/>
                <w:bCs/>
                <w:i/>
                <w:iCs/>
                <w:color w:val="0033FF"/>
                <w:sz w:val="24"/>
                <w:szCs w:val="24"/>
                <w:lang w:eastAsia="it-IT"/>
              </w:rPr>
              <w:t xml:space="preserve"> </w:t>
            </w:r>
            <w:r w:rsidRPr="00203AC9">
              <w:rPr>
                <w:rFonts w:cs="Arial"/>
                <w:b/>
                <w:bCs/>
                <w:i/>
                <w:iCs/>
                <w:color w:val="666666"/>
                <w:sz w:val="24"/>
                <w:szCs w:val="24"/>
                <w:lang w:eastAsia="it-IT"/>
              </w:rPr>
              <w:t>TRANSACTIONS</w:t>
            </w:r>
            <w:r w:rsidRPr="00203AC9">
              <w:rPr>
                <w:color w:val="333333"/>
                <w:sz w:val="24"/>
                <w:szCs w:val="24"/>
                <w:lang w:eastAsia="it-IT"/>
              </w:rPr>
              <w:t xml:space="preserve"> </w:t>
            </w:r>
            <w:r w:rsidRPr="00203AC9">
              <w:rPr>
                <w:rFonts w:cs="Arial"/>
                <w:b/>
                <w:bCs/>
                <w:i/>
                <w:iCs/>
                <w:color w:val="000066"/>
                <w:sz w:val="27"/>
                <w:szCs w:val="27"/>
                <w:lang w:eastAsia="it-IT"/>
              </w:rPr>
              <w:br/>
            </w:r>
          </w:p>
          <w:p w14:paraId="4B780582" w14:textId="15DAE12D" w:rsidR="000A03B2" w:rsidRPr="00203AC9" w:rsidRDefault="00A76EFC" w:rsidP="001D21AF">
            <w:pPr>
              <w:tabs>
                <w:tab w:val="left" w:pos="-108"/>
              </w:tabs>
              <w:ind w:left="-108"/>
              <w:rPr>
                <w:rFonts w:cs="Arial"/>
                <w:b/>
                <w:bCs/>
                <w:i/>
                <w:iCs/>
                <w:color w:val="000066"/>
                <w:sz w:val="22"/>
                <w:szCs w:val="22"/>
                <w:lang w:eastAsia="it-IT"/>
              </w:rPr>
            </w:pPr>
            <w:r w:rsidRPr="00203AC9">
              <w:rPr>
                <w:rFonts w:cs="Arial"/>
                <w:b/>
                <w:bCs/>
                <w:i/>
                <w:iCs/>
                <w:color w:val="000066"/>
                <w:sz w:val="22"/>
                <w:szCs w:val="22"/>
                <w:lang w:eastAsia="it-IT"/>
              </w:rPr>
              <w:t>VOL.</w:t>
            </w:r>
            <w:r w:rsidR="00843EAC" w:rsidRPr="00203AC9">
              <w:rPr>
                <w:rFonts w:cs="Arial"/>
                <w:b/>
                <w:bCs/>
                <w:i/>
                <w:iCs/>
                <w:color w:val="000066"/>
                <w:sz w:val="22"/>
                <w:szCs w:val="22"/>
                <w:lang w:eastAsia="it-IT"/>
              </w:rPr>
              <w:t xml:space="preserve">   </w:t>
            </w:r>
            <w:proofErr w:type="gramStart"/>
            <w:r w:rsidR="00843EAC" w:rsidRPr="00203AC9">
              <w:rPr>
                <w:rFonts w:cs="Arial"/>
                <w:b/>
                <w:bCs/>
                <w:i/>
                <w:iCs/>
                <w:color w:val="000066"/>
                <w:sz w:val="22"/>
                <w:szCs w:val="22"/>
                <w:lang w:eastAsia="it-IT"/>
              </w:rPr>
              <w:t xml:space="preserve"> </w:t>
            </w:r>
            <w:r w:rsidR="004761E9" w:rsidRPr="00203AC9">
              <w:rPr>
                <w:rFonts w:cs="Arial"/>
                <w:b/>
                <w:bCs/>
                <w:i/>
                <w:iCs/>
                <w:color w:val="000066"/>
                <w:sz w:val="22"/>
                <w:szCs w:val="22"/>
                <w:lang w:eastAsia="it-IT"/>
              </w:rPr>
              <w:t xml:space="preserve"> </w:t>
            </w:r>
            <w:r w:rsidR="007B48F9" w:rsidRPr="00203AC9">
              <w:rPr>
                <w:rFonts w:cs="Arial"/>
                <w:b/>
                <w:bCs/>
                <w:i/>
                <w:iCs/>
                <w:color w:val="000066"/>
                <w:sz w:val="22"/>
                <w:szCs w:val="22"/>
                <w:lang w:eastAsia="it-IT"/>
              </w:rPr>
              <w:t>,</w:t>
            </w:r>
            <w:proofErr w:type="gramEnd"/>
            <w:r w:rsidR="00FA5F5F" w:rsidRPr="00203AC9">
              <w:rPr>
                <w:rFonts w:cs="Arial"/>
                <w:b/>
                <w:bCs/>
                <w:i/>
                <w:iCs/>
                <w:color w:val="000066"/>
                <w:sz w:val="22"/>
                <w:szCs w:val="22"/>
                <w:lang w:eastAsia="it-IT"/>
              </w:rPr>
              <w:t xml:space="preserve"> </w:t>
            </w:r>
            <w:r w:rsidR="0030152C" w:rsidRPr="00203AC9">
              <w:rPr>
                <w:rFonts w:cs="Arial"/>
                <w:b/>
                <w:bCs/>
                <w:i/>
                <w:iCs/>
                <w:color w:val="000066"/>
                <w:sz w:val="22"/>
                <w:szCs w:val="22"/>
                <w:lang w:eastAsia="it-IT"/>
              </w:rPr>
              <w:t>202</w:t>
            </w:r>
            <w:r w:rsidR="00DB3233" w:rsidRPr="00203AC9">
              <w:rPr>
                <w:rFonts w:cs="Arial"/>
                <w:b/>
                <w:bCs/>
                <w:i/>
                <w:iCs/>
                <w:color w:val="000066"/>
                <w:sz w:val="22"/>
                <w:szCs w:val="22"/>
                <w:lang w:eastAsia="it-IT"/>
              </w:rPr>
              <w:t>4</w:t>
            </w:r>
          </w:p>
        </w:tc>
        <w:tc>
          <w:tcPr>
            <w:tcW w:w="1842" w:type="dxa"/>
            <w:tcBorders>
              <w:left w:val="single" w:sz="4" w:space="0" w:color="auto"/>
              <w:bottom w:val="nil"/>
              <w:right w:val="single" w:sz="4" w:space="0" w:color="auto"/>
            </w:tcBorders>
          </w:tcPr>
          <w:p w14:paraId="56782132" w14:textId="77777777" w:rsidR="000A03B2" w:rsidRPr="00203AC9" w:rsidRDefault="000A03B2" w:rsidP="00CD5FE2">
            <w:pPr>
              <w:spacing w:line="140" w:lineRule="atLeast"/>
              <w:jc w:val="right"/>
              <w:rPr>
                <w:rFonts w:cs="Arial"/>
                <w:sz w:val="14"/>
                <w:szCs w:val="14"/>
              </w:rPr>
            </w:pPr>
            <w:r w:rsidRPr="00203AC9">
              <w:rPr>
                <w:rFonts w:cs="Arial"/>
                <w:sz w:val="14"/>
                <w:szCs w:val="14"/>
              </w:rPr>
              <w:t>A publication of</w:t>
            </w:r>
          </w:p>
          <w:p w14:paraId="599E5441" w14:textId="77777777" w:rsidR="000A03B2" w:rsidRPr="00203AC9" w:rsidRDefault="000A03B2" w:rsidP="00CD5FE2">
            <w:pPr>
              <w:jc w:val="right"/>
            </w:pPr>
            <w:r w:rsidRPr="00203AC9">
              <w:rPr>
                <w:noProof/>
                <w:lang w:val="it-IT" w:eastAsia="it-IT"/>
              </w:rPr>
              <w:drawing>
                <wp:inline distT="0" distB="0" distL="0" distR="0" wp14:anchorId="59C75AF4" wp14:editId="4FF92432">
                  <wp:extent cx="670560" cy="358140"/>
                  <wp:effectExtent l="0" t="0" r="0" b="3810"/>
                  <wp:docPr id="6" name="Pictur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203AC9" w14:paraId="380FA3CD" w14:textId="77777777" w:rsidTr="00E34B60">
        <w:trPr>
          <w:trHeight w:val="567"/>
          <w:jc w:val="center"/>
        </w:trPr>
        <w:tc>
          <w:tcPr>
            <w:tcW w:w="6940" w:type="dxa"/>
            <w:vMerge/>
            <w:tcBorders>
              <w:right w:val="single" w:sz="4" w:space="0" w:color="auto"/>
            </w:tcBorders>
          </w:tcPr>
          <w:p w14:paraId="39E5E4C1" w14:textId="77777777" w:rsidR="000A03B2" w:rsidRPr="00203AC9"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203AC9" w:rsidRDefault="000A03B2" w:rsidP="00CD5FE2">
            <w:pPr>
              <w:spacing w:line="140" w:lineRule="atLeast"/>
              <w:jc w:val="right"/>
              <w:rPr>
                <w:rFonts w:cs="Arial"/>
                <w:sz w:val="14"/>
                <w:szCs w:val="14"/>
              </w:rPr>
            </w:pPr>
            <w:r w:rsidRPr="00203AC9">
              <w:rPr>
                <w:rFonts w:cs="Arial"/>
                <w:sz w:val="14"/>
                <w:szCs w:val="14"/>
              </w:rPr>
              <w:t>The Italian Association</w:t>
            </w:r>
          </w:p>
          <w:p w14:paraId="7522B1D2" w14:textId="77777777" w:rsidR="000A03B2" w:rsidRPr="00203AC9" w:rsidRDefault="000A03B2" w:rsidP="00CD5FE2">
            <w:pPr>
              <w:spacing w:line="140" w:lineRule="atLeast"/>
              <w:jc w:val="right"/>
              <w:rPr>
                <w:rFonts w:cs="Arial"/>
                <w:sz w:val="14"/>
                <w:szCs w:val="14"/>
              </w:rPr>
            </w:pPr>
            <w:r w:rsidRPr="00203AC9">
              <w:rPr>
                <w:rFonts w:cs="Arial"/>
                <w:sz w:val="14"/>
                <w:szCs w:val="14"/>
              </w:rPr>
              <w:t>of Chemical Engineering</w:t>
            </w:r>
          </w:p>
          <w:p w14:paraId="4F0CC5DE" w14:textId="47FDB2FC" w:rsidR="000A03B2" w:rsidRPr="00203AC9" w:rsidRDefault="000D0268" w:rsidP="00CD5FE2">
            <w:pPr>
              <w:spacing w:line="140" w:lineRule="atLeast"/>
              <w:jc w:val="right"/>
              <w:rPr>
                <w:rFonts w:cs="Arial"/>
                <w:sz w:val="13"/>
                <w:szCs w:val="13"/>
              </w:rPr>
            </w:pPr>
            <w:r w:rsidRPr="00203AC9">
              <w:rPr>
                <w:rFonts w:cs="Arial"/>
                <w:sz w:val="13"/>
                <w:szCs w:val="13"/>
              </w:rPr>
              <w:t>Online at www.cetjournal.it</w:t>
            </w:r>
          </w:p>
        </w:tc>
      </w:tr>
      <w:tr w:rsidR="000A03B2" w:rsidRPr="00203AC9" w14:paraId="2D1B7169" w14:textId="77777777" w:rsidTr="00E34B60">
        <w:trPr>
          <w:trHeight w:val="68"/>
          <w:jc w:val="center"/>
        </w:trPr>
        <w:tc>
          <w:tcPr>
            <w:tcW w:w="8782" w:type="dxa"/>
            <w:gridSpan w:val="2"/>
          </w:tcPr>
          <w:p w14:paraId="1D8DD3C9" w14:textId="475D992A" w:rsidR="00AA7D26" w:rsidRPr="00203AC9" w:rsidRDefault="00AA7D26" w:rsidP="00AA7D26">
            <w:pPr>
              <w:ind w:left="-107"/>
              <w:outlineLvl w:val="2"/>
              <w:rPr>
                <w:rFonts w:ascii="Tahoma" w:hAnsi="Tahoma" w:cs="Tahoma"/>
                <w:bCs/>
                <w:color w:val="000000"/>
                <w:sz w:val="14"/>
                <w:szCs w:val="14"/>
                <w:lang w:eastAsia="it-IT"/>
              </w:rPr>
            </w:pPr>
            <w:r w:rsidRPr="00203AC9">
              <w:rPr>
                <w:rFonts w:ascii="Tahoma" w:hAnsi="Tahoma" w:cs="Tahoma"/>
                <w:iCs/>
                <w:color w:val="333333"/>
                <w:sz w:val="14"/>
                <w:szCs w:val="14"/>
                <w:lang w:eastAsia="it-IT"/>
              </w:rPr>
              <w:t>Guest Editors:</w:t>
            </w:r>
            <w:r w:rsidRPr="00203AC9">
              <w:rPr>
                <w:rFonts w:ascii="Tahoma" w:hAnsi="Tahoma" w:cs="Tahoma"/>
                <w:color w:val="000000"/>
                <w:sz w:val="14"/>
                <w:szCs w:val="14"/>
                <w:shd w:val="clear" w:color="auto" w:fill="FFFFFF"/>
              </w:rPr>
              <w:t xml:space="preserve"> </w:t>
            </w:r>
            <w:r w:rsidR="006A23E9" w:rsidRPr="00203AC9">
              <w:rPr>
                <w:rFonts w:ascii="Tahoma" w:hAnsi="Tahoma" w:cs="Tahoma"/>
                <w:color w:val="000000"/>
                <w:sz w:val="14"/>
                <w:szCs w:val="14"/>
                <w:shd w:val="clear" w:color="auto" w:fill="FFFFFF"/>
              </w:rPr>
              <w:t xml:space="preserve">Leonardo </w:t>
            </w:r>
            <w:proofErr w:type="spellStart"/>
            <w:r w:rsidR="006A23E9" w:rsidRPr="00203AC9">
              <w:rPr>
                <w:rFonts w:ascii="Tahoma" w:hAnsi="Tahoma" w:cs="Tahoma"/>
                <w:color w:val="000000"/>
                <w:sz w:val="14"/>
                <w:szCs w:val="14"/>
                <w:shd w:val="clear" w:color="auto" w:fill="FFFFFF"/>
              </w:rPr>
              <w:t>Tognotti</w:t>
            </w:r>
            <w:proofErr w:type="spellEnd"/>
            <w:r w:rsidR="006A23E9" w:rsidRPr="00203AC9">
              <w:rPr>
                <w:rFonts w:ascii="Tahoma" w:hAnsi="Tahoma" w:cs="Tahoma"/>
                <w:color w:val="000000"/>
                <w:sz w:val="14"/>
                <w:szCs w:val="14"/>
                <w:shd w:val="clear" w:color="auto" w:fill="FFFFFF"/>
              </w:rPr>
              <w:t xml:space="preserve">, </w:t>
            </w:r>
            <w:r w:rsidR="006A23E9" w:rsidRPr="00203AC9">
              <w:rPr>
                <w:rFonts w:ascii="Tahoma" w:hAnsi="Tahoma" w:cs="Tahoma"/>
                <w:color w:val="000000"/>
                <w:sz w:val="14"/>
                <w:szCs w:val="14"/>
              </w:rPr>
              <w:t>Rubens Maciel Filho</w:t>
            </w:r>
            <w:r w:rsidR="006A23E9" w:rsidRPr="00203AC9">
              <w:rPr>
                <w:rFonts w:ascii="Tahoma" w:hAnsi="Tahoma" w:cs="Tahoma"/>
                <w:color w:val="000000"/>
                <w:sz w:val="14"/>
                <w:szCs w:val="14"/>
                <w:shd w:val="clear" w:color="auto" w:fill="FFFFFF"/>
              </w:rPr>
              <w:t xml:space="preserve">, </w:t>
            </w:r>
            <w:r w:rsidR="006A23E9" w:rsidRPr="00203AC9">
              <w:rPr>
                <w:rFonts w:ascii="Tahoma" w:hAnsi="Tahoma" w:cs="Tahoma"/>
                <w:color w:val="000000"/>
                <w:sz w:val="14"/>
                <w:szCs w:val="14"/>
              </w:rPr>
              <w:t xml:space="preserve">Viatcheslav </w:t>
            </w:r>
            <w:proofErr w:type="spellStart"/>
            <w:r w:rsidR="006A23E9" w:rsidRPr="00203AC9">
              <w:rPr>
                <w:rFonts w:ascii="Tahoma" w:hAnsi="Tahoma" w:cs="Tahoma"/>
                <w:color w:val="000000"/>
                <w:sz w:val="14"/>
                <w:szCs w:val="14"/>
              </w:rPr>
              <w:t>Kafarov</w:t>
            </w:r>
            <w:proofErr w:type="spellEnd"/>
          </w:p>
          <w:p w14:paraId="1B0F1814" w14:textId="3AD74145" w:rsidR="000A03B2" w:rsidRPr="00203AC9" w:rsidRDefault="00AA7D26" w:rsidP="00AA7D26">
            <w:pPr>
              <w:tabs>
                <w:tab w:val="left" w:pos="-108"/>
              </w:tabs>
              <w:spacing w:line="140" w:lineRule="atLeast"/>
              <w:ind w:left="-107"/>
              <w:jc w:val="left"/>
            </w:pPr>
            <w:r w:rsidRPr="00203AC9">
              <w:rPr>
                <w:rFonts w:ascii="Tahoma" w:hAnsi="Tahoma" w:cs="Tahoma"/>
                <w:iCs/>
                <w:color w:val="333333"/>
                <w:sz w:val="14"/>
                <w:szCs w:val="14"/>
                <w:lang w:eastAsia="it-IT"/>
              </w:rPr>
              <w:t>Copyright © 202</w:t>
            </w:r>
            <w:r w:rsidR="00843EAC" w:rsidRPr="00203AC9">
              <w:rPr>
                <w:rFonts w:ascii="Tahoma" w:hAnsi="Tahoma" w:cs="Tahoma"/>
                <w:iCs/>
                <w:color w:val="333333"/>
                <w:sz w:val="14"/>
                <w:szCs w:val="14"/>
                <w:lang w:eastAsia="it-IT"/>
              </w:rPr>
              <w:t>4</w:t>
            </w:r>
            <w:r w:rsidRPr="00203AC9">
              <w:rPr>
                <w:rFonts w:ascii="Tahoma" w:hAnsi="Tahoma" w:cs="Tahoma"/>
                <w:iCs/>
                <w:color w:val="333333"/>
                <w:sz w:val="14"/>
                <w:szCs w:val="14"/>
                <w:lang w:eastAsia="it-IT"/>
              </w:rPr>
              <w:t xml:space="preserve">, AIDIC Servizi </w:t>
            </w:r>
            <w:proofErr w:type="spellStart"/>
            <w:r w:rsidRPr="00203AC9">
              <w:rPr>
                <w:rFonts w:ascii="Tahoma" w:hAnsi="Tahoma" w:cs="Tahoma"/>
                <w:iCs/>
                <w:color w:val="333333"/>
                <w:sz w:val="14"/>
                <w:szCs w:val="14"/>
                <w:lang w:eastAsia="it-IT"/>
              </w:rPr>
              <w:t>S.r.l</w:t>
            </w:r>
            <w:proofErr w:type="spellEnd"/>
            <w:r w:rsidRPr="00203AC9">
              <w:rPr>
                <w:rFonts w:ascii="Tahoma" w:hAnsi="Tahoma" w:cs="Tahoma"/>
                <w:iCs/>
                <w:color w:val="333333"/>
                <w:sz w:val="14"/>
                <w:szCs w:val="14"/>
                <w:lang w:eastAsia="it-IT"/>
              </w:rPr>
              <w:t>.</w:t>
            </w:r>
            <w:r w:rsidRPr="00203AC9">
              <w:rPr>
                <w:rFonts w:ascii="Tahoma" w:hAnsi="Tahoma" w:cs="Tahoma"/>
                <w:iCs/>
                <w:color w:val="333333"/>
                <w:sz w:val="14"/>
                <w:szCs w:val="14"/>
                <w:lang w:eastAsia="it-IT"/>
              </w:rPr>
              <w:br/>
            </w:r>
            <w:r w:rsidRPr="00203AC9">
              <w:rPr>
                <w:rFonts w:ascii="Tahoma" w:hAnsi="Tahoma" w:cs="Tahoma"/>
                <w:b/>
                <w:iCs/>
                <w:color w:val="000000"/>
                <w:sz w:val="14"/>
                <w:szCs w:val="14"/>
                <w:lang w:eastAsia="it-IT"/>
              </w:rPr>
              <w:t>ISBN</w:t>
            </w:r>
            <w:r w:rsidRPr="00203AC9">
              <w:rPr>
                <w:rFonts w:ascii="Tahoma" w:hAnsi="Tahoma" w:cs="Tahoma"/>
                <w:iCs/>
                <w:color w:val="000000"/>
                <w:sz w:val="14"/>
                <w:szCs w:val="14"/>
                <w:lang w:eastAsia="it-IT"/>
              </w:rPr>
              <w:t xml:space="preserve"> </w:t>
            </w:r>
            <w:r w:rsidR="008B7C03" w:rsidRPr="00203AC9">
              <w:rPr>
                <w:rFonts w:ascii="Tahoma" w:hAnsi="Tahoma" w:cs="Tahoma"/>
                <w:sz w:val="14"/>
                <w:szCs w:val="14"/>
              </w:rPr>
              <w:t>979-12-81206</w:t>
            </w:r>
            <w:r w:rsidRPr="00203AC9">
              <w:rPr>
                <w:rFonts w:ascii="Tahoma" w:hAnsi="Tahoma" w:cs="Tahoma"/>
                <w:sz w:val="14"/>
                <w:szCs w:val="14"/>
              </w:rPr>
              <w:t>-</w:t>
            </w:r>
            <w:r w:rsidR="00DB3233" w:rsidRPr="00203AC9">
              <w:rPr>
                <w:rFonts w:ascii="Tahoma" w:hAnsi="Tahoma" w:cs="Tahoma"/>
                <w:sz w:val="14"/>
                <w:szCs w:val="14"/>
              </w:rPr>
              <w:t>09</w:t>
            </w:r>
            <w:r w:rsidRPr="00203AC9">
              <w:rPr>
                <w:rFonts w:ascii="Tahoma" w:hAnsi="Tahoma" w:cs="Tahoma"/>
                <w:sz w:val="14"/>
                <w:szCs w:val="14"/>
              </w:rPr>
              <w:t>-</w:t>
            </w:r>
            <w:r w:rsidR="00DB3233" w:rsidRPr="00203AC9">
              <w:rPr>
                <w:rFonts w:ascii="Tahoma" w:hAnsi="Tahoma" w:cs="Tahoma"/>
                <w:sz w:val="14"/>
                <w:szCs w:val="14"/>
              </w:rPr>
              <w:t>0</w:t>
            </w:r>
            <w:r w:rsidRPr="00203AC9">
              <w:rPr>
                <w:rFonts w:ascii="Tahoma" w:hAnsi="Tahoma" w:cs="Tahoma"/>
                <w:iCs/>
                <w:color w:val="333333"/>
                <w:sz w:val="14"/>
                <w:szCs w:val="14"/>
                <w:lang w:eastAsia="it-IT"/>
              </w:rPr>
              <w:t xml:space="preserve">; </w:t>
            </w:r>
            <w:r w:rsidRPr="00203AC9">
              <w:rPr>
                <w:rFonts w:ascii="Tahoma" w:hAnsi="Tahoma" w:cs="Tahoma"/>
                <w:b/>
                <w:iCs/>
                <w:color w:val="333333"/>
                <w:sz w:val="14"/>
                <w:szCs w:val="14"/>
                <w:lang w:eastAsia="it-IT"/>
              </w:rPr>
              <w:t>ISSN</w:t>
            </w:r>
            <w:r w:rsidRPr="00203AC9">
              <w:rPr>
                <w:rFonts w:ascii="Tahoma" w:hAnsi="Tahoma" w:cs="Tahoma"/>
                <w:iCs/>
                <w:color w:val="333333"/>
                <w:sz w:val="14"/>
                <w:szCs w:val="14"/>
                <w:lang w:eastAsia="it-IT"/>
              </w:rPr>
              <w:t xml:space="preserve"> 2283-9216</w:t>
            </w:r>
          </w:p>
        </w:tc>
      </w:tr>
    </w:tbl>
    <w:p w14:paraId="2547AE28" w14:textId="77777777" w:rsidR="00E34B60" w:rsidRPr="00203AC9" w:rsidRDefault="00E34B60" w:rsidP="00615B88">
      <w:pPr>
        <w:pStyle w:val="CETTitle"/>
      </w:pPr>
      <w:r w:rsidRPr="00203AC9">
        <w:t xml:space="preserve">Green Process for Transforming Lignocellulosic Residues into Novel Bio-Based </w:t>
      </w:r>
      <w:proofErr w:type="spellStart"/>
      <w:r w:rsidRPr="00203AC9">
        <w:t>Vitrimer</w:t>
      </w:r>
      <w:proofErr w:type="spellEnd"/>
      <w:r w:rsidRPr="00203AC9">
        <w:t xml:space="preserve"> Composites </w:t>
      </w:r>
    </w:p>
    <w:p w14:paraId="0488FED2" w14:textId="47713565" w:rsidR="00B57E6F" w:rsidRPr="00203AC9" w:rsidRDefault="00EB4D39" w:rsidP="001A622B">
      <w:pPr>
        <w:pStyle w:val="NormaleWeb"/>
        <w:rPr>
          <w:lang w:val="it-IT"/>
        </w:rPr>
      </w:pPr>
      <w:r w:rsidRPr="00203AC9">
        <w:rPr>
          <w:lang w:val="it-IT"/>
        </w:rPr>
        <w:t xml:space="preserve">Matteo </w:t>
      </w:r>
      <w:proofErr w:type="spellStart"/>
      <w:r w:rsidRPr="00203AC9">
        <w:rPr>
          <w:lang w:val="it-IT"/>
        </w:rPr>
        <w:t>Cipriani</w:t>
      </w:r>
      <w:r w:rsidR="00B57E6F" w:rsidRPr="00203AC9">
        <w:rPr>
          <w:vertAlign w:val="superscript"/>
          <w:lang w:val="it-IT"/>
        </w:rPr>
        <w:t>a</w:t>
      </w:r>
      <w:proofErr w:type="spellEnd"/>
      <w:r w:rsidR="00B57E6F" w:rsidRPr="00203AC9">
        <w:rPr>
          <w:lang w:val="it-IT"/>
        </w:rPr>
        <w:t xml:space="preserve">, </w:t>
      </w:r>
      <w:r w:rsidR="001A622B" w:rsidRPr="00203AC9">
        <w:rPr>
          <w:lang w:val="it-IT"/>
        </w:rPr>
        <w:t xml:space="preserve">Martina </w:t>
      </w:r>
      <w:proofErr w:type="spellStart"/>
      <w:r w:rsidR="001A622B" w:rsidRPr="00203AC9">
        <w:rPr>
          <w:lang w:val="it-IT"/>
        </w:rPr>
        <w:t>Nardi</w:t>
      </w:r>
      <w:r w:rsidR="00B57E6F" w:rsidRPr="00203AC9">
        <w:rPr>
          <w:vertAlign w:val="superscript"/>
          <w:lang w:val="it-IT"/>
        </w:rPr>
        <w:t>b</w:t>
      </w:r>
      <w:proofErr w:type="spellEnd"/>
      <w:r w:rsidR="00B57E6F" w:rsidRPr="00203AC9">
        <w:rPr>
          <w:lang w:val="it-IT"/>
        </w:rPr>
        <w:t xml:space="preserve">, </w:t>
      </w:r>
      <w:r w:rsidR="001A622B" w:rsidRPr="00203AC9">
        <w:rPr>
          <w:lang w:val="it-IT"/>
        </w:rPr>
        <w:t xml:space="preserve">Athanassia </w:t>
      </w:r>
      <w:proofErr w:type="spellStart"/>
      <w:r w:rsidR="001A622B" w:rsidRPr="00203AC9">
        <w:rPr>
          <w:lang w:val="it-IT"/>
        </w:rPr>
        <w:t>Athanassiou</w:t>
      </w:r>
      <w:r w:rsidR="001A622B" w:rsidRPr="00203AC9">
        <w:rPr>
          <w:vertAlign w:val="superscript"/>
          <w:lang w:val="it-IT"/>
        </w:rPr>
        <w:t>b</w:t>
      </w:r>
      <w:proofErr w:type="spellEnd"/>
      <w:r w:rsidR="00515A13" w:rsidRPr="00203AC9">
        <w:rPr>
          <w:lang w:val="it-IT"/>
        </w:rPr>
        <w:t xml:space="preserve">, Giorgia </w:t>
      </w:r>
      <w:proofErr w:type="spellStart"/>
      <w:r w:rsidR="00515A13" w:rsidRPr="00203AC9">
        <w:rPr>
          <w:lang w:val="it-IT"/>
        </w:rPr>
        <w:t>Spigno</w:t>
      </w:r>
      <w:r w:rsidR="00515A13" w:rsidRPr="00203AC9">
        <w:rPr>
          <w:vertAlign w:val="superscript"/>
          <w:lang w:val="it-IT"/>
        </w:rPr>
        <w:t>a</w:t>
      </w:r>
      <w:proofErr w:type="spellEnd"/>
      <w:r w:rsidR="00515A13" w:rsidRPr="00203AC9">
        <w:rPr>
          <w:lang w:val="it-IT"/>
        </w:rPr>
        <w:t xml:space="preserve">, Andrea </w:t>
      </w:r>
      <w:proofErr w:type="spellStart"/>
      <w:r w:rsidR="00515A13" w:rsidRPr="00203AC9">
        <w:rPr>
          <w:lang w:val="it-IT"/>
        </w:rPr>
        <w:t>Bassani</w:t>
      </w:r>
      <w:r w:rsidR="00CC4B4B" w:rsidRPr="00203AC9">
        <w:rPr>
          <w:vertAlign w:val="superscript"/>
          <w:lang w:val="it-IT"/>
        </w:rPr>
        <w:t>a</w:t>
      </w:r>
      <w:proofErr w:type="spellEnd"/>
      <w:r w:rsidR="00CC4B4B" w:rsidRPr="00203AC9">
        <w:rPr>
          <w:lang w:val="it-IT"/>
        </w:rPr>
        <w:t>*</w:t>
      </w:r>
    </w:p>
    <w:p w14:paraId="03209C32" w14:textId="5AD5A1C7" w:rsidR="00A94752" w:rsidRPr="00203AC9" w:rsidRDefault="007D3B83" w:rsidP="00A94752">
      <w:pPr>
        <w:pStyle w:val="CETAddress"/>
        <w:rPr>
          <w:lang w:val="it-IT"/>
        </w:rPr>
      </w:pPr>
      <w:r w:rsidRPr="00203AC9">
        <w:rPr>
          <w:vertAlign w:val="superscript"/>
          <w:lang w:val="it-IT"/>
        </w:rPr>
        <w:t>a</w:t>
      </w:r>
      <w:r w:rsidRPr="00203AC9">
        <w:rPr>
          <w:lang w:val="it-IT"/>
        </w:rPr>
        <w:t>Università Cattolica del Sacro Cuore, Department for Sustainbale Food Process (DiSTAS), Via Emilia Parmense 84, 29122 Piacenza, Italy</w:t>
      </w:r>
    </w:p>
    <w:p w14:paraId="3473DE06" w14:textId="63E92AEC" w:rsidR="00A94752" w:rsidRPr="00372961" w:rsidRDefault="00A94752" w:rsidP="00A94752">
      <w:pPr>
        <w:pStyle w:val="CETAddress"/>
        <w:rPr>
          <w:lang w:val="en-US"/>
        </w:rPr>
      </w:pPr>
      <w:r w:rsidRPr="00372961">
        <w:rPr>
          <w:vertAlign w:val="superscript"/>
          <w:lang w:val="en-US"/>
        </w:rPr>
        <w:t>b</w:t>
      </w:r>
      <w:r w:rsidRPr="00372961">
        <w:rPr>
          <w:lang w:val="en-US"/>
        </w:rPr>
        <w:t xml:space="preserve">Smart Materials, Department of Nanophysics, Istituto Italiano di Tecnologia (IIT), via Morego 30, 16163, Genoa, Italy </w:t>
      </w:r>
    </w:p>
    <w:p w14:paraId="346803F9" w14:textId="04798A27" w:rsidR="00BB01BF" w:rsidRPr="00203AC9" w:rsidRDefault="00000000" w:rsidP="00BB01BF">
      <w:pPr>
        <w:pStyle w:val="CETemail"/>
        <w:rPr>
          <w:lang w:val="en-US"/>
        </w:rPr>
      </w:pPr>
      <w:hyperlink r:id="rId10" w:history="1">
        <w:r w:rsidR="00BB01BF" w:rsidRPr="00203AC9">
          <w:rPr>
            <w:rStyle w:val="Collegamentoipertestuale"/>
            <w:lang w:val="en-US"/>
          </w:rPr>
          <w:t>*andrea.bassani@unicatt.it</w:t>
        </w:r>
      </w:hyperlink>
    </w:p>
    <w:p w14:paraId="3D6ED0E0" w14:textId="2D980B06" w:rsidR="00FF23B1" w:rsidRPr="001C3B12" w:rsidRDefault="00C65E15" w:rsidP="00FF23B1">
      <w:pPr>
        <w:pStyle w:val="CETBodytext"/>
        <w:rPr>
          <w:lang w:eastAsia="it-IT"/>
        </w:rPr>
      </w:pPr>
      <w:r>
        <w:rPr>
          <w:lang w:eastAsia="it-IT"/>
        </w:rPr>
        <w:t xml:space="preserve">One of the main research challenges in recent years has been to valorize waste and by-products coming from the </w:t>
      </w:r>
      <w:proofErr w:type="spellStart"/>
      <w:r>
        <w:rPr>
          <w:lang w:eastAsia="it-IT"/>
        </w:rPr>
        <w:t>agro</w:t>
      </w:r>
      <w:proofErr w:type="spellEnd"/>
      <w:r>
        <w:rPr>
          <w:lang w:eastAsia="it-IT"/>
        </w:rPr>
        <w:t xml:space="preserve">-food industry. To this </w:t>
      </w:r>
      <w:r w:rsidR="00E9616F">
        <w:rPr>
          <w:lang w:eastAsia="it-IT"/>
        </w:rPr>
        <w:t>purpose</w:t>
      </w:r>
      <w:r>
        <w:rPr>
          <w:lang w:eastAsia="it-IT"/>
        </w:rPr>
        <w:t>, the CYCLEVIT project</w:t>
      </w:r>
      <w:r w:rsidR="00E9616F">
        <w:rPr>
          <w:lang w:eastAsia="it-IT"/>
        </w:rPr>
        <w:t xml:space="preserve"> </w:t>
      </w:r>
      <w:r>
        <w:rPr>
          <w:lang w:eastAsia="it-IT"/>
        </w:rPr>
        <w:t xml:space="preserve">aims to valorize lignocellulosic </w:t>
      </w:r>
      <w:r w:rsidR="00E9616F">
        <w:rPr>
          <w:lang w:eastAsia="it-IT"/>
        </w:rPr>
        <w:t>residues</w:t>
      </w:r>
      <w:r>
        <w:rPr>
          <w:lang w:eastAsia="it-IT"/>
        </w:rPr>
        <w:t xml:space="preserve"> </w:t>
      </w:r>
      <w:r w:rsidR="00635D30">
        <w:rPr>
          <w:lang w:eastAsia="it-IT"/>
        </w:rPr>
        <w:t>to produce</w:t>
      </w:r>
      <w:r>
        <w:rPr>
          <w:lang w:eastAsia="it-IT"/>
        </w:rPr>
        <w:t xml:space="preserve"> </w:t>
      </w:r>
      <w:proofErr w:type="spellStart"/>
      <w:r w:rsidR="00EA6F08">
        <w:rPr>
          <w:lang w:eastAsia="it-IT"/>
        </w:rPr>
        <w:t>v</w:t>
      </w:r>
      <w:r>
        <w:rPr>
          <w:lang w:eastAsia="it-IT"/>
        </w:rPr>
        <w:t>itrimer</w:t>
      </w:r>
      <w:r w:rsidR="00E9616F">
        <w:rPr>
          <w:lang w:eastAsia="it-IT"/>
        </w:rPr>
        <w:t>s</w:t>
      </w:r>
      <w:proofErr w:type="spellEnd"/>
      <w:r>
        <w:rPr>
          <w:lang w:eastAsia="it-IT"/>
        </w:rPr>
        <w:t xml:space="preserve">. </w:t>
      </w:r>
      <w:proofErr w:type="gramStart"/>
      <w:r>
        <w:rPr>
          <w:lang w:eastAsia="it-IT"/>
        </w:rPr>
        <w:t>In particular, this</w:t>
      </w:r>
      <w:proofErr w:type="gramEnd"/>
      <w:r>
        <w:rPr>
          <w:lang w:eastAsia="it-IT"/>
        </w:rPr>
        <w:t xml:space="preserve"> work</w:t>
      </w:r>
      <w:r w:rsidR="008250F1">
        <w:rPr>
          <w:lang w:eastAsia="it-IT"/>
        </w:rPr>
        <w:t xml:space="preserve"> aims to present </w:t>
      </w:r>
      <w:r w:rsidR="000F0DE1">
        <w:rPr>
          <w:lang w:eastAsia="it-IT"/>
        </w:rPr>
        <w:t xml:space="preserve">a </w:t>
      </w:r>
      <w:r w:rsidR="000F0DE1" w:rsidRPr="00203AC9">
        <w:rPr>
          <w:lang w:eastAsia="it-IT"/>
        </w:rPr>
        <w:t>more sustainable</w:t>
      </w:r>
      <w:r w:rsidR="000F0DE1">
        <w:rPr>
          <w:lang w:eastAsia="it-IT"/>
        </w:rPr>
        <w:t xml:space="preserve"> process for </w:t>
      </w:r>
      <w:r w:rsidR="000F0DE1" w:rsidRPr="00203AC9">
        <w:rPr>
          <w:lang w:eastAsia="it-IT"/>
        </w:rPr>
        <w:t>lignin and cellulose recovery</w:t>
      </w:r>
      <w:r w:rsidR="000F0DE1">
        <w:rPr>
          <w:lang w:eastAsia="it-IT"/>
        </w:rPr>
        <w:t xml:space="preserve"> </w:t>
      </w:r>
      <w:r w:rsidR="000F0DE1" w:rsidRPr="00203AC9">
        <w:rPr>
          <w:lang w:eastAsia="it-IT"/>
        </w:rPr>
        <w:t xml:space="preserve">compared to the traditional one </w:t>
      </w:r>
      <w:r w:rsidR="000F0DE1">
        <w:rPr>
          <w:lang w:eastAsia="it-IT"/>
        </w:rPr>
        <w:t xml:space="preserve">which involves </w:t>
      </w:r>
      <w:r w:rsidR="000F0DE1" w:rsidRPr="00203AC9">
        <w:rPr>
          <w:lang w:eastAsia="it-IT"/>
        </w:rPr>
        <w:t>acid and alkaline hydrolysis</w:t>
      </w:r>
      <w:r w:rsidR="00B81CF3">
        <w:rPr>
          <w:lang w:eastAsia="it-IT"/>
        </w:rPr>
        <w:t xml:space="preserve">. Indeed, </w:t>
      </w:r>
      <w:r w:rsidR="00635D30">
        <w:rPr>
          <w:lang w:eastAsia="it-IT"/>
        </w:rPr>
        <w:t>c</w:t>
      </w:r>
      <w:r w:rsidR="00EA6F08" w:rsidRPr="00EA6F08">
        <w:rPr>
          <w:lang w:eastAsia="it-IT"/>
        </w:rPr>
        <w:t xml:space="preserve">ellulose and lignin are the basis </w:t>
      </w:r>
      <w:r w:rsidR="00635D30" w:rsidRPr="00EA6F08">
        <w:rPr>
          <w:lang w:eastAsia="it-IT"/>
        </w:rPr>
        <w:t>to produce</w:t>
      </w:r>
      <w:r w:rsidR="00EA6F08" w:rsidRPr="00EA6F08">
        <w:rPr>
          <w:lang w:eastAsia="it-IT"/>
        </w:rPr>
        <w:t xml:space="preserve"> </w:t>
      </w:r>
      <w:proofErr w:type="spellStart"/>
      <w:r w:rsidR="00EA6F08">
        <w:rPr>
          <w:lang w:eastAsia="it-IT"/>
        </w:rPr>
        <w:t>v</w:t>
      </w:r>
      <w:r w:rsidR="00EA6F08" w:rsidRPr="00EA6F08">
        <w:rPr>
          <w:lang w:eastAsia="it-IT"/>
        </w:rPr>
        <w:t>itrimers</w:t>
      </w:r>
      <w:proofErr w:type="spellEnd"/>
      <w:r w:rsidR="00EA6F08">
        <w:rPr>
          <w:lang w:eastAsia="it-IT"/>
        </w:rPr>
        <w:t>.</w:t>
      </w:r>
      <w:r w:rsidR="004D224E">
        <w:rPr>
          <w:lang w:eastAsia="it-IT"/>
        </w:rPr>
        <w:t xml:space="preserve"> The key idea of the </w:t>
      </w:r>
      <w:r w:rsidR="001C3B12">
        <w:rPr>
          <w:lang w:eastAsia="it-IT"/>
        </w:rPr>
        <w:t xml:space="preserve">process presented was to combine </w:t>
      </w:r>
      <w:r w:rsidR="00BF6932" w:rsidRPr="00203AC9">
        <w:rPr>
          <w:lang w:eastAsia="it-IT"/>
        </w:rPr>
        <w:t>autohydrolysis</w:t>
      </w:r>
      <w:r w:rsidR="000F7AD6" w:rsidRPr="00203AC9">
        <w:rPr>
          <w:lang w:eastAsia="it-IT"/>
        </w:rPr>
        <w:t>,</w:t>
      </w:r>
      <w:r w:rsidR="00BF6932" w:rsidRPr="00203AC9">
        <w:rPr>
          <w:lang w:eastAsia="it-IT"/>
        </w:rPr>
        <w:t xml:space="preserve"> to remove the hemicellulose from raw material, and </w:t>
      </w:r>
      <w:r w:rsidR="001C1851" w:rsidRPr="00203AC9">
        <w:rPr>
          <w:lang w:eastAsia="it-IT"/>
        </w:rPr>
        <w:t>organosolv</w:t>
      </w:r>
      <w:r w:rsidR="00BF6932" w:rsidRPr="00203AC9">
        <w:rPr>
          <w:lang w:eastAsia="it-IT"/>
        </w:rPr>
        <w:t xml:space="preserve"> to separate lignin from cellulose.</w:t>
      </w:r>
      <w:r w:rsidR="005D4B51" w:rsidRPr="00203AC9">
        <w:rPr>
          <w:lang w:eastAsia="it-IT"/>
        </w:rPr>
        <w:t xml:space="preserve"> The optimal condition for the recovery of lignin and cellulose was identified for the autohydrolysis process, based on both previous </w:t>
      </w:r>
      <w:r w:rsidR="005D4B51" w:rsidRPr="001C3B12">
        <w:rPr>
          <w:lang w:eastAsia="it-IT"/>
        </w:rPr>
        <w:t xml:space="preserve">scientific work and a validated </w:t>
      </w:r>
      <w:r w:rsidR="006E09FD" w:rsidRPr="001C3B12">
        <w:rPr>
          <w:lang w:eastAsia="it-IT"/>
        </w:rPr>
        <w:t xml:space="preserve">mathematical </w:t>
      </w:r>
      <w:r w:rsidR="005D4B51" w:rsidRPr="001C3B12">
        <w:rPr>
          <w:lang w:eastAsia="it-IT"/>
        </w:rPr>
        <w:t>model. The</w:t>
      </w:r>
      <w:r w:rsidR="005D4B51" w:rsidRPr="00203AC9">
        <w:rPr>
          <w:lang w:eastAsia="it-IT"/>
        </w:rPr>
        <w:t xml:space="preserve"> solid obtained from autohydrolysis was subsequently subjected to the </w:t>
      </w:r>
      <w:r w:rsidR="001C1851" w:rsidRPr="00203AC9">
        <w:rPr>
          <w:lang w:eastAsia="it-IT"/>
        </w:rPr>
        <w:t>organosolv</w:t>
      </w:r>
      <w:r w:rsidR="005D4B51" w:rsidRPr="00203AC9">
        <w:rPr>
          <w:lang w:eastAsia="it-IT"/>
        </w:rPr>
        <w:t xml:space="preserve"> process</w:t>
      </w:r>
      <w:r w:rsidR="0074376F" w:rsidRPr="00203AC9">
        <w:rPr>
          <w:lang w:eastAsia="it-IT"/>
        </w:rPr>
        <w:t>, t</w:t>
      </w:r>
      <w:r w:rsidR="001D1FDD" w:rsidRPr="00203AC9">
        <w:rPr>
          <w:lang w:eastAsia="it-IT"/>
        </w:rPr>
        <w:t>o evaluate the optimal condition for lignin and cellulose recovery</w:t>
      </w:r>
      <w:r w:rsidR="00470082" w:rsidRPr="00203AC9">
        <w:rPr>
          <w:lang w:eastAsia="it-IT"/>
        </w:rPr>
        <w:t xml:space="preserve">. </w:t>
      </w:r>
      <w:bookmarkStart w:id="0" w:name="_Hlk157539773"/>
      <w:r w:rsidR="00470082" w:rsidRPr="00203AC9">
        <w:rPr>
          <w:lang w:eastAsia="it-IT"/>
        </w:rPr>
        <w:t>D</w:t>
      </w:r>
      <w:r w:rsidR="002124F8" w:rsidRPr="00203AC9">
        <w:rPr>
          <w:lang w:eastAsia="it-IT"/>
        </w:rPr>
        <w:t xml:space="preserve">ifferent temperatures </w:t>
      </w:r>
      <w:r w:rsidR="001D1FDD" w:rsidRPr="00203AC9">
        <w:rPr>
          <w:lang w:eastAsia="it-IT"/>
        </w:rPr>
        <w:t>(180°C-200°C) and solid-liquid ratio (1:10 -1:20 g/ml)</w:t>
      </w:r>
      <w:r w:rsidR="0074376F" w:rsidRPr="00203AC9">
        <w:rPr>
          <w:lang w:eastAsia="it-IT"/>
        </w:rPr>
        <w:t xml:space="preserve"> were tested</w:t>
      </w:r>
      <w:bookmarkEnd w:id="0"/>
      <w:r w:rsidR="0074376F" w:rsidRPr="00203AC9">
        <w:rPr>
          <w:lang w:eastAsia="it-IT"/>
        </w:rPr>
        <w:t>.</w:t>
      </w:r>
      <w:r w:rsidR="00DB4ED6" w:rsidRPr="00203AC9">
        <w:rPr>
          <w:lang w:eastAsia="it-IT"/>
        </w:rPr>
        <w:t xml:space="preserve"> It is interesting to point out that the 60 % v/v of ethanol solution used for this process was obtained by mixing the ethanol with the liquor resulting from the autohydrolysis process.</w:t>
      </w:r>
      <w:r w:rsidR="00FF23B1" w:rsidRPr="00203AC9">
        <w:rPr>
          <w:lang w:eastAsia="it-IT"/>
        </w:rPr>
        <w:t xml:space="preserve"> Based on the results obtained, a first process layout was proposed which allows a </w:t>
      </w:r>
      <w:r w:rsidR="00850177">
        <w:rPr>
          <w:lang w:eastAsia="it-IT"/>
        </w:rPr>
        <w:t xml:space="preserve">cellulose and </w:t>
      </w:r>
      <w:r w:rsidR="00FF23B1" w:rsidRPr="00203AC9">
        <w:rPr>
          <w:lang w:eastAsia="it-IT"/>
        </w:rPr>
        <w:t xml:space="preserve">lignin recovery of approximately </w:t>
      </w:r>
      <w:r w:rsidR="00850177">
        <w:rPr>
          <w:lang w:eastAsia="it-IT"/>
        </w:rPr>
        <w:t xml:space="preserve">75% and </w:t>
      </w:r>
      <w:r w:rsidR="00FF23B1" w:rsidRPr="00203AC9">
        <w:rPr>
          <w:lang w:eastAsia="it-IT"/>
        </w:rPr>
        <w:t>21%</w:t>
      </w:r>
      <w:r w:rsidR="00850177">
        <w:rPr>
          <w:lang w:eastAsia="it-IT"/>
        </w:rPr>
        <w:t xml:space="preserve"> respectively</w:t>
      </w:r>
      <w:r w:rsidR="00FF23B1" w:rsidRPr="00203AC9">
        <w:rPr>
          <w:lang w:eastAsia="it-IT"/>
        </w:rPr>
        <w:t xml:space="preserve"> and water savings</w:t>
      </w:r>
      <w:r w:rsidR="00850177">
        <w:rPr>
          <w:lang w:eastAsia="it-IT"/>
        </w:rPr>
        <w:t xml:space="preserve"> of about </w:t>
      </w:r>
      <w:r w:rsidR="003E331B">
        <w:rPr>
          <w:lang w:eastAsia="it-IT"/>
        </w:rPr>
        <w:t>35%</w:t>
      </w:r>
      <w:r w:rsidR="002C3DCD">
        <w:rPr>
          <w:lang w:eastAsia="it-IT"/>
        </w:rPr>
        <w:t>.</w:t>
      </w:r>
    </w:p>
    <w:p w14:paraId="25C1210A" w14:textId="35969B25" w:rsidR="007A1FD4" w:rsidRPr="00203AC9" w:rsidRDefault="00600535" w:rsidP="0068133D">
      <w:pPr>
        <w:pStyle w:val="CETHeading1"/>
        <w:rPr>
          <w:lang w:val="en-GB"/>
        </w:rPr>
      </w:pPr>
      <w:r w:rsidRPr="00203AC9">
        <w:rPr>
          <w:lang w:val="en-GB"/>
        </w:rPr>
        <w:t>Introduction</w:t>
      </w:r>
    </w:p>
    <w:p w14:paraId="4AFF06D9" w14:textId="0CE43630" w:rsidR="00ED3C8A" w:rsidRPr="00203AC9" w:rsidRDefault="00375F44" w:rsidP="00B44A02">
      <w:pPr>
        <w:pStyle w:val="CETReferencetext"/>
        <w:ind w:left="0" w:firstLine="0"/>
      </w:pPr>
      <w:r w:rsidRPr="00203AC9">
        <w:rPr>
          <w:lang w:eastAsia="it-IT"/>
        </w:rPr>
        <w:t>Nowadays, the agricultural and food industries generate significant amounts of residues. Some of th</w:t>
      </w:r>
      <w:r>
        <w:rPr>
          <w:lang w:eastAsia="it-IT"/>
        </w:rPr>
        <w:t>ese</w:t>
      </w:r>
      <w:r w:rsidRPr="00203AC9">
        <w:rPr>
          <w:lang w:eastAsia="it-IT"/>
        </w:rPr>
        <w:t xml:space="preserve"> waste</w:t>
      </w:r>
      <w:r>
        <w:rPr>
          <w:lang w:eastAsia="it-IT"/>
        </w:rPr>
        <w:t>s</w:t>
      </w:r>
      <w:r w:rsidRPr="00203AC9">
        <w:rPr>
          <w:lang w:eastAsia="it-IT"/>
        </w:rPr>
        <w:t xml:space="preserve"> are by-products that could be reused to obtain new products with high added value</w:t>
      </w:r>
      <w:r w:rsidRPr="00207A19">
        <w:rPr>
          <w:lang w:eastAsia="it-IT"/>
        </w:rPr>
        <w:t xml:space="preserve">, such as food additives, biofuels, biochemicals, or </w:t>
      </w:r>
      <w:r w:rsidRPr="00ED06E9">
        <w:rPr>
          <w:lang w:eastAsia="it-IT"/>
        </w:rPr>
        <w:t>energy</w:t>
      </w:r>
      <w:r w:rsidR="001872DE">
        <w:rPr>
          <w:lang w:eastAsia="it-IT"/>
        </w:rPr>
        <w:t xml:space="preserve"> </w:t>
      </w:r>
      <w:r w:rsidR="00ED06E9" w:rsidRPr="00ED06E9">
        <w:rPr>
          <w:lang w:eastAsia="it-IT"/>
        </w:rPr>
        <w:t>(</w:t>
      </w:r>
      <w:proofErr w:type="spellStart"/>
      <w:r w:rsidR="00ED06E9" w:rsidRPr="00ED06E9">
        <w:rPr>
          <w:lang w:eastAsia="it-IT"/>
        </w:rPr>
        <w:t>Narisetty</w:t>
      </w:r>
      <w:proofErr w:type="spellEnd"/>
      <w:r w:rsidR="00352E19">
        <w:rPr>
          <w:lang w:eastAsia="it-IT"/>
        </w:rPr>
        <w:t xml:space="preserve"> et. al.</w:t>
      </w:r>
      <w:r w:rsidR="00ED06E9" w:rsidRPr="00ED06E9">
        <w:rPr>
          <w:lang w:eastAsia="it-IT"/>
        </w:rPr>
        <w:t>, 2023)</w:t>
      </w:r>
      <w:r w:rsidR="0055786F" w:rsidRPr="00203AC9">
        <w:rPr>
          <w:lang w:eastAsia="it-IT"/>
        </w:rPr>
        <w:t>.</w:t>
      </w:r>
      <w:r w:rsidR="000B076C" w:rsidRPr="00203AC9">
        <w:rPr>
          <w:lang w:eastAsia="it-IT"/>
        </w:rPr>
        <w:t xml:space="preserve"> In this regard</w:t>
      </w:r>
      <w:r w:rsidR="00742974">
        <w:rPr>
          <w:lang w:eastAsia="it-IT"/>
        </w:rPr>
        <w:t>,</w:t>
      </w:r>
      <w:r w:rsidR="000B076C" w:rsidRPr="00203AC9">
        <w:rPr>
          <w:lang w:eastAsia="it-IT"/>
        </w:rPr>
        <w:t xml:space="preserve"> </w:t>
      </w:r>
      <w:r w:rsidR="007A1FD4" w:rsidRPr="00203AC9">
        <w:rPr>
          <w:lang w:eastAsia="it-IT"/>
        </w:rPr>
        <w:t>many studies and researc</w:t>
      </w:r>
      <w:r w:rsidR="00707D52">
        <w:rPr>
          <w:lang w:eastAsia="it-IT"/>
        </w:rPr>
        <w:t>h</w:t>
      </w:r>
      <w:r w:rsidR="007A1FD4" w:rsidRPr="00203AC9">
        <w:rPr>
          <w:lang w:eastAsia="it-IT"/>
        </w:rPr>
        <w:t xml:space="preserve"> have been done, but many challenges are still open, including the production of high-added value products from natural sources instead of fossil ones.</w:t>
      </w:r>
      <w:r w:rsidR="00D15072" w:rsidRPr="00203AC9">
        <w:rPr>
          <w:lang w:eastAsia="it-IT"/>
        </w:rPr>
        <w:t xml:space="preserve"> </w:t>
      </w:r>
      <w:r w:rsidR="001020AC">
        <w:rPr>
          <w:lang w:eastAsia="it-IT"/>
        </w:rPr>
        <w:t xml:space="preserve">In this framework, </w:t>
      </w:r>
      <w:r w:rsidR="001020AC" w:rsidRPr="00203AC9">
        <w:rPr>
          <w:lang w:eastAsia="it-IT"/>
        </w:rPr>
        <w:t>the CYCLEVIT project</w:t>
      </w:r>
      <w:r w:rsidR="006A5271">
        <w:rPr>
          <w:lang w:eastAsia="it-IT"/>
        </w:rPr>
        <w:t xml:space="preserve"> </w:t>
      </w:r>
      <w:r w:rsidR="006A5271" w:rsidRPr="00203AC9">
        <w:rPr>
          <w:lang w:eastAsia="it-IT"/>
        </w:rPr>
        <w:t>(funded by Fondazione Cariplo)</w:t>
      </w:r>
      <w:r w:rsidR="00EB233C">
        <w:rPr>
          <w:lang w:eastAsia="it-IT"/>
        </w:rPr>
        <w:t xml:space="preserve"> has the aim to </w:t>
      </w:r>
      <w:r w:rsidR="00EB233C" w:rsidRPr="00203AC9">
        <w:rPr>
          <w:lang w:eastAsia="it-IT"/>
        </w:rPr>
        <w:t>replace fossil-based thermosetting polymers with lignin</w:t>
      </w:r>
      <w:r w:rsidR="00EB233C">
        <w:rPr>
          <w:lang w:eastAsia="it-IT"/>
        </w:rPr>
        <w:t xml:space="preserve"> </w:t>
      </w:r>
      <w:r w:rsidR="00EB233C" w:rsidRPr="00203AC9">
        <w:rPr>
          <w:lang w:eastAsia="it-IT"/>
        </w:rPr>
        <w:t>and cellulose</w:t>
      </w:r>
      <w:r w:rsidR="00707D52">
        <w:rPr>
          <w:lang w:eastAsia="it-IT"/>
        </w:rPr>
        <w:t>-</w:t>
      </w:r>
      <w:r w:rsidR="00EB233C" w:rsidRPr="00203AC9">
        <w:rPr>
          <w:lang w:eastAsia="it-IT"/>
        </w:rPr>
        <w:t>based ones</w:t>
      </w:r>
      <w:r w:rsidR="00EB233C">
        <w:rPr>
          <w:lang w:eastAsia="it-IT"/>
        </w:rPr>
        <w:t xml:space="preserve">, </w:t>
      </w:r>
      <w:r w:rsidR="006D04FC">
        <w:rPr>
          <w:lang w:eastAsia="it-IT"/>
        </w:rPr>
        <w:t xml:space="preserve">the </w:t>
      </w:r>
      <w:proofErr w:type="spellStart"/>
      <w:r w:rsidR="006D04FC">
        <w:rPr>
          <w:lang w:eastAsia="it-IT"/>
        </w:rPr>
        <w:t>Vitrimers</w:t>
      </w:r>
      <w:proofErr w:type="spellEnd"/>
      <w:r w:rsidR="006D04FC">
        <w:rPr>
          <w:lang w:eastAsia="it-IT"/>
        </w:rPr>
        <w:t>. The latter</w:t>
      </w:r>
      <w:r w:rsidR="00C835CC">
        <w:rPr>
          <w:lang w:eastAsia="it-IT"/>
        </w:rPr>
        <w:t xml:space="preserve"> </w:t>
      </w:r>
      <w:r w:rsidR="00C835CC" w:rsidRPr="00203AC9">
        <w:rPr>
          <w:lang w:eastAsia="it-IT"/>
        </w:rPr>
        <w:t xml:space="preserve">are </w:t>
      </w:r>
      <w:r w:rsidR="00707D52">
        <w:rPr>
          <w:lang w:eastAsia="it-IT"/>
        </w:rPr>
        <w:t xml:space="preserve">a </w:t>
      </w:r>
      <w:r w:rsidR="00C835CC" w:rsidRPr="00203AC9">
        <w:rPr>
          <w:lang w:eastAsia="it-IT"/>
        </w:rPr>
        <w:t>new class of materials</w:t>
      </w:r>
      <w:r w:rsidR="0041731A">
        <w:rPr>
          <w:lang w:eastAsia="it-IT"/>
        </w:rPr>
        <w:t xml:space="preserve"> </w:t>
      </w:r>
      <w:r w:rsidR="0041731A" w:rsidRPr="00203AC9">
        <w:rPr>
          <w:lang w:eastAsia="it-IT"/>
        </w:rPr>
        <w:t>that at room temperature behave like classic thermosetting polymers, but, when heated, gradually decrease their viscosity</w:t>
      </w:r>
      <w:r w:rsidR="00372961">
        <w:rPr>
          <w:lang w:eastAsia="it-IT"/>
        </w:rPr>
        <w:t xml:space="preserve"> flowing </w:t>
      </w:r>
      <w:r w:rsidR="0041731A" w:rsidRPr="00203AC9">
        <w:rPr>
          <w:lang w:eastAsia="it-IT"/>
        </w:rPr>
        <w:t xml:space="preserve">like viscoelastic fluids </w:t>
      </w:r>
      <w:r w:rsidR="00A10618">
        <w:rPr>
          <w:rFonts w:cs="Arial"/>
          <w:color w:val="222222"/>
          <w:szCs w:val="18"/>
          <w:shd w:val="clear" w:color="auto" w:fill="FFFFFF"/>
        </w:rPr>
        <w:t>(</w:t>
      </w:r>
      <w:proofErr w:type="spellStart"/>
      <w:r w:rsidR="00A10618" w:rsidRPr="00203AC9">
        <w:rPr>
          <w:rFonts w:cs="Arial"/>
          <w:color w:val="222222"/>
          <w:szCs w:val="18"/>
          <w:shd w:val="clear" w:color="auto" w:fill="FFFFFF"/>
        </w:rPr>
        <w:t>Röttger</w:t>
      </w:r>
      <w:proofErr w:type="spellEnd"/>
      <w:r w:rsidR="00A10618" w:rsidRPr="00203AC9">
        <w:rPr>
          <w:rFonts w:cs="Arial"/>
          <w:color w:val="222222"/>
          <w:szCs w:val="18"/>
          <w:shd w:val="clear" w:color="auto" w:fill="FFFFFF"/>
        </w:rPr>
        <w:t xml:space="preserve"> et. al</w:t>
      </w:r>
      <w:r w:rsidR="00A10618">
        <w:rPr>
          <w:rFonts w:cs="Arial"/>
          <w:color w:val="222222"/>
          <w:szCs w:val="18"/>
          <w:shd w:val="clear" w:color="auto" w:fill="FFFFFF"/>
        </w:rPr>
        <w:t xml:space="preserve">., </w:t>
      </w:r>
      <w:r w:rsidR="00A10618" w:rsidRPr="00203AC9">
        <w:rPr>
          <w:rFonts w:cs="Arial"/>
          <w:color w:val="222222"/>
          <w:szCs w:val="18"/>
          <w:shd w:val="clear" w:color="auto" w:fill="FFFFFF"/>
        </w:rPr>
        <w:t>2017)</w:t>
      </w:r>
      <w:r w:rsidR="00A10618">
        <w:rPr>
          <w:lang w:eastAsia="it-IT"/>
        </w:rPr>
        <w:t>.</w:t>
      </w:r>
      <w:r w:rsidR="007247A3">
        <w:rPr>
          <w:lang w:eastAsia="it-IT"/>
        </w:rPr>
        <w:t xml:space="preserve"> Moreover, </w:t>
      </w:r>
      <w:r w:rsidR="00C835CC" w:rsidRPr="00203AC9">
        <w:rPr>
          <w:lang w:eastAsia="it-IT"/>
        </w:rPr>
        <w:t xml:space="preserve">compared to traditional thermoset materials, </w:t>
      </w:r>
      <w:r w:rsidR="007247A3">
        <w:rPr>
          <w:lang w:eastAsia="it-IT"/>
        </w:rPr>
        <w:t xml:space="preserve">they </w:t>
      </w:r>
      <w:r w:rsidR="00C835CC" w:rsidRPr="00203AC9">
        <w:rPr>
          <w:lang w:eastAsia="it-IT"/>
        </w:rPr>
        <w:t>can be repaired, reshaped, and reprocessed by extrusion or injection significantly decreasing the environmental impact</w:t>
      </w:r>
      <w:r w:rsidR="00253C41" w:rsidRPr="00253C41">
        <w:rPr>
          <w:rFonts w:cs="Arial"/>
          <w:color w:val="222222"/>
          <w:szCs w:val="18"/>
          <w:shd w:val="clear" w:color="auto" w:fill="FFFFFF"/>
        </w:rPr>
        <w:t xml:space="preserve"> </w:t>
      </w:r>
      <w:r w:rsidR="00AC025C" w:rsidRPr="00203AC9">
        <w:rPr>
          <w:lang w:eastAsia="it-IT"/>
        </w:rPr>
        <w:t>(Yue et al., 2019).</w:t>
      </w:r>
      <w:r w:rsidR="006E64CF">
        <w:rPr>
          <w:lang w:eastAsia="it-IT"/>
        </w:rPr>
        <w:t xml:space="preserve"> </w:t>
      </w:r>
      <w:r w:rsidR="009F71F7">
        <w:rPr>
          <w:lang w:eastAsia="it-IT"/>
        </w:rPr>
        <w:t xml:space="preserve">One of the </w:t>
      </w:r>
      <w:r w:rsidR="007E0B23">
        <w:rPr>
          <w:lang w:eastAsia="it-IT"/>
        </w:rPr>
        <w:t>challenges</w:t>
      </w:r>
      <w:r w:rsidR="00535AD3">
        <w:rPr>
          <w:lang w:eastAsia="it-IT"/>
        </w:rPr>
        <w:t xml:space="preserve"> of </w:t>
      </w:r>
      <w:r w:rsidR="00EE08CA">
        <w:rPr>
          <w:lang w:eastAsia="it-IT"/>
        </w:rPr>
        <w:t>the CYCLEVIT</w:t>
      </w:r>
      <w:r w:rsidR="00535AD3">
        <w:rPr>
          <w:lang w:eastAsia="it-IT"/>
        </w:rPr>
        <w:t xml:space="preserve"> project </w:t>
      </w:r>
      <w:r w:rsidR="007E0B23">
        <w:rPr>
          <w:lang w:eastAsia="it-IT"/>
        </w:rPr>
        <w:t xml:space="preserve">is </w:t>
      </w:r>
      <w:r w:rsidR="00EE08CA">
        <w:rPr>
          <w:lang w:eastAsia="it-IT"/>
        </w:rPr>
        <w:t xml:space="preserve">the </w:t>
      </w:r>
      <w:r w:rsidR="00012926">
        <w:rPr>
          <w:lang w:eastAsia="it-IT"/>
        </w:rPr>
        <w:t xml:space="preserve">sustainable </w:t>
      </w:r>
      <w:r w:rsidR="002F705C">
        <w:rPr>
          <w:lang w:eastAsia="it-IT"/>
        </w:rPr>
        <w:t xml:space="preserve">recovery and production of </w:t>
      </w:r>
      <w:r w:rsidR="00E11965">
        <w:rPr>
          <w:lang w:eastAsia="it-IT"/>
        </w:rPr>
        <w:t>cellulose and lignin</w:t>
      </w:r>
      <w:r w:rsidR="002F705C">
        <w:rPr>
          <w:lang w:eastAsia="it-IT"/>
        </w:rPr>
        <w:t xml:space="preserve"> starting f</w:t>
      </w:r>
      <w:r w:rsidR="00EE08CA">
        <w:rPr>
          <w:lang w:eastAsia="it-IT"/>
        </w:rPr>
        <w:t>ro</w:t>
      </w:r>
      <w:r w:rsidR="002F705C">
        <w:rPr>
          <w:lang w:eastAsia="it-IT"/>
        </w:rPr>
        <w:t xml:space="preserve">m </w:t>
      </w:r>
      <w:r w:rsidR="006E64CF">
        <w:rPr>
          <w:lang w:eastAsia="it-IT"/>
        </w:rPr>
        <w:t>lignocellulosic residues like wheat straw, rice husks</w:t>
      </w:r>
      <w:r w:rsidR="00EE08CA">
        <w:rPr>
          <w:lang w:eastAsia="it-IT"/>
        </w:rPr>
        <w:t>,</w:t>
      </w:r>
      <w:r w:rsidR="006E64CF">
        <w:rPr>
          <w:lang w:eastAsia="it-IT"/>
        </w:rPr>
        <w:t xml:space="preserve"> etc.</w:t>
      </w:r>
      <w:r w:rsidR="00662EDF">
        <w:rPr>
          <w:lang w:eastAsia="it-IT"/>
        </w:rPr>
        <w:t xml:space="preserve"> </w:t>
      </w:r>
      <w:r w:rsidR="00AA4A14" w:rsidRPr="00203AC9">
        <w:rPr>
          <w:lang w:eastAsia="it-IT"/>
        </w:rPr>
        <w:t xml:space="preserve">As </w:t>
      </w:r>
      <w:r w:rsidR="002B1156">
        <w:rPr>
          <w:lang w:eastAsia="it-IT"/>
        </w:rPr>
        <w:t>reported in scientific literature</w:t>
      </w:r>
      <w:r w:rsidR="00AA4A14" w:rsidRPr="00203AC9">
        <w:rPr>
          <w:lang w:eastAsia="it-IT"/>
        </w:rPr>
        <w:t xml:space="preserve">, </w:t>
      </w:r>
      <w:r w:rsidR="002B1156">
        <w:rPr>
          <w:lang w:eastAsia="it-IT"/>
        </w:rPr>
        <w:t xml:space="preserve">one of </w:t>
      </w:r>
      <w:r w:rsidR="00AA4A14" w:rsidRPr="00203AC9">
        <w:rPr>
          <w:lang w:eastAsia="it-IT"/>
        </w:rPr>
        <w:t xml:space="preserve">the most </w:t>
      </w:r>
      <w:r w:rsidR="00AA4A14">
        <w:rPr>
          <w:lang w:eastAsia="it-IT"/>
        </w:rPr>
        <w:t xml:space="preserve">effective </w:t>
      </w:r>
      <w:r w:rsidR="00BE34C8">
        <w:rPr>
          <w:lang w:eastAsia="it-IT"/>
        </w:rPr>
        <w:t>ways</w:t>
      </w:r>
      <w:r w:rsidR="00E53DD4">
        <w:rPr>
          <w:lang w:eastAsia="it-IT"/>
        </w:rPr>
        <w:t xml:space="preserve"> </w:t>
      </w:r>
      <w:r w:rsidR="00AA4A14" w:rsidRPr="00203AC9">
        <w:rPr>
          <w:lang w:eastAsia="it-IT"/>
        </w:rPr>
        <w:t xml:space="preserve">to extract cellulose and lignin </w:t>
      </w:r>
      <w:r w:rsidR="002B1156">
        <w:rPr>
          <w:lang w:eastAsia="it-IT"/>
        </w:rPr>
        <w:t>f</w:t>
      </w:r>
      <w:r w:rsidR="0071044E">
        <w:rPr>
          <w:lang w:eastAsia="it-IT"/>
        </w:rPr>
        <w:t>ro</w:t>
      </w:r>
      <w:r w:rsidR="002B1156">
        <w:rPr>
          <w:lang w:eastAsia="it-IT"/>
        </w:rPr>
        <w:t xml:space="preserve">m </w:t>
      </w:r>
      <w:r w:rsidR="00AA4A14" w:rsidRPr="00203AC9">
        <w:rPr>
          <w:lang w:eastAsia="it-IT"/>
        </w:rPr>
        <w:t>residues i</w:t>
      </w:r>
      <w:r w:rsidR="00CB06A4">
        <w:rPr>
          <w:lang w:eastAsia="it-IT"/>
        </w:rPr>
        <w:t xml:space="preserve">s </w:t>
      </w:r>
      <w:r w:rsidR="00AA4A14" w:rsidRPr="00203AC9">
        <w:rPr>
          <w:lang w:eastAsia="it-IT"/>
        </w:rPr>
        <w:t>diluted acid hydrolysis</w:t>
      </w:r>
      <w:r w:rsidR="00CB06A4">
        <w:rPr>
          <w:lang w:eastAsia="it-IT"/>
        </w:rPr>
        <w:t xml:space="preserve"> followed by alkaline hydrolysis</w:t>
      </w:r>
      <w:r w:rsidR="00AA4A14" w:rsidRPr="00203AC9">
        <w:rPr>
          <w:lang w:eastAsia="it-IT"/>
        </w:rPr>
        <w:t xml:space="preserve"> </w:t>
      </w:r>
      <w:r w:rsidR="0069588C" w:rsidRPr="0069588C">
        <w:t xml:space="preserve">(Vadivel </w:t>
      </w:r>
      <w:r w:rsidR="00352E19">
        <w:t>et. al.</w:t>
      </w:r>
      <w:r w:rsidR="0069588C" w:rsidRPr="0069588C">
        <w:t>, 2017)</w:t>
      </w:r>
      <w:r w:rsidR="00AA4A14" w:rsidRPr="00203AC9">
        <w:rPr>
          <w:lang w:eastAsia="it-IT"/>
        </w:rPr>
        <w:t xml:space="preserve">. </w:t>
      </w:r>
      <w:r w:rsidR="00C72857">
        <w:rPr>
          <w:lang w:eastAsia="it-IT"/>
        </w:rPr>
        <w:t>The a</w:t>
      </w:r>
      <w:r w:rsidR="00F859F8">
        <w:rPr>
          <w:lang w:eastAsia="it-IT"/>
        </w:rPr>
        <w:t>cid hydrolysis</w:t>
      </w:r>
      <w:r w:rsidR="00C72857">
        <w:rPr>
          <w:lang w:eastAsia="it-IT"/>
        </w:rPr>
        <w:t>, usually done with sulfuri</w:t>
      </w:r>
      <w:r w:rsidR="006D7291">
        <w:rPr>
          <w:lang w:eastAsia="it-IT"/>
        </w:rPr>
        <w:t>c acid</w:t>
      </w:r>
      <w:r w:rsidR="00E736CA">
        <w:rPr>
          <w:lang w:eastAsia="it-IT"/>
        </w:rPr>
        <w:t xml:space="preserve">, </w:t>
      </w:r>
      <w:r w:rsidR="00C72857">
        <w:rPr>
          <w:lang w:eastAsia="it-IT"/>
        </w:rPr>
        <w:t>aim</w:t>
      </w:r>
      <w:r w:rsidR="00516631">
        <w:rPr>
          <w:lang w:eastAsia="it-IT"/>
        </w:rPr>
        <w:t>s</w:t>
      </w:r>
      <w:r w:rsidR="00C72857">
        <w:rPr>
          <w:lang w:eastAsia="it-IT"/>
        </w:rPr>
        <w:t xml:space="preserve"> to</w:t>
      </w:r>
      <w:r w:rsidR="006D7291">
        <w:rPr>
          <w:lang w:eastAsia="it-IT"/>
        </w:rPr>
        <w:t xml:space="preserve"> break down hemicellulose </w:t>
      </w:r>
      <w:r w:rsidR="006D7291" w:rsidRPr="00203AC9">
        <w:rPr>
          <w:lang w:eastAsia="it-IT"/>
        </w:rPr>
        <w:t xml:space="preserve">into sugars </w:t>
      </w:r>
      <w:r w:rsidR="00452DFB">
        <w:rPr>
          <w:lang w:eastAsia="it-IT"/>
        </w:rPr>
        <w:t xml:space="preserve">while the alkaline </w:t>
      </w:r>
      <w:r w:rsidR="00DB6CDF">
        <w:rPr>
          <w:lang w:eastAsia="it-IT"/>
        </w:rPr>
        <w:t xml:space="preserve">hydrolysis </w:t>
      </w:r>
      <w:r w:rsidR="001F763C">
        <w:rPr>
          <w:lang w:eastAsia="it-IT"/>
        </w:rPr>
        <w:t xml:space="preserve">is </w:t>
      </w:r>
      <w:r w:rsidR="00BD05C6">
        <w:rPr>
          <w:lang w:eastAsia="it-IT"/>
        </w:rPr>
        <w:t xml:space="preserve">carried out to </w:t>
      </w:r>
      <w:r w:rsidR="0057241E">
        <w:rPr>
          <w:lang w:eastAsia="it-IT"/>
        </w:rPr>
        <w:t>treat the solid recovered from the acid hydrolysis to purify the cellulose</w:t>
      </w:r>
      <w:r w:rsidR="00A22493">
        <w:rPr>
          <w:lang w:eastAsia="it-IT"/>
        </w:rPr>
        <w:t xml:space="preserve"> </w:t>
      </w:r>
      <w:r w:rsidR="00A22493" w:rsidRPr="00A22493">
        <w:rPr>
          <w:lang w:eastAsia="it-IT"/>
        </w:rPr>
        <w:t>dissolving the lignin</w:t>
      </w:r>
      <w:r w:rsidR="00A22493">
        <w:rPr>
          <w:lang w:eastAsia="it-IT"/>
        </w:rPr>
        <w:t xml:space="preserve">. The latter can be recovered from the </w:t>
      </w:r>
      <w:r w:rsidR="0049211C">
        <w:rPr>
          <w:lang w:eastAsia="it-IT"/>
        </w:rPr>
        <w:t xml:space="preserve">alkaline liquor </w:t>
      </w:r>
      <w:r w:rsidR="009566DB">
        <w:rPr>
          <w:lang w:eastAsia="it-IT"/>
        </w:rPr>
        <w:t>through</w:t>
      </w:r>
      <w:r w:rsidR="0049211C">
        <w:rPr>
          <w:lang w:eastAsia="it-IT"/>
        </w:rPr>
        <w:t xml:space="preserve"> acid precipitation, using for instance sulfuric acid</w:t>
      </w:r>
      <w:r w:rsidR="00423833">
        <w:rPr>
          <w:lang w:eastAsia="it-IT"/>
        </w:rPr>
        <w:t xml:space="preserve"> </w:t>
      </w:r>
      <w:r w:rsidR="00423833" w:rsidRPr="00203AC9">
        <w:rPr>
          <w:lang w:eastAsia="it-IT"/>
        </w:rPr>
        <w:t>(</w:t>
      </w:r>
      <w:r w:rsidR="00423833" w:rsidRPr="00203AC9">
        <w:t>Lee H.V.</w:t>
      </w:r>
      <w:r w:rsidR="00423833" w:rsidRPr="00203AC9">
        <w:rPr>
          <w:lang w:eastAsia="it-IT"/>
        </w:rPr>
        <w:t>et al., 2014)</w:t>
      </w:r>
      <w:r w:rsidR="00423833">
        <w:rPr>
          <w:lang w:eastAsia="it-IT"/>
        </w:rPr>
        <w:t>.</w:t>
      </w:r>
      <w:r w:rsidR="00766FC2">
        <w:rPr>
          <w:lang w:eastAsia="it-IT"/>
        </w:rPr>
        <w:t xml:space="preserve"> </w:t>
      </w:r>
      <w:r w:rsidR="00766FC2" w:rsidRPr="00766FC2">
        <w:rPr>
          <w:lang w:eastAsia="it-IT"/>
        </w:rPr>
        <w:t xml:space="preserve">Despite being effective, </w:t>
      </w:r>
      <w:r w:rsidR="00766FC2">
        <w:rPr>
          <w:lang w:eastAsia="it-IT"/>
        </w:rPr>
        <w:t xml:space="preserve">these </w:t>
      </w:r>
      <w:r w:rsidR="00766FC2" w:rsidRPr="00766FC2">
        <w:rPr>
          <w:lang w:eastAsia="it-IT"/>
        </w:rPr>
        <w:t>treatment</w:t>
      </w:r>
      <w:r w:rsidR="00766FC2">
        <w:rPr>
          <w:lang w:eastAsia="it-IT"/>
        </w:rPr>
        <w:t>s</w:t>
      </w:r>
      <w:r w:rsidR="00766FC2" w:rsidRPr="00766FC2">
        <w:rPr>
          <w:lang w:eastAsia="it-IT"/>
        </w:rPr>
        <w:t xml:space="preserve"> </w:t>
      </w:r>
      <w:r w:rsidR="00766FC2">
        <w:rPr>
          <w:lang w:eastAsia="it-IT"/>
        </w:rPr>
        <w:t>are</w:t>
      </w:r>
      <w:r w:rsidR="00766FC2" w:rsidRPr="00766FC2">
        <w:rPr>
          <w:lang w:eastAsia="it-IT"/>
        </w:rPr>
        <w:t xml:space="preserve"> not sustainable from an </w:t>
      </w:r>
      <w:r w:rsidR="00D9252C">
        <w:rPr>
          <w:lang w:eastAsia="it-IT"/>
        </w:rPr>
        <w:t>environmental</w:t>
      </w:r>
      <w:r w:rsidR="00766FC2" w:rsidRPr="00766FC2">
        <w:rPr>
          <w:lang w:eastAsia="it-IT"/>
        </w:rPr>
        <w:t xml:space="preserve"> point of view, mainly because </w:t>
      </w:r>
      <w:r w:rsidR="00D9252C">
        <w:rPr>
          <w:lang w:eastAsia="it-IT"/>
        </w:rPr>
        <w:t>they</w:t>
      </w:r>
      <w:r w:rsidR="00766FC2" w:rsidRPr="00766FC2">
        <w:rPr>
          <w:lang w:eastAsia="it-IT"/>
        </w:rPr>
        <w:t xml:space="preserve"> need fresh reagents for each batch and </w:t>
      </w:r>
      <w:r w:rsidR="00D9252C">
        <w:rPr>
          <w:lang w:eastAsia="it-IT"/>
        </w:rPr>
        <w:t>they</w:t>
      </w:r>
      <w:r w:rsidR="00766FC2" w:rsidRPr="00766FC2">
        <w:rPr>
          <w:lang w:eastAsia="it-IT"/>
        </w:rPr>
        <w:t xml:space="preserve"> produce a large volume of acidic </w:t>
      </w:r>
      <w:r w:rsidR="00D9252C">
        <w:rPr>
          <w:lang w:eastAsia="it-IT"/>
        </w:rPr>
        <w:t xml:space="preserve">and alkaline </w:t>
      </w:r>
      <w:r w:rsidR="00766FC2" w:rsidRPr="00766FC2">
        <w:rPr>
          <w:lang w:eastAsia="it-IT"/>
        </w:rPr>
        <w:t>liquor</w:t>
      </w:r>
      <w:r w:rsidR="00D9252C">
        <w:rPr>
          <w:lang w:eastAsia="it-IT"/>
        </w:rPr>
        <w:t xml:space="preserve"> that </w:t>
      </w:r>
      <w:proofErr w:type="gramStart"/>
      <w:r w:rsidR="00D9252C">
        <w:rPr>
          <w:lang w:eastAsia="it-IT"/>
        </w:rPr>
        <w:t>have</w:t>
      </w:r>
      <w:r w:rsidR="00766FC2" w:rsidRPr="00766FC2">
        <w:rPr>
          <w:lang w:eastAsia="it-IT"/>
        </w:rPr>
        <w:t xml:space="preserve"> to</w:t>
      </w:r>
      <w:proofErr w:type="gramEnd"/>
      <w:r w:rsidR="00766FC2" w:rsidRPr="00766FC2">
        <w:rPr>
          <w:lang w:eastAsia="it-IT"/>
        </w:rPr>
        <w:t xml:space="preserve"> be</w:t>
      </w:r>
      <w:r w:rsidR="00D9252C">
        <w:rPr>
          <w:lang w:eastAsia="it-IT"/>
        </w:rPr>
        <w:t xml:space="preserve"> properly</w:t>
      </w:r>
      <w:r w:rsidR="00766FC2" w:rsidRPr="00766FC2">
        <w:rPr>
          <w:lang w:eastAsia="it-IT"/>
        </w:rPr>
        <w:t xml:space="preserve"> dispose</w:t>
      </w:r>
      <w:r w:rsidR="00D9252C">
        <w:rPr>
          <w:lang w:eastAsia="it-IT"/>
        </w:rPr>
        <w:t>d</w:t>
      </w:r>
      <w:r w:rsidR="00515C41">
        <w:rPr>
          <w:lang w:eastAsia="it-IT"/>
        </w:rPr>
        <w:t xml:space="preserve"> of</w:t>
      </w:r>
      <w:r w:rsidR="00D9252C">
        <w:rPr>
          <w:lang w:eastAsia="it-IT"/>
        </w:rPr>
        <w:t>, increasing also the cost of the process</w:t>
      </w:r>
      <w:r w:rsidR="00766FC2" w:rsidRPr="00766FC2">
        <w:rPr>
          <w:lang w:eastAsia="it-IT"/>
        </w:rPr>
        <w:t>.</w:t>
      </w:r>
      <w:r w:rsidR="00C053FA">
        <w:rPr>
          <w:lang w:eastAsia="it-IT"/>
        </w:rPr>
        <w:t xml:space="preserve"> </w:t>
      </w:r>
      <w:r w:rsidR="00C053FA" w:rsidRPr="00203AC9">
        <w:rPr>
          <w:lang w:eastAsia="it-IT"/>
        </w:rPr>
        <w:t xml:space="preserve">For these reasons, </w:t>
      </w:r>
      <w:r w:rsidR="00C053FA">
        <w:rPr>
          <w:lang w:eastAsia="it-IT"/>
        </w:rPr>
        <w:t>t</w:t>
      </w:r>
      <w:r w:rsidR="00C053FA" w:rsidRPr="00203AC9">
        <w:rPr>
          <w:lang w:eastAsia="it-IT"/>
        </w:rPr>
        <w:t>he aim of this work</w:t>
      </w:r>
      <w:r w:rsidR="00C053FA">
        <w:rPr>
          <w:lang w:eastAsia="it-IT"/>
        </w:rPr>
        <w:t xml:space="preserve"> </w:t>
      </w:r>
      <w:r w:rsidR="0060656F">
        <w:rPr>
          <w:lang w:eastAsia="it-IT"/>
        </w:rPr>
        <w:t>was</w:t>
      </w:r>
      <w:r w:rsidR="00C053FA" w:rsidRPr="00203AC9">
        <w:rPr>
          <w:lang w:eastAsia="it-IT"/>
        </w:rPr>
        <w:t xml:space="preserve"> to present</w:t>
      </w:r>
      <w:r w:rsidR="00FC41B8">
        <w:rPr>
          <w:lang w:eastAsia="it-IT"/>
        </w:rPr>
        <w:t xml:space="preserve"> and </w:t>
      </w:r>
      <w:r w:rsidR="00C053FA" w:rsidRPr="00203AC9">
        <w:rPr>
          <w:lang w:eastAsia="it-IT"/>
        </w:rPr>
        <w:t>discuss a gree</w:t>
      </w:r>
      <w:r w:rsidR="00E14072">
        <w:rPr>
          <w:lang w:eastAsia="it-IT"/>
        </w:rPr>
        <w:t>ner</w:t>
      </w:r>
      <w:r w:rsidR="00C053FA" w:rsidRPr="00203AC9">
        <w:rPr>
          <w:lang w:eastAsia="it-IT"/>
        </w:rPr>
        <w:t xml:space="preserve"> process </w:t>
      </w:r>
      <w:r w:rsidR="00C053FA" w:rsidRPr="00203AC9">
        <w:rPr>
          <w:lang w:eastAsia="it-IT"/>
        </w:rPr>
        <w:lastRenderedPageBreak/>
        <w:t xml:space="preserve">for the recovery of cellulose and lignin from </w:t>
      </w:r>
      <w:proofErr w:type="spellStart"/>
      <w:r w:rsidR="00C053FA" w:rsidRPr="00203AC9">
        <w:rPr>
          <w:lang w:eastAsia="it-IT"/>
        </w:rPr>
        <w:t>agro</w:t>
      </w:r>
      <w:proofErr w:type="spellEnd"/>
      <w:r w:rsidR="00C053FA" w:rsidRPr="00203AC9">
        <w:rPr>
          <w:lang w:eastAsia="it-IT"/>
        </w:rPr>
        <w:t>-food residues</w:t>
      </w:r>
      <w:r w:rsidR="00A645F2">
        <w:rPr>
          <w:lang w:eastAsia="it-IT"/>
        </w:rPr>
        <w:t xml:space="preserve">. </w:t>
      </w:r>
      <w:r w:rsidR="00EC071F">
        <w:rPr>
          <w:lang w:eastAsia="it-IT"/>
        </w:rPr>
        <w:t>T</w:t>
      </w:r>
      <w:r w:rsidR="00EC071F" w:rsidRPr="00EC071F">
        <w:rPr>
          <w:lang w:eastAsia="it-IT"/>
        </w:rPr>
        <w:t xml:space="preserve">he basic idea was to replace the acid and alkaline treatments with autohydrolysis and </w:t>
      </w:r>
      <w:proofErr w:type="spellStart"/>
      <w:r w:rsidR="00EC071F" w:rsidRPr="00EC071F">
        <w:rPr>
          <w:lang w:eastAsia="it-IT"/>
        </w:rPr>
        <w:t>organosolv</w:t>
      </w:r>
      <w:proofErr w:type="spellEnd"/>
      <w:r w:rsidR="00EC071F" w:rsidRPr="00EC071F">
        <w:rPr>
          <w:lang w:eastAsia="it-IT"/>
        </w:rPr>
        <w:t xml:space="preserve"> treatment, respectively.</w:t>
      </w:r>
      <w:r w:rsidR="00FE3D88">
        <w:rPr>
          <w:lang w:eastAsia="it-IT"/>
        </w:rPr>
        <w:t xml:space="preserve"> Indeed, </w:t>
      </w:r>
      <w:r w:rsidR="00C04F67">
        <w:rPr>
          <w:lang w:eastAsia="it-IT"/>
        </w:rPr>
        <w:t xml:space="preserve">the </w:t>
      </w:r>
      <w:r w:rsidR="00FE3D88" w:rsidRPr="00203AC9">
        <w:rPr>
          <w:lang w:eastAsia="it-IT"/>
        </w:rPr>
        <w:t xml:space="preserve">autohydrolysis </w:t>
      </w:r>
      <w:r w:rsidR="00C04F67">
        <w:rPr>
          <w:lang w:eastAsia="it-IT"/>
        </w:rPr>
        <w:t>treatment reach</w:t>
      </w:r>
      <w:r w:rsidR="00AE58D0">
        <w:rPr>
          <w:lang w:eastAsia="it-IT"/>
        </w:rPr>
        <w:t>es</w:t>
      </w:r>
      <w:r w:rsidR="00C04F67">
        <w:rPr>
          <w:lang w:eastAsia="it-IT"/>
        </w:rPr>
        <w:t xml:space="preserve"> the same scope </w:t>
      </w:r>
      <w:r w:rsidR="00AE58D0">
        <w:rPr>
          <w:lang w:eastAsia="it-IT"/>
        </w:rPr>
        <w:t>as</w:t>
      </w:r>
      <w:r w:rsidR="00C04F67">
        <w:rPr>
          <w:lang w:eastAsia="it-IT"/>
        </w:rPr>
        <w:t xml:space="preserve"> the acid hydr</w:t>
      </w:r>
      <w:r w:rsidR="00F17DCA">
        <w:rPr>
          <w:lang w:eastAsia="it-IT"/>
        </w:rPr>
        <w:t xml:space="preserve">olysis, that is the degradation of hemicellulose, </w:t>
      </w:r>
      <w:r w:rsidR="00706625">
        <w:rPr>
          <w:lang w:eastAsia="it-IT"/>
        </w:rPr>
        <w:t>using only water as solvent</w:t>
      </w:r>
      <w:r w:rsidR="008F4972">
        <w:rPr>
          <w:lang w:eastAsia="it-IT"/>
        </w:rPr>
        <w:t xml:space="preserve">, </w:t>
      </w:r>
      <w:r w:rsidR="00706625">
        <w:rPr>
          <w:lang w:eastAsia="it-IT"/>
        </w:rPr>
        <w:t>operating at mid</w:t>
      </w:r>
      <w:r w:rsidR="008F4972">
        <w:rPr>
          <w:lang w:eastAsia="it-IT"/>
        </w:rPr>
        <w:t>-</w:t>
      </w:r>
      <w:r w:rsidR="00706625">
        <w:rPr>
          <w:lang w:eastAsia="it-IT"/>
        </w:rPr>
        <w:t>pressure and slightly higher temperature (Fiorentini et. al., 2022). On the other hand</w:t>
      </w:r>
      <w:r w:rsidR="00124778">
        <w:rPr>
          <w:lang w:eastAsia="it-IT"/>
        </w:rPr>
        <w:t xml:space="preserve">, </w:t>
      </w:r>
      <w:r w:rsidR="008F4972">
        <w:rPr>
          <w:lang w:eastAsia="it-IT"/>
        </w:rPr>
        <w:t xml:space="preserve">the </w:t>
      </w:r>
      <w:proofErr w:type="spellStart"/>
      <w:r w:rsidR="00E26E9E">
        <w:rPr>
          <w:lang w:eastAsia="it-IT"/>
        </w:rPr>
        <w:t>o</w:t>
      </w:r>
      <w:r w:rsidR="00E26E9E" w:rsidRPr="00203AC9">
        <w:rPr>
          <w:lang w:eastAsia="it-IT"/>
        </w:rPr>
        <w:t>rganosolv</w:t>
      </w:r>
      <w:proofErr w:type="spellEnd"/>
      <w:r w:rsidR="00E26E9E" w:rsidRPr="00203AC9">
        <w:rPr>
          <w:lang w:eastAsia="it-IT"/>
        </w:rPr>
        <w:t xml:space="preserve"> process is applied to separate lignin from the cellulosic fraction</w:t>
      </w:r>
      <w:r w:rsidR="00E26E9E">
        <w:rPr>
          <w:lang w:eastAsia="it-IT"/>
        </w:rPr>
        <w:t xml:space="preserve"> using 60% v/v ethanol as solvent</w:t>
      </w:r>
      <w:r w:rsidR="00EE7D91">
        <w:rPr>
          <w:lang w:eastAsia="it-IT"/>
        </w:rPr>
        <w:t>, thus avoiding the use of NaOH for alkaline treatment</w:t>
      </w:r>
      <w:r w:rsidR="0012328E">
        <w:rPr>
          <w:lang w:eastAsia="it-IT"/>
        </w:rPr>
        <w:t xml:space="preserve"> </w:t>
      </w:r>
      <w:r w:rsidR="00E14D41">
        <w:rPr>
          <w:lang w:eastAsia="it-IT"/>
        </w:rPr>
        <w:t>(</w:t>
      </w:r>
      <w:r w:rsidR="001A6E32" w:rsidRPr="00311FF6">
        <w:rPr>
          <w:lang w:val="en-US"/>
        </w:rPr>
        <w:t>de la Torre</w:t>
      </w:r>
      <w:r w:rsidR="001A6E32">
        <w:rPr>
          <w:lang w:val="en-US"/>
        </w:rPr>
        <w:t xml:space="preserve"> et. al., 2013</w:t>
      </w:r>
      <w:r w:rsidR="00E14D41">
        <w:rPr>
          <w:lang w:eastAsia="it-IT"/>
        </w:rPr>
        <w:t>)</w:t>
      </w:r>
      <w:r w:rsidR="00EE7D91">
        <w:rPr>
          <w:lang w:eastAsia="it-IT"/>
        </w:rPr>
        <w:t>.</w:t>
      </w:r>
      <w:r w:rsidR="00E26E9E" w:rsidRPr="00203AC9">
        <w:rPr>
          <w:lang w:eastAsia="it-IT"/>
        </w:rPr>
        <w:t xml:space="preserve"> </w:t>
      </w:r>
      <w:r w:rsidR="00283B67">
        <w:rPr>
          <w:lang w:eastAsia="it-IT"/>
        </w:rPr>
        <w:t>D</w:t>
      </w:r>
      <w:r w:rsidR="005F625A">
        <w:rPr>
          <w:lang w:eastAsia="it-IT"/>
        </w:rPr>
        <w:t xml:space="preserve">espite the </w:t>
      </w:r>
      <w:r w:rsidR="007A1FD4" w:rsidRPr="00203AC9">
        <w:rPr>
          <w:lang w:eastAsia="it-IT"/>
        </w:rPr>
        <w:t>several studies in the scientific literature regarding these</w:t>
      </w:r>
      <w:r w:rsidR="005F625A">
        <w:rPr>
          <w:lang w:eastAsia="it-IT"/>
        </w:rPr>
        <w:t xml:space="preserve"> treatment</w:t>
      </w:r>
      <w:r w:rsidR="007A1FD4" w:rsidRPr="00203AC9">
        <w:rPr>
          <w:lang w:eastAsia="it-IT"/>
        </w:rPr>
        <w:t xml:space="preserve"> processes, to the authors' knowledge, </w:t>
      </w:r>
      <w:r w:rsidR="00ED3C8A">
        <w:rPr>
          <w:lang w:eastAsia="it-IT"/>
        </w:rPr>
        <w:t>there aren’t</w:t>
      </w:r>
      <w:r w:rsidR="007A1FD4" w:rsidRPr="00203AC9">
        <w:rPr>
          <w:lang w:eastAsia="it-IT"/>
        </w:rPr>
        <w:t xml:space="preserve"> extensive and in-de</w:t>
      </w:r>
      <w:r w:rsidR="00665484">
        <w:rPr>
          <w:lang w:eastAsia="it-IT"/>
        </w:rPr>
        <w:t>pth</w:t>
      </w:r>
      <w:r w:rsidR="007A1FD4" w:rsidRPr="00203AC9">
        <w:rPr>
          <w:lang w:eastAsia="it-IT"/>
        </w:rPr>
        <w:t xml:space="preserve"> studies </w:t>
      </w:r>
      <w:r w:rsidR="00ED3C8A">
        <w:rPr>
          <w:lang w:eastAsia="it-IT"/>
        </w:rPr>
        <w:t xml:space="preserve">that </w:t>
      </w:r>
      <w:r w:rsidR="007A1FD4" w:rsidRPr="00203AC9">
        <w:rPr>
          <w:lang w:eastAsia="it-IT"/>
        </w:rPr>
        <w:t xml:space="preserve">have been carried out to recover cellulose and lignin </w:t>
      </w:r>
      <w:r w:rsidR="00ED3C8A">
        <w:rPr>
          <w:lang w:eastAsia="it-IT"/>
        </w:rPr>
        <w:t xml:space="preserve">combining autohydrolysis and </w:t>
      </w:r>
      <w:proofErr w:type="spellStart"/>
      <w:r w:rsidR="00ED3C8A">
        <w:rPr>
          <w:lang w:eastAsia="it-IT"/>
        </w:rPr>
        <w:t>organosolv</w:t>
      </w:r>
      <w:proofErr w:type="spellEnd"/>
      <w:r w:rsidR="00ED3C8A">
        <w:rPr>
          <w:lang w:eastAsia="it-IT"/>
        </w:rPr>
        <w:t>.</w:t>
      </w:r>
      <w:r w:rsidR="00283B67">
        <w:rPr>
          <w:lang w:eastAsia="it-IT"/>
        </w:rPr>
        <w:t xml:space="preserve"> </w:t>
      </w:r>
      <w:r w:rsidR="00283B67" w:rsidRPr="00D93537">
        <w:rPr>
          <w:lang w:eastAsia="it-IT"/>
        </w:rPr>
        <w:t>Therefore</w:t>
      </w:r>
      <w:r w:rsidR="00283B67">
        <w:rPr>
          <w:lang w:eastAsia="it-IT"/>
        </w:rPr>
        <w:t xml:space="preserve">, </w:t>
      </w:r>
      <w:r w:rsidR="00FC41B8">
        <w:rPr>
          <w:lang w:eastAsia="it-IT"/>
        </w:rPr>
        <w:t xml:space="preserve">a first </w:t>
      </w:r>
      <w:r w:rsidR="001A2709">
        <w:rPr>
          <w:lang w:eastAsia="it-IT"/>
        </w:rPr>
        <w:t xml:space="preserve">investigation of this novel process </w:t>
      </w:r>
      <w:r w:rsidR="00F92023">
        <w:rPr>
          <w:lang w:eastAsia="it-IT"/>
        </w:rPr>
        <w:t xml:space="preserve">has been done in this work. </w:t>
      </w:r>
      <w:proofErr w:type="gramStart"/>
      <w:r w:rsidR="00EB1B09">
        <w:rPr>
          <w:lang w:eastAsia="it-IT"/>
        </w:rPr>
        <w:t xml:space="preserve">In particular, </w:t>
      </w:r>
      <w:r w:rsidR="00EB1B09" w:rsidRPr="00EB1B09">
        <w:rPr>
          <w:lang w:eastAsia="it-IT"/>
        </w:rPr>
        <w:t>wheat</w:t>
      </w:r>
      <w:proofErr w:type="gramEnd"/>
      <w:r w:rsidR="00EB1B09" w:rsidRPr="00EB1B09">
        <w:rPr>
          <w:lang w:eastAsia="it-IT"/>
        </w:rPr>
        <w:t xml:space="preserve"> straw was selected as the raw material on which to conduct </w:t>
      </w:r>
      <w:r w:rsidR="00EB1B09">
        <w:rPr>
          <w:lang w:eastAsia="it-IT"/>
        </w:rPr>
        <w:t xml:space="preserve">the </w:t>
      </w:r>
      <w:r w:rsidR="003E5F69">
        <w:rPr>
          <w:lang w:eastAsia="it-IT"/>
        </w:rPr>
        <w:t>initial</w:t>
      </w:r>
      <w:r w:rsidR="00EB1B09" w:rsidRPr="00EB1B09">
        <w:rPr>
          <w:lang w:eastAsia="it-IT"/>
        </w:rPr>
        <w:t xml:space="preserve"> trials given</w:t>
      </w:r>
      <w:r w:rsidR="003E5F69">
        <w:rPr>
          <w:lang w:eastAsia="it-IT"/>
        </w:rPr>
        <w:t xml:space="preserve"> both</w:t>
      </w:r>
      <w:r w:rsidR="00EB1B09" w:rsidRPr="00EB1B09">
        <w:rPr>
          <w:lang w:eastAsia="it-IT"/>
        </w:rPr>
        <w:t xml:space="preserve"> its high content of cellulose and lignin, and the large amount of information that can be found in </w:t>
      </w:r>
      <w:r w:rsidR="00665484">
        <w:rPr>
          <w:lang w:eastAsia="it-IT"/>
        </w:rPr>
        <w:t xml:space="preserve">the </w:t>
      </w:r>
      <w:r w:rsidR="00066880">
        <w:rPr>
          <w:lang w:eastAsia="it-IT"/>
        </w:rPr>
        <w:t xml:space="preserve">scientific </w:t>
      </w:r>
      <w:r w:rsidR="00EB1B09" w:rsidRPr="00EB1B09">
        <w:rPr>
          <w:lang w:eastAsia="it-IT"/>
        </w:rPr>
        <w:t>literature related to the autohydrolysis pr</w:t>
      </w:r>
      <w:r w:rsidR="00066880">
        <w:rPr>
          <w:lang w:eastAsia="it-IT"/>
        </w:rPr>
        <w:t>ocess</w:t>
      </w:r>
      <w:r w:rsidR="00F614CE">
        <w:rPr>
          <w:lang w:eastAsia="it-IT"/>
        </w:rPr>
        <w:t xml:space="preserve"> </w:t>
      </w:r>
      <w:r w:rsidR="00F614CE">
        <w:t>(Bassani et. al., 202</w:t>
      </w:r>
      <w:r w:rsidR="00665484">
        <w:t>1</w:t>
      </w:r>
      <w:r w:rsidR="00F614CE">
        <w:t>)</w:t>
      </w:r>
      <w:r w:rsidR="00EB1B09" w:rsidRPr="00EB1B09">
        <w:rPr>
          <w:lang w:eastAsia="it-IT"/>
        </w:rPr>
        <w:t>.</w:t>
      </w:r>
      <w:r w:rsidR="003D3B34">
        <w:rPr>
          <w:lang w:eastAsia="it-IT"/>
        </w:rPr>
        <w:t xml:space="preserve"> In this way</w:t>
      </w:r>
      <w:r w:rsidR="00921A5A">
        <w:rPr>
          <w:lang w:eastAsia="it-IT"/>
        </w:rPr>
        <w:t xml:space="preserve">, </w:t>
      </w:r>
      <w:r w:rsidR="00921A5A" w:rsidRPr="00921A5A">
        <w:rPr>
          <w:lang w:eastAsia="it-IT"/>
        </w:rPr>
        <w:t xml:space="preserve">it was possible to focus more attention on the </w:t>
      </w:r>
      <w:proofErr w:type="spellStart"/>
      <w:r w:rsidR="00D52991" w:rsidRPr="00921A5A">
        <w:rPr>
          <w:lang w:eastAsia="it-IT"/>
        </w:rPr>
        <w:t>organosolv</w:t>
      </w:r>
      <w:proofErr w:type="spellEnd"/>
      <w:r w:rsidR="00D52991" w:rsidRPr="00921A5A">
        <w:rPr>
          <w:lang w:eastAsia="it-IT"/>
        </w:rPr>
        <w:t xml:space="preserve"> </w:t>
      </w:r>
      <w:r w:rsidR="00921A5A" w:rsidRPr="00921A5A">
        <w:rPr>
          <w:lang w:eastAsia="it-IT"/>
        </w:rPr>
        <w:t>treatment</w:t>
      </w:r>
      <w:r w:rsidR="008048BB">
        <w:rPr>
          <w:lang w:eastAsia="it-IT"/>
        </w:rPr>
        <w:t xml:space="preserve"> where some additional trials were done at d</w:t>
      </w:r>
      <w:r w:rsidR="00D52991" w:rsidRPr="00D52991">
        <w:rPr>
          <w:lang w:eastAsia="it-IT"/>
        </w:rPr>
        <w:t xml:space="preserve">ifferent temperatures </w:t>
      </w:r>
      <w:r w:rsidR="00E603EB">
        <w:rPr>
          <w:lang w:eastAsia="it-IT"/>
        </w:rPr>
        <w:t xml:space="preserve">from </w:t>
      </w:r>
      <w:r w:rsidR="00D52991" w:rsidRPr="00D52991">
        <w:rPr>
          <w:lang w:eastAsia="it-IT"/>
        </w:rPr>
        <w:t>180°C</w:t>
      </w:r>
      <w:r w:rsidR="00E603EB">
        <w:rPr>
          <w:lang w:eastAsia="it-IT"/>
        </w:rPr>
        <w:t xml:space="preserve"> to </w:t>
      </w:r>
      <w:r w:rsidR="00D52991" w:rsidRPr="00D52991">
        <w:rPr>
          <w:lang w:eastAsia="it-IT"/>
        </w:rPr>
        <w:t>200°C</w:t>
      </w:r>
      <w:r w:rsidR="00E603EB">
        <w:rPr>
          <w:lang w:eastAsia="it-IT"/>
        </w:rPr>
        <w:t xml:space="preserve">, and different </w:t>
      </w:r>
      <w:r w:rsidR="00D52991" w:rsidRPr="00D52991">
        <w:rPr>
          <w:lang w:eastAsia="it-IT"/>
        </w:rPr>
        <w:t>solid</w:t>
      </w:r>
      <w:r w:rsidR="00665484">
        <w:rPr>
          <w:lang w:eastAsia="it-IT"/>
        </w:rPr>
        <w:t>-to-</w:t>
      </w:r>
      <w:r w:rsidR="00D52991" w:rsidRPr="00D52991">
        <w:rPr>
          <w:lang w:eastAsia="it-IT"/>
        </w:rPr>
        <w:t>liquid ratio</w:t>
      </w:r>
      <w:r w:rsidR="00665484">
        <w:rPr>
          <w:lang w:eastAsia="it-IT"/>
        </w:rPr>
        <w:t>s</w:t>
      </w:r>
      <w:r w:rsidR="00E603EB">
        <w:rPr>
          <w:lang w:eastAsia="it-IT"/>
        </w:rPr>
        <w:t xml:space="preserve">, from </w:t>
      </w:r>
      <w:r w:rsidR="00D52991" w:rsidRPr="00D52991">
        <w:rPr>
          <w:lang w:eastAsia="it-IT"/>
        </w:rPr>
        <w:t xml:space="preserve">1:10 </w:t>
      </w:r>
      <w:r w:rsidR="00E603EB">
        <w:rPr>
          <w:lang w:eastAsia="it-IT"/>
        </w:rPr>
        <w:t xml:space="preserve">g/ml to </w:t>
      </w:r>
      <w:r w:rsidR="00D52991" w:rsidRPr="00D52991">
        <w:rPr>
          <w:lang w:eastAsia="it-IT"/>
        </w:rPr>
        <w:t>1:20 g/ml</w:t>
      </w:r>
      <w:r w:rsidR="00E603EB">
        <w:rPr>
          <w:lang w:eastAsia="it-IT"/>
        </w:rPr>
        <w:t xml:space="preserve">, to </w:t>
      </w:r>
      <w:r w:rsidR="003F0FA1">
        <w:rPr>
          <w:lang w:eastAsia="it-IT"/>
        </w:rPr>
        <w:t xml:space="preserve">set the best conditions for lignin and cellulose recovery. </w:t>
      </w:r>
      <w:r w:rsidR="00306448">
        <w:rPr>
          <w:lang w:eastAsia="it-IT"/>
        </w:rPr>
        <w:t>Moreover, it</w:t>
      </w:r>
      <w:r w:rsidR="00747A81">
        <w:rPr>
          <w:lang w:eastAsia="it-IT"/>
        </w:rPr>
        <w:t>’s</w:t>
      </w:r>
      <w:r w:rsidR="00306448">
        <w:rPr>
          <w:lang w:eastAsia="it-IT"/>
        </w:rPr>
        <w:t xml:space="preserve"> imp</w:t>
      </w:r>
      <w:r w:rsidR="000D6953">
        <w:rPr>
          <w:lang w:eastAsia="it-IT"/>
        </w:rPr>
        <w:t xml:space="preserve">ortant to point out that, to further </w:t>
      </w:r>
      <w:r w:rsidR="000D6953" w:rsidRPr="00203AC9">
        <w:rPr>
          <w:lang w:eastAsia="it-IT"/>
        </w:rPr>
        <w:t>optimize the process</w:t>
      </w:r>
      <w:r w:rsidR="000D6953">
        <w:rPr>
          <w:lang w:eastAsia="it-IT"/>
        </w:rPr>
        <w:t xml:space="preserve">, </w:t>
      </w:r>
      <w:r w:rsidR="000D6953" w:rsidRPr="00203AC9">
        <w:rPr>
          <w:lang w:eastAsia="it-IT"/>
        </w:rPr>
        <w:t xml:space="preserve">the liquor coming from autohydrolysis was recycled in the </w:t>
      </w:r>
      <w:proofErr w:type="spellStart"/>
      <w:r w:rsidR="000D6953">
        <w:rPr>
          <w:lang w:eastAsia="it-IT"/>
        </w:rPr>
        <w:t>o</w:t>
      </w:r>
      <w:r w:rsidR="000D6953" w:rsidRPr="00203AC9">
        <w:rPr>
          <w:lang w:eastAsia="it-IT"/>
        </w:rPr>
        <w:t>rganosolv</w:t>
      </w:r>
      <w:proofErr w:type="spellEnd"/>
      <w:r w:rsidR="000D6953" w:rsidRPr="00203AC9">
        <w:rPr>
          <w:lang w:eastAsia="it-IT"/>
        </w:rPr>
        <w:t xml:space="preserve"> process</w:t>
      </w:r>
      <w:r w:rsidR="000D6953">
        <w:rPr>
          <w:lang w:eastAsia="it-IT"/>
        </w:rPr>
        <w:t xml:space="preserve"> to obtain the 60% </w:t>
      </w:r>
      <w:r w:rsidR="00F90A41">
        <w:rPr>
          <w:lang w:eastAsia="it-IT"/>
        </w:rPr>
        <w:t>v/v ethanol solution. In this way</w:t>
      </w:r>
      <w:r w:rsidR="00665484">
        <w:rPr>
          <w:lang w:eastAsia="it-IT"/>
        </w:rPr>
        <w:t>,</w:t>
      </w:r>
      <w:r w:rsidR="00F90A41">
        <w:rPr>
          <w:lang w:eastAsia="it-IT"/>
        </w:rPr>
        <w:t xml:space="preserve"> it is possible to reduce water consumptio</w:t>
      </w:r>
      <w:r w:rsidR="00AA4B39">
        <w:rPr>
          <w:lang w:eastAsia="it-IT"/>
        </w:rPr>
        <w:t>n</w:t>
      </w:r>
      <w:r w:rsidR="00374C99">
        <w:rPr>
          <w:lang w:eastAsia="it-IT"/>
        </w:rPr>
        <w:t xml:space="preserve"> and </w:t>
      </w:r>
      <w:r w:rsidR="00AA4B39">
        <w:rPr>
          <w:lang w:eastAsia="it-IT"/>
        </w:rPr>
        <w:t>avoid the disposal of acid liquor</w:t>
      </w:r>
      <w:r w:rsidR="00223CF0">
        <w:rPr>
          <w:lang w:eastAsia="it-IT"/>
        </w:rPr>
        <w:t xml:space="preserve"> </w:t>
      </w:r>
      <w:r w:rsidR="00173138">
        <w:rPr>
          <w:lang w:eastAsia="it-IT"/>
        </w:rPr>
        <w:t>w</w:t>
      </w:r>
      <w:r w:rsidR="00173138" w:rsidRPr="00173138">
        <w:rPr>
          <w:lang w:eastAsia="it-IT"/>
        </w:rPr>
        <w:t>hile at the same time increasing the recovery of lignin</w:t>
      </w:r>
      <w:r w:rsidR="00AA4B39">
        <w:rPr>
          <w:lang w:eastAsia="it-IT"/>
        </w:rPr>
        <w:t xml:space="preserve">. Indeed </w:t>
      </w:r>
      <w:proofErr w:type="spellStart"/>
      <w:r w:rsidR="00173138" w:rsidRPr="00173138">
        <w:rPr>
          <w:lang w:eastAsia="it-IT"/>
        </w:rPr>
        <w:t>Nitsos</w:t>
      </w:r>
      <w:proofErr w:type="spellEnd"/>
      <w:r w:rsidR="00173138" w:rsidRPr="00173138">
        <w:rPr>
          <w:lang w:eastAsia="it-IT"/>
        </w:rPr>
        <w:t xml:space="preserve"> et al.</w:t>
      </w:r>
      <w:r w:rsidR="00173138">
        <w:rPr>
          <w:lang w:eastAsia="it-IT"/>
        </w:rPr>
        <w:t xml:space="preserve"> (</w:t>
      </w:r>
      <w:r w:rsidR="00173138" w:rsidRPr="00173138">
        <w:rPr>
          <w:lang w:eastAsia="it-IT"/>
        </w:rPr>
        <w:t>2016</w:t>
      </w:r>
      <w:r w:rsidR="00173138">
        <w:rPr>
          <w:lang w:eastAsia="it-IT"/>
        </w:rPr>
        <w:t>) reported that acid compounds can act as cataly</w:t>
      </w:r>
      <w:r w:rsidR="00FD1818">
        <w:rPr>
          <w:lang w:eastAsia="it-IT"/>
        </w:rPr>
        <w:t>st</w:t>
      </w:r>
      <w:r w:rsidR="00665484">
        <w:rPr>
          <w:lang w:eastAsia="it-IT"/>
        </w:rPr>
        <w:t>s</w:t>
      </w:r>
      <w:r w:rsidR="00FD1818">
        <w:rPr>
          <w:lang w:eastAsia="it-IT"/>
        </w:rPr>
        <w:t xml:space="preserve"> during </w:t>
      </w:r>
      <w:r w:rsidR="00665484">
        <w:rPr>
          <w:lang w:eastAsia="it-IT"/>
        </w:rPr>
        <w:t xml:space="preserve">the </w:t>
      </w:r>
      <w:proofErr w:type="spellStart"/>
      <w:r w:rsidR="00FD1818">
        <w:rPr>
          <w:lang w:eastAsia="it-IT"/>
        </w:rPr>
        <w:t>organosolv</w:t>
      </w:r>
      <w:proofErr w:type="spellEnd"/>
      <w:r w:rsidR="00FD1818">
        <w:rPr>
          <w:lang w:eastAsia="it-IT"/>
        </w:rPr>
        <w:t xml:space="preserve"> process, promoting the de</w:t>
      </w:r>
      <w:r w:rsidR="00665484">
        <w:rPr>
          <w:lang w:eastAsia="it-IT"/>
        </w:rPr>
        <w:t>-</w:t>
      </w:r>
      <w:r w:rsidR="00FD1818">
        <w:rPr>
          <w:lang w:eastAsia="it-IT"/>
        </w:rPr>
        <w:t xml:space="preserve">lignification and autohydrolysis liquor </w:t>
      </w:r>
      <w:r w:rsidR="000821D0">
        <w:rPr>
          <w:lang w:eastAsia="it-IT"/>
        </w:rPr>
        <w:t>contains a certain amount of acetic acid (</w:t>
      </w:r>
      <w:r w:rsidR="000821D0" w:rsidRPr="00203AC9">
        <w:rPr>
          <w:lang w:eastAsia="it-IT"/>
        </w:rPr>
        <w:t>Fiorentini et al., 2022</w:t>
      </w:r>
      <w:r w:rsidR="000821D0">
        <w:rPr>
          <w:lang w:eastAsia="it-IT"/>
        </w:rPr>
        <w:t>).</w:t>
      </w:r>
    </w:p>
    <w:p w14:paraId="12772223" w14:textId="77777777" w:rsidR="0053149E" w:rsidRPr="00203AC9" w:rsidRDefault="0053149E" w:rsidP="0053149E">
      <w:pPr>
        <w:pStyle w:val="CETHeading1"/>
      </w:pPr>
      <w:r w:rsidRPr="00203AC9">
        <w:t>Material and Methods</w:t>
      </w:r>
    </w:p>
    <w:p w14:paraId="556A9C80" w14:textId="77777777" w:rsidR="00E67FCB" w:rsidRDefault="003072AA" w:rsidP="00453E24">
      <w:pPr>
        <w:pStyle w:val="CETBodytext"/>
      </w:pPr>
      <w:r>
        <w:t xml:space="preserve">As mentioned, </w:t>
      </w:r>
      <w:r w:rsidR="008D4D4B" w:rsidRPr="00203AC9">
        <w:t>wheat straw</w:t>
      </w:r>
      <w:r>
        <w:t xml:space="preserve"> was selected as </w:t>
      </w:r>
      <w:r w:rsidR="009B13FA">
        <w:t xml:space="preserve">raw material for the initial trials. </w:t>
      </w:r>
      <w:r w:rsidR="00260EDF">
        <w:t>Wheat straw</w:t>
      </w:r>
      <w:r w:rsidR="008D4D4B" w:rsidRPr="00203AC9">
        <w:t xml:space="preserve"> was ground using a hammer mill with a 2</w:t>
      </w:r>
      <w:r w:rsidR="00260EDF">
        <w:t xml:space="preserve"> </w:t>
      </w:r>
      <w:r w:rsidR="008D4D4B" w:rsidRPr="00203AC9">
        <w:t xml:space="preserve">mm diameter </w:t>
      </w:r>
      <w:r w:rsidR="00723EA6" w:rsidRPr="00203AC9">
        <w:t>sieve and</w:t>
      </w:r>
      <w:r w:rsidR="008D4D4B" w:rsidRPr="00203AC9">
        <w:t xml:space="preserve"> was subjected to </w:t>
      </w:r>
      <w:r w:rsidR="00260EDF">
        <w:t>the</w:t>
      </w:r>
      <w:r w:rsidR="008D4D4B" w:rsidRPr="00203AC9">
        <w:t xml:space="preserve"> lignocellulosic fractionation process</w:t>
      </w:r>
      <w:r w:rsidR="00C321D8" w:rsidRPr="00203AC9">
        <w:t xml:space="preserve"> illustrated in</w:t>
      </w:r>
      <w:r w:rsidR="002C0791" w:rsidRPr="00203AC9">
        <w:t xml:space="preserve"> </w:t>
      </w:r>
      <w:r w:rsidR="00060205" w:rsidRPr="00203AC9">
        <w:fldChar w:fldCharType="begin"/>
      </w:r>
      <w:r w:rsidR="00060205" w:rsidRPr="00203AC9">
        <w:instrText xml:space="preserve"> REF _Ref156984924 \h </w:instrText>
      </w:r>
      <w:r w:rsidR="00203AC9" w:rsidRPr="00203AC9">
        <w:instrText xml:space="preserve"> \* MERGEFORMAT </w:instrText>
      </w:r>
      <w:r w:rsidR="00060205" w:rsidRPr="00203AC9">
        <w:fldChar w:fldCharType="separate"/>
      </w:r>
      <w:r w:rsidR="00060205" w:rsidRPr="00203AC9">
        <w:t xml:space="preserve">Figure </w:t>
      </w:r>
      <w:r w:rsidR="00060205" w:rsidRPr="00203AC9">
        <w:rPr>
          <w:noProof/>
        </w:rPr>
        <w:t>1</w:t>
      </w:r>
      <w:r w:rsidR="00060205" w:rsidRPr="00203AC9">
        <w:fldChar w:fldCharType="end"/>
      </w:r>
      <w:r w:rsidR="008D4D4B" w:rsidRPr="00203AC9">
        <w:t>.</w:t>
      </w:r>
      <w:r w:rsidR="007E79F0" w:rsidRPr="00203AC9">
        <w:t xml:space="preserve"> </w:t>
      </w:r>
      <w:r w:rsidR="00041FFE">
        <w:t>As reported in the introduction, such</w:t>
      </w:r>
      <w:r w:rsidR="00930F94" w:rsidRPr="00203AC9">
        <w:t xml:space="preserve"> </w:t>
      </w:r>
      <w:r w:rsidR="00454793" w:rsidRPr="00203AC9">
        <w:t xml:space="preserve">lignocellulosic fractionation process </w:t>
      </w:r>
      <w:r w:rsidR="0091196B" w:rsidRPr="00203AC9">
        <w:t xml:space="preserve">can be </w:t>
      </w:r>
      <w:r w:rsidR="00041FFE">
        <w:t>divided</w:t>
      </w:r>
      <w:r w:rsidR="00AE6B37" w:rsidRPr="00203AC9">
        <w:t xml:space="preserve"> into tw</w:t>
      </w:r>
      <w:r w:rsidR="00133E5E" w:rsidRPr="00203AC9">
        <w:t>o main</w:t>
      </w:r>
      <w:r w:rsidR="00930F94" w:rsidRPr="00203AC9">
        <w:t xml:space="preserve"> treatment</w:t>
      </w:r>
      <w:r w:rsidR="00133E5E" w:rsidRPr="00203AC9">
        <w:t>s: autohydrolysis</w:t>
      </w:r>
      <w:r w:rsidR="00041FFE">
        <w:t xml:space="preserve"> and</w:t>
      </w:r>
      <w:r w:rsidR="00133E5E" w:rsidRPr="00203AC9">
        <w:t xml:space="preserve"> </w:t>
      </w:r>
      <w:proofErr w:type="spellStart"/>
      <w:r w:rsidR="001C1851" w:rsidRPr="00203AC9">
        <w:t>organosolv</w:t>
      </w:r>
      <w:proofErr w:type="spellEnd"/>
      <w:r w:rsidR="00955FBB">
        <w:t xml:space="preserve"> </w:t>
      </w:r>
      <w:r w:rsidR="00672167" w:rsidRPr="00203AC9">
        <w:t>whose main purpose is to allow the separation and isolation of lignin and cellulose from the solid obtained from the first autohydrolysis treatment.</w:t>
      </w:r>
    </w:p>
    <w:p w14:paraId="5AB7250C" w14:textId="5F1F78D0" w:rsidR="00533DAA" w:rsidRDefault="00672167" w:rsidP="00453E24">
      <w:pPr>
        <w:pStyle w:val="CETBodytext"/>
      </w:pPr>
      <w:r w:rsidRPr="00203AC9">
        <w:t xml:space="preserve"> </w:t>
      </w:r>
    </w:p>
    <w:p w14:paraId="7AA24550" w14:textId="2FB6D9C4" w:rsidR="003836CB" w:rsidRDefault="004A3494" w:rsidP="00533DAA">
      <w:pPr>
        <w:pStyle w:val="CETBodytext"/>
        <w:jc w:val="left"/>
      </w:pPr>
      <w:r>
        <w:rPr>
          <w:noProof/>
        </w:rPr>
        <w:drawing>
          <wp:inline distT="0" distB="0" distL="0" distR="0" wp14:anchorId="1D03A2C9" wp14:editId="6D40B46B">
            <wp:extent cx="3966144" cy="1336040"/>
            <wp:effectExtent l="0" t="0" r="0" b="0"/>
            <wp:docPr id="2002996751" name="Immagine 3" descr="Immagine che contiene testo, schermata, Carattere, bian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996751" name="Immagine 3" descr="Immagine che contiene testo, schermata, Carattere, bianco&#10;&#10;Descrizione generata automaticamente"/>
                    <pic:cNvPicPr/>
                  </pic:nvPicPr>
                  <pic:blipFill>
                    <a:blip r:embed="rId11"/>
                    <a:stretch>
                      <a:fillRect/>
                    </a:stretch>
                  </pic:blipFill>
                  <pic:spPr>
                    <a:xfrm>
                      <a:off x="0" y="0"/>
                      <a:ext cx="4072475" cy="1371859"/>
                    </a:xfrm>
                    <a:prstGeom prst="rect">
                      <a:avLst/>
                    </a:prstGeom>
                  </pic:spPr>
                </pic:pic>
              </a:graphicData>
            </a:graphic>
          </wp:inline>
        </w:drawing>
      </w:r>
    </w:p>
    <w:p w14:paraId="46640239" w14:textId="227C2D4B" w:rsidR="005268E9" w:rsidRPr="00203AC9" w:rsidRDefault="004012EB" w:rsidP="00533DAA">
      <w:pPr>
        <w:pStyle w:val="CETTabletitle"/>
      </w:pPr>
      <w:bookmarkStart w:id="1" w:name="_Ref156984924"/>
      <w:r w:rsidRPr="00203AC9">
        <w:t xml:space="preserve">Figure </w:t>
      </w:r>
      <w:r w:rsidRPr="00203AC9">
        <w:fldChar w:fldCharType="begin"/>
      </w:r>
      <w:r w:rsidRPr="00203AC9">
        <w:instrText xml:space="preserve"> SEQ Figure \* ARABIC </w:instrText>
      </w:r>
      <w:r w:rsidRPr="00203AC9">
        <w:fldChar w:fldCharType="separate"/>
      </w:r>
      <w:r w:rsidRPr="00203AC9">
        <w:t>1</w:t>
      </w:r>
      <w:r w:rsidRPr="00203AC9">
        <w:fldChar w:fldCharType="end"/>
      </w:r>
      <w:bookmarkEnd w:id="1"/>
      <w:r w:rsidRPr="00203AC9">
        <w:t xml:space="preserve"> - Fractionation process for lignin </w:t>
      </w:r>
      <w:r w:rsidR="00955FBB">
        <w:t>and cellulose recovery</w:t>
      </w:r>
      <w:r w:rsidRPr="00203AC9">
        <w:t xml:space="preserve"> from wheat straw - Experimental plan</w:t>
      </w:r>
    </w:p>
    <w:p w14:paraId="1746BCA2" w14:textId="77777777" w:rsidR="005268E9" w:rsidRPr="00727595" w:rsidRDefault="005268E9" w:rsidP="00012C55">
      <w:pPr>
        <w:pStyle w:val="CETHeading1"/>
        <w:numPr>
          <w:ilvl w:val="2"/>
          <w:numId w:val="1"/>
        </w:numPr>
        <w:rPr>
          <w:sz w:val="18"/>
          <w:szCs w:val="18"/>
        </w:rPr>
      </w:pPr>
      <w:r w:rsidRPr="00727595">
        <w:rPr>
          <w:sz w:val="18"/>
          <w:szCs w:val="18"/>
        </w:rPr>
        <w:t>Autohydrolysis Treatment</w:t>
      </w:r>
    </w:p>
    <w:p w14:paraId="335962A6" w14:textId="11C2BAEA" w:rsidR="00C27BE8" w:rsidRPr="00203AC9" w:rsidRDefault="005268E9" w:rsidP="00B44A02">
      <w:pPr>
        <w:pStyle w:val="CETReferencetext"/>
        <w:ind w:left="0" w:firstLine="0"/>
      </w:pPr>
      <w:r w:rsidRPr="00203AC9">
        <w:t xml:space="preserve">This treatment </w:t>
      </w:r>
      <w:r w:rsidR="00930F94" w:rsidRPr="00203AC9">
        <w:t>was conducted in a high-pressure reactor (</w:t>
      </w:r>
      <w:proofErr w:type="spellStart"/>
      <w:r w:rsidR="00930F94" w:rsidRPr="00203AC9">
        <w:t>Highpreactor</w:t>
      </w:r>
      <w:proofErr w:type="spellEnd"/>
      <w:r w:rsidR="00930F94" w:rsidRPr="00203AC9">
        <w:t xml:space="preserve"> BR-1000, 990 mL, Berghof, Germany) into which the wheat straw sample and distilled water were placed. </w:t>
      </w:r>
      <w:r w:rsidR="00AD444A">
        <w:t>T</w:t>
      </w:r>
      <w:r w:rsidR="00AD444A" w:rsidRPr="00203AC9">
        <w:t>he treatment was conducted at 190°C for 30 minutes with a solid</w:t>
      </w:r>
      <w:r w:rsidR="00442DA9">
        <w:t>-to-</w:t>
      </w:r>
      <w:r w:rsidR="00AD444A" w:rsidRPr="00203AC9">
        <w:t>liquid ratio of 1:20</w:t>
      </w:r>
      <w:r w:rsidR="00AD444A">
        <w:t xml:space="preserve">. </w:t>
      </w:r>
      <w:r w:rsidR="0002664D">
        <w:t>T</w:t>
      </w:r>
      <w:r w:rsidR="0002664D" w:rsidRPr="0002664D">
        <w:t xml:space="preserve">hese conditions were </w:t>
      </w:r>
      <w:r w:rsidR="0002664D">
        <w:t>selected</w:t>
      </w:r>
      <w:r w:rsidR="0002664D" w:rsidRPr="0002664D">
        <w:t xml:space="preserve"> with the goal of almost completely degrading hemicellulose while maximizing </w:t>
      </w:r>
      <w:r w:rsidR="0002664D">
        <w:t>cellulose</w:t>
      </w:r>
      <w:r w:rsidR="0002664D" w:rsidRPr="0002664D">
        <w:t xml:space="preserve"> recovery. </w:t>
      </w:r>
      <w:r w:rsidR="0002664D">
        <w:t>T</w:t>
      </w:r>
      <w:r w:rsidR="0002664D" w:rsidRPr="0002664D">
        <w:t xml:space="preserve">his was achieved </w:t>
      </w:r>
      <w:proofErr w:type="gramStart"/>
      <w:r w:rsidR="0002664D" w:rsidRPr="0002664D">
        <w:t>through the use of</w:t>
      </w:r>
      <w:proofErr w:type="gramEnd"/>
      <w:r w:rsidR="0002664D" w:rsidRPr="0002664D">
        <w:t xml:space="preserve"> a mathematical model developed in </w:t>
      </w:r>
      <w:r w:rsidR="0002664D">
        <w:t xml:space="preserve">a </w:t>
      </w:r>
      <w:r w:rsidR="0002664D" w:rsidRPr="0002664D">
        <w:t xml:space="preserve">previous work </w:t>
      </w:r>
      <w:r w:rsidR="0002664D">
        <w:t>regarding</w:t>
      </w:r>
      <w:r w:rsidR="0002664D" w:rsidRPr="0002664D">
        <w:t xml:space="preserve"> wheat straw autohydrolysis </w:t>
      </w:r>
      <w:r w:rsidR="00AD67DA">
        <w:t>(Bassani et. al., 2021)</w:t>
      </w:r>
      <w:r w:rsidR="0002664D" w:rsidRPr="0002664D">
        <w:t xml:space="preserve">. Furthermore, these conditions are also confirmed in the work of Fiorentini et. al. (2022) where similar conditions </w:t>
      </w:r>
      <w:r w:rsidR="004672E5">
        <w:t xml:space="preserve">were </w:t>
      </w:r>
      <w:r w:rsidR="0002664D" w:rsidRPr="0002664D">
        <w:t xml:space="preserve">found </w:t>
      </w:r>
      <w:r w:rsidR="004672E5">
        <w:t xml:space="preserve">in </w:t>
      </w:r>
      <w:r w:rsidR="0002664D" w:rsidRPr="0002664D">
        <w:t>high cellulose recovery.</w:t>
      </w:r>
      <w:r w:rsidR="006B1D6E">
        <w:t xml:space="preserve"> </w:t>
      </w:r>
      <w:r w:rsidR="00EE7740" w:rsidRPr="00203AC9">
        <w:t xml:space="preserve">Subsequently, the </w:t>
      </w:r>
      <w:proofErr w:type="spellStart"/>
      <w:r w:rsidR="00EE7740" w:rsidRPr="00203AC9">
        <w:t>hydrolyzed</w:t>
      </w:r>
      <w:proofErr w:type="spellEnd"/>
      <w:r w:rsidR="00EE7740" w:rsidRPr="00203AC9">
        <w:t xml:space="preserve"> sample was filtered to separate the acidic liquor from the solid</w:t>
      </w:r>
      <w:r w:rsidR="0068729D" w:rsidRPr="00203AC9">
        <w:t xml:space="preserve"> pulp</w:t>
      </w:r>
      <w:r w:rsidR="00177282" w:rsidRPr="00203AC9">
        <w:t xml:space="preserve"> </w:t>
      </w:r>
      <w:r w:rsidR="0068729D" w:rsidRPr="00203AC9">
        <w:t xml:space="preserve">using </w:t>
      </w:r>
      <w:r w:rsidR="002E6427" w:rsidRPr="00203AC9">
        <w:t>Whatman paper filters (N°589/2)</w:t>
      </w:r>
      <w:r w:rsidR="001B3EB7" w:rsidRPr="00203AC9">
        <w:t>. T</w:t>
      </w:r>
      <w:r w:rsidR="00EE7740" w:rsidRPr="00203AC9">
        <w:t>he liquid fraction mainly contains water</w:t>
      </w:r>
      <w:r w:rsidR="006B1D6E">
        <w:t xml:space="preserve">, </w:t>
      </w:r>
      <w:r w:rsidR="00EE7740" w:rsidRPr="00203AC9">
        <w:t>sugars</w:t>
      </w:r>
      <w:r w:rsidR="006B1D6E">
        <w:t xml:space="preserve"> and acetic acid</w:t>
      </w:r>
      <w:r w:rsidR="00EE7740" w:rsidRPr="00203AC9">
        <w:t xml:space="preserve"> derived from the solubilization of hemicellulose and sugar degradation products while the solid fraction</w:t>
      </w:r>
      <w:r w:rsidR="002E6427" w:rsidRPr="00203AC9">
        <w:t xml:space="preserve"> was dried at 60°C for 24 hours and </w:t>
      </w:r>
      <w:r w:rsidR="00EE7740" w:rsidRPr="00203AC9">
        <w:t>contains mainly lignin and cellulose.</w:t>
      </w:r>
      <w:r w:rsidR="00057A07" w:rsidRPr="00203AC9">
        <w:t xml:space="preserve"> </w:t>
      </w:r>
      <w:r w:rsidR="00E40A77" w:rsidRPr="00203AC9">
        <w:rPr>
          <w:lang w:val="en-US"/>
        </w:rPr>
        <w:t>To determine the proportions of lignin, cellulose, and hemicellulose in the autohydrolysis solids, a structural carbohydrate analysis was performed.</w:t>
      </w:r>
    </w:p>
    <w:p w14:paraId="29B3B4BA" w14:textId="6A714EB9" w:rsidR="00C27BE8" w:rsidRPr="00727595" w:rsidRDefault="001C1851" w:rsidP="00012C55">
      <w:pPr>
        <w:pStyle w:val="CETHeading1"/>
        <w:numPr>
          <w:ilvl w:val="2"/>
          <w:numId w:val="1"/>
        </w:numPr>
        <w:rPr>
          <w:sz w:val="18"/>
          <w:szCs w:val="18"/>
        </w:rPr>
      </w:pPr>
      <w:r w:rsidRPr="00727595">
        <w:rPr>
          <w:sz w:val="18"/>
          <w:szCs w:val="18"/>
        </w:rPr>
        <w:t>Organosolv</w:t>
      </w:r>
      <w:r w:rsidR="00C27BE8" w:rsidRPr="00727595">
        <w:rPr>
          <w:sz w:val="18"/>
          <w:szCs w:val="18"/>
        </w:rPr>
        <w:t xml:space="preserve"> Treatment</w:t>
      </w:r>
    </w:p>
    <w:p w14:paraId="7C963B41" w14:textId="093C5975" w:rsidR="00963896" w:rsidRPr="00203AC9" w:rsidRDefault="00E73D42" w:rsidP="00453E24">
      <w:pPr>
        <w:pStyle w:val="CETBodytext"/>
      </w:pPr>
      <w:r w:rsidRPr="00203AC9">
        <w:t>To separate</w:t>
      </w:r>
      <w:r w:rsidR="00E83BEF" w:rsidRPr="00203AC9">
        <w:t xml:space="preserve"> lignin from cellulose</w:t>
      </w:r>
      <w:r w:rsidRPr="00203AC9">
        <w:t xml:space="preserve"> in the solid </w:t>
      </w:r>
      <w:r w:rsidR="006921B7" w:rsidRPr="00203AC9">
        <w:t>recovered from the autohydrolysis</w:t>
      </w:r>
      <w:r w:rsidR="00E83BEF" w:rsidRPr="00203AC9">
        <w:t xml:space="preserve"> the </w:t>
      </w:r>
      <w:r w:rsidR="001C1851" w:rsidRPr="00203AC9">
        <w:t>organosolv</w:t>
      </w:r>
      <w:r w:rsidR="00E83BEF" w:rsidRPr="00203AC9">
        <w:t xml:space="preserve"> process</w:t>
      </w:r>
      <w:r w:rsidR="006921B7" w:rsidRPr="00203AC9">
        <w:t xml:space="preserve"> was performed</w:t>
      </w:r>
      <w:r w:rsidR="00007794">
        <w:t>.</w:t>
      </w:r>
      <w:r w:rsidR="00E83BEF" w:rsidRPr="00203AC9">
        <w:t xml:space="preserve"> </w:t>
      </w:r>
      <w:r w:rsidR="004A15A8" w:rsidRPr="00203AC9">
        <w:t xml:space="preserve">The </w:t>
      </w:r>
      <w:r w:rsidR="001C1851" w:rsidRPr="00203AC9">
        <w:t>organosolv</w:t>
      </w:r>
      <w:r w:rsidR="004A15A8" w:rsidRPr="00203AC9">
        <w:t xml:space="preserve"> treatment was </w:t>
      </w:r>
      <w:r w:rsidR="00027392">
        <w:t>carried out</w:t>
      </w:r>
      <w:r w:rsidR="004A15A8" w:rsidRPr="00203AC9">
        <w:t xml:space="preserve"> in the same reactor used for the autohydrolysis </w:t>
      </w:r>
      <w:r w:rsidR="004A15A8" w:rsidRPr="00203AC9">
        <w:lastRenderedPageBreak/>
        <w:t>(</w:t>
      </w:r>
      <w:proofErr w:type="spellStart"/>
      <w:r w:rsidR="004A15A8" w:rsidRPr="00203AC9">
        <w:t>Highpreactor</w:t>
      </w:r>
      <w:proofErr w:type="spellEnd"/>
      <w:r w:rsidR="004A15A8" w:rsidRPr="00203AC9">
        <w:t xml:space="preserve"> BR-1000, 990 mL, Berghof, Germany). </w:t>
      </w:r>
      <w:r w:rsidR="000C0D8A">
        <w:t>As reported in the introduction,</w:t>
      </w:r>
      <w:r w:rsidR="00EC48ED">
        <w:t xml:space="preserve"> organosolv was tested at </w:t>
      </w:r>
      <w:r w:rsidR="00EC48ED" w:rsidRPr="00EC48ED">
        <w:t>two different temperatures (180°C and 200°C) and two different solid</w:t>
      </w:r>
      <w:r w:rsidR="008975D1">
        <w:t>-to-</w:t>
      </w:r>
      <w:r w:rsidR="00EC48ED" w:rsidRPr="00EC48ED">
        <w:t>liquid ratios (1:10 and 1:20</w:t>
      </w:r>
      <w:r w:rsidR="00EC48ED">
        <w:t xml:space="preserve"> </w:t>
      </w:r>
      <w:r w:rsidR="00130405">
        <w:t>g/ml</w:t>
      </w:r>
      <w:r w:rsidR="00EC48ED" w:rsidRPr="00EC48ED">
        <w:t>)</w:t>
      </w:r>
      <w:r w:rsidR="00130405">
        <w:t xml:space="preserve">, </w:t>
      </w:r>
      <w:r w:rsidR="009E46C6">
        <w:t>k</w:t>
      </w:r>
      <w:r w:rsidR="009E46C6" w:rsidRPr="009E46C6">
        <w:t>eeping the treatment time (</w:t>
      </w:r>
      <w:r w:rsidR="009632CF">
        <w:t>90 min</w:t>
      </w:r>
      <w:r w:rsidR="009A7FAD">
        <w:t>utes</w:t>
      </w:r>
      <w:r w:rsidR="009E46C6" w:rsidRPr="009E46C6">
        <w:t>) and solvent concentration (</w:t>
      </w:r>
      <w:r w:rsidR="009A7FAD">
        <w:t>60% v/v of ethanol</w:t>
      </w:r>
      <w:r w:rsidR="009E46C6" w:rsidRPr="009E46C6">
        <w:t>) constant in all cases</w:t>
      </w:r>
      <w:r w:rsidR="009A7FAD">
        <w:t>.</w:t>
      </w:r>
      <w:r w:rsidR="00377325">
        <w:t xml:space="preserve"> </w:t>
      </w:r>
      <w:r w:rsidR="009C47FC">
        <w:t>Moreover, the solvent is prepared us</w:t>
      </w:r>
      <w:r w:rsidR="0035013D">
        <w:t xml:space="preserve">ing ethanol and, instead of water, the </w:t>
      </w:r>
      <w:r w:rsidR="0043692A">
        <w:t xml:space="preserve">acid </w:t>
      </w:r>
      <w:r w:rsidR="003236EF">
        <w:t>l</w:t>
      </w:r>
      <w:r w:rsidR="0035013D">
        <w:t>iquor</w:t>
      </w:r>
      <w:r w:rsidR="00604B22">
        <w:t xml:space="preserve">, with a pH of about 4, </w:t>
      </w:r>
      <w:r w:rsidR="003236EF">
        <w:t>com</w:t>
      </w:r>
      <w:r w:rsidR="008975D1">
        <w:t>es</w:t>
      </w:r>
      <w:r w:rsidR="003236EF">
        <w:t xml:space="preserve"> from autohydrolysis</w:t>
      </w:r>
      <w:r w:rsidR="0035013D">
        <w:t>.</w:t>
      </w:r>
      <w:r w:rsidR="00763621">
        <w:t xml:space="preserve"> </w:t>
      </w:r>
      <w:r w:rsidR="001D11CF" w:rsidRPr="001D11CF">
        <w:t>This acidity is related to the presence of acetic acid</w:t>
      </w:r>
      <w:r w:rsidR="001D11CF">
        <w:t xml:space="preserve"> (</w:t>
      </w:r>
      <w:r w:rsidR="001D11CF" w:rsidRPr="00203AC9">
        <w:t>Bassani et al., (2020)</w:t>
      </w:r>
      <w:r w:rsidR="001D11CF" w:rsidRPr="001D11CF">
        <w:t xml:space="preserve"> which can act as a catalyst for the </w:t>
      </w:r>
      <w:proofErr w:type="spellStart"/>
      <w:r w:rsidR="001D11CF" w:rsidRPr="001D11CF">
        <w:t>organosolv</w:t>
      </w:r>
      <w:proofErr w:type="spellEnd"/>
      <w:r w:rsidR="001D11CF" w:rsidRPr="001D11CF">
        <w:t xml:space="preserve"> process to promote lignin recovery, as also confirmed by </w:t>
      </w:r>
      <w:r w:rsidR="008E5474" w:rsidRPr="00203AC9">
        <w:t>Baruah et. al. (2018)</w:t>
      </w:r>
      <w:r w:rsidR="008E5474">
        <w:t>.</w:t>
      </w:r>
      <w:r w:rsidR="0035013D">
        <w:t xml:space="preserve"> </w:t>
      </w:r>
      <w:r w:rsidR="00470193">
        <w:t>I</w:t>
      </w:r>
      <w:r w:rsidR="00325448" w:rsidRPr="00377325">
        <w:t xml:space="preserve">t is important to emphasize that the choice of operating conditions was made </w:t>
      </w:r>
      <w:r w:rsidR="00470193">
        <w:t>based on</w:t>
      </w:r>
      <w:r w:rsidR="00325448" w:rsidRPr="00377325">
        <w:t xml:space="preserve"> the scientific literature </w:t>
      </w:r>
      <w:r w:rsidR="00325448">
        <w:t>(</w:t>
      </w:r>
      <w:proofErr w:type="spellStart"/>
      <w:r w:rsidR="00325448" w:rsidRPr="00203AC9">
        <w:t>Sidiras</w:t>
      </w:r>
      <w:proofErr w:type="spellEnd"/>
      <w:r w:rsidR="00325448" w:rsidRPr="00203AC9">
        <w:t xml:space="preserve"> et al. (2022)</w:t>
      </w:r>
      <w:r w:rsidR="00325448">
        <w:t xml:space="preserve">) </w:t>
      </w:r>
      <w:r w:rsidR="00325448" w:rsidRPr="00377325">
        <w:t xml:space="preserve">and that it was decided to vary only two parameters (i.e., temperature and solid-liquid ratio) as this is an initial study to verify the </w:t>
      </w:r>
      <w:r w:rsidR="00325448">
        <w:t>potentiality</w:t>
      </w:r>
      <w:r w:rsidR="00325448" w:rsidRPr="00377325">
        <w:t xml:space="preserve"> of the process.</w:t>
      </w:r>
      <w:r w:rsidR="00325448" w:rsidRPr="00EC48ED">
        <w:t xml:space="preserve"> </w:t>
      </w:r>
      <w:r w:rsidR="004A15A8" w:rsidRPr="00203AC9">
        <w:t>After the treatment, the mixture was filtered</w:t>
      </w:r>
      <w:r w:rsidR="005B0FE3">
        <w:t xml:space="preserve"> and </w:t>
      </w:r>
      <w:r w:rsidR="004A15A8" w:rsidRPr="00203AC9">
        <w:t>the solid fraction was washed with distilled water and dried in an oven at 50°C for one night (</w:t>
      </w:r>
      <w:proofErr w:type="spellStart"/>
      <w:r w:rsidR="004A15A8" w:rsidRPr="00203AC9">
        <w:t>Huijgen</w:t>
      </w:r>
      <w:proofErr w:type="spellEnd"/>
      <w:r w:rsidR="004A15A8" w:rsidRPr="00203AC9">
        <w:t xml:space="preserve"> et al., 2010), while the liquid fraction was first acidified with two volumes of cold (4°C) acidified </w:t>
      </w:r>
      <w:r w:rsidR="00645947" w:rsidRPr="00203AC9">
        <w:t>water (</w:t>
      </w:r>
      <w:r w:rsidR="004A15A8" w:rsidRPr="00203AC9">
        <w:t>with acetic acid</w:t>
      </w:r>
      <w:r w:rsidR="00645947" w:rsidRPr="00203AC9">
        <w:t>, final solution pH 2.5)</w:t>
      </w:r>
      <w:r w:rsidR="004A15A8" w:rsidRPr="00203AC9">
        <w:t xml:space="preserve"> and then centrifuged and filtered</w:t>
      </w:r>
      <w:r w:rsidR="00CB38BF" w:rsidRPr="00203AC9">
        <w:t xml:space="preserve"> </w:t>
      </w:r>
      <w:r w:rsidR="004A15A8" w:rsidRPr="00203AC9">
        <w:t>to separate the precipitate containing lignin.</w:t>
      </w:r>
      <w:r w:rsidR="00934515" w:rsidRPr="00203AC9">
        <w:t xml:space="preserve"> </w:t>
      </w:r>
      <w:r w:rsidR="00906A79" w:rsidRPr="00203AC9">
        <w:t xml:space="preserve">The composition of the recovered solids was </w:t>
      </w:r>
      <w:r w:rsidR="00DE4E79">
        <w:t>evaluated also in this case using the s</w:t>
      </w:r>
      <w:r w:rsidR="00DE4E79" w:rsidRPr="00DE4E79">
        <w:t xml:space="preserve">tructural </w:t>
      </w:r>
      <w:r w:rsidR="00DE4E79">
        <w:t>c</w:t>
      </w:r>
      <w:r w:rsidR="00DE4E79" w:rsidRPr="00DE4E79">
        <w:t>arbohydrates</w:t>
      </w:r>
      <w:r w:rsidR="00DE4E79">
        <w:t xml:space="preserve"> analysis</w:t>
      </w:r>
      <w:r w:rsidR="00906A79" w:rsidRPr="00203AC9">
        <w:t>.</w:t>
      </w:r>
    </w:p>
    <w:p w14:paraId="0636B784" w14:textId="1C4ED09E" w:rsidR="00453E24" w:rsidRPr="00727595" w:rsidRDefault="002C402B" w:rsidP="00012C55">
      <w:pPr>
        <w:pStyle w:val="CETHeading1"/>
        <w:numPr>
          <w:ilvl w:val="2"/>
          <w:numId w:val="1"/>
        </w:numPr>
        <w:rPr>
          <w:sz w:val="18"/>
          <w:szCs w:val="18"/>
        </w:rPr>
      </w:pPr>
      <w:r w:rsidRPr="00727595">
        <w:rPr>
          <w:sz w:val="18"/>
          <w:szCs w:val="18"/>
        </w:rPr>
        <w:t xml:space="preserve">Fat and </w:t>
      </w:r>
      <w:r w:rsidR="002F6EF3" w:rsidRPr="00727595">
        <w:rPr>
          <w:sz w:val="18"/>
          <w:szCs w:val="18"/>
        </w:rPr>
        <w:t>P</w:t>
      </w:r>
      <w:r w:rsidRPr="00727595">
        <w:rPr>
          <w:sz w:val="18"/>
          <w:szCs w:val="18"/>
        </w:rPr>
        <w:t>r</w:t>
      </w:r>
      <w:r w:rsidR="0077529C" w:rsidRPr="00727595">
        <w:rPr>
          <w:sz w:val="18"/>
          <w:szCs w:val="18"/>
        </w:rPr>
        <w:t>otein</w:t>
      </w:r>
      <w:r w:rsidR="002F6EF3" w:rsidRPr="00727595">
        <w:rPr>
          <w:sz w:val="18"/>
          <w:szCs w:val="18"/>
        </w:rPr>
        <w:t xml:space="preserve"> </w:t>
      </w:r>
      <w:r w:rsidR="00631CD0" w:rsidRPr="00727595">
        <w:rPr>
          <w:sz w:val="18"/>
          <w:szCs w:val="18"/>
        </w:rPr>
        <w:t>Content</w:t>
      </w:r>
    </w:p>
    <w:p w14:paraId="50D7361F" w14:textId="488F54DD" w:rsidR="00012C55" w:rsidRPr="00203AC9" w:rsidRDefault="00012C55" w:rsidP="00682099">
      <w:pPr>
        <w:pStyle w:val="CETheadingx"/>
        <w:rPr>
          <w:b/>
        </w:rPr>
      </w:pPr>
      <w:r w:rsidRPr="00203AC9">
        <w:t xml:space="preserve">To determine the fat and protein content, the procedure described by </w:t>
      </w:r>
      <w:proofErr w:type="spellStart"/>
      <w:r w:rsidRPr="00203AC9">
        <w:t>Didaoui</w:t>
      </w:r>
      <w:proofErr w:type="spellEnd"/>
      <w:r w:rsidRPr="00203AC9">
        <w:t xml:space="preserve"> </w:t>
      </w:r>
      <w:r w:rsidR="009A0C10" w:rsidRPr="00203AC9">
        <w:t xml:space="preserve">et. al. </w:t>
      </w:r>
      <w:r w:rsidRPr="00203AC9">
        <w:t>(2023) was followed. Petroleum ether was used as the solvent for fat extraction using the Soxhlet method, while the Kjeldahl method was employed to assess protein content.</w:t>
      </w:r>
    </w:p>
    <w:p w14:paraId="18BAFA6F" w14:textId="68A659FD" w:rsidR="00453E24" w:rsidRPr="00727595" w:rsidRDefault="00B5695A" w:rsidP="00012C55">
      <w:pPr>
        <w:pStyle w:val="CETHeading1"/>
        <w:numPr>
          <w:ilvl w:val="2"/>
          <w:numId w:val="1"/>
        </w:numPr>
        <w:rPr>
          <w:sz w:val="18"/>
          <w:szCs w:val="18"/>
        </w:rPr>
      </w:pPr>
      <w:r w:rsidRPr="00727595">
        <w:rPr>
          <w:sz w:val="18"/>
          <w:szCs w:val="18"/>
        </w:rPr>
        <w:t>Structural</w:t>
      </w:r>
      <w:r w:rsidR="00617A58" w:rsidRPr="00727595">
        <w:rPr>
          <w:sz w:val="18"/>
          <w:szCs w:val="18"/>
        </w:rPr>
        <w:t xml:space="preserve"> Carboh</w:t>
      </w:r>
      <w:r w:rsidR="00137591" w:rsidRPr="00727595">
        <w:rPr>
          <w:sz w:val="18"/>
          <w:szCs w:val="18"/>
        </w:rPr>
        <w:t>ydrates</w:t>
      </w:r>
    </w:p>
    <w:p w14:paraId="7A2729EC" w14:textId="5A52CD19" w:rsidR="00521098" w:rsidRPr="00AB0CD0" w:rsidRDefault="00521098" w:rsidP="00521098">
      <w:pPr>
        <w:pStyle w:val="CETHeading1"/>
        <w:numPr>
          <w:ilvl w:val="0"/>
          <w:numId w:val="0"/>
        </w:numPr>
        <w:tabs>
          <w:tab w:val="right" w:pos="7100"/>
        </w:tabs>
        <w:jc w:val="both"/>
        <w:rPr>
          <w:b w:val="0"/>
          <w:sz w:val="18"/>
        </w:rPr>
      </w:pPr>
      <w:r w:rsidRPr="00203AC9">
        <w:rPr>
          <w:b w:val="0"/>
          <w:sz w:val="18"/>
        </w:rPr>
        <w:t>The analysis was carried out using the methodology described by Sluiter et al. (2013). In brief, the solid material underwent two consecutive acid hydrolysis steps: the first using 72% sulfuric acid at 30°C for one hour, and the second using 4% (v/v) sulfuric acid at 121°C for one hour. Following the hydrolysis procedures, the lignin content was determined by weight difference relative to the initial sample. The hemicellulose and cellulose contents were estimated from the glucose and xylose concentrations in the resulting liquor, using factors of 0.88 and 0.9, respectively, to account for the non-sugar components associated with these carbohydrate fractions.</w:t>
      </w:r>
    </w:p>
    <w:p w14:paraId="677EBFF0" w14:textId="7A3C6622" w:rsidR="00600535" w:rsidRPr="00203AC9" w:rsidRDefault="008447A3" w:rsidP="00600535">
      <w:pPr>
        <w:pStyle w:val="CETHeading1"/>
        <w:tabs>
          <w:tab w:val="right" w:pos="7100"/>
        </w:tabs>
        <w:jc w:val="both"/>
        <w:rPr>
          <w:lang w:val="en-GB"/>
        </w:rPr>
      </w:pPr>
      <w:r w:rsidRPr="00203AC9">
        <w:rPr>
          <w:lang w:val="en-GB"/>
        </w:rPr>
        <w:t xml:space="preserve">Results and </w:t>
      </w:r>
      <w:r w:rsidR="001D7F02" w:rsidRPr="00203AC9">
        <w:rPr>
          <w:lang w:val="en-GB"/>
        </w:rPr>
        <w:t>Discussion</w:t>
      </w:r>
    </w:p>
    <w:p w14:paraId="7D300ECF" w14:textId="15DC0931" w:rsidR="008758AF" w:rsidRPr="00203AC9" w:rsidRDefault="00CA2A10" w:rsidP="008758AF">
      <w:pPr>
        <w:pStyle w:val="CETBodytext"/>
      </w:pPr>
      <w:r w:rsidRPr="00CA2A10">
        <w:t>Initially, the composition of wheat straw was evaluated to properly assess the potential recovery of both cellulose and lignin at the end of the fractionation process.</w:t>
      </w:r>
      <w:r>
        <w:t xml:space="preserve"> The results are reported i</w:t>
      </w:r>
      <w:r w:rsidR="004D2F55" w:rsidRPr="00203AC9">
        <w:t xml:space="preserve">n </w:t>
      </w:r>
      <w:r w:rsidR="004310FB" w:rsidRPr="00203AC9">
        <w:fldChar w:fldCharType="begin"/>
      </w:r>
      <w:r w:rsidR="004310FB" w:rsidRPr="00203AC9">
        <w:instrText xml:space="preserve"> REF _Ref156986914 \h </w:instrText>
      </w:r>
      <w:r w:rsidR="00203AC9" w:rsidRPr="00203AC9">
        <w:instrText xml:space="preserve"> \* MERGEFORMAT </w:instrText>
      </w:r>
      <w:r w:rsidR="004310FB" w:rsidRPr="00203AC9">
        <w:fldChar w:fldCharType="separate"/>
      </w:r>
      <w:r w:rsidR="004310FB" w:rsidRPr="00203AC9">
        <w:t xml:space="preserve">Table </w:t>
      </w:r>
      <w:r w:rsidR="004310FB" w:rsidRPr="00203AC9">
        <w:rPr>
          <w:noProof/>
        </w:rPr>
        <w:t>1</w:t>
      </w:r>
      <w:r w:rsidR="004310FB" w:rsidRPr="00203AC9">
        <w:fldChar w:fldCharType="end"/>
      </w:r>
      <w:r w:rsidR="004310FB" w:rsidRPr="00203AC9">
        <w:t xml:space="preserve"> </w:t>
      </w:r>
      <w:r>
        <w:t>and</w:t>
      </w:r>
      <w:r w:rsidR="004D2F55" w:rsidRPr="00203AC9">
        <w:t xml:space="preserve"> are in line with what has been reported </w:t>
      </w:r>
      <w:r>
        <w:t xml:space="preserve">by </w:t>
      </w:r>
      <w:r w:rsidR="004D2F55" w:rsidRPr="00203AC9">
        <w:t xml:space="preserve">Fiorentini et al., </w:t>
      </w:r>
      <w:r>
        <w:t>(</w:t>
      </w:r>
      <w:r w:rsidR="004D2F55" w:rsidRPr="00203AC9">
        <w:t>2022</w:t>
      </w:r>
      <w:r>
        <w:t xml:space="preserve">), where, for instance, the cellulose </w:t>
      </w:r>
      <w:r w:rsidR="00E87A02">
        <w:t>and</w:t>
      </w:r>
      <w:r w:rsidR="00B87969">
        <w:t xml:space="preserve"> total </w:t>
      </w:r>
      <w:r w:rsidR="00E87A02">
        <w:t>lignin content are about</w:t>
      </w:r>
      <w:r w:rsidR="006B735A">
        <w:t xml:space="preserve"> 31.5% and </w:t>
      </w:r>
      <w:r w:rsidR="00B87969">
        <w:t>21.3%</w:t>
      </w:r>
      <w:r w:rsidR="00E87A02">
        <w:t xml:space="preserve"> respectively</w:t>
      </w:r>
      <w:r w:rsidR="00854982" w:rsidRPr="00203AC9">
        <w:t>.</w:t>
      </w:r>
    </w:p>
    <w:p w14:paraId="24AA44D0" w14:textId="32687839" w:rsidR="0034679A" w:rsidRPr="00203AC9" w:rsidRDefault="0034679A" w:rsidP="00EC2C18">
      <w:pPr>
        <w:pStyle w:val="CETTabletitle"/>
      </w:pPr>
      <w:bookmarkStart w:id="2" w:name="_Ref156986914"/>
      <w:r w:rsidRPr="00203AC9">
        <w:t xml:space="preserve">Table </w:t>
      </w:r>
      <w:r w:rsidRPr="00203AC9">
        <w:fldChar w:fldCharType="begin"/>
      </w:r>
      <w:r w:rsidRPr="00203AC9">
        <w:instrText xml:space="preserve"> SEQ Table \* ARABIC </w:instrText>
      </w:r>
      <w:r w:rsidRPr="00203AC9">
        <w:fldChar w:fldCharType="separate"/>
      </w:r>
      <w:r w:rsidR="00EB264F">
        <w:rPr>
          <w:noProof/>
        </w:rPr>
        <w:t>1</w:t>
      </w:r>
      <w:r w:rsidRPr="00203AC9">
        <w:fldChar w:fldCharType="end"/>
      </w:r>
      <w:bookmarkEnd w:id="2"/>
      <w:r w:rsidRPr="00203AC9">
        <w:t xml:space="preserve"> - Wheat straw characterization</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551"/>
        <w:gridCol w:w="1417"/>
        <w:gridCol w:w="2553"/>
        <w:gridCol w:w="1134"/>
      </w:tblGrid>
      <w:tr w:rsidR="00A21D6E" w:rsidRPr="00203AC9" w14:paraId="6671AAF6" w14:textId="77777777">
        <w:tc>
          <w:tcPr>
            <w:tcW w:w="2551" w:type="dxa"/>
            <w:tcBorders>
              <w:top w:val="single" w:sz="12" w:space="0" w:color="008000"/>
              <w:bottom w:val="single" w:sz="6" w:space="0" w:color="008000"/>
            </w:tcBorders>
            <w:shd w:val="clear" w:color="auto" w:fill="FFFFFF"/>
          </w:tcPr>
          <w:p w14:paraId="792F6125" w14:textId="77777777" w:rsidR="00A21D6E" w:rsidRPr="00203AC9" w:rsidRDefault="00A21D6E">
            <w:pPr>
              <w:pStyle w:val="CETBodytext"/>
              <w:jc w:val="center"/>
              <w:rPr>
                <w:lang w:val="en-GB"/>
              </w:rPr>
            </w:pPr>
          </w:p>
        </w:tc>
        <w:tc>
          <w:tcPr>
            <w:tcW w:w="1417" w:type="dxa"/>
            <w:tcBorders>
              <w:top w:val="single" w:sz="12" w:space="0" w:color="008000"/>
              <w:bottom w:val="single" w:sz="6" w:space="0" w:color="008000"/>
            </w:tcBorders>
            <w:shd w:val="clear" w:color="auto" w:fill="FFFFFF"/>
          </w:tcPr>
          <w:p w14:paraId="29AECF64" w14:textId="77777777" w:rsidR="00A21D6E" w:rsidRPr="00203AC9" w:rsidRDefault="00A21D6E">
            <w:pPr>
              <w:pStyle w:val="CETBodytext"/>
              <w:jc w:val="center"/>
              <w:rPr>
                <w:lang w:val="en-GB"/>
              </w:rPr>
            </w:pPr>
            <w:r w:rsidRPr="00203AC9">
              <w:rPr>
                <w:lang w:val="en-GB"/>
              </w:rPr>
              <w:t>Composition</w:t>
            </w:r>
          </w:p>
        </w:tc>
        <w:tc>
          <w:tcPr>
            <w:tcW w:w="2553" w:type="dxa"/>
            <w:tcBorders>
              <w:top w:val="single" w:sz="12" w:space="0" w:color="008000"/>
              <w:bottom w:val="single" w:sz="6" w:space="0" w:color="008000"/>
            </w:tcBorders>
            <w:shd w:val="clear" w:color="auto" w:fill="FFFFFF"/>
          </w:tcPr>
          <w:p w14:paraId="3256E80D" w14:textId="77777777" w:rsidR="00A21D6E" w:rsidRPr="00203AC9" w:rsidRDefault="00A21D6E">
            <w:pPr>
              <w:pStyle w:val="CETBodytext"/>
              <w:jc w:val="center"/>
              <w:rPr>
                <w:lang w:val="en-GB"/>
              </w:rPr>
            </w:pPr>
          </w:p>
        </w:tc>
        <w:tc>
          <w:tcPr>
            <w:tcW w:w="1134" w:type="dxa"/>
            <w:tcBorders>
              <w:top w:val="single" w:sz="12" w:space="0" w:color="008000"/>
              <w:bottom w:val="single" w:sz="6" w:space="0" w:color="008000"/>
            </w:tcBorders>
            <w:shd w:val="clear" w:color="auto" w:fill="FFFFFF"/>
          </w:tcPr>
          <w:p w14:paraId="4B110174" w14:textId="77777777" w:rsidR="00A21D6E" w:rsidRPr="00203AC9" w:rsidRDefault="00A21D6E">
            <w:pPr>
              <w:pStyle w:val="CETBodytext"/>
              <w:jc w:val="center"/>
              <w:rPr>
                <w:lang w:val="en-GB"/>
              </w:rPr>
            </w:pPr>
            <w:r w:rsidRPr="00203AC9">
              <w:rPr>
                <w:lang w:val="en-GB"/>
              </w:rPr>
              <w:t>Composition</w:t>
            </w:r>
          </w:p>
        </w:tc>
      </w:tr>
      <w:tr w:rsidR="00A21D6E" w:rsidRPr="00203AC9" w14:paraId="3657A2EC" w14:textId="77777777">
        <w:tc>
          <w:tcPr>
            <w:tcW w:w="2551" w:type="dxa"/>
            <w:shd w:val="clear" w:color="auto" w:fill="FFFFFF"/>
          </w:tcPr>
          <w:p w14:paraId="31B887D2" w14:textId="77777777" w:rsidR="00A21D6E" w:rsidRPr="00203AC9" w:rsidRDefault="00A21D6E">
            <w:pPr>
              <w:pStyle w:val="CETBodytext"/>
              <w:jc w:val="left"/>
              <w:rPr>
                <w:lang w:val="en-GB"/>
              </w:rPr>
            </w:pPr>
            <w:r w:rsidRPr="00203AC9">
              <w:t>Moisture content (%)</w:t>
            </w:r>
          </w:p>
        </w:tc>
        <w:tc>
          <w:tcPr>
            <w:tcW w:w="1417" w:type="dxa"/>
            <w:shd w:val="clear" w:color="auto" w:fill="FFFFFF"/>
          </w:tcPr>
          <w:p w14:paraId="0F3F3EB6" w14:textId="77777777" w:rsidR="00A21D6E" w:rsidRPr="00203AC9" w:rsidRDefault="00A21D6E">
            <w:pPr>
              <w:pStyle w:val="CETBodytext"/>
              <w:jc w:val="center"/>
            </w:pPr>
            <w:r w:rsidRPr="00203AC9">
              <w:t>7.58 ± 0.16</w:t>
            </w:r>
          </w:p>
        </w:tc>
        <w:tc>
          <w:tcPr>
            <w:tcW w:w="2553" w:type="dxa"/>
            <w:shd w:val="clear" w:color="auto" w:fill="FFFFFF"/>
          </w:tcPr>
          <w:p w14:paraId="0855812C" w14:textId="77777777" w:rsidR="00A21D6E" w:rsidRPr="00203AC9" w:rsidRDefault="00A21D6E">
            <w:pPr>
              <w:pStyle w:val="CETBodytext"/>
              <w:jc w:val="left"/>
            </w:pPr>
            <w:r w:rsidRPr="00203AC9">
              <w:t xml:space="preserve">Acid insoluble lignin (% on </w:t>
            </w:r>
            <w:proofErr w:type="spellStart"/>
            <w:r w:rsidRPr="00203AC9">
              <w:t>dw</w:t>
            </w:r>
            <w:proofErr w:type="spellEnd"/>
            <w:r w:rsidRPr="00203AC9">
              <w:t>)</w:t>
            </w:r>
          </w:p>
        </w:tc>
        <w:tc>
          <w:tcPr>
            <w:tcW w:w="1134" w:type="dxa"/>
            <w:shd w:val="clear" w:color="auto" w:fill="FFFFFF"/>
          </w:tcPr>
          <w:p w14:paraId="5349192D" w14:textId="77777777" w:rsidR="00A21D6E" w:rsidRPr="00203AC9" w:rsidRDefault="00A21D6E">
            <w:pPr>
              <w:pStyle w:val="CETBodytext"/>
              <w:jc w:val="center"/>
            </w:pPr>
            <w:r w:rsidRPr="00682099">
              <w:t xml:space="preserve">17.44 </w:t>
            </w:r>
            <w:r w:rsidRPr="00682099">
              <w:sym w:font="Symbol" w:char="F0B1"/>
            </w:r>
            <w:r w:rsidRPr="00682099">
              <w:t xml:space="preserve"> 0.61</w:t>
            </w:r>
          </w:p>
        </w:tc>
      </w:tr>
      <w:tr w:rsidR="00A21D6E" w:rsidRPr="00203AC9" w14:paraId="379CBC43" w14:textId="77777777">
        <w:tc>
          <w:tcPr>
            <w:tcW w:w="2551" w:type="dxa"/>
            <w:shd w:val="clear" w:color="auto" w:fill="FFFFFF"/>
          </w:tcPr>
          <w:p w14:paraId="5B120DD3" w14:textId="77777777" w:rsidR="00A21D6E" w:rsidRPr="00203AC9" w:rsidRDefault="00A21D6E">
            <w:pPr>
              <w:pStyle w:val="CETBodytext"/>
              <w:ind w:right="-1"/>
              <w:jc w:val="left"/>
              <w:rPr>
                <w:rFonts w:cs="Arial"/>
                <w:szCs w:val="18"/>
                <w:lang w:val="en-GB"/>
              </w:rPr>
            </w:pPr>
            <w:r w:rsidRPr="00203AC9">
              <w:t xml:space="preserve">Fat (% on </w:t>
            </w:r>
            <w:proofErr w:type="spellStart"/>
            <w:r w:rsidRPr="00203AC9">
              <w:t>dw</w:t>
            </w:r>
            <w:proofErr w:type="spellEnd"/>
            <w:r w:rsidRPr="00203AC9">
              <w:t>)</w:t>
            </w:r>
          </w:p>
        </w:tc>
        <w:tc>
          <w:tcPr>
            <w:tcW w:w="1417" w:type="dxa"/>
            <w:shd w:val="clear" w:color="auto" w:fill="FFFFFF"/>
          </w:tcPr>
          <w:p w14:paraId="5EA94C8A" w14:textId="77777777" w:rsidR="00A21D6E" w:rsidRPr="00203AC9" w:rsidRDefault="00A21D6E">
            <w:pPr>
              <w:pStyle w:val="CETBodytext"/>
              <w:ind w:right="-1"/>
              <w:jc w:val="center"/>
            </w:pPr>
            <w:r w:rsidRPr="00203AC9">
              <w:t xml:space="preserve">1.45 ± 0.04 </w:t>
            </w:r>
          </w:p>
        </w:tc>
        <w:tc>
          <w:tcPr>
            <w:tcW w:w="2553" w:type="dxa"/>
            <w:shd w:val="clear" w:color="auto" w:fill="FFFFFF"/>
          </w:tcPr>
          <w:p w14:paraId="1FEA31C3" w14:textId="77777777" w:rsidR="00A21D6E" w:rsidRPr="00203AC9" w:rsidRDefault="00A21D6E">
            <w:pPr>
              <w:pStyle w:val="CETBodytext"/>
              <w:ind w:right="-1"/>
              <w:jc w:val="left"/>
            </w:pPr>
            <w:r w:rsidRPr="00203AC9">
              <w:t xml:space="preserve">Acid soluble lignin (% on </w:t>
            </w:r>
            <w:proofErr w:type="spellStart"/>
            <w:r w:rsidRPr="00203AC9">
              <w:t>dw</w:t>
            </w:r>
            <w:proofErr w:type="spellEnd"/>
            <w:r w:rsidRPr="00203AC9">
              <w:t>)</w:t>
            </w:r>
          </w:p>
        </w:tc>
        <w:tc>
          <w:tcPr>
            <w:tcW w:w="1134" w:type="dxa"/>
            <w:shd w:val="clear" w:color="auto" w:fill="FFFFFF"/>
          </w:tcPr>
          <w:p w14:paraId="7683C154" w14:textId="77777777" w:rsidR="00A21D6E" w:rsidRPr="00203AC9" w:rsidRDefault="00A21D6E" w:rsidP="00682099">
            <w:pPr>
              <w:pStyle w:val="CETBodytext"/>
              <w:jc w:val="center"/>
            </w:pPr>
            <w:r w:rsidRPr="00682099">
              <w:t xml:space="preserve">1.74 </w:t>
            </w:r>
            <w:r w:rsidRPr="00682099">
              <w:sym w:font="Symbol" w:char="F0B1"/>
            </w:r>
            <w:r w:rsidRPr="00682099">
              <w:t xml:space="preserve"> 0.03</w:t>
            </w:r>
          </w:p>
        </w:tc>
      </w:tr>
      <w:tr w:rsidR="00A21D6E" w:rsidRPr="00203AC9" w14:paraId="10A6F900" w14:textId="77777777">
        <w:tc>
          <w:tcPr>
            <w:tcW w:w="2551" w:type="dxa"/>
            <w:shd w:val="clear" w:color="auto" w:fill="FFFFFF"/>
          </w:tcPr>
          <w:p w14:paraId="12EF1CDA" w14:textId="77777777" w:rsidR="00A21D6E" w:rsidRPr="00203AC9" w:rsidRDefault="00A21D6E">
            <w:pPr>
              <w:pStyle w:val="CETBodytext"/>
              <w:ind w:right="-1"/>
              <w:jc w:val="left"/>
            </w:pPr>
            <w:r w:rsidRPr="00203AC9">
              <w:t xml:space="preserve">Proteins (% on </w:t>
            </w:r>
            <w:proofErr w:type="spellStart"/>
            <w:r w:rsidRPr="00203AC9">
              <w:t>dw</w:t>
            </w:r>
            <w:proofErr w:type="spellEnd"/>
            <w:r w:rsidRPr="00203AC9">
              <w:t>)</w:t>
            </w:r>
          </w:p>
        </w:tc>
        <w:tc>
          <w:tcPr>
            <w:tcW w:w="1417" w:type="dxa"/>
            <w:shd w:val="clear" w:color="auto" w:fill="FFFFFF"/>
          </w:tcPr>
          <w:p w14:paraId="7A3287BF" w14:textId="77777777" w:rsidR="00A21D6E" w:rsidRPr="00203AC9" w:rsidRDefault="00A21D6E">
            <w:pPr>
              <w:pStyle w:val="CETBodytext"/>
              <w:ind w:right="-1"/>
              <w:jc w:val="center"/>
            </w:pPr>
            <w:r w:rsidRPr="00203AC9">
              <w:t>4.03 ± 0.13</w:t>
            </w:r>
          </w:p>
        </w:tc>
        <w:tc>
          <w:tcPr>
            <w:tcW w:w="2553" w:type="dxa"/>
            <w:shd w:val="clear" w:color="auto" w:fill="FFFFFF"/>
          </w:tcPr>
          <w:p w14:paraId="7F8E9F32" w14:textId="77777777" w:rsidR="00A21D6E" w:rsidRPr="00203AC9" w:rsidRDefault="00A21D6E">
            <w:pPr>
              <w:pStyle w:val="CETBodytext"/>
              <w:ind w:right="-1"/>
              <w:jc w:val="left"/>
            </w:pPr>
            <w:r w:rsidRPr="00203AC9">
              <w:t xml:space="preserve">Hemicellulose (% on </w:t>
            </w:r>
            <w:proofErr w:type="spellStart"/>
            <w:r w:rsidRPr="00203AC9">
              <w:t>dw</w:t>
            </w:r>
            <w:proofErr w:type="spellEnd"/>
            <w:r w:rsidRPr="00203AC9">
              <w:t>)</w:t>
            </w:r>
          </w:p>
        </w:tc>
        <w:tc>
          <w:tcPr>
            <w:tcW w:w="1134" w:type="dxa"/>
            <w:shd w:val="clear" w:color="auto" w:fill="FFFFFF"/>
          </w:tcPr>
          <w:p w14:paraId="1D7E4843" w14:textId="77777777" w:rsidR="00A21D6E" w:rsidRPr="00203AC9" w:rsidRDefault="00A21D6E" w:rsidP="00682099">
            <w:pPr>
              <w:pStyle w:val="CETBodytext"/>
              <w:jc w:val="center"/>
            </w:pPr>
            <w:r w:rsidRPr="00682099">
              <w:t xml:space="preserve">15.21 </w:t>
            </w:r>
            <w:r w:rsidRPr="00682099">
              <w:sym w:font="Symbol" w:char="F0B1"/>
            </w:r>
            <w:r w:rsidRPr="00682099">
              <w:t xml:space="preserve"> 0.08</w:t>
            </w:r>
          </w:p>
        </w:tc>
      </w:tr>
      <w:tr w:rsidR="00A21D6E" w:rsidRPr="00203AC9" w14:paraId="723E654D" w14:textId="77777777">
        <w:tc>
          <w:tcPr>
            <w:tcW w:w="2551" w:type="dxa"/>
            <w:shd w:val="clear" w:color="auto" w:fill="FFFFFF"/>
          </w:tcPr>
          <w:p w14:paraId="70AB337D" w14:textId="77777777" w:rsidR="00A21D6E" w:rsidRPr="00203AC9" w:rsidRDefault="00A21D6E">
            <w:pPr>
              <w:pStyle w:val="CETBodytext"/>
              <w:ind w:right="-1"/>
              <w:jc w:val="left"/>
            </w:pPr>
            <w:r w:rsidRPr="00203AC9">
              <w:t xml:space="preserve">Ashes (% on </w:t>
            </w:r>
            <w:proofErr w:type="spellStart"/>
            <w:r w:rsidRPr="00203AC9">
              <w:t>dw</w:t>
            </w:r>
            <w:proofErr w:type="spellEnd"/>
            <w:r w:rsidRPr="00203AC9">
              <w:t>)</w:t>
            </w:r>
          </w:p>
        </w:tc>
        <w:tc>
          <w:tcPr>
            <w:tcW w:w="1417" w:type="dxa"/>
            <w:shd w:val="clear" w:color="auto" w:fill="FFFFFF"/>
          </w:tcPr>
          <w:p w14:paraId="72E32EFA" w14:textId="77777777" w:rsidR="00A21D6E" w:rsidRPr="00203AC9" w:rsidRDefault="00A21D6E">
            <w:pPr>
              <w:pStyle w:val="CETBodytext"/>
              <w:ind w:right="-1"/>
              <w:jc w:val="center"/>
            </w:pPr>
            <w:r w:rsidRPr="00203AC9">
              <w:t>5.35 ± 0.14</w:t>
            </w:r>
          </w:p>
        </w:tc>
        <w:tc>
          <w:tcPr>
            <w:tcW w:w="2553" w:type="dxa"/>
            <w:shd w:val="clear" w:color="auto" w:fill="FFFFFF"/>
          </w:tcPr>
          <w:p w14:paraId="108E34AB" w14:textId="77777777" w:rsidR="00A21D6E" w:rsidRPr="00203AC9" w:rsidRDefault="00A21D6E">
            <w:pPr>
              <w:pStyle w:val="CETBodytext"/>
              <w:ind w:right="-1"/>
              <w:jc w:val="left"/>
            </w:pPr>
            <w:r w:rsidRPr="00203AC9">
              <w:t xml:space="preserve">Cellulose (% on </w:t>
            </w:r>
            <w:proofErr w:type="spellStart"/>
            <w:r w:rsidRPr="00203AC9">
              <w:t>dw</w:t>
            </w:r>
            <w:proofErr w:type="spellEnd"/>
            <w:r w:rsidRPr="00203AC9">
              <w:t>)</w:t>
            </w:r>
          </w:p>
        </w:tc>
        <w:tc>
          <w:tcPr>
            <w:tcW w:w="1134" w:type="dxa"/>
            <w:shd w:val="clear" w:color="auto" w:fill="FFFFFF"/>
          </w:tcPr>
          <w:p w14:paraId="3A8743BC" w14:textId="58FFC566" w:rsidR="00A21D6E" w:rsidRPr="00203AC9" w:rsidRDefault="00A21D6E" w:rsidP="00682099">
            <w:pPr>
              <w:pStyle w:val="CETBodytext"/>
              <w:jc w:val="center"/>
            </w:pPr>
            <w:r w:rsidRPr="00682099">
              <w:t xml:space="preserve">35.85 </w:t>
            </w:r>
            <w:r w:rsidRPr="00682099">
              <w:sym w:font="Symbol" w:char="F0B1"/>
            </w:r>
            <w:r w:rsidRPr="00682099">
              <w:t xml:space="preserve"> 0.50</w:t>
            </w:r>
          </w:p>
        </w:tc>
      </w:tr>
    </w:tbl>
    <w:p w14:paraId="1F96CA21" w14:textId="42A81494" w:rsidR="00600535" w:rsidRPr="00203AC9" w:rsidRDefault="00F0665A" w:rsidP="00B37ACF">
      <w:pPr>
        <w:pStyle w:val="CETHeading1"/>
        <w:numPr>
          <w:ilvl w:val="2"/>
          <w:numId w:val="1"/>
        </w:numPr>
      </w:pPr>
      <w:r w:rsidRPr="00B37ACF">
        <w:rPr>
          <w:sz w:val="18"/>
          <w:szCs w:val="18"/>
        </w:rPr>
        <w:t xml:space="preserve">Autohydrolysis </w:t>
      </w:r>
      <w:r w:rsidR="00620226">
        <w:rPr>
          <w:sz w:val="18"/>
          <w:szCs w:val="18"/>
        </w:rPr>
        <w:t>t</w:t>
      </w:r>
      <w:r w:rsidRPr="00B37ACF">
        <w:rPr>
          <w:sz w:val="18"/>
          <w:szCs w:val="18"/>
        </w:rPr>
        <w:t>reatment</w:t>
      </w:r>
    </w:p>
    <w:p w14:paraId="1BE46487" w14:textId="6E33716D" w:rsidR="007C5C6B" w:rsidRPr="00203AC9" w:rsidRDefault="0094342D" w:rsidP="005C1970">
      <w:pPr>
        <w:pStyle w:val="CETBodytext"/>
      </w:pPr>
      <w:r w:rsidRPr="00203AC9">
        <w:t>As indicated</w:t>
      </w:r>
      <w:r w:rsidR="00804BCD" w:rsidRPr="00203AC9">
        <w:t xml:space="preserve"> in </w:t>
      </w:r>
      <w:r w:rsidR="005405A7" w:rsidRPr="00203AC9">
        <w:fldChar w:fldCharType="begin"/>
      </w:r>
      <w:r w:rsidR="005405A7" w:rsidRPr="00203AC9">
        <w:instrText xml:space="preserve"> REF _Ref156984924 \h </w:instrText>
      </w:r>
      <w:r w:rsidR="00203AC9" w:rsidRPr="00203AC9">
        <w:instrText xml:space="preserve"> \* MERGEFORMAT </w:instrText>
      </w:r>
      <w:r w:rsidR="005405A7" w:rsidRPr="00203AC9">
        <w:fldChar w:fldCharType="separate"/>
      </w:r>
      <w:r w:rsidR="005405A7" w:rsidRPr="00203AC9">
        <w:t xml:space="preserve">Figure </w:t>
      </w:r>
      <w:r w:rsidR="005405A7" w:rsidRPr="00203AC9">
        <w:rPr>
          <w:noProof/>
        </w:rPr>
        <w:t>1</w:t>
      </w:r>
      <w:r w:rsidR="005405A7" w:rsidRPr="00203AC9">
        <w:fldChar w:fldCharType="end"/>
      </w:r>
      <w:r w:rsidRPr="00203AC9">
        <w:t xml:space="preserve">, the autohydrolysis </w:t>
      </w:r>
      <w:r w:rsidR="00C17298" w:rsidRPr="00203AC9">
        <w:t xml:space="preserve">process </w:t>
      </w:r>
      <w:r w:rsidR="00843DC5" w:rsidRPr="00203AC9">
        <w:t>is</w:t>
      </w:r>
      <w:r w:rsidR="00C17298" w:rsidRPr="00203AC9">
        <w:t xml:space="preserve"> the first fractionation </w:t>
      </w:r>
      <w:r w:rsidR="00843DC5" w:rsidRPr="00203AC9">
        <w:t>phase</w:t>
      </w:r>
      <w:r w:rsidR="00C17298" w:rsidRPr="00203AC9">
        <w:t xml:space="preserve"> carried out on the raw material</w:t>
      </w:r>
      <w:r w:rsidRPr="00203AC9">
        <w:t>.</w:t>
      </w:r>
      <w:r w:rsidR="00EF5A57">
        <w:t xml:space="preserve"> </w:t>
      </w:r>
      <w:r w:rsidR="003533D1" w:rsidRPr="00203AC9">
        <w:fldChar w:fldCharType="begin"/>
      </w:r>
      <w:r w:rsidR="003533D1" w:rsidRPr="00203AC9">
        <w:instrText xml:space="preserve"> REF _Ref157155479 \h  \* MERGEFORMAT </w:instrText>
      </w:r>
      <w:r w:rsidR="003533D1" w:rsidRPr="00203AC9">
        <w:fldChar w:fldCharType="separate"/>
      </w:r>
      <w:r w:rsidR="003533D1" w:rsidRPr="00203AC9">
        <w:t xml:space="preserve">Table </w:t>
      </w:r>
      <w:r w:rsidR="003533D1" w:rsidRPr="00203AC9">
        <w:rPr>
          <w:noProof/>
        </w:rPr>
        <w:t>2</w:t>
      </w:r>
      <w:r w:rsidR="003533D1" w:rsidRPr="00203AC9">
        <w:fldChar w:fldCharType="end"/>
      </w:r>
      <w:r w:rsidR="003533D1" w:rsidRPr="00203AC9">
        <w:t xml:space="preserve"> </w:t>
      </w:r>
      <w:r w:rsidR="003533D1">
        <w:t>reports</w:t>
      </w:r>
      <w:r w:rsidR="003533D1" w:rsidRPr="00203AC9">
        <w:t xml:space="preserve"> the composition of the lignocellulosic fraction in the solid recovered after the autohydrolysis and the recovery yield of the lignocellulosic compounds</w:t>
      </w:r>
      <w:r w:rsidR="00714636">
        <w:t xml:space="preserve"> evaluated considering that the</w:t>
      </w:r>
      <w:r w:rsidRPr="00203AC9">
        <w:t xml:space="preserve"> solid yield</w:t>
      </w:r>
      <w:r w:rsidR="00F518B6">
        <w:t xml:space="preserve"> of autohydrolysis treatment</w:t>
      </w:r>
      <w:r w:rsidR="00820232" w:rsidRPr="00203AC9">
        <w:t xml:space="preserve"> </w:t>
      </w:r>
      <w:r w:rsidRPr="00203AC9">
        <w:t>is 5</w:t>
      </w:r>
      <w:r w:rsidR="001003BB" w:rsidRPr="00203AC9">
        <w:t>7</w:t>
      </w:r>
      <w:r w:rsidR="00F51593" w:rsidRPr="00203AC9">
        <w:t>.59</w:t>
      </w:r>
      <w:r w:rsidRPr="00203AC9">
        <w:t>%</w:t>
      </w:r>
      <w:r w:rsidR="00F51593" w:rsidRPr="00203AC9">
        <w:t xml:space="preserve"> ± </w:t>
      </w:r>
      <w:r w:rsidR="00820232" w:rsidRPr="00203AC9">
        <w:t>0.24</w:t>
      </w:r>
      <w:r w:rsidR="00F518B6">
        <w:t xml:space="preserve"> on dm. This latter value </w:t>
      </w:r>
      <w:proofErr w:type="gramStart"/>
      <w:r w:rsidR="00F518B6">
        <w:t>is</w:t>
      </w:r>
      <w:r w:rsidRPr="00203AC9">
        <w:t xml:space="preserve"> in agreement</w:t>
      </w:r>
      <w:proofErr w:type="gramEnd"/>
      <w:r w:rsidRPr="00203AC9">
        <w:t xml:space="preserve"> with what was </w:t>
      </w:r>
      <w:r w:rsidR="000A4CC5" w:rsidRPr="00203AC9">
        <w:t>reported</w:t>
      </w:r>
      <w:r w:rsidR="009F52C0" w:rsidRPr="00203AC9">
        <w:t xml:space="preserve"> </w:t>
      </w:r>
      <w:r w:rsidR="00E86E39">
        <w:t xml:space="preserve">by </w:t>
      </w:r>
      <w:r w:rsidRPr="00203AC9">
        <w:t xml:space="preserve">Fiorentini et al. (2022), in which a </w:t>
      </w:r>
      <w:r w:rsidR="009C2E28" w:rsidRPr="00203AC9">
        <w:t xml:space="preserve">solid </w:t>
      </w:r>
      <w:r w:rsidRPr="00203AC9">
        <w:t xml:space="preserve">recovery of 60.9% </w:t>
      </w:r>
      <w:r w:rsidR="00ED6431" w:rsidRPr="00203AC9">
        <w:t xml:space="preserve">± </w:t>
      </w:r>
      <w:r w:rsidR="00CE7D98" w:rsidRPr="00203AC9">
        <w:t>2</w:t>
      </w:r>
      <w:r w:rsidR="00ED6431" w:rsidRPr="00203AC9">
        <w:t>.</w:t>
      </w:r>
      <w:r w:rsidR="00CE7D98" w:rsidRPr="00203AC9">
        <w:t>7</w:t>
      </w:r>
      <w:r w:rsidR="00ED6431" w:rsidRPr="00203AC9">
        <w:t xml:space="preserve"> </w:t>
      </w:r>
      <w:r w:rsidR="001F0E7D" w:rsidRPr="00203AC9">
        <w:t>was</w:t>
      </w:r>
      <w:r w:rsidRPr="00203AC9">
        <w:t xml:space="preserve"> found.</w:t>
      </w:r>
      <w:r w:rsidR="00966D19">
        <w:t xml:space="preserve"> Table 2 highlights that </w:t>
      </w:r>
      <w:r w:rsidR="00A841FB">
        <w:t>c</w:t>
      </w:r>
      <w:r w:rsidR="00966D19" w:rsidRPr="00203AC9">
        <w:t>ellulose is the main component in the solid</w:t>
      </w:r>
      <w:r w:rsidR="00A841FB">
        <w:t xml:space="preserve"> (</w:t>
      </w:r>
      <w:r w:rsidR="00966D19" w:rsidRPr="00203AC9">
        <w:t>54.33%</w:t>
      </w:r>
      <w:r w:rsidR="00A841FB">
        <w:t>)</w:t>
      </w:r>
      <w:r w:rsidR="003F4D90">
        <w:t>,</w:t>
      </w:r>
      <w:r w:rsidR="00966D19" w:rsidRPr="00203AC9">
        <w:t xml:space="preserve"> the second </w:t>
      </w:r>
      <w:r w:rsidR="00DE7E26">
        <w:t>one is</w:t>
      </w:r>
      <w:r w:rsidR="00966D19" w:rsidRPr="00203AC9">
        <w:t xml:space="preserve"> lignin (36.49%)</w:t>
      </w:r>
      <w:r w:rsidR="003F4D90">
        <w:t xml:space="preserve"> while </w:t>
      </w:r>
      <w:r w:rsidR="006A5824" w:rsidRPr="006A5824">
        <w:t xml:space="preserve">hemicellulose has been almost completely </w:t>
      </w:r>
      <w:r w:rsidR="006A5824">
        <w:t>removed</w:t>
      </w:r>
      <w:r w:rsidR="00966D19" w:rsidRPr="00203AC9">
        <w:t xml:space="preserve"> (1.96%).</w:t>
      </w:r>
      <w:r w:rsidR="006A5824">
        <w:t xml:space="preserve"> </w:t>
      </w:r>
      <w:r w:rsidR="007F43B4">
        <w:t>T</w:t>
      </w:r>
      <w:r w:rsidR="009F0AC8" w:rsidRPr="009F0AC8">
        <w:t xml:space="preserve">his aspect </w:t>
      </w:r>
      <w:proofErr w:type="gramStart"/>
      <w:r w:rsidR="009F0AC8" w:rsidRPr="009F0AC8">
        <w:t>is in agreement</w:t>
      </w:r>
      <w:proofErr w:type="gramEnd"/>
      <w:r w:rsidR="009F0AC8" w:rsidRPr="009F0AC8">
        <w:t xml:space="preserve"> with the goals of the treatment as autohydrolysis aims to degrade hemicellulose while maximizing cellulose recovery (8</w:t>
      </w:r>
      <w:r w:rsidR="007F43B4">
        <w:t>2</w:t>
      </w:r>
      <w:r w:rsidR="009F0AC8" w:rsidRPr="009F0AC8">
        <w:t>.</w:t>
      </w:r>
      <w:r w:rsidR="007F43B4">
        <w:t>50%). The latter recovery i</w:t>
      </w:r>
      <w:r w:rsidR="00131402">
        <w:t xml:space="preserve">s in accordance </w:t>
      </w:r>
      <w:r w:rsidR="00FF086C" w:rsidRPr="00FF086C">
        <w:t>compared with what was reported by</w:t>
      </w:r>
      <w:r w:rsidR="00131402">
        <w:t xml:space="preserve"> </w:t>
      </w:r>
      <w:r w:rsidR="00FF086C" w:rsidRPr="00203AC9">
        <w:t>Fiorentini et al. (2022)</w:t>
      </w:r>
      <w:r w:rsidR="00FF086C">
        <w:t xml:space="preserve">. </w:t>
      </w:r>
      <w:r w:rsidR="00FC00B8">
        <w:t xml:space="preserve">Moreover, the solid recovered has a composition that is almost all cellulose and lignin (more than </w:t>
      </w:r>
      <w:r w:rsidR="00655D0E">
        <w:t xml:space="preserve">90%), making it suitable for the following organosolv treatment. </w:t>
      </w:r>
      <w:r w:rsidR="00894EFA">
        <w:t xml:space="preserve">The last comment concerns the recovery of lignin </w:t>
      </w:r>
      <w:r w:rsidR="009E10C0">
        <w:t>which</w:t>
      </w:r>
      <w:r w:rsidR="00894EFA">
        <w:t xml:space="preserve"> is </w:t>
      </w:r>
      <w:r w:rsidR="00EE4949">
        <w:t xml:space="preserve">higher than 100%. </w:t>
      </w:r>
      <w:r w:rsidR="003C2721">
        <w:t xml:space="preserve">This could be </w:t>
      </w:r>
      <w:r w:rsidR="003A4C84" w:rsidRPr="003A4C84">
        <w:t xml:space="preserve">due to the formation of </w:t>
      </w:r>
      <w:r w:rsidR="003C2721" w:rsidRPr="00203AC9">
        <w:t>pseudo-lignin</w:t>
      </w:r>
      <w:r w:rsidR="003C2721" w:rsidRPr="003A4C84">
        <w:t xml:space="preserve"> </w:t>
      </w:r>
      <w:r w:rsidR="003A4C84" w:rsidRPr="003A4C84">
        <w:t>structures</w:t>
      </w:r>
      <w:r w:rsidR="003C2721" w:rsidRPr="003C2721">
        <w:t xml:space="preserve"> </w:t>
      </w:r>
      <w:r w:rsidR="003C2721">
        <w:t>(</w:t>
      </w:r>
      <w:r w:rsidR="003C2721" w:rsidRPr="00203AC9">
        <w:t>Cheng et al., 2018</w:t>
      </w:r>
      <w:r w:rsidR="003C2721">
        <w:t>)</w:t>
      </w:r>
      <w:r w:rsidR="00F227E2">
        <w:t xml:space="preserve"> </w:t>
      </w:r>
      <w:r w:rsidR="00F227E2" w:rsidRPr="00F227E2">
        <w:t xml:space="preserve">resulting from polymerization or condensation reactions involving substances derived from furfural and </w:t>
      </w:r>
      <w:proofErr w:type="spellStart"/>
      <w:r w:rsidR="00F227E2" w:rsidRPr="00F227E2">
        <w:t>hydroxymethylfurfural</w:t>
      </w:r>
      <w:proofErr w:type="spellEnd"/>
      <w:r w:rsidR="00F227E2" w:rsidRPr="00F227E2">
        <w:t>. The latter are byproducts of the degradation of xylose</w:t>
      </w:r>
      <w:r w:rsidR="00426498">
        <w:t xml:space="preserve"> and</w:t>
      </w:r>
      <w:r w:rsidR="00F227E2" w:rsidRPr="00F227E2">
        <w:t xml:space="preserve"> glucos</w:t>
      </w:r>
      <w:r w:rsidR="00B63901">
        <w:t xml:space="preserve">e </w:t>
      </w:r>
      <w:r w:rsidR="00426498" w:rsidRPr="00426498">
        <w:t xml:space="preserve">generated from the breakdown of hemicellulose and </w:t>
      </w:r>
      <w:r w:rsidR="00426498" w:rsidRPr="00426498">
        <w:lastRenderedPageBreak/>
        <w:t>cellulose respectively</w:t>
      </w:r>
      <w:r w:rsidR="00F227E2" w:rsidRPr="00F227E2">
        <w:t>. Consequently, it can be inferred that the effective recovery of lignin is approximately equal to or slightly below 100%.</w:t>
      </w:r>
    </w:p>
    <w:p w14:paraId="54845A3C" w14:textId="2C10CA8E" w:rsidR="005C1970" w:rsidRPr="00203AC9" w:rsidRDefault="005C1970" w:rsidP="005C1970">
      <w:pPr>
        <w:pStyle w:val="CETTabletitle"/>
      </w:pPr>
      <w:bookmarkStart w:id="3" w:name="_Ref157155479"/>
      <w:r w:rsidRPr="00203AC9">
        <w:t xml:space="preserve">Table </w:t>
      </w:r>
      <w:r w:rsidRPr="00203AC9">
        <w:fldChar w:fldCharType="begin"/>
      </w:r>
      <w:r w:rsidRPr="00203AC9">
        <w:instrText xml:space="preserve"> SEQ Table \* ARABIC </w:instrText>
      </w:r>
      <w:r w:rsidRPr="00203AC9">
        <w:fldChar w:fldCharType="separate"/>
      </w:r>
      <w:r w:rsidR="00EB264F">
        <w:rPr>
          <w:noProof/>
        </w:rPr>
        <w:t>2</w:t>
      </w:r>
      <w:r w:rsidRPr="00203AC9">
        <w:fldChar w:fldCharType="end"/>
      </w:r>
      <w:bookmarkEnd w:id="3"/>
      <w:r w:rsidRPr="00203AC9">
        <w:t xml:space="preserve"> </w:t>
      </w:r>
      <w:r w:rsidR="0088331F">
        <w:t>–</w:t>
      </w:r>
      <w:r w:rsidRPr="00203AC9">
        <w:t xml:space="preserve"> </w:t>
      </w:r>
      <w:r w:rsidR="0088331F">
        <w:t>Solid composition and recovery</w:t>
      </w:r>
      <w:r w:rsidRPr="00203AC9">
        <w:t xml:space="preserve"> after autohydrolysis</w:t>
      </w:r>
      <w:r w:rsidR="002E40E0">
        <w:t xml:space="preserve"> treatment</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694"/>
        <w:gridCol w:w="1275"/>
        <w:gridCol w:w="1275"/>
      </w:tblGrid>
      <w:tr w:rsidR="0027628E" w:rsidRPr="00203AC9" w14:paraId="5CC263CC" w14:textId="6552D83F">
        <w:tc>
          <w:tcPr>
            <w:tcW w:w="2694" w:type="dxa"/>
            <w:tcBorders>
              <w:top w:val="single" w:sz="12" w:space="0" w:color="008000"/>
              <w:bottom w:val="single" w:sz="6" w:space="0" w:color="008000"/>
            </w:tcBorders>
            <w:shd w:val="clear" w:color="auto" w:fill="FFFFFF"/>
          </w:tcPr>
          <w:p w14:paraId="23E6D769" w14:textId="2C464A7B" w:rsidR="0027628E" w:rsidRPr="00203AC9" w:rsidRDefault="0027628E">
            <w:pPr>
              <w:pStyle w:val="CETBodytext"/>
              <w:rPr>
                <w:lang w:val="en-GB"/>
              </w:rPr>
            </w:pPr>
            <w:r w:rsidRPr="00203AC9">
              <w:rPr>
                <w:lang w:val="en-GB"/>
              </w:rPr>
              <w:t xml:space="preserve">Compound </w:t>
            </w:r>
          </w:p>
        </w:tc>
        <w:tc>
          <w:tcPr>
            <w:tcW w:w="1275" w:type="dxa"/>
            <w:tcBorders>
              <w:top w:val="single" w:sz="12" w:space="0" w:color="008000"/>
              <w:bottom w:val="single" w:sz="6" w:space="0" w:color="008000"/>
            </w:tcBorders>
            <w:shd w:val="clear" w:color="auto" w:fill="FFFFFF"/>
          </w:tcPr>
          <w:p w14:paraId="69E29508" w14:textId="774C7407" w:rsidR="0027628E" w:rsidRPr="00203AC9" w:rsidRDefault="0027628E">
            <w:pPr>
              <w:pStyle w:val="CETBodytext"/>
              <w:rPr>
                <w:lang w:val="en-GB"/>
              </w:rPr>
            </w:pPr>
            <w:r w:rsidRPr="00203AC9">
              <w:rPr>
                <w:lang w:val="en-GB"/>
              </w:rPr>
              <w:t>Content</w:t>
            </w:r>
          </w:p>
        </w:tc>
        <w:tc>
          <w:tcPr>
            <w:tcW w:w="1275" w:type="dxa"/>
            <w:tcBorders>
              <w:top w:val="single" w:sz="12" w:space="0" w:color="008000"/>
              <w:bottom w:val="single" w:sz="6" w:space="0" w:color="008000"/>
            </w:tcBorders>
            <w:shd w:val="clear" w:color="auto" w:fill="FFFFFF"/>
          </w:tcPr>
          <w:p w14:paraId="363ED35C" w14:textId="23CF5C95" w:rsidR="0027628E" w:rsidRPr="00203AC9" w:rsidRDefault="00F9246D">
            <w:pPr>
              <w:pStyle w:val="CETBodytext"/>
              <w:rPr>
                <w:lang w:val="en-GB"/>
              </w:rPr>
            </w:pPr>
            <w:r w:rsidRPr="00203AC9">
              <w:rPr>
                <w:lang w:val="en-GB"/>
              </w:rPr>
              <w:t>Recovery (%</w:t>
            </w:r>
            <w:r w:rsidR="002F4BDA" w:rsidRPr="00203AC9">
              <w:rPr>
                <w:lang w:val="en-GB"/>
              </w:rPr>
              <w:t>)</w:t>
            </w:r>
          </w:p>
        </w:tc>
      </w:tr>
      <w:tr w:rsidR="00F9246D" w:rsidRPr="00203AC9" w14:paraId="146C66E8" w14:textId="0103E640">
        <w:tc>
          <w:tcPr>
            <w:tcW w:w="2694" w:type="dxa"/>
            <w:shd w:val="clear" w:color="auto" w:fill="FFFFFF"/>
          </w:tcPr>
          <w:p w14:paraId="287B6233" w14:textId="33100F15" w:rsidR="00F9246D" w:rsidRPr="00203AC9" w:rsidRDefault="00F9246D" w:rsidP="00F9246D">
            <w:pPr>
              <w:pStyle w:val="CETBodytext"/>
              <w:rPr>
                <w:lang w:val="en-GB"/>
              </w:rPr>
            </w:pPr>
            <w:r w:rsidRPr="00203AC9">
              <w:t xml:space="preserve">Acid insoluble lignin (% on </w:t>
            </w:r>
            <w:proofErr w:type="spellStart"/>
            <w:r w:rsidRPr="00203AC9">
              <w:t>dw</w:t>
            </w:r>
            <w:proofErr w:type="spellEnd"/>
            <w:r w:rsidRPr="00203AC9">
              <w:t>)</w:t>
            </w:r>
          </w:p>
        </w:tc>
        <w:tc>
          <w:tcPr>
            <w:tcW w:w="1275" w:type="dxa"/>
            <w:shd w:val="clear" w:color="auto" w:fill="FFFFFF"/>
            <w:vAlign w:val="center"/>
          </w:tcPr>
          <w:p w14:paraId="2073173F" w14:textId="13A89AB3" w:rsidR="00F9246D" w:rsidRPr="00203AC9" w:rsidRDefault="00F9246D" w:rsidP="00F9246D">
            <w:pPr>
              <w:pStyle w:val="CETBodytext"/>
            </w:pPr>
            <w:r w:rsidRPr="00203AC9">
              <w:t xml:space="preserve">35.43 </w:t>
            </w:r>
            <w:r w:rsidRPr="00203AC9">
              <w:sym w:font="Symbol" w:char="F0B1"/>
            </w:r>
            <w:r w:rsidRPr="00203AC9">
              <w:t xml:space="preserve"> 0.67</w:t>
            </w:r>
          </w:p>
        </w:tc>
        <w:tc>
          <w:tcPr>
            <w:tcW w:w="1275" w:type="dxa"/>
            <w:shd w:val="clear" w:color="auto" w:fill="FFFFFF"/>
            <w:vAlign w:val="center"/>
          </w:tcPr>
          <w:p w14:paraId="0DA4E278" w14:textId="4CBF03CC" w:rsidR="00F9246D" w:rsidRPr="00203AC9" w:rsidRDefault="00050330" w:rsidP="00F9246D">
            <w:pPr>
              <w:pStyle w:val="CETBodytext"/>
            </w:pPr>
            <w:r w:rsidRPr="00203AC9">
              <w:t>117</w:t>
            </w:r>
            <w:r w:rsidR="002204E5" w:rsidRPr="00203AC9">
              <w:t>.</w:t>
            </w:r>
            <w:r w:rsidR="00C71BD5" w:rsidRPr="00203AC9">
              <w:t xml:space="preserve">82 </w:t>
            </w:r>
            <w:r w:rsidR="00C71BD5" w:rsidRPr="00203AC9">
              <w:sym w:font="Symbol" w:char="F0B1"/>
            </w:r>
            <w:r w:rsidR="002204E5" w:rsidRPr="00203AC9">
              <w:t xml:space="preserve"> </w:t>
            </w:r>
            <w:r w:rsidR="00C71BD5" w:rsidRPr="00203AC9">
              <w:t>0.0</w:t>
            </w:r>
            <w:r w:rsidR="002204E5" w:rsidRPr="00203AC9">
              <w:t>2</w:t>
            </w:r>
          </w:p>
        </w:tc>
      </w:tr>
      <w:tr w:rsidR="00F9246D" w:rsidRPr="00203AC9" w14:paraId="49C74C4C" w14:textId="6B7EBDBD">
        <w:tc>
          <w:tcPr>
            <w:tcW w:w="2694" w:type="dxa"/>
            <w:shd w:val="clear" w:color="auto" w:fill="FFFFFF"/>
          </w:tcPr>
          <w:p w14:paraId="1DB4A06F" w14:textId="5FD0FAB7" w:rsidR="00F9246D" w:rsidRPr="00203AC9" w:rsidRDefault="00F9246D" w:rsidP="00F9246D">
            <w:pPr>
              <w:pStyle w:val="CETBodytext"/>
              <w:ind w:right="-1"/>
              <w:rPr>
                <w:rFonts w:cs="Arial"/>
                <w:szCs w:val="18"/>
                <w:lang w:val="en-GB"/>
              </w:rPr>
            </w:pPr>
            <w:r w:rsidRPr="00203AC9">
              <w:t xml:space="preserve">Acid soluble lignin (% on </w:t>
            </w:r>
            <w:proofErr w:type="spellStart"/>
            <w:r w:rsidRPr="00203AC9">
              <w:t>dw</w:t>
            </w:r>
            <w:proofErr w:type="spellEnd"/>
            <w:r w:rsidRPr="00203AC9">
              <w:t>)</w:t>
            </w:r>
          </w:p>
        </w:tc>
        <w:tc>
          <w:tcPr>
            <w:tcW w:w="1275" w:type="dxa"/>
            <w:shd w:val="clear" w:color="auto" w:fill="FFFFFF"/>
            <w:vAlign w:val="center"/>
          </w:tcPr>
          <w:p w14:paraId="357B871C" w14:textId="5ECAD0F0" w:rsidR="00F9246D" w:rsidRPr="00203AC9" w:rsidRDefault="00F9246D" w:rsidP="00F9246D">
            <w:pPr>
              <w:pStyle w:val="CETBodytext"/>
              <w:ind w:right="-1"/>
            </w:pPr>
            <w:r w:rsidRPr="00203AC9">
              <w:t xml:space="preserve">1.06 </w:t>
            </w:r>
            <w:r w:rsidRPr="00203AC9">
              <w:sym w:font="Symbol" w:char="F0B1"/>
            </w:r>
            <w:r w:rsidRPr="00203AC9">
              <w:t xml:space="preserve"> 0.02</w:t>
            </w:r>
          </w:p>
        </w:tc>
        <w:tc>
          <w:tcPr>
            <w:tcW w:w="1275" w:type="dxa"/>
            <w:shd w:val="clear" w:color="auto" w:fill="FFFFFF"/>
            <w:vAlign w:val="center"/>
          </w:tcPr>
          <w:p w14:paraId="7841F0BC" w14:textId="33D55036" w:rsidR="002204E5" w:rsidRPr="00203AC9" w:rsidRDefault="002D55F5" w:rsidP="00F9246D">
            <w:pPr>
              <w:pStyle w:val="CETBodytext"/>
              <w:ind w:right="-1"/>
            </w:pPr>
            <w:r w:rsidRPr="00203AC9">
              <w:t>3</w:t>
            </w:r>
            <w:r w:rsidR="003C1821" w:rsidRPr="00203AC9">
              <w:t>5</w:t>
            </w:r>
            <w:r w:rsidRPr="00203AC9">
              <w:t>.</w:t>
            </w:r>
            <w:r w:rsidR="003C1821" w:rsidRPr="00203AC9">
              <w:t>18</w:t>
            </w:r>
            <w:r w:rsidR="002204E5" w:rsidRPr="00203AC9">
              <w:t xml:space="preserve"> </w:t>
            </w:r>
            <w:r w:rsidR="002204E5" w:rsidRPr="00203AC9">
              <w:sym w:font="Symbol" w:char="F0B1"/>
            </w:r>
            <w:r w:rsidR="002204E5" w:rsidRPr="00203AC9">
              <w:t xml:space="preserve"> 0.01</w:t>
            </w:r>
          </w:p>
        </w:tc>
      </w:tr>
      <w:tr w:rsidR="00F9246D" w:rsidRPr="00203AC9" w14:paraId="3BB79805" w14:textId="4E7DF3BB">
        <w:tc>
          <w:tcPr>
            <w:tcW w:w="2694" w:type="dxa"/>
            <w:shd w:val="clear" w:color="auto" w:fill="FFFFFF"/>
          </w:tcPr>
          <w:p w14:paraId="67F4A9F7" w14:textId="42B6C66E" w:rsidR="00F9246D" w:rsidRPr="00203AC9" w:rsidRDefault="00F9246D" w:rsidP="00F9246D">
            <w:pPr>
              <w:pStyle w:val="CETBodytext"/>
              <w:ind w:right="-1"/>
              <w:rPr>
                <w:rFonts w:cs="Arial"/>
                <w:szCs w:val="18"/>
                <w:lang w:val="en-GB"/>
              </w:rPr>
            </w:pPr>
            <w:r w:rsidRPr="00203AC9">
              <w:t xml:space="preserve">Hemicellulose (% on </w:t>
            </w:r>
            <w:proofErr w:type="spellStart"/>
            <w:r w:rsidRPr="00203AC9">
              <w:t>dw</w:t>
            </w:r>
            <w:proofErr w:type="spellEnd"/>
            <w:r w:rsidRPr="00203AC9">
              <w:t>)</w:t>
            </w:r>
          </w:p>
        </w:tc>
        <w:tc>
          <w:tcPr>
            <w:tcW w:w="1275" w:type="dxa"/>
            <w:shd w:val="clear" w:color="auto" w:fill="FFFFFF"/>
            <w:vAlign w:val="center"/>
          </w:tcPr>
          <w:p w14:paraId="30294E8F" w14:textId="2A363A8A" w:rsidR="00F9246D" w:rsidRPr="00203AC9" w:rsidRDefault="00F9246D" w:rsidP="00F9246D">
            <w:pPr>
              <w:pStyle w:val="CETBodytext"/>
              <w:ind w:right="-1"/>
            </w:pPr>
            <w:r w:rsidRPr="00203AC9">
              <w:t xml:space="preserve">1.96 </w:t>
            </w:r>
            <w:r w:rsidRPr="00203AC9">
              <w:sym w:font="Symbol" w:char="F0B1"/>
            </w:r>
            <w:r w:rsidRPr="00203AC9">
              <w:t xml:space="preserve"> 0.20</w:t>
            </w:r>
          </w:p>
        </w:tc>
        <w:tc>
          <w:tcPr>
            <w:tcW w:w="1275" w:type="dxa"/>
            <w:shd w:val="clear" w:color="auto" w:fill="FFFFFF"/>
          </w:tcPr>
          <w:p w14:paraId="50FC2C9E" w14:textId="6C181A8E" w:rsidR="00F9246D" w:rsidRPr="00203AC9" w:rsidRDefault="00E85305" w:rsidP="00F9246D">
            <w:pPr>
              <w:pStyle w:val="CETBodytext"/>
              <w:ind w:right="-1"/>
            </w:pPr>
            <w:r w:rsidRPr="00203AC9">
              <w:t>18.</w:t>
            </w:r>
            <w:r w:rsidR="00F94192" w:rsidRPr="00203AC9">
              <w:t xml:space="preserve">11 </w:t>
            </w:r>
            <w:r w:rsidR="00F94192" w:rsidRPr="00203AC9">
              <w:sym w:font="Symbol" w:char="F0B1"/>
            </w:r>
            <w:r w:rsidR="00F94192" w:rsidRPr="00203AC9">
              <w:t xml:space="preserve"> 0.02</w:t>
            </w:r>
          </w:p>
        </w:tc>
      </w:tr>
      <w:tr w:rsidR="00F9246D" w:rsidRPr="00203AC9" w14:paraId="7B9300EE" w14:textId="27D71D5C">
        <w:tc>
          <w:tcPr>
            <w:tcW w:w="2694" w:type="dxa"/>
            <w:shd w:val="clear" w:color="auto" w:fill="FFFFFF"/>
          </w:tcPr>
          <w:p w14:paraId="0D4FCA04" w14:textId="310CA4C6" w:rsidR="00F9246D" w:rsidRPr="00203AC9" w:rsidRDefault="00F9246D" w:rsidP="00F9246D">
            <w:pPr>
              <w:pStyle w:val="CETBodytext"/>
              <w:ind w:right="-1"/>
              <w:rPr>
                <w:rFonts w:cs="Arial"/>
                <w:szCs w:val="18"/>
                <w:lang w:val="en-GB"/>
              </w:rPr>
            </w:pPr>
            <w:r w:rsidRPr="00203AC9">
              <w:t xml:space="preserve">Cellulose (% on </w:t>
            </w:r>
            <w:proofErr w:type="spellStart"/>
            <w:r w:rsidRPr="00203AC9">
              <w:t>dw</w:t>
            </w:r>
            <w:proofErr w:type="spellEnd"/>
            <w:r w:rsidRPr="00203AC9">
              <w:t>)</w:t>
            </w:r>
          </w:p>
        </w:tc>
        <w:tc>
          <w:tcPr>
            <w:tcW w:w="1275" w:type="dxa"/>
            <w:shd w:val="clear" w:color="auto" w:fill="FFFFFF"/>
            <w:vAlign w:val="center"/>
          </w:tcPr>
          <w:p w14:paraId="4905B8E5" w14:textId="65FA727C" w:rsidR="00F9246D" w:rsidRPr="00203AC9" w:rsidRDefault="00F9246D" w:rsidP="00F9246D">
            <w:pPr>
              <w:pStyle w:val="CETBodytext"/>
              <w:ind w:right="-1"/>
            </w:pPr>
            <w:r w:rsidRPr="00203AC9">
              <w:t xml:space="preserve">54.33 </w:t>
            </w:r>
            <w:r w:rsidRPr="00203AC9">
              <w:sym w:font="Symbol" w:char="F0B1"/>
            </w:r>
            <w:r w:rsidRPr="00203AC9">
              <w:t xml:space="preserve"> 1.09</w:t>
            </w:r>
          </w:p>
        </w:tc>
        <w:tc>
          <w:tcPr>
            <w:tcW w:w="1275" w:type="dxa"/>
            <w:shd w:val="clear" w:color="auto" w:fill="FFFFFF"/>
          </w:tcPr>
          <w:p w14:paraId="028E1F14" w14:textId="616065FA" w:rsidR="00F9246D" w:rsidRPr="00203AC9" w:rsidRDefault="00395456" w:rsidP="00F9246D">
            <w:pPr>
              <w:pStyle w:val="CETBodytext"/>
              <w:ind w:right="-1"/>
            </w:pPr>
            <w:r w:rsidRPr="00203AC9">
              <w:t>8</w:t>
            </w:r>
            <w:r w:rsidR="006355DD" w:rsidRPr="00203AC9">
              <w:t>2</w:t>
            </w:r>
            <w:r w:rsidRPr="00203AC9">
              <w:t>.50</w:t>
            </w:r>
            <w:r w:rsidR="006355DD" w:rsidRPr="00203AC9">
              <w:t xml:space="preserve"> </w:t>
            </w:r>
            <w:r w:rsidR="006355DD" w:rsidRPr="00203AC9">
              <w:sym w:font="Symbol" w:char="F0B1"/>
            </w:r>
            <w:r w:rsidR="006355DD" w:rsidRPr="00203AC9">
              <w:t xml:space="preserve"> 0.02</w:t>
            </w:r>
          </w:p>
        </w:tc>
      </w:tr>
    </w:tbl>
    <w:p w14:paraId="0687D37E" w14:textId="790064D7" w:rsidR="00422A89" w:rsidRPr="00133145" w:rsidRDefault="001C1851" w:rsidP="00133145">
      <w:pPr>
        <w:pStyle w:val="CETHeading1"/>
        <w:numPr>
          <w:ilvl w:val="2"/>
          <w:numId w:val="1"/>
        </w:numPr>
        <w:rPr>
          <w:sz w:val="18"/>
          <w:szCs w:val="18"/>
        </w:rPr>
      </w:pPr>
      <w:r w:rsidRPr="00133145">
        <w:rPr>
          <w:sz w:val="18"/>
          <w:szCs w:val="18"/>
        </w:rPr>
        <w:t>Organosolv</w:t>
      </w:r>
      <w:r w:rsidR="00422A89" w:rsidRPr="00133145">
        <w:rPr>
          <w:sz w:val="18"/>
          <w:szCs w:val="18"/>
        </w:rPr>
        <w:t xml:space="preserve"> </w:t>
      </w:r>
      <w:r w:rsidR="000F08B5">
        <w:rPr>
          <w:sz w:val="18"/>
          <w:szCs w:val="18"/>
        </w:rPr>
        <w:t>t</w:t>
      </w:r>
      <w:r w:rsidR="008862B5" w:rsidRPr="00133145">
        <w:rPr>
          <w:sz w:val="18"/>
          <w:szCs w:val="18"/>
        </w:rPr>
        <w:t>reatment</w:t>
      </w:r>
    </w:p>
    <w:p w14:paraId="66BD5798" w14:textId="69DAF37C" w:rsidR="00506F3B" w:rsidRDefault="003D6D27" w:rsidP="00C20729">
      <w:pPr>
        <w:pStyle w:val="CETBodytext"/>
      </w:pPr>
      <w:r>
        <w:rPr>
          <w:lang w:eastAsia="it-IT"/>
        </w:rPr>
        <w:t>T</w:t>
      </w:r>
      <w:r w:rsidR="006D3BDD" w:rsidRPr="00203AC9">
        <w:rPr>
          <w:lang w:eastAsia="it-IT"/>
        </w:rPr>
        <w:t xml:space="preserve">he solid residue from autohydrolysis underwent </w:t>
      </w:r>
      <w:r w:rsidR="00BD5B13" w:rsidRPr="00203AC9">
        <w:rPr>
          <w:lang w:eastAsia="it-IT"/>
        </w:rPr>
        <w:t xml:space="preserve">an </w:t>
      </w:r>
      <w:r w:rsidR="001C1851" w:rsidRPr="00203AC9">
        <w:rPr>
          <w:lang w:eastAsia="it-IT"/>
        </w:rPr>
        <w:t>organosolv</w:t>
      </w:r>
      <w:r w:rsidR="006D3BDD" w:rsidRPr="00203AC9">
        <w:rPr>
          <w:lang w:eastAsia="it-IT"/>
        </w:rPr>
        <w:t xml:space="preserve"> process to separate </w:t>
      </w:r>
      <w:r w:rsidR="00BD5B13" w:rsidRPr="00203AC9">
        <w:rPr>
          <w:lang w:eastAsia="it-IT"/>
        </w:rPr>
        <w:t>the</w:t>
      </w:r>
      <w:r w:rsidR="006D3BDD" w:rsidRPr="00203AC9">
        <w:rPr>
          <w:lang w:eastAsia="it-IT"/>
        </w:rPr>
        <w:t xml:space="preserve"> lignin fraction</w:t>
      </w:r>
      <w:r w:rsidR="00FA7739">
        <w:rPr>
          <w:lang w:eastAsia="it-IT"/>
        </w:rPr>
        <w:t xml:space="preserve"> that </w:t>
      </w:r>
      <w:r w:rsidR="009E10C0">
        <w:rPr>
          <w:lang w:eastAsia="it-IT"/>
        </w:rPr>
        <w:t>wa</w:t>
      </w:r>
      <w:r w:rsidR="00FA7739">
        <w:rPr>
          <w:lang w:eastAsia="it-IT"/>
        </w:rPr>
        <w:t>s te</w:t>
      </w:r>
      <w:r w:rsidR="006F079C">
        <w:rPr>
          <w:lang w:eastAsia="it-IT"/>
        </w:rPr>
        <w:t xml:space="preserve">sted in </w:t>
      </w:r>
      <w:r w:rsidR="00DC75B7">
        <w:rPr>
          <w:lang w:eastAsia="it-IT"/>
        </w:rPr>
        <w:t>four</w:t>
      </w:r>
      <w:r w:rsidR="006F079C">
        <w:rPr>
          <w:lang w:eastAsia="it-IT"/>
        </w:rPr>
        <w:t xml:space="preserve"> different conditions</w:t>
      </w:r>
      <w:r>
        <w:rPr>
          <w:lang w:eastAsia="it-IT"/>
        </w:rPr>
        <w:t xml:space="preserve"> (Figure 1)</w:t>
      </w:r>
      <w:r w:rsidR="006D3BDD" w:rsidRPr="00203AC9">
        <w:rPr>
          <w:lang w:eastAsia="it-IT"/>
        </w:rPr>
        <w:t>.</w:t>
      </w:r>
      <w:r w:rsidR="00BD5B13" w:rsidRPr="00203AC9">
        <w:rPr>
          <w:rFonts w:ascii="Times New Roman" w:hAnsi="Times New Roman"/>
          <w:lang w:eastAsia="it-IT"/>
        </w:rPr>
        <w:t xml:space="preserve"> </w:t>
      </w:r>
      <w:r w:rsidR="00DC75B7" w:rsidRPr="00203AC9">
        <w:fldChar w:fldCharType="begin"/>
      </w:r>
      <w:r w:rsidR="00DC75B7" w:rsidRPr="00203AC9">
        <w:instrText xml:space="preserve"> REF _Ref156999786 \h  \* MERGEFORMAT </w:instrText>
      </w:r>
      <w:r w:rsidR="00DC75B7" w:rsidRPr="00203AC9">
        <w:fldChar w:fldCharType="separate"/>
      </w:r>
      <w:r w:rsidR="00DC75B7" w:rsidRPr="00203AC9">
        <w:t xml:space="preserve">Table </w:t>
      </w:r>
      <w:r w:rsidR="00DC75B7" w:rsidRPr="00203AC9">
        <w:rPr>
          <w:noProof/>
        </w:rPr>
        <w:t>3</w:t>
      </w:r>
      <w:r w:rsidR="00DC75B7" w:rsidRPr="00203AC9">
        <w:fldChar w:fldCharType="end"/>
      </w:r>
      <w:r w:rsidR="004F481E">
        <w:t xml:space="preserve"> reports the solid yield of each tested condition</w:t>
      </w:r>
      <w:r w:rsidR="000255A8">
        <w:t xml:space="preserve"> </w:t>
      </w:r>
      <w:r w:rsidR="009E10C0">
        <w:t>c</w:t>
      </w:r>
      <w:r w:rsidR="000255A8" w:rsidRPr="000255A8">
        <w:t>omplying with what was expected. In</w:t>
      </w:r>
      <w:r w:rsidR="000742D5">
        <w:t xml:space="preserve"> </w:t>
      </w:r>
      <w:r w:rsidR="000255A8" w:rsidRPr="000255A8">
        <w:t>fact, increasing the severity of treatment by raising the temperature and the amount of solvent promotes both lignin dissolution and cellulose degradation</w:t>
      </w:r>
      <w:r w:rsidR="00422D60">
        <w:t xml:space="preserve"> resulting in a lower solid yield (83.92% for the case of organosolv at 200°C and 1:20 solid</w:t>
      </w:r>
      <w:r w:rsidR="00083345">
        <w:t>-</w:t>
      </w:r>
      <w:r w:rsidR="00422D60">
        <w:t>to</w:t>
      </w:r>
      <w:r w:rsidR="00083345">
        <w:t>-</w:t>
      </w:r>
      <w:r w:rsidR="00422D60">
        <w:t xml:space="preserve">liquid ratio). </w:t>
      </w:r>
    </w:p>
    <w:p w14:paraId="16F9758F" w14:textId="50AE9EDE" w:rsidR="00506F3B" w:rsidRPr="00203AC9" w:rsidRDefault="00506F3B" w:rsidP="00506F3B">
      <w:pPr>
        <w:pStyle w:val="CETTabletitle"/>
      </w:pPr>
      <w:bookmarkStart w:id="4" w:name="_Ref156999786"/>
      <w:r w:rsidRPr="00203AC9">
        <w:t xml:space="preserve">Table </w:t>
      </w:r>
      <w:r w:rsidRPr="00203AC9">
        <w:fldChar w:fldCharType="begin"/>
      </w:r>
      <w:r w:rsidRPr="00203AC9">
        <w:instrText xml:space="preserve"> SEQ Table \* ARABIC </w:instrText>
      </w:r>
      <w:r w:rsidRPr="00203AC9">
        <w:fldChar w:fldCharType="separate"/>
      </w:r>
      <w:r w:rsidR="00EB264F">
        <w:rPr>
          <w:noProof/>
        </w:rPr>
        <w:t>3</w:t>
      </w:r>
      <w:r w:rsidRPr="00203AC9">
        <w:fldChar w:fldCharType="end"/>
      </w:r>
      <w:bookmarkEnd w:id="4"/>
      <w:r w:rsidRPr="00203AC9">
        <w:t xml:space="preserve"> - Solid </w:t>
      </w:r>
      <w:r>
        <w:t>y</w:t>
      </w:r>
      <w:r w:rsidRPr="00203AC9">
        <w:t>ield</w:t>
      </w:r>
      <w:r>
        <w:t>s</w:t>
      </w:r>
      <w:r w:rsidRPr="00203AC9">
        <w:t xml:space="preserve"> </w:t>
      </w:r>
      <w:r>
        <w:t xml:space="preserve">of the </w:t>
      </w:r>
      <w:proofErr w:type="spellStart"/>
      <w:r>
        <w:t>o</w:t>
      </w:r>
      <w:r w:rsidRPr="00203AC9">
        <w:t>rganosolv</w:t>
      </w:r>
      <w:proofErr w:type="spellEnd"/>
      <w:r>
        <w:t xml:space="preserve"> treatment</w:t>
      </w:r>
      <w:r w:rsidRPr="00203AC9">
        <w:t xml:space="preserve"> </w:t>
      </w:r>
    </w:p>
    <w:tbl>
      <w:tblPr>
        <w:tblpPr w:leftFromText="141" w:rightFromText="141" w:vertAnchor="text" w:tblpY="1"/>
        <w:tblOverlap w:val="neve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694"/>
        <w:gridCol w:w="1275"/>
        <w:gridCol w:w="1275"/>
        <w:gridCol w:w="1275"/>
        <w:gridCol w:w="1275"/>
      </w:tblGrid>
      <w:tr w:rsidR="00506F3B" w:rsidRPr="00203AC9" w14:paraId="363F233C" w14:textId="77777777">
        <w:tc>
          <w:tcPr>
            <w:tcW w:w="2694" w:type="dxa"/>
            <w:vMerge w:val="restart"/>
            <w:tcBorders>
              <w:top w:val="single" w:sz="12" w:space="0" w:color="008000"/>
            </w:tcBorders>
            <w:shd w:val="clear" w:color="auto" w:fill="FFFFFF"/>
          </w:tcPr>
          <w:p w14:paraId="7B1FB574" w14:textId="77777777" w:rsidR="00506F3B" w:rsidRPr="00203AC9" w:rsidRDefault="00506F3B">
            <w:pPr>
              <w:pStyle w:val="CETBodytext"/>
              <w:rPr>
                <w:lang w:val="en-GB"/>
              </w:rPr>
            </w:pPr>
          </w:p>
        </w:tc>
        <w:tc>
          <w:tcPr>
            <w:tcW w:w="2550" w:type="dxa"/>
            <w:gridSpan w:val="2"/>
            <w:tcBorders>
              <w:top w:val="single" w:sz="12" w:space="0" w:color="008000"/>
              <w:bottom w:val="single" w:sz="4" w:space="0" w:color="008001"/>
            </w:tcBorders>
            <w:shd w:val="clear" w:color="auto" w:fill="FFFFFF"/>
          </w:tcPr>
          <w:p w14:paraId="0A81206D" w14:textId="77777777" w:rsidR="00506F3B" w:rsidRPr="00203AC9" w:rsidRDefault="00506F3B">
            <w:pPr>
              <w:pStyle w:val="CETBodytext"/>
              <w:rPr>
                <w:lang w:val="en-GB"/>
              </w:rPr>
            </w:pPr>
            <w:r w:rsidRPr="00203AC9">
              <w:rPr>
                <w:lang w:val="en-GB"/>
              </w:rPr>
              <w:t>Organosolv 180°C</w:t>
            </w:r>
          </w:p>
        </w:tc>
        <w:tc>
          <w:tcPr>
            <w:tcW w:w="2550" w:type="dxa"/>
            <w:gridSpan w:val="2"/>
            <w:tcBorders>
              <w:top w:val="single" w:sz="12" w:space="0" w:color="008000"/>
              <w:bottom w:val="single" w:sz="4" w:space="0" w:color="008001"/>
            </w:tcBorders>
            <w:shd w:val="clear" w:color="auto" w:fill="FFFFFF"/>
          </w:tcPr>
          <w:p w14:paraId="16C59DB0" w14:textId="77777777" w:rsidR="00506F3B" w:rsidRPr="00203AC9" w:rsidRDefault="00506F3B">
            <w:pPr>
              <w:pStyle w:val="CETBodytext"/>
              <w:rPr>
                <w:lang w:val="en-GB"/>
              </w:rPr>
            </w:pPr>
            <w:r w:rsidRPr="00203AC9">
              <w:rPr>
                <w:lang w:val="en-GB"/>
              </w:rPr>
              <w:t>Organosolv 200°C</w:t>
            </w:r>
          </w:p>
        </w:tc>
      </w:tr>
      <w:tr w:rsidR="00506F3B" w:rsidRPr="00203AC9" w14:paraId="28CBA68C" w14:textId="77777777">
        <w:tc>
          <w:tcPr>
            <w:tcW w:w="2694" w:type="dxa"/>
            <w:vMerge/>
            <w:tcBorders>
              <w:bottom w:val="single" w:sz="6" w:space="0" w:color="008000"/>
            </w:tcBorders>
            <w:shd w:val="clear" w:color="auto" w:fill="FFFFFF"/>
          </w:tcPr>
          <w:p w14:paraId="2F37746A" w14:textId="77777777" w:rsidR="00506F3B" w:rsidRPr="00203AC9" w:rsidRDefault="00506F3B">
            <w:pPr>
              <w:pStyle w:val="CETBodytext"/>
              <w:rPr>
                <w:lang w:val="en-GB"/>
              </w:rPr>
            </w:pPr>
          </w:p>
        </w:tc>
        <w:tc>
          <w:tcPr>
            <w:tcW w:w="1275" w:type="dxa"/>
            <w:tcBorders>
              <w:top w:val="single" w:sz="4" w:space="0" w:color="008001"/>
              <w:bottom w:val="single" w:sz="6" w:space="0" w:color="008000"/>
            </w:tcBorders>
            <w:shd w:val="clear" w:color="auto" w:fill="FFFFFF"/>
          </w:tcPr>
          <w:p w14:paraId="7D79C226" w14:textId="77777777" w:rsidR="00506F3B" w:rsidRPr="00203AC9" w:rsidRDefault="00506F3B">
            <w:pPr>
              <w:pStyle w:val="CETBodytext"/>
              <w:rPr>
                <w:lang w:val="en-GB"/>
              </w:rPr>
            </w:pPr>
            <w:r w:rsidRPr="00203AC9">
              <w:rPr>
                <w:lang w:val="en-GB"/>
              </w:rPr>
              <w:t>1:10</w:t>
            </w:r>
          </w:p>
        </w:tc>
        <w:tc>
          <w:tcPr>
            <w:tcW w:w="1275" w:type="dxa"/>
            <w:tcBorders>
              <w:top w:val="single" w:sz="4" w:space="0" w:color="008001"/>
              <w:bottom w:val="single" w:sz="6" w:space="0" w:color="008000"/>
            </w:tcBorders>
            <w:shd w:val="clear" w:color="auto" w:fill="FFFFFF"/>
          </w:tcPr>
          <w:p w14:paraId="431A1C1F" w14:textId="77777777" w:rsidR="00506F3B" w:rsidRPr="00203AC9" w:rsidRDefault="00506F3B">
            <w:pPr>
              <w:pStyle w:val="CETBodytext"/>
              <w:rPr>
                <w:lang w:val="en-GB"/>
              </w:rPr>
            </w:pPr>
            <w:r w:rsidRPr="00203AC9">
              <w:rPr>
                <w:lang w:val="en-GB"/>
              </w:rPr>
              <w:t>1:20</w:t>
            </w:r>
          </w:p>
        </w:tc>
        <w:tc>
          <w:tcPr>
            <w:tcW w:w="1275" w:type="dxa"/>
            <w:tcBorders>
              <w:top w:val="single" w:sz="4" w:space="0" w:color="008001"/>
              <w:bottom w:val="single" w:sz="6" w:space="0" w:color="008000"/>
            </w:tcBorders>
            <w:shd w:val="clear" w:color="auto" w:fill="FFFFFF"/>
          </w:tcPr>
          <w:p w14:paraId="5BB5B5E4" w14:textId="77777777" w:rsidR="00506F3B" w:rsidRPr="00203AC9" w:rsidRDefault="00506F3B">
            <w:pPr>
              <w:pStyle w:val="CETBodytext"/>
              <w:rPr>
                <w:lang w:val="en-GB"/>
              </w:rPr>
            </w:pPr>
            <w:r w:rsidRPr="00203AC9">
              <w:rPr>
                <w:lang w:val="en-GB"/>
              </w:rPr>
              <w:t>1:10</w:t>
            </w:r>
          </w:p>
        </w:tc>
        <w:tc>
          <w:tcPr>
            <w:tcW w:w="1275" w:type="dxa"/>
            <w:tcBorders>
              <w:top w:val="single" w:sz="4" w:space="0" w:color="008001"/>
              <w:bottom w:val="single" w:sz="6" w:space="0" w:color="008000"/>
            </w:tcBorders>
            <w:shd w:val="clear" w:color="auto" w:fill="FFFFFF"/>
          </w:tcPr>
          <w:p w14:paraId="650FC37E" w14:textId="77777777" w:rsidR="00506F3B" w:rsidRPr="00203AC9" w:rsidRDefault="00506F3B">
            <w:pPr>
              <w:pStyle w:val="CETBodytext"/>
              <w:rPr>
                <w:lang w:val="en-GB"/>
              </w:rPr>
            </w:pPr>
            <w:r w:rsidRPr="00203AC9">
              <w:rPr>
                <w:lang w:val="en-GB"/>
              </w:rPr>
              <w:t>1:20</w:t>
            </w:r>
          </w:p>
        </w:tc>
      </w:tr>
      <w:tr w:rsidR="00506F3B" w:rsidRPr="00203AC9" w14:paraId="39F492AA" w14:textId="77777777">
        <w:tc>
          <w:tcPr>
            <w:tcW w:w="2694" w:type="dxa"/>
            <w:shd w:val="clear" w:color="auto" w:fill="FFFFFF"/>
          </w:tcPr>
          <w:p w14:paraId="27C1004F" w14:textId="77777777" w:rsidR="00506F3B" w:rsidRPr="00203AC9" w:rsidRDefault="00506F3B">
            <w:pPr>
              <w:pStyle w:val="CETBodytext"/>
              <w:ind w:right="-1"/>
              <w:rPr>
                <w:rFonts w:cs="Arial"/>
                <w:szCs w:val="18"/>
                <w:lang w:val="en-GB"/>
              </w:rPr>
            </w:pPr>
            <w:r w:rsidRPr="00203AC9">
              <w:t xml:space="preserve">Solid yield (% on </w:t>
            </w:r>
            <w:proofErr w:type="spellStart"/>
            <w:r w:rsidRPr="00203AC9">
              <w:t>dw</w:t>
            </w:r>
            <w:proofErr w:type="spellEnd"/>
            <w:r w:rsidRPr="00203AC9">
              <w:t>)</w:t>
            </w:r>
          </w:p>
        </w:tc>
        <w:tc>
          <w:tcPr>
            <w:tcW w:w="1275" w:type="dxa"/>
            <w:shd w:val="clear" w:color="auto" w:fill="FFFFFF"/>
            <w:vAlign w:val="center"/>
          </w:tcPr>
          <w:p w14:paraId="32359A10" w14:textId="77777777" w:rsidR="00506F3B" w:rsidRPr="00203AC9" w:rsidRDefault="00506F3B">
            <w:pPr>
              <w:pStyle w:val="CETBodytext"/>
              <w:rPr>
                <w:lang w:val="en-GB"/>
              </w:rPr>
            </w:pPr>
            <w:r w:rsidRPr="00203AC9">
              <w:rPr>
                <w:lang w:val="en-GB"/>
              </w:rPr>
              <w:t>92.20 %</w:t>
            </w:r>
          </w:p>
        </w:tc>
        <w:tc>
          <w:tcPr>
            <w:tcW w:w="1275" w:type="dxa"/>
            <w:shd w:val="clear" w:color="auto" w:fill="FFFFFF"/>
            <w:vAlign w:val="center"/>
          </w:tcPr>
          <w:p w14:paraId="4D64169A" w14:textId="77777777" w:rsidR="00506F3B" w:rsidRPr="00203AC9" w:rsidRDefault="00506F3B">
            <w:pPr>
              <w:pStyle w:val="CETBodytext"/>
              <w:rPr>
                <w:lang w:val="en-GB"/>
              </w:rPr>
            </w:pPr>
            <w:r w:rsidRPr="00203AC9">
              <w:rPr>
                <w:lang w:val="en-GB"/>
              </w:rPr>
              <w:t>95.72 %</w:t>
            </w:r>
          </w:p>
        </w:tc>
        <w:tc>
          <w:tcPr>
            <w:tcW w:w="1275" w:type="dxa"/>
            <w:shd w:val="clear" w:color="auto" w:fill="FFFFFF"/>
            <w:vAlign w:val="center"/>
          </w:tcPr>
          <w:p w14:paraId="13C3F408" w14:textId="77777777" w:rsidR="00506F3B" w:rsidRPr="00203AC9" w:rsidRDefault="00506F3B">
            <w:pPr>
              <w:pStyle w:val="CETBodytext"/>
              <w:rPr>
                <w:lang w:val="en-GB"/>
              </w:rPr>
            </w:pPr>
            <w:r w:rsidRPr="00203AC9">
              <w:rPr>
                <w:lang w:val="en-GB"/>
              </w:rPr>
              <w:t>87.81 %</w:t>
            </w:r>
          </w:p>
        </w:tc>
        <w:tc>
          <w:tcPr>
            <w:tcW w:w="1275" w:type="dxa"/>
            <w:shd w:val="clear" w:color="auto" w:fill="FFFFFF"/>
            <w:vAlign w:val="center"/>
          </w:tcPr>
          <w:p w14:paraId="5F758177" w14:textId="77777777" w:rsidR="00506F3B" w:rsidRPr="00203AC9" w:rsidRDefault="00506F3B">
            <w:pPr>
              <w:pStyle w:val="CETBodytext"/>
              <w:rPr>
                <w:lang w:val="en-GB"/>
              </w:rPr>
            </w:pPr>
            <w:r w:rsidRPr="00203AC9">
              <w:rPr>
                <w:lang w:val="en-GB"/>
              </w:rPr>
              <w:t>83.92 %</w:t>
            </w:r>
          </w:p>
        </w:tc>
      </w:tr>
    </w:tbl>
    <w:p w14:paraId="76AB54D4" w14:textId="77777777" w:rsidR="00506F3B" w:rsidRPr="00203AC9" w:rsidRDefault="00506F3B" w:rsidP="00506F3B">
      <w:pPr>
        <w:pStyle w:val="CETBodytext"/>
      </w:pPr>
    </w:p>
    <w:p w14:paraId="25E23763" w14:textId="77777777" w:rsidR="00506F3B" w:rsidRPr="00203AC9" w:rsidRDefault="00506F3B" w:rsidP="00506F3B">
      <w:pPr>
        <w:pStyle w:val="CETBodytext"/>
      </w:pPr>
    </w:p>
    <w:p w14:paraId="727399DE" w14:textId="77777777" w:rsidR="00506F3B" w:rsidRPr="00203AC9" w:rsidRDefault="00506F3B" w:rsidP="00506F3B">
      <w:pPr>
        <w:pStyle w:val="CETBodytext"/>
      </w:pPr>
    </w:p>
    <w:p w14:paraId="57E2CFBC" w14:textId="77777777" w:rsidR="00506F3B" w:rsidRPr="00203AC9" w:rsidRDefault="00506F3B" w:rsidP="00506F3B">
      <w:pPr>
        <w:pStyle w:val="CETBodytext"/>
      </w:pPr>
    </w:p>
    <w:p w14:paraId="638094BD" w14:textId="2F19DAD0" w:rsidR="00AB648D" w:rsidRDefault="000F08B5" w:rsidP="007903AF">
      <w:pPr>
        <w:pStyle w:val="CETBodytext"/>
      </w:pPr>
      <w:r w:rsidRPr="000F08B5">
        <w:t>Since the main goal of organosolv treatment is to separate lignin</w:t>
      </w:r>
      <w:r w:rsidR="00BD4760">
        <w:t xml:space="preserve"> from cellulose, </w:t>
      </w:r>
      <w:r w:rsidR="00601496" w:rsidRPr="00601496">
        <w:t>preventing the degradation of the latter</w:t>
      </w:r>
      <w:r w:rsidRPr="000F08B5">
        <w:t xml:space="preserve">, it is necessary to verify </w:t>
      </w:r>
      <w:r>
        <w:t xml:space="preserve">in-deep </w:t>
      </w:r>
      <w:r w:rsidRPr="000F08B5">
        <w:t xml:space="preserve">what </w:t>
      </w:r>
      <w:r w:rsidR="00544789">
        <w:t xml:space="preserve">is the reason </w:t>
      </w:r>
      <w:r w:rsidR="00C5443F">
        <w:t>for</w:t>
      </w:r>
      <w:r w:rsidR="00544789">
        <w:t xml:space="preserve"> </w:t>
      </w:r>
      <w:r w:rsidRPr="000F08B5">
        <w:t xml:space="preserve">this </w:t>
      </w:r>
      <w:r w:rsidR="00506F3B" w:rsidRPr="000F08B5">
        <w:t>increa</w:t>
      </w:r>
      <w:r w:rsidR="00506F3B">
        <w:t>s</w:t>
      </w:r>
      <w:r w:rsidR="00C5443F">
        <w:t>e</w:t>
      </w:r>
      <w:r w:rsidR="00544789">
        <w:t xml:space="preserve"> </w:t>
      </w:r>
      <w:r w:rsidR="00506F3B">
        <w:t xml:space="preserve">in </w:t>
      </w:r>
      <w:r w:rsidR="00506F3B" w:rsidRPr="000F08B5">
        <w:t>degradation</w:t>
      </w:r>
      <w:r w:rsidRPr="000F08B5">
        <w:t xml:space="preserve"> obtained for more </w:t>
      </w:r>
      <w:r w:rsidR="00506F3B">
        <w:t>severe</w:t>
      </w:r>
      <w:r w:rsidRPr="000F08B5">
        <w:t xml:space="preserve"> treatments</w:t>
      </w:r>
      <w:r w:rsidR="00544789">
        <w:t>.</w:t>
      </w:r>
      <w:r w:rsidR="00506F3B">
        <w:t xml:space="preserve"> </w:t>
      </w:r>
      <w:r w:rsidR="009C7EB2" w:rsidRPr="009C7EB2">
        <w:t xml:space="preserve">In Table 4 are reported </w:t>
      </w:r>
      <w:r w:rsidR="00F93FA6">
        <w:t xml:space="preserve">the compositions of </w:t>
      </w:r>
      <w:r w:rsidR="009C7EB2" w:rsidRPr="009C7EB2">
        <w:t xml:space="preserve">the solid fraction coming from the organosolv process. It is possible to observe </w:t>
      </w:r>
      <w:r w:rsidR="001F1D3D">
        <w:t>that t</w:t>
      </w:r>
      <w:r w:rsidR="001F1D3D" w:rsidRPr="001F1D3D">
        <w:t>he</w:t>
      </w:r>
      <w:r w:rsidR="001F1D3D">
        <w:t xml:space="preserve"> lignin content </w:t>
      </w:r>
      <w:r w:rsidR="001F1D3D" w:rsidRPr="001F1D3D">
        <w:t>in the solid</w:t>
      </w:r>
      <w:r w:rsidR="00907F0F">
        <w:t xml:space="preserve"> decrease</w:t>
      </w:r>
      <w:r w:rsidR="00985F1B">
        <w:t>s</w:t>
      </w:r>
      <w:r w:rsidR="00907F0F">
        <w:t xml:space="preserve"> at </w:t>
      </w:r>
      <w:r w:rsidR="00C601A0">
        <w:t xml:space="preserve">constant temperature </w:t>
      </w:r>
      <w:r w:rsidR="00DB015A">
        <w:t>increasing</w:t>
      </w:r>
      <w:r w:rsidR="000B5061">
        <w:t xml:space="preserve"> the solid</w:t>
      </w:r>
      <w:r w:rsidR="00985F1B">
        <w:t>-to-</w:t>
      </w:r>
      <w:r w:rsidR="000B5061">
        <w:t xml:space="preserve">liquid ratio in both </w:t>
      </w:r>
      <w:r w:rsidR="00DB015A">
        <w:t>cases at different temperature</w:t>
      </w:r>
      <w:r w:rsidR="00985F1B">
        <w:t>s</w:t>
      </w:r>
      <w:r w:rsidR="00516564">
        <w:t xml:space="preserve"> and, in </w:t>
      </w:r>
      <w:r w:rsidR="004E2AF5">
        <w:t>the same way, decrease</w:t>
      </w:r>
      <w:r w:rsidR="00985F1B">
        <w:t>s</w:t>
      </w:r>
      <w:r w:rsidR="004E2AF5">
        <w:t xml:space="preserve"> at constant solid</w:t>
      </w:r>
      <w:r w:rsidR="00985F1B">
        <w:t>-to-</w:t>
      </w:r>
      <w:r w:rsidR="004E2AF5">
        <w:t xml:space="preserve">liquid ratio increasing the temperature. </w:t>
      </w:r>
      <w:r w:rsidR="00DC55AC">
        <w:t>This confirms that more severe organosolv treatment lead</w:t>
      </w:r>
      <w:r w:rsidR="001C0D67">
        <w:t xml:space="preserve">s </w:t>
      </w:r>
      <w:r w:rsidR="008E48BE">
        <w:t xml:space="preserve">to </w:t>
      </w:r>
      <w:r w:rsidR="001C0D67">
        <w:t>a higher de</w:t>
      </w:r>
      <w:r w:rsidR="00985F1B">
        <w:t>-</w:t>
      </w:r>
      <w:r w:rsidR="001C0D67">
        <w:t>lignification</w:t>
      </w:r>
      <w:r w:rsidR="00B13622">
        <w:t xml:space="preserve"> </w:t>
      </w:r>
      <w:r w:rsidR="001C1C2D">
        <w:t>due to</w:t>
      </w:r>
      <w:r w:rsidR="00B13622" w:rsidRPr="00B13622">
        <w:t xml:space="preserve"> </w:t>
      </w:r>
      <w:r w:rsidR="00816763">
        <w:t xml:space="preserve">a higher </w:t>
      </w:r>
      <w:r w:rsidR="00B13622" w:rsidRPr="00B13622">
        <w:t>hydrolytic cleavage of alpha aryl-ether links into fragments that are soluble in the solvent system</w:t>
      </w:r>
      <w:r w:rsidR="008E48BE">
        <w:t xml:space="preserve">, </w:t>
      </w:r>
      <w:r w:rsidR="008D46B6">
        <w:t>r</w:t>
      </w:r>
      <w:r w:rsidR="008D46B6" w:rsidRPr="008D46B6">
        <w:t xml:space="preserve">educing the lignin content itself </w:t>
      </w:r>
      <w:r w:rsidR="008D46B6">
        <w:t xml:space="preserve">up to </w:t>
      </w:r>
      <w:r w:rsidR="00930434">
        <w:t>about</w:t>
      </w:r>
      <w:r w:rsidR="008D46B6">
        <w:t xml:space="preserve"> </w:t>
      </w:r>
      <w:r w:rsidR="008D46B6" w:rsidRPr="008D46B6">
        <w:t>12</w:t>
      </w:r>
      <w:r w:rsidR="008D46B6">
        <w:t>%.</w:t>
      </w:r>
      <w:r w:rsidR="00E24FDD">
        <w:t xml:space="preserve"> </w:t>
      </w:r>
      <w:r w:rsidR="0035293F">
        <w:t>Regar</w:t>
      </w:r>
      <w:r w:rsidR="00BF0169">
        <w:t>ding cellulose</w:t>
      </w:r>
      <w:r w:rsidR="00985F1B">
        <w:t>,</w:t>
      </w:r>
      <w:r w:rsidR="00BF0169">
        <w:t xml:space="preserve"> it is possible to ob</w:t>
      </w:r>
      <w:r w:rsidR="002E3DD7">
        <w:t xml:space="preserve">serve similar trends that result in higher cellulose degradation at </w:t>
      </w:r>
      <w:r w:rsidR="00991CE0">
        <w:t>the most severe condition</w:t>
      </w:r>
      <w:r w:rsidR="00985F1B">
        <w:t>s</w:t>
      </w:r>
      <w:r w:rsidR="00991CE0">
        <w:t xml:space="preserve">. </w:t>
      </w:r>
      <w:r w:rsidR="009C793F">
        <w:t>H</w:t>
      </w:r>
      <w:r w:rsidR="00991CE0">
        <w:t>ow</w:t>
      </w:r>
      <w:r w:rsidR="009C793F">
        <w:t xml:space="preserve">ever, </w:t>
      </w:r>
      <w:r w:rsidR="009C793F" w:rsidRPr="009C793F">
        <w:t>it is important to not</w:t>
      </w:r>
      <w:r w:rsidR="009C793F">
        <w:t>ice</w:t>
      </w:r>
      <w:r w:rsidR="009C793F" w:rsidRPr="009C793F">
        <w:t xml:space="preserve"> that </w:t>
      </w:r>
      <w:r w:rsidR="000A5B37">
        <w:t>cellulose content slightly change</w:t>
      </w:r>
      <w:r w:rsidR="00985F1B">
        <w:t>s</w:t>
      </w:r>
      <w:r w:rsidR="000A5B37">
        <w:t xml:space="preserve"> </w:t>
      </w:r>
      <w:r w:rsidR="00E25A48" w:rsidRPr="00E25A48">
        <w:t xml:space="preserve">between cases considering, for example, that the highest value found (i.e., about 68%) has a larger standard deviation than the other values. </w:t>
      </w:r>
      <w:r w:rsidR="00C673B3">
        <w:t>F</w:t>
      </w:r>
      <w:r w:rsidR="00E25A48" w:rsidRPr="00E25A48">
        <w:t>or this reason</w:t>
      </w:r>
      <w:r w:rsidR="00985F1B">
        <w:t>,</w:t>
      </w:r>
      <w:r w:rsidR="00E25A48" w:rsidRPr="00E25A48">
        <w:t xml:space="preserve"> it is possible to </w:t>
      </w:r>
      <w:r w:rsidR="00C673B3">
        <w:t>affirm</w:t>
      </w:r>
      <w:r w:rsidR="00E25A48" w:rsidRPr="00E25A48">
        <w:t xml:space="preserve"> that this value may not differ much from the other values obtained. </w:t>
      </w:r>
      <w:r w:rsidR="00B05EDE">
        <w:t>Moreover</w:t>
      </w:r>
      <w:r w:rsidR="00D01D56">
        <w:t>, if the mean is considered, it is possible to highlight that the cellulose content in the</w:t>
      </w:r>
      <w:r w:rsidR="009C793F" w:rsidRPr="009C793F">
        <w:t xml:space="preserve"> solid residue slightly decreases</w:t>
      </w:r>
      <w:r w:rsidR="00B65001">
        <w:t xml:space="preserve">, </w:t>
      </w:r>
      <w:r w:rsidR="009C793F" w:rsidRPr="009C793F">
        <w:t xml:space="preserve">from </w:t>
      </w:r>
      <w:r w:rsidR="00B65001">
        <w:t>about</w:t>
      </w:r>
      <w:r w:rsidR="009C793F" w:rsidRPr="009C793F">
        <w:t xml:space="preserve"> 68% to 59%,</w:t>
      </w:r>
      <w:r w:rsidR="00B65001">
        <w:t xml:space="preserve"> compared to the higher </w:t>
      </w:r>
      <w:r w:rsidR="00B4798E">
        <w:t xml:space="preserve">decrease </w:t>
      </w:r>
      <w:r w:rsidR="009C793F" w:rsidRPr="009C793F">
        <w:t>of lignin</w:t>
      </w:r>
      <w:r w:rsidR="0066342A">
        <w:t xml:space="preserve"> content</w:t>
      </w:r>
      <w:r w:rsidR="009C793F" w:rsidRPr="009C793F">
        <w:t xml:space="preserve"> from </w:t>
      </w:r>
      <w:r w:rsidR="008805FE">
        <w:t>about</w:t>
      </w:r>
      <w:r w:rsidR="009C793F" w:rsidRPr="009C793F">
        <w:t xml:space="preserve"> 36% to </w:t>
      </w:r>
      <w:r w:rsidR="008805FE">
        <w:t>12</w:t>
      </w:r>
      <w:r w:rsidR="009C793F" w:rsidRPr="009C793F">
        <w:t>%.</w:t>
      </w:r>
      <w:r w:rsidR="0066342A">
        <w:t xml:space="preserve"> Therefore, </w:t>
      </w:r>
      <w:r w:rsidR="00F80276">
        <w:t>more severe</w:t>
      </w:r>
      <w:r w:rsidR="00F80276" w:rsidRPr="00F80276">
        <w:t xml:space="preserve"> treatment allowed lignin to be better separated from cellulose, limiting its degradation</w:t>
      </w:r>
      <w:r w:rsidR="00663DF8">
        <w:t xml:space="preserve"> for hydrolysis reaction</w:t>
      </w:r>
      <w:r w:rsidR="00F80276" w:rsidRPr="00F80276">
        <w:t>.</w:t>
      </w:r>
    </w:p>
    <w:p w14:paraId="56102802" w14:textId="0B9C5E95" w:rsidR="00410311" w:rsidRPr="00203AC9" w:rsidRDefault="009C7EB2" w:rsidP="00410311">
      <w:pPr>
        <w:pStyle w:val="CETTabletitle"/>
      </w:pPr>
      <w:bookmarkStart w:id="5" w:name="_Ref157000401"/>
      <w:r>
        <w:t>T</w:t>
      </w:r>
      <w:r w:rsidR="00410311" w:rsidRPr="00203AC9">
        <w:t xml:space="preserve">able </w:t>
      </w:r>
      <w:r w:rsidR="00410311" w:rsidRPr="00203AC9">
        <w:fldChar w:fldCharType="begin"/>
      </w:r>
      <w:r w:rsidR="00410311" w:rsidRPr="00203AC9">
        <w:instrText xml:space="preserve"> SEQ Table \* ARABIC </w:instrText>
      </w:r>
      <w:r w:rsidR="00410311" w:rsidRPr="00203AC9">
        <w:fldChar w:fldCharType="separate"/>
      </w:r>
      <w:r w:rsidR="00EB264F">
        <w:rPr>
          <w:noProof/>
        </w:rPr>
        <w:t>4</w:t>
      </w:r>
      <w:r w:rsidR="00410311" w:rsidRPr="00203AC9">
        <w:fldChar w:fldCharType="end"/>
      </w:r>
      <w:bookmarkEnd w:id="5"/>
      <w:r w:rsidR="00410311" w:rsidRPr="00203AC9">
        <w:t xml:space="preserve"> - </w:t>
      </w:r>
      <w:r w:rsidRPr="009C7EB2">
        <w:t xml:space="preserve">Solid composition after </w:t>
      </w:r>
      <w:proofErr w:type="spellStart"/>
      <w:r>
        <w:t>organosolv</w:t>
      </w:r>
      <w:proofErr w:type="spellEnd"/>
      <w:r w:rsidRPr="009C7EB2">
        <w:t xml:space="preserve"> treatment</w:t>
      </w:r>
      <w:r>
        <w:t>s</w:t>
      </w:r>
    </w:p>
    <w:tbl>
      <w:tblPr>
        <w:tblpPr w:leftFromText="141" w:rightFromText="141" w:vertAnchor="text" w:tblpY="1"/>
        <w:tblOverlap w:val="neve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694"/>
        <w:gridCol w:w="1275"/>
        <w:gridCol w:w="1275"/>
        <w:gridCol w:w="1275"/>
        <w:gridCol w:w="1275"/>
      </w:tblGrid>
      <w:tr w:rsidR="00410311" w:rsidRPr="00203AC9" w14:paraId="157DFE3E" w14:textId="77777777">
        <w:tc>
          <w:tcPr>
            <w:tcW w:w="2694" w:type="dxa"/>
            <w:vMerge w:val="restart"/>
            <w:tcBorders>
              <w:top w:val="single" w:sz="12" w:space="0" w:color="008000"/>
            </w:tcBorders>
            <w:shd w:val="clear" w:color="auto" w:fill="FFFFFF"/>
          </w:tcPr>
          <w:p w14:paraId="44DBA952" w14:textId="77777777" w:rsidR="00410311" w:rsidRPr="00203AC9" w:rsidRDefault="00410311">
            <w:pPr>
              <w:pStyle w:val="CETBodytext"/>
            </w:pPr>
            <w:r w:rsidRPr="00203AC9">
              <w:t xml:space="preserve">Compound </w:t>
            </w:r>
          </w:p>
        </w:tc>
        <w:tc>
          <w:tcPr>
            <w:tcW w:w="2550" w:type="dxa"/>
            <w:gridSpan w:val="2"/>
            <w:tcBorders>
              <w:top w:val="single" w:sz="12" w:space="0" w:color="008000"/>
              <w:bottom w:val="single" w:sz="4" w:space="0" w:color="008001"/>
            </w:tcBorders>
            <w:shd w:val="clear" w:color="auto" w:fill="FFFFFF"/>
          </w:tcPr>
          <w:p w14:paraId="39FB8B67" w14:textId="50D7C4E7" w:rsidR="00410311" w:rsidRPr="00203AC9" w:rsidRDefault="001C1851">
            <w:pPr>
              <w:pStyle w:val="CETBodytext"/>
            </w:pPr>
            <w:r w:rsidRPr="00203AC9">
              <w:t>Organosolv</w:t>
            </w:r>
            <w:r w:rsidR="00410311" w:rsidRPr="00203AC9">
              <w:t xml:space="preserve"> 180°C (%)</w:t>
            </w:r>
          </w:p>
        </w:tc>
        <w:tc>
          <w:tcPr>
            <w:tcW w:w="2550" w:type="dxa"/>
            <w:gridSpan w:val="2"/>
            <w:tcBorders>
              <w:top w:val="single" w:sz="12" w:space="0" w:color="008000"/>
              <w:bottom w:val="single" w:sz="4" w:space="0" w:color="008001"/>
            </w:tcBorders>
            <w:shd w:val="clear" w:color="auto" w:fill="FFFFFF"/>
          </w:tcPr>
          <w:p w14:paraId="021FB561" w14:textId="07F585BD" w:rsidR="00410311" w:rsidRPr="00203AC9" w:rsidRDefault="001C1851">
            <w:pPr>
              <w:pStyle w:val="CETBodytext"/>
            </w:pPr>
            <w:r w:rsidRPr="00203AC9">
              <w:t>Organosolv</w:t>
            </w:r>
            <w:r w:rsidR="00410311" w:rsidRPr="00203AC9">
              <w:t xml:space="preserve"> 200°C (%)</w:t>
            </w:r>
          </w:p>
        </w:tc>
      </w:tr>
      <w:tr w:rsidR="00410311" w:rsidRPr="00203AC9" w14:paraId="17CEE65A" w14:textId="77777777">
        <w:tc>
          <w:tcPr>
            <w:tcW w:w="2694" w:type="dxa"/>
            <w:vMerge/>
            <w:tcBorders>
              <w:bottom w:val="single" w:sz="6" w:space="0" w:color="008000"/>
            </w:tcBorders>
            <w:shd w:val="clear" w:color="auto" w:fill="FFFFFF"/>
          </w:tcPr>
          <w:p w14:paraId="1D8F4640" w14:textId="77777777" w:rsidR="00410311" w:rsidRPr="00203AC9" w:rsidRDefault="00410311">
            <w:pPr>
              <w:pStyle w:val="CETBodytext"/>
            </w:pPr>
          </w:p>
        </w:tc>
        <w:tc>
          <w:tcPr>
            <w:tcW w:w="1275" w:type="dxa"/>
            <w:tcBorders>
              <w:top w:val="single" w:sz="4" w:space="0" w:color="008001"/>
              <w:bottom w:val="single" w:sz="6" w:space="0" w:color="008000"/>
            </w:tcBorders>
            <w:shd w:val="clear" w:color="auto" w:fill="FFFFFF"/>
          </w:tcPr>
          <w:p w14:paraId="1C86D8CC" w14:textId="77777777" w:rsidR="00410311" w:rsidRPr="00203AC9" w:rsidRDefault="00410311">
            <w:pPr>
              <w:pStyle w:val="CETBodytext"/>
            </w:pPr>
            <w:r w:rsidRPr="00203AC9">
              <w:t>1:10</w:t>
            </w:r>
          </w:p>
        </w:tc>
        <w:tc>
          <w:tcPr>
            <w:tcW w:w="1275" w:type="dxa"/>
            <w:tcBorders>
              <w:top w:val="single" w:sz="4" w:space="0" w:color="008001"/>
              <w:bottom w:val="single" w:sz="6" w:space="0" w:color="008000"/>
            </w:tcBorders>
            <w:shd w:val="clear" w:color="auto" w:fill="FFFFFF"/>
          </w:tcPr>
          <w:p w14:paraId="7C37D1E3" w14:textId="77777777" w:rsidR="00410311" w:rsidRPr="00203AC9" w:rsidRDefault="00410311">
            <w:pPr>
              <w:pStyle w:val="CETBodytext"/>
            </w:pPr>
            <w:r w:rsidRPr="00203AC9">
              <w:t>1:20</w:t>
            </w:r>
          </w:p>
        </w:tc>
        <w:tc>
          <w:tcPr>
            <w:tcW w:w="1275" w:type="dxa"/>
            <w:tcBorders>
              <w:top w:val="single" w:sz="4" w:space="0" w:color="008001"/>
              <w:bottom w:val="single" w:sz="6" w:space="0" w:color="008000"/>
            </w:tcBorders>
            <w:shd w:val="clear" w:color="auto" w:fill="FFFFFF"/>
          </w:tcPr>
          <w:p w14:paraId="047BF21F" w14:textId="77777777" w:rsidR="00410311" w:rsidRPr="00203AC9" w:rsidRDefault="00410311">
            <w:pPr>
              <w:pStyle w:val="CETBodytext"/>
            </w:pPr>
            <w:r w:rsidRPr="00203AC9">
              <w:t>1:10</w:t>
            </w:r>
          </w:p>
        </w:tc>
        <w:tc>
          <w:tcPr>
            <w:tcW w:w="1275" w:type="dxa"/>
            <w:tcBorders>
              <w:top w:val="single" w:sz="4" w:space="0" w:color="008001"/>
              <w:bottom w:val="single" w:sz="6" w:space="0" w:color="008000"/>
            </w:tcBorders>
            <w:shd w:val="clear" w:color="auto" w:fill="FFFFFF"/>
          </w:tcPr>
          <w:p w14:paraId="22043E18" w14:textId="77777777" w:rsidR="00410311" w:rsidRPr="00203AC9" w:rsidRDefault="00410311">
            <w:pPr>
              <w:pStyle w:val="CETBodytext"/>
            </w:pPr>
            <w:r w:rsidRPr="00203AC9">
              <w:t>1:20</w:t>
            </w:r>
          </w:p>
        </w:tc>
      </w:tr>
      <w:tr w:rsidR="00410311" w:rsidRPr="00203AC9" w14:paraId="6A9618AD" w14:textId="77777777">
        <w:tc>
          <w:tcPr>
            <w:tcW w:w="2694" w:type="dxa"/>
            <w:shd w:val="clear" w:color="auto" w:fill="FFFFFF"/>
          </w:tcPr>
          <w:p w14:paraId="7767D70B" w14:textId="77777777" w:rsidR="00410311" w:rsidRPr="00203AC9" w:rsidRDefault="00410311">
            <w:pPr>
              <w:pStyle w:val="CETBodytext"/>
            </w:pPr>
            <w:r w:rsidRPr="00203AC9">
              <w:t xml:space="preserve">Acid insoluble lignin (% on </w:t>
            </w:r>
            <w:proofErr w:type="spellStart"/>
            <w:r w:rsidRPr="00203AC9">
              <w:t>dw</w:t>
            </w:r>
            <w:proofErr w:type="spellEnd"/>
            <w:r w:rsidRPr="00203AC9">
              <w:t>)</w:t>
            </w:r>
          </w:p>
        </w:tc>
        <w:tc>
          <w:tcPr>
            <w:tcW w:w="1275" w:type="dxa"/>
            <w:shd w:val="clear" w:color="auto" w:fill="FFFFFF"/>
            <w:vAlign w:val="center"/>
          </w:tcPr>
          <w:p w14:paraId="65B1C4B8" w14:textId="30861E78" w:rsidR="00410311" w:rsidRPr="00203AC9" w:rsidRDefault="00410311">
            <w:pPr>
              <w:pStyle w:val="CETBodytextItalic"/>
              <w:rPr>
                <w:i w:val="0"/>
                <w:lang w:val="en-US"/>
              </w:rPr>
            </w:pPr>
            <w:r w:rsidRPr="00203AC9">
              <w:rPr>
                <w:i w:val="0"/>
                <w:lang w:val="en-US"/>
              </w:rPr>
              <w:t>35</w:t>
            </w:r>
            <w:r w:rsidR="006851F1" w:rsidRPr="00203AC9">
              <w:rPr>
                <w:i w:val="0"/>
                <w:lang w:val="en-US"/>
              </w:rPr>
              <w:t>.</w:t>
            </w:r>
            <w:r w:rsidRPr="00203AC9">
              <w:rPr>
                <w:i w:val="0"/>
                <w:lang w:val="en-US"/>
              </w:rPr>
              <w:t xml:space="preserve">69 </w:t>
            </w:r>
            <w:r w:rsidRPr="00203AC9">
              <w:rPr>
                <w:i w:val="0"/>
                <w:lang w:val="en-US"/>
              </w:rPr>
              <w:sym w:font="Symbol" w:char="F0B1"/>
            </w:r>
            <w:r w:rsidRPr="00203AC9">
              <w:rPr>
                <w:i w:val="0"/>
                <w:lang w:val="en-US"/>
              </w:rPr>
              <w:t xml:space="preserve"> 1</w:t>
            </w:r>
            <w:r w:rsidR="006851F1" w:rsidRPr="00203AC9">
              <w:rPr>
                <w:i w:val="0"/>
                <w:lang w:val="en-US"/>
              </w:rPr>
              <w:t>.</w:t>
            </w:r>
            <w:r w:rsidRPr="00203AC9">
              <w:rPr>
                <w:i w:val="0"/>
                <w:lang w:val="en-US"/>
              </w:rPr>
              <w:t>13</w:t>
            </w:r>
          </w:p>
        </w:tc>
        <w:tc>
          <w:tcPr>
            <w:tcW w:w="1275" w:type="dxa"/>
            <w:shd w:val="clear" w:color="auto" w:fill="FFFFFF"/>
            <w:vAlign w:val="center"/>
          </w:tcPr>
          <w:p w14:paraId="6FD4AD1E" w14:textId="20DC0945" w:rsidR="00410311" w:rsidRPr="00203AC9" w:rsidRDefault="00410311">
            <w:pPr>
              <w:pStyle w:val="CETBodytextItalic"/>
              <w:rPr>
                <w:i w:val="0"/>
                <w:lang w:val="en-US"/>
              </w:rPr>
            </w:pPr>
            <w:r w:rsidRPr="00203AC9">
              <w:rPr>
                <w:i w:val="0"/>
                <w:lang w:val="en-US"/>
              </w:rPr>
              <w:t>20</w:t>
            </w:r>
            <w:r w:rsidR="006851F1" w:rsidRPr="00203AC9">
              <w:rPr>
                <w:i w:val="0"/>
                <w:lang w:val="en-US"/>
              </w:rPr>
              <w:t>.</w:t>
            </w:r>
            <w:r w:rsidRPr="00203AC9">
              <w:rPr>
                <w:i w:val="0"/>
                <w:lang w:val="en-US"/>
              </w:rPr>
              <w:t xml:space="preserve">68 </w:t>
            </w:r>
            <w:r w:rsidRPr="00203AC9">
              <w:rPr>
                <w:i w:val="0"/>
                <w:lang w:val="en-US"/>
              </w:rPr>
              <w:sym w:font="Symbol" w:char="F0B1"/>
            </w:r>
            <w:r w:rsidRPr="00203AC9">
              <w:rPr>
                <w:i w:val="0"/>
                <w:lang w:val="en-US"/>
              </w:rPr>
              <w:t xml:space="preserve"> 0</w:t>
            </w:r>
            <w:r w:rsidR="006851F1" w:rsidRPr="00203AC9">
              <w:rPr>
                <w:i w:val="0"/>
                <w:lang w:val="en-US"/>
              </w:rPr>
              <w:t>.</w:t>
            </w:r>
            <w:r w:rsidRPr="00203AC9">
              <w:rPr>
                <w:i w:val="0"/>
                <w:lang w:val="en-US"/>
              </w:rPr>
              <w:t>40</w:t>
            </w:r>
          </w:p>
        </w:tc>
        <w:tc>
          <w:tcPr>
            <w:tcW w:w="1275" w:type="dxa"/>
            <w:shd w:val="clear" w:color="auto" w:fill="FFFFFF"/>
            <w:vAlign w:val="center"/>
          </w:tcPr>
          <w:p w14:paraId="4D0255C7" w14:textId="37F03C0B" w:rsidR="00410311" w:rsidRPr="00203AC9" w:rsidRDefault="00410311">
            <w:pPr>
              <w:pStyle w:val="CETBodytextItalic"/>
              <w:rPr>
                <w:i w:val="0"/>
                <w:lang w:val="en-US"/>
              </w:rPr>
            </w:pPr>
            <w:r w:rsidRPr="00203AC9">
              <w:rPr>
                <w:i w:val="0"/>
                <w:lang w:val="en-US"/>
              </w:rPr>
              <w:t>35</w:t>
            </w:r>
            <w:r w:rsidR="006851F1" w:rsidRPr="00203AC9">
              <w:rPr>
                <w:i w:val="0"/>
                <w:lang w:val="en-US"/>
              </w:rPr>
              <w:t>.</w:t>
            </w:r>
            <w:r w:rsidRPr="00203AC9">
              <w:rPr>
                <w:i w:val="0"/>
                <w:lang w:val="en-US"/>
              </w:rPr>
              <w:t xml:space="preserve">20 </w:t>
            </w:r>
            <w:r w:rsidRPr="00203AC9">
              <w:rPr>
                <w:i w:val="0"/>
                <w:lang w:val="en-US"/>
              </w:rPr>
              <w:sym w:font="Symbol" w:char="F0B1"/>
            </w:r>
            <w:r w:rsidRPr="00203AC9">
              <w:rPr>
                <w:i w:val="0"/>
                <w:lang w:val="en-US"/>
              </w:rPr>
              <w:t xml:space="preserve"> 2</w:t>
            </w:r>
            <w:r w:rsidR="006851F1" w:rsidRPr="00203AC9">
              <w:rPr>
                <w:i w:val="0"/>
                <w:lang w:val="en-US"/>
              </w:rPr>
              <w:t>.</w:t>
            </w:r>
            <w:r w:rsidRPr="00203AC9">
              <w:rPr>
                <w:i w:val="0"/>
                <w:lang w:val="en-US"/>
              </w:rPr>
              <w:t>41</w:t>
            </w:r>
          </w:p>
        </w:tc>
        <w:tc>
          <w:tcPr>
            <w:tcW w:w="1275" w:type="dxa"/>
            <w:shd w:val="clear" w:color="auto" w:fill="FFFFFF"/>
            <w:vAlign w:val="center"/>
          </w:tcPr>
          <w:p w14:paraId="6DA19320" w14:textId="0AF708D0" w:rsidR="00410311" w:rsidRPr="00203AC9" w:rsidRDefault="00410311">
            <w:pPr>
              <w:pStyle w:val="CETBodytextItalic"/>
              <w:rPr>
                <w:i w:val="0"/>
                <w:lang w:val="en-US"/>
              </w:rPr>
            </w:pPr>
            <w:r w:rsidRPr="00203AC9">
              <w:rPr>
                <w:i w:val="0"/>
                <w:lang w:val="en-US"/>
              </w:rPr>
              <w:t>12</w:t>
            </w:r>
            <w:r w:rsidR="006851F1" w:rsidRPr="00203AC9">
              <w:rPr>
                <w:i w:val="0"/>
                <w:lang w:val="en-US"/>
              </w:rPr>
              <w:t>.</w:t>
            </w:r>
            <w:r w:rsidRPr="00203AC9">
              <w:rPr>
                <w:i w:val="0"/>
                <w:lang w:val="en-US"/>
              </w:rPr>
              <w:t xml:space="preserve">15 </w:t>
            </w:r>
            <w:r w:rsidRPr="00203AC9">
              <w:rPr>
                <w:i w:val="0"/>
                <w:lang w:val="en-US"/>
              </w:rPr>
              <w:sym w:font="Symbol" w:char="F0B1"/>
            </w:r>
            <w:r w:rsidRPr="00203AC9">
              <w:rPr>
                <w:i w:val="0"/>
                <w:lang w:val="en-US"/>
              </w:rPr>
              <w:t xml:space="preserve"> 0</w:t>
            </w:r>
            <w:r w:rsidR="006851F1" w:rsidRPr="00203AC9">
              <w:rPr>
                <w:i w:val="0"/>
                <w:lang w:val="en-US"/>
              </w:rPr>
              <w:t>.</w:t>
            </w:r>
            <w:r w:rsidRPr="00203AC9">
              <w:rPr>
                <w:i w:val="0"/>
                <w:lang w:val="en-US"/>
              </w:rPr>
              <w:t>15</w:t>
            </w:r>
          </w:p>
        </w:tc>
      </w:tr>
      <w:tr w:rsidR="00410311" w:rsidRPr="00203AC9" w14:paraId="2AA4490B" w14:textId="77777777">
        <w:tc>
          <w:tcPr>
            <w:tcW w:w="2694" w:type="dxa"/>
            <w:shd w:val="clear" w:color="auto" w:fill="FFFFFF"/>
          </w:tcPr>
          <w:p w14:paraId="1B3D8DD3" w14:textId="77777777" w:rsidR="00410311" w:rsidRPr="00203AC9" w:rsidRDefault="00410311">
            <w:pPr>
              <w:pStyle w:val="CETBodytext"/>
            </w:pPr>
            <w:r w:rsidRPr="00203AC9">
              <w:t xml:space="preserve">Acid soluble lignin (% on </w:t>
            </w:r>
            <w:proofErr w:type="spellStart"/>
            <w:r w:rsidRPr="00203AC9">
              <w:t>dw</w:t>
            </w:r>
            <w:proofErr w:type="spellEnd"/>
            <w:r w:rsidRPr="00203AC9">
              <w:t>)</w:t>
            </w:r>
          </w:p>
        </w:tc>
        <w:tc>
          <w:tcPr>
            <w:tcW w:w="1275" w:type="dxa"/>
            <w:shd w:val="clear" w:color="auto" w:fill="FFFFFF"/>
            <w:vAlign w:val="center"/>
          </w:tcPr>
          <w:p w14:paraId="23769D7D" w14:textId="33449DA9" w:rsidR="00410311" w:rsidRPr="00203AC9" w:rsidRDefault="00410311">
            <w:pPr>
              <w:pStyle w:val="CETBodytextItalic"/>
              <w:rPr>
                <w:i w:val="0"/>
                <w:lang w:val="en-US"/>
              </w:rPr>
            </w:pPr>
            <w:r w:rsidRPr="00203AC9">
              <w:rPr>
                <w:i w:val="0"/>
                <w:lang w:val="en-US"/>
              </w:rPr>
              <w:t>0</w:t>
            </w:r>
            <w:r w:rsidR="006851F1" w:rsidRPr="00203AC9">
              <w:rPr>
                <w:i w:val="0"/>
                <w:lang w:val="en-US"/>
              </w:rPr>
              <w:t>.</w:t>
            </w:r>
            <w:r w:rsidRPr="00203AC9">
              <w:rPr>
                <w:i w:val="0"/>
                <w:lang w:val="en-US"/>
              </w:rPr>
              <w:t xml:space="preserve">75 </w:t>
            </w:r>
            <w:r w:rsidRPr="00203AC9">
              <w:rPr>
                <w:i w:val="0"/>
                <w:lang w:val="en-US"/>
              </w:rPr>
              <w:sym w:font="Symbol" w:char="F0B1"/>
            </w:r>
            <w:r w:rsidRPr="00203AC9">
              <w:rPr>
                <w:i w:val="0"/>
                <w:lang w:val="en-US"/>
              </w:rPr>
              <w:t xml:space="preserve"> 0</w:t>
            </w:r>
            <w:r w:rsidR="006851F1" w:rsidRPr="00203AC9">
              <w:rPr>
                <w:i w:val="0"/>
                <w:lang w:val="en-US"/>
              </w:rPr>
              <w:t>.</w:t>
            </w:r>
            <w:r w:rsidRPr="00203AC9">
              <w:rPr>
                <w:i w:val="0"/>
                <w:lang w:val="en-US"/>
              </w:rPr>
              <w:t>03</w:t>
            </w:r>
          </w:p>
        </w:tc>
        <w:tc>
          <w:tcPr>
            <w:tcW w:w="1275" w:type="dxa"/>
            <w:shd w:val="clear" w:color="auto" w:fill="FFFFFF"/>
            <w:vAlign w:val="center"/>
          </w:tcPr>
          <w:p w14:paraId="188482FA" w14:textId="5D7DBB45" w:rsidR="00410311" w:rsidRPr="00203AC9" w:rsidRDefault="00410311">
            <w:pPr>
              <w:pStyle w:val="CETBodytextItalic"/>
              <w:rPr>
                <w:i w:val="0"/>
                <w:lang w:val="en-US"/>
              </w:rPr>
            </w:pPr>
            <w:r w:rsidRPr="00203AC9">
              <w:rPr>
                <w:i w:val="0"/>
                <w:lang w:val="en-US"/>
              </w:rPr>
              <w:t>0</w:t>
            </w:r>
            <w:r w:rsidR="006851F1" w:rsidRPr="00203AC9">
              <w:rPr>
                <w:i w:val="0"/>
                <w:lang w:val="en-US"/>
              </w:rPr>
              <w:t>.</w:t>
            </w:r>
            <w:r w:rsidRPr="00203AC9">
              <w:rPr>
                <w:i w:val="0"/>
                <w:lang w:val="en-US"/>
              </w:rPr>
              <w:t xml:space="preserve">92 </w:t>
            </w:r>
            <w:r w:rsidRPr="00203AC9">
              <w:rPr>
                <w:i w:val="0"/>
                <w:lang w:val="en-US"/>
              </w:rPr>
              <w:sym w:font="Symbol" w:char="F0B1"/>
            </w:r>
            <w:r w:rsidRPr="00203AC9">
              <w:rPr>
                <w:i w:val="0"/>
                <w:lang w:val="en-US"/>
              </w:rPr>
              <w:t xml:space="preserve"> 0</w:t>
            </w:r>
            <w:r w:rsidR="006851F1" w:rsidRPr="00203AC9">
              <w:rPr>
                <w:i w:val="0"/>
                <w:lang w:val="en-US"/>
              </w:rPr>
              <w:t>.</w:t>
            </w:r>
            <w:r w:rsidRPr="00203AC9">
              <w:rPr>
                <w:i w:val="0"/>
                <w:lang w:val="en-US"/>
              </w:rPr>
              <w:t>03</w:t>
            </w:r>
          </w:p>
        </w:tc>
        <w:tc>
          <w:tcPr>
            <w:tcW w:w="1275" w:type="dxa"/>
            <w:shd w:val="clear" w:color="auto" w:fill="FFFFFF"/>
            <w:vAlign w:val="center"/>
          </w:tcPr>
          <w:p w14:paraId="2EA17DFF" w14:textId="1129CFD3" w:rsidR="00410311" w:rsidRPr="00203AC9" w:rsidRDefault="00410311">
            <w:pPr>
              <w:pStyle w:val="CETBodytextItalic"/>
              <w:rPr>
                <w:i w:val="0"/>
                <w:lang w:val="en-US"/>
              </w:rPr>
            </w:pPr>
            <w:r w:rsidRPr="00203AC9">
              <w:rPr>
                <w:i w:val="0"/>
                <w:lang w:val="en-US"/>
              </w:rPr>
              <w:t>0</w:t>
            </w:r>
            <w:r w:rsidR="006851F1" w:rsidRPr="00203AC9">
              <w:rPr>
                <w:i w:val="0"/>
                <w:lang w:val="en-US"/>
              </w:rPr>
              <w:t>.</w:t>
            </w:r>
            <w:r w:rsidRPr="00203AC9">
              <w:rPr>
                <w:i w:val="0"/>
                <w:lang w:val="en-US"/>
              </w:rPr>
              <w:t xml:space="preserve">77 </w:t>
            </w:r>
            <w:r w:rsidRPr="00203AC9">
              <w:rPr>
                <w:i w:val="0"/>
                <w:lang w:val="en-US"/>
              </w:rPr>
              <w:sym w:font="Symbol" w:char="F0B1"/>
            </w:r>
            <w:r w:rsidRPr="00203AC9">
              <w:rPr>
                <w:i w:val="0"/>
                <w:lang w:val="en-US"/>
              </w:rPr>
              <w:t xml:space="preserve"> 0</w:t>
            </w:r>
            <w:r w:rsidR="006851F1" w:rsidRPr="00203AC9">
              <w:rPr>
                <w:i w:val="0"/>
                <w:lang w:val="en-US"/>
              </w:rPr>
              <w:t>.</w:t>
            </w:r>
            <w:r w:rsidRPr="00203AC9">
              <w:rPr>
                <w:i w:val="0"/>
                <w:lang w:val="en-US"/>
              </w:rPr>
              <w:t>02</w:t>
            </w:r>
          </w:p>
        </w:tc>
        <w:tc>
          <w:tcPr>
            <w:tcW w:w="1275" w:type="dxa"/>
            <w:shd w:val="clear" w:color="auto" w:fill="FFFFFF"/>
            <w:vAlign w:val="center"/>
          </w:tcPr>
          <w:p w14:paraId="046B7CED" w14:textId="67E63144" w:rsidR="00410311" w:rsidRPr="00203AC9" w:rsidRDefault="00410311">
            <w:pPr>
              <w:pStyle w:val="CETBodytextItalic"/>
              <w:rPr>
                <w:i w:val="0"/>
                <w:lang w:val="en-US"/>
              </w:rPr>
            </w:pPr>
            <w:r w:rsidRPr="00203AC9">
              <w:rPr>
                <w:i w:val="0"/>
                <w:lang w:val="en-US"/>
              </w:rPr>
              <w:t>1</w:t>
            </w:r>
            <w:r w:rsidR="006851F1" w:rsidRPr="00203AC9">
              <w:rPr>
                <w:i w:val="0"/>
                <w:lang w:val="en-US"/>
              </w:rPr>
              <w:t>.</w:t>
            </w:r>
            <w:r w:rsidRPr="00203AC9">
              <w:rPr>
                <w:i w:val="0"/>
                <w:lang w:val="en-US"/>
              </w:rPr>
              <w:t xml:space="preserve">79 </w:t>
            </w:r>
            <w:r w:rsidRPr="00203AC9">
              <w:rPr>
                <w:i w:val="0"/>
                <w:lang w:val="en-US"/>
              </w:rPr>
              <w:sym w:font="Symbol" w:char="F0B1"/>
            </w:r>
            <w:r w:rsidRPr="00203AC9">
              <w:rPr>
                <w:i w:val="0"/>
                <w:lang w:val="en-US"/>
              </w:rPr>
              <w:t xml:space="preserve"> 0</w:t>
            </w:r>
            <w:r w:rsidR="006851F1" w:rsidRPr="00203AC9">
              <w:rPr>
                <w:i w:val="0"/>
                <w:lang w:val="en-US"/>
              </w:rPr>
              <w:t>.</w:t>
            </w:r>
            <w:r w:rsidRPr="00203AC9">
              <w:rPr>
                <w:i w:val="0"/>
                <w:lang w:val="en-US"/>
              </w:rPr>
              <w:t>17</w:t>
            </w:r>
          </w:p>
        </w:tc>
      </w:tr>
      <w:tr w:rsidR="00410311" w:rsidRPr="00203AC9" w14:paraId="250EDCF4" w14:textId="77777777">
        <w:tc>
          <w:tcPr>
            <w:tcW w:w="2694" w:type="dxa"/>
            <w:shd w:val="clear" w:color="auto" w:fill="FFFFFF"/>
          </w:tcPr>
          <w:p w14:paraId="7B9306A1" w14:textId="77777777" w:rsidR="00410311" w:rsidRPr="00203AC9" w:rsidRDefault="00410311">
            <w:pPr>
              <w:pStyle w:val="CETBodytext"/>
            </w:pPr>
            <w:r w:rsidRPr="00203AC9">
              <w:t xml:space="preserve">Hemicellulose (% on </w:t>
            </w:r>
            <w:proofErr w:type="spellStart"/>
            <w:r w:rsidRPr="00203AC9">
              <w:t>dw</w:t>
            </w:r>
            <w:proofErr w:type="spellEnd"/>
            <w:r w:rsidRPr="00203AC9">
              <w:t>)</w:t>
            </w:r>
          </w:p>
        </w:tc>
        <w:tc>
          <w:tcPr>
            <w:tcW w:w="1275" w:type="dxa"/>
            <w:shd w:val="clear" w:color="auto" w:fill="FFFFFF"/>
            <w:vAlign w:val="center"/>
          </w:tcPr>
          <w:p w14:paraId="5272544F" w14:textId="11B54F25" w:rsidR="00410311" w:rsidRPr="00203AC9" w:rsidRDefault="00410311">
            <w:pPr>
              <w:pStyle w:val="CETBodytextItalic"/>
              <w:rPr>
                <w:i w:val="0"/>
                <w:lang w:val="en-US"/>
              </w:rPr>
            </w:pPr>
            <w:r w:rsidRPr="00203AC9">
              <w:rPr>
                <w:i w:val="0"/>
                <w:lang w:val="en-US"/>
              </w:rPr>
              <w:t>2</w:t>
            </w:r>
            <w:r w:rsidR="006851F1" w:rsidRPr="00203AC9">
              <w:rPr>
                <w:i w:val="0"/>
                <w:lang w:val="en-US"/>
              </w:rPr>
              <w:t>.</w:t>
            </w:r>
            <w:r w:rsidRPr="00203AC9">
              <w:rPr>
                <w:i w:val="0"/>
                <w:lang w:val="en-US"/>
              </w:rPr>
              <w:t xml:space="preserve">05 </w:t>
            </w:r>
            <w:r w:rsidRPr="00203AC9">
              <w:rPr>
                <w:i w:val="0"/>
                <w:lang w:val="en-US"/>
              </w:rPr>
              <w:sym w:font="Symbol" w:char="F0B1"/>
            </w:r>
            <w:r w:rsidRPr="00203AC9">
              <w:rPr>
                <w:i w:val="0"/>
                <w:lang w:val="en-US"/>
              </w:rPr>
              <w:t xml:space="preserve"> 0</w:t>
            </w:r>
            <w:r w:rsidR="006851F1" w:rsidRPr="00203AC9">
              <w:rPr>
                <w:i w:val="0"/>
                <w:lang w:val="en-US"/>
              </w:rPr>
              <w:t>.</w:t>
            </w:r>
            <w:r w:rsidRPr="00203AC9">
              <w:rPr>
                <w:i w:val="0"/>
                <w:lang w:val="en-US"/>
              </w:rPr>
              <w:t>07</w:t>
            </w:r>
          </w:p>
        </w:tc>
        <w:tc>
          <w:tcPr>
            <w:tcW w:w="1275" w:type="dxa"/>
            <w:shd w:val="clear" w:color="auto" w:fill="FFFFFF"/>
            <w:vAlign w:val="center"/>
          </w:tcPr>
          <w:p w14:paraId="07194447" w14:textId="6FD20FE1" w:rsidR="00410311" w:rsidRPr="00203AC9" w:rsidRDefault="00410311">
            <w:pPr>
              <w:pStyle w:val="CETBodytextItalic"/>
              <w:rPr>
                <w:i w:val="0"/>
                <w:lang w:val="en-US"/>
              </w:rPr>
            </w:pPr>
            <w:r w:rsidRPr="00203AC9">
              <w:rPr>
                <w:i w:val="0"/>
                <w:lang w:val="en-US"/>
              </w:rPr>
              <w:t>1</w:t>
            </w:r>
            <w:r w:rsidR="006851F1" w:rsidRPr="00203AC9">
              <w:rPr>
                <w:i w:val="0"/>
                <w:lang w:val="en-US"/>
              </w:rPr>
              <w:t>.</w:t>
            </w:r>
            <w:r w:rsidRPr="00203AC9">
              <w:rPr>
                <w:i w:val="0"/>
                <w:lang w:val="en-US"/>
              </w:rPr>
              <w:t xml:space="preserve">35 </w:t>
            </w:r>
            <w:r w:rsidRPr="00203AC9">
              <w:rPr>
                <w:i w:val="0"/>
                <w:lang w:val="en-US"/>
              </w:rPr>
              <w:sym w:font="Symbol" w:char="F0B1"/>
            </w:r>
            <w:r w:rsidRPr="00203AC9">
              <w:rPr>
                <w:i w:val="0"/>
                <w:lang w:val="en-US"/>
              </w:rPr>
              <w:t xml:space="preserve"> 0</w:t>
            </w:r>
            <w:r w:rsidR="006851F1" w:rsidRPr="00203AC9">
              <w:rPr>
                <w:i w:val="0"/>
                <w:lang w:val="en-US"/>
              </w:rPr>
              <w:t>.</w:t>
            </w:r>
            <w:r w:rsidRPr="00203AC9">
              <w:rPr>
                <w:i w:val="0"/>
                <w:lang w:val="en-US"/>
              </w:rPr>
              <w:t>05</w:t>
            </w:r>
          </w:p>
        </w:tc>
        <w:tc>
          <w:tcPr>
            <w:tcW w:w="1275" w:type="dxa"/>
            <w:shd w:val="clear" w:color="auto" w:fill="FFFFFF"/>
            <w:vAlign w:val="center"/>
          </w:tcPr>
          <w:p w14:paraId="6F5D08A5" w14:textId="08BA4F7B" w:rsidR="00410311" w:rsidRPr="00203AC9" w:rsidRDefault="00410311">
            <w:pPr>
              <w:pStyle w:val="CETBodytextItalic"/>
              <w:rPr>
                <w:i w:val="0"/>
                <w:lang w:val="en-US"/>
              </w:rPr>
            </w:pPr>
            <w:r w:rsidRPr="00203AC9">
              <w:rPr>
                <w:i w:val="0"/>
                <w:lang w:val="en-US"/>
              </w:rPr>
              <w:t>1</w:t>
            </w:r>
            <w:r w:rsidR="006851F1" w:rsidRPr="00203AC9">
              <w:rPr>
                <w:i w:val="0"/>
                <w:lang w:val="en-US"/>
              </w:rPr>
              <w:t>.</w:t>
            </w:r>
            <w:r w:rsidRPr="00203AC9">
              <w:rPr>
                <w:i w:val="0"/>
                <w:lang w:val="en-US"/>
              </w:rPr>
              <w:t xml:space="preserve">74 </w:t>
            </w:r>
            <w:r w:rsidRPr="00203AC9">
              <w:rPr>
                <w:i w:val="0"/>
                <w:lang w:val="en-US"/>
              </w:rPr>
              <w:sym w:font="Symbol" w:char="F0B1"/>
            </w:r>
            <w:r w:rsidRPr="00203AC9">
              <w:rPr>
                <w:i w:val="0"/>
                <w:lang w:val="en-US"/>
              </w:rPr>
              <w:t xml:space="preserve"> 0</w:t>
            </w:r>
            <w:r w:rsidR="006851F1" w:rsidRPr="00203AC9">
              <w:rPr>
                <w:i w:val="0"/>
                <w:lang w:val="en-US"/>
              </w:rPr>
              <w:t>.</w:t>
            </w:r>
            <w:r w:rsidRPr="00203AC9">
              <w:rPr>
                <w:i w:val="0"/>
                <w:lang w:val="en-US"/>
              </w:rPr>
              <w:t>03</w:t>
            </w:r>
          </w:p>
        </w:tc>
        <w:tc>
          <w:tcPr>
            <w:tcW w:w="1275" w:type="dxa"/>
            <w:shd w:val="clear" w:color="auto" w:fill="FFFFFF"/>
            <w:vAlign w:val="center"/>
          </w:tcPr>
          <w:p w14:paraId="5F218C43" w14:textId="16F81245" w:rsidR="00410311" w:rsidRPr="00203AC9" w:rsidRDefault="00410311">
            <w:pPr>
              <w:pStyle w:val="CETBodytextItalic"/>
              <w:rPr>
                <w:i w:val="0"/>
                <w:lang w:val="en-US"/>
              </w:rPr>
            </w:pPr>
            <w:r w:rsidRPr="00203AC9">
              <w:rPr>
                <w:i w:val="0"/>
                <w:lang w:val="en-US"/>
              </w:rPr>
              <w:t>1</w:t>
            </w:r>
            <w:r w:rsidR="006851F1" w:rsidRPr="00203AC9">
              <w:rPr>
                <w:i w:val="0"/>
                <w:lang w:val="en-US"/>
              </w:rPr>
              <w:t>.</w:t>
            </w:r>
            <w:r w:rsidRPr="00203AC9">
              <w:rPr>
                <w:i w:val="0"/>
                <w:lang w:val="en-US"/>
              </w:rPr>
              <w:t xml:space="preserve">15 </w:t>
            </w:r>
            <w:r w:rsidRPr="00203AC9">
              <w:rPr>
                <w:i w:val="0"/>
                <w:lang w:val="en-US"/>
              </w:rPr>
              <w:sym w:font="Symbol" w:char="F0B1"/>
            </w:r>
            <w:r w:rsidRPr="00203AC9">
              <w:rPr>
                <w:i w:val="0"/>
                <w:lang w:val="en-US"/>
              </w:rPr>
              <w:t xml:space="preserve"> 0</w:t>
            </w:r>
            <w:r w:rsidR="006851F1" w:rsidRPr="00203AC9">
              <w:rPr>
                <w:i w:val="0"/>
                <w:lang w:val="en-US"/>
              </w:rPr>
              <w:t>.</w:t>
            </w:r>
            <w:r w:rsidRPr="00203AC9">
              <w:rPr>
                <w:i w:val="0"/>
                <w:lang w:val="en-US"/>
              </w:rPr>
              <w:t>11</w:t>
            </w:r>
          </w:p>
        </w:tc>
      </w:tr>
      <w:tr w:rsidR="00410311" w:rsidRPr="00203AC9" w14:paraId="656F680C" w14:textId="77777777">
        <w:tc>
          <w:tcPr>
            <w:tcW w:w="2694" w:type="dxa"/>
            <w:shd w:val="clear" w:color="auto" w:fill="FFFFFF"/>
          </w:tcPr>
          <w:p w14:paraId="463F44B9" w14:textId="77777777" w:rsidR="00410311" w:rsidRPr="00203AC9" w:rsidRDefault="00410311">
            <w:pPr>
              <w:pStyle w:val="CETBodytext"/>
            </w:pPr>
            <w:r w:rsidRPr="00203AC9">
              <w:t xml:space="preserve">Cellulose (% on </w:t>
            </w:r>
            <w:proofErr w:type="spellStart"/>
            <w:r w:rsidRPr="00203AC9">
              <w:t>dw</w:t>
            </w:r>
            <w:proofErr w:type="spellEnd"/>
            <w:r w:rsidRPr="00203AC9">
              <w:t>)</w:t>
            </w:r>
          </w:p>
        </w:tc>
        <w:tc>
          <w:tcPr>
            <w:tcW w:w="1275" w:type="dxa"/>
            <w:shd w:val="clear" w:color="auto" w:fill="FFFFFF"/>
            <w:vAlign w:val="center"/>
          </w:tcPr>
          <w:p w14:paraId="043C3D02" w14:textId="04026B4E" w:rsidR="00410311" w:rsidRPr="00203AC9" w:rsidRDefault="00410311">
            <w:pPr>
              <w:pStyle w:val="CETBodytextItalic"/>
              <w:rPr>
                <w:i w:val="0"/>
                <w:lang w:val="en-US"/>
              </w:rPr>
            </w:pPr>
            <w:r w:rsidRPr="00203AC9">
              <w:rPr>
                <w:i w:val="0"/>
                <w:lang w:val="en-US"/>
              </w:rPr>
              <w:t>61</w:t>
            </w:r>
            <w:r w:rsidR="006851F1" w:rsidRPr="00203AC9">
              <w:rPr>
                <w:i w:val="0"/>
                <w:lang w:val="en-US"/>
              </w:rPr>
              <w:t>.</w:t>
            </w:r>
            <w:r w:rsidRPr="00203AC9">
              <w:rPr>
                <w:i w:val="0"/>
                <w:lang w:val="en-US"/>
              </w:rPr>
              <w:t xml:space="preserve">41 </w:t>
            </w:r>
            <w:r w:rsidRPr="00203AC9">
              <w:rPr>
                <w:i w:val="0"/>
                <w:lang w:val="en-US"/>
              </w:rPr>
              <w:sym w:font="Symbol" w:char="F0B1"/>
            </w:r>
            <w:r w:rsidRPr="00203AC9">
              <w:rPr>
                <w:i w:val="0"/>
                <w:lang w:val="en-US"/>
              </w:rPr>
              <w:t xml:space="preserve"> 1</w:t>
            </w:r>
            <w:r w:rsidR="006851F1" w:rsidRPr="00203AC9">
              <w:rPr>
                <w:i w:val="0"/>
                <w:lang w:val="en-US"/>
              </w:rPr>
              <w:t>.</w:t>
            </w:r>
            <w:r w:rsidRPr="00203AC9">
              <w:rPr>
                <w:i w:val="0"/>
                <w:lang w:val="en-US"/>
              </w:rPr>
              <w:t>07</w:t>
            </w:r>
          </w:p>
        </w:tc>
        <w:tc>
          <w:tcPr>
            <w:tcW w:w="1275" w:type="dxa"/>
            <w:shd w:val="clear" w:color="auto" w:fill="FFFFFF"/>
            <w:vAlign w:val="center"/>
          </w:tcPr>
          <w:p w14:paraId="15FD3A5D" w14:textId="57F554F4" w:rsidR="00410311" w:rsidRPr="00203AC9" w:rsidRDefault="00410311">
            <w:pPr>
              <w:pStyle w:val="CETBodytextItalic"/>
              <w:rPr>
                <w:i w:val="0"/>
                <w:lang w:val="en-US"/>
              </w:rPr>
            </w:pPr>
            <w:r w:rsidRPr="00203AC9">
              <w:rPr>
                <w:i w:val="0"/>
                <w:lang w:val="en-US"/>
              </w:rPr>
              <w:t>66</w:t>
            </w:r>
            <w:r w:rsidR="006851F1" w:rsidRPr="00203AC9">
              <w:rPr>
                <w:i w:val="0"/>
                <w:lang w:val="en-US"/>
              </w:rPr>
              <w:t>.</w:t>
            </w:r>
            <w:r w:rsidRPr="00203AC9">
              <w:rPr>
                <w:i w:val="0"/>
                <w:lang w:val="en-US"/>
              </w:rPr>
              <w:t xml:space="preserve">59 </w:t>
            </w:r>
            <w:r w:rsidRPr="00203AC9">
              <w:rPr>
                <w:i w:val="0"/>
                <w:lang w:val="en-US"/>
              </w:rPr>
              <w:sym w:font="Symbol" w:char="F0B1"/>
            </w:r>
            <w:r w:rsidRPr="00203AC9">
              <w:rPr>
                <w:i w:val="0"/>
                <w:lang w:val="en-US"/>
              </w:rPr>
              <w:t xml:space="preserve"> 3</w:t>
            </w:r>
            <w:r w:rsidR="006851F1" w:rsidRPr="00203AC9">
              <w:rPr>
                <w:i w:val="0"/>
                <w:lang w:val="en-US"/>
              </w:rPr>
              <w:t>.</w:t>
            </w:r>
            <w:r w:rsidRPr="00203AC9">
              <w:rPr>
                <w:i w:val="0"/>
                <w:lang w:val="en-US"/>
              </w:rPr>
              <w:t>73</w:t>
            </w:r>
          </w:p>
        </w:tc>
        <w:tc>
          <w:tcPr>
            <w:tcW w:w="1275" w:type="dxa"/>
            <w:shd w:val="clear" w:color="auto" w:fill="FFFFFF"/>
            <w:vAlign w:val="center"/>
          </w:tcPr>
          <w:p w14:paraId="2EB4C3F3" w14:textId="073BF75C" w:rsidR="00410311" w:rsidRPr="00203AC9" w:rsidRDefault="00410311">
            <w:pPr>
              <w:pStyle w:val="CETBodytextItalic"/>
              <w:rPr>
                <w:i w:val="0"/>
                <w:lang w:val="en-US"/>
              </w:rPr>
            </w:pPr>
            <w:r w:rsidRPr="00203AC9">
              <w:rPr>
                <w:i w:val="0"/>
                <w:lang w:val="en-US"/>
              </w:rPr>
              <w:t>68</w:t>
            </w:r>
            <w:r w:rsidR="006851F1" w:rsidRPr="00203AC9">
              <w:rPr>
                <w:i w:val="0"/>
                <w:lang w:val="en-US"/>
              </w:rPr>
              <w:t>.</w:t>
            </w:r>
            <w:r w:rsidRPr="00203AC9">
              <w:rPr>
                <w:i w:val="0"/>
                <w:lang w:val="en-US"/>
              </w:rPr>
              <w:t xml:space="preserve">75 </w:t>
            </w:r>
            <w:r w:rsidRPr="00203AC9">
              <w:rPr>
                <w:i w:val="0"/>
                <w:lang w:val="en-US"/>
              </w:rPr>
              <w:sym w:font="Symbol" w:char="F0B1"/>
            </w:r>
            <w:r w:rsidRPr="00203AC9">
              <w:rPr>
                <w:i w:val="0"/>
                <w:lang w:val="en-US"/>
              </w:rPr>
              <w:t xml:space="preserve"> 4</w:t>
            </w:r>
            <w:r w:rsidR="006851F1" w:rsidRPr="00203AC9">
              <w:rPr>
                <w:i w:val="0"/>
                <w:lang w:val="en-US"/>
              </w:rPr>
              <w:t>.</w:t>
            </w:r>
            <w:r w:rsidRPr="00203AC9">
              <w:rPr>
                <w:i w:val="0"/>
                <w:lang w:val="en-US"/>
              </w:rPr>
              <w:t>25</w:t>
            </w:r>
          </w:p>
        </w:tc>
        <w:tc>
          <w:tcPr>
            <w:tcW w:w="1275" w:type="dxa"/>
            <w:shd w:val="clear" w:color="auto" w:fill="FFFFFF"/>
            <w:vAlign w:val="center"/>
          </w:tcPr>
          <w:p w14:paraId="67CE03A9" w14:textId="515EB7F9" w:rsidR="00410311" w:rsidRPr="00203AC9" w:rsidRDefault="00410311">
            <w:pPr>
              <w:pStyle w:val="CETBodytextItalic"/>
              <w:rPr>
                <w:i w:val="0"/>
                <w:lang w:val="en-US"/>
              </w:rPr>
            </w:pPr>
            <w:r w:rsidRPr="00203AC9">
              <w:rPr>
                <w:i w:val="0"/>
                <w:lang w:val="en-US"/>
              </w:rPr>
              <w:t>59</w:t>
            </w:r>
            <w:r w:rsidR="006851F1" w:rsidRPr="00203AC9">
              <w:rPr>
                <w:i w:val="0"/>
                <w:lang w:val="en-US"/>
              </w:rPr>
              <w:t>.</w:t>
            </w:r>
            <w:r w:rsidRPr="00203AC9">
              <w:rPr>
                <w:i w:val="0"/>
                <w:lang w:val="en-US"/>
              </w:rPr>
              <w:t xml:space="preserve">16 </w:t>
            </w:r>
            <w:r w:rsidRPr="00203AC9">
              <w:rPr>
                <w:i w:val="0"/>
                <w:lang w:val="en-US"/>
              </w:rPr>
              <w:sym w:font="Symbol" w:char="F0B1"/>
            </w:r>
            <w:r w:rsidRPr="00203AC9">
              <w:rPr>
                <w:i w:val="0"/>
                <w:lang w:val="en-US"/>
              </w:rPr>
              <w:t xml:space="preserve"> 0</w:t>
            </w:r>
            <w:r w:rsidR="006851F1" w:rsidRPr="00203AC9">
              <w:rPr>
                <w:i w:val="0"/>
                <w:lang w:val="en-US"/>
              </w:rPr>
              <w:t>.</w:t>
            </w:r>
            <w:r w:rsidRPr="00203AC9">
              <w:rPr>
                <w:i w:val="0"/>
                <w:lang w:val="en-US"/>
              </w:rPr>
              <w:t>87</w:t>
            </w:r>
          </w:p>
        </w:tc>
      </w:tr>
    </w:tbl>
    <w:p w14:paraId="7DF785A6" w14:textId="77777777" w:rsidR="00410311" w:rsidRPr="00203AC9" w:rsidRDefault="00410311" w:rsidP="00410311">
      <w:pPr>
        <w:pStyle w:val="CETBodytext"/>
      </w:pPr>
    </w:p>
    <w:p w14:paraId="1BCF23B9" w14:textId="77777777" w:rsidR="00410311" w:rsidRPr="00203AC9" w:rsidRDefault="00410311" w:rsidP="00410311">
      <w:pPr>
        <w:pStyle w:val="CETBodytext"/>
      </w:pPr>
    </w:p>
    <w:p w14:paraId="24C928CB" w14:textId="77777777" w:rsidR="000205FF" w:rsidRPr="00203AC9" w:rsidRDefault="000205FF" w:rsidP="00AD281C">
      <w:pPr>
        <w:pStyle w:val="CETBodytext"/>
      </w:pPr>
    </w:p>
    <w:p w14:paraId="0544F833" w14:textId="77777777" w:rsidR="00EB26F4" w:rsidRPr="00203AC9" w:rsidRDefault="00EB26F4" w:rsidP="007D7782">
      <w:pPr>
        <w:pStyle w:val="CETBodytext"/>
      </w:pPr>
    </w:p>
    <w:p w14:paraId="0AA62039" w14:textId="77777777" w:rsidR="00EB26F4" w:rsidRPr="00203AC9" w:rsidRDefault="00EB26F4" w:rsidP="007D7782">
      <w:pPr>
        <w:pStyle w:val="CETBodytext"/>
      </w:pPr>
    </w:p>
    <w:p w14:paraId="7B7E9DB3" w14:textId="77777777" w:rsidR="00EB26F4" w:rsidRPr="00203AC9" w:rsidRDefault="00EB26F4" w:rsidP="007D7782">
      <w:pPr>
        <w:pStyle w:val="CETBodytext"/>
      </w:pPr>
    </w:p>
    <w:p w14:paraId="7409826C" w14:textId="77777777" w:rsidR="00EB26F4" w:rsidRPr="00203AC9" w:rsidRDefault="00EB26F4" w:rsidP="007D7782">
      <w:pPr>
        <w:pStyle w:val="CETBodytext"/>
      </w:pPr>
    </w:p>
    <w:p w14:paraId="5A9DA7D2" w14:textId="77777777" w:rsidR="00985F1B" w:rsidRDefault="00985F1B" w:rsidP="00AD281C">
      <w:pPr>
        <w:pStyle w:val="CETBodytext"/>
      </w:pPr>
    </w:p>
    <w:p w14:paraId="3AC04D9B" w14:textId="37CDD75B" w:rsidR="00002A6D" w:rsidRDefault="009662D1" w:rsidP="00002A6D">
      <w:pPr>
        <w:pStyle w:val="CETBodytext"/>
      </w:pPr>
      <w:r>
        <w:t xml:space="preserve">These </w:t>
      </w:r>
      <w:r w:rsidR="00432CF2">
        <w:t xml:space="preserve">results and considerations are also validated by the </w:t>
      </w:r>
      <w:r w:rsidR="00EA70F1">
        <w:t xml:space="preserve">evaluation of the lignin recovery </w:t>
      </w:r>
      <w:r w:rsidR="00366AFA">
        <w:t xml:space="preserve">reported in Table 5. As mentioned, the lignin </w:t>
      </w:r>
      <w:r w:rsidR="00366AFA" w:rsidRPr="00366AFA">
        <w:t xml:space="preserve">solubilized during the </w:t>
      </w:r>
      <w:r w:rsidR="00B85FAC">
        <w:t>o</w:t>
      </w:r>
      <w:r w:rsidR="00366AFA" w:rsidRPr="00366AFA">
        <w:t>rganosolv process</w:t>
      </w:r>
      <w:r w:rsidR="00B85FAC">
        <w:t xml:space="preserve">, was recovered </w:t>
      </w:r>
      <w:r w:rsidR="00277F59">
        <w:t>through</w:t>
      </w:r>
      <w:r w:rsidR="00B85FAC">
        <w:t xml:space="preserve"> an </w:t>
      </w:r>
      <w:r w:rsidR="00A17610">
        <w:t>acid precipitation using a solution of cold water and acetic acid.</w:t>
      </w:r>
      <w:r w:rsidR="00277F59">
        <w:t xml:space="preserve"> In Table 5 </w:t>
      </w:r>
      <w:r w:rsidR="00277F59" w:rsidRPr="00277F59">
        <w:t>it can be observed that the recovery yield of the treatment performed with a solid</w:t>
      </w:r>
      <w:r w:rsidR="0059760E">
        <w:t>-to-</w:t>
      </w:r>
      <w:r w:rsidR="00277F59" w:rsidRPr="00277F59">
        <w:t>liquid ratio of 1:20 is significantly higher than the treatment with a solid</w:t>
      </w:r>
      <w:r w:rsidR="0059760E">
        <w:t>-to-</w:t>
      </w:r>
      <w:r w:rsidR="00277F59" w:rsidRPr="00277F59">
        <w:t xml:space="preserve">liquid ratio of 1:10. </w:t>
      </w:r>
      <w:proofErr w:type="gramStart"/>
      <w:r w:rsidR="00277F59" w:rsidRPr="00277F59">
        <w:t>In particular the</w:t>
      </w:r>
      <w:proofErr w:type="gramEnd"/>
      <w:r w:rsidR="00277F59" w:rsidRPr="00277F59">
        <w:t xml:space="preserve"> organosolv performed at 200°C allowed to obtain a recovery of 20.52%, which is the highest yield obtained</w:t>
      </w:r>
      <w:r w:rsidR="00277F59">
        <w:t>.</w:t>
      </w:r>
      <w:r w:rsidR="00002A6D">
        <w:t xml:space="preserve"> </w:t>
      </w:r>
      <w:r w:rsidR="00002A6D">
        <w:t>Therefore</w:t>
      </w:r>
      <w:r w:rsidR="00002A6D" w:rsidRPr="00203AC9">
        <w:t xml:space="preserve">, it </w:t>
      </w:r>
      <w:r w:rsidR="00002A6D">
        <w:t>is possible to affirm t</w:t>
      </w:r>
      <w:r w:rsidR="00002A6D" w:rsidRPr="00203AC9">
        <w:t>hat the best conditions are those with a solid</w:t>
      </w:r>
      <w:r w:rsidR="00002A6D">
        <w:t>-to-</w:t>
      </w:r>
      <w:r w:rsidR="00002A6D" w:rsidRPr="00203AC9">
        <w:t xml:space="preserve">liquid ratio of 1:20 at 200°C, which allows to obtain </w:t>
      </w:r>
      <w:r w:rsidR="00002A6D">
        <w:t>the higher ligni</w:t>
      </w:r>
      <w:r w:rsidR="00002A6D" w:rsidRPr="00203AC9">
        <w:t>n</w:t>
      </w:r>
      <w:r w:rsidR="00002A6D">
        <w:t xml:space="preserve"> recovery (20.52%) with just a slight cellulose degradation (recovery of 91.38%) and a final solid residue with a lignin content of about 12%</w:t>
      </w:r>
      <w:r w:rsidR="00002A6D" w:rsidRPr="00203AC9">
        <w:t xml:space="preserve">. </w:t>
      </w:r>
      <w:r w:rsidR="00002A6D" w:rsidRPr="00CE2EA9">
        <w:t xml:space="preserve">Finally, </w:t>
      </w:r>
      <w:r w:rsidR="00002A6D">
        <w:lastRenderedPageBreak/>
        <w:t>applying</w:t>
      </w:r>
      <w:r w:rsidR="00002A6D" w:rsidRPr="00CE2EA9">
        <w:t xml:space="preserve"> the operating conditions that maximize lignin recovery, an initial estimate of the actual savings </w:t>
      </w:r>
      <w:r w:rsidR="00002A6D">
        <w:t>concerning</w:t>
      </w:r>
      <w:r w:rsidR="00002A6D" w:rsidRPr="00CE2EA9">
        <w:t xml:space="preserve"> water consumption due to the reuse of the acid </w:t>
      </w:r>
      <w:r w:rsidR="00002A6D">
        <w:t>liquor</w:t>
      </w:r>
      <w:r w:rsidR="00002A6D" w:rsidRPr="00CE2EA9">
        <w:t xml:space="preserve"> generated during the autohydrolysis process.</w:t>
      </w:r>
    </w:p>
    <w:p w14:paraId="3778BFC6" w14:textId="0EBC5257" w:rsidR="00A17610" w:rsidRPr="00203AC9" w:rsidRDefault="00A17610" w:rsidP="00A17610">
      <w:pPr>
        <w:pStyle w:val="CETTabletitle"/>
      </w:pPr>
      <w:bookmarkStart w:id="6" w:name="_Ref157165265"/>
      <w:r w:rsidRPr="00203AC9">
        <w:t xml:space="preserve">Table </w:t>
      </w:r>
      <w:r w:rsidRPr="00203AC9">
        <w:fldChar w:fldCharType="begin"/>
      </w:r>
      <w:r w:rsidRPr="00203AC9">
        <w:instrText xml:space="preserve"> SEQ Table \* ARABIC </w:instrText>
      </w:r>
      <w:r w:rsidRPr="00203AC9">
        <w:fldChar w:fldCharType="separate"/>
      </w:r>
      <w:r w:rsidR="00EB264F">
        <w:rPr>
          <w:noProof/>
        </w:rPr>
        <w:t>5</w:t>
      </w:r>
      <w:r w:rsidRPr="00203AC9">
        <w:fldChar w:fldCharType="end"/>
      </w:r>
      <w:bookmarkEnd w:id="6"/>
      <w:r w:rsidRPr="00203AC9">
        <w:t xml:space="preserve"> - Lignin </w:t>
      </w:r>
      <w:r w:rsidR="00794C2B">
        <w:t>r</w:t>
      </w:r>
      <w:r w:rsidRPr="00203AC9">
        <w:t xml:space="preserve">ecovery </w:t>
      </w:r>
      <w:r w:rsidR="00794C2B">
        <w:t>y</w:t>
      </w:r>
      <w:r w:rsidRPr="00203AC9">
        <w:t>ield from Organosolv liquor</w:t>
      </w:r>
    </w:p>
    <w:tbl>
      <w:tblPr>
        <w:tblpPr w:leftFromText="141" w:rightFromText="141" w:vertAnchor="text" w:tblpY="1"/>
        <w:tblOverlap w:val="neve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694"/>
        <w:gridCol w:w="1275"/>
        <w:gridCol w:w="1275"/>
        <w:gridCol w:w="1275"/>
        <w:gridCol w:w="1275"/>
      </w:tblGrid>
      <w:tr w:rsidR="00A17610" w:rsidRPr="00203AC9" w14:paraId="6C11F94F" w14:textId="77777777">
        <w:tc>
          <w:tcPr>
            <w:tcW w:w="2694" w:type="dxa"/>
            <w:vMerge w:val="restart"/>
            <w:tcBorders>
              <w:top w:val="single" w:sz="12" w:space="0" w:color="008000"/>
            </w:tcBorders>
            <w:shd w:val="clear" w:color="auto" w:fill="FFFFFF"/>
          </w:tcPr>
          <w:p w14:paraId="2E61E673" w14:textId="077098DF" w:rsidR="00A17610" w:rsidRPr="00203AC9" w:rsidRDefault="00A17610">
            <w:pPr>
              <w:pStyle w:val="CETBodytextItalic"/>
              <w:rPr>
                <w:i w:val="0"/>
                <w:lang w:val="en-US"/>
              </w:rPr>
            </w:pPr>
          </w:p>
        </w:tc>
        <w:tc>
          <w:tcPr>
            <w:tcW w:w="2550" w:type="dxa"/>
            <w:gridSpan w:val="2"/>
            <w:tcBorders>
              <w:top w:val="single" w:sz="12" w:space="0" w:color="008000"/>
              <w:bottom w:val="single" w:sz="4" w:space="0" w:color="008001"/>
            </w:tcBorders>
            <w:shd w:val="clear" w:color="auto" w:fill="FFFFFF"/>
          </w:tcPr>
          <w:p w14:paraId="7CD2833E" w14:textId="77777777" w:rsidR="00A17610" w:rsidRPr="00203AC9" w:rsidRDefault="00A17610">
            <w:pPr>
              <w:pStyle w:val="CETBodytextItalic"/>
              <w:rPr>
                <w:i w:val="0"/>
                <w:lang w:val="en-US"/>
              </w:rPr>
            </w:pPr>
            <w:r w:rsidRPr="00203AC9">
              <w:rPr>
                <w:i w:val="0"/>
                <w:lang w:val="en-US"/>
              </w:rPr>
              <w:t>Organosolv 180°C (%)</w:t>
            </w:r>
          </w:p>
        </w:tc>
        <w:tc>
          <w:tcPr>
            <w:tcW w:w="2550" w:type="dxa"/>
            <w:gridSpan w:val="2"/>
            <w:tcBorders>
              <w:top w:val="single" w:sz="12" w:space="0" w:color="008000"/>
              <w:bottom w:val="single" w:sz="4" w:space="0" w:color="008001"/>
            </w:tcBorders>
            <w:shd w:val="clear" w:color="auto" w:fill="FFFFFF"/>
          </w:tcPr>
          <w:p w14:paraId="3301EDF1" w14:textId="77777777" w:rsidR="00A17610" w:rsidRPr="00203AC9" w:rsidRDefault="00A17610">
            <w:pPr>
              <w:pStyle w:val="CETBodytextItalic"/>
              <w:rPr>
                <w:i w:val="0"/>
                <w:lang w:val="en-US"/>
              </w:rPr>
            </w:pPr>
            <w:r w:rsidRPr="00203AC9">
              <w:rPr>
                <w:i w:val="0"/>
                <w:lang w:val="en-US"/>
              </w:rPr>
              <w:t>Organosolv 200°C (%)</w:t>
            </w:r>
          </w:p>
        </w:tc>
      </w:tr>
      <w:tr w:rsidR="00A17610" w:rsidRPr="00203AC9" w14:paraId="1326612E" w14:textId="77777777">
        <w:tc>
          <w:tcPr>
            <w:tcW w:w="2694" w:type="dxa"/>
            <w:vMerge/>
            <w:tcBorders>
              <w:bottom w:val="single" w:sz="6" w:space="0" w:color="008000"/>
            </w:tcBorders>
            <w:shd w:val="clear" w:color="auto" w:fill="FFFFFF"/>
          </w:tcPr>
          <w:p w14:paraId="089645D6" w14:textId="77777777" w:rsidR="00A17610" w:rsidRPr="00203AC9" w:rsidRDefault="00A17610">
            <w:pPr>
              <w:pStyle w:val="CETBodytextItalic"/>
              <w:rPr>
                <w:i w:val="0"/>
                <w:lang w:val="en-US"/>
              </w:rPr>
            </w:pPr>
          </w:p>
        </w:tc>
        <w:tc>
          <w:tcPr>
            <w:tcW w:w="1275" w:type="dxa"/>
            <w:tcBorders>
              <w:top w:val="single" w:sz="4" w:space="0" w:color="008001"/>
              <w:bottom w:val="single" w:sz="6" w:space="0" w:color="008000"/>
            </w:tcBorders>
            <w:shd w:val="clear" w:color="auto" w:fill="FFFFFF"/>
          </w:tcPr>
          <w:p w14:paraId="0801D938" w14:textId="77777777" w:rsidR="00A17610" w:rsidRPr="00203AC9" w:rsidRDefault="00A17610">
            <w:pPr>
              <w:pStyle w:val="CETBodytextItalic"/>
              <w:rPr>
                <w:i w:val="0"/>
                <w:lang w:val="en-US"/>
              </w:rPr>
            </w:pPr>
            <w:r w:rsidRPr="00203AC9">
              <w:rPr>
                <w:i w:val="0"/>
                <w:lang w:val="en-US"/>
              </w:rPr>
              <w:t>1:10</w:t>
            </w:r>
          </w:p>
        </w:tc>
        <w:tc>
          <w:tcPr>
            <w:tcW w:w="1275" w:type="dxa"/>
            <w:tcBorders>
              <w:top w:val="single" w:sz="4" w:space="0" w:color="008001"/>
              <w:bottom w:val="single" w:sz="6" w:space="0" w:color="008000"/>
            </w:tcBorders>
            <w:shd w:val="clear" w:color="auto" w:fill="FFFFFF"/>
          </w:tcPr>
          <w:p w14:paraId="49F6EED8" w14:textId="77777777" w:rsidR="00A17610" w:rsidRPr="00203AC9" w:rsidRDefault="00A17610">
            <w:pPr>
              <w:pStyle w:val="CETBodytextItalic"/>
              <w:rPr>
                <w:i w:val="0"/>
                <w:lang w:val="en-US"/>
              </w:rPr>
            </w:pPr>
            <w:r w:rsidRPr="00203AC9">
              <w:rPr>
                <w:i w:val="0"/>
                <w:lang w:val="en-US"/>
              </w:rPr>
              <w:t>1:20</w:t>
            </w:r>
          </w:p>
        </w:tc>
        <w:tc>
          <w:tcPr>
            <w:tcW w:w="1275" w:type="dxa"/>
            <w:tcBorders>
              <w:top w:val="single" w:sz="4" w:space="0" w:color="008001"/>
              <w:bottom w:val="single" w:sz="6" w:space="0" w:color="008000"/>
            </w:tcBorders>
            <w:shd w:val="clear" w:color="auto" w:fill="FFFFFF"/>
          </w:tcPr>
          <w:p w14:paraId="2135A279" w14:textId="77777777" w:rsidR="00A17610" w:rsidRPr="00203AC9" w:rsidRDefault="00A17610">
            <w:pPr>
              <w:pStyle w:val="CETBodytextItalic"/>
              <w:rPr>
                <w:i w:val="0"/>
                <w:lang w:val="en-US"/>
              </w:rPr>
            </w:pPr>
            <w:r w:rsidRPr="00203AC9">
              <w:rPr>
                <w:i w:val="0"/>
                <w:lang w:val="en-US"/>
              </w:rPr>
              <w:t>1:10</w:t>
            </w:r>
          </w:p>
        </w:tc>
        <w:tc>
          <w:tcPr>
            <w:tcW w:w="1275" w:type="dxa"/>
            <w:tcBorders>
              <w:top w:val="single" w:sz="4" w:space="0" w:color="008001"/>
              <w:bottom w:val="single" w:sz="6" w:space="0" w:color="008000"/>
            </w:tcBorders>
            <w:shd w:val="clear" w:color="auto" w:fill="FFFFFF"/>
          </w:tcPr>
          <w:p w14:paraId="21A6B2CF" w14:textId="77777777" w:rsidR="00A17610" w:rsidRPr="00203AC9" w:rsidRDefault="00A17610">
            <w:pPr>
              <w:pStyle w:val="CETBodytextItalic"/>
              <w:rPr>
                <w:i w:val="0"/>
                <w:lang w:val="en-US"/>
              </w:rPr>
            </w:pPr>
            <w:r w:rsidRPr="00203AC9">
              <w:rPr>
                <w:i w:val="0"/>
                <w:lang w:val="en-US"/>
              </w:rPr>
              <w:t>1:20</w:t>
            </w:r>
          </w:p>
        </w:tc>
      </w:tr>
      <w:tr w:rsidR="00A17610" w:rsidRPr="00203AC9" w14:paraId="3D01380D" w14:textId="77777777">
        <w:tc>
          <w:tcPr>
            <w:tcW w:w="2694" w:type="dxa"/>
            <w:shd w:val="clear" w:color="auto" w:fill="FFFFFF"/>
          </w:tcPr>
          <w:p w14:paraId="426ADB1B" w14:textId="77777777" w:rsidR="00A17610" w:rsidRPr="00203AC9" w:rsidRDefault="00A17610">
            <w:pPr>
              <w:pStyle w:val="CETBodytextItalic"/>
              <w:rPr>
                <w:i w:val="0"/>
                <w:lang w:val="en-US"/>
              </w:rPr>
            </w:pPr>
            <w:r w:rsidRPr="00203AC9">
              <w:rPr>
                <w:i w:val="0"/>
                <w:lang w:val="en-US"/>
              </w:rPr>
              <w:t xml:space="preserve">Lignin recovery </w:t>
            </w:r>
            <w:r w:rsidRPr="00203AC9">
              <w:t xml:space="preserve">(% on </w:t>
            </w:r>
            <w:proofErr w:type="spellStart"/>
            <w:r w:rsidRPr="00203AC9">
              <w:t>dw</w:t>
            </w:r>
            <w:proofErr w:type="spellEnd"/>
            <w:r w:rsidRPr="00203AC9">
              <w:t>)</w:t>
            </w:r>
          </w:p>
        </w:tc>
        <w:tc>
          <w:tcPr>
            <w:tcW w:w="1275" w:type="dxa"/>
            <w:shd w:val="clear" w:color="auto" w:fill="FFFFFF"/>
          </w:tcPr>
          <w:p w14:paraId="186479E5" w14:textId="77777777" w:rsidR="00A17610" w:rsidRPr="00203AC9" w:rsidRDefault="00A17610">
            <w:pPr>
              <w:pStyle w:val="CETBodytextItalic"/>
              <w:rPr>
                <w:i w:val="0"/>
                <w:lang w:val="en-US"/>
              </w:rPr>
            </w:pPr>
            <w:r w:rsidRPr="000121D8">
              <w:rPr>
                <w:i w:val="0"/>
                <w:lang w:val="en-US"/>
              </w:rPr>
              <w:t>5</w:t>
            </w:r>
            <w:r w:rsidRPr="00203AC9">
              <w:rPr>
                <w:i w:val="0"/>
                <w:lang w:val="en-US"/>
              </w:rPr>
              <w:t>.</w:t>
            </w:r>
            <w:r w:rsidRPr="000121D8">
              <w:rPr>
                <w:i w:val="0"/>
                <w:lang w:val="en-US"/>
              </w:rPr>
              <w:t xml:space="preserve">87 </w:t>
            </w:r>
            <w:r w:rsidRPr="000121D8">
              <w:rPr>
                <w:i w:val="0"/>
                <w:lang w:val="en-US"/>
              </w:rPr>
              <w:sym w:font="Symbol" w:char="F0B1"/>
            </w:r>
            <w:r w:rsidRPr="000121D8">
              <w:rPr>
                <w:i w:val="0"/>
                <w:lang w:val="en-US"/>
              </w:rPr>
              <w:t xml:space="preserve"> 0</w:t>
            </w:r>
            <w:r w:rsidRPr="00203AC9">
              <w:rPr>
                <w:i w:val="0"/>
                <w:lang w:val="en-US"/>
              </w:rPr>
              <w:t>.</w:t>
            </w:r>
            <w:r w:rsidRPr="000121D8">
              <w:rPr>
                <w:i w:val="0"/>
                <w:lang w:val="en-US"/>
              </w:rPr>
              <w:t>08</w:t>
            </w:r>
          </w:p>
        </w:tc>
        <w:tc>
          <w:tcPr>
            <w:tcW w:w="1275" w:type="dxa"/>
            <w:shd w:val="clear" w:color="auto" w:fill="FFFFFF"/>
          </w:tcPr>
          <w:p w14:paraId="61A50CEC" w14:textId="77777777" w:rsidR="00A17610" w:rsidRPr="00203AC9" w:rsidRDefault="00A17610">
            <w:pPr>
              <w:pStyle w:val="CETBodytextItalic"/>
              <w:rPr>
                <w:i w:val="0"/>
                <w:lang w:val="en-US"/>
              </w:rPr>
            </w:pPr>
            <w:r w:rsidRPr="00E74133">
              <w:rPr>
                <w:i w:val="0"/>
                <w:lang w:val="en-US"/>
              </w:rPr>
              <w:t>13</w:t>
            </w:r>
            <w:r w:rsidRPr="00203AC9">
              <w:rPr>
                <w:i w:val="0"/>
                <w:lang w:val="en-US"/>
              </w:rPr>
              <w:t>.</w:t>
            </w:r>
            <w:r w:rsidRPr="00E74133">
              <w:rPr>
                <w:i w:val="0"/>
                <w:lang w:val="en-US"/>
              </w:rPr>
              <w:t xml:space="preserve">23 </w:t>
            </w:r>
            <w:r w:rsidRPr="00E74133">
              <w:rPr>
                <w:i w:val="0"/>
                <w:lang w:val="en-US"/>
              </w:rPr>
              <w:sym w:font="Symbol" w:char="F0B1"/>
            </w:r>
            <w:r w:rsidRPr="00E74133">
              <w:rPr>
                <w:i w:val="0"/>
                <w:lang w:val="en-US"/>
              </w:rPr>
              <w:t xml:space="preserve"> 0</w:t>
            </w:r>
            <w:r w:rsidRPr="00203AC9">
              <w:rPr>
                <w:i w:val="0"/>
                <w:lang w:val="en-US"/>
              </w:rPr>
              <w:t>.</w:t>
            </w:r>
            <w:r w:rsidRPr="00E74133">
              <w:rPr>
                <w:i w:val="0"/>
                <w:lang w:val="en-US"/>
              </w:rPr>
              <w:t>18</w:t>
            </w:r>
          </w:p>
        </w:tc>
        <w:tc>
          <w:tcPr>
            <w:tcW w:w="1275" w:type="dxa"/>
            <w:shd w:val="clear" w:color="auto" w:fill="FFFFFF"/>
          </w:tcPr>
          <w:p w14:paraId="13EDA58F" w14:textId="77777777" w:rsidR="00A17610" w:rsidRPr="00203AC9" w:rsidRDefault="00A17610">
            <w:pPr>
              <w:pStyle w:val="CETBodytextItalic"/>
              <w:rPr>
                <w:i w:val="0"/>
                <w:lang w:val="en-US"/>
              </w:rPr>
            </w:pPr>
            <w:r w:rsidRPr="00E74133">
              <w:rPr>
                <w:i w:val="0"/>
                <w:lang w:val="en-US"/>
              </w:rPr>
              <w:t>5</w:t>
            </w:r>
            <w:r w:rsidRPr="00203AC9">
              <w:rPr>
                <w:i w:val="0"/>
                <w:lang w:val="en-US"/>
              </w:rPr>
              <w:t>.</w:t>
            </w:r>
            <w:r w:rsidRPr="00E74133">
              <w:rPr>
                <w:i w:val="0"/>
                <w:lang w:val="en-US"/>
              </w:rPr>
              <w:t xml:space="preserve">90 </w:t>
            </w:r>
            <w:r w:rsidRPr="00E74133">
              <w:rPr>
                <w:i w:val="0"/>
                <w:lang w:val="en-US"/>
              </w:rPr>
              <w:sym w:font="Symbol" w:char="F0B1"/>
            </w:r>
            <w:r w:rsidRPr="00E74133">
              <w:rPr>
                <w:i w:val="0"/>
                <w:lang w:val="en-US"/>
              </w:rPr>
              <w:t xml:space="preserve"> 0</w:t>
            </w:r>
            <w:r w:rsidRPr="00203AC9">
              <w:rPr>
                <w:i w:val="0"/>
                <w:lang w:val="en-US"/>
              </w:rPr>
              <w:t>.</w:t>
            </w:r>
            <w:r w:rsidRPr="00E74133">
              <w:rPr>
                <w:i w:val="0"/>
                <w:lang w:val="en-US"/>
              </w:rPr>
              <w:t>0</w:t>
            </w:r>
            <w:r w:rsidRPr="00203AC9">
              <w:rPr>
                <w:i w:val="0"/>
                <w:lang w:val="en-US"/>
              </w:rPr>
              <w:t>9</w:t>
            </w:r>
          </w:p>
        </w:tc>
        <w:tc>
          <w:tcPr>
            <w:tcW w:w="1275" w:type="dxa"/>
            <w:shd w:val="clear" w:color="auto" w:fill="FFFFFF"/>
          </w:tcPr>
          <w:p w14:paraId="1EF5210A" w14:textId="77777777" w:rsidR="00A17610" w:rsidRPr="00203AC9" w:rsidRDefault="00A17610">
            <w:pPr>
              <w:pStyle w:val="CETBodytextItalic"/>
              <w:rPr>
                <w:i w:val="0"/>
                <w:lang w:val="en-US"/>
              </w:rPr>
            </w:pPr>
            <w:r w:rsidRPr="00C557B9">
              <w:rPr>
                <w:i w:val="0"/>
                <w:lang w:val="en-US"/>
              </w:rPr>
              <w:t>20</w:t>
            </w:r>
            <w:r w:rsidRPr="00203AC9">
              <w:rPr>
                <w:i w:val="0"/>
                <w:lang w:val="en-US"/>
              </w:rPr>
              <w:t>.</w:t>
            </w:r>
            <w:r w:rsidRPr="00C557B9">
              <w:rPr>
                <w:i w:val="0"/>
                <w:lang w:val="en-US"/>
              </w:rPr>
              <w:t xml:space="preserve">52 </w:t>
            </w:r>
            <w:r w:rsidRPr="00C557B9">
              <w:rPr>
                <w:i w:val="0"/>
                <w:lang w:val="en-US"/>
              </w:rPr>
              <w:sym w:font="Symbol" w:char="F0B1"/>
            </w:r>
            <w:r w:rsidRPr="00C557B9">
              <w:rPr>
                <w:i w:val="0"/>
                <w:lang w:val="en-US"/>
              </w:rPr>
              <w:t xml:space="preserve"> 0</w:t>
            </w:r>
            <w:r w:rsidRPr="00203AC9">
              <w:rPr>
                <w:i w:val="0"/>
                <w:lang w:val="en-US"/>
              </w:rPr>
              <w:t>.</w:t>
            </w:r>
            <w:r w:rsidRPr="00C557B9">
              <w:rPr>
                <w:i w:val="0"/>
                <w:lang w:val="en-US"/>
              </w:rPr>
              <w:t>2</w:t>
            </w:r>
            <w:r w:rsidRPr="00203AC9">
              <w:rPr>
                <w:i w:val="0"/>
                <w:lang w:val="en-US"/>
              </w:rPr>
              <w:t>8</w:t>
            </w:r>
          </w:p>
        </w:tc>
      </w:tr>
    </w:tbl>
    <w:p w14:paraId="72D02622" w14:textId="77777777" w:rsidR="00A17610" w:rsidRPr="00203AC9" w:rsidRDefault="00A17610" w:rsidP="00A17610">
      <w:pPr>
        <w:pStyle w:val="CETBodytext"/>
      </w:pPr>
    </w:p>
    <w:p w14:paraId="3653D745" w14:textId="77777777" w:rsidR="00A17610" w:rsidRPr="00203AC9" w:rsidRDefault="00A17610" w:rsidP="00A17610">
      <w:pPr>
        <w:pStyle w:val="CETBodytext"/>
      </w:pPr>
    </w:p>
    <w:p w14:paraId="497641B7" w14:textId="77777777" w:rsidR="00A17610" w:rsidRPr="00203AC9" w:rsidRDefault="00A17610" w:rsidP="00A17610">
      <w:pPr>
        <w:pStyle w:val="CETBodytext"/>
      </w:pPr>
    </w:p>
    <w:p w14:paraId="76A097D6" w14:textId="77777777" w:rsidR="00A17610" w:rsidRDefault="00A17610" w:rsidP="00AD281C">
      <w:pPr>
        <w:pStyle w:val="CETBodytext"/>
      </w:pPr>
    </w:p>
    <w:p w14:paraId="06DE9AB8" w14:textId="77777777" w:rsidR="00A17610" w:rsidRDefault="00A17610" w:rsidP="00AD281C">
      <w:pPr>
        <w:pStyle w:val="CETBodytext"/>
      </w:pPr>
    </w:p>
    <w:p w14:paraId="7B22EABA" w14:textId="3C2FEFFC" w:rsidR="00053048" w:rsidRDefault="00CE2EA9" w:rsidP="00053048">
      <w:pPr>
        <w:pStyle w:val="CETBodytext"/>
      </w:pPr>
      <w:r w:rsidRPr="00CE2EA9">
        <w:t xml:space="preserve">Tables 6 and 7 show the inputs and outputs of the </w:t>
      </w:r>
      <w:r w:rsidR="00EC2F62">
        <w:t>cellulose</w:t>
      </w:r>
      <w:r w:rsidRPr="00CE2EA9">
        <w:t xml:space="preserve"> and lignin production process calculated </w:t>
      </w:r>
      <w:proofErr w:type="gramStart"/>
      <w:r w:rsidRPr="00CE2EA9">
        <w:t>for the production of</w:t>
      </w:r>
      <w:proofErr w:type="gramEnd"/>
      <w:r w:rsidRPr="00CE2EA9">
        <w:t xml:space="preserve"> 1 kg of </w:t>
      </w:r>
      <w:proofErr w:type="spellStart"/>
      <w:r w:rsidRPr="00CE2EA9">
        <w:t>vitrimer</w:t>
      </w:r>
      <w:r w:rsidR="00EC2F62">
        <w:t>s</w:t>
      </w:r>
      <w:proofErr w:type="spellEnd"/>
      <w:r w:rsidRPr="00CE2EA9">
        <w:t xml:space="preserve"> for both the process</w:t>
      </w:r>
      <w:r w:rsidR="007F7635">
        <w:t>es</w:t>
      </w:r>
      <w:r w:rsidRPr="00CE2EA9">
        <w:t xml:space="preserve"> that consider liquor recycling and the case without </w:t>
      </w:r>
      <w:r w:rsidR="00A1527C">
        <w:t>considering the recycl</w:t>
      </w:r>
      <w:r w:rsidR="0059760E">
        <w:t>ing</w:t>
      </w:r>
      <w:r w:rsidRPr="00CE2EA9">
        <w:t xml:space="preserve">. It can be </w:t>
      </w:r>
      <w:r w:rsidR="00A1527C">
        <w:t>pointed out</w:t>
      </w:r>
      <w:r w:rsidRPr="00CE2EA9">
        <w:t xml:space="preserve"> that the recycling of acid </w:t>
      </w:r>
      <w:r w:rsidR="00A1527C">
        <w:t>liquor</w:t>
      </w:r>
      <w:r w:rsidRPr="00CE2EA9">
        <w:t xml:space="preserve"> allows for a significant reduction in water consumption (about 36%) while also eliminating the need to dispose of acid </w:t>
      </w:r>
      <w:r w:rsidR="00161AD5">
        <w:t>liquor</w:t>
      </w:r>
      <w:r w:rsidRPr="00CE2EA9">
        <w:t xml:space="preserve"> further reducing the impact on the environment. </w:t>
      </w:r>
      <w:r w:rsidR="00DC0ACD">
        <w:t>I</w:t>
      </w:r>
      <w:r w:rsidRPr="00CE2EA9">
        <w:t xml:space="preserve">t is worth noting that the estimation of the process without recycling was carried out considering the same operating conditions and yields as the process with acid </w:t>
      </w:r>
      <w:r w:rsidR="00947453">
        <w:t>liquor</w:t>
      </w:r>
      <w:r w:rsidRPr="00CE2EA9">
        <w:t xml:space="preserve"> recycling. </w:t>
      </w:r>
      <w:r w:rsidR="00947453">
        <w:t>However</w:t>
      </w:r>
      <w:r w:rsidRPr="00CE2EA9">
        <w:t>, to obtain the same yields in both cellulose and lignin</w:t>
      </w:r>
      <w:r w:rsidR="00947453">
        <w:t xml:space="preserve"> production</w:t>
      </w:r>
      <w:r w:rsidRPr="00CE2EA9">
        <w:t xml:space="preserve">, the </w:t>
      </w:r>
      <w:proofErr w:type="spellStart"/>
      <w:r w:rsidRPr="00CE2EA9">
        <w:t>organosolv</w:t>
      </w:r>
      <w:proofErr w:type="spellEnd"/>
      <w:r w:rsidRPr="00CE2EA9">
        <w:t xml:space="preserve"> treatment of the process without recycling should operate under more severe conditions (e.g., at </w:t>
      </w:r>
      <w:r w:rsidR="0059760E">
        <w:t xml:space="preserve">a </w:t>
      </w:r>
      <w:r w:rsidRPr="00CE2EA9">
        <w:t xml:space="preserve">higher temperature) since it does not benefit from the catalytic effect given by the presence of acetic acid. Thus, the process </w:t>
      </w:r>
      <w:r w:rsidR="0059760E">
        <w:t>of</w:t>
      </w:r>
      <w:r w:rsidRPr="00CE2EA9">
        <w:t xml:space="preserve"> recycling benefits not only from a reduction in water consumption but also from a reduction in energy consumption associated with less severe treatments. A precise estimate of this reduction can be made in future studies.</w:t>
      </w:r>
      <w:r w:rsidR="00053048">
        <w:t xml:space="preserve"> It is important to point out that</w:t>
      </w:r>
      <w:r w:rsidR="00053048">
        <w:t>, this was a first study in which the possibility of reducing waste was highlighted with the goal</w:t>
      </w:r>
      <w:r w:rsidR="00053048">
        <w:t>,</w:t>
      </w:r>
      <w:r w:rsidR="00053048">
        <w:t xml:space="preserve"> in the future</w:t>
      </w:r>
      <w:r w:rsidR="00053048">
        <w:t>,</w:t>
      </w:r>
      <w:r w:rsidR="00053048">
        <w:t xml:space="preserve"> of having a "zero waste" process. Clearly, it will be necessary to further optimize the process. For example, while obtaining a ready-to-use lignin, it is useful to further increase the</w:t>
      </w:r>
      <w:r w:rsidR="00327497">
        <w:t xml:space="preserve"> </w:t>
      </w:r>
      <w:proofErr w:type="spellStart"/>
      <w:r w:rsidR="00327497">
        <w:t>ligning</w:t>
      </w:r>
      <w:proofErr w:type="spellEnd"/>
      <w:r w:rsidR="00053048">
        <w:t xml:space="preserve"> yield </w:t>
      </w:r>
      <w:proofErr w:type="spellStart"/>
      <w:r w:rsidR="0063122C">
        <w:t>obtaing</w:t>
      </w:r>
      <w:proofErr w:type="spellEnd"/>
      <w:r w:rsidR="00053048">
        <w:t xml:space="preserve"> purer cellulose </w:t>
      </w:r>
      <w:proofErr w:type="gramStart"/>
      <w:r w:rsidR="00053048">
        <w:t xml:space="preserve">as a </w:t>
      </w:r>
      <w:r w:rsidR="00053048">
        <w:t>consequence</w:t>
      </w:r>
      <w:proofErr w:type="gramEnd"/>
      <w:r w:rsidR="00053048">
        <w:t xml:space="preserve">, avoiding or reducing </w:t>
      </w:r>
      <w:r w:rsidR="00053048">
        <w:t xml:space="preserve">the downstream </w:t>
      </w:r>
      <w:r w:rsidR="00422E2F">
        <w:t>cellulose</w:t>
      </w:r>
      <w:r w:rsidR="00053048">
        <w:t xml:space="preserve"> purification treatments (e.g., basic hydrolysis).</w:t>
      </w:r>
    </w:p>
    <w:p w14:paraId="554849D2" w14:textId="1038688F" w:rsidR="006B1A5D" w:rsidRDefault="006B1A5D" w:rsidP="006B1A5D">
      <w:pPr>
        <w:pStyle w:val="CETTabletitle"/>
      </w:pPr>
      <w:r>
        <w:t xml:space="preserve">Table </w:t>
      </w:r>
      <w:r w:rsidR="00CE2EA9">
        <w:t>6</w:t>
      </w:r>
      <w:r>
        <w:t xml:space="preserve"> </w:t>
      </w:r>
      <w:r w:rsidR="00912D39">
        <w:t>–</w:t>
      </w:r>
      <w:r>
        <w:t xml:space="preserve"> Input</w:t>
      </w:r>
      <w:r w:rsidR="00912D39">
        <w:t xml:space="preserve"> of the process with or without the recycl</w:t>
      </w:r>
      <w:r w:rsidR="000E6DA9">
        <w:t>ing</w:t>
      </w:r>
      <w:r w:rsidR="00912D39">
        <w:t xml:space="preserve"> of the autohydrolysis acid liquor</w:t>
      </w:r>
      <w:r w:rsidR="009A04E5">
        <w:t xml:space="preserve">, </w:t>
      </w:r>
      <w:r w:rsidR="00AD4B47">
        <w:t xml:space="preserve">evaluated </w:t>
      </w:r>
      <w:r w:rsidR="00873356">
        <w:t xml:space="preserve">from the production of 1 </w:t>
      </w:r>
      <w:r w:rsidR="00FF5B3E">
        <w:t xml:space="preserve">kg of </w:t>
      </w:r>
      <w:proofErr w:type="spellStart"/>
      <w:proofErr w:type="gramStart"/>
      <w:r w:rsidR="00FF5B3E">
        <w:t>vitrimers</w:t>
      </w:r>
      <w:proofErr w:type="spellEnd"/>
      <w:proofErr w:type="gramEnd"/>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560"/>
        <w:gridCol w:w="1701"/>
        <w:gridCol w:w="1984"/>
      </w:tblGrid>
      <w:tr w:rsidR="00F125FB" w:rsidRPr="00203AC9" w14:paraId="6F8AE5E6" w14:textId="77777777" w:rsidTr="000E6DA9">
        <w:tc>
          <w:tcPr>
            <w:tcW w:w="1560" w:type="dxa"/>
            <w:tcBorders>
              <w:top w:val="single" w:sz="12" w:space="0" w:color="008000"/>
              <w:bottom w:val="single" w:sz="6" w:space="0" w:color="008000"/>
            </w:tcBorders>
            <w:shd w:val="clear" w:color="auto" w:fill="FFFFFF"/>
          </w:tcPr>
          <w:p w14:paraId="266A0F01" w14:textId="77777777" w:rsidR="00F125FB" w:rsidRPr="006B1A5D" w:rsidRDefault="00F125FB">
            <w:pPr>
              <w:pStyle w:val="CETBodytext"/>
            </w:pPr>
          </w:p>
        </w:tc>
        <w:tc>
          <w:tcPr>
            <w:tcW w:w="1701" w:type="dxa"/>
            <w:tcBorders>
              <w:top w:val="single" w:sz="12" w:space="0" w:color="008000"/>
              <w:bottom w:val="single" w:sz="6" w:space="0" w:color="008000"/>
            </w:tcBorders>
            <w:shd w:val="clear" w:color="auto" w:fill="FFFFFF"/>
          </w:tcPr>
          <w:p w14:paraId="4DCE68C9" w14:textId="1B414589" w:rsidR="00F125FB" w:rsidRPr="00203AC9" w:rsidRDefault="00F125FB">
            <w:pPr>
              <w:pStyle w:val="CETBodytext"/>
              <w:rPr>
                <w:lang w:val="en-GB"/>
              </w:rPr>
            </w:pPr>
            <w:r>
              <w:rPr>
                <w:i/>
              </w:rPr>
              <w:t xml:space="preserve">With liquor </w:t>
            </w:r>
            <w:r w:rsidR="000E6DA9" w:rsidRPr="000E6DA9">
              <w:rPr>
                <w:i/>
              </w:rPr>
              <w:t>recycling</w:t>
            </w:r>
          </w:p>
        </w:tc>
        <w:tc>
          <w:tcPr>
            <w:tcW w:w="1984" w:type="dxa"/>
            <w:tcBorders>
              <w:top w:val="single" w:sz="12" w:space="0" w:color="008000"/>
              <w:bottom w:val="single" w:sz="6" w:space="0" w:color="008000"/>
            </w:tcBorders>
            <w:shd w:val="clear" w:color="auto" w:fill="FFFFFF"/>
          </w:tcPr>
          <w:p w14:paraId="0296D58B" w14:textId="1EDA58AD" w:rsidR="00F125FB" w:rsidRPr="00203AC9" w:rsidRDefault="00F125FB">
            <w:pPr>
              <w:pStyle w:val="CETBodytext"/>
              <w:rPr>
                <w:lang w:val="en-GB"/>
              </w:rPr>
            </w:pPr>
            <w:r>
              <w:rPr>
                <w:i/>
              </w:rPr>
              <w:t xml:space="preserve">Without liquor </w:t>
            </w:r>
            <w:r w:rsidR="000E6DA9" w:rsidRPr="000E6DA9">
              <w:rPr>
                <w:i/>
              </w:rPr>
              <w:t>recycling</w:t>
            </w:r>
          </w:p>
        </w:tc>
      </w:tr>
      <w:tr w:rsidR="00F125FB" w:rsidRPr="00203AC9" w14:paraId="36C72F70" w14:textId="77777777" w:rsidTr="000E6DA9">
        <w:tc>
          <w:tcPr>
            <w:tcW w:w="1560" w:type="dxa"/>
            <w:shd w:val="clear" w:color="auto" w:fill="FFFFFF"/>
          </w:tcPr>
          <w:p w14:paraId="3EA28F6F" w14:textId="12205E7B" w:rsidR="00F125FB" w:rsidRPr="00203AC9" w:rsidRDefault="009E0D25">
            <w:pPr>
              <w:pStyle w:val="CETBodytext"/>
              <w:rPr>
                <w:lang w:val="en-GB"/>
              </w:rPr>
            </w:pPr>
            <w:r>
              <w:t>Wheat straw</w:t>
            </w:r>
            <w:r w:rsidR="00F06443">
              <w:t xml:space="preserve"> (kg)</w:t>
            </w:r>
          </w:p>
        </w:tc>
        <w:tc>
          <w:tcPr>
            <w:tcW w:w="1701" w:type="dxa"/>
            <w:shd w:val="clear" w:color="auto" w:fill="FFFFFF"/>
          </w:tcPr>
          <w:p w14:paraId="7D656EDC" w14:textId="18374CF7" w:rsidR="00F125FB" w:rsidRPr="00203AC9" w:rsidRDefault="00E026D9">
            <w:pPr>
              <w:pStyle w:val="CETBodytext"/>
            </w:pPr>
            <w:r>
              <w:t>5.72</w:t>
            </w:r>
          </w:p>
        </w:tc>
        <w:tc>
          <w:tcPr>
            <w:tcW w:w="1984" w:type="dxa"/>
            <w:shd w:val="clear" w:color="auto" w:fill="FFFFFF"/>
          </w:tcPr>
          <w:p w14:paraId="375AF073" w14:textId="0B794009" w:rsidR="00F125FB" w:rsidRPr="00203AC9" w:rsidRDefault="00C1274F">
            <w:pPr>
              <w:pStyle w:val="CETBodytext"/>
            </w:pPr>
            <w:r>
              <w:t>5.72</w:t>
            </w:r>
          </w:p>
        </w:tc>
      </w:tr>
      <w:tr w:rsidR="00F125FB" w:rsidRPr="00203AC9" w14:paraId="54F43FB2" w14:textId="77777777" w:rsidTr="000E6DA9">
        <w:tc>
          <w:tcPr>
            <w:tcW w:w="1560" w:type="dxa"/>
            <w:shd w:val="clear" w:color="auto" w:fill="FFFFFF"/>
          </w:tcPr>
          <w:p w14:paraId="50EE3305" w14:textId="1FE77E10" w:rsidR="00F125FB" w:rsidRDefault="009E0D25">
            <w:pPr>
              <w:pStyle w:val="CETBodytext"/>
            </w:pPr>
            <w:r>
              <w:t>Water</w:t>
            </w:r>
            <w:r w:rsidR="00931383">
              <w:t xml:space="preserve"> (l)</w:t>
            </w:r>
          </w:p>
        </w:tc>
        <w:tc>
          <w:tcPr>
            <w:tcW w:w="1701" w:type="dxa"/>
            <w:shd w:val="clear" w:color="auto" w:fill="FFFFFF"/>
          </w:tcPr>
          <w:p w14:paraId="5D283496" w14:textId="7A76C85F" w:rsidR="00F125FB" w:rsidRPr="0056069A" w:rsidRDefault="0056069A">
            <w:pPr>
              <w:pStyle w:val="CETBodytext"/>
              <w:rPr>
                <w:lang w:val="it-IT"/>
              </w:rPr>
            </w:pPr>
            <w:r w:rsidRPr="0056069A">
              <w:rPr>
                <w:lang w:val="it-IT"/>
              </w:rPr>
              <w:t>235.2</w:t>
            </w:r>
            <w:r>
              <w:rPr>
                <w:lang w:val="it-IT"/>
              </w:rPr>
              <w:t>2</w:t>
            </w:r>
          </w:p>
        </w:tc>
        <w:tc>
          <w:tcPr>
            <w:tcW w:w="1984" w:type="dxa"/>
            <w:shd w:val="clear" w:color="auto" w:fill="FFFFFF"/>
          </w:tcPr>
          <w:p w14:paraId="6A763C4D" w14:textId="666072E2" w:rsidR="00F125FB" w:rsidRDefault="00F358E7">
            <w:pPr>
              <w:pStyle w:val="CETBodytext"/>
            </w:pPr>
            <w:r>
              <w:t>151.</w:t>
            </w:r>
            <w:r w:rsidR="009665BA">
              <w:t>86</w:t>
            </w:r>
          </w:p>
        </w:tc>
      </w:tr>
      <w:tr w:rsidR="00F125FB" w:rsidRPr="00203AC9" w14:paraId="6E39648D" w14:textId="77777777" w:rsidTr="000E6DA9">
        <w:tc>
          <w:tcPr>
            <w:tcW w:w="1560" w:type="dxa"/>
            <w:shd w:val="clear" w:color="auto" w:fill="FFFFFF"/>
          </w:tcPr>
          <w:p w14:paraId="297183AD" w14:textId="79EBED5F" w:rsidR="00F125FB" w:rsidRDefault="00E36AB5">
            <w:pPr>
              <w:pStyle w:val="CETBodytext"/>
            </w:pPr>
            <w:r>
              <w:t>Ethanol (l)</w:t>
            </w:r>
          </w:p>
        </w:tc>
        <w:tc>
          <w:tcPr>
            <w:tcW w:w="1701" w:type="dxa"/>
            <w:shd w:val="clear" w:color="auto" w:fill="FFFFFF"/>
          </w:tcPr>
          <w:p w14:paraId="02D54CE8" w14:textId="29571222" w:rsidR="00F125FB" w:rsidRDefault="00D273EC">
            <w:pPr>
              <w:pStyle w:val="CETBodytext"/>
            </w:pPr>
            <w:r>
              <w:t>44.</w:t>
            </w:r>
            <w:r w:rsidR="00E85359">
              <w:t>35</w:t>
            </w:r>
          </w:p>
        </w:tc>
        <w:tc>
          <w:tcPr>
            <w:tcW w:w="1984" w:type="dxa"/>
            <w:shd w:val="clear" w:color="auto" w:fill="FFFFFF"/>
          </w:tcPr>
          <w:p w14:paraId="4BF41794" w14:textId="44ED23D4" w:rsidR="00F125FB" w:rsidRDefault="00E85359">
            <w:pPr>
              <w:pStyle w:val="CETBodytext"/>
            </w:pPr>
            <w:r>
              <w:t>44.35</w:t>
            </w:r>
          </w:p>
        </w:tc>
      </w:tr>
      <w:tr w:rsidR="00F125FB" w:rsidRPr="00203AC9" w14:paraId="2ABCA536" w14:textId="77777777" w:rsidTr="000E6DA9">
        <w:tc>
          <w:tcPr>
            <w:tcW w:w="1560" w:type="dxa"/>
            <w:shd w:val="clear" w:color="auto" w:fill="FFFFFF"/>
          </w:tcPr>
          <w:p w14:paraId="6BDAA3F9" w14:textId="2E86C289" w:rsidR="00F125FB" w:rsidRDefault="00912D39">
            <w:pPr>
              <w:pStyle w:val="CETBodytext"/>
            </w:pPr>
            <w:r>
              <w:t>Acetic acid (l)</w:t>
            </w:r>
          </w:p>
        </w:tc>
        <w:tc>
          <w:tcPr>
            <w:tcW w:w="1701" w:type="dxa"/>
            <w:shd w:val="clear" w:color="auto" w:fill="FFFFFF"/>
          </w:tcPr>
          <w:p w14:paraId="3DD174A1" w14:textId="2C62877B" w:rsidR="00F125FB" w:rsidRDefault="00912D39">
            <w:pPr>
              <w:pStyle w:val="CETBodytext"/>
            </w:pPr>
            <w:r>
              <w:t>6.85</w:t>
            </w:r>
          </w:p>
        </w:tc>
        <w:tc>
          <w:tcPr>
            <w:tcW w:w="1984" w:type="dxa"/>
            <w:shd w:val="clear" w:color="auto" w:fill="FFFFFF"/>
          </w:tcPr>
          <w:p w14:paraId="277410FE" w14:textId="664CD15C" w:rsidR="00F125FB" w:rsidRDefault="00912D39">
            <w:pPr>
              <w:pStyle w:val="CETBodytext"/>
            </w:pPr>
            <w:r>
              <w:t>6.85</w:t>
            </w:r>
          </w:p>
        </w:tc>
      </w:tr>
    </w:tbl>
    <w:p w14:paraId="04933702" w14:textId="01B9DDEB" w:rsidR="00EB264F" w:rsidRDefault="00EB264F" w:rsidP="00EB264F">
      <w:pPr>
        <w:pStyle w:val="CETTabletitle"/>
      </w:pPr>
      <w:r>
        <w:t xml:space="preserve">Table </w:t>
      </w:r>
      <w:r w:rsidR="00CE2EA9">
        <w:t>7</w:t>
      </w:r>
      <w:r>
        <w:t xml:space="preserve">- </w:t>
      </w:r>
      <w:r w:rsidR="00FF5B3E">
        <w:t>Output of the process with or without the recycl</w:t>
      </w:r>
      <w:r w:rsidR="000E6DA9">
        <w:t>ing</w:t>
      </w:r>
      <w:r w:rsidR="00FF5B3E">
        <w:t xml:space="preserve"> of the autohydrolysis acid liquor, evaluated from the production of 1 kg of </w:t>
      </w:r>
      <w:proofErr w:type="spellStart"/>
      <w:proofErr w:type="gramStart"/>
      <w:r w:rsidR="00FF5B3E">
        <w:t>vitrimers</w:t>
      </w:r>
      <w:proofErr w:type="spellEnd"/>
      <w:proofErr w:type="gramEnd"/>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3402"/>
        <w:gridCol w:w="1701"/>
        <w:gridCol w:w="1843"/>
      </w:tblGrid>
      <w:tr w:rsidR="00340712" w:rsidRPr="00203AC9" w14:paraId="1FB2D51D" w14:textId="77777777" w:rsidTr="00193979">
        <w:tc>
          <w:tcPr>
            <w:tcW w:w="3402" w:type="dxa"/>
            <w:tcBorders>
              <w:top w:val="single" w:sz="12" w:space="0" w:color="008000"/>
              <w:bottom w:val="single" w:sz="6" w:space="0" w:color="008000"/>
            </w:tcBorders>
            <w:shd w:val="clear" w:color="auto" w:fill="FFFFFF"/>
          </w:tcPr>
          <w:p w14:paraId="2545409F" w14:textId="77777777" w:rsidR="00EB264F" w:rsidRPr="006B1A5D" w:rsidRDefault="00EB264F">
            <w:pPr>
              <w:pStyle w:val="CETBodytext"/>
            </w:pPr>
          </w:p>
        </w:tc>
        <w:tc>
          <w:tcPr>
            <w:tcW w:w="1701" w:type="dxa"/>
            <w:tcBorders>
              <w:top w:val="single" w:sz="12" w:space="0" w:color="008000"/>
              <w:bottom w:val="single" w:sz="6" w:space="0" w:color="008000"/>
            </w:tcBorders>
            <w:shd w:val="clear" w:color="auto" w:fill="FFFFFF"/>
          </w:tcPr>
          <w:p w14:paraId="6CCCCDE7" w14:textId="0B1595FF" w:rsidR="00EB264F" w:rsidRPr="00203AC9" w:rsidRDefault="00EB264F">
            <w:pPr>
              <w:pStyle w:val="CETBodytext"/>
              <w:rPr>
                <w:lang w:val="en-GB"/>
              </w:rPr>
            </w:pPr>
            <w:r>
              <w:rPr>
                <w:i/>
              </w:rPr>
              <w:t xml:space="preserve">With liquor </w:t>
            </w:r>
            <w:r w:rsidR="000E6DA9" w:rsidRPr="000E6DA9">
              <w:rPr>
                <w:i/>
              </w:rPr>
              <w:t>recycling</w:t>
            </w:r>
          </w:p>
        </w:tc>
        <w:tc>
          <w:tcPr>
            <w:tcW w:w="1843" w:type="dxa"/>
            <w:tcBorders>
              <w:top w:val="single" w:sz="12" w:space="0" w:color="008000"/>
              <w:bottom w:val="single" w:sz="6" w:space="0" w:color="008000"/>
            </w:tcBorders>
            <w:shd w:val="clear" w:color="auto" w:fill="FFFFFF"/>
          </w:tcPr>
          <w:p w14:paraId="08041553" w14:textId="3A6FE047" w:rsidR="00EB264F" w:rsidRPr="00203AC9" w:rsidRDefault="00EB264F">
            <w:pPr>
              <w:pStyle w:val="CETBodytext"/>
              <w:rPr>
                <w:lang w:val="en-GB"/>
              </w:rPr>
            </w:pPr>
            <w:r>
              <w:rPr>
                <w:i/>
              </w:rPr>
              <w:t xml:space="preserve">Without liquor </w:t>
            </w:r>
            <w:r w:rsidR="000E6DA9" w:rsidRPr="000E6DA9">
              <w:rPr>
                <w:i/>
              </w:rPr>
              <w:t>recycling</w:t>
            </w:r>
          </w:p>
        </w:tc>
      </w:tr>
      <w:tr w:rsidR="00340712" w:rsidRPr="00203AC9" w14:paraId="7E2EC132" w14:textId="77777777" w:rsidTr="00193979">
        <w:tc>
          <w:tcPr>
            <w:tcW w:w="3402" w:type="dxa"/>
            <w:shd w:val="clear" w:color="auto" w:fill="FFFFFF"/>
          </w:tcPr>
          <w:p w14:paraId="3C91B979" w14:textId="2CA05F9C" w:rsidR="00545452" w:rsidRDefault="001A057B" w:rsidP="00545452">
            <w:pPr>
              <w:pStyle w:val="CETBodytext"/>
            </w:pPr>
            <w:r w:rsidRPr="001A057B">
              <w:t xml:space="preserve">Residual liquid after lignin precipitation </w:t>
            </w:r>
            <w:r w:rsidR="00EB264F">
              <w:t>(l)</w:t>
            </w:r>
          </w:p>
        </w:tc>
        <w:tc>
          <w:tcPr>
            <w:tcW w:w="1701" w:type="dxa"/>
            <w:shd w:val="clear" w:color="auto" w:fill="FFFFFF"/>
            <w:vAlign w:val="bottom"/>
          </w:tcPr>
          <w:p w14:paraId="3D852DF3" w14:textId="65BB517D" w:rsidR="00545452" w:rsidRPr="00B319AA" w:rsidRDefault="00545452" w:rsidP="00545452">
            <w:pPr>
              <w:pStyle w:val="CETBodytext"/>
            </w:pPr>
            <w:r w:rsidRPr="00B319AA">
              <w:t>148.65</w:t>
            </w:r>
          </w:p>
        </w:tc>
        <w:tc>
          <w:tcPr>
            <w:tcW w:w="1843" w:type="dxa"/>
            <w:shd w:val="clear" w:color="auto" w:fill="FFFFFF"/>
            <w:vAlign w:val="bottom"/>
          </w:tcPr>
          <w:p w14:paraId="394098B2" w14:textId="776644BC" w:rsidR="00545452" w:rsidRDefault="00545452" w:rsidP="00545452">
            <w:pPr>
              <w:pStyle w:val="CETBodytext"/>
            </w:pPr>
            <w:r w:rsidRPr="00B319AA">
              <w:t>148.6</w:t>
            </w:r>
            <w:r w:rsidR="00D5403B">
              <w:t>5</w:t>
            </w:r>
          </w:p>
        </w:tc>
      </w:tr>
      <w:tr w:rsidR="00340712" w:rsidRPr="00203AC9" w14:paraId="0A62064D" w14:textId="77777777" w:rsidTr="00193979">
        <w:tc>
          <w:tcPr>
            <w:tcW w:w="3402" w:type="dxa"/>
            <w:shd w:val="clear" w:color="auto" w:fill="FFFFFF"/>
          </w:tcPr>
          <w:p w14:paraId="62B6A7E1" w14:textId="0B841451" w:rsidR="00545452" w:rsidRDefault="00545452" w:rsidP="00545452">
            <w:pPr>
              <w:pStyle w:val="CETBodytext"/>
            </w:pPr>
            <w:r>
              <w:t>Evaporated ethanol (l)</w:t>
            </w:r>
          </w:p>
        </w:tc>
        <w:tc>
          <w:tcPr>
            <w:tcW w:w="1701" w:type="dxa"/>
            <w:shd w:val="clear" w:color="auto" w:fill="FFFFFF"/>
            <w:vAlign w:val="bottom"/>
          </w:tcPr>
          <w:p w14:paraId="1453413A" w14:textId="1FBAE025" w:rsidR="00545452" w:rsidRDefault="00545452" w:rsidP="00545452">
            <w:pPr>
              <w:pStyle w:val="CETBodytext"/>
            </w:pPr>
            <w:r w:rsidRPr="00B319AA">
              <w:t>14.56</w:t>
            </w:r>
          </w:p>
        </w:tc>
        <w:tc>
          <w:tcPr>
            <w:tcW w:w="1843" w:type="dxa"/>
            <w:shd w:val="clear" w:color="auto" w:fill="FFFFFF"/>
            <w:vAlign w:val="bottom"/>
          </w:tcPr>
          <w:p w14:paraId="58FA036B" w14:textId="1E29AF9D" w:rsidR="00545452" w:rsidRDefault="00545452" w:rsidP="00545452">
            <w:pPr>
              <w:pStyle w:val="CETBodytext"/>
            </w:pPr>
            <w:r w:rsidRPr="00B319AA">
              <w:t>14.5</w:t>
            </w:r>
            <w:r w:rsidR="00D5403B">
              <w:t>6</w:t>
            </w:r>
          </w:p>
        </w:tc>
      </w:tr>
      <w:tr w:rsidR="00340712" w:rsidRPr="00203AC9" w14:paraId="01199C26" w14:textId="77777777" w:rsidTr="00193979">
        <w:tc>
          <w:tcPr>
            <w:tcW w:w="3402" w:type="dxa"/>
            <w:shd w:val="clear" w:color="auto" w:fill="FFFFFF"/>
          </w:tcPr>
          <w:p w14:paraId="6D98770F" w14:textId="296325FF" w:rsidR="00545452" w:rsidRDefault="00545452" w:rsidP="00545452">
            <w:pPr>
              <w:pStyle w:val="CETBodytext"/>
            </w:pPr>
            <w:r>
              <w:t>Evaporated water (l)</w:t>
            </w:r>
          </w:p>
        </w:tc>
        <w:tc>
          <w:tcPr>
            <w:tcW w:w="1701" w:type="dxa"/>
            <w:shd w:val="clear" w:color="auto" w:fill="FFFFFF"/>
            <w:vAlign w:val="bottom"/>
          </w:tcPr>
          <w:p w14:paraId="0D1C7868" w14:textId="45C42057" w:rsidR="00545452" w:rsidRDefault="00545452" w:rsidP="00545452">
            <w:pPr>
              <w:pStyle w:val="CETBodytext"/>
            </w:pPr>
            <w:r w:rsidRPr="00B319AA">
              <w:t>39.42</w:t>
            </w:r>
          </w:p>
        </w:tc>
        <w:tc>
          <w:tcPr>
            <w:tcW w:w="1843" w:type="dxa"/>
            <w:shd w:val="clear" w:color="auto" w:fill="FFFFFF"/>
            <w:vAlign w:val="bottom"/>
          </w:tcPr>
          <w:p w14:paraId="1843EE4C" w14:textId="26C159DD" w:rsidR="00545452" w:rsidRDefault="00545452" w:rsidP="00545452">
            <w:pPr>
              <w:pStyle w:val="CETBodytext"/>
            </w:pPr>
            <w:r w:rsidRPr="00B319AA">
              <w:t>39.4</w:t>
            </w:r>
            <w:r w:rsidR="00D5403B">
              <w:t>2</w:t>
            </w:r>
          </w:p>
        </w:tc>
      </w:tr>
      <w:tr w:rsidR="002E512A" w:rsidRPr="00203AC9" w14:paraId="0D198A78" w14:textId="77777777" w:rsidTr="00193979">
        <w:tc>
          <w:tcPr>
            <w:tcW w:w="3402" w:type="dxa"/>
            <w:shd w:val="clear" w:color="auto" w:fill="FFFFFF"/>
          </w:tcPr>
          <w:p w14:paraId="080441F6" w14:textId="2913F6DC" w:rsidR="002E512A" w:rsidRDefault="00193979" w:rsidP="002E512A">
            <w:pPr>
              <w:pStyle w:val="CETBodytext"/>
            </w:pPr>
            <w:r>
              <w:t xml:space="preserve">Sold residue from </w:t>
            </w:r>
            <w:r w:rsidR="00245ED9">
              <w:t>o</w:t>
            </w:r>
            <w:r w:rsidR="002E512A">
              <w:t>rganosolv</w:t>
            </w:r>
            <w:r w:rsidR="008475B1">
              <w:t xml:space="preserve"> </w:t>
            </w:r>
            <w:r w:rsidR="002E512A">
              <w:t>(kg)</w:t>
            </w:r>
          </w:p>
        </w:tc>
        <w:tc>
          <w:tcPr>
            <w:tcW w:w="1701" w:type="dxa"/>
            <w:shd w:val="clear" w:color="auto" w:fill="FFFFFF"/>
            <w:vAlign w:val="bottom"/>
          </w:tcPr>
          <w:p w14:paraId="2663290D" w14:textId="0CFF4B9C" w:rsidR="002E512A" w:rsidRDefault="002E512A" w:rsidP="002E512A">
            <w:pPr>
              <w:pStyle w:val="CETBodytext"/>
            </w:pPr>
            <w:r w:rsidRPr="00B319AA">
              <w:t>2.98</w:t>
            </w:r>
          </w:p>
        </w:tc>
        <w:tc>
          <w:tcPr>
            <w:tcW w:w="1843" w:type="dxa"/>
            <w:shd w:val="clear" w:color="auto" w:fill="FFFFFF"/>
            <w:vAlign w:val="bottom"/>
          </w:tcPr>
          <w:p w14:paraId="452A916B" w14:textId="5F6D850D" w:rsidR="002E512A" w:rsidRDefault="002E512A" w:rsidP="002E512A">
            <w:pPr>
              <w:pStyle w:val="CETBodytext"/>
            </w:pPr>
            <w:r w:rsidRPr="00B319AA">
              <w:t>2.9</w:t>
            </w:r>
            <w:r>
              <w:t>8</w:t>
            </w:r>
          </w:p>
        </w:tc>
      </w:tr>
      <w:tr w:rsidR="002E512A" w:rsidRPr="00203AC9" w14:paraId="1DF653F7" w14:textId="77777777" w:rsidTr="00193979">
        <w:tc>
          <w:tcPr>
            <w:tcW w:w="3402" w:type="dxa"/>
            <w:shd w:val="clear" w:color="auto" w:fill="FFFFFF"/>
          </w:tcPr>
          <w:p w14:paraId="3CD1FE86" w14:textId="1DC3E341" w:rsidR="002E512A" w:rsidRDefault="002E512A" w:rsidP="002E512A">
            <w:pPr>
              <w:pStyle w:val="CETBodytext"/>
            </w:pPr>
            <w:r>
              <w:t>Lost solids (kg)</w:t>
            </w:r>
          </w:p>
        </w:tc>
        <w:tc>
          <w:tcPr>
            <w:tcW w:w="1701" w:type="dxa"/>
            <w:shd w:val="clear" w:color="auto" w:fill="FFFFFF"/>
            <w:vAlign w:val="bottom"/>
          </w:tcPr>
          <w:p w14:paraId="5F1E218F" w14:textId="74F3F61D" w:rsidR="002E512A" w:rsidRDefault="002E512A" w:rsidP="002E512A">
            <w:pPr>
              <w:pStyle w:val="CETBodytext"/>
            </w:pPr>
            <w:r w:rsidRPr="00B319AA">
              <w:t>2.17</w:t>
            </w:r>
          </w:p>
        </w:tc>
        <w:tc>
          <w:tcPr>
            <w:tcW w:w="1843" w:type="dxa"/>
            <w:shd w:val="clear" w:color="auto" w:fill="FFFFFF"/>
            <w:vAlign w:val="bottom"/>
          </w:tcPr>
          <w:p w14:paraId="21FA64B6" w14:textId="3F3F92E5" w:rsidR="002E512A" w:rsidRDefault="002E512A" w:rsidP="002E512A">
            <w:pPr>
              <w:pStyle w:val="CETBodytext"/>
            </w:pPr>
            <w:r w:rsidRPr="00B319AA">
              <w:t>2.</w:t>
            </w:r>
            <w:r w:rsidR="008A4D03">
              <w:t>17</w:t>
            </w:r>
          </w:p>
        </w:tc>
      </w:tr>
      <w:tr w:rsidR="00340712" w:rsidRPr="00203AC9" w14:paraId="41B53D0A" w14:textId="77777777" w:rsidTr="00193979">
        <w:tc>
          <w:tcPr>
            <w:tcW w:w="3402" w:type="dxa"/>
            <w:shd w:val="clear" w:color="auto" w:fill="FFFFFF"/>
          </w:tcPr>
          <w:p w14:paraId="4E881CAB" w14:textId="46446915" w:rsidR="002E512A" w:rsidRDefault="001A057B" w:rsidP="002E512A">
            <w:pPr>
              <w:pStyle w:val="CETBodytext"/>
            </w:pPr>
            <w:r>
              <w:t xml:space="preserve">Autohydrolysis </w:t>
            </w:r>
            <w:r w:rsidR="00245ED9">
              <w:t>l</w:t>
            </w:r>
            <w:r w:rsidR="00912D39">
              <w:t>iquor (l)</w:t>
            </w:r>
          </w:p>
        </w:tc>
        <w:tc>
          <w:tcPr>
            <w:tcW w:w="1701" w:type="dxa"/>
            <w:shd w:val="clear" w:color="auto" w:fill="FFFFFF"/>
            <w:vAlign w:val="bottom"/>
          </w:tcPr>
          <w:p w14:paraId="56C0B52C" w14:textId="609A02D9" w:rsidR="002E512A" w:rsidRDefault="00912D39" w:rsidP="002E512A">
            <w:pPr>
              <w:pStyle w:val="CETBodytext"/>
            </w:pPr>
            <w:r w:rsidRPr="00B319AA">
              <w:t>83.</w:t>
            </w:r>
            <w:r>
              <w:t>36</w:t>
            </w:r>
          </w:p>
        </w:tc>
        <w:tc>
          <w:tcPr>
            <w:tcW w:w="1843" w:type="dxa"/>
            <w:shd w:val="clear" w:color="auto" w:fill="FFFFFF"/>
            <w:vAlign w:val="bottom"/>
          </w:tcPr>
          <w:p w14:paraId="39F33140" w14:textId="4498E683" w:rsidR="002E512A" w:rsidRPr="009736B4" w:rsidRDefault="00912D39" w:rsidP="002E512A">
            <w:pPr>
              <w:pStyle w:val="CETBodytext"/>
              <w:rPr>
                <w:lang w:val="it-IT"/>
              </w:rPr>
            </w:pPr>
            <w:r>
              <w:t>-</w:t>
            </w:r>
          </w:p>
        </w:tc>
      </w:tr>
    </w:tbl>
    <w:p w14:paraId="68D26B83" w14:textId="2D6B8EB4" w:rsidR="00600535" w:rsidRPr="00203AC9" w:rsidRDefault="00600535" w:rsidP="00600535">
      <w:pPr>
        <w:pStyle w:val="CETHeading1"/>
        <w:rPr>
          <w:lang w:val="en-GB"/>
        </w:rPr>
      </w:pPr>
      <w:r w:rsidRPr="00203AC9">
        <w:rPr>
          <w:lang w:val="en-GB"/>
        </w:rPr>
        <w:t>Conclusions</w:t>
      </w:r>
    </w:p>
    <w:p w14:paraId="227BB436" w14:textId="30FDDBA8" w:rsidR="00F20FC7" w:rsidRPr="00203AC9" w:rsidRDefault="00F20FC7" w:rsidP="00F20FC7">
      <w:pPr>
        <w:pStyle w:val="CETBodytext"/>
      </w:pPr>
      <w:r w:rsidRPr="00203AC9">
        <w:t xml:space="preserve">This research focused on </w:t>
      </w:r>
      <w:r w:rsidR="00F06301">
        <w:t xml:space="preserve">the discussion </w:t>
      </w:r>
      <w:r w:rsidR="007012FE">
        <w:t xml:space="preserve">and investigation of </w:t>
      </w:r>
      <w:r w:rsidRPr="00203AC9">
        <w:t xml:space="preserve">the combined </w:t>
      </w:r>
      <w:r w:rsidR="00CC0987">
        <w:t>treatments</w:t>
      </w:r>
      <w:r w:rsidRPr="00203AC9">
        <w:t xml:space="preserve"> of autohydrolysis and </w:t>
      </w:r>
      <w:r w:rsidR="001C1851" w:rsidRPr="00203AC9">
        <w:t>organosolv</w:t>
      </w:r>
      <w:r w:rsidRPr="00203AC9">
        <w:t xml:space="preserve"> for the recovery of cellulose and lignin from agri-food waste in a </w:t>
      </w:r>
      <w:r w:rsidR="00CC0987">
        <w:t xml:space="preserve">more </w:t>
      </w:r>
      <w:r w:rsidRPr="00203AC9">
        <w:t>sustainable way</w:t>
      </w:r>
      <w:r w:rsidR="0092572A">
        <w:t xml:space="preserve"> </w:t>
      </w:r>
      <w:r w:rsidR="000E6DA9">
        <w:t>concerning</w:t>
      </w:r>
      <w:r w:rsidR="0092572A">
        <w:t xml:space="preserve"> the traditional process which involves </w:t>
      </w:r>
      <w:r w:rsidR="005D7443">
        <w:t>acid and alkaline hydrolysis</w:t>
      </w:r>
      <w:r w:rsidR="00A71A82">
        <w:t xml:space="preserve">. </w:t>
      </w:r>
      <w:r w:rsidR="001A7542" w:rsidRPr="001A7542">
        <w:t xml:space="preserve">Starting with wheat straw as </w:t>
      </w:r>
      <w:r w:rsidR="000E6DA9">
        <w:t xml:space="preserve">the </w:t>
      </w:r>
      <w:r w:rsidR="001A7542">
        <w:t>selected</w:t>
      </w:r>
      <w:r w:rsidR="001A7542" w:rsidRPr="001A7542">
        <w:t xml:space="preserve"> lignocellulosic residue, the two treatments were analyzed sequentially. </w:t>
      </w:r>
      <w:r w:rsidR="00871C28">
        <w:t>As regard</w:t>
      </w:r>
      <w:r w:rsidR="000E6DA9">
        <w:t>s</w:t>
      </w:r>
      <w:r w:rsidR="001A7542" w:rsidRPr="001A7542">
        <w:t xml:space="preserve"> autohydrolysis, whose operating conditions were obtained </w:t>
      </w:r>
      <w:r w:rsidR="000E6DA9">
        <w:t>using</w:t>
      </w:r>
      <w:r w:rsidR="001A7542" w:rsidRPr="001A7542">
        <w:t xml:space="preserve"> a previously validated mathematical model, an almost complete degradation of the hemicellulose </w:t>
      </w:r>
      <w:r w:rsidR="00871C28">
        <w:t>has been</w:t>
      </w:r>
      <w:r w:rsidR="001A7542" w:rsidRPr="001A7542">
        <w:t xml:space="preserve"> </w:t>
      </w:r>
      <w:r w:rsidR="004F48D0">
        <w:t xml:space="preserve">evaluated </w:t>
      </w:r>
      <w:r w:rsidR="001A7542" w:rsidRPr="001A7542">
        <w:t xml:space="preserve">and at the same time a high recovery of cellulose and lignin was evidenced. </w:t>
      </w:r>
      <w:r w:rsidR="004F48D0">
        <w:t xml:space="preserve">Then, </w:t>
      </w:r>
      <w:r w:rsidR="001A7542" w:rsidRPr="001A7542">
        <w:t xml:space="preserve">the subsequent organosolv treatment allowed the separation of cellulose from lignin, obtaining a lignin recovery </w:t>
      </w:r>
      <w:r w:rsidR="004F48D0">
        <w:t>up to</w:t>
      </w:r>
      <w:r w:rsidR="001A7542" w:rsidRPr="001A7542">
        <w:t xml:space="preserve"> about 20</w:t>
      </w:r>
      <w:r w:rsidR="004F48D0">
        <w:t>%</w:t>
      </w:r>
      <w:r w:rsidR="001A7542" w:rsidRPr="001A7542">
        <w:t xml:space="preserve"> and a final solid whose lignin content was reduced up to 12</w:t>
      </w:r>
      <w:r w:rsidR="004F48D0">
        <w:t>%</w:t>
      </w:r>
      <w:r w:rsidR="001A7542" w:rsidRPr="001A7542">
        <w:t xml:space="preserve"> with a high recovery of cellulose. The optimal operating conditions of the latter treatment were investigated </w:t>
      </w:r>
      <w:r w:rsidR="004F48D0">
        <w:t>and selected</w:t>
      </w:r>
      <w:r w:rsidR="001A7542" w:rsidRPr="001A7542">
        <w:t xml:space="preserve"> by varying the operating temperature and the solid-to-liquid ratio. It is useful to highlight how this combined process resulted in an overall cellulose </w:t>
      </w:r>
      <w:r w:rsidR="00B92932">
        <w:t>and lignin</w:t>
      </w:r>
      <w:r w:rsidR="001A7542" w:rsidRPr="001A7542">
        <w:t xml:space="preserve"> recovery from wheat straw of about 75.4</w:t>
      </w:r>
      <w:r w:rsidR="004F48D0">
        <w:t>%</w:t>
      </w:r>
      <w:r w:rsidR="00B92932">
        <w:t xml:space="preserve"> and 20% respectively, avoiding the use of acid and alkaline solvent</w:t>
      </w:r>
      <w:r w:rsidR="000E6DA9">
        <w:t>s</w:t>
      </w:r>
      <w:r w:rsidR="00B92932">
        <w:t xml:space="preserve"> that</w:t>
      </w:r>
      <w:r w:rsidR="006F301E">
        <w:t xml:space="preserve"> </w:t>
      </w:r>
      <w:r w:rsidR="006D6A73">
        <w:t>have a high environmental impact</w:t>
      </w:r>
      <w:r w:rsidR="001A7542" w:rsidRPr="001A7542">
        <w:t>.</w:t>
      </w:r>
      <w:r w:rsidR="00D23C55">
        <w:t xml:space="preserve"> Moreover</w:t>
      </w:r>
      <w:r w:rsidR="00D23C55" w:rsidRPr="00D23C55">
        <w:t xml:space="preserve">, </w:t>
      </w:r>
      <w:r w:rsidR="00D23C55" w:rsidRPr="00D23C55">
        <w:lastRenderedPageBreak/>
        <w:t xml:space="preserve">the presented process included the </w:t>
      </w:r>
      <w:r w:rsidR="00D23C55">
        <w:t>recycl</w:t>
      </w:r>
      <w:r w:rsidR="000E6DA9">
        <w:t>ing</w:t>
      </w:r>
      <w:r w:rsidR="00D23C55" w:rsidRPr="00D23C55">
        <w:t xml:space="preserve"> of the acid </w:t>
      </w:r>
      <w:r w:rsidR="00D23C55">
        <w:t xml:space="preserve">liquor </w:t>
      </w:r>
      <w:r w:rsidR="00D23C55" w:rsidRPr="00D23C55">
        <w:t xml:space="preserve">produced during the autohydrolysis treatment for production with </w:t>
      </w:r>
      <w:r w:rsidR="004E560B">
        <w:t>ethanol of</w:t>
      </w:r>
      <w:r w:rsidR="00D23C55" w:rsidRPr="00D23C55">
        <w:t xml:space="preserve"> solvent to be used in orga</w:t>
      </w:r>
      <w:r w:rsidR="004E560B">
        <w:t>no</w:t>
      </w:r>
      <w:r w:rsidR="00D23C55" w:rsidRPr="00D23C55">
        <w:t>solv. This resulted in a savings of about 36% in water consumption based on a production of 1 kg</w:t>
      </w:r>
      <w:r w:rsidR="004E560B">
        <w:t xml:space="preserve"> of </w:t>
      </w:r>
      <w:proofErr w:type="spellStart"/>
      <w:r w:rsidR="004E560B">
        <w:t>vitrimers</w:t>
      </w:r>
      <w:proofErr w:type="spellEnd"/>
      <w:r w:rsidR="00D23C55" w:rsidRPr="00D23C55">
        <w:t xml:space="preserve">, thus reducing the potential environmental impact. </w:t>
      </w:r>
      <w:r w:rsidR="0003317D">
        <w:t>As mentioned, t</w:t>
      </w:r>
      <w:r w:rsidR="00D23C55" w:rsidRPr="00D23C55">
        <w:t>his work aimed to present the potential</w:t>
      </w:r>
      <w:r w:rsidR="0003317D">
        <w:t>ity</w:t>
      </w:r>
      <w:r w:rsidR="00D23C55" w:rsidRPr="00D23C55">
        <w:t xml:space="preserve"> of this new process, which, however, can be further investigated and analyzed to increase its sustainability both from an economic and environmental point of view</w:t>
      </w:r>
      <w:r w:rsidR="00896822">
        <w:t xml:space="preserve"> (e.g. LCA analysis)</w:t>
      </w:r>
      <w:r w:rsidR="00D23C55" w:rsidRPr="00D23C55">
        <w:t>. For example, the residual solid still contains a significant fraction of lignin (about 12</w:t>
      </w:r>
      <w:r w:rsidR="0003317D">
        <w:t>%</w:t>
      </w:r>
      <w:r w:rsidR="00D23C55" w:rsidRPr="00D23C55">
        <w:t>)</w:t>
      </w:r>
      <w:r w:rsidR="000E6DA9">
        <w:t>,</w:t>
      </w:r>
      <w:r w:rsidR="00D23C55" w:rsidRPr="00D23C55">
        <w:t xml:space="preserve"> and therefore the organosolv process can be further optimized to fully recover all the lignin present. A further example can be related to ethanol recovery. In fact, the residual </w:t>
      </w:r>
      <w:r w:rsidR="0003317D">
        <w:t>liquor</w:t>
      </w:r>
      <w:r w:rsidR="00D23C55" w:rsidRPr="00D23C55">
        <w:t xml:space="preserve"> after lignin precipitation will have to be analyzed to verify its actual ethanol content and estimate </w:t>
      </w:r>
      <w:r w:rsidR="00D40554">
        <w:t>its</w:t>
      </w:r>
      <w:r w:rsidR="00D23C55" w:rsidRPr="00D23C55">
        <w:t xml:space="preserve"> possible recovery</w:t>
      </w:r>
      <w:r w:rsidR="005D59E0">
        <w:t>.</w:t>
      </w:r>
    </w:p>
    <w:p w14:paraId="092A958E" w14:textId="51BB3966" w:rsidR="00DC5369" w:rsidRPr="00203AC9" w:rsidRDefault="00DC5369" w:rsidP="00203AC9">
      <w:pPr>
        <w:pStyle w:val="CETAcknowledgementstitle"/>
      </w:pPr>
      <w:r w:rsidRPr="00203AC9">
        <w:t xml:space="preserve">Acknowledgments </w:t>
      </w:r>
    </w:p>
    <w:p w14:paraId="41B83157" w14:textId="14AF991F" w:rsidR="00DC5369" w:rsidRDefault="00DC5369" w:rsidP="00DC5369">
      <w:pPr>
        <w:pStyle w:val="CETBodytext"/>
        <w:rPr>
          <w:lang w:val="en-GB"/>
        </w:rPr>
      </w:pPr>
      <w:r w:rsidRPr="00203AC9">
        <w:rPr>
          <w:lang w:val="en-GB"/>
        </w:rPr>
        <w:t xml:space="preserve">This research was supported and funded by Fondazione Cariplo through the project “CYCLEVIT - Closing the loop: Green process for transforming highly heterogeneous biomasses into novel bio-based </w:t>
      </w:r>
      <w:proofErr w:type="spellStart"/>
      <w:r w:rsidRPr="00203AC9">
        <w:rPr>
          <w:lang w:val="en-GB"/>
        </w:rPr>
        <w:t>vitrimer</w:t>
      </w:r>
      <w:proofErr w:type="spellEnd"/>
      <w:r w:rsidRPr="00203AC9">
        <w:rPr>
          <w:lang w:val="en-GB"/>
        </w:rPr>
        <w:t xml:space="preserve"> composites” (2021-0757 grant) and by </w:t>
      </w:r>
      <w:r w:rsidR="00B0437D" w:rsidRPr="00B0437D">
        <w:rPr>
          <w:lang w:val="en-GB"/>
        </w:rPr>
        <w:t>National Research Centre for Agricultural Technologies (</w:t>
      </w:r>
      <w:proofErr w:type="spellStart"/>
      <w:r w:rsidR="00B0437D" w:rsidRPr="00B0437D">
        <w:rPr>
          <w:lang w:val="en-GB"/>
        </w:rPr>
        <w:t>Agritech</w:t>
      </w:r>
      <w:proofErr w:type="spellEnd"/>
      <w:r w:rsidR="00B0437D" w:rsidRPr="00B0437D">
        <w:rPr>
          <w:lang w:val="en-GB"/>
        </w:rPr>
        <w:t xml:space="preserve">)” CN00000022. PNRR-M4C2, Investment 1.4 - Funded by the European Union - </w:t>
      </w:r>
      <w:proofErr w:type="spellStart"/>
      <w:r w:rsidR="00B0437D" w:rsidRPr="00B0437D">
        <w:rPr>
          <w:lang w:val="en-GB"/>
        </w:rPr>
        <w:t>NextGenerationEU</w:t>
      </w:r>
      <w:proofErr w:type="spellEnd"/>
      <w:r w:rsidR="00B0437D" w:rsidRPr="00B0437D">
        <w:rPr>
          <w:lang w:val="en-GB"/>
        </w:rPr>
        <w:t>” - CUP: J33C22001160007.</w:t>
      </w:r>
    </w:p>
    <w:p w14:paraId="3B90419E" w14:textId="1FC9BE0D" w:rsidR="00715C2F" w:rsidRPr="00203AC9" w:rsidRDefault="00715C2F" w:rsidP="00715C2F">
      <w:pPr>
        <w:pStyle w:val="CETAcknowledgementstitle"/>
      </w:pPr>
      <w:r>
        <w:t>Reference</w:t>
      </w:r>
      <w:r w:rsidRPr="00203AC9">
        <w:t xml:space="preserve">s </w:t>
      </w:r>
    </w:p>
    <w:p w14:paraId="2FC0F05F" w14:textId="77777777" w:rsidR="00EF0EA6" w:rsidRDefault="00EF0EA6" w:rsidP="00EF0EA6">
      <w:pPr>
        <w:pStyle w:val="CETReferencetext"/>
      </w:pPr>
      <w:r>
        <w:t>Baruah J., Nath B. K., Sharma R., Kumar S., Deka R. C., Baruah D. C., Kalita E., 2018, Recent trends in the pretreatment of lignocellulosic biomass for value-added products, Frontiers in Energy Research, 6, 141.</w:t>
      </w:r>
    </w:p>
    <w:p w14:paraId="17D23545" w14:textId="77777777" w:rsidR="00EF0EA6" w:rsidRDefault="00EF0EA6" w:rsidP="00EF0EA6">
      <w:pPr>
        <w:pStyle w:val="CETReferencetext"/>
      </w:pPr>
      <w:r>
        <w:t>Bassani A., Fiorentini C., Garrido G. D., Carullo D., Spigno G., 2021, Kinetic model of wheat straw autohydrolysis considering heating and cooling phases, Chemical Engineering Transactions, 87, 199-204.</w:t>
      </w:r>
    </w:p>
    <w:p w14:paraId="765259DA" w14:textId="77777777" w:rsidR="00EF0EA6" w:rsidRDefault="00EF0EA6" w:rsidP="00EF0EA6">
      <w:pPr>
        <w:pStyle w:val="CETReferencetext"/>
      </w:pPr>
      <w:r>
        <w:t xml:space="preserve">Bassani A., Fiorentini C., Vadivel V., </w:t>
      </w:r>
      <w:proofErr w:type="spellStart"/>
      <w:r>
        <w:t>Moncalvo</w:t>
      </w:r>
      <w:proofErr w:type="spellEnd"/>
      <w:r>
        <w:t xml:space="preserve"> A., Spigno G., 2020, Implementation of auto-hydrolysis process for the recovery of antioxidants and cellulose from wheat straw, Applied Sciences, 10(17), 6112. </w:t>
      </w:r>
    </w:p>
    <w:p w14:paraId="504DEC77" w14:textId="77777777" w:rsidR="00EF0EA6" w:rsidRDefault="00EF0EA6" w:rsidP="00EF0EA6">
      <w:pPr>
        <w:pStyle w:val="CETReferencetext"/>
      </w:pPr>
      <w:r>
        <w:t xml:space="preserve">Cheng B., Wang X., Lin Q., Zhang X., Meng L., Sun R.C., Xin F., Ren J., 2018, New understandings of the relationship and initial formation mechanism for pseudo-lignin, </w:t>
      </w:r>
      <w:proofErr w:type="spellStart"/>
      <w:r>
        <w:t>humins</w:t>
      </w:r>
      <w:proofErr w:type="spellEnd"/>
      <w:r>
        <w:t>, and acid-induced hydrothermal carbon, J. Agric. Food Chem, 66, 11981–11989.</w:t>
      </w:r>
    </w:p>
    <w:p w14:paraId="58757D33" w14:textId="77777777" w:rsidR="00EF0EA6" w:rsidRDefault="00EF0EA6" w:rsidP="00EF0EA6">
      <w:pPr>
        <w:pStyle w:val="CETReferencetext"/>
      </w:pPr>
      <w:r>
        <w:t xml:space="preserve">de la Torre M. J., Moral A., Hernández M. D., Cabeza E., Tijero A., 2013, Organosolv lignin for biofuel, Industrial </w:t>
      </w:r>
      <w:proofErr w:type="gramStart"/>
      <w:r>
        <w:t>crops</w:t>
      </w:r>
      <w:proofErr w:type="gramEnd"/>
      <w:r>
        <w:t xml:space="preserve"> and products, 45, 58-63. </w:t>
      </w:r>
    </w:p>
    <w:p w14:paraId="2E5103EA" w14:textId="77777777" w:rsidR="00EF0EA6" w:rsidRDefault="00EF0EA6" w:rsidP="00EF0EA6">
      <w:pPr>
        <w:pStyle w:val="CETReferencetext"/>
      </w:pPr>
      <w:proofErr w:type="spellStart"/>
      <w:r>
        <w:t>Didaoui</w:t>
      </w:r>
      <w:proofErr w:type="spellEnd"/>
      <w:r>
        <w:t xml:space="preserve"> A., Amrane A., Aksil T., </w:t>
      </w:r>
      <w:proofErr w:type="spellStart"/>
      <w:r>
        <w:t>Boubieb</w:t>
      </w:r>
      <w:proofErr w:type="spellEnd"/>
      <w:r>
        <w:t xml:space="preserve"> N., 2023, Characterization of cardinal vine shoot waste as new resource of lignocellulosic biomass and </w:t>
      </w:r>
      <w:proofErr w:type="spellStart"/>
      <w:r>
        <w:t>valorization</w:t>
      </w:r>
      <w:proofErr w:type="spellEnd"/>
      <w:r>
        <w:t xml:space="preserve"> into value-added chemical using Plackett–Burman and Box Behnken, Biomass Conversion and Biorefinery, 13(7), 6331-6344.</w:t>
      </w:r>
    </w:p>
    <w:p w14:paraId="7510018B" w14:textId="77777777" w:rsidR="00EF0EA6" w:rsidRDefault="00EF0EA6" w:rsidP="00EF0EA6">
      <w:pPr>
        <w:pStyle w:val="CETReferencetext"/>
      </w:pPr>
      <w:r>
        <w:t>Fiorentini C., Bassani A., Garrido G. D., Merino D., Perotto G., Athanassiou A., Spigno G., 2022, High-pressure autohydrolysis process of wheat straw for cellulose recovery and subsequent use in PBAT composites preparation, Biocatalysis and Agricultural Biotechnology, 39, 102282.</w:t>
      </w:r>
    </w:p>
    <w:p w14:paraId="02183406" w14:textId="164CC10A" w:rsidR="00EF0EA6" w:rsidRDefault="00EF0EA6" w:rsidP="00EF0EA6">
      <w:pPr>
        <w:pStyle w:val="CETReferencetext"/>
      </w:pPr>
      <w:r>
        <w:t xml:space="preserve">Garcia A., Amendola D., Gonzalez M., Spigno G., Labidi J., 2011, Lignin as natural radical scavenger, Study of the antioxidant capacity of apple tree pruning lignin obtained by different methods, </w:t>
      </w:r>
      <w:r w:rsidR="00291D41">
        <w:t>Chemical Engineering Transactions</w:t>
      </w:r>
      <w:r>
        <w:t>, 24</w:t>
      </w:r>
      <w:r w:rsidR="00CE706C">
        <w:t>, 925</w:t>
      </w:r>
      <w:r w:rsidR="00023E03">
        <w:t>-930</w:t>
      </w:r>
      <w:r>
        <w:t xml:space="preserve">. </w:t>
      </w:r>
    </w:p>
    <w:p w14:paraId="75908DB0" w14:textId="77777777" w:rsidR="00EF0EA6" w:rsidRDefault="00EF0EA6" w:rsidP="00EF0EA6">
      <w:pPr>
        <w:pStyle w:val="CETReferencetext"/>
      </w:pPr>
      <w:proofErr w:type="spellStart"/>
      <w:r>
        <w:t>Huijgen</w:t>
      </w:r>
      <w:proofErr w:type="spellEnd"/>
      <w:r>
        <w:t xml:space="preserve"> W.J.J., Reith J.H., den </w:t>
      </w:r>
      <w:proofErr w:type="spellStart"/>
      <w:r>
        <w:t>Uil</w:t>
      </w:r>
      <w:proofErr w:type="spellEnd"/>
      <w:r>
        <w:t xml:space="preserve"> H., 2010, Pretreatment and Fractionation of Wheat Straw by an Acetone-Based Organosolv Process, Industrial &amp; Engineering Chemistry Research, 49, 10132-10140. </w:t>
      </w:r>
    </w:p>
    <w:p w14:paraId="45988C08" w14:textId="77777777" w:rsidR="00EF0EA6" w:rsidRDefault="00EF0EA6" w:rsidP="00EF0EA6">
      <w:pPr>
        <w:pStyle w:val="CETReferencetext"/>
      </w:pPr>
      <w:r>
        <w:t>Lee H.V., Hamid S.B.A., Zain S.K., 2014, Conversion of Lignocellulosic Biomass to Nanocellulose: Structure and Chemical Process, The Scientific World Journal, 2014, 631013.</w:t>
      </w:r>
    </w:p>
    <w:p w14:paraId="0840D950" w14:textId="77777777" w:rsidR="00EF0EA6" w:rsidRDefault="00EF0EA6" w:rsidP="00EF0EA6">
      <w:pPr>
        <w:pStyle w:val="CETReferencetext"/>
      </w:pPr>
      <w:proofErr w:type="spellStart"/>
      <w:r>
        <w:t>Narisetty</w:t>
      </w:r>
      <w:proofErr w:type="spellEnd"/>
      <w:r>
        <w:t xml:space="preserve"> V., Maitra S., Tarafdar A., Alphy M. P., Kumar A. N., Madhavan A., Binod, P., 2023, Waste-derived fuels and renewable chemicals for bioeconomy promotion: a sustainable approach, </w:t>
      </w:r>
      <w:proofErr w:type="spellStart"/>
      <w:r>
        <w:t>BioEnergy</w:t>
      </w:r>
      <w:proofErr w:type="spellEnd"/>
      <w:r>
        <w:t xml:space="preserve"> Research, 16(1), 16-32. </w:t>
      </w:r>
    </w:p>
    <w:p w14:paraId="3ADD93B3" w14:textId="77777777" w:rsidR="00EF0EA6" w:rsidRDefault="00EF0EA6" w:rsidP="00EF0EA6">
      <w:pPr>
        <w:pStyle w:val="CETReferencetext"/>
      </w:pPr>
      <w:proofErr w:type="spellStart"/>
      <w:r>
        <w:t>Nitsos</w:t>
      </w:r>
      <w:proofErr w:type="spellEnd"/>
      <w:r>
        <w:t xml:space="preserve"> C. K., Choli-Papadopoulou T., Matis K. A., Triantafyllidis K. S., 2016, Optimization of hydrothermal pretreatment of hardwood and softwood lignocellulosic residues for selective hemicellulose recovery and improved cellulose enzymatic hydrolysis, ACS Sustainable Chemistry &amp; Engineering, 4(9), 4529-4544.</w:t>
      </w:r>
    </w:p>
    <w:p w14:paraId="6178185C" w14:textId="77777777" w:rsidR="00EF0EA6" w:rsidRDefault="00EF0EA6" w:rsidP="00EF0EA6">
      <w:pPr>
        <w:pStyle w:val="CETReferencetext"/>
      </w:pPr>
      <w:proofErr w:type="spellStart"/>
      <w:r>
        <w:t>Röttger</w:t>
      </w:r>
      <w:proofErr w:type="spellEnd"/>
      <w:r>
        <w:t xml:space="preserve"> M., Domenech T., Van Der </w:t>
      </w:r>
      <w:proofErr w:type="spellStart"/>
      <w:r>
        <w:t>Weegen</w:t>
      </w:r>
      <w:proofErr w:type="spellEnd"/>
      <w:r>
        <w:t xml:space="preserve"> R., </w:t>
      </w:r>
      <w:proofErr w:type="spellStart"/>
      <w:r>
        <w:t>Breuillac</w:t>
      </w:r>
      <w:proofErr w:type="spellEnd"/>
      <w:r>
        <w:t xml:space="preserve"> A., </w:t>
      </w:r>
      <w:proofErr w:type="spellStart"/>
      <w:r>
        <w:t>Nicolaÿ</w:t>
      </w:r>
      <w:proofErr w:type="spellEnd"/>
      <w:r>
        <w:t xml:space="preserve"> R., </w:t>
      </w:r>
      <w:proofErr w:type="spellStart"/>
      <w:r>
        <w:t>Leibler</w:t>
      </w:r>
      <w:proofErr w:type="spellEnd"/>
      <w:r>
        <w:t xml:space="preserve"> L., 2017, High-performance </w:t>
      </w:r>
      <w:proofErr w:type="spellStart"/>
      <w:r>
        <w:t>vitrimers</w:t>
      </w:r>
      <w:proofErr w:type="spellEnd"/>
      <w:r>
        <w:t xml:space="preserve"> from commodity thermoplastics through dioxaborolane metathesis, Science, 356(6333), 62-65.</w:t>
      </w:r>
    </w:p>
    <w:p w14:paraId="574B758F" w14:textId="77777777" w:rsidR="00EF0EA6" w:rsidRDefault="00EF0EA6" w:rsidP="00EF0EA6">
      <w:pPr>
        <w:pStyle w:val="CETReferencetext"/>
      </w:pPr>
      <w:proofErr w:type="spellStart"/>
      <w:r>
        <w:t>Sidiras</w:t>
      </w:r>
      <w:proofErr w:type="spellEnd"/>
      <w:r>
        <w:t xml:space="preserve"> D., Politi D., Giakoumakis G., </w:t>
      </w:r>
      <w:proofErr w:type="spellStart"/>
      <w:r>
        <w:t>Salapa</w:t>
      </w:r>
      <w:proofErr w:type="spellEnd"/>
      <w:r>
        <w:t xml:space="preserve"> I., 2022, Simulation and optimization of </w:t>
      </w:r>
      <w:proofErr w:type="spellStart"/>
      <w:r>
        <w:t>organosolv</w:t>
      </w:r>
      <w:proofErr w:type="spellEnd"/>
      <w:r>
        <w:t xml:space="preserve"> based lignocellulosic biomass refinery: A review, Bioresource Technology, 343, 126158.</w:t>
      </w:r>
    </w:p>
    <w:p w14:paraId="04E9DD9F" w14:textId="77777777" w:rsidR="00EF0EA6" w:rsidRDefault="00EF0EA6" w:rsidP="00EF0EA6">
      <w:pPr>
        <w:pStyle w:val="CETReferencetext"/>
      </w:pPr>
      <w:r>
        <w:t>Sluiter A., Sluiter J., Wolfrum E. J., 2013, Methods for biomass compositional analysis, Catalysis for the Conversion of Biomass and Its Derivatives, Proceedings. Vol. 2, 213–254.</w:t>
      </w:r>
    </w:p>
    <w:p w14:paraId="1AE7DB1B" w14:textId="77777777" w:rsidR="00EF0EA6" w:rsidRDefault="00EF0EA6" w:rsidP="00EF0EA6">
      <w:pPr>
        <w:pStyle w:val="CETReferencetext"/>
      </w:pPr>
      <w:r>
        <w:t xml:space="preserve">Vadivel V., </w:t>
      </w:r>
      <w:proofErr w:type="spellStart"/>
      <w:r>
        <w:t>Moncalvo</w:t>
      </w:r>
      <w:proofErr w:type="spellEnd"/>
      <w:r>
        <w:t xml:space="preserve"> A., Dordoni R., Spigno G., 2017, Effects of an acid/alkaline treatment on the release of antioxidants and cellulose from different </w:t>
      </w:r>
      <w:proofErr w:type="spellStart"/>
      <w:r>
        <w:t>agro</w:t>
      </w:r>
      <w:proofErr w:type="spellEnd"/>
      <w:r>
        <w:t>-food wastes, Waste Management, 64, 305-314.</w:t>
      </w:r>
    </w:p>
    <w:p w14:paraId="645DBA6E" w14:textId="301DF3B8" w:rsidR="00311FF6" w:rsidRPr="00B453AC" w:rsidRDefault="00EF0EA6" w:rsidP="00EF0EA6">
      <w:pPr>
        <w:pStyle w:val="CETReferencetext"/>
      </w:pPr>
      <w:r>
        <w:t xml:space="preserve">Yue L., Bonab V.S., Yuan D., Patel A., </w:t>
      </w:r>
      <w:proofErr w:type="spellStart"/>
      <w:r>
        <w:t>Karimkhani</w:t>
      </w:r>
      <w:proofErr w:type="spellEnd"/>
      <w:r>
        <w:t xml:space="preserve"> V., Manas-</w:t>
      </w:r>
      <w:proofErr w:type="spellStart"/>
      <w:r>
        <w:t>Zloczower</w:t>
      </w:r>
      <w:proofErr w:type="spellEnd"/>
      <w:r>
        <w:t xml:space="preserve"> I., 2019, </w:t>
      </w:r>
      <w:proofErr w:type="spellStart"/>
      <w:r>
        <w:t>Vitrimerization</w:t>
      </w:r>
      <w:proofErr w:type="spellEnd"/>
      <w:r>
        <w:t>: A Novel Concept to Reprocess and Recycle Thermoset Waste via Dynamic Chemistry, Global Challenges, 3, 1800076.</w:t>
      </w:r>
    </w:p>
    <w:sectPr w:rsidR="00311FF6" w:rsidRPr="00B453AC" w:rsidSect="00C32697">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318AC" w14:textId="77777777" w:rsidR="00C32697" w:rsidRDefault="00C32697" w:rsidP="004F5E36">
      <w:r>
        <w:separator/>
      </w:r>
    </w:p>
  </w:endnote>
  <w:endnote w:type="continuationSeparator" w:id="0">
    <w:p w14:paraId="48FAF158" w14:textId="77777777" w:rsidR="00C32697" w:rsidRDefault="00C32697" w:rsidP="004F5E36">
      <w:r>
        <w:continuationSeparator/>
      </w:r>
    </w:p>
  </w:endnote>
  <w:endnote w:type="continuationNotice" w:id="1">
    <w:p w14:paraId="3304DCB0" w14:textId="77777777" w:rsidR="00C32697" w:rsidRDefault="00C3269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altName w:val="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DA694" w14:textId="77777777" w:rsidR="00C32697" w:rsidRDefault="00C32697" w:rsidP="004F5E36">
      <w:r>
        <w:separator/>
      </w:r>
    </w:p>
  </w:footnote>
  <w:footnote w:type="continuationSeparator" w:id="0">
    <w:p w14:paraId="6733ABA1" w14:textId="77777777" w:rsidR="00C32697" w:rsidRDefault="00C32697" w:rsidP="004F5E36">
      <w:r>
        <w:continuationSeparator/>
      </w:r>
    </w:p>
  </w:footnote>
  <w:footnote w:type="continuationNotice" w:id="1">
    <w:p w14:paraId="3906BF93" w14:textId="77777777" w:rsidR="00C32697" w:rsidRDefault="00C32697">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0"/>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7"/>
  </w:num>
  <w:num w:numId="13" w16cid:durableId="695733619">
    <w:abstractNumId w:val="12"/>
  </w:num>
  <w:num w:numId="14" w16cid:durableId="145903400">
    <w:abstractNumId w:val="18"/>
  </w:num>
  <w:num w:numId="15" w16cid:durableId="19162326">
    <w:abstractNumId w:val="20"/>
  </w:num>
  <w:num w:numId="16" w16cid:durableId="1977102699">
    <w:abstractNumId w:val="19"/>
  </w:num>
  <w:num w:numId="17" w16cid:durableId="860774865">
    <w:abstractNumId w:val="11"/>
  </w:num>
  <w:num w:numId="18" w16cid:durableId="313221457">
    <w:abstractNumId w:val="12"/>
    <w:lvlOverride w:ilvl="0">
      <w:startOverride w:val="1"/>
    </w:lvlOverride>
  </w:num>
  <w:num w:numId="19" w16cid:durableId="534971577">
    <w:abstractNumId w:val="16"/>
  </w:num>
  <w:num w:numId="20" w16cid:durableId="1150947773">
    <w:abstractNumId w:val="15"/>
  </w:num>
  <w:num w:numId="21" w16cid:durableId="124660497">
    <w:abstractNumId w:val="14"/>
  </w:num>
  <w:num w:numId="22" w16cid:durableId="2099861471">
    <w:abstractNumId w:val="13"/>
  </w:num>
  <w:num w:numId="23" w16cid:durableId="1448812470">
    <w:abstractNumId w:val="10"/>
  </w:num>
  <w:num w:numId="24" w16cid:durableId="899637038">
    <w:abstractNumId w:val="10"/>
  </w:num>
  <w:num w:numId="25" w16cid:durableId="2736821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kwNKsFAOzIv8otAAAA"/>
  </w:docVars>
  <w:rsids>
    <w:rsidRoot w:val="000E414A"/>
    <w:rsid w:val="00000110"/>
    <w:rsid w:val="000027C0"/>
    <w:rsid w:val="00002A6D"/>
    <w:rsid w:val="000052FB"/>
    <w:rsid w:val="00007794"/>
    <w:rsid w:val="00010160"/>
    <w:rsid w:val="000117CB"/>
    <w:rsid w:val="000121D8"/>
    <w:rsid w:val="00012926"/>
    <w:rsid w:val="00012C55"/>
    <w:rsid w:val="00014948"/>
    <w:rsid w:val="00014A4C"/>
    <w:rsid w:val="000163C7"/>
    <w:rsid w:val="000164D4"/>
    <w:rsid w:val="000205FF"/>
    <w:rsid w:val="00020709"/>
    <w:rsid w:val="00020C01"/>
    <w:rsid w:val="00021090"/>
    <w:rsid w:val="00023E03"/>
    <w:rsid w:val="000255A8"/>
    <w:rsid w:val="0002664D"/>
    <w:rsid w:val="00027392"/>
    <w:rsid w:val="00030E78"/>
    <w:rsid w:val="0003148D"/>
    <w:rsid w:val="00031EEC"/>
    <w:rsid w:val="00032340"/>
    <w:rsid w:val="0003317D"/>
    <w:rsid w:val="00033F63"/>
    <w:rsid w:val="000379FF"/>
    <w:rsid w:val="00041FFE"/>
    <w:rsid w:val="0004247C"/>
    <w:rsid w:val="00046E0F"/>
    <w:rsid w:val="0004799B"/>
    <w:rsid w:val="00050260"/>
    <w:rsid w:val="00050330"/>
    <w:rsid w:val="00050D8B"/>
    <w:rsid w:val="00051566"/>
    <w:rsid w:val="00053048"/>
    <w:rsid w:val="00053A38"/>
    <w:rsid w:val="000562A9"/>
    <w:rsid w:val="00057A07"/>
    <w:rsid w:val="00057CE5"/>
    <w:rsid w:val="00060205"/>
    <w:rsid w:val="0006126E"/>
    <w:rsid w:val="00062A9A"/>
    <w:rsid w:val="000637BC"/>
    <w:rsid w:val="00064F65"/>
    <w:rsid w:val="00065058"/>
    <w:rsid w:val="00066880"/>
    <w:rsid w:val="00073A01"/>
    <w:rsid w:val="000742D5"/>
    <w:rsid w:val="000821D0"/>
    <w:rsid w:val="00083345"/>
    <w:rsid w:val="00085CC8"/>
    <w:rsid w:val="00086C39"/>
    <w:rsid w:val="000870C2"/>
    <w:rsid w:val="00091F52"/>
    <w:rsid w:val="00097305"/>
    <w:rsid w:val="000A03B2"/>
    <w:rsid w:val="000A2396"/>
    <w:rsid w:val="000A4766"/>
    <w:rsid w:val="000A4CC5"/>
    <w:rsid w:val="000A530F"/>
    <w:rsid w:val="000A53CB"/>
    <w:rsid w:val="000A5B37"/>
    <w:rsid w:val="000B076C"/>
    <w:rsid w:val="000B0D3C"/>
    <w:rsid w:val="000B5061"/>
    <w:rsid w:val="000B5319"/>
    <w:rsid w:val="000B66D0"/>
    <w:rsid w:val="000B6860"/>
    <w:rsid w:val="000B7442"/>
    <w:rsid w:val="000C0D8A"/>
    <w:rsid w:val="000C1365"/>
    <w:rsid w:val="000C202D"/>
    <w:rsid w:val="000C31A2"/>
    <w:rsid w:val="000C5664"/>
    <w:rsid w:val="000C5806"/>
    <w:rsid w:val="000C5BDF"/>
    <w:rsid w:val="000C6002"/>
    <w:rsid w:val="000D0268"/>
    <w:rsid w:val="000D0914"/>
    <w:rsid w:val="000D20FB"/>
    <w:rsid w:val="000D2B31"/>
    <w:rsid w:val="000D34BE"/>
    <w:rsid w:val="000D53CE"/>
    <w:rsid w:val="000D6953"/>
    <w:rsid w:val="000E102F"/>
    <w:rsid w:val="000E187A"/>
    <w:rsid w:val="000E36F1"/>
    <w:rsid w:val="000E3A73"/>
    <w:rsid w:val="000E414A"/>
    <w:rsid w:val="000E6537"/>
    <w:rsid w:val="000E6DA9"/>
    <w:rsid w:val="000F08B5"/>
    <w:rsid w:val="000F093C"/>
    <w:rsid w:val="000F0DE1"/>
    <w:rsid w:val="000F1ACB"/>
    <w:rsid w:val="000F1F2C"/>
    <w:rsid w:val="000F4577"/>
    <w:rsid w:val="000F4800"/>
    <w:rsid w:val="000F787B"/>
    <w:rsid w:val="000F7AD6"/>
    <w:rsid w:val="001003BB"/>
    <w:rsid w:val="001020AC"/>
    <w:rsid w:val="00102290"/>
    <w:rsid w:val="0010572E"/>
    <w:rsid w:val="0011291F"/>
    <w:rsid w:val="00113E01"/>
    <w:rsid w:val="0012091F"/>
    <w:rsid w:val="0012104D"/>
    <w:rsid w:val="0012328E"/>
    <w:rsid w:val="00123FAA"/>
    <w:rsid w:val="00124574"/>
    <w:rsid w:val="00124778"/>
    <w:rsid w:val="0012636C"/>
    <w:rsid w:val="00126BC2"/>
    <w:rsid w:val="00127BA8"/>
    <w:rsid w:val="00130405"/>
    <w:rsid w:val="001308B6"/>
    <w:rsid w:val="00130DC1"/>
    <w:rsid w:val="00130F38"/>
    <w:rsid w:val="0013121F"/>
    <w:rsid w:val="00131402"/>
    <w:rsid w:val="00131FE6"/>
    <w:rsid w:val="0013263F"/>
    <w:rsid w:val="00132CA7"/>
    <w:rsid w:val="00133145"/>
    <w:rsid w:val="001331DF"/>
    <w:rsid w:val="00133748"/>
    <w:rsid w:val="00133E5E"/>
    <w:rsid w:val="001348FF"/>
    <w:rsid w:val="00134DE4"/>
    <w:rsid w:val="0013599A"/>
    <w:rsid w:val="00135D4A"/>
    <w:rsid w:val="00137591"/>
    <w:rsid w:val="0014034D"/>
    <w:rsid w:val="00140C3E"/>
    <w:rsid w:val="001433D1"/>
    <w:rsid w:val="00144D16"/>
    <w:rsid w:val="00150E59"/>
    <w:rsid w:val="00152220"/>
    <w:rsid w:val="00152DE3"/>
    <w:rsid w:val="0015622C"/>
    <w:rsid w:val="00156592"/>
    <w:rsid w:val="00156F1A"/>
    <w:rsid w:val="00156F74"/>
    <w:rsid w:val="00161AD5"/>
    <w:rsid w:val="00164756"/>
    <w:rsid w:val="00164CF9"/>
    <w:rsid w:val="00165F87"/>
    <w:rsid w:val="001667A6"/>
    <w:rsid w:val="00167447"/>
    <w:rsid w:val="001705B1"/>
    <w:rsid w:val="0017285D"/>
    <w:rsid w:val="00173138"/>
    <w:rsid w:val="00174285"/>
    <w:rsid w:val="00176BDA"/>
    <w:rsid w:val="001770E0"/>
    <w:rsid w:val="00177282"/>
    <w:rsid w:val="00182456"/>
    <w:rsid w:val="00182788"/>
    <w:rsid w:val="00184AD6"/>
    <w:rsid w:val="00186F88"/>
    <w:rsid w:val="001872DE"/>
    <w:rsid w:val="001902AD"/>
    <w:rsid w:val="00193979"/>
    <w:rsid w:val="001971E8"/>
    <w:rsid w:val="001A057B"/>
    <w:rsid w:val="001A104D"/>
    <w:rsid w:val="001A13F4"/>
    <w:rsid w:val="001A15AD"/>
    <w:rsid w:val="001A2709"/>
    <w:rsid w:val="001A3081"/>
    <w:rsid w:val="001A3999"/>
    <w:rsid w:val="001A4781"/>
    <w:rsid w:val="001A4AF7"/>
    <w:rsid w:val="001A51EA"/>
    <w:rsid w:val="001A622B"/>
    <w:rsid w:val="001A6E32"/>
    <w:rsid w:val="001A7542"/>
    <w:rsid w:val="001B0349"/>
    <w:rsid w:val="001B0412"/>
    <w:rsid w:val="001B128E"/>
    <w:rsid w:val="001B1E93"/>
    <w:rsid w:val="001B28A2"/>
    <w:rsid w:val="001B2CC4"/>
    <w:rsid w:val="001B3EB7"/>
    <w:rsid w:val="001B43F3"/>
    <w:rsid w:val="001B4E20"/>
    <w:rsid w:val="001B62E9"/>
    <w:rsid w:val="001B65C1"/>
    <w:rsid w:val="001C0D67"/>
    <w:rsid w:val="001C1851"/>
    <w:rsid w:val="001C1A59"/>
    <w:rsid w:val="001C1C2D"/>
    <w:rsid w:val="001C3B12"/>
    <w:rsid w:val="001C684B"/>
    <w:rsid w:val="001C7C90"/>
    <w:rsid w:val="001D0CFB"/>
    <w:rsid w:val="001D11CF"/>
    <w:rsid w:val="001D1FDD"/>
    <w:rsid w:val="001D21AF"/>
    <w:rsid w:val="001D4634"/>
    <w:rsid w:val="001D5370"/>
    <w:rsid w:val="001D53FC"/>
    <w:rsid w:val="001D7F02"/>
    <w:rsid w:val="001E44CD"/>
    <w:rsid w:val="001E44D7"/>
    <w:rsid w:val="001E6AA7"/>
    <w:rsid w:val="001E783D"/>
    <w:rsid w:val="001F0A98"/>
    <w:rsid w:val="001F0E7D"/>
    <w:rsid w:val="001F1D3D"/>
    <w:rsid w:val="001F42A5"/>
    <w:rsid w:val="001F7014"/>
    <w:rsid w:val="001F763C"/>
    <w:rsid w:val="001F7B9D"/>
    <w:rsid w:val="00201C93"/>
    <w:rsid w:val="002023AE"/>
    <w:rsid w:val="00202721"/>
    <w:rsid w:val="00202759"/>
    <w:rsid w:val="00203566"/>
    <w:rsid w:val="00203AC9"/>
    <w:rsid w:val="00206B2A"/>
    <w:rsid w:val="0020773E"/>
    <w:rsid w:val="00207A19"/>
    <w:rsid w:val="00210207"/>
    <w:rsid w:val="002124F8"/>
    <w:rsid w:val="00217D5C"/>
    <w:rsid w:val="002204E5"/>
    <w:rsid w:val="002224B4"/>
    <w:rsid w:val="002224E8"/>
    <w:rsid w:val="00223CF0"/>
    <w:rsid w:val="00224A2B"/>
    <w:rsid w:val="00225238"/>
    <w:rsid w:val="00225D22"/>
    <w:rsid w:val="002269BA"/>
    <w:rsid w:val="00231A33"/>
    <w:rsid w:val="0023358F"/>
    <w:rsid w:val="00240B52"/>
    <w:rsid w:val="00240DEA"/>
    <w:rsid w:val="00241BB1"/>
    <w:rsid w:val="00242B9D"/>
    <w:rsid w:val="002447EF"/>
    <w:rsid w:val="00245ED9"/>
    <w:rsid w:val="00251550"/>
    <w:rsid w:val="00253C41"/>
    <w:rsid w:val="0025440E"/>
    <w:rsid w:val="00257B89"/>
    <w:rsid w:val="00260EDF"/>
    <w:rsid w:val="00263B05"/>
    <w:rsid w:val="0026562B"/>
    <w:rsid w:val="00266E9C"/>
    <w:rsid w:val="00270484"/>
    <w:rsid w:val="0027221A"/>
    <w:rsid w:val="002750FB"/>
    <w:rsid w:val="00275B61"/>
    <w:rsid w:val="00275BE0"/>
    <w:rsid w:val="0027628E"/>
    <w:rsid w:val="00277B77"/>
    <w:rsid w:val="00277F59"/>
    <w:rsid w:val="00280DA0"/>
    <w:rsid w:val="00280FAF"/>
    <w:rsid w:val="0028249C"/>
    <w:rsid w:val="00282656"/>
    <w:rsid w:val="00283B67"/>
    <w:rsid w:val="002855B0"/>
    <w:rsid w:val="00286914"/>
    <w:rsid w:val="002900E1"/>
    <w:rsid w:val="00291D41"/>
    <w:rsid w:val="00292874"/>
    <w:rsid w:val="0029517F"/>
    <w:rsid w:val="00295B07"/>
    <w:rsid w:val="00296593"/>
    <w:rsid w:val="00296B83"/>
    <w:rsid w:val="002A1D71"/>
    <w:rsid w:val="002A4FBD"/>
    <w:rsid w:val="002A54A3"/>
    <w:rsid w:val="002A6510"/>
    <w:rsid w:val="002A72AF"/>
    <w:rsid w:val="002B1156"/>
    <w:rsid w:val="002B13CA"/>
    <w:rsid w:val="002B147E"/>
    <w:rsid w:val="002B2780"/>
    <w:rsid w:val="002B4015"/>
    <w:rsid w:val="002B5687"/>
    <w:rsid w:val="002B78CE"/>
    <w:rsid w:val="002C0791"/>
    <w:rsid w:val="002C2FB6"/>
    <w:rsid w:val="002C3DCD"/>
    <w:rsid w:val="002C402B"/>
    <w:rsid w:val="002C7F02"/>
    <w:rsid w:val="002D1AA5"/>
    <w:rsid w:val="002D20D6"/>
    <w:rsid w:val="002D2FBF"/>
    <w:rsid w:val="002D3C18"/>
    <w:rsid w:val="002D55F5"/>
    <w:rsid w:val="002E1A02"/>
    <w:rsid w:val="002E3DD7"/>
    <w:rsid w:val="002E40E0"/>
    <w:rsid w:val="002E512A"/>
    <w:rsid w:val="002E5FA7"/>
    <w:rsid w:val="002E6427"/>
    <w:rsid w:val="002F0258"/>
    <w:rsid w:val="002F2908"/>
    <w:rsid w:val="002F3309"/>
    <w:rsid w:val="002F4104"/>
    <w:rsid w:val="002F41CA"/>
    <w:rsid w:val="002F436E"/>
    <w:rsid w:val="002F4BDA"/>
    <w:rsid w:val="002F5139"/>
    <w:rsid w:val="002F6756"/>
    <w:rsid w:val="002F6BD2"/>
    <w:rsid w:val="002F6EF3"/>
    <w:rsid w:val="002F705C"/>
    <w:rsid w:val="003008CE"/>
    <w:rsid w:val="003009B7"/>
    <w:rsid w:val="00300BC5"/>
    <w:rsid w:val="00300E56"/>
    <w:rsid w:val="003012EE"/>
    <w:rsid w:val="0030152C"/>
    <w:rsid w:val="0030469C"/>
    <w:rsid w:val="00306448"/>
    <w:rsid w:val="003072AA"/>
    <w:rsid w:val="00311FF6"/>
    <w:rsid w:val="00313B9A"/>
    <w:rsid w:val="00316245"/>
    <w:rsid w:val="00321CA6"/>
    <w:rsid w:val="003236EF"/>
    <w:rsid w:val="00323763"/>
    <w:rsid w:val="00323C5F"/>
    <w:rsid w:val="00324875"/>
    <w:rsid w:val="00325448"/>
    <w:rsid w:val="003268ED"/>
    <w:rsid w:val="00327497"/>
    <w:rsid w:val="003313A8"/>
    <w:rsid w:val="00332CC9"/>
    <w:rsid w:val="00332D9F"/>
    <w:rsid w:val="0033482A"/>
    <w:rsid w:val="00334C09"/>
    <w:rsid w:val="003352AE"/>
    <w:rsid w:val="00340712"/>
    <w:rsid w:val="00344A10"/>
    <w:rsid w:val="0034679A"/>
    <w:rsid w:val="00347527"/>
    <w:rsid w:val="0035013D"/>
    <w:rsid w:val="0035293F"/>
    <w:rsid w:val="00352E19"/>
    <w:rsid w:val="003533D1"/>
    <w:rsid w:val="0035444F"/>
    <w:rsid w:val="00355D23"/>
    <w:rsid w:val="0035724F"/>
    <w:rsid w:val="00363ED3"/>
    <w:rsid w:val="00366AFA"/>
    <w:rsid w:val="00371B2A"/>
    <w:rsid w:val="003723D4"/>
    <w:rsid w:val="00372961"/>
    <w:rsid w:val="003735B6"/>
    <w:rsid w:val="00374C99"/>
    <w:rsid w:val="00375F44"/>
    <w:rsid w:val="00377325"/>
    <w:rsid w:val="00381905"/>
    <w:rsid w:val="00382591"/>
    <w:rsid w:val="00383219"/>
    <w:rsid w:val="003836CB"/>
    <w:rsid w:val="00383EC0"/>
    <w:rsid w:val="00384CC8"/>
    <w:rsid w:val="003851D6"/>
    <w:rsid w:val="00385DB6"/>
    <w:rsid w:val="00386A5C"/>
    <w:rsid w:val="003871FD"/>
    <w:rsid w:val="0039073C"/>
    <w:rsid w:val="003913C2"/>
    <w:rsid w:val="0039366B"/>
    <w:rsid w:val="00393A8C"/>
    <w:rsid w:val="00394617"/>
    <w:rsid w:val="00395456"/>
    <w:rsid w:val="003967F6"/>
    <w:rsid w:val="003A0BA4"/>
    <w:rsid w:val="003A0C96"/>
    <w:rsid w:val="003A1E30"/>
    <w:rsid w:val="003A2829"/>
    <w:rsid w:val="003A341D"/>
    <w:rsid w:val="003A4C84"/>
    <w:rsid w:val="003A57A0"/>
    <w:rsid w:val="003A6FC6"/>
    <w:rsid w:val="003A71A2"/>
    <w:rsid w:val="003A7D1C"/>
    <w:rsid w:val="003B26F9"/>
    <w:rsid w:val="003B304B"/>
    <w:rsid w:val="003B3146"/>
    <w:rsid w:val="003B3CBA"/>
    <w:rsid w:val="003B5CFC"/>
    <w:rsid w:val="003C0098"/>
    <w:rsid w:val="003C092E"/>
    <w:rsid w:val="003C1821"/>
    <w:rsid w:val="003C2721"/>
    <w:rsid w:val="003C29BE"/>
    <w:rsid w:val="003C2CE0"/>
    <w:rsid w:val="003C4E35"/>
    <w:rsid w:val="003C643F"/>
    <w:rsid w:val="003C693C"/>
    <w:rsid w:val="003C6EFB"/>
    <w:rsid w:val="003D0A17"/>
    <w:rsid w:val="003D1F18"/>
    <w:rsid w:val="003D3B34"/>
    <w:rsid w:val="003D4DF7"/>
    <w:rsid w:val="003D6D27"/>
    <w:rsid w:val="003D7C27"/>
    <w:rsid w:val="003E0318"/>
    <w:rsid w:val="003E09F3"/>
    <w:rsid w:val="003E331B"/>
    <w:rsid w:val="003E3CA0"/>
    <w:rsid w:val="003E4F06"/>
    <w:rsid w:val="003E4F40"/>
    <w:rsid w:val="003E5536"/>
    <w:rsid w:val="003E5A6E"/>
    <w:rsid w:val="003E5E94"/>
    <w:rsid w:val="003E5F69"/>
    <w:rsid w:val="003F015E"/>
    <w:rsid w:val="003F0FA1"/>
    <w:rsid w:val="003F2D98"/>
    <w:rsid w:val="003F4D90"/>
    <w:rsid w:val="003F5C64"/>
    <w:rsid w:val="003F6568"/>
    <w:rsid w:val="003F6CB1"/>
    <w:rsid w:val="003F7003"/>
    <w:rsid w:val="00400414"/>
    <w:rsid w:val="004012EB"/>
    <w:rsid w:val="0040544E"/>
    <w:rsid w:val="00410311"/>
    <w:rsid w:val="00410D25"/>
    <w:rsid w:val="00412630"/>
    <w:rsid w:val="004126D7"/>
    <w:rsid w:val="00413BDA"/>
    <w:rsid w:val="0041446B"/>
    <w:rsid w:val="004156E5"/>
    <w:rsid w:val="0041731A"/>
    <w:rsid w:val="00417DCD"/>
    <w:rsid w:val="00422A89"/>
    <w:rsid w:val="00422CAD"/>
    <w:rsid w:val="00422D60"/>
    <w:rsid w:val="00422E2F"/>
    <w:rsid w:val="004235AD"/>
    <w:rsid w:val="00423833"/>
    <w:rsid w:val="00426498"/>
    <w:rsid w:val="00426757"/>
    <w:rsid w:val="004305CA"/>
    <w:rsid w:val="00431053"/>
    <w:rsid w:val="004310FB"/>
    <w:rsid w:val="00432CF2"/>
    <w:rsid w:val="00433022"/>
    <w:rsid w:val="00434D83"/>
    <w:rsid w:val="0043692A"/>
    <w:rsid w:val="0044071E"/>
    <w:rsid w:val="00441890"/>
    <w:rsid w:val="00442DA9"/>
    <w:rsid w:val="0044329C"/>
    <w:rsid w:val="00450690"/>
    <w:rsid w:val="0045127D"/>
    <w:rsid w:val="004517AB"/>
    <w:rsid w:val="00452DFB"/>
    <w:rsid w:val="00453E24"/>
    <w:rsid w:val="00454793"/>
    <w:rsid w:val="00454F57"/>
    <w:rsid w:val="00457456"/>
    <w:rsid w:val="004577FE"/>
    <w:rsid w:val="00457B9C"/>
    <w:rsid w:val="004609D9"/>
    <w:rsid w:val="0046164A"/>
    <w:rsid w:val="004628D2"/>
    <w:rsid w:val="00462DCD"/>
    <w:rsid w:val="00463BE0"/>
    <w:rsid w:val="004648AD"/>
    <w:rsid w:val="00466C67"/>
    <w:rsid w:val="004672E5"/>
    <w:rsid w:val="00470082"/>
    <w:rsid w:val="00470193"/>
    <w:rsid w:val="004703A9"/>
    <w:rsid w:val="00472A7D"/>
    <w:rsid w:val="004731DF"/>
    <w:rsid w:val="004760DE"/>
    <w:rsid w:val="004761E9"/>
    <w:rsid w:val="004763D7"/>
    <w:rsid w:val="00481AB5"/>
    <w:rsid w:val="00484A4A"/>
    <w:rsid w:val="00487C66"/>
    <w:rsid w:val="0049211C"/>
    <w:rsid w:val="0049262E"/>
    <w:rsid w:val="00495FCE"/>
    <w:rsid w:val="004A004E"/>
    <w:rsid w:val="004A15A8"/>
    <w:rsid w:val="004A24CF"/>
    <w:rsid w:val="004A3494"/>
    <w:rsid w:val="004A5646"/>
    <w:rsid w:val="004A74A6"/>
    <w:rsid w:val="004B1C12"/>
    <w:rsid w:val="004B3B4D"/>
    <w:rsid w:val="004B63E6"/>
    <w:rsid w:val="004C3D1D"/>
    <w:rsid w:val="004C3D84"/>
    <w:rsid w:val="004C626D"/>
    <w:rsid w:val="004C739C"/>
    <w:rsid w:val="004C7913"/>
    <w:rsid w:val="004D224E"/>
    <w:rsid w:val="004D2F55"/>
    <w:rsid w:val="004D5F02"/>
    <w:rsid w:val="004D7677"/>
    <w:rsid w:val="004E017F"/>
    <w:rsid w:val="004E0AAE"/>
    <w:rsid w:val="004E12A1"/>
    <w:rsid w:val="004E1A27"/>
    <w:rsid w:val="004E2AF5"/>
    <w:rsid w:val="004E45E0"/>
    <w:rsid w:val="004E4C96"/>
    <w:rsid w:val="004E4DD6"/>
    <w:rsid w:val="004E560B"/>
    <w:rsid w:val="004F390F"/>
    <w:rsid w:val="004F481E"/>
    <w:rsid w:val="004F48D0"/>
    <w:rsid w:val="004F4BF9"/>
    <w:rsid w:val="004F5782"/>
    <w:rsid w:val="004F5E36"/>
    <w:rsid w:val="004F70E8"/>
    <w:rsid w:val="004F7BA1"/>
    <w:rsid w:val="00505C14"/>
    <w:rsid w:val="00506F3B"/>
    <w:rsid w:val="00507B47"/>
    <w:rsid w:val="00507BEF"/>
    <w:rsid w:val="00507CC9"/>
    <w:rsid w:val="005119A5"/>
    <w:rsid w:val="00512FA4"/>
    <w:rsid w:val="00514500"/>
    <w:rsid w:val="00515A13"/>
    <w:rsid w:val="00515C41"/>
    <w:rsid w:val="00516564"/>
    <w:rsid w:val="00516631"/>
    <w:rsid w:val="00516AAC"/>
    <w:rsid w:val="00521098"/>
    <w:rsid w:val="00521D8F"/>
    <w:rsid w:val="0052663D"/>
    <w:rsid w:val="005268E9"/>
    <w:rsid w:val="0052719B"/>
    <w:rsid w:val="005278B7"/>
    <w:rsid w:val="0053149E"/>
    <w:rsid w:val="00532016"/>
    <w:rsid w:val="005329EF"/>
    <w:rsid w:val="00533D17"/>
    <w:rsid w:val="00533DAA"/>
    <w:rsid w:val="00533E6D"/>
    <w:rsid w:val="005346C8"/>
    <w:rsid w:val="00535AD3"/>
    <w:rsid w:val="00536B8E"/>
    <w:rsid w:val="005405A7"/>
    <w:rsid w:val="005413D0"/>
    <w:rsid w:val="00542F2D"/>
    <w:rsid w:val="00542F91"/>
    <w:rsid w:val="00543E7D"/>
    <w:rsid w:val="00543F14"/>
    <w:rsid w:val="00544789"/>
    <w:rsid w:val="005452AE"/>
    <w:rsid w:val="00545452"/>
    <w:rsid w:val="005458EB"/>
    <w:rsid w:val="00545E65"/>
    <w:rsid w:val="00546649"/>
    <w:rsid w:val="00547A03"/>
    <w:rsid w:val="00547A68"/>
    <w:rsid w:val="00550B63"/>
    <w:rsid w:val="00551C1A"/>
    <w:rsid w:val="005531C9"/>
    <w:rsid w:val="00554BC9"/>
    <w:rsid w:val="005575C9"/>
    <w:rsid w:val="0055786F"/>
    <w:rsid w:val="00557A76"/>
    <w:rsid w:val="0056069A"/>
    <w:rsid w:val="00564018"/>
    <w:rsid w:val="00570616"/>
    <w:rsid w:val="005708A7"/>
    <w:rsid w:val="00570C43"/>
    <w:rsid w:val="0057241E"/>
    <w:rsid w:val="005733ED"/>
    <w:rsid w:val="0057675D"/>
    <w:rsid w:val="0058329B"/>
    <w:rsid w:val="005833A2"/>
    <w:rsid w:val="00594997"/>
    <w:rsid w:val="0059760E"/>
    <w:rsid w:val="005A5AE1"/>
    <w:rsid w:val="005A6015"/>
    <w:rsid w:val="005B0202"/>
    <w:rsid w:val="005B0FE3"/>
    <w:rsid w:val="005B1F24"/>
    <w:rsid w:val="005B2110"/>
    <w:rsid w:val="005B61E6"/>
    <w:rsid w:val="005B6715"/>
    <w:rsid w:val="005C1970"/>
    <w:rsid w:val="005C2994"/>
    <w:rsid w:val="005C77E1"/>
    <w:rsid w:val="005D1059"/>
    <w:rsid w:val="005D17C5"/>
    <w:rsid w:val="005D4B51"/>
    <w:rsid w:val="005D596F"/>
    <w:rsid w:val="005D59E0"/>
    <w:rsid w:val="005D668A"/>
    <w:rsid w:val="005D6A2F"/>
    <w:rsid w:val="005D7443"/>
    <w:rsid w:val="005E0042"/>
    <w:rsid w:val="005E1A82"/>
    <w:rsid w:val="005E4B58"/>
    <w:rsid w:val="005E794C"/>
    <w:rsid w:val="005F0A28"/>
    <w:rsid w:val="005F0E5E"/>
    <w:rsid w:val="005F37AE"/>
    <w:rsid w:val="005F625A"/>
    <w:rsid w:val="005F770F"/>
    <w:rsid w:val="00600535"/>
    <w:rsid w:val="006008DD"/>
    <w:rsid w:val="00601496"/>
    <w:rsid w:val="00604B22"/>
    <w:rsid w:val="0060656F"/>
    <w:rsid w:val="00610CD6"/>
    <w:rsid w:val="00613FDF"/>
    <w:rsid w:val="00615B88"/>
    <w:rsid w:val="00617A58"/>
    <w:rsid w:val="00620226"/>
    <w:rsid w:val="00620911"/>
    <w:rsid w:val="00620DEE"/>
    <w:rsid w:val="00621F92"/>
    <w:rsid w:val="0062280A"/>
    <w:rsid w:val="00622FD9"/>
    <w:rsid w:val="00625639"/>
    <w:rsid w:val="00626366"/>
    <w:rsid w:val="006265D7"/>
    <w:rsid w:val="00626C11"/>
    <w:rsid w:val="00630171"/>
    <w:rsid w:val="0063122C"/>
    <w:rsid w:val="00631B33"/>
    <w:rsid w:val="00631CD0"/>
    <w:rsid w:val="006355DD"/>
    <w:rsid w:val="00635D30"/>
    <w:rsid w:val="0064184D"/>
    <w:rsid w:val="006422CC"/>
    <w:rsid w:val="006431D0"/>
    <w:rsid w:val="006435D3"/>
    <w:rsid w:val="00645947"/>
    <w:rsid w:val="00646A61"/>
    <w:rsid w:val="00650935"/>
    <w:rsid w:val="00651CB7"/>
    <w:rsid w:val="00654DD1"/>
    <w:rsid w:val="006555B3"/>
    <w:rsid w:val="00655D0E"/>
    <w:rsid w:val="00660E3E"/>
    <w:rsid w:val="00661152"/>
    <w:rsid w:val="006626E1"/>
    <w:rsid w:val="00662808"/>
    <w:rsid w:val="00662E74"/>
    <w:rsid w:val="00662EDF"/>
    <w:rsid w:val="0066342A"/>
    <w:rsid w:val="00663DF8"/>
    <w:rsid w:val="00665484"/>
    <w:rsid w:val="00666E3B"/>
    <w:rsid w:val="006678D6"/>
    <w:rsid w:val="0067028E"/>
    <w:rsid w:val="0067038F"/>
    <w:rsid w:val="006713E8"/>
    <w:rsid w:val="00671551"/>
    <w:rsid w:val="00671A9D"/>
    <w:rsid w:val="00672167"/>
    <w:rsid w:val="00673F60"/>
    <w:rsid w:val="00674134"/>
    <w:rsid w:val="0067552D"/>
    <w:rsid w:val="00676306"/>
    <w:rsid w:val="00680C23"/>
    <w:rsid w:val="00680ED3"/>
    <w:rsid w:val="0068133D"/>
    <w:rsid w:val="00682099"/>
    <w:rsid w:val="006851F1"/>
    <w:rsid w:val="0068729D"/>
    <w:rsid w:val="006921B7"/>
    <w:rsid w:val="00692559"/>
    <w:rsid w:val="00693766"/>
    <w:rsid w:val="0069588C"/>
    <w:rsid w:val="006A23E9"/>
    <w:rsid w:val="006A2BD3"/>
    <w:rsid w:val="006A3281"/>
    <w:rsid w:val="006A3FC1"/>
    <w:rsid w:val="006A4B26"/>
    <w:rsid w:val="006A5271"/>
    <w:rsid w:val="006A5824"/>
    <w:rsid w:val="006A6639"/>
    <w:rsid w:val="006A7604"/>
    <w:rsid w:val="006B1A5D"/>
    <w:rsid w:val="006B1D6E"/>
    <w:rsid w:val="006B4888"/>
    <w:rsid w:val="006B48A8"/>
    <w:rsid w:val="006B735A"/>
    <w:rsid w:val="006B7393"/>
    <w:rsid w:val="006C105F"/>
    <w:rsid w:val="006C2E45"/>
    <w:rsid w:val="006C359C"/>
    <w:rsid w:val="006C3E13"/>
    <w:rsid w:val="006C3F60"/>
    <w:rsid w:val="006C5579"/>
    <w:rsid w:val="006C799A"/>
    <w:rsid w:val="006D04FC"/>
    <w:rsid w:val="006D07BD"/>
    <w:rsid w:val="006D2B4A"/>
    <w:rsid w:val="006D3BDD"/>
    <w:rsid w:val="006D69DF"/>
    <w:rsid w:val="006D6A73"/>
    <w:rsid w:val="006D6E8B"/>
    <w:rsid w:val="006D7291"/>
    <w:rsid w:val="006E09FD"/>
    <w:rsid w:val="006E12A5"/>
    <w:rsid w:val="006E173A"/>
    <w:rsid w:val="006E3AE2"/>
    <w:rsid w:val="006E4225"/>
    <w:rsid w:val="006E64CF"/>
    <w:rsid w:val="006E737D"/>
    <w:rsid w:val="006E76EA"/>
    <w:rsid w:val="006F01A4"/>
    <w:rsid w:val="006F079C"/>
    <w:rsid w:val="006F0CA7"/>
    <w:rsid w:val="006F1C64"/>
    <w:rsid w:val="006F301E"/>
    <w:rsid w:val="006F37AB"/>
    <w:rsid w:val="006F4A89"/>
    <w:rsid w:val="006F4C2D"/>
    <w:rsid w:val="006F5AA1"/>
    <w:rsid w:val="006F63C0"/>
    <w:rsid w:val="006F7DBB"/>
    <w:rsid w:val="007012FE"/>
    <w:rsid w:val="007045B4"/>
    <w:rsid w:val="00704FE7"/>
    <w:rsid w:val="00706625"/>
    <w:rsid w:val="00706D3E"/>
    <w:rsid w:val="00707D52"/>
    <w:rsid w:val="0071044E"/>
    <w:rsid w:val="00713973"/>
    <w:rsid w:val="00714636"/>
    <w:rsid w:val="00715C2F"/>
    <w:rsid w:val="00716025"/>
    <w:rsid w:val="007160E7"/>
    <w:rsid w:val="00716160"/>
    <w:rsid w:val="00716E31"/>
    <w:rsid w:val="00720A24"/>
    <w:rsid w:val="00723EA6"/>
    <w:rsid w:val="007240E5"/>
    <w:rsid w:val="007247A3"/>
    <w:rsid w:val="00725EAF"/>
    <w:rsid w:val="00726EED"/>
    <w:rsid w:val="00727595"/>
    <w:rsid w:val="00727EDE"/>
    <w:rsid w:val="00727FCA"/>
    <w:rsid w:val="00732386"/>
    <w:rsid w:val="00732D64"/>
    <w:rsid w:val="0073333D"/>
    <w:rsid w:val="0073514D"/>
    <w:rsid w:val="0074211D"/>
    <w:rsid w:val="00742974"/>
    <w:rsid w:val="00743313"/>
    <w:rsid w:val="00743485"/>
    <w:rsid w:val="0074376F"/>
    <w:rsid w:val="00743DC3"/>
    <w:rsid w:val="00743F2C"/>
    <w:rsid w:val="007447F3"/>
    <w:rsid w:val="00744A95"/>
    <w:rsid w:val="00746305"/>
    <w:rsid w:val="00747A81"/>
    <w:rsid w:val="007536DA"/>
    <w:rsid w:val="0075499F"/>
    <w:rsid w:val="00754FA6"/>
    <w:rsid w:val="00755C56"/>
    <w:rsid w:val="00756099"/>
    <w:rsid w:val="00763621"/>
    <w:rsid w:val="007661C8"/>
    <w:rsid w:val="007666FA"/>
    <w:rsid w:val="00766FC2"/>
    <w:rsid w:val="0077098D"/>
    <w:rsid w:val="007743B3"/>
    <w:rsid w:val="0077529C"/>
    <w:rsid w:val="00777AB3"/>
    <w:rsid w:val="007801C4"/>
    <w:rsid w:val="007808E2"/>
    <w:rsid w:val="00783052"/>
    <w:rsid w:val="0078337D"/>
    <w:rsid w:val="00784CCC"/>
    <w:rsid w:val="0078522D"/>
    <w:rsid w:val="007903AF"/>
    <w:rsid w:val="007931FA"/>
    <w:rsid w:val="007945EA"/>
    <w:rsid w:val="00794750"/>
    <w:rsid w:val="00794C2B"/>
    <w:rsid w:val="00796BAA"/>
    <w:rsid w:val="00797C5E"/>
    <w:rsid w:val="007A1546"/>
    <w:rsid w:val="007A1FD4"/>
    <w:rsid w:val="007A263D"/>
    <w:rsid w:val="007A4861"/>
    <w:rsid w:val="007A61CE"/>
    <w:rsid w:val="007A7BBA"/>
    <w:rsid w:val="007B0C50"/>
    <w:rsid w:val="007B17F2"/>
    <w:rsid w:val="007B48F9"/>
    <w:rsid w:val="007C1A43"/>
    <w:rsid w:val="007C236F"/>
    <w:rsid w:val="007C2EE2"/>
    <w:rsid w:val="007C5C6B"/>
    <w:rsid w:val="007C6A95"/>
    <w:rsid w:val="007D0951"/>
    <w:rsid w:val="007D0D65"/>
    <w:rsid w:val="007D25BA"/>
    <w:rsid w:val="007D2E3E"/>
    <w:rsid w:val="007D34E9"/>
    <w:rsid w:val="007D3B83"/>
    <w:rsid w:val="007D3BD4"/>
    <w:rsid w:val="007D42FA"/>
    <w:rsid w:val="007D5733"/>
    <w:rsid w:val="007D7782"/>
    <w:rsid w:val="007E0B23"/>
    <w:rsid w:val="007E5248"/>
    <w:rsid w:val="007E65FA"/>
    <w:rsid w:val="007E7701"/>
    <w:rsid w:val="007E79F0"/>
    <w:rsid w:val="007F0F5B"/>
    <w:rsid w:val="007F43B4"/>
    <w:rsid w:val="007F73EE"/>
    <w:rsid w:val="007F7635"/>
    <w:rsid w:val="0080013E"/>
    <w:rsid w:val="008038FB"/>
    <w:rsid w:val="008048BB"/>
    <w:rsid w:val="00804BCD"/>
    <w:rsid w:val="00805407"/>
    <w:rsid w:val="00813288"/>
    <w:rsid w:val="0081382C"/>
    <w:rsid w:val="00813B19"/>
    <w:rsid w:val="0081487D"/>
    <w:rsid w:val="0081625F"/>
    <w:rsid w:val="00816763"/>
    <w:rsid w:val="008168FC"/>
    <w:rsid w:val="0081745E"/>
    <w:rsid w:val="00820232"/>
    <w:rsid w:val="00820939"/>
    <w:rsid w:val="008250F1"/>
    <w:rsid w:val="0082655C"/>
    <w:rsid w:val="00830996"/>
    <w:rsid w:val="00833337"/>
    <w:rsid w:val="008345F1"/>
    <w:rsid w:val="008367C3"/>
    <w:rsid w:val="008430C9"/>
    <w:rsid w:val="00843349"/>
    <w:rsid w:val="00843DC5"/>
    <w:rsid w:val="00843EAC"/>
    <w:rsid w:val="008447A3"/>
    <w:rsid w:val="00845E18"/>
    <w:rsid w:val="00846259"/>
    <w:rsid w:val="008475B1"/>
    <w:rsid w:val="00847804"/>
    <w:rsid w:val="00847EE4"/>
    <w:rsid w:val="00850177"/>
    <w:rsid w:val="00854982"/>
    <w:rsid w:val="00855C9A"/>
    <w:rsid w:val="00860F9B"/>
    <w:rsid w:val="00862CD3"/>
    <w:rsid w:val="008652CB"/>
    <w:rsid w:val="00865B07"/>
    <w:rsid w:val="008667EA"/>
    <w:rsid w:val="00866E4E"/>
    <w:rsid w:val="00866F3E"/>
    <w:rsid w:val="0087161E"/>
    <w:rsid w:val="00871C28"/>
    <w:rsid w:val="00873356"/>
    <w:rsid w:val="008758AF"/>
    <w:rsid w:val="0087637F"/>
    <w:rsid w:val="008804C7"/>
    <w:rsid w:val="0088050B"/>
    <w:rsid w:val="008805FE"/>
    <w:rsid w:val="008809BC"/>
    <w:rsid w:val="00882E3A"/>
    <w:rsid w:val="0088331F"/>
    <w:rsid w:val="008862B5"/>
    <w:rsid w:val="0088684A"/>
    <w:rsid w:val="00886E72"/>
    <w:rsid w:val="008879C7"/>
    <w:rsid w:val="008919CD"/>
    <w:rsid w:val="00892AD5"/>
    <w:rsid w:val="008948B8"/>
    <w:rsid w:val="00894EFA"/>
    <w:rsid w:val="008961E9"/>
    <w:rsid w:val="00896822"/>
    <w:rsid w:val="008975D1"/>
    <w:rsid w:val="008A1512"/>
    <w:rsid w:val="008A2A5B"/>
    <w:rsid w:val="008A45CE"/>
    <w:rsid w:val="008A4D03"/>
    <w:rsid w:val="008A649E"/>
    <w:rsid w:val="008A7DC8"/>
    <w:rsid w:val="008B0D81"/>
    <w:rsid w:val="008B26B3"/>
    <w:rsid w:val="008B4C80"/>
    <w:rsid w:val="008B5425"/>
    <w:rsid w:val="008B6EA9"/>
    <w:rsid w:val="008B7C03"/>
    <w:rsid w:val="008C1F13"/>
    <w:rsid w:val="008C4016"/>
    <w:rsid w:val="008C5BC5"/>
    <w:rsid w:val="008C7790"/>
    <w:rsid w:val="008D247C"/>
    <w:rsid w:val="008D24CA"/>
    <w:rsid w:val="008D32B9"/>
    <w:rsid w:val="008D35AD"/>
    <w:rsid w:val="008D3D3E"/>
    <w:rsid w:val="008D433B"/>
    <w:rsid w:val="008D46B6"/>
    <w:rsid w:val="008D4A16"/>
    <w:rsid w:val="008D4D4B"/>
    <w:rsid w:val="008D5B61"/>
    <w:rsid w:val="008E28A9"/>
    <w:rsid w:val="008E48BE"/>
    <w:rsid w:val="008E4C46"/>
    <w:rsid w:val="008E5474"/>
    <w:rsid w:val="008E566E"/>
    <w:rsid w:val="008F02CB"/>
    <w:rsid w:val="008F1886"/>
    <w:rsid w:val="008F4972"/>
    <w:rsid w:val="008F6319"/>
    <w:rsid w:val="008F73D3"/>
    <w:rsid w:val="008F7C51"/>
    <w:rsid w:val="00901236"/>
    <w:rsid w:val="0090161A"/>
    <w:rsid w:val="00901EB6"/>
    <w:rsid w:val="00902EDA"/>
    <w:rsid w:val="00904C62"/>
    <w:rsid w:val="00906A79"/>
    <w:rsid w:val="00906C6D"/>
    <w:rsid w:val="00907F0F"/>
    <w:rsid w:val="0091196B"/>
    <w:rsid w:val="00912D39"/>
    <w:rsid w:val="00921A5A"/>
    <w:rsid w:val="00922383"/>
    <w:rsid w:val="00922BA8"/>
    <w:rsid w:val="00924DAC"/>
    <w:rsid w:val="0092572A"/>
    <w:rsid w:val="009258BA"/>
    <w:rsid w:val="00927058"/>
    <w:rsid w:val="00927D76"/>
    <w:rsid w:val="00930434"/>
    <w:rsid w:val="00930F94"/>
    <w:rsid w:val="00931383"/>
    <w:rsid w:val="009341BF"/>
    <w:rsid w:val="00934515"/>
    <w:rsid w:val="00935A1F"/>
    <w:rsid w:val="00940178"/>
    <w:rsid w:val="009404A9"/>
    <w:rsid w:val="00942750"/>
    <w:rsid w:val="00942B6F"/>
    <w:rsid w:val="0094342D"/>
    <w:rsid w:val="00944D68"/>
    <w:rsid w:val="009450CE"/>
    <w:rsid w:val="009459BB"/>
    <w:rsid w:val="00945F90"/>
    <w:rsid w:val="00946500"/>
    <w:rsid w:val="00947179"/>
    <w:rsid w:val="00947453"/>
    <w:rsid w:val="0095164B"/>
    <w:rsid w:val="009523C8"/>
    <w:rsid w:val="00954090"/>
    <w:rsid w:val="0095502A"/>
    <w:rsid w:val="00955FBB"/>
    <w:rsid w:val="009566DB"/>
    <w:rsid w:val="009573E7"/>
    <w:rsid w:val="0096178A"/>
    <w:rsid w:val="009632CF"/>
    <w:rsid w:val="00963896"/>
    <w:rsid w:val="00963E05"/>
    <w:rsid w:val="009647F7"/>
    <w:rsid w:val="00964A45"/>
    <w:rsid w:val="00965970"/>
    <w:rsid w:val="009662D1"/>
    <w:rsid w:val="009665BA"/>
    <w:rsid w:val="00966D19"/>
    <w:rsid w:val="00967843"/>
    <w:rsid w:val="00967D54"/>
    <w:rsid w:val="009705F0"/>
    <w:rsid w:val="00971028"/>
    <w:rsid w:val="009736B4"/>
    <w:rsid w:val="00975350"/>
    <w:rsid w:val="00982EFD"/>
    <w:rsid w:val="0098428C"/>
    <w:rsid w:val="00985F1B"/>
    <w:rsid w:val="00991CE0"/>
    <w:rsid w:val="00991DCC"/>
    <w:rsid w:val="009930AF"/>
    <w:rsid w:val="00993B84"/>
    <w:rsid w:val="00994E6E"/>
    <w:rsid w:val="00996483"/>
    <w:rsid w:val="00996F5A"/>
    <w:rsid w:val="00997A53"/>
    <w:rsid w:val="009A04E5"/>
    <w:rsid w:val="009A0C10"/>
    <w:rsid w:val="009A510E"/>
    <w:rsid w:val="009A6965"/>
    <w:rsid w:val="009A7FAD"/>
    <w:rsid w:val="009B030D"/>
    <w:rsid w:val="009B041A"/>
    <w:rsid w:val="009B13FA"/>
    <w:rsid w:val="009B5BB3"/>
    <w:rsid w:val="009B69C9"/>
    <w:rsid w:val="009B766B"/>
    <w:rsid w:val="009C06BA"/>
    <w:rsid w:val="009C260A"/>
    <w:rsid w:val="009C2E28"/>
    <w:rsid w:val="009C37C3"/>
    <w:rsid w:val="009C445A"/>
    <w:rsid w:val="009C47FC"/>
    <w:rsid w:val="009C793F"/>
    <w:rsid w:val="009C7C86"/>
    <w:rsid w:val="009C7EB2"/>
    <w:rsid w:val="009D0633"/>
    <w:rsid w:val="009D24F1"/>
    <w:rsid w:val="009D2655"/>
    <w:rsid w:val="009D2FF7"/>
    <w:rsid w:val="009D3EE9"/>
    <w:rsid w:val="009D7CAD"/>
    <w:rsid w:val="009E08C5"/>
    <w:rsid w:val="009E091F"/>
    <w:rsid w:val="009E0D25"/>
    <w:rsid w:val="009E10C0"/>
    <w:rsid w:val="009E2964"/>
    <w:rsid w:val="009E46C6"/>
    <w:rsid w:val="009E4C49"/>
    <w:rsid w:val="009E7884"/>
    <w:rsid w:val="009E788A"/>
    <w:rsid w:val="009F0AC8"/>
    <w:rsid w:val="009F0E08"/>
    <w:rsid w:val="009F2C33"/>
    <w:rsid w:val="009F52C0"/>
    <w:rsid w:val="009F71F7"/>
    <w:rsid w:val="00A02181"/>
    <w:rsid w:val="00A10618"/>
    <w:rsid w:val="00A12257"/>
    <w:rsid w:val="00A1527C"/>
    <w:rsid w:val="00A15717"/>
    <w:rsid w:val="00A17610"/>
    <w:rsid w:val="00A1763D"/>
    <w:rsid w:val="00A17CEC"/>
    <w:rsid w:val="00A21D6E"/>
    <w:rsid w:val="00A22493"/>
    <w:rsid w:val="00A24113"/>
    <w:rsid w:val="00A24556"/>
    <w:rsid w:val="00A2503B"/>
    <w:rsid w:val="00A25664"/>
    <w:rsid w:val="00A27EF0"/>
    <w:rsid w:val="00A311D7"/>
    <w:rsid w:val="00A3532F"/>
    <w:rsid w:val="00A41BC7"/>
    <w:rsid w:val="00A42361"/>
    <w:rsid w:val="00A4688A"/>
    <w:rsid w:val="00A50B20"/>
    <w:rsid w:val="00A51390"/>
    <w:rsid w:val="00A54BFB"/>
    <w:rsid w:val="00A55D40"/>
    <w:rsid w:val="00A60D13"/>
    <w:rsid w:val="00A611F4"/>
    <w:rsid w:val="00A62692"/>
    <w:rsid w:val="00A62D5C"/>
    <w:rsid w:val="00A639E0"/>
    <w:rsid w:val="00A645F2"/>
    <w:rsid w:val="00A65CAB"/>
    <w:rsid w:val="00A71A82"/>
    <w:rsid w:val="00A7223D"/>
    <w:rsid w:val="00A72745"/>
    <w:rsid w:val="00A73967"/>
    <w:rsid w:val="00A76EFC"/>
    <w:rsid w:val="00A8055D"/>
    <w:rsid w:val="00A82B13"/>
    <w:rsid w:val="00A83153"/>
    <w:rsid w:val="00A836B6"/>
    <w:rsid w:val="00A841FB"/>
    <w:rsid w:val="00A87D50"/>
    <w:rsid w:val="00A91010"/>
    <w:rsid w:val="00A91965"/>
    <w:rsid w:val="00A94752"/>
    <w:rsid w:val="00A94E93"/>
    <w:rsid w:val="00A97F29"/>
    <w:rsid w:val="00AA0317"/>
    <w:rsid w:val="00AA1046"/>
    <w:rsid w:val="00AA3D5C"/>
    <w:rsid w:val="00AA4A14"/>
    <w:rsid w:val="00AA4B39"/>
    <w:rsid w:val="00AA4D27"/>
    <w:rsid w:val="00AA5EC7"/>
    <w:rsid w:val="00AA702E"/>
    <w:rsid w:val="00AA7D26"/>
    <w:rsid w:val="00AB0964"/>
    <w:rsid w:val="00AB0CD0"/>
    <w:rsid w:val="00AB4003"/>
    <w:rsid w:val="00AB5011"/>
    <w:rsid w:val="00AB648D"/>
    <w:rsid w:val="00AC025C"/>
    <w:rsid w:val="00AC1DB9"/>
    <w:rsid w:val="00AC2D6F"/>
    <w:rsid w:val="00AC3391"/>
    <w:rsid w:val="00AC49D5"/>
    <w:rsid w:val="00AC59F1"/>
    <w:rsid w:val="00AC70B4"/>
    <w:rsid w:val="00AC7368"/>
    <w:rsid w:val="00AD0183"/>
    <w:rsid w:val="00AD12C4"/>
    <w:rsid w:val="00AD16B9"/>
    <w:rsid w:val="00AD205E"/>
    <w:rsid w:val="00AD281C"/>
    <w:rsid w:val="00AD444A"/>
    <w:rsid w:val="00AD4B47"/>
    <w:rsid w:val="00AD4D35"/>
    <w:rsid w:val="00AD5259"/>
    <w:rsid w:val="00AD5B64"/>
    <w:rsid w:val="00AD67DA"/>
    <w:rsid w:val="00AD6FB9"/>
    <w:rsid w:val="00AD7214"/>
    <w:rsid w:val="00AD791B"/>
    <w:rsid w:val="00AD7CCF"/>
    <w:rsid w:val="00AE17BA"/>
    <w:rsid w:val="00AE377D"/>
    <w:rsid w:val="00AE4BDA"/>
    <w:rsid w:val="00AE4D91"/>
    <w:rsid w:val="00AE58D0"/>
    <w:rsid w:val="00AE69DC"/>
    <w:rsid w:val="00AE6B37"/>
    <w:rsid w:val="00AE7729"/>
    <w:rsid w:val="00AF0EBA"/>
    <w:rsid w:val="00AF1541"/>
    <w:rsid w:val="00B02C8A"/>
    <w:rsid w:val="00B0437D"/>
    <w:rsid w:val="00B05EDE"/>
    <w:rsid w:val="00B06D24"/>
    <w:rsid w:val="00B07AEC"/>
    <w:rsid w:val="00B11A07"/>
    <w:rsid w:val="00B11E83"/>
    <w:rsid w:val="00B13622"/>
    <w:rsid w:val="00B13820"/>
    <w:rsid w:val="00B15AAE"/>
    <w:rsid w:val="00B15EBF"/>
    <w:rsid w:val="00B17FBD"/>
    <w:rsid w:val="00B21ABD"/>
    <w:rsid w:val="00B234C8"/>
    <w:rsid w:val="00B23CAA"/>
    <w:rsid w:val="00B2705C"/>
    <w:rsid w:val="00B315A6"/>
    <w:rsid w:val="00B31813"/>
    <w:rsid w:val="00B319AA"/>
    <w:rsid w:val="00B33365"/>
    <w:rsid w:val="00B34BBD"/>
    <w:rsid w:val="00B37ACF"/>
    <w:rsid w:val="00B40C24"/>
    <w:rsid w:val="00B42743"/>
    <w:rsid w:val="00B4285B"/>
    <w:rsid w:val="00B44A02"/>
    <w:rsid w:val="00B453AC"/>
    <w:rsid w:val="00B45451"/>
    <w:rsid w:val="00B4721D"/>
    <w:rsid w:val="00B4798E"/>
    <w:rsid w:val="00B50548"/>
    <w:rsid w:val="00B51EF7"/>
    <w:rsid w:val="00B537AD"/>
    <w:rsid w:val="00B54B64"/>
    <w:rsid w:val="00B54B88"/>
    <w:rsid w:val="00B5695A"/>
    <w:rsid w:val="00B57200"/>
    <w:rsid w:val="00B57B36"/>
    <w:rsid w:val="00B57E6F"/>
    <w:rsid w:val="00B62BFD"/>
    <w:rsid w:val="00B63388"/>
    <w:rsid w:val="00B63901"/>
    <w:rsid w:val="00B63B2E"/>
    <w:rsid w:val="00B646E7"/>
    <w:rsid w:val="00B65001"/>
    <w:rsid w:val="00B71934"/>
    <w:rsid w:val="00B7398E"/>
    <w:rsid w:val="00B73B3D"/>
    <w:rsid w:val="00B73F38"/>
    <w:rsid w:val="00B7481F"/>
    <w:rsid w:val="00B749AD"/>
    <w:rsid w:val="00B75FEA"/>
    <w:rsid w:val="00B81CF3"/>
    <w:rsid w:val="00B83C41"/>
    <w:rsid w:val="00B85FAC"/>
    <w:rsid w:val="00B8686D"/>
    <w:rsid w:val="00B87969"/>
    <w:rsid w:val="00B90C18"/>
    <w:rsid w:val="00B92932"/>
    <w:rsid w:val="00B929CE"/>
    <w:rsid w:val="00B933DA"/>
    <w:rsid w:val="00B93F69"/>
    <w:rsid w:val="00B95444"/>
    <w:rsid w:val="00B96D4C"/>
    <w:rsid w:val="00B977A2"/>
    <w:rsid w:val="00BA2F3A"/>
    <w:rsid w:val="00BA3ECA"/>
    <w:rsid w:val="00BA4DF0"/>
    <w:rsid w:val="00BB01BF"/>
    <w:rsid w:val="00BB0677"/>
    <w:rsid w:val="00BB0AE2"/>
    <w:rsid w:val="00BB1DDC"/>
    <w:rsid w:val="00BB68F1"/>
    <w:rsid w:val="00BC2CCB"/>
    <w:rsid w:val="00BC30C9"/>
    <w:rsid w:val="00BC336D"/>
    <w:rsid w:val="00BC75FA"/>
    <w:rsid w:val="00BD05C6"/>
    <w:rsid w:val="00BD077D"/>
    <w:rsid w:val="00BD3D74"/>
    <w:rsid w:val="00BD4760"/>
    <w:rsid w:val="00BD5B13"/>
    <w:rsid w:val="00BD79BE"/>
    <w:rsid w:val="00BE0047"/>
    <w:rsid w:val="00BE04BB"/>
    <w:rsid w:val="00BE34C8"/>
    <w:rsid w:val="00BE3E58"/>
    <w:rsid w:val="00BF0169"/>
    <w:rsid w:val="00BF043B"/>
    <w:rsid w:val="00BF08F0"/>
    <w:rsid w:val="00BF0DD0"/>
    <w:rsid w:val="00BF34FA"/>
    <w:rsid w:val="00BF4F13"/>
    <w:rsid w:val="00BF6932"/>
    <w:rsid w:val="00C01616"/>
    <w:rsid w:val="00C0162B"/>
    <w:rsid w:val="00C01BB2"/>
    <w:rsid w:val="00C03E70"/>
    <w:rsid w:val="00C04F67"/>
    <w:rsid w:val="00C053FA"/>
    <w:rsid w:val="00C0574F"/>
    <w:rsid w:val="00C063E5"/>
    <w:rsid w:val="00C063F5"/>
    <w:rsid w:val="00C068ED"/>
    <w:rsid w:val="00C10089"/>
    <w:rsid w:val="00C10C7D"/>
    <w:rsid w:val="00C10F74"/>
    <w:rsid w:val="00C1274F"/>
    <w:rsid w:val="00C12ABF"/>
    <w:rsid w:val="00C16806"/>
    <w:rsid w:val="00C17244"/>
    <w:rsid w:val="00C17298"/>
    <w:rsid w:val="00C20729"/>
    <w:rsid w:val="00C22E0C"/>
    <w:rsid w:val="00C26804"/>
    <w:rsid w:val="00C27BE8"/>
    <w:rsid w:val="00C27FD2"/>
    <w:rsid w:val="00C321D8"/>
    <w:rsid w:val="00C32697"/>
    <w:rsid w:val="00C345B1"/>
    <w:rsid w:val="00C34E54"/>
    <w:rsid w:val="00C35732"/>
    <w:rsid w:val="00C40142"/>
    <w:rsid w:val="00C40768"/>
    <w:rsid w:val="00C4165A"/>
    <w:rsid w:val="00C43035"/>
    <w:rsid w:val="00C43B13"/>
    <w:rsid w:val="00C52C3C"/>
    <w:rsid w:val="00C5443F"/>
    <w:rsid w:val="00C557B9"/>
    <w:rsid w:val="00C57182"/>
    <w:rsid w:val="00C57863"/>
    <w:rsid w:val="00C601A0"/>
    <w:rsid w:val="00C640AF"/>
    <w:rsid w:val="00C655FD"/>
    <w:rsid w:val="00C65621"/>
    <w:rsid w:val="00C65E15"/>
    <w:rsid w:val="00C673B3"/>
    <w:rsid w:val="00C67D28"/>
    <w:rsid w:val="00C70FB4"/>
    <w:rsid w:val="00C71BD5"/>
    <w:rsid w:val="00C727B4"/>
    <w:rsid w:val="00C72857"/>
    <w:rsid w:val="00C75407"/>
    <w:rsid w:val="00C773A6"/>
    <w:rsid w:val="00C778D1"/>
    <w:rsid w:val="00C77DDB"/>
    <w:rsid w:val="00C800DE"/>
    <w:rsid w:val="00C82610"/>
    <w:rsid w:val="00C835CC"/>
    <w:rsid w:val="00C85054"/>
    <w:rsid w:val="00C870A8"/>
    <w:rsid w:val="00C901CD"/>
    <w:rsid w:val="00C93034"/>
    <w:rsid w:val="00C93B32"/>
    <w:rsid w:val="00C94434"/>
    <w:rsid w:val="00C97811"/>
    <w:rsid w:val="00C97C14"/>
    <w:rsid w:val="00CA0B77"/>
    <w:rsid w:val="00CA0D4A"/>
    <w:rsid w:val="00CA0D75"/>
    <w:rsid w:val="00CA1C95"/>
    <w:rsid w:val="00CA23DF"/>
    <w:rsid w:val="00CA2956"/>
    <w:rsid w:val="00CA2A10"/>
    <w:rsid w:val="00CA5A9C"/>
    <w:rsid w:val="00CB06A4"/>
    <w:rsid w:val="00CB38BF"/>
    <w:rsid w:val="00CB50AB"/>
    <w:rsid w:val="00CB5686"/>
    <w:rsid w:val="00CB73AA"/>
    <w:rsid w:val="00CB7480"/>
    <w:rsid w:val="00CC0987"/>
    <w:rsid w:val="00CC3182"/>
    <w:rsid w:val="00CC3516"/>
    <w:rsid w:val="00CC4B4B"/>
    <w:rsid w:val="00CC4C20"/>
    <w:rsid w:val="00CD3517"/>
    <w:rsid w:val="00CD3C4C"/>
    <w:rsid w:val="00CD45E8"/>
    <w:rsid w:val="00CD52E5"/>
    <w:rsid w:val="00CD5FE2"/>
    <w:rsid w:val="00CE046A"/>
    <w:rsid w:val="00CE2B73"/>
    <w:rsid w:val="00CE2EA9"/>
    <w:rsid w:val="00CE3468"/>
    <w:rsid w:val="00CE35A5"/>
    <w:rsid w:val="00CE46C9"/>
    <w:rsid w:val="00CE706C"/>
    <w:rsid w:val="00CE7C68"/>
    <w:rsid w:val="00CE7D98"/>
    <w:rsid w:val="00CF0F96"/>
    <w:rsid w:val="00CF1D62"/>
    <w:rsid w:val="00CF2E17"/>
    <w:rsid w:val="00CF3AC1"/>
    <w:rsid w:val="00CF4BC4"/>
    <w:rsid w:val="00CF63BD"/>
    <w:rsid w:val="00CF6A58"/>
    <w:rsid w:val="00D01993"/>
    <w:rsid w:val="00D01BF5"/>
    <w:rsid w:val="00D01D56"/>
    <w:rsid w:val="00D02B4C"/>
    <w:rsid w:val="00D040C4"/>
    <w:rsid w:val="00D066A8"/>
    <w:rsid w:val="00D12522"/>
    <w:rsid w:val="00D13C2D"/>
    <w:rsid w:val="00D15072"/>
    <w:rsid w:val="00D20AD1"/>
    <w:rsid w:val="00D2184A"/>
    <w:rsid w:val="00D2221D"/>
    <w:rsid w:val="00D23C55"/>
    <w:rsid w:val="00D253BC"/>
    <w:rsid w:val="00D265FA"/>
    <w:rsid w:val="00D27290"/>
    <w:rsid w:val="00D273EC"/>
    <w:rsid w:val="00D275EE"/>
    <w:rsid w:val="00D40554"/>
    <w:rsid w:val="00D41488"/>
    <w:rsid w:val="00D414E1"/>
    <w:rsid w:val="00D43D9A"/>
    <w:rsid w:val="00D444FF"/>
    <w:rsid w:val="00D44C2E"/>
    <w:rsid w:val="00D46B7E"/>
    <w:rsid w:val="00D508E3"/>
    <w:rsid w:val="00D52991"/>
    <w:rsid w:val="00D53226"/>
    <w:rsid w:val="00D5403B"/>
    <w:rsid w:val="00D54787"/>
    <w:rsid w:val="00D54EDD"/>
    <w:rsid w:val="00D5605C"/>
    <w:rsid w:val="00D56AF0"/>
    <w:rsid w:val="00D57C84"/>
    <w:rsid w:val="00D6057D"/>
    <w:rsid w:val="00D648EC"/>
    <w:rsid w:val="00D66E37"/>
    <w:rsid w:val="00D71640"/>
    <w:rsid w:val="00D71EF5"/>
    <w:rsid w:val="00D74126"/>
    <w:rsid w:val="00D75812"/>
    <w:rsid w:val="00D821D7"/>
    <w:rsid w:val="00D836C5"/>
    <w:rsid w:val="00D84576"/>
    <w:rsid w:val="00D85000"/>
    <w:rsid w:val="00D87A80"/>
    <w:rsid w:val="00D90702"/>
    <w:rsid w:val="00D9252C"/>
    <w:rsid w:val="00D93537"/>
    <w:rsid w:val="00D935F4"/>
    <w:rsid w:val="00D94104"/>
    <w:rsid w:val="00D958FE"/>
    <w:rsid w:val="00D97259"/>
    <w:rsid w:val="00DA093E"/>
    <w:rsid w:val="00DA1399"/>
    <w:rsid w:val="00DA24C6"/>
    <w:rsid w:val="00DA4D7B"/>
    <w:rsid w:val="00DA5C10"/>
    <w:rsid w:val="00DB015A"/>
    <w:rsid w:val="00DB15AB"/>
    <w:rsid w:val="00DB3233"/>
    <w:rsid w:val="00DB4ED6"/>
    <w:rsid w:val="00DB6CDF"/>
    <w:rsid w:val="00DC0ACD"/>
    <w:rsid w:val="00DC15C8"/>
    <w:rsid w:val="00DC1977"/>
    <w:rsid w:val="00DC44E4"/>
    <w:rsid w:val="00DC4A8D"/>
    <w:rsid w:val="00DC5369"/>
    <w:rsid w:val="00DC55AC"/>
    <w:rsid w:val="00DC75B7"/>
    <w:rsid w:val="00DD271C"/>
    <w:rsid w:val="00DD4E81"/>
    <w:rsid w:val="00DD4EE5"/>
    <w:rsid w:val="00DD64E8"/>
    <w:rsid w:val="00DE0D65"/>
    <w:rsid w:val="00DE1250"/>
    <w:rsid w:val="00DE12A8"/>
    <w:rsid w:val="00DE264A"/>
    <w:rsid w:val="00DE4AE8"/>
    <w:rsid w:val="00DE4E79"/>
    <w:rsid w:val="00DE5645"/>
    <w:rsid w:val="00DE61AF"/>
    <w:rsid w:val="00DE61E7"/>
    <w:rsid w:val="00DE7E26"/>
    <w:rsid w:val="00DF5072"/>
    <w:rsid w:val="00DF5620"/>
    <w:rsid w:val="00DF664E"/>
    <w:rsid w:val="00DF6CE4"/>
    <w:rsid w:val="00DF788D"/>
    <w:rsid w:val="00E001C6"/>
    <w:rsid w:val="00E01CA5"/>
    <w:rsid w:val="00E026D9"/>
    <w:rsid w:val="00E02D18"/>
    <w:rsid w:val="00E0313A"/>
    <w:rsid w:val="00E03222"/>
    <w:rsid w:val="00E041E7"/>
    <w:rsid w:val="00E07797"/>
    <w:rsid w:val="00E11965"/>
    <w:rsid w:val="00E13B6C"/>
    <w:rsid w:val="00E14072"/>
    <w:rsid w:val="00E1442D"/>
    <w:rsid w:val="00E14D41"/>
    <w:rsid w:val="00E150F1"/>
    <w:rsid w:val="00E166FF"/>
    <w:rsid w:val="00E171A3"/>
    <w:rsid w:val="00E23CA1"/>
    <w:rsid w:val="00E24FDD"/>
    <w:rsid w:val="00E258AB"/>
    <w:rsid w:val="00E25A48"/>
    <w:rsid w:val="00E25CD3"/>
    <w:rsid w:val="00E263D0"/>
    <w:rsid w:val="00E26E9E"/>
    <w:rsid w:val="00E3193C"/>
    <w:rsid w:val="00E32B37"/>
    <w:rsid w:val="00E33DD7"/>
    <w:rsid w:val="00E34B60"/>
    <w:rsid w:val="00E354F5"/>
    <w:rsid w:val="00E36AB5"/>
    <w:rsid w:val="00E409A8"/>
    <w:rsid w:val="00E40A77"/>
    <w:rsid w:val="00E432D4"/>
    <w:rsid w:val="00E50C12"/>
    <w:rsid w:val="00E52AFA"/>
    <w:rsid w:val="00E534B7"/>
    <w:rsid w:val="00E53C62"/>
    <w:rsid w:val="00E53D02"/>
    <w:rsid w:val="00E53DD4"/>
    <w:rsid w:val="00E54F79"/>
    <w:rsid w:val="00E60398"/>
    <w:rsid w:val="00E603EB"/>
    <w:rsid w:val="00E65B91"/>
    <w:rsid w:val="00E661D1"/>
    <w:rsid w:val="00E661FC"/>
    <w:rsid w:val="00E67CE3"/>
    <w:rsid w:val="00E67FCB"/>
    <w:rsid w:val="00E7209D"/>
    <w:rsid w:val="00E728AE"/>
    <w:rsid w:val="00E72EAD"/>
    <w:rsid w:val="00E7303A"/>
    <w:rsid w:val="00E736CA"/>
    <w:rsid w:val="00E73D42"/>
    <w:rsid w:val="00E74133"/>
    <w:rsid w:val="00E77223"/>
    <w:rsid w:val="00E77275"/>
    <w:rsid w:val="00E82BCE"/>
    <w:rsid w:val="00E8326D"/>
    <w:rsid w:val="00E83BEF"/>
    <w:rsid w:val="00E8528B"/>
    <w:rsid w:val="00E85305"/>
    <w:rsid w:val="00E85359"/>
    <w:rsid w:val="00E85B94"/>
    <w:rsid w:val="00E85BF5"/>
    <w:rsid w:val="00E86E39"/>
    <w:rsid w:val="00E876A8"/>
    <w:rsid w:val="00E87A02"/>
    <w:rsid w:val="00E913B5"/>
    <w:rsid w:val="00E958B0"/>
    <w:rsid w:val="00E9616F"/>
    <w:rsid w:val="00E96EE8"/>
    <w:rsid w:val="00E978D0"/>
    <w:rsid w:val="00E97E50"/>
    <w:rsid w:val="00EA11E4"/>
    <w:rsid w:val="00EA140C"/>
    <w:rsid w:val="00EA2D0C"/>
    <w:rsid w:val="00EA2E38"/>
    <w:rsid w:val="00EA34DB"/>
    <w:rsid w:val="00EA4613"/>
    <w:rsid w:val="00EA65DE"/>
    <w:rsid w:val="00EA6D4F"/>
    <w:rsid w:val="00EA6F08"/>
    <w:rsid w:val="00EA70F1"/>
    <w:rsid w:val="00EA74D6"/>
    <w:rsid w:val="00EA7F91"/>
    <w:rsid w:val="00EB0A48"/>
    <w:rsid w:val="00EB1523"/>
    <w:rsid w:val="00EB1B09"/>
    <w:rsid w:val="00EB222D"/>
    <w:rsid w:val="00EB233C"/>
    <w:rsid w:val="00EB264F"/>
    <w:rsid w:val="00EB26F4"/>
    <w:rsid w:val="00EB35BA"/>
    <w:rsid w:val="00EB4D39"/>
    <w:rsid w:val="00EB5617"/>
    <w:rsid w:val="00EC071F"/>
    <w:rsid w:val="00EC0D62"/>
    <w:rsid w:val="00EC0E49"/>
    <w:rsid w:val="00EC101F"/>
    <w:rsid w:val="00EC1D9F"/>
    <w:rsid w:val="00EC2C18"/>
    <w:rsid w:val="00EC2F62"/>
    <w:rsid w:val="00EC48ED"/>
    <w:rsid w:val="00EC7D94"/>
    <w:rsid w:val="00ED06E9"/>
    <w:rsid w:val="00ED0996"/>
    <w:rsid w:val="00ED12A7"/>
    <w:rsid w:val="00ED2441"/>
    <w:rsid w:val="00ED3C76"/>
    <w:rsid w:val="00ED3C8A"/>
    <w:rsid w:val="00ED6431"/>
    <w:rsid w:val="00ED7336"/>
    <w:rsid w:val="00ED7D7E"/>
    <w:rsid w:val="00EE0131"/>
    <w:rsid w:val="00EE08CA"/>
    <w:rsid w:val="00EE17B0"/>
    <w:rsid w:val="00EE3C26"/>
    <w:rsid w:val="00EE4949"/>
    <w:rsid w:val="00EE6321"/>
    <w:rsid w:val="00EE7740"/>
    <w:rsid w:val="00EE7D91"/>
    <w:rsid w:val="00EF06D9"/>
    <w:rsid w:val="00EF0EA6"/>
    <w:rsid w:val="00EF4713"/>
    <w:rsid w:val="00EF4CE8"/>
    <w:rsid w:val="00EF5A57"/>
    <w:rsid w:val="00EF6E06"/>
    <w:rsid w:val="00F06301"/>
    <w:rsid w:val="00F06443"/>
    <w:rsid w:val="00F0665A"/>
    <w:rsid w:val="00F125FB"/>
    <w:rsid w:val="00F16077"/>
    <w:rsid w:val="00F17DCA"/>
    <w:rsid w:val="00F20FC7"/>
    <w:rsid w:val="00F227E2"/>
    <w:rsid w:val="00F23EF7"/>
    <w:rsid w:val="00F26160"/>
    <w:rsid w:val="00F3049E"/>
    <w:rsid w:val="00F30C64"/>
    <w:rsid w:val="00F329BD"/>
    <w:rsid w:val="00F32BA2"/>
    <w:rsid w:val="00F32CDB"/>
    <w:rsid w:val="00F32D72"/>
    <w:rsid w:val="00F358E7"/>
    <w:rsid w:val="00F37109"/>
    <w:rsid w:val="00F42958"/>
    <w:rsid w:val="00F444E6"/>
    <w:rsid w:val="00F46206"/>
    <w:rsid w:val="00F476F7"/>
    <w:rsid w:val="00F513C8"/>
    <w:rsid w:val="00F51593"/>
    <w:rsid w:val="00F518B6"/>
    <w:rsid w:val="00F52E3F"/>
    <w:rsid w:val="00F54328"/>
    <w:rsid w:val="00F544BA"/>
    <w:rsid w:val="00F565FE"/>
    <w:rsid w:val="00F56FBB"/>
    <w:rsid w:val="00F579B5"/>
    <w:rsid w:val="00F614CE"/>
    <w:rsid w:val="00F6160B"/>
    <w:rsid w:val="00F63A70"/>
    <w:rsid w:val="00F63D8C"/>
    <w:rsid w:val="00F74919"/>
    <w:rsid w:val="00F74A3A"/>
    <w:rsid w:val="00F7534E"/>
    <w:rsid w:val="00F80276"/>
    <w:rsid w:val="00F859F8"/>
    <w:rsid w:val="00F90A41"/>
    <w:rsid w:val="00F92023"/>
    <w:rsid w:val="00F9246D"/>
    <w:rsid w:val="00F93B4C"/>
    <w:rsid w:val="00F93EDF"/>
    <w:rsid w:val="00F93FA6"/>
    <w:rsid w:val="00F94192"/>
    <w:rsid w:val="00FA1568"/>
    <w:rsid w:val="00FA1802"/>
    <w:rsid w:val="00FA19C9"/>
    <w:rsid w:val="00FA21D0"/>
    <w:rsid w:val="00FA25F4"/>
    <w:rsid w:val="00FA432A"/>
    <w:rsid w:val="00FA5F5F"/>
    <w:rsid w:val="00FA7739"/>
    <w:rsid w:val="00FB4599"/>
    <w:rsid w:val="00FB663D"/>
    <w:rsid w:val="00FB6CE6"/>
    <w:rsid w:val="00FB730C"/>
    <w:rsid w:val="00FC00B8"/>
    <w:rsid w:val="00FC2695"/>
    <w:rsid w:val="00FC3847"/>
    <w:rsid w:val="00FC3E03"/>
    <w:rsid w:val="00FC3FC1"/>
    <w:rsid w:val="00FC41B8"/>
    <w:rsid w:val="00FC524A"/>
    <w:rsid w:val="00FD04A2"/>
    <w:rsid w:val="00FD1037"/>
    <w:rsid w:val="00FD16E7"/>
    <w:rsid w:val="00FD1818"/>
    <w:rsid w:val="00FE3D88"/>
    <w:rsid w:val="00FE5DF4"/>
    <w:rsid w:val="00FF086C"/>
    <w:rsid w:val="00FF10CD"/>
    <w:rsid w:val="00FF23B1"/>
    <w:rsid w:val="00FF2B82"/>
    <w:rsid w:val="00FF581B"/>
    <w:rsid w:val="00FF5B3E"/>
    <w:rsid w:val="00FF6281"/>
    <w:rsid w:val="00FF6D70"/>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5DC4B2D8-D94A-4ACB-90D9-5E72A1EC7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56069A"/>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682099"/>
    <w:pPr>
      <w:keepNext/>
      <w:suppressAutoHyphens/>
      <w:spacing w:before="120" w:after="120" w:line="240" w:lineRule="auto"/>
      <w:jc w:val="both"/>
    </w:pPr>
    <w:rPr>
      <w:rFonts w:ascii="Arial" w:eastAsia="Times New Roman" w:hAnsi="Arial" w:cs="Times New Roman"/>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682099"/>
    <w:rPr>
      <w:rFonts w:ascii="Arial" w:eastAsia="Times New Roman" w:hAnsi="Arial" w:cs="Times New Roman"/>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style>
  <w:style w:type="character" w:customStyle="1" w:styleId="CETHeadingxxChar">
    <w:name w:val="CET Headingxx Char"/>
    <w:basedOn w:val="CETheadingxCarattere"/>
    <w:link w:val="CETHeadingxx"/>
    <w:rsid w:val="000F787B"/>
    <w:rPr>
      <w:rFonts w:ascii="Arial" w:eastAsia="Times New Roman" w:hAnsi="Arial" w:cs="Times New Roman"/>
      <w:b w:val="0"/>
      <w:sz w:val="18"/>
      <w:szCs w:val="20"/>
      <w:lang w:val="en-US"/>
    </w:rPr>
  </w:style>
  <w:style w:type="paragraph" w:styleId="Paragrafoelenco">
    <w:name w:val="List Paragraph"/>
    <w:basedOn w:val="Normale"/>
    <w:uiPriority w:val="34"/>
    <w:rsid w:val="00280FAF"/>
    <w:pPr>
      <w:ind w:left="720"/>
      <w:contextualSpacing/>
    </w:pPr>
  </w:style>
  <w:style w:type="character" w:styleId="Menzionenonrisolta">
    <w:name w:val="Unresolved Mention"/>
    <w:basedOn w:val="Carpredefinitoparagrafo"/>
    <w:uiPriority w:val="99"/>
    <w:semiHidden/>
    <w:unhideWhenUsed/>
    <w:rsid w:val="00BB01BF"/>
    <w:rPr>
      <w:color w:val="605E5C"/>
      <w:shd w:val="clear" w:color="auto" w:fill="E1DFDD"/>
    </w:rPr>
  </w:style>
  <w:style w:type="character" w:customStyle="1" w:styleId="apple-converted-space">
    <w:name w:val="apple-converted-space"/>
    <w:basedOn w:val="Carpredefinitoparagrafo"/>
    <w:rsid w:val="00394617"/>
  </w:style>
  <w:style w:type="paragraph" w:styleId="Revisione">
    <w:name w:val="Revision"/>
    <w:hidden/>
    <w:uiPriority w:val="99"/>
    <w:semiHidden/>
    <w:rsid w:val="002900E1"/>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18527">
      <w:bodyDiv w:val="1"/>
      <w:marLeft w:val="0"/>
      <w:marRight w:val="0"/>
      <w:marTop w:val="0"/>
      <w:marBottom w:val="0"/>
      <w:divBdr>
        <w:top w:val="none" w:sz="0" w:space="0" w:color="auto"/>
        <w:left w:val="none" w:sz="0" w:space="0" w:color="auto"/>
        <w:bottom w:val="none" w:sz="0" w:space="0" w:color="auto"/>
        <w:right w:val="none" w:sz="0" w:space="0" w:color="auto"/>
      </w:divBdr>
      <w:divsChild>
        <w:div w:id="261300823">
          <w:marLeft w:val="0"/>
          <w:marRight w:val="0"/>
          <w:marTop w:val="0"/>
          <w:marBottom w:val="0"/>
          <w:divBdr>
            <w:top w:val="none" w:sz="0" w:space="0" w:color="auto"/>
            <w:left w:val="none" w:sz="0" w:space="0" w:color="auto"/>
            <w:bottom w:val="none" w:sz="0" w:space="0" w:color="auto"/>
            <w:right w:val="none" w:sz="0" w:space="0" w:color="auto"/>
          </w:divBdr>
          <w:divsChild>
            <w:div w:id="421336816">
              <w:marLeft w:val="0"/>
              <w:marRight w:val="0"/>
              <w:marTop w:val="0"/>
              <w:marBottom w:val="0"/>
              <w:divBdr>
                <w:top w:val="none" w:sz="0" w:space="0" w:color="auto"/>
                <w:left w:val="none" w:sz="0" w:space="0" w:color="auto"/>
                <w:bottom w:val="none" w:sz="0" w:space="0" w:color="auto"/>
                <w:right w:val="none" w:sz="0" w:space="0" w:color="auto"/>
              </w:divBdr>
              <w:divsChild>
                <w:div w:id="621308292">
                  <w:marLeft w:val="0"/>
                  <w:marRight w:val="0"/>
                  <w:marTop w:val="0"/>
                  <w:marBottom w:val="0"/>
                  <w:divBdr>
                    <w:top w:val="none" w:sz="0" w:space="0" w:color="auto"/>
                    <w:left w:val="none" w:sz="0" w:space="0" w:color="auto"/>
                    <w:bottom w:val="none" w:sz="0" w:space="0" w:color="auto"/>
                    <w:right w:val="none" w:sz="0" w:space="0" w:color="auto"/>
                  </w:divBdr>
                </w:div>
              </w:divsChild>
            </w:div>
            <w:div w:id="1403018324">
              <w:marLeft w:val="0"/>
              <w:marRight w:val="0"/>
              <w:marTop w:val="0"/>
              <w:marBottom w:val="0"/>
              <w:divBdr>
                <w:top w:val="none" w:sz="0" w:space="0" w:color="auto"/>
                <w:left w:val="none" w:sz="0" w:space="0" w:color="auto"/>
                <w:bottom w:val="none" w:sz="0" w:space="0" w:color="auto"/>
                <w:right w:val="none" w:sz="0" w:space="0" w:color="auto"/>
              </w:divBdr>
              <w:divsChild>
                <w:div w:id="38911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17530">
      <w:bodyDiv w:val="1"/>
      <w:marLeft w:val="0"/>
      <w:marRight w:val="0"/>
      <w:marTop w:val="0"/>
      <w:marBottom w:val="0"/>
      <w:divBdr>
        <w:top w:val="none" w:sz="0" w:space="0" w:color="auto"/>
        <w:left w:val="none" w:sz="0" w:space="0" w:color="auto"/>
        <w:bottom w:val="none" w:sz="0" w:space="0" w:color="auto"/>
        <w:right w:val="none" w:sz="0" w:space="0" w:color="auto"/>
      </w:divBdr>
      <w:divsChild>
        <w:div w:id="1936328364">
          <w:marLeft w:val="0"/>
          <w:marRight w:val="0"/>
          <w:marTop w:val="0"/>
          <w:marBottom w:val="0"/>
          <w:divBdr>
            <w:top w:val="none" w:sz="0" w:space="0" w:color="auto"/>
            <w:left w:val="none" w:sz="0" w:space="0" w:color="auto"/>
            <w:bottom w:val="none" w:sz="0" w:space="0" w:color="auto"/>
            <w:right w:val="none" w:sz="0" w:space="0" w:color="auto"/>
          </w:divBdr>
          <w:divsChild>
            <w:div w:id="725252858">
              <w:marLeft w:val="0"/>
              <w:marRight w:val="0"/>
              <w:marTop w:val="0"/>
              <w:marBottom w:val="0"/>
              <w:divBdr>
                <w:top w:val="none" w:sz="0" w:space="0" w:color="auto"/>
                <w:left w:val="none" w:sz="0" w:space="0" w:color="auto"/>
                <w:bottom w:val="none" w:sz="0" w:space="0" w:color="auto"/>
                <w:right w:val="none" w:sz="0" w:space="0" w:color="auto"/>
              </w:divBdr>
              <w:divsChild>
                <w:div w:id="26778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90978">
      <w:bodyDiv w:val="1"/>
      <w:marLeft w:val="0"/>
      <w:marRight w:val="0"/>
      <w:marTop w:val="0"/>
      <w:marBottom w:val="0"/>
      <w:divBdr>
        <w:top w:val="none" w:sz="0" w:space="0" w:color="auto"/>
        <w:left w:val="none" w:sz="0" w:space="0" w:color="auto"/>
        <w:bottom w:val="none" w:sz="0" w:space="0" w:color="auto"/>
        <w:right w:val="none" w:sz="0" w:space="0" w:color="auto"/>
      </w:divBdr>
    </w:div>
    <w:div w:id="145242887">
      <w:bodyDiv w:val="1"/>
      <w:marLeft w:val="0"/>
      <w:marRight w:val="0"/>
      <w:marTop w:val="0"/>
      <w:marBottom w:val="0"/>
      <w:divBdr>
        <w:top w:val="none" w:sz="0" w:space="0" w:color="auto"/>
        <w:left w:val="none" w:sz="0" w:space="0" w:color="auto"/>
        <w:bottom w:val="none" w:sz="0" w:space="0" w:color="auto"/>
        <w:right w:val="none" w:sz="0" w:space="0" w:color="auto"/>
      </w:divBdr>
    </w:div>
    <w:div w:id="149297092">
      <w:bodyDiv w:val="1"/>
      <w:marLeft w:val="0"/>
      <w:marRight w:val="0"/>
      <w:marTop w:val="0"/>
      <w:marBottom w:val="0"/>
      <w:divBdr>
        <w:top w:val="none" w:sz="0" w:space="0" w:color="auto"/>
        <w:left w:val="none" w:sz="0" w:space="0" w:color="auto"/>
        <w:bottom w:val="none" w:sz="0" w:space="0" w:color="auto"/>
        <w:right w:val="none" w:sz="0" w:space="0" w:color="auto"/>
      </w:divBdr>
      <w:divsChild>
        <w:div w:id="895506061">
          <w:marLeft w:val="0"/>
          <w:marRight w:val="0"/>
          <w:marTop w:val="0"/>
          <w:marBottom w:val="0"/>
          <w:divBdr>
            <w:top w:val="none" w:sz="0" w:space="0" w:color="auto"/>
            <w:left w:val="none" w:sz="0" w:space="0" w:color="auto"/>
            <w:bottom w:val="none" w:sz="0" w:space="0" w:color="auto"/>
            <w:right w:val="none" w:sz="0" w:space="0" w:color="auto"/>
          </w:divBdr>
          <w:divsChild>
            <w:div w:id="696661120">
              <w:marLeft w:val="0"/>
              <w:marRight w:val="0"/>
              <w:marTop w:val="0"/>
              <w:marBottom w:val="0"/>
              <w:divBdr>
                <w:top w:val="none" w:sz="0" w:space="0" w:color="auto"/>
                <w:left w:val="none" w:sz="0" w:space="0" w:color="auto"/>
                <w:bottom w:val="none" w:sz="0" w:space="0" w:color="auto"/>
                <w:right w:val="none" w:sz="0" w:space="0" w:color="auto"/>
              </w:divBdr>
              <w:divsChild>
                <w:div w:id="207304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69519">
      <w:bodyDiv w:val="1"/>
      <w:marLeft w:val="0"/>
      <w:marRight w:val="0"/>
      <w:marTop w:val="0"/>
      <w:marBottom w:val="0"/>
      <w:divBdr>
        <w:top w:val="none" w:sz="0" w:space="0" w:color="auto"/>
        <w:left w:val="none" w:sz="0" w:space="0" w:color="auto"/>
        <w:bottom w:val="none" w:sz="0" w:space="0" w:color="auto"/>
        <w:right w:val="none" w:sz="0" w:space="0" w:color="auto"/>
      </w:divBdr>
      <w:divsChild>
        <w:div w:id="1308851536">
          <w:marLeft w:val="0"/>
          <w:marRight w:val="0"/>
          <w:marTop w:val="0"/>
          <w:marBottom w:val="0"/>
          <w:divBdr>
            <w:top w:val="none" w:sz="0" w:space="0" w:color="auto"/>
            <w:left w:val="none" w:sz="0" w:space="0" w:color="auto"/>
            <w:bottom w:val="none" w:sz="0" w:space="0" w:color="auto"/>
            <w:right w:val="none" w:sz="0" w:space="0" w:color="auto"/>
          </w:divBdr>
        </w:div>
      </w:divsChild>
    </w:div>
    <w:div w:id="301690392">
      <w:bodyDiv w:val="1"/>
      <w:marLeft w:val="0"/>
      <w:marRight w:val="0"/>
      <w:marTop w:val="0"/>
      <w:marBottom w:val="0"/>
      <w:divBdr>
        <w:top w:val="none" w:sz="0" w:space="0" w:color="auto"/>
        <w:left w:val="none" w:sz="0" w:space="0" w:color="auto"/>
        <w:bottom w:val="none" w:sz="0" w:space="0" w:color="auto"/>
        <w:right w:val="none" w:sz="0" w:space="0" w:color="auto"/>
      </w:divBdr>
    </w:div>
    <w:div w:id="333724927">
      <w:bodyDiv w:val="1"/>
      <w:marLeft w:val="0"/>
      <w:marRight w:val="0"/>
      <w:marTop w:val="0"/>
      <w:marBottom w:val="0"/>
      <w:divBdr>
        <w:top w:val="none" w:sz="0" w:space="0" w:color="auto"/>
        <w:left w:val="none" w:sz="0" w:space="0" w:color="auto"/>
        <w:bottom w:val="none" w:sz="0" w:space="0" w:color="auto"/>
        <w:right w:val="none" w:sz="0" w:space="0" w:color="auto"/>
      </w:divBdr>
      <w:divsChild>
        <w:div w:id="1528567997">
          <w:marLeft w:val="0"/>
          <w:marRight w:val="0"/>
          <w:marTop w:val="0"/>
          <w:marBottom w:val="0"/>
          <w:divBdr>
            <w:top w:val="none" w:sz="0" w:space="0" w:color="auto"/>
            <w:left w:val="none" w:sz="0" w:space="0" w:color="auto"/>
            <w:bottom w:val="none" w:sz="0" w:space="0" w:color="auto"/>
            <w:right w:val="none" w:sz="0" w:space="0" w:color="auto"/>
          </w:divBdr>
          <w:divsChild>
            <w:div w:id="1468007426">
              <w:marLeft w:val="0"/>
              <w:marRight w:val="0"/>
              <w:marTop w:val="0"/>
              <w:marBottom w:val="0"/>
              <w:divBdr>
                <w:top w:val="none" w:sz="0" w:space="0" w:color="auto"/>
                <w:left w:val="none" w:sz="0" w:space="0" w:color="auto"/>
                <w:bottom w:val="none" w:sz="0" w:space="0" w:color="auto"/>
                <w:right w:val="none" w:sz="0" w:space="0" w:color="auto"/>
              </w:divBdr>
              <w:divsChild>
                <w:div w:id="416950234">
                  <w:marLeft w:val="0"/>
                  <w:marRight w:val="0"/>
                  <w:marTop w:val="0"/>
                  <w:marBottom w:val="0"/>
                  <w:divBdr>
                    <w:top w:val="none" w:sz="0" w:space="0" w:color="auto"/>
                    <w:left w:val="none" w:sz="0" w:space="0" w:color="auto"/>
                    <w:bottom w:val="none" w:sz="0" w:space="0" w:color="auto"/>
                    <w:right w:val="none" w:sz="0" w:space="0" w:color="auto"/>
                  </w:divBdr>
                </w:div>
              </w:divsChild>
            </w:div>
            <w:div w:id="2046564584">
              <w:marLeft w:val="0"/>
              <w:marRight w:val="0"/>
              <w:marTop w:val="0"/>
              <w:marBottom w:val="0"/>
              <w:divBdr>
                <w:top w:val="none" w:sz="0" w:space="0" w:color="auto"/>
                <w:left w:val="none" w:sz="0" w:space="0" w:color="auto"/>
                <w:bottom w:val="none" w:sz="0" w:space="0" w:color="auto"/>
                <w:right w:val="none" w:sz="0" w:space="0" w:color="auto"/>
              </w:divBdr>
              <w:divsChild>
                <w:div w:id="70490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436584">
      <w:bodyDiv w:val="1"/>
      <w:marLeft w:val="0"/>
      <w:marRight w:val="0"/>
      <w:marTop w:val="0"/>
      <w:marBottom w:val="0"/>
      <w:divBdr>
        <w:top w:val="none" w:sz="0" w:space="0" w:color="auto"/>
        <w:left w:val="none" w:sz="0" w:space="0" w:color="auto"/>
        <w:bottom w:val="none" w:sz="0" w:space="0" w:color="auto"/>
        <w:right w:val="none" w:sz="0" w:space="0" w:color="auto"/>
      </w:divBdr>
      <w:divsChild>
        <w:div w:id="260994711">
          <w:marLeft w:val="0"/>
          <w:marRight w:val="0"/>
          <w:marTop w:val="0"/>
          <w:marBottom w:val="0"/>
          <w:divBdr>
            <w:top w:val="none" w:sz="0" w:space="0" w:color="auto"/>
            <w:left w:val="none" w:sz="0" w:space="0" w:color="auto"/>
            <w:bottom w:val="none" w:sz="0" w:space="0" w:color="auto"/>
            <w:right w:val="none" w:sz="0" w:space="0" w:color="auto"/>
          </w:divBdr>
          <w:divsChild>
            <w:div w:id="1897857688">
              <w:marLeft w:val="0"/>
              <w:marRight w:val="0"/>
              <w:marTop w:val="0"/>
              <w:marBottom w:val="0"/>
              <w:divBdr>
                <w:top w:val="none" w:sz="0" w:space="0" w:color="auto"/>
                <w:left w:val="none" w:sz="0" w:space="0" w:color="auto"/>
                <w:bottom w:val="none" w:sz="0" w:space="0" w:color="auto"/>
                <w:right w:val="none" w:sz="0" w:space="0" w:color="auto"/>
              </w:divBdr>
              <w:divsChild>
                <w:div w:id="103542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829871">
      <w:bodyDiv w:val="1"/>
      <w:marLeft w:val="0"/>
      <w:marRight w:val="0"/>
      <w:marTop w:val="0"/>
      <w:marBottom w:val="0"/>
      <w:divBdr>
        <w:top w:val="none" w:sz="0" w:space="0" w:color="auto"/>
        <w:left w:val="none" w:sz="0" w:space="0" w:color="auto"/>
        <w:bottom w:val="none" w:sz="0" w:space="0" w:color="auto"/>
        <w:right w:val="none" w:sz="0" w:space="0" w:color="auto"/>
      </w:divBdr>
      <w:divsChild>
        <w:div w:id="1810392045">
          <w:marLeft w:val="0"/>
          <w:marRight w:val="0"/>
          <w:marTop w:val="0"/>
          <w:marBottom w:val="0"/>
          <w:divBdr>
            <w:top w:val="none" w:sz="0" w:space="0" w:color="auto"/>
            <w:left w:val="none" w:sz="0" w:space="0" w:color="auto"/>
            <w:bottom w:val="none" w:sz="0" w:space="0" w:color="auto"/>
            <w:right w:val="none" w:sz="0" w:space="0" w:color="auto"/>
          </w:divBdr>
          <w:divsChild>
            <w:div w:id="2072073605">
              <w:marLeft w:val="0"/>
              <w:marRight w:val="0"/>
              <w:marTop w:val="0"/>
              <w:marBottom w:val="0"/>
              <w:divBdr>
                <w:top w:val="none" w:sz="0" w:space="0" w:color="auto"/>
                <w:left w:val="none" w:sz="0" w:space="0" w:color="auto"/>
                <w:bottom w:val="none" w:sz="0" w:space="0" w:color="auto"/>
                <w:right w:val="none" w:sz="0" w:space="0" w:color="auto"/>
              </w:divBdr>
              <w:divsChild>
                <w:div w:id="196079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784412">
      <w:bodyDiv w:val="1"/>
      <w:marLeft w:val="0"/>
      <w:marRight w:val="0"/>
      <w:marTop w:val="0"/>
      <w:marBottom w:val="0"/>
      <w:divBdr>
        <w:top w:val="none" w:sz="0" w:space="0" w:color="auto"/>
        <w:left w:val="none" w:sz="0" w:space="0" w:color="auto"/>
        <w:bottom w:val="none" w:sz="0" w:space="0" w:color="auto"/>
        <w:right w:val="none" w:sz="0" w:space="0" w:color="auto"/>
      </w:divBdr>
      <w:divsChild>
        <w:div w:id="2067677262">
          <w:marLeft w:val="0"/>
          <w:marRight w:val="0"/>
          <w:marTop w:val="0"/>
          <w:marBottom w:val="0"/>
          <w:divBdr>
            <w:top w:val="none" w:sz="0" w:space="0" w:color="auto"/>
            <w:left w:val="none" w:sz="0" w:space="0" w:color="auto"/>
            <w:bottom w:val="none" w:sz="0" w:space="0" w:color="auto"/>
            <w:right w:val="none" w:sz="0" w:space="0" w:color="auto"/>
          </w:divBdr>
          <w:divsChild>
            <w:div w:id="2136870623">
              <w:marLeft w:val="0"/>
              <w:marRight w:val="0"/>
              <w:marTop w:val="0"/>
              <w:marBottom w:val="0"/>
              <w:divBdr>
                <w:top w:val="none" w:sz="0" w:space="0" w:color="auto"/>
                <w:left w:val="none" w:sz="0" w:space="0" w:color="auto"/>
                <w:bottom w:val="none" w:sz="0" w:space="0" w:color="auto"/>
                <w:right w:val="none" w:sz="0" w:space="0" w:color="auto"/>
              </w:divBdr>
              <w:divsChild>
                <w:div w:id="144337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635107">
      <w:bodyDiv w:val="1"/>
      <w:marLeft w:val="0"/>
      <w:marRight w:val="0"/>
      <w:marTop w:val="0"/>
      <w:marBottom w:val="0"/>
      <w:divBdr>
        <w:top w:val="none" w:sz="0" w:space="0" w:color="auto"/>
        <w:left w:val="none" w:sz="0" w:space="0" w:color="auto"/>
        <w:bottom w:val="none" w:sz="0" w:space="0" w:color="auto"/>
        <w:right w:val="none" w:sz="0" w:space="0" w:color="auto"/>
      </w:divBdr>
    </w:div>
    <w:div w:id="558978013">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5898244">
      <w:bodyDiv w:val="1"/>
      <w:marLeft w:val="0"/>
      <w:marRight w:val="0"/>
      <w:marTop w:val="0"/>
      <w:marBottom w:val="0"/>
      <w:divBdr>
        <w:top w:val="none" w:sz="0" w:space="0" w:color="auto"/>
        <w:left w:val="none" w:sz="0" w:space="0" w:color="auto"/>
        <w:bottom w:val="none" w:sz="0" w:space="0" w:color="auto"/>
        <w:right w:val="none" w:sz="0" w:space="0" w:color="auto"/>
      </w:divBdr>
      <w:divsChild>
        <w:div w:id="1497453041">
          <w:marLeft w:val="0"/>
          <w:marRight w:val="0"/>
          <w:marTop w:val="0"/>
          <w:marBottom w:val="0"/>
          <w:divBdr>
            <w:top w:val="none" w:sz="0" w:space="0" w:color="auto"/>
            <w:left w:val="none" w:sz="0" w:space="0" w:color="auto"/>
            <w:bottom w:val="none" w:sz="0" w:space="0" w:color="auto"/>
            <w:right w:val="none" w:sz="0" w:space="0" w:color="auto"/>
          </w:divBdr>
          <w:divsChild>
            <w:div w:id="1436830861">
              <w:marLeft w:val="0"/>
              <w:marRight w:val="0"/>
              <w:marTop w:val="0"/>
              <w:marBottom w:val="0"/>
              <w:divBdr>
                <w:top w:val="none" w:sz="0" w:space="0" w:color="auto"/>
                <w:left w:val="none" w:sz="0" w:space="0" w:color="auto"/>
                <w:bottom w:val="none" w:sz="0" w:space="0" w:color="auto"/>
                <w:right w:val="none" w:sz="0" w:space="0" w:color="auto"/>
              </w:divBdr>
              <w:divsChild>
                <w:div w:id="119723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467308">
      <w:bodyDiv w:val="1"/>
      <w:marLeft w:val="0"/>
      <w:marRight w:val="0"/>
      <w:marTop w:val="0"/>
      <w:marBottom w:val="0"/>
      <w:divBdr>
        <w:top w:val="none" w:sz="0" w:space="0" w:color="auto"/>
        <w:left w:val="none" w:sz="0" w:space="0" w:color="auto"/>
        <w:bottom w:val="none" w:sz="0" w:space="0" w:color="auto"/>
        <w:right w:val="none" w:sz="0" w:space="0" w:color="auto"/>
      </w:divBdr>
      <w:divsChild>
        <w:div w:id="482159904">
          <w:marLeft w:val="0"/>
          <w:marRight w:val="0"/>
          <w:marTop w:val="0"/>
          <w:marBottom w:val="0"/>
          <w:divBdr>
            <w:top w:val="none" w:sz="0" w:space="0" w:color="auto"/>
            <w:left w:val="none" w:sz="0" w:space="0" w:color="auto"/>
            <w:bottom w:val="none" w:sz="0" w:space="0" w:color="auto"/>
            <w:right w:val="none" w:sz="0" w:space="0" w:color="auto"/>
          </w:divBdr>
          <w:divsChild>
            <w:div w:id="1546526336">
              <w:marLeft w:val="0"/>
              <w:marRight w:val="0"/>
              <w:marTop w:val="0"/>
              <w:marBottom w:val="0"/>
              <w:divBdr>
                <w:top w:val="none" w:sz="0" w:space="0" w:color="auto"/>
                <w:left w:val="none" w:sz="0" w:space="0" w:color="auto"/>
                <w:bottom w:val="none" w:sz="0" w:space="0" w:color="auto"/>
                <w:right w:val="none" w:sz="0" w:space="0" w:color="auto"/>
              </w:divBdr>
              <w:divsChild>
                <w:div w:id="149418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0982">
      <w:bodyDiv w:val="1"/>
      <w:marLeft w:val="0"/>
      <w:marRight w:val="0"/>
      <w:marTop w:val="0"/>
      <w:marBottom w:val="0"/>
      <w:divBdr>
        <w:top w:val="none" w:sz="0" w:space="0" w:color="auto"/>
        <w:left w:val="none" w:sz="0" w:space="0" w:color="auto"/>
        <w:bottom w:val="none" w:sz="0" w:space="0" w:color="auto"/>
        <w:right w:val="none" w:sz="0" w:space="0" w:color="auto"/>
      </w:divBdr>
      <w:divsChild>
        <w:div w:id="1820225085">
          <w:marLeft w:val="0"/>
          <w:marRight w:val="0"/>
          <w:marTop w:val="0"/>
          <w:marBottom w:val="0"/>
          <w:divBdr>
            <w:top w:val="none" w:sz="0" w:space="0" w:color="auto"/>
            <w:left w:val="none" w:sz="0" w:space="0" w:color="auto"/>
            <w:bottom w:val="none" w:sz="0" w:space="0" w:color="auto"/>
            <w:right w:val="none" w:sz="0" w:space="0" w:color="auto"/>
          </w:divBdr>
          <w:divsChild>
            <w:div w:id="1330450155">
              <w:marLeft w:val="0"/>
              <w:marRight w:val="0"/>
              <w:marTop w:val="0"/>
              <w:marBottom w:val="0"/>
              <w:divBdr>
                <w:top w:val="none" w:sz="0" w:space="0" w:color="auto"/>
                <w:left w:val="none" w:sz="0" w:space="0" w:color="auto"/>
                <w:bottom w:val="none" w:sz="0" w:space="0" w:color="auto"/>
                <w:right w:val="none" w:sz="0" w:space="0" w:color="auto"/>
              </w:divBdr>
              <w:divsChild>
                <w:div w:id="24257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252443">
      <w:bodyDiv w:val="1"/>
      <w:marLeft w:val="0"/>
      <w:marRight w:val="0"/>
      <w:marTop w:val="0"/>
      <w:marBottom w:val="0"/>
      <w:divBdr>
        <w:top w:val="none" w:sz="0" w:space="0" w:color="auto"/>
        <w:left w:val="none" w:sz="0" w:space="0" w:color="auto"/>
        <w:bottom w:val="none" w:sz="0" w:space="0" w:color="auto"/>
        <w:right w:val="none" w:sz="0" w:space="0" w:color="auto"/>
      </w:divBdr>
    </w:div>
    <w:div w:id="1180970766">
      <w:bodyDiv w:val="1"/>
      <w:marLeft w:val="0"/>
      <w:marRight w:val="0"/>
      <w:marTop w:val="0"/>
      <w:marBottom w:val="0"/>
      <w:divBdr>
        <w:top w:val="none" w:sz="0" w:space="0" w:color="auto"/>
        <w:left w:val="none" w:sz="0" w:space="0" w:color="auto"/>
        <w:bottom w:val="none" w:sz="0" w:space="0" w:color="auto"/>
        <w:right w:val="none" w:sz="0" w:space="0" w:color="auto"/>
      </w:divBdr>
      <w:divsChild>
        <w:div w:id="868100898">
          <w:marLeft w:val="0"/>
          <w:marRight w:val="0"/>
          <w:marTop w:val="0"/>
          <w:marBottom w:val="0"/>
          <w:divBdr>
            <w:top w:val="none" w:sz="0" w:space="0" w:color="auto"/>
            <w:left w:val="none" w:sz="0" w:space="0" w:color="auto"/>
            <w:bottom w:val="none" w:sz="0" w:space="0" w:color="auto"/>
            <w:right w:val="none" w:sz="0" w:space="0" w:color="auto"/>
          </w:divBdr>
          <w:divsChild>
            <w:div w:id="1160193038">
              <w:marLeft w:val="0"/>
              <w:marRight w:val="0"/>
              <w:marTop w:val="0"/>
              <w:marBottom w:val="0"/>
              <w:divBdr>
                <w:top w:val="none" w:sz="0" w:space="0" w:color="auto"/>
                <w:left w:val="none" w:sz="0" w:space="0" w:color="auto"/>
                <w:bottom w:val="none" w:sz="0" w:space="0" w:color="auto"/>
                <w:right w:val="none" w:sz="0" w:space="0" w:color="auto"/>
              </w:divBdr>
              <w:divsChild>
                <w:div w:id="45891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710013">
      <w:bodyDiv w:val="1"/>
      <w:marLeft w:val="0"/>
      <w:marRight w:val="0"/>
      <w:marTop w:val="0"/>
      <w:marBottom w:val="0"/>
      <w:divBdr>
        <w:top w:val="none" w:sz="0" w:space="0" w:color="auto"/>
        <w:left w:val="none" w:sz="0" w:space="0" w:color="auto"/>
        <w:bottom w:val="none" w:sz="0" w:space="0" w:color="auto"/>
        <w:right w:val="none" w:sz="0" w:space="0" w:color="auto"/>
      </w:divBdr>
      <w:divsChild>
        <w:div w:id="648172512">
          <w:marLeft w:val="0"/>
          <w:marRight w:val="0"/>
          <w:marTop w:val="0"/>
          <w:marBottom w:val="0"/>
          <w:divBdr>
            <w:top w:val="none" w:sz="0" w:space="0" w:color="auto"/>
            <w:left w:val="none" w:sz="0" w:space="0" w:color="auto"/>
            <w:bottom w:val="none" w:sz="0" w:space="0" w:color="auto"/>
            <w:right w:val="none" w:sz="0" w:space="0" w:color="auto"/>
          </w:divBdr>
          <w:divsChild>
            <w:div w:id="1466581037">
              <w:marLeft w:val="0"/>
              <w:marRight w:val="0"/>
              <w:marTop w:val="0"/>
              <w:marBottom w:val="0"/>
              <w:divBdr>
                <w:top w:val="none" w:sz="0" w:space="0" w:color="auto"/>
                <w:left w:val="none" w:sz="0" w:space="0" w:color="auto"/>
                <w:bottom w:val="none" w:sz="0" w:space="0" w:color="auto"/>
                <w:right w:val="none" w:sz="0" w:space="0" w:color="auto"/>
              </w:divBdr>
              <w:divsChild>
                <w:div w:id="183179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13588">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490753908">
      <w:bodyDiv w:val="1"/>
      <w:marLeft w:val="0"/>
      <w:marRight w:val="0"/>
      <w:marTop w:val="0"/>
      <w:marBottom w:val="0"/>
      <w:divBdr>
        <w:top w:val="none" w:sz="0" w:space="0" w:color="auto"/>
        <w:left w:val="none" w:sz="0" w:space="0" w:color="auto"/>
        <w:bottom w:val="none" w:sz="0" w:space="0" w:color="auto"/>
        <w:right w:val="none" w:sz="0" w:space="0" w:color="auto"/>
      </w:divBdr>
      <w:divsChild>
        <w:div w:id="265692382">
          <w:marLeft w:val="0"/>
          <w:marRight w:val="0"/>
          <w:marTop w:val="0"/>
          <w:marBottom w:val="0"/>
          <w:divBdr>
            <w:top w:val="none" w:sz="0" w:space="0" w:color="auto"/>
            <w:left w:val="none" w:sz="0" w:space="0" w:color="auto"/>
            <w:bottom w:val="none" w:sz="0" w:space="0" w:color="auto"/>
            <w:right w:val="none" w:sz="0" w:space="0" w:color="auto"/>
          </w:divBdr>
          <w:divsChild>
            <w:div w:id="1826513187">
              <w:marLeft w:val="0"/>
              <w:marRight w:val="0"/>
              <w:marTop w:val="0"/>
              <w:marBottom w:val="0"/>
              <w:divBdr>
                <w:top w:val="none" w:sz="0" w:space="0" w:color="auto"/>
                <w:left w:val="none" w:sz="0" w:space="0" w:color="auto"/>
                <w:bottom w:val="none" w:sz="0" w:space="0" w:color="auto"/>
                <w:right w:val="none" w:sz="0" w:space="0" w:color="auto"/>
              </w:divBdr>
              <w:divsChild>
                <w:div w:id="158973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001978">
      <w:bodyDiv w:val="1"/>
      <w:marLeft w:val="0"/>
      <w:marRight w:val="0"/>
      <w:marTop w:val="0"/>
      <w:marBottom w:val="0"/>
      <w:divBdr>
        <w:top w:val="none" w:sz="0" w:space="0" w:color="auto"/>
        <w:left w:val="none" w:sz="0" w:space="0" w:color="auto"/>
        <w:bottom w:val="none" w:sz="0" w:space="0" w:color="auto"/>
        <w:right w:val="none" w:sz="0" w:space="0" w:color="auto"/>
      </w:divBdr>
    </w:div>
    <w:div w:id="1535457881">
      <w:bodyDiv w:val="1"/>
      <w:marLeft w:val="0"/>
      <w:marRight w:val="0"/>
      <w:marTop w:val="0"/>
      <w:marBottom w:val="0"/>
      <w:divBdr>
        <w:top w:val="none" w:sz="0" w:space="0" w:color="auto"/>
        <w:left w:val="none" w:sz="0" w:space="0" w:color="auto"/>
        <w:bottom w:val="none" w:sz="0" w:space="0" w:color="auto"/>
        <w:right w:val="none" w:sz="0" w:space="0" w:color="auto"/>
      </w:divBdr>
    </w:div>
    <w:div w:id="1590890931">
      <w:bodyDiv w:val="1"/>
      <w:marLeft w:val="0"/>
      <w:marRight w:val="0"/>
      <w:marTop w:val="0"/>
      <w:marBottom w:val="0"/>
      <w:divBdr>
        <w:top w:val="none" w:sz="0" w:space="0" w:color="auto"/>
        <w:left w:val="none" w:sz="0" w:space="0" w:color="auto"/>
        <w:bottom w:val="none" w:sz="0" w:space="0" w:color="auto"/>
        <w:right w:val="none" w:sz="0" w:space="0" w:color="auto"/>
      </w:divBdr>
    </w:div>
    <w:div w:id="1658224200">
      <w:bodyDiv w:val="1"/>
      <w:marLeft w:val="0"/>
      <w:marRight w:val="0"/>
      <w:marTop w:val="0"/>
      <w:marBottom w:val="0"/>
      <w:divBdr>
        <w:top w:val="none" w:sz="0" w:space="0" w:color="auto"/>
        <w:left w:val="none" w:sz="0" w:space="0" w:color="auto"/>
        <w:bottom w:val="none" w:sz="0" w:space="0" w:color="auto"/>
        <w:right w:val="none" w:sz="0" w:space="0" w:color="auto"/>
      </w:divBdr>
      <w:divsChild>
        <w:div w:id="1468739633">
          <w:marLeft w:val="0"/>
          <w:marRight w:val="0"/>
          <w:marTop w:val="0"/>
          <w:marBottom w:val="0"/>
          <w:divBdr>
            <w:top w:val="none" w:sz="0" w:space="0" w:color="auto"/>
            <w:left w:val="none" w:sz="0" w:space="0" w:color="auto"/>
            <w:bottom w:val="none" w:sz="0" w:space="0" w:color="auto"/>
            <w:right w:val="none" w:sz="0" w:space="0" w:color="auto"/>
          </w:divBdr>
          <w:divsChild>
            <w:div w:id="1262714768">
              <w:marLeft w:val="0"/>
              <w:marRight w:val="0"/>
              <w:marTop w:val="0"/>
              <w:marBottom w:val="0"/>
              <w:divBdr>
                <w:top w:val="none" w:sz="0" w:space="0" w:color="auto"/>
                <w:left w:val="none" w:sz="0" w:space="0" w:color="auto"/>
                <w:bottom w:val="none" w:sz="0" w:space="0" w:color="auto"/>
                <w:right w:val="none" w:sz="0" w:space="0" w:color="auto"/>
              </w:divBdr>
              <w:divsChild>
                <w:div w:id="165795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158574">
      <w:bodyDiv w:val="1"/>
      <w:marLeft w:val="0"/>
      <w:marRight w:val="0"/>
      <w:marTop w:val="0"/>
      <w:marBottom w:val="0"/>
      <w:divBdr>
        <w:top w:val="none" w:sz="0" w:space="0" w:color="auto"/>
        <w:left w:val="none" w:sz="0" w:space="0" w:color="auto"/>
        <w:bottom w:val="none" w:sz="0" w:space="0" w:color="auto"/>
        <w:right w:val="none" w:sz="0" w:space="0" w:color="auto"/>
      </w:divBdr>
      <w:divsChild>
        <w:div w:id="1628466626">
          <w:marLeft w:val="0"/>
          <w:marRight w:val="0"/>
          <w:marTop w:val="0"/>
          <w:marBottom w:val="0"/>
          <w:divBdr>
            <w:top w:val="none" w:sz="0" w:space="0" w:color="auto"/>
            <w:left w:val="none" w:sz="0" w:space="0" w:color="auto"/>
            <w:bottom w:val="none" w:sz="0" w:space="0" w:color="auto"/>
            <w:right w:val="none" w:sz="0" w:space="0" w:color="auto"/>
          </w:divBdr>
          <w:divsChild>
            <w:div w:id="1947418554">
              <w:marLeft w:val="0"/>
              <w:marRight w:val="0"/>
              <w:marTop w:val="0"/>
              <w:marBottom w:val="0"/>
              <w:divBdr>
                <w:top w:val="none" w:sz="0" w:space="0" w:color="auto"/>
                <w:left w:val="none" w:sz="0" w:space="0" w:color="auto"/>
                <w:bottom w:val="none" w:sz="0" w:space="0" w:color="auto"/>
                <w:right w:val="none" w:sz="0" w:space="0" w:color="auto"/>
              </w:divBdr>
              <w:divsChild>
                <w:div w:id="19281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218931">
      <w:bodyDiv w:val="1"/>
      <w:marLeft w:val="0"/>
      <w:marRight w:val="0"/>
      <w:marTop w:val="0"/>
      <w:marBottom w:val="0"/>
      <w:divBdr>
        <w:top w:val="none" w:sz="0" w:space="0" w:color="auto"/>
        <w:left w:val="none" w:sz="0" w:space="0" w:color="auto"/>
        <w:bottom w:val="none" w:sz="0" w:space="0" w:color="auto"/>
        <w:right w:val="none" w:sz="0" w:space="0" w:color="auto"/>
      </w:divBdr>
      <w:divsChild>
        <w:div w:id="1311254423">
          <w:marLeft w:val="0"/>
          <w:marRight w:val="0"/>
          <w:marTop w:val="0"/>
          <w:marBottom w:val="0"/>
          <w:divBdr>
            <w:top w:val="none" w:sz="0" w:space="0" w:color="auto"/>
            <w:left w:val="none" w:sz="0" w:space="0" w:color="auto"/>
            <w:bottom w:val="none" w:sz="0" w:space="0" w:color="auto"/>
            <w:right w:val="none" w:sz="0" w:space="0" w:color="auto"/>
          </w:divBdr>
        </w:div>
      </w:divsChild>
    </w:div>
    <w:div w:id="1765102736">
      <w:bodyDiv w:val="1"/>
      <w:marLeft w:val="0"/>
      <w:marRight w:val="0"/>
      <w:marTop w:val="0"/>
      <w:marBottom w:val="0"/>
      <w:divBdr>
        <w:top w:val="none" w:sz="0" w:space="0" w:color="auto"/>
        <w:left w:val="none" w:sz="0" w:space="0" w:color="auto"/>
        <w:bottom w:val="none" w:sz="0" w:space="0" w:color="auto"/>
        <w:right w:val="none" w:sz="0" w:space="0" w:color="auto"/>
      </w:divBdr>
      <w:divsChild>
        <w:div w:id="137648274">
          <w:marLeft w:val="0"/>
          <w:marRight w:val="0"/>
          <w:marTop w:val="0"/>
          <w:marBottom w:val="0"/>
          <w:divBdr>
            <w:top w:val="none" w:sz="0" w:space="0" w:color="auto"/>
            <w:left w:val="none" w:sz="0" w:space="0" w:color="auto"/>
            <w:bottom w:val="none" w:sz="0" w:space="0" w:color="auto"/>
            <w:right w:val="none" w:sz="0" w:space="0" w:color="auto"/>
          </w:divBdr>
          <w:divsChild>
            <w:div w:id="952981557">
              <w:marLeft w:val="0"/>
              <w:marRight w:val="0"/>
              <w:marTop w:val="0"/>
              <w:marBottom w:val="0"/>
              <w:divBdr>
                <w:top w:val="none" w:sz="0" w:space="0" w:color="auto"/>
                <w:left w:val="none" w:sz="0" w:space="0" w:color="auto"/>
                <w:bottom w:val="none" w:sz="0" w:space="0" w:color="auto"/>
                <w:right w:val="none" w:sz="0" w:space="0" w:color="auto"/>
              </w:divBdr>
              <w:divsChild>
                <w:div w:id="69477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329409">
      <w:bodyDiv w:val="1"/>
      <w:marLeft w:val="0"/>
      <w:marRight w:val="0"/>
      <w:marTop w:val="0"/>
      <w:marBottom w:val="0"/>
      <w:divBdr>
        <w:top w:val="none" w:sz="0" w:space="0" w:color="auto"/>
        <w:left w:val="none" w:sz="0" w:space="0" w:color="auto"/>
        <w:bottom w:val="none" w:sz="0" w:space="0" w:color="auto"/>
        <w:right w:val="none" w:sz="0" w:space="0" w:color="auto"/>
      </w:divBdr>
      <w:divsChild>
        <w:div w:id="188183189">
          <w:marLeft w:val="0"/>
          <w:marRight w:val="0"/>
          <w:marTop w:val="0"/>
          <w:marBottom w:val="0"/>
          <w:divBdr>
            <w:top w:val="none" w:sz="0" w:space="0" w:color="auto"/>
            <w:left w:val="none" w:sz="0" w:space="0" w:color="auto"/>
            <w:bottom w:val="none" w:sz="0" w:space="0" w:color="auto"/>
            <w:right w:val="none" w:sz="0" w:space="0" w:color="auto"/>
          </w:divBdr>
          <w:divsChild>
            <w:div w:id="1110205033">
              <w:marLeft w:val="0"/>
              <w:marRight w:val="0"/>
              <w:marTop w:val="0"/>
              <w:marBottom w:val="0"/>
              <w:divBdr>
                <w:top w:val="none" w:sz="0" w:space="0" w:color="auto"/>
                <w:left w:val="none" w:sz="0" w:space="0" w:color="auto"/>
                <w:bottom w:val="none" w:sz="0" w:space="0" w:color="auto"/>
                <w:right w:val="none" w:sz="0" w:space="0" w:color="auto"/>
              </w:divBdr>
              <w:divsChild>
                <w:div w:id="36320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645747">
      <w:bodyDiv w:val="1"/>
      <w:marLeft w:val="0"/>
      <w:marRight w:val="0"/>
      <w:marTop w:val="0"/>
      <w:marBottom w:val="0"/>
      <w:divBdr>
        <w:top w:val="none" w:sz="0" w:space="0" w:color="auto"/>
        <w:left w:val="none" w:sz="0" w:space="0" w:color="auto"/>
        <w:bottom w:val="none" w:sz="0" w:space="0" w:color="auto"/>
        <w:right w:val="none" w:sz="0" w:space="0" w:color="auto"/>
      </w:divBdr>
      <w:divsChild>
        <w:div w:id="1113138054">
          <w:marLeft w:val="0"/>
          <w:marRight w:val="0"/>
          <w:marTop w:val="0"/>
          <w:marBottom w:val="0"/>
          <w:divBdr>
            <w:top w:val="none" w:sz="0" w:space="0" w:color="auto"/>
            <w:left w:val="none" w:sz="0" w:space="0" w:color="auto"/>
            <w:bottom w:val="none" w:sz="0" w:space="0" w:color="auto"/>
            <w:right w:val="none" w:sz="0" w:space="0" w:color="auto"/>
          </w:divBdr>
          <w:divsChild>
            <w:div w:id="1121922316">
              <w:marLeft w:val="0"/>
              <w:marRight w:val="0"/>
              <w:marTop w:val="0"/>
              <w:marBottom w:val="0"/>
              <w:divBdr>
                <w:top w:val="none" w:sz="0" w:space="0" w:color="auto"/>
                <w:left w:val="none" w:sz="0" w:space="0" w:color="auto"/>
                <w:bottom w:val="none" w:sz="0" w:space="0" w:color="auto"/>
                <w:right w:val="none" w:sz="0" w:space="0" w:color="auto"/>
              </w:divBdr>
              <w:divsChild>
                <w:div w:id="55890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731683">
      <w:bodyDiv w:val="1"/>
      <w:marLeft w:val="0"/>
      <w:marRight w:val="0"/>
      <w:marTop w:val="0"/>
      <w:marBottom w:val="0"/>
      <w:divBdr>
        <w:top w:val="none" w:sz="0" w:space="0" w:color="auto"/>
        <w:left w:val="none" w:sz="0" w:space="0" w:color="auto"/>
        <w:bottom w:val="none" w:sz="0" w:space="0" w:color="auto"/>
        <w:right w:val="none" w:sz="0" w:space="0" w:color="auto"/>
      </w:divBdr>
    </w:div>
    <w:div w:id="2119835205">
      <w:bodyDiv w:val="1"/>
      <w:marLeft w:val="0"/>
      <w:marRight w:val="0"/>
      <w:marTop w:val="0"/>
      <w:marBottom w:val="0"/>
      <w:divBdr>
        <w:top w:val="none" w:sz="0" w:space="0" w:color="auto"/>
        <w:left w:val="none" w:sz="0" w:space="0" w:color="auto"/>
        <w:bottom w:val="none" w:sz="0" w:space="0" w:color="auto"/>
        <w:right w:val="none" w:sz="0" w:space="0" w:color="auto"/>
      </w:divBdr>
      <w:divsChild>
        <w:div w:id="1839151972">
          <w:marLeft w:val="0"/>
          <w:marRight w:val="0"/>
          <w:marTop w:val="0"/>
          <w:marBottom w:val="0"/>
          <w:divBdr>
            <w:top w:val="none" w:sz="0" w:space="0" w:color="auto"/>
            <w:left w:val="none" w:sz="0" w:space="0" w:color="auto"/>
            <w:bottom w:val="none" w:sz="0" w:space="0" w:color="auto"/>
            <w:right w:val="none" w:sz="0" w:space="0" w:color="auto"/>
          </w:divBdr>
          <w:divsChild>
            <w:div w:id="1778285046">
              <w:marLeft w:val="0"/>
              <w:marRight w:val="0"/>
              <w:marTop w:val="0"/>
              <w:marBottom w:val="0"/>
              <w:divBdr>
                <w:top w:val="none" w:sz="0" w:space="0" w:color="auto"/>
                <w:left w:val="none" w:sz="0" w:space="0" w:color="auto"/>
                <w:bottom w:val="none" w:sz="0" w:space="0" w:color="auto"/>
                <w:right w:val="none" w:sz="0" w:space="0" w:color="auto"/>
              </w:divBdr>
              <w:divsChild>
                <w:div w:id="73624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mailto:*andrea.bassani@unicatt.it"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6</Pages>
  <Words>4094</Words>
  <Characters>23339</Characters>
  <Application>Microsoft Office Word</Application>
  <DocSecurity>0</DocSecurity>
  <Lines>194</Lines>
  <Paragraphs>54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27379</CharactersWithSpaces>
  <SharedDoc>false</SharedDoc>
  <HLinks>
    <vt:vector size="6" baseType="variant">
      <vt:variant>
        <vt:i4>4980847</vt:i4>
      </vt:variant>
      <vt:variant>
        <vt:i4>0</vt:i4>
      </vt:variant>
      <vt:variant>
        <vt:i4>0</vt:i4>
      </vt:variant>
      <vt:variant>
        <vt:i4>5</vt:i4>
      </vt:variant>
      <vt:variant>
        <vt:lpwstr>mailto:*andrea.bassani@unicatt.it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cp:lastModifiedBy>Bassani Andrea (andrea.bassani)</cp:lastModifiedBy>
  <cp:revision>13</cp:revision>
  <cp:lastPrinted>2015-05-12T18:31:00Z</cp:lastPrinted>
  <dcterms:created xsi:type="dcterms:W3CDTF">2024-04-04T12:13:00Z</dcterms:created>
  <dcterms:modified xsi:type="dcterms:W3CDTF">2024-04-04T13:01:00Z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