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2373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6DAF609" w:rsidR="000A03B2" w:rsidRPr="00B57B36" w:rsidRDefault="00A76EFC" w:rsidP="001D21AF">
            <w:pPr>
              <w:tabs>
                <w:tab w:val="left" w:pos="-108"/>
              </w:tabs>
              <w:ind w:left="-108"/>
              <w:rPr>
                <w:rFonts w:cs="Arial"/>
                <w:b/>
                <w:bCs/>
                <w:i/>
                <w:iCs/>
                <w:color w:val="000066"/>
                <w:sz w:val="22"/>
                <w:szCs w:val="22"/>
                <w:lang w:eastAsia="it-IT"/>
              </w:rPr>
            </w:pPr>
            <w:proofErr w:type="gramStart"/>
            <w:r w:rsidRPr="00B57B36">
              <w:rPr>
                <w:rFonts w:cs="Arial"/>
                <w:b/>
                <w:bCs/>
                <w:i/>
                <w:iCs/>
                <w:color w:val="000066"/>
                <w:sz w:val="22"/>
                <w:szCs w:val="22"/>
                <w:lang w:eastAsia="it-IT"/>
              </w:rPr>
              <w:t>VOL. ,</w:t>
            </w:r>
            <w:proofErr w:type="gramEnd"/>
            <w:r w:rsidRPr="00B57B36">
              <w:rPr>
                <w:rFonts w:cs="Arial"/>
                <w:b/>
                <w:bCs/>
                <w:i/>
                <w:iCs/>
                <w:color w:val="000066"/>
                <w:sz w:val="22"/>
                <w:szCs w:val="22"/>
                <w:lang w:eastAsia="it-IT"/>
              </w:rPr>
              <w:t xml:space="preserve"> 202</w:t>
            </w:r>
            <w:r w:rsidR="007A03C1">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2373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2373E">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 xml:space="preserve">Copyright © 2023,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proofErr w:type="gram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 xml:space="preserve"> .</w:t>
            </w:r>
            <w:proofErr w:type="gramEnd"/>
            <w:r w:rsidRPr="00B57B36">
              <w:rPr>
                <w:rFonts w:ascii="Tahoma" w:hAnsi="Tahoma" w:cs="Tahoma"/>
                <w:iCs/>
                <w:color w:val="333333"/>
                <w:sz w:val="14"/>
                <w:szCs w:val="14"/>
                <w:lang w:eastAsia="it-IT"/>
              </w:rPr>
              <w:t xml:space="preserve"> </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979-12-81206-XX-</w:t>
            </w:r>
            <w:proofErr w:type="gramStart"/>
            <w:r w:rsidR="00D2582C" w:rsidRPr="000562A9">
              <w:rPr>
                <w:rFonts w:ascii="Tahoma" w:hAnsi="Tahoma" w:cs="Tahoma"/>
                <w:sz w:val="14"/>
                <w:szCs w:val="14"/>
              </w:rPr>
              <w:t xml:space="preserve">X </w:t>
            </w:r>
            <w:r w:rsidRPr="00EF06D9">
              <w:rPr>
                <w:rFonts w:ascii="Tahoma" w:hAnsi="Tahoma" w:cs="Tahoma"/>
                <w:iCs/>
                <w:color w:val="333333"/>
                <w:sz w:val="14"/>
                <w:szCs w:val="14"/>
                <w:lang w:eastAsia="it-IT"/>
              </w:rPr>
              <w:t>;</w:t>
            </w:r>
            <w:proofErr w:type="gramEnd"/>
            <w:r w:rsidRPr="00EF06D9">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 xml:space="preserve">ISSN </w:t>
            </w:r>
            <w:r w:rsidRPr="00B57B36">
              <w:rPr>
                <w:rFonts w:ascii="Tahoma" w:hAnsi="Tahoma" w:cs="Tahoma"/>
                <w:iCs/>
                <w:color w:val="333333"/>
                <w:sz w:val="14"/>
                <w:szCs w:val="14"/>
                <w:lang w:eastAsia="it-IT"/>
              </w:rPr>
              <w:t>2283-9216</w:t>
            </w:r>
          </w:p>
        </w:tc>
      </w:tr>
    </w:tbl>
    <w:p w14:paraId="2E667253" w14:textId="212144D5" w:rsidR="00E978D0" w:rsidRPr="006758B6" w:rsidRDefault="006758B6" w:rsidP="00E978D0">
      <w:pPr>
        <w:pStyle w:val="CETTitle"/>
        <w:rPr>
          <w:lang w:val="en-US"/>
        </w:rPr>
      </w:pPr>
      <w:r w:rsidRPr="006758B6">
        <w:rPr>
          <w:lang w:val="en-US"/>
        </w:rPr>
        <w:t>Biosolids from Wastewater Treatment Plant as an Alternative for Soil Decontamination with Aldrin Agrochemical</w:t>
      </w:r>
    </w:p>
    <w:p w14:paraId="0488FED2" w14:textId="26A41893" w:rsidR="00B57E6F" w:rsidRPr="003D25A1" w:rsidRDefault="003D25A1" w:rsidP="00B57E6F">
      <w:pPr>
        <w:pStyle w:val="CETAuthors"/>
        <w:rPr>
          <w:lang w:val="es-PE"/>
        </w:rPr>
      </w:pPr>
      <w:r w:rsidRPr="003D25A1">
        <w:rPr>
          <w:lang w:val="es-PE"/>
        </w:rPr>
        <w:t>Andrea del Pilar Gamarra Sánchez</w:t>
      </w:r>
      <w:r w:rsidR="00054505">
        <w:rPr>
          <w:lang w:val="es-PE"/>
        </w:rPr>
        <w:t xml:space="preserve"> </w:t>
      </w:r>
      <w:r w:rsidRPr="003D25A1">
        <w:rPr>
          <w:vertAlign w:val="superscript"/>
          <w:lang w:val="es-PE"/>
        </w:rPr>
        <w:t>a</w:t>
      </w:r>
      <w:r w:rsidRPr="003D25A1">
        <w:rPr>
          <w:lang w:val="es-PE"/>
        </w:rPr>
        <w:t>, Danny Lizarzaburu-Aguinaga</w:t>
      </w:r>
      <w:r w:rsidR="00054505">
        <w:rPr>
          <w:lang w:val="es-PE"/>
        </w:rPr>
        <w:t xml:space="preserve"> </w:t>
      </w:r>
      <w:r w:rsidRPr="003D25A1">
        <w:rPr>
          <w:vertAlign w:val="superscript"/>
          <w:lang w:val="es-PE"/>
        </w:rPr>
        <w:t xml:space="preserve">b </w:t>
      </w:r>
      <w:r>
        <w:rPr>
          <w:lang w:val="es-PE"/>
        </w:rPr>
        <w:t xml:space="preserve">, </w:t>
      </w:r>
      <w:r w:rsidR="0057226E">
        <w:rPr>
          <w:lang w:val="es-PE"/>
        </w:rPr>
        <w:t xml:space="preserve">Guido </w:t>
      </w:r>
      <w:r w:rsidR="007A30BA">
        <w:rPr>
          <w:lang w:val="es-PE"/>
        </w:rPr>
        <w:t>Suca Apaza</w:t>
      </w:r>
      <w:r w:rsidR="00054505">
        <w:rPr>
          <w:lang w:val="es-PE"/>
        </w:rPr>
        <w:t xml:space="preserve"> </w:t>
      </w:r>
      <w:r w:rsidR="007A30BA">
        <w:rPr>
          <w:vertAlign w:val="superscript"/>
          <w:lang w:val="es-PE"/>
        </w:rPr>
        <w:t>c</w:t>
      </w:r>
      <w:r w:rsidR="00717246">
        <w:rPr>
          <w:lang w:val="es-PE"/>
        </w:rPr>
        <w:t>,</w:t>
      </w:r>
      <w:r w:rsidR="00054505">
        <w:rPr>
          <w:lang w:val="es-PE"/>
        </w:rPr>
        <w:t xml:space="preserve"> Carlos Gonzales Castro </w:t>
      </w:r>
      <w:r w:rsidR="00054505" w:rsidRPr="00054505">
        <w:rPr>
          <w:vertAlign w:val="superscript"/>
          <w:lang w:val="es-PE"/>
        </w:rPr>
        <w:t>a</w:t>
      </w:r>
      <w:r w:rsidR="00054505">
        <w:rPr>
          <w:lang w:val="es-PE"/>
        </w:rPr>
        <w:t>,</w:t>
      </w:r>
      <w:r w:rsidR="00717246">
        <w:rPr>
          <w:lang w:val="es-PE"/>
        </w:rPr>
        <w:t xml:space="preserve"> </w:t>
      </w:r>
      <w:r>
        <w:rPr>
          <w:lang w:val="es-PE"/>
        </w:rPr>
        <w:t>Elmer Benites-Alfaro</w:t>
      </w:r>
      <w:r w:rsidR="00054505">
        <w:rPr>
          <w:lang w:val="es-PE"/>
        </w:rPr>
        <w:t xml:space="preserve"> </w:t>
      </w:r>
      <w:r w:rsidRPr="003D25A1">
        <w:rPr>
          <w:vertAlign w:val="superscript"/>
          <w:lang w:val="es-PE"/>
        </w:rPr>
        <w:t>a*</w:t>
      </w:r>
    </w:p>
    <w:p w14:paraId="6B2D21B3" w14:textId="3F2A12F1" w:rsidR="00B57E6F" w:rsidRPr="00652BBA" w:rsidRDefault="00B57E6F" w:rsidP="00B57E6F">
      <w:pPr>
        <w:pStyle w:val="CETAddress"/>
        <w:rPr>
          <w:lang w:val="es-PE"/>
        </w:rPr>
      </w:pPr>
      <w:r w:rsidRPr="00652BBA">
        <w:rPr>
          <w:vertAlign w:val="superscript"/>
          <w:lang w:val="es-PE"/>
        </w:rPr>
        <w:t xml:space="preserve">a </w:t>
      </w:r>
      <w:r w:rsidR="00AC3971">
        <w:rPr>
          <w:lang w:val="es-PE"/>
        </w:rPr>
        <w:t>Universidad C</w:t>
      </w:r>
      <w:r w:rsidR="00652BBA" w:rsidRPr="00652BBA">
        <w:rPr>
          <w:lang w:val="es-PE"/>
        </w:rPr>
        <w:t>ésar Vallejo, Av. Alfredo Mendiola 6232, Los Olivos, Lima – Peru</w:t>
      </w:r>
    </w:p>
    <w:p w14:paraId="3D72B0B0" w14:textId="41E182E6" w:rsidR="00B57E6F" w:rsidRDefault="00B57E6F" w:rsidP="00B57E6F">
      <w:pPr>
        <w:pStyle w:val="CETAddress"/>
        <w:rPr>
          <w:lang w:val="es-PE"/>
        </w:rPr>
      </w:pPr>
      <w:r w:rsidRPr="00652BBA">
        <w:rPr>
          <w:vertAlign w:val="superscript"/>
          <w:lang w:val="es-PE"/>
        </w:rPr>
        <w:t xml:space="preserve">b </w:t>
      </w:r>
      <w:r w:rsidR="00AC3971">
        <w:rPr>
          <w:lang w:val="es-PE"/>
        </w:rPr>
        <w:t>Universidad C</w:t>
      </w:r>
      <w:r w:rsidR="00AC3971" w:rsidRPr="00652BBA">
        <w:rPr>
          <w:lang w:val="es-PE"/>
        </w:rPr>
        <w:t>ésar Vallejo</w:t>
      </w:r>
      <w:r w:rsidR="00652BBA" w:rsidRPr="00652BBA">
        <w:rPr>
          <w:lang w:val="es-PE"/>
        </w:rPr>
        <w:t xml:space="preserve">, Av. </w:t>
      </w:r>
      <w:r w:rsidR="00652BBA" w:rsidRPr="00AC3971">
        <w:rPr>
          <w:lang w:val="es-PE"/>
        </w:rPr>
        <w:t>Argentina 1795, Callao – Peru</w:t>
      </w:r>
    </w:p>
    <w:p w14:paraId="21CF5263" w14:textId="4A82B605" w:rsidR="00717246" w:rsidRPr="00AC3971" w:rsidRDefault="007A30BA" w:rsidP="007A30BA">
      <w:pPr>
        <w:pStyle w:val="CETAddress"/>
        <w:rPr>
          <w:lang w:val="es-PE"/>
        </w:rPr>
      </w:pPr>
      <w:r>
        <w:rPr>
          <w:vertAlign w:val="superscript"/>
          <w:lang w:val="es-PE"/>
        </w:rPr>
        <w:t>c</w:t>
      </w:r>
      <w:r w:rsidRPr="00652BBA">
        <w:rPr>
          <w:vertAlign w:val="superscript"/>
          <w:lang w:val="es-PE"/>
        </w:rPr>
        <w:t xml:space="preserve"> </w:t>
      </w:r>
      <w:r>
        <w:rPr>
          <w:lang w:val="es-PE"/>
        </w:rPr>
        <w:t>Universidad C</w:t>
      </w:r>
      <w:r w:rsidRPr="00652BBA">
        <w:rPr>
          <w:lang w:val="es-PE"/>
        </w:rPr>
        <w:t xml:space="preserve">ésar Vallejo, </w:t>
      </w:r>
      <w:r>
        <w:rPr>
          <w:lang w:val="es-PE"/>
        </w:rPr>
        <w:t xml:space="preserve">sede Ate, </w:t>
      </w:r>
      <w:r w:rsidRPr="00AC3971">
        <w:rPr>
          <w:lang w:val="es-PE"/>
        </w:rPr>
        <w:t>Peru</w:t>
      </w:r>
    </w:p>
    <w:p w14:paraId="73F1267A" w14:textId="540998F1" w:rsidR="00B57E6F" w:rsidRPr="00B57B36" w:rsidRDefault="00B57E6F" w:rsidP="00B57E6F">
      <w:pPr>
        <w:pStyle w:val="CETemail"/>
      </w:pPr>
      <w:r w:rsidRPr="00AC3971">
        <w:rPr>
          <w:lang w:val="es-PE"/>
        </w:rPr>
        <w:t xml:space="preserve"> </w:t>
      </w:r>
      <w:r w:rsidR="00AC3971">
        <w:rPr>
          <w:lang w:val="es-PE"/>
        </w:rPr>
        <w:t>*</w:t>
      </w:r>
      <w:r w:rsidR="0061793D">
        <w:t>Corresponding</w:t>
      </w:r>
      <w:r w:rsidR="00926C41">
        <w:t xml:space="preserve">: </w:t>
      </w:r>
      <w:r w:rsidRPr="00B57B36">
        <w:t>ebenitesa@ucv.edu.pe</w:t>
      </w:r>
    </w:p>
    <w:p w14:paraId="37A61FCE" w14:textId="59F2F249" w:rsidR="00DA24C6" w:rsidRDefault="00D33CC2" w:rsidP="00AC3971">
      <w:pPr>
        <w:pStyle w:val="CETListbullets"/>
        <w:ind w:left="0" w:firstLine="0"/>
      </w:pPr>
      <w:r w:rsidRPr="00D33CC2">
        <w:t xml:space="preserve">Soil contamination by agrochemicals is a significant environmental problem that can have negative impacts on human health, biodiversity, and water quality. Excessive or inappropriate use of agrochemicals, including the pesticide Aldrin, commonly used as an insecticide in agricultural activity, can result in soil contamination. The objective of the research was to use biosolids from a wastewater treatment plant to decontaminate agricultural soil containing the pesticide Aldrin. For the investigation, soil samples were taken from the Carabayllo area and 2 kg were placed in each container, then biosolids from the wastewater treatment plant were added in </w:t>
      </w:r>
      <w:r w:rsidRPr="00566811">
        <w:t>proportions of 10, 20, and 30</w:t>
      </w:r>
      <w:r w:rsidR="00926C41" w:rsidRPr="00566811">
        <w:t xml:space="preserve"> </w:t>
      </w:r>
      <w:r w:rsidRPr="00566811">
        <w:t>%</w:t>
      </w:r>
      <w:r w:rsidRPr="00D33CC2">
        <w:t xml:space="preserve"> respectively. The test was done in triplicate for each percentage. After 90 days of treatment, a 70</w:t>
      </w:r>
      <w:r w:rsidR="00926C41">
        <w:t xml:space="preserve"> </w:t>
      </w:r>
      <w:r w:rsidRPr="00D33CC2">
        <w:t>% decrease in the pesticide Aldrin was found, for a percentage of 30</w:t>
      </w:r>
      <w:r w:rsidR="00926C41">
        <w:t xml:space="preserve"> </w:t>
      </w:r>
      <w:r w:rsidRPr="00D33CC2">
        <w:t>% of biosolid added to the soil; Therefore, it is established that sewage biosolids allow the reduction of the pesticide Aldrin, becoming an environmentally sustainable alternative to decontaminate soils.</w:t>
      </w:r>
    </w:p>
    <w:p w14:paraId="476B2F2E" w14:textId="77777777" w:rsidR="00600535" w:rsidRDefault="00600535" w:rsidP="00600535">
      <w:pPr>
        <w:pStyle w:val="CETHeading1"/>
        <w:rPr>
          <w:lang w:val="en-GB"/>
        </w:rPr>
      </w:pPr>
      <w:r w:rsidRPr="00B57B36">
        <w:rPr>
          <w:lang w:val="en-GB"/>
        </w:rPr>
        <w:t>Introduction</w:t>
      </w:r>
    </w:p>
    <w:p w14:paraId="105E4DFB" w14:textId="111AFF85" w:rsidR="00EF7A0A" w:rsidRPr="00AC3971" w:rsidRDefault="00B076BB" w:rsidP="00CB26C8">
      <w:pPr>
        <w:pStyle w:val="CETBodytext"/>
        <w:rPr>
          <w:lang w:val="en-US"/>
        </w:rPr>
      </w:pPr>
      <w:r w:rsidRPr="00AC3971">
        <w:rPr>
          <w:lang w:val="en-US"/>
        </w:rPr>
        <w:t>Agricultural soils near the capital of Peru usually contain different contaminants due to the indiscriminate use of pesticides or their proximity to populated or industrialized areas. One of these contaminants is Aldrin (C</w:t>
      </w:r>
      <w:r w:rsidR="007F1377" w:rsidRPr="00AC3971">
        <w:rPr>
          <w:vertAlign w:val="subscript"/>
          <w:lang w:val="en-US"/>
        </w:rPr>
        <w:t>12</w:t>
      </w:r>
      <w:r w:rsidR="007F1377" w:rsidRPr="00AC3971">
        <w:rPr>
          <w:lang w:val="en-US"/>
        </w:rPr>
        <w:t>H</w:t>
      </w:r>
      <w:r w:rsidR="007F1377" w:rsidRPr="00AC3971">
        <w:rPr>
          <w:vertAlign w:val="subscript"/>
          <w:lang w:val="en-US"/>
        </w:rPr>
        <w:t>8</w:t>
      </w:r>
      <w:r w:rsidR="007F1377" w:rsidRPr="00AC3971">
        <w:rPr>
          <w:lang w:val="en-US"/>
        </w:rPr>
        <w:t>Cl</w:t>
      </w:r>
      <w:r w:rsidR="007F1377" w:rsidRPr="00AC3971">
        <w:rPr>
          <w:vertAlign w:val="subscript"/>
          <w:lang w:val="en-US"/>
        </w:rPr>
        <w:t>6</w:t>
      </w:r>
      <w:r w:rsidR="007F1377" w:rsidRPr="00AC3971">
        <w:rPr>
          <w:lang w:val="en-US"/>
        </w:rPr>
        <w:t xml:space="preserve">), a solid, non-flammable organochlorine, insoluble in water and highly persistent </w:t>
      </w:r>
      <w:r w:rsidR="00EF7F33">
        <w:rPr>
          <w:lang w:val="es-PE"/>
        </w:rPr>
        <w:fldChar w:fldCharType="begin" w:fldLock="1"/>
      </w:r>
      <w:r w:rsidR="00AC3971">
        <w:rPr>
          <w:lang w:val="en-US"/>
        </w:rPr>
        <w:instrText>ADDIN CSL_CITATION {"citationItems":[{"id":"ITEM-1","itemData":{"author":[{"dropping-particle":"","family":"Instituto Nacional de Seguridad e Higiene en el Trabajo","given":"","non-dropping-particle":"","parse-names":false,"suffix":""}],"id":"ITEM-1","issued":{"date-parts":[["2015"]]},"number-of-pages":"1-4","title":"DLEP 95 Aldrin","type":"report"},"uris":["http://www.mendeley.com/documents/?uuid=e960a5a6-0f3b-4ae6-a7eb-52fdf46bf034"]}],"mendeley":{"formattedCitation":"(Instituto Nacional de Seguridad e Higiene en el Trabajo, 2015)","manualFormatting":"(Instituto Nacional de Seguridad e Higiene en el Trabajo National, 2015)","plainTextFormattedCitation":"(Instituto Nacional de Seguridad e Higiene en el Trabajo, 2015)","previouslyFormattedCitation":"(Instituto Nacional de Seguridad e Higiene en el Trabajo, 2015)"},"properties":{"noteIndex":0},"schema":"https://github.com/citation-style-language/schema/raw/master/csl-citation.json"}</w:instrText>
      </w:r>
      <w:r w:rsidR="00EF7F33">
        <w:rPr>
          <w:lang w:val="es-PE"/>
        </w:rPr>
        <w:fldChar w:fldCharType="separate"/>
      </w:r>
      <w:r w:rsidR="00EF7F33" w:rsidRPr="00AC3971">
        <w:rPr>
          <w:noProof/>
          <w:lang w:val="en-US"/>
        </w:rPr>
        <w:t>(</w:t>
      </w:r>
      <w:r w:rsidR="00AC3971">
        <w:rPr>
          <w:noProof/>
          <w:lang w:val="en-US"/>
        </w:rPr>
        <w:t xml:space="preserve">Instituto Nacional de Seguridad e Higiene en el Trabajo </w:t>
      </w:r>
      <w:r w:rsidR="00EF7F33" w:rsidRPr="00AC3971">
        <w:rPr>
          <w:noProof/>
          <w:lang w:val="en-US"/>
        </w:rPr>
        <w:t>National, 2015)</w:t>
      </w:r>
      <w:r w:rsidR="00EF7F33">
        <w:rPr>
          <w:lang w:val="es-PE"/>
        </w:rPr>
        <w:fldChar w:fldCharType="end"/>
      </w:r>
      <w:r w:rsidR="006556CB" w:rsidRPr="00AC3971">
        <w:rPr>
          <w:lang w:val="en-US"/>
        </w:rPr>
        <w:t xml:space="preserve">; which has been used as a pesticide until 1991 when, by Supreme Decree No. 037-91-AG, its import and registration was prohibited, however its use and application has continued illegally until the end of 2004 </w:t>
      </w:r>
      <w:r w:rsidR="00CA737C">
        <w:rPr>
          <w:lang w:val="es-PE"/>
        </w:rPr>
        <w:fldChar w:fldCharType="begin" w:fldLock="1"/>
      </w:r>
      <w:r w:rsidR="00AC3971">
        <w:rPr>
          <w:lang w:val="en-US"/>
        </w:rPr>
        <w:instrText>ADDIN CSL_CITATION {"citationItems":[{"id":"ITEM-1","itemData":{"abstract":"I n the march of the project «Pesticide’s inventory: including POPs», within the framework of the «National Implementation Plan for the Stockholm Convention on Persistent Organic Pollutants (POP) in Peru», several activities were made, aimed mainly to identify POPs pesticides (DDT, aldrin, dieldrin, endrin, heptachlor, HCB, chlordane, toxaphen and mirex), and other very important situational aspects about pesticides in Peru. Target of this present written work is to take inventory about pesticides including POPs pesticides, which meant to raise data related to the commercial trade, chemical formulation, storage, commerce ways and use throughout all the country, with emphasis in POPs; to determine hot points to be prioritized in the environmentally rational management of the pesticides, as well as to describe and analyze the process of the elaboration of the inventory, its results and to evaluate alternatives for the disposition of wastes of pesticides, including obsolete pesticides. On the other hand, for the diagnosis were considered other non- POPs pesticides, such as toxicity extreme (Category Ia) and high toxicity (Ib), obsolete pesticides according to WHO (World Health Organization) classification, the non-legal commerce, mainly aimed at the contraband, ambulatory market, adulteration and falsification. Working methodology was based on five compounds: secondary data review, coordination with main authorities (SENASA, DIGESA and CONAM), elaboration and application of surveys, systematization and analysis of obtained data. Six types of surveys were elaborated, aimed at companies dealing with pesticides (trade, formulation and commerce), pesticide stores, farmers organization, state organizations, competent authorities, hospitals and several organizations related to the subject of pesticides (research, teaching, analysis, supervision, monitoring, etc.) Antecedents have been reviewed on Peruvian scientific sheets like Entomologist journals and Peruvian Sea Institute (IMARPE). On the systematization work, the interaction fact of diverse items and the technical confrontation within Geographic Information System has been used. The obtained data is based on the year 2004.","author":[{"dropping-particle":"","family":"Consejo Nacional del Ambiente (CONAM)","given":"","non-dropping-particle":"","parse-names":false,"suffix":""}],"id":"ITEM-1","issued":{"date-parts":[["2006"]]},"number-of-pages":"107-118","publisher-place":"Lima, Perú","title":"Inventario Nacional de Plaguicidas COP","type":"report"},"uris":["http://www.mendeley.com/documents/?uuid=cc72184d-048b-4721-b132-11bd0a019af9"]}],"mendeley":{"formattedCitation":"(Consejo Nacional del Ambiente (CONAM), 2006)","manualFormatting":"(Consejo Nacional del Ambiente, 2006)","plainTextFormattedCitation":"(Consejo Nacional del Ambiente (CONAM), 2006)","previouslyFormattedCitation":"(Consejo Nacional del Ambiente (CONAM), 2006)"},"properties":{"noteIndex":0},"schema":"https://github.com/citation-style-language/schema/raw/master/csl-citation.json"}</w:instrText>
      </w:r>
      <w:r w:rsidR="00CA737C">
        <w:rPr>
          <w:lang w:val="es-PE"/>
        </w:rPr>
        <w:fldChar w:fldCharType="separate"/>
      </w:r>
      <w:r w:rsidR="00CA737C" w:rsidRPr="00AC3971">
        <w:rPr>
          <w:noProof/>
          <w:lang w:val="en-US"/>
        </w:rPr>
        <w:t>(</w:t>
      </w:r>
      <w:r w:rsidR="00AC3971">
        <w:rPr>
          <w:noProof/>
          <w:lang w:val="en-US"/>
        </w:rPr>
        <w:t>Consejo Nacional del Ambiente</w:t>
      </w:r>
      <w:r w:rsidR="00CA737C" w:rsidRPr="00AC3971">
        <w:rPr>
          <w:noProof/>
          <w:lang w:val="en-US"/>
        </w:rPr>
        <w:t>, 2006)</w:t>
      </w:r>
      <w:r w:rsidR="00CA737C">
        <w:rPr>
          <w:lang w:val="es-PE"/>
        </w:rPr>
        <w:fldChar w:fldCharType="end"/>
      </w:r>
      <w:r w:rsidR="007436A7" w:rsidRPr="00AC3971">
        <w:rPr>
          <w:lang w:val="en-US"/>
        </w:rPr>
        <w:t xml:space="preserve">; showing that the impact on soils due to heavy metals </w:t>
      </w:r>
      <w:r w:rsidR="00B62D1D">
        <w:rPr>
          <w:lang w:val="es-PE"/>
        </w:rPr>
        <w:fldChar w:fldCharType="begin" w:fldLock="1"/>
      </w:r>
      <w:r w:rsidR="00B62D1D" w:rsidRPr="00AC3971">
        <w:rPr>
          <w:lang w:val="en-US"/>
        </w:rPr>
        <w:instrText>ADDIN CSL_CITATION {"citationItems":[{"id":"ITEM-1","itemData":{"ISBN":"9786185271732","author":[{"dropping-particle":"","family":"Bonelli","given":"Maria Grazia","non-dropping-particle":"","parse-names":false,"suffix":""},{"dropping-particle":"","family":"Manni","given":"A","non-dropping-particle":"","parse-names":false,"suffix":""}],"container-title":"The Seventh International Conference on Environmental Management, Engineering, Planning &amp; Economics","id":"ITEM-1","issue":"May","issued":{"date-parts":[["2019"]]},"title":"Organochlorine pesticides (OCPs) forecasting from heavy metals determinations","type":"article-journal"},"uris":["http://www.mendeley.com/documents/?uuid=7dcbc47a-ff5c-47be-8b8a-5ddf4f92f607"]}],"mendeley":{"formattedCitation":"(Bonelli &amp; Manni, 2019)","plainTextFormattedCitation":"(Bonelli &amp; Manni, 2019)","previouslyFormattedCitation":"(Bonelli &amp; Manni, 2019)"},"properties":{"noteIndex":0},"schema":"https://github.com/citation-style-language/schema/raw/master/csl-citation.json"}</w:instrText>
      </w:r>
      <w:r w:rsidR="00B62D1D">
        <w:rPr>
          <w:lang w:val="es-PE"/>
        </w:rPr>
        <w:fldChar w:fldCharType="separate"/>
      </w:r>
      <w:r w:rsidR="00B62D1D" w:rsidRPr="00AC3971">
        <w:rPr>
          <w:noProof/>
          <w:lang w:val="en-US"/>
        </w:rPr>
        <w:t>(Bonelli &amp; Manni, 2019)</w:t>
      </w:r>
      <w:r w:rsidR="00B62D1D">
        <w:rPr>
          <w:lang w:val="es-PE"/>
        </w:rPr>
        <w:fldChar w:fldCharType="end"/>
      </w:r>
      <w:r w:rsidR="00AC3971" w:rsidRPr="00AC3971">
        <w:rPr>
          <w:lang w:val="en-US"/>
        </w:rPr>
        <w:t xml:space="preserve"> </w:t>
      </w:r>
      <w:r w:rsidR="00C20E15" w:rsidRPr="00AC3971">
        <w:rPr>
          <w:lang w:val="en-US"/>
        </w:rPr>
        <w:t>and their agricultural capacity persist to this day.</w:t>
      </w:r>
    </w:p>
    <w:p w14:paraId="4431AED4" w14:textId="3ABC84EC" w:rsidR="00D56152" w:rsidRPr="00AC3971" w:rsidRDefault="00173A42" w:rsidP="00CB26C8">
      <w:pPr>
        <w:pStyle w:val="CETBodytext"/>
        <w:rPr>
          <w:lang w:val="en-US"/>
        </w:rPr>
      </w:pPr>
      <w:r w:rsidRPr="00AC3971">
        <w:rPr>
          <w:lang w:val="en-US"/>
        </w:rPr>
        <w:t xml:space="preserve">Aldrin contamination in soils can occur directly due to agricultural and health use </w:t>
      </w:r>
      <w:r w:rsidR="00053C42">
        <w:rPr>
          <w:lang w:val="es-PE"/>
        </w:rPr>
        <w:fldChar w:fldCharType="begin" w:fldLock="1"/>
      </w:r>
      <w:r w:rsidR="00034FA5" w:rsidRPr="00AC3971">
        <w:rPr>
          <w:lang w:val="en-US"/>
        </w:rPr>
        <w:instrText>ADDIN CSL_CITATION {"citationItems":[{"id":"ITEM-1","itemData":{"DOI":"10.1080/15275922.2020.1850570","ISSN":"15275930","abstract":"The spatial distribution, source identification, ecotoxicological, and human health risks of 20 organochlorine pesticides (OCPs) in agricultural soils in southern Nigeria were investigated in this study. Soil samples were collected from 18 agricultural soils from 6 different locations. Soil samples were soxhlet extracted using dichloromethane/n-Hexane and purified with florisil and silica gel column. The OCPs were quantified using a gas chromatography-mass spectrometry. The concentrations of the ∑20 OCPs in the soils varied between 5.8 and 395 ng g−1 for all locations and depths. The occurrence profile of OCPs was in the order of ∑Chlordane &gt; ∑HCHs &gt; ∑DDTs &gt; ∑Endosulfan &gt; ∑Endrin &gt; Aldrin &gt; Dieldrin. The TEC-HQ and PEC-HQ values indicated the presence of adverse and frequent ecological effects on biota from OCPs’ exposure in the soils. The HI and TCR values indicated that there were potential non-cancer and cancer risks from the OCPs’ exposure in the soils. The result of PCA and isomeric ratios showed that the OCPs in the soils were from past and fresh usage of OCPs as pesticides in the soils. The government should, therefore, set guidelines to control the use of OCPs in agricultural soils to prevent further contaminations.","author":[{"dropping-particle":"","family":"Tesi","given":"Juliet N.","non-dropping-particle":"","parse-names":false,"suffix":""},{"dropping-particle":"","family":"Tesi","given":"Godswill O.","non-dropping-particle":"","parse-names":false,"suffix":""},{"dropping-particle":"","family":"Ossai","given":"Jude C.","non-dropping-particle":"","parse-names":false,"suffix":""},{"dropping-particle":"","family":"Agbozu","given":"Iwekumo E.","non-dropping-particle":"","parse-names":false,"suffix":""}],"container-title":"Environmental Forensics","id":"ITEM-1","issue":"0","issued":{"date-parts":[["2020"]]},"page":"1-13","publisher":"Taylor &amp; Francis","title":"Organochlorine pesticides (OCPs) in agricultural soils of Southern Nigeria: spatial distribution, source identification, ecotoxicological and human health risks assessment","type":"article-journal","volume":"0"},"uris":["http://www.mendeley.com/documents/?uuid=48937670-82cc-4333-b2bc-cd49613d7634"]}],"mendeley":{"formattedCitation":"(Tesi et al., 2020)","plainTextFormattedCitation":"(Tesi et al., 2020)","previouslyFormattedCitation":"(Tesi et al., 2020)"},"properties":{"noteIndex":0},"schema":"https://github.com/citation-style-language/schema/raw/master/csl-citation.json"}</w:instrText>
      </w:r>
      <w:r w:rsidR="00053C42">
        <w:rPr>
          <w:lang w:val="es-PE"/>
        </w:rPr>
        <w:fldChar w:fldCharType="separate"/>
      </w:r>
      <w:r w:rsidR="00053C42" w:rsidRPr="00AC3971">
        <w:rPr>
          <w:noProof/>
          <w:lang w:val="en-US"/>
        </w:rPr>
        <w:t>(Tesi et al., 2020)</w:t>
      </w:r>
      <w:r w:rsidR="00AC3971">
        <w:rPr>
          <w:noProof/>
          <w:lang w:val="en-US"/>
        </w:rPr>
        <w:t xml:space="preserve"> </w:t>
      </w:r>
      <w:r w:rsidR="00053C42">
        <w:rPr>
          <w:lang w:val="es-PE"/>
        </w:rPr>
        <w:fldChar w:fldCharType="end"/>
      </w:r>
      <w:r w:rsidR="00844B13" w:rsidRPr="00AC3971">
        <w:rPr>
          <w:lang w:val="en-US"/>
        </w:rPr>
        <w:t>and indirectly caused by the method of application, the wind rose, high temperatures, solid waste, among others, all this combined with its high persistence (520 weeks of activity), its bioaccumulation factor (4,444 in fish), the resistance that vectors can generate (</w:t>
      </w:r>
      <w:r w:rsidR="001C2892" w:rsidRPr="00AC3971">
        <w:rPr>
          <w:lang w:val="en-US"/>
        </w:rPr>
        <w:t>Anopheles</w:t>
      </w:r>
      <w:r w:rsidR="005B401C" w:rsidRPr="00AC3971">
        <w:rPr>
          <w:lang w:val="en-US"/>
        </w:rPr>
        <w:t xml:space="preserve"> </w:t>
      </w:r>
      <w:r w:rsidR="0061793D">
        <w:rPr>
          <w:lang w:val="en-US"/>
        </w:rPr>
        <w:t>gambiae</w:t>
      </w:r>
      <w:r w:rsidR="001C2892" w:rsidRPr="00AC3971">
        <w:rPr>
          <w:lang w:val="en-US"/>
        </w:rPr>
        <w:t xml:space="preserve">) by adaptive phenomena or effects on microorganisms (mites, nematodes, worms, insect larvae and bacteria) in the soil </w:t>
      </w:r>
      <w:r w:rsidR="003D42DA">
        <w:rPr>
          <w:lang w:val="es-PE"/>
        </w:rPr>
        <w:fldChar w:fldCharType="begin" w:fldLock="1"/>
      </w:r>
      <w:r w:rsidR="00AC3971">
        <w:rPr>
          <w:lang w:val="en-US"/>
        </w:rPr>
        <w:instrText>ADDIN CSL_CITATION {"citationItems":[{"id":"ITEM-1","itemData":{"ISBN":"92-75-37035-4","author":[{"dropping-particle":"","family":"Arias Verdes","given":"Jose Antonio","non-dropping-particle":"","parse-names":false,"suffix":""},{"dropping-particle":"","family":"Rojas Companioni","given":"Dalia","non-dropping-particle":"","parse-names":false,"suffix":""},{"dropping-particle":"","family":"Dierkmeier Corcuela","given":"Gonzalo","non-dropping-particle":"","parse-names":false,"suffix":""},{"dropping-particle":"","family":"Riera Betancourt","given":"Celia","non-dropping-particle":"","parse-names":false,"suffix":""},{"dropping-particle":"","family":"Cabrera Cruz","given":"Niviola","non-dropping-particle":"","parse-names":false,"suffix":""}],"id":"ITEM-1","issued":{"date-parts":[["1990"]]},"number-of-pages":"1-92","publisher":"Centro Panamericano de Ecología Humana y Salud","publisher-place":"Mexico","title":"Serie Vigilancia 9: Plaguicidas Organoclorados","type":"book"},"uris":["http://www.mendeley.com/documents/?uuid=1934d63b-b4a6-49ff-914b-1f63e19a4f9b"]}],"mendeley":{"formattedCitation":"(Arias Verdes et al., 1990)","manualFormatting":"(Arias et al., 1990)","plainTextFormattedCitation":"(Arias Verdes et al., 1990)","previouslyFormattedCitation":"(Arias Verdes et al., 1990)"},"properties":{"noteIndex":0},"schema":"https://github.com/citation-style-language/schema/raw/master/csl-citation.json"}</w:instrText>
      </w:r>
      <w:r w:rsidR="003D42DA">
        <w:rPr>
          <w:lang w:val="es-PE"/>
        </w:rPr>
        <w:fldChar w:fldCharType="separate"/>
      </w:r>
      <w:r w:rsidR="003D42DA" w:rsidRPr="00AC3971">
        <w:rPr>
          <w:noProof/>
          <w:lang w:val="en-US"/>
        </w:rPr>
        <w:t>(Arias et al., 1990)</w:t>
      </w:r>
      <w:r w:rsidR="003D42DA">
        <w:rPr>
          <w:lang w:val="es-PE"/>
        </w:rPr>
        <w:fldChar w:fldCharType="end"/>
      </w:r>
      <w:r w:rsidR="001C2892" w:rsidRPr="00AC3971">
        <w:rPr>
          <w:lang w:val="en-US"/>
        </w:rPr>
        <w:t>.</w:t>
      </w:r>
    </w:p>
    <w:p w14:paraId="1AED3853" w14:textId="04E5C1F1" w:rsidR="00600535" w:rsidRDefault="004B28C8" w:rsidP="00C01664">
      <w:pPr>
        <w:pStyle w:val="CETBodytext"/>
        <w:rPr>
          <w:lang w:val="en-US"/>
        </w:rPr>
      </w:pPr>
      <w:r w:rsidRPr="00AC3971">
        <w:rPr>
          <w:lang w:val="en-US"/>
        </w:rPr>
        <w:t xml:space="preserve">Faced with such a problem, it is possible to address the solution through various chemical methods, membrane separation, phytoremediation, bioremediation, incineration, ozonation, oxidation with salts, oxidation with Fenton, photocatalytic degradation, nanotechnology </w:t>
      </w:r>
      <w:r w:rsidR="002F1D75">
        <w:rPr>
          <w:lang w:val="es-PE"/>
        </w:rPr>
        <w:fldChar w:fldCharType="begin" w:fldLock="1"/>
      </w:r>
      <w:r w:rsidR="0057188C" w:rsidRPr="00AC3971">
        <w:rPr>
          <w:lang w:val="en-US"/>
        </w:rPr>
        <w:instrText>ADDIN CSL_CITATION {"citationItems":[{"id":"ITEM-1","itemData":{"DOI":"10.1016/B978-0-323-90893-1.00014-3","ISBN":"9780323908931","abstract":"The concentration of various pesticides in water and wastewater is continuously increasing and has now even crossed the above acceptable levels. There are various techniques like physical, chemical, and biological which have been explored in this chapter. Methods such as membrane separation, phyto/bioremediation, and incineration have become common but have suffered from certain drawbacks. Newer techniques like heterogeneous photocatalysis, advanced oxidation techniques like Fenton oxidation and molten salt oxidation are becoming more popular nowadays as they disintegrate various toxic compounds entirely in place of shifting these compounds from one intermediate to the next. Considering the multifarious nature of pesticides, other versatile and vigorous methods such as advanced nanoremediation technologies, which can yield the anticipated outcomes in a very profitable manner for the elimination of specific organochlorines from water and wastewater, have also been discussed in this chapter. For a better understanding of the topic, some important organochlorine pesticides, along with their specific methods of degradation, have also been taken at the end of the chapter.","author":[{"dropping-particle":"","family":"Kaur","given":"Kirtanjot","non-dropping-particle":"","parse-names":false,"suffix":""},{"dropping-particle":"","family":"Rana","given":"Ashvinder Kumar","non-dropping-particle":"","parse-names":false,"suffix":""},{"dropping-particle":"","family":"Kumar","given":"Bhupinder","non-dropping-particle":"","parse-names":false,"suffix":""},{"dropping-particle":"","family":"Kumar","given":"Vaneet","non-dropping-particle":"","parse-names":false,"suffix":""},{"dropping-particle":"","family":"Saruchi","given":"","non-dropping-particle":"","parse-names":false,"suffix":""}],"container-title":"Pesticides Remediation Technologies from Water and Wastewater","id":"ITEM-1","issued":{"date-parts":[["2022"]]},"number-of-pages":"295-310","publisher":"INC","title":"Advance remediation technologies for the removal of organochlorine from water and wastewater","type":"book"},"uris":["http://www.mendeley.com/documents/?uuid=a150cd51-8bc0-4f67-8568-987955c6b0b9"]}],"mendeley":{"formattedCitation":"(Kaur et al., 2022)","plainTextFormattedCitation":"(Kaur et al., 2022)","previouslyFormattedCitation":"(Kaur et al., 2022)"},"properties":{"noteIndex":0},"schema":"https://github.com/citation-style-language/schema/raw/master/csl-citation.json"}</w:instrText>
      </w:r>
      <w:r w:rsidR="002F1D75">
        <w:rPr>
          <w:lang w:val="es-PE"/>
        </w:rPr>
        <w:fldChar w:fldCharType="separate"/>
      </w:r>
      <w:r w:rsidR="002F1D75" w:rsidRPr="00AC3971">
        <w:rPr>
          <w:noProof/>
          <w:lang w:val="en-US"/>
        </w:rPr>
        <w:t>(Kaur et al., 2022)</w:t>
      </w:r>
      <w:r w:rsidR="002F1D75">
        <w:rPr>
          <w:lang w:val="es-PE"/>
        </w:rPr>
        <w:fldChar w:fldCharType="end"/>
      </w:r>
      <w:r w:rsidR="0090465B" w:rsidRPr="00AC3971">
        <w:rPr>
          <w:lang w:val="en-US"/>
        </w:rPr>
        <w:t xml:space="preserve">, Within the collection, important results have been found such as the use of a photo-catalytic reactor for the reduction of atrazine and </w:t>
      </w:r>
      <w:r w:rsidR="0075565F" w:rsidRPr="00AC3971">
        <w:rPr>
          <w:lang w:val="en-US"/>
        </w:rPr>
        <w:t xml:space="preserve">thiacloprid by more than 90% </w:t>
      </w:r>
      <w:r w:rsidR="0057188C">
        <w:rPr>
          <w:lang w:val="es-PE"/>
        </w:rPr>
        <w:fldChar w:fldCharType="begin" w:fldLock="1"/>
      </w:r>
      <w:r w:rsidR="00376ACB" w:rsidRPr="00AC3971">
        <w:rPr>
          <w:lang w:val="en-US"/>
        </w:rPr>
        <w:instrText>ADDIN CSL_CITATION {"citationItems":[{"id":"ITEM-1","itemData":{"DOI":"10.3303/CET2398027","ISBN":"9788895608976","ISSN":"22839216","abstract":"Today, the increase in agricultural practices leads to pesticide pollution, which has become a threat to both water sources and humans. Various techniques to degrade pesticides have been used, but heterogeneous photocatalysis in presence of semiconductor nanoparticles has proven to be more efficient because it can degrade many persistent organic compounds. However, for practical and industrial applications, it is necessary to immobilize the photocatalyst on the surface or within macroscopic supports to avoid the post-treatment step to separate the photocatalyst in powder form from the treated water at the end of the process. In this work, monolithic polymer/photocatalyst composite aerogels based on syndiotactic polystyrene (sPS) and two different photocatalysts, N-doped TiO2 (NdT) and ZnO/NdT, were prepared to obtain easily recoverable materials for cost-saving processes. The aerogels were tested in the degradation of two target pesticides, atrazine (ATZ) and thiacloprid (THI), using a pilot-scale photoreactor. The experimental data showed a pollutant degradation higher than 90% after 180 min for ATZ and over 90% after 60 min of irradiation for THI. These results indicate that the heterogeneous photocatalytic process based on composite aerogels could be an efficient technology for pesticide degradation.","author":[{"dropping-particle":"","family":"Navarra","given":"Wanda","non-dropping-particle":"","parse-names":false,"suffix":""},{"dropping-particle":"","family":"Sacco","given":"Olga","non-dropping-particle":"","parse-names":false,"suffix":""},{"dropping-particle":"","family":"Vaiano","given":"Vincenzo","non-dropping-particle":"","parse-names":false,"suffix":""},{"dropping-particle":"","family":"Venditto","given":"Vincenzo","non-dropping-particle":"","parse-names":false,"suffix":""}],"container-title":"Chemical Engineering Transactions","id":"ITEM-1","issue":"December 2022","issued":{"date-parts":[["2023"]]},"page":"159-164","title":"Pesticides Removal from Wastewater using a Pilot-scale Photocatalytic Reactor","type":"article-journal","volume":"98"},"uris":["http://www.mendeley.com/documents/?uuid=b2ad1a43-7000-4d94-841e-af3635d301ec"]}],"mendeley":{"formattedCitation":"(Navarra et al., 2023)","plainTextFormattedCitation":"(Navarra et al., 2023)","previouslyFormattedCitation":"(Navarra et al., 2023)"},"properties":{"noteIndex":0},"schema":"https://github.com/citation-style-language/schema/raw/master/csl-citation.json"}</w:instrText>
      </w:r>
      <w:r w:rsidR="0057188C">
        <w:rPr>
          <w:lang w:val="es-PE"/>
        </w:rPr>
        <w:fldChar w:fldCharType="separate"/>
      </w:r>
      <w:r w:rsidR="0057188C" w:rsidRPr="00AC3971">
        <w:rPr>
          <w:noProof/>
          <w:lang w:val="en-US"/>
        </w:rPr>
        <w:t>(Navarra et al., 2023)</w:t>
      </w:r>
      <w:r w:rsidR="0057188C">
        <w:rPr>
          <w:lang w:val="es-PE"/>
        </w:rPr>
        <w:fldChar w:fldCharType="end"/>
      </w:r>
      <w:r w:rsidR="00276727" w:rsidRPr="00AC3971">
        <w:rPr>
          <w:lang w:val="en-US"/>
        </w:rPr>
        <w:t xml:space="preserve">, treatment with nanotechnology for the removal of organochlorines </w:t>
      </w:r>
      <w:r w:rsidR="00720330">
        <w:rPr>
          <w:lang w:val="es-PE"/>
        </w:rPr>
        <w:fldChar w:fldCharType="begin" w:fldLock="1"/>
      </w:r>
      <w:r w:rsidR="002B117F" w:rsidRPr="00AC3971">
        <w:rPr>
          <w:lang w:val="en-US"/>
        </w:rPr>
        <w:instrText>ADDIN CSL_CITATION {"citationItems":[{"id":"ITEM-1","itemData":{"DOI":"10.3303/CET1760026","ISSN":"22839216","abstract":"Reduced graphene oxide supporting silver nanoparticles, obtained by an efficient, \"green\" and one step \"topdown\" solution route, was used for removal from water of chlordane, a known persistent organic pollutants. A two-step mechanism, involving chlordane degradation by Ag nanoparticles and subsequent adsorption of the degraded products: ether bis(2-chloro allyl), 1,10-dichlorodecane and octadecanoid acid were detected, on the reduced graphene oxide surface, leads to a complete removal of chlordane from water solution in only 11 minutes at room temperature.","author":[{"dropping-particle":"","family":"Sarno","given":"Maria","non-dropping-particle":"","parse-names":false,"suffix":""},{"dropping-particle":"","family":"Casa","given":"Marcello","non-dropping-particle":"","parse-names":false,"suffix":""},{"dropping-particle":"","family":"Cirillo","given":"Claudia","non-dropping-particle":"","parse-names":false,"suffix":""},{"dropping-particle":"","family":"Ciambelli","given":"Paolo","non-dropping-particle":"","parse-names":false,"suffix":""}],"container-title":"Chemical Engineering Transactions","id":"ITEM-1","issued":{"date-parts":[["2017"]]},"page":"151-156","title":"Complete removal of persistent pesticide using reduced graphene oxide-silver nanocomposite","type":"article-journal","volume":"60"},"uris":["http://www.mendeley.com/documents/?uuid=d736c8e0-c066-4e4c-8554-b0a47e5766b0"]}],"mendeley":{"formattedCitation":"(Sarno et al., 2017)","plainTextFormattedCitation":"(Sarno et al., 2017)","previouslyFormattedCitation":"(Sarno et al., 2017)"},"properties":{"noteIndex":0},"schema":"https://github.com/citation-style-language/schema/raw/master/csl-citation.json"}</w:instrText>
      </w:r>
      <w:r w:rsidR="00720330">
        <w:rPr>
          <w:lang w:val="es-PE"/>
        </w:rPr>
        <w:fldChar w:fldCharType="separate"/>
      </w:r>
      <w:r w:rsidR="00720330" w:rsidRPr="00AC3971">
        <w:rPr>
          <w:noProof/>
          <w:lang w:val="en-US"/>
        </w:rPr>
        <w:t>(Sarno et al., 2017)</w:t>
      </w:r>
      <w:r w:rsidR="00720330">
        <w:rPr>
          <w:lang w:val="es-PE"/>
        </w:rPr>
        <w:fldChar w:fldCharType="end"/>
      </w:r>
      <w:r w:rsidR="00AC3971" w:rsidRPr="00AC3971">
        <w:rPr>
          <w:lang w:val="en-US"/>
        </w:rPr>
        <w:t xml:space="preserve"> </w:t>
      </w:r>
      <w:r w:rsidR="00092D3D" w:rsidRPr="00AC3971">
        <w:rPr>
          <w:lang w:val="en-US"/>
        </w:rPr>
        <w:t xml:space="preserve">using silver and graphene nanoparticles, a case of phosphorus </w:t>
      </w:r>
      <w:r w:rsidR="00AC3971" w:rsidRPr="00AC3971">
        <w:rPr>
          <w:lang w:val="en-US"/>
        </w:rPr>
        <w:t>nano treatment</w:t>
      </w:r>
      <w:r w:rsidR="00092D3D" w:rsidRPr="00AC3971">
        <w:rPr>
          <w:lang w:val="en-US"/>
        </w:rPr>
        <w:t xml:space="preserve"> using zero-valent nano iron (</w:t>
      </w:r>
      <w:proofErr w:type="spellStart"/>
      <w:r w:rsidR="00DB535F" w:rsidRPr="00AC3971">
        <w:rPr>
          <w:lang w:val="en-US"/>
        </w:rPr>
        <w:t>nZVI</w:t>
      </w:r>
      <w:proofErr w:type="spellEnd"/>
      <w:r w:rsidR="00DB535F" w:rsidRPr="00AC3971">
        <w:rPr>
          <w:lang w:val="en-US"/>
        </w:rPr>
        <w:t xml:space="preserve">) achieving an absorption capacity of 68 mg/g </w:t>
      </w:r>
      <w:r w:rsidR="00FD3035">
        <w:rPr>
          <w:lang w:val="es-PE"/>
        </w:rPr>
        <w:fldChar w:fldCharType="begin" w:fldLock="1"/>
      </w:r>
      <w:r w:rsidR="009E5AA8" w:rsidRPr="00AC3971">
        <w:rPr>
          <w:lang w:val="en-US"/>
        </w:rPr>
        <w:instrText>ADDIN CSL_CITATION {"citationItems":[{"id":"ITEM-1","itemData":{"DOI":"10.3303/CET1647010","ISBN":"9788895608389","ISSN":"22839216","abstract":"In this perspective paper, the actual trends in nanotechnology based innovative applications for the environment are analyzed and possible future trends were studied. On the basis of the relevant topics of the NINE congress held in Rome, 2016, a bibliographical search was performed on papers fitting in one or more categories within the last 5 years, that is: 1. Nanosensors and bionanosensors for environmental characterization and monitoring 2. Technologies for the production of Nanomaterials for the environment 3. Nanostructured materials for advanced remediation processes 4. Nano-based water and wastewater treatment processes 5. Membrane processes for the environment 6. Health and safety issues concerning Nanomaterials 7. Education on Environmental Engineering and Nanotechnology. A yearly count of contributions was performed and taken as an indicator of interest of the specific topic within the wide broad scientific community. In a second step, the resulting data was analyzed by regression techniques to estimate the trend in the next future and to evaluate the next challenges within the international research framework.","author":[{"dropping-particle":"","family":"Bavasso","given":"Irene","non-dropping-particle":"","parse-names":false,"suffix":""},{"dropping-particle":"","family":"Vilardi","given":"Giorgio","non-dropping-particle":"","parse-names":false,"suffix":""},{"dropping-particle":"","family":"Stoller","given":"Marco","non-dropping-particle":"","parse-names":false,"suffix":""},{"dropping-particle":"","family":"Chianese","given":"Angelo","non-dropping-particle":"","parse-names":false,"suffix":""},{"dropping-particle":"","family":"Palma","given":"Luca","non-dropping-particle":"Di","parse-names":false,"suffix":""}],"container-title":"Chemical Engineering Transactions","id":"ITEM-1","issued":{"date-parts":[["2016"]]},"page":"55-60","title":"Perspectives in nanotechnology based innovative applications for the environment","type":"article-journal","volume":"47"},"uris":["http://www.mendeley.com/documents/?uuid=1d6358f3-40f2-453b-ac91-2868058c67b7"]}],"mendeley":{"formattedCitation":"(Bavasso et al., 2016)","plainTextFormattedCitation":"(Bavasso et al., 2016)","previouslyFormattedCitation":"(Bavasso et al., 2016)"},"properties":{"noteIndex":0},"schema":"https://github.com/citation-style-language/schema/raw/master/csl-citation.json"}</w:instrText>
      </w:r>
      <w:r w:rsidR="00FD3035">
        <w:rPr>
          <w:lang w:val="es-PE"/>
        </w:rPr>
        <w:fldChar w:fldCharType="separate"/>
      </w:r>
      <w:r w:rsidR="00FD3035" w:rsidRPr="00AC3971">
        <w:rPr>
          <w:noProof/>
          <w:lang w:val="en-US"/>
        </w:rPr>
        <w:t>(Bavasso et al., 2016)</w:t>
      </w:r>
      <w:r w:rsidR="00FD3035">
        <w:rPr>
          <w:lang w:val="es-PE"/>
        </w:rPr>
        <w:fldChar w:fldCharType="end"/>
      </w:r>
      <w:r w:rsidR="00376ACB" w:rsidRPr="00AC3971">
        <w:rPr>
          <w:lang w:val="en-US"/>
        </w:rPr>
        <w:t xml:space="preserve">, phytoremediation of </w:t>
      </w:r>
      <w:proofErr w:type="spellStart"/>
      <w:r w:rsidR="007B0AAD" w:rsidRPr="00AC3971">
        <w:rPr>
          <w:lang w:val="en-US"/>
        </w:rPr>
        <w:t>Ocimum</w:t>
      </w:r>
      <w:proofErr w:type="spellEnd"/>
      <w:r w:rsidR="00E81414" w:rsidRPr="00AC3971">
        <w:rPr>
          <w:lang w:val="en-US"/>
        </w:rPr>
        <w:t xml:space="preserve"> </w:t>
      </w:r>
      <w:proofErr w:type="spellStart"/>
      <w:r w:rsidR="001B11E1" w:rsidRPr="00AC3971">
        <w:rPr>
          <w:lang w:val="en-US"/>
        </w:rPr>
        <w:t>basilicum</w:t>
      </w:r>
      <w:proofErr w:type="spellEnd"/>
      <w:r w:rsidR="001B11E1" w:rsidRPr="00AC3971">
        <w:rPr>
          <w:lang w:val="en-US"/>
        </w:rPr>
        <w:t xml:space="preserve"> L and its rhizosphere for the organochlorine pesticide </w:t>
      </w:r>
      <w:r w:rsidR="00505C3D" w:rsidRPr="00AC3971">
        <w:rPr>
          <w:lang w:val="en-US"/>
        </w:rPr>
        <w:t xml:space="preserve">endosulfan, finding that more research is still required </w:t>
      </w:r>
      <w:r w:rsidR="009E5AA8">
        <w:rPr>
          <w:lang w:val="es-PE"/>
        </w:rPr>
        <w:fldChar w:fldCharType="begin" w:fldLock="1"/>
      </w:r>
      <w:r w:rsidR="009D1159" w:rsidRPr="00AC3971">
        <w:rPr>
          <w:lang w:val="en-US"/>
        </w:rPr>
        <w:instrText>ADDIN CSL_CITATION {"citationItems":[{"id":"ITEM-1","itemData":{"DOI":"10.3303/CET1334013","ISBN":"9788895608259","ISSN":"22839216","abstract":"Endosulfan is a toxic organochlorine pesticide, environmentally persistent, banned and restricted in many countries. For phytoremediation purposes, we have previously observed that the presence of Ocimum basilicum decreased the concentration of endosulfan in experimentally-polluted soil by 37% after 30 days. To study the possible mechanism, we evaluated whether endosulfan could affect 1) the activity of glutathione S transferase (GST) of O. basilicum and 2) microorganisms from rhizosphere. Young plants were added to experimentally-polluted soil with endosulfan. Rhizosphere microorganisms were exposed to several concentrations of endosulfan and cultured in Luria Bertani (LB) broth or agar, their growth was determined by triplicate either spectrophotometrically or by plate count. After exposure to the pesticideendosulfan in O. basilicum and its rhizosphere, three effects were observed: 1) In LB broth, optimal growth of microorganisms was observed at 72 and 48 h after exposure to endosulfan 2.4 and 3.4 mg/10 mL. 2) Optimal growth of microorganisms in LB agar was observed at 0.3 and 2.4 mg/10 mL. 3) GST was increased after exposure to these pesticides over its control. These observations suggest that phytostimulaton and phytotransformation could be involved as possible mechanisms of the phytoremediatory effect of O. basilicum © 2013, AIDIC Servizi S.r.l.","author":[{"dropping-particle":"","family":"Ramirez-Sandoval","given":"Maricela","non-dropping-particle":"","parse-names":false,"suffix":""},{"dropping-particle":"","family":"Muñiz-Hernández","given":"Saé","non-dropping-particle":"","parse-names":false,"suffix":""},{"dropping-particle":"","family":"Velázquez-Fernández","given":"Jesús Bernardino","non-dropping-particle":"","parse-names":false,"suffix":""}],"container-title":"Chemical Engineering Transactions","id":"ITEM-1","issue":"April","issued":{"date-parts":[["2013"]]},"page":"73-78","title":"Mechanisms of phytoremediatory effect of ocimum basilicum l. and its rhizosphere exposed to different concentrations of the organochlorine pesticide endosulfan","type":"article-journal","volume":"34"},"uris":["http://www.mendeley.com/documents/?uuid=8ce7661e-fbdc-4783-8937-cba7eb68145b"]}],"mendeley":{"formattedCitation":"(Ramirez-Sandoval et al., 2013)","plainTextFormattedCitation":"(Ramirez-Sandoval et al., 2013)","previouslyFormattedCitation":"(Ramirez-Sandoval et al., 2013)"},"properties":{"noteIndex":0},"schema":"https://github.com/citation-style-language/schema/raw/master/csl-citation.json"}</w:instrText>
      </w:r>
      <w:r w:rsidR="009E5AA8">
        <w:rPr>
          <w:lang w:val="es-PE"/>
        </w:rPr>
        <w:fldChar w:fldCharType="separate"/>
      </w:r>
      <w:r w:rsidR="009E5AA8" w:rsidRPr="00AC3971">
        <w:rPr>
          <w:noProof/>
          <w:lang w:val="en-US"/>
        </w:rPr>
        <w:t>(Ramirez-Sandoval et al., 2013)</w:t>
      </w:r>
      <w:r w:rsidR="009E5AA8">
        <w:rPr>
          <w:lang w:val="es-PE"/>
        </w:rPr>
        <w:fldChar w:fldCharType="end"/>
      </w:r>
      <w:r w:rsidR="00E109FE" w:rsidRPr="00AC3971">
        <w:rPr>
          <w:lang w:val="en-US"/>
        </w:rPr>
        <w:t xml:space="preserve">, the use of ozone in the case of wastewater, eliminating between 70 and 90% of the organochlorines </w:t>
      </w:r>
      <w:r w:rsidR="002B117F">
        <w:rPr>
          <w:lang w:val="es-PE"/>
        </w:rPr>
        <w:fldChar w:fldCharType="begin" w:fldLock="1"/>
      </w:r>
      <w:r w:rsidR="008F61CD" w:rsidRPr="00AC3971">
        <w:rPr>
          <w:lang w:val="en-US"/>
        </w:rPr>
        <w:instrText>ADDIN CSL_CITATION {"citationItems":[{"id":"ITEM-1","itemData":{"DOI":"10.3303/CET1229220","ISBN":"9788895608204","ISSN":"22839216","abstract":"Micropollutants are natural and manmade substances, such as pharmaceutical and personal care products, pesticides and industrial chemicals, which have been detected in water and in the environment in very low concentrations. Many of them, raise considerable toxicological concerns, are poorly removable by conventional wastewater treatment technologies. To reduce the release of such substances into the aquatic environment two advanced treatment processes based on ozone utilisation were investigated in laboratory scale. Degradation of two types of micropollutants, i.e. selected organochlorine pesticides and oil compounds have been studied. The results of ozonation and O3/(UV show that the highest removal rates were observed during the first 5 minutes of ozonation for all investigated pollutants. Removal efficiencies of chlorinated pesticides were in the range from 70.2 to 90.7 % after 60 minutes of ozonation. Removal efficiencies of about 90 % were observed for all investigated BTX compounds after 40 minutes of ozonation. Copyright © 2012, AIDIC Servizi S.r.l.","author":[{"dropping-particle":"","family":"Derco","given":"Ján","non-dropping-particle":"","parse-names":false,"suffix":""},{"dropping-particle":"","family":"Dudáš","given":"Jozef","non-dropping-particle":"","parse-names":false,"suffix":""},{"dropping-particle":"","family":"Šilhárová","given":"Katarína","non-dropping-particle":"","parse-names":false,"suffix":""},{"dropping-particle":"","family":"Valičková","given":"Mária","non-dropping-particle":"","parse-names":false,"suffix":""},{"dropping-particle":"","family":"Melicher","given":"Michal","non-dropping-particle":"","parse-names":false,"suffix":""},{"dropping-particle":"","family":"Luptáková","given":"Anna","non-dropping-particle":"","parse-names":false,"suffix":""}],"container-title":"Chemical Engineering Transactions","id":"ITEM-1","issue":"2012","issued":{"date-parts":[["2012"]]},"page":"1315-1320","title":"Removal of selected micropollutants by ozonation","type":"article-journal","volume":"29"},"uris":["http://www.mendeley.com/documents/?uuid=e9eea57f-400a-45e4-90f7-631f8050305b"]}],"mendeley":{"formattedCitation":"(Derco et al., 2012)","plainTextFormattedCitation":"(Derco et al., 2012)","previouslyFormattedCitation":"(Derco et al., 2012)"},"properties":{"noteIndex":0},"schema":"https://github.com/citation-style-language/schema/raw/master/csl-citation.json"}</w:instrText>
      </w:r>
      <w:r w:rsidR="002B117F">
        <w:rPr>
          <w:lang w:val="es-PE"/>
        </w:rPr>
        <w:fldChar w:fldCharType="separate"/>
      </w:r>
      <w:r w:rsidR="002B117F" w:rsidRPr="00AC3971">
        <w:rPr>
          <w:noProof/>
          <w:lang w:val="en-US"/>
        </w:rPr>
        <w:t>(Derco et al., 2012)</w:t>
      </w:r>
      <w:r w:rsidR="002B117F">
        <w:rPr>
          <w:lang w:val="es-PE"/>
        </w:rPr>
        <w:fldChar w:fldCharType="end"/>
      </w:r>
      <w:r w:rsidR="001A2734" w:rsidRPr="00AC3971">
        <w:rPr>
          <w:lang w:val="en-US"/>
        </w:rPr>
        <w:t>; bioremediation with fungi to reduce organophosphates with results between 64</w:t>
      </w:r>
      <w:r w:rsidR="00926C41">
        <w:rPr>
          <w:lang w:val="en-US"/>
        </w:rPr>
        <w:t xml:space="preserve"> </w:t>
      </w:r>
      <w:r w:rsidR="001A2734" w:rsidRPr="00AC3971">
        <w:rPr>
          <w:lang w:val="en-US"/>
        </w:rPr>
        <w:t>% and 73</w:t>
      </w:r>
      <w:r w:rsidR="00926C41">
        <w:rPr>
          <w:lang w:val="en-US"/>
        </w:rPr>
        <w:t xml:space="preserve"> </w:t>
      </w:r>
      <w:r w:rsidR="001A2734" w:rsidRPr="00AC3971">
        <w:rPr>
          <w:lang w:val="en-US"/>
        </w:rPr>
        <w:t xml:space="preserve">% </w:t>
      </w:r>
      <w:r w:rsidR="00D9276F">
        <w:rPr>
          <w:lang w:val="es-PE"/>
        </w:rPr>
        <w:fldChar w:fldCharType="begin" w:fldLock="1"/>
      </w:r>
      <w:r w:rsidR="00D9276F" w:rsidRPr="00AC3971">
        <w:rPr>
          <w:lang w:val="en-US"/>
        </w:rPr>
        <w:instrText>ADDIN CSL_CITATION {"citationItems":[{"id":"ITEM-1","itemData":{"DOI":"10.3303/CET23100017","ISBN":"9791281206038","ISSN":"22839216","abstract":"The intensive use of agricultural soils and the appearance of pests on crops make it necessary to use pesticides to achieve crop production. As a consequence of this, soils accumulate polluting elements that are incorporated into agricultural insecticides, one of them being Methamidophos, which is an insecticide belonging to the group of organophosphate pesticides. One of the methods to reduce this contaminant that have been tested recently is mycoremediation, which consists of the use of fungi. The investigation evaluated the use of the white rot fungi Pleurotus ostreatus and Trametes versicolor to decontaminate soil with Methamidophos and cadmium. The research design was experimental, with three treatments and three replicates: Treatment A using the Pleurotus ostreatus fungus, treatment B using the Trametes versicolor fungus, and treatment C using the two aforementioned fungi; It was also supplemented with eucalyptus sawdust plant substrate. The result was a decrease of Methamidophos 64 % to 73 % and Cadmium by 99.3 %. This method of remediation is a friendly alternative to the environment and low economic cost, easy to apply and good results are achieved.","author":[{"dropping-particle":"","family":"Benites-Alfaro","give</w:instrText>
      </w:r>
      <w:r w:rsidR="00D9276F" w:rsidRPr="00DD0FE5">
        <w:rPr>
          <w:lang w:val="en-US"/>
        </w:rPr>
        <w:instrText>n":"Elme</w:instrText>
      </w:r>
      <w:r w:rsidR="00D9276F" w:rsidRPr="00AC3971">
        <w:rPr>
          <w:lang w:val="en-US"/>
        </w:rPr>
        <w:instrText>r","non-dropping-particle":"","parse-names":false,"suffix":""},{"dropping-particle":"","family":"Silva Carhuatocto","given":"Lucerito M.","non-dropping-particle":"","parse-names":false,"suffix":""},{"dropping-particle":"","family":"Guanilo Iñigo","given":"Anggie P.","non-dropping-particle":"","parse-names":false,"suffix":""},{"dropping-particle":"","family":"Nakayo","given":"Jorge Jave","non-dropping-particle":"","parse-names":false,"suffix":""},{"dropping-particle":"","family":"Castañeda-Olivera","given":"Carlos A.","non-dropping-particle":"","parse-names":false,"suffix":""},{"dropping-particle":"","family":"Lizarzaburu-Aguinaga","given":"Danny A.","non-dropping-particle":"","parse-names":false,"suffix":""},{"dropping-particle":"","family":"Cabrera Carranza","given":"Carlos F.","non-dropping-particle":"","parse-names":false,"suffix":""}],"container-title":"Chemical Engineering Transactions","id":"ITEM-1","issue":"March","issued":{"date-parts":[["2023"]]},"page":"97-102","title":"Pleurotus Ostreatus and Trametes Versicolor Fungi to Decontaminate Soils Containing Organophosphates Methamidophos and Cadmium","type":"article-journal","volume":"100"},"uris":["http://www.mendeley.com/documents/?uuid=68a07fae-29e2-416b-93bd-b4eeceb93a25"]}],"mendeley":{"formattedCitation":"(Benites-Alfaro et al., 2023)","plainTextFormattedCitation":"(Benites-Alfaro et al., 2023)"},"properties":{"noteIndex":0},"schema":"https://github.com/citation-style-language/schema/raw/master/csl-citation.json"}</w:instrText>
      </w:r>
      <w:r w:rsidR="00D9276F">
        <w:rPr>
          <w:lang w:val="es-PE"/>
        </w:rPr>
        <w:fldChar w:fldCharType="separate"/>
      </w:r>
      <w:r w:rsidR="00D9276F" w:rsidRPr="00AC3971">
        <w:rPr>
          <w:noProof/>
          <w:lang w:val="en-US"/>
        </w:rPr>
        <w:t>(Benites-Alfaro et al., 2023)</w:t>
      </w:r>
      <w:r w:rsidR="00D9276F">
        <w:rPr>
          <w:lang w:val="es-PE"/>
        </w:rPr>
        <w:fldChar w:fldCharType="end"/>
      </w:r>
      <w:r w:rsidR="00EF7A77" w:rsidRPr="00AC3971">
        <w:rPr>
          <w:lang w:val="en-US"/>
        </w:rPr>
        <w:t xml:space="preserve">; Taking into consideration all these results, </w:t>
      </w:r>
      <w:r w:rsidR="00EF7A77" w:rsidRPr="00AC3971">
        <w:rPr>
          <w:lang w:val="en-US"/>
        </w:rPr>
        <w:lastRenderedPageBreak/>
        <w:t>the need arises to evaluate the application of biosolid from a wastewater treatment plant for the treatment of soil contaminated by Aldrin. For this, the physicochemical and microbiological parameters of the soil before and after treatment were determined and the optimal dose of the biosolid to reduce the concentration of the pesticide.</w:t>
      </w:r>
    </w:p>
    <w:p w14:paraId="06DCABA2" w14:textId="22CB8BAF" w:rsidR="006975E3" w:rsidRPr="00AC3971" w:rsidRDefault="006975E3" w:rsidP="00C01664">
      <w:pPr>
        <w:pStyle w:val="CETBodytext"/>
        <w:rPr>
          <w:lang w:val="en-US"/>
        </w:rPr>
      </w:pPr>
      <w:r w:rsidRPr="006975E3">
        <w:rPr>
          <w:lang w:val="en-US"/>
        </w:rPr>
        <w:t>The research was motivated in order to determine whether biosolids that are exposed as waste in the vicinity of a wastewater treatment plant have the ability to improve the environmental quality of agricultural soil in the area of Carabayllo, since by scientific theory biosolids improve soil properties, reduce the application of fertilizers by providing physical and chemical benefits and especially reduces existing chemical pollutants such as organochlorine compounds such as Aldrin (Ozores-Hampton M., and Mendez J., 2021).</w:t>
      </w:r>
    </w:p>
    <w:p w14:paraId="5741900F" w14:textId="567471E0" w:rsidR="00453E24" w:rsidRDefault="00C01664" w:rsidP="00453E24">
      <w:pPr>
        <w:pStyle w:val="CETHeading1"/>
      </w:pPr>
      <w:r>
        <w:t>Methodology</w:t>
      </w:r>
    </w:p>
    <w:p w14:paraId="4DB378FC" w14:textId="6D4411F2" w:rsidR="00CB66EF" w:rsidRPr="00AC3971" w:rsidRDefault="00920561" w:rsidP="00453E24">
      <w:pPr>
        <w:pStyle w:val="CETBodytext"/>
        <w:rPr>
          <w:lang w:val="en-US"/>
        </w:rPr>
      </w:pPr>
      <w:r w:rsidRPr="00AC3971">
        <w:rPr>
          <w:lang w:val="en-US"/>
        </w:rPr>
        <w:t>The research was developed through a three-stage experimental process (figure 1), in the first the sample extraction is carried out, to later determine the physicochemical and microbiological parameters and the concentration of the organochlorine, followed by the preparation of the soil. contaminated with the treatments (3 treatments and 3 repetitions) remaining at rest for eight weeks, and finally</w:t>
      </w:r>
      <w:r w:rsidR="0061793D">
        <w:rPr>
          <w:lang w:val="en-US"/>
        </w:rPr>
        <w:t>,</w:t>
      </w:r>
      <w:r w:rsidRPr="00AC3971">
        <w:rPr>
          <w:lang w:val="en-US"/>
        </w:rPr>
        <w:t xml:space="preserve"> samples of each treatment are collected to take them to the laboratory and obtain the </w:t>
      </w:r>
      <w:r w:rsidR="00DD0FE5" w:rsidRPr="00AC3971">
        <w:rPr>
          <w:lang w:val="en-US"/>
        </w:rPr>
        <w:t>results</w:t>
      </w:r>
      <w:r w:rsidRPr="00AC3971">
        <w:rPr>
          <w:lang w:val="en-US"/>
        </w:rPr>
        <w:t>.</w:t>
      </w:r>
    </w:p>
    <w:p w14:paraId="0EF97E42" w14:textId="6D51B245" w:rsidR="00281463" w:rsidRPr="00F84829" w:rsidRDefault="00F84829" w:rsidP="00453E24">
      <w:pPr>
        <w:pStyle w:val="CETBodytext"/>
        <w:rPr>
          <w:lang w:val="en-US"/>
        </w:rPr>
      </w:pPr>
      <w:r>
        <w:rPr>
          <w:noProof/>
          <w:lang w:val="es-PE"/>
        </w:rPr>
        <w:drawing>
          <wp:inline distT="0" distB="0" distL="0" distR="0" wp14:anchorId="544836E0" wp14:editId="716E0624">
            <wp:extent cx="5474970" cy="1127913"/>
            <wp:effectExtent l="57150" t="57150" r="49530" b="53340"/>
            <wp:docPr id="51627913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28AE03" w14:textId="517BCA8F" w:rsidR="00281463" w:rsidRDefault="00090AC2" w:rsidP="00453E24">
      <w:pPr>
        <w:pStyle w:val="CETBodytext"/>
        <w:rPr>
          <w:rStyle w:val="CETCaptionCarattere"/>
          <w:lang w:val="es-PE"/>
        </w:rPr>
      </w:pPr>
      <w:r w:rsidRPr="006F6040">
        <w:rPr>
          <w:rStyle w:val="CETCaptionCarattere"/>
          <w:lang w:val="es-PE"/>
        </w:rPr>
        <w:t xml:space="preserve">Figure 1: </w:t>
      </w:r>
      <w:r w:rsidRPr="00926C41">
        <w:rPr>
          <w:rStyle w:val="CETCaptionCarattere"/>
          <w:lang w:val="en-GB"/>
        </w:rPr>
        <w:t>Experimental process</w:t>
      </w:r>
    </w:p>
    <w:p w14:paraId="18BAFA6F" w14:textId="39219570" w:rsidR="00453E24" w:rsidRDefault="00E8648D" w:rsidP="00DF23C8">
      <w:pPr>
        <w:pStyle w:val="CETheadingx"/>
      </w:pPr>
      <w:r w:rsidRPr="00E8648D">
        <w:t>Extraction of soil samples contaminated with Aldrin</w:t>
      </w:r>
    </w:p>
    <w:p w14:paraId="6311B03A" w14:textId="77777777" w:rsidR="00BE3738" w:rsidRDefault="00BF2F0F" w:rsidP="00283418">
      <w:pPr>
        <w:pStyle w:val="CETBodytext"/>
        <w:rPr>
          <w:lang w:val="en-US"/>
        </w:rPr>
      </w:pPr>
      <w:r w:rsidRPr="00AC3971">
        <w:rPr>
          <w:lang w:val="en-US"/>
        </w:rPr>
        <w:t xml:space="preserve">To collect the sample, the soil was extracted from an agricultural area located in the district of </w:t>
      </w:r>
      <w:r w:rsidR="009F6A8B" w:rsidRPr="00AC3971">
        <w:rPr>
          <w:lang w:val="en-US"/>
        </w:rPr>
        <w:t>Carabayllo</w:t>
      </w:r>
      <w:r w:rsidR="0014356F" w:rsidRPr="00AC3971">
        <w:rPr>
          <w:lang w:val="en-US"/>
        </w:rPr>
        <w:t>, province of Lima and department of the same name, at the coordinates E281092 - N8688543, the quartering method was used, stacking the sample until it formed a cake. compact that was divided into four equal parts, the two ends were selected for the sample, this procedure was repeated until a weight of 20 kilograms was obtained to be used in the experimental stage</w:t>
      </w:r>
      <w:r w:rsidR="00BE3738">
        <w:rPr>
          <w:lang w:val="en-US"/>
        </w:rPr>
        <w:t>.</w:t>
      </w:r>
    </w:p>
    <w:p w14:paraId="52856D98" w14:textId="0B61F016" w:rsidR="0096444D" w:rsidRPr="00AC3971" w:rsidRDefault="00BE3738" w:rsidP="00283418">
      <w:pPr>
        <w:pStyle w:val="CETBodytext"/>
        <w:rPr>
          <w:lang w:val="en-US"/>
        </w:rPr>
      </w:pPr>
      <w:r w:rsidRPr="00BE3738">
        <w:rPr>
          <w:lang w:val="en-US"/>
        </w:rPr>
        <w:t>In addition, a 5 kg sample of sewage sludge dried over 22 months was taken in the vicinity of a wastewater treatment plant.</w:t>
      </w:r>
    </w:p>
    <w:p w14:paraId="3F16B6C5" w14:textId="399DC2AA" w:rsidR="0098388F" w:rsidRPr="00AC3971" w:rsidRDefault="009E60AA" w:rsidP="00DF23C8">
      <w:pPr>
        <w:pStyle w:val="CETheadingx"/>
        <w:rPr>
          <w:lang w:val="en-US"/>
        </w:rPr>
      </w:pPr>
      <w:r w:rsidRPr="00AC3971">
        <w:rPr>
          <w:lang w:val="en-US"/>
        </w:rPr>
        <w:t>Determination of physicochemical and microbiological parameters.</w:t>
      </w:r>
    </w:p>
    <w:p w14:paraId="11DD1919" w14:textId="678919C3" w:rsidR="003B0ADF" w:rsidRPr="00AC3971" w:rsidRDefault="0061793D" w:rsidP="006F6040">
      <w:pPr>
        <w:pStyle w:val="CETheadingx"/>
        <w:numPr>
          <w:ilvl w:val="0"/>
          <w:numId w:val="0"/>
        </w:numPr>
        <w:jc w:val="both"/>
        <w:rPr>
          <w:b w:val="0"/>
          <w:bCs/>
          <w:lang w:val="en-US"/>
        </w:rPr>
      </w:pPr>
      <w:r>
        <w:rPr>
          <w:b w:val="0"/>
          <w:bCs/>
          <w:lang w:val="en-US"/>
        </w:rPr>
        <w:t>Prior</w:t>
      </w:r>
      <w:r w:rsidR="009D240A" w:rsidRPr="00AC3971">
        <w:rPr>
          <w:b w:val="0"/>
          <w:bCs/>
          <w:lang w:val="en-US"/>
        </w:rPr>
        <w:t xml:space="preserve"> treatment was carried out on the sample in the laboratory, this consisted of grinding the sample until it was homogeneous, then the sample was dried in an oven at 60 </w:t>
      </w:r>
      <w:r w:rsidR="008D30CD" w:rsidRPr="00AC3971">
        <w:rPr>
          <w:b w:val="0"/>
          <w:bCs/>
          <w:lang w:val="en-US"/>
        </w:rPr>
        <w:t>ºC for a period of 30 minutes, and finally</w:t>
      </w:r>
      <w:r>
        <w:rPr>
          <w:b w:val="0"/>
          <w:bCs/>
          <w:lang w:val="en-US"/>
        </w:rPr>
        <w:t>,</w:t>
      </w:r>
      <w:r w:rsidR="008D30CD" w:rsidRPr="00AC3971">
        <w:rPr>
          <w:b w:val="0"/>
          <w:bCs/>
          <w:lang w:val="en-US"/>
        </w:rPr>
        <w:t xml:space="preserve"> the sample of contaminated soil was sieved in </w:t>
      </w:r>
      <w:r>
        <w:rPr>
          <w:b w:val="0"/>
          <w:bCs/>
          <w:lang w:val="en-US"/>
        </w:rPr>
        <w:t>an</w:t>
      </w:r>
      <w:r w:rsidR="008D30CD" w:rsidRPr="00AC3971">
        <w:rPr>
          <w:b w:val="0"/>
          <w:bCs/>
          <w:lang w:val="en-US"/>
        </w:rPr>
        <w:t xml:space="preserve"> ASTM </w:t>
      </w:r>
      <w:r w:rsidR="00036461" w:rsidRPr="00AC3971">
        <w:rPr>
          <w:b w:val="0"/>
          <w:bCs/>
          <w:lang w:val="en-US"/>
        </w:rPr>
        <w:t xml:space="preserve">No. 35 </w:t>
      </w:r>
      <w:r w:rsidR="008D30CD" w:rsidRPr="00AC3971">
        <w:rPr>
          <w:b w:val="0"/>
          <w:bCs/>
          <w:lang w:val="en-US"/>
        </w:rPr>
        <w:t xml:space="preserve">mesh, to remove all types of impurities, subsequently the physicochemical and microbiological characteristics and the concentration of </w:t>
      </w:r>
      <w:r w:rsidR="007710AA" w:rsidRPr="00AC3971">
        <w:rPr>
          <w:b w:val="0"/>
          <w:bCs/>
          <w:lang w:val="en-US"/>
        </w:rPr>
        <w:t xml:space="preserve">Aldrin in the contaminated soil sample </w:t>
      </w:r>
      <w:r w:rsidR="00036461" w:rsidRPr="00AC3971">
        <w:rPr>
          <w:b w:val="0"/>
          <w:bCs/>
          <w:lang w:val="en-US"/>
        </w:rPr>
        <w:t xml:space="preserve">are determined. </w:t>
      </w:r>
      <w:r w:rsidR="007710AA" w:rsidRPr="00AC3971">
        <w:rPr>
          <w:b w:val="0"/>
          <w:bCs/>
          <w:lang w:val="en-US"/>
        </w:rPr>
        <w:t xml:space="preserve">In the case of biosolid, the same treatment was also followed, except that the drying temperature was 90 </w:t>
      </w:r>
      <w:r w:rsidR="00512432" w:rsidRPr="00AC3971">
        <w:rPr>
          <w:b w:val="0"/>
          <w:bCs/>
          <w:lang w:val="en-US"/>
        </w:rPr>
        <w:t xml:space="preserve">ºC and it was sieved with an ASTM </w:t>
      </w:r>
      <w:r w:rsidR="005A1C59" w:rsidRPr="00AC3971">
        <w:rPr>
          <w:b w:val="0"/>
          <w:bCs/>
          <w:lang w:val="en-US"/>
        </w:rPr>
        <w:t>No. 135 mesh.</w:t>
      </w:r>
    </w:p>
    <w:p w14:paraId="19EA2B06" w14:textId="039C1F19" w:rsidR="000C4316" w:rsidRPr="00AC3971" w:rsidRDefault="00E8648D" w:rsidP="000B3C53">
      <w:pPr>
        <w:pStyle w:val="CETBodytext"/>
        <w:rPr>
          <w:lang w:val="en-US"/>
        </w:rPr>
      </w:pPr>
      <w:r w:rsidRPr="00E8648D">
        <w:rPr>
          <w:lang w:val="en-US"/>
        </w:rPr>
        <w:t xml:space="preserve">Subsequently, a 20 g sample of soil contaminated with Aldrin was taken to determine humidity following the ASTM D-2216-98 methodology, the percentage of moisture was calculated with </w:t>
      </w:r>
      <w:proofErr w:type="gramStart"/>
      <w:r w:rsidRPr="00E8648D">
        <w:rPr>
          <w:lang w:val="en-US"/>
        </w:rPr>
        <w:t>Eq(</w:t>
      </w:r>
      <w:proofErr w:type="gramEnd"/>
      <w:r w:rsidRPr="00E8648D">
        <w:rPr>
          <w:lang w:val="en-US"/>
        </w:rPr>
        <w:t>1).</w:t>
      </w:r>
    </w:p>
    <w:p w14:paraId="07DE14FB" w14:textId="77777777" w:rsidR="00053C42" w:rsidRPr="00AC3971" w:rsidRDefault="00053C42" w:rsidP="000B3C53">
      <w:pPr>
        <w:pStyle w:val="CETBodytext"/>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75641" w14:paraId="1C4BFC58" w14:textId="77777777" w:rsidTr="00375641">
        <w:tc>
          <w:tcPr>
            <w:tcW w:w="4388" w:type="dxa"/>
          </w:tcPr>
          <w:p w14:paraId="207FB2A9" w14:textId="77777777" w:rsidR="00375641" w:rsidRPr="00AC3971" w:rsidRDefault="00375641" w:rsidP="000B3C53">
            <w:pPr>
              <w:pStyle w:val="CETBodytext"/>
              <w:rPr>
                <w:lang w:val="en-US"/>
              </w:rPr>
            </w:pPr>
          </w:p>
          <w:p w14:paraId="4B9157E9" w14:textId="6C699B4D" w:rsidR="00375641" w:rsidRDefault="00DD0FE5" w:rsidP="000B3C53">
            <w:pPr>
              <w:pStyle w:val="CETBodytext"/>
              <w:rPr>
                <w:lang w:val="es-PE"/>
              </w:rPr>
            </w:pPr>
            <m:oMathPara>
              <m:oMath>
                <m:r>
                  <m:rPr>
                    <m:sty m:val="p"/>
                  </m:rPr>
                  <w:rPr>
                    <w:rFonts w:ascii="Cambria Math" w:hAnsi="Cambria Math" w:cs="Arial"/>
                    <w:lang w:val="es-PE"/>
                  </w:rPr>
                  <m:t xml:space="preserve">% moisture= </m:t>
                </m:r>
                <m:f>
                  <m:fPr>
                    <m:ctrlPr>
                      <w:rPr>
                        <w:rFonts w:ascii="Cambria Math" w:hAnsi="Cambria Math" w:cs="Arial"/>
                        <w:lang w:val="es-PE"/>
                      </w:rPr>
                    </m:ctrlPr>
                  </m:fPr>
                  <m:num>
                    <m:r>
                      <m:rPr>
                        <m:sty m:val="p"/>
                      </m:rPr>
                      <w:rPr>
                        <w:rFonts w:ascii="Cambria Math" w:hAnsi="Cambria Math" w:cs="Arial"/>
                        <w:lang w:val="es-PE"/>
                      </w:rPr>
                      <m:t>wet weight-dry weight</m:t>
                    </m:r>
                  </m:num>
                  <m:den>
                    <m:r>
                      <m:rPr>
                        <m:sty m:val="p"/>
                      </m:rPr>
                      <w:rPr>
                        <w:rFonts w:ascii="Cambria Math" w:hAnsi="Cambria Math" w:cs="Arial"/>
                        <w:lang w:val="es-PE"/>
                      </w:rPr>
                      <m:t>dry weight</m:t>
                    </m:r>
                  </m:den>
                </m:f>
                <m:r>
                  <w:rPr>
                    <w:rFonts w:ascii="Cambria Math" w:hAnsi="Cambria Math"/>
                    <w:lang w:val="es-PE"/>
                  </w:rPr>
                  <m:t>x100</m:t>
                </m:r>
              </m:oMath>
            </m:oMathPara>
          </w:p>
        </w:tc>
        <w:tc>
          <w:tcPr>
            <w:tcW w:w="4389" w:type="dxa"/>
          </w:tcPr>
          <w:p w14:paraId="3746F8E6" w14:textId="77777777" w:rsidR="00375641" w:rsidRDefault="00375641" w:rsidP="00375641">
            <w:pPr>
              <w:pStyle w:val="CETBodytext"/>
              <w:jc w:val="right"/>
              <w:rPr>
                <w:lang w:val="es-PE"/>
              </w:rPr>
            </w:pPr>
          </w:p>
          <w:p w14:paraId="21E654B2" w14:textId="5DF5BC55" w:rsidR="00375641" w:rsidRPr="004C06FD" w:rsidRDefault="00375641" w:rsidP="00375641">
            <w:pPr>
              <w:pStyle w:val="CETBodytext"/>
              <w:jc w:val="right"/>
              <w:rPr>
                <w:lang w:val="es-PE"/>
              </w:rPr>
            </w:pPr>
            <w:r w:rsidRPr="004C06FD">
              <w:rPr>
                <w:lang w:val="es-PE"/>
              </w:rPr>
              <w:t>(1)</w:t>
            </w:r>
          </w:p>
        </w:tc>
      </w:tr>
    </w:tbl>
    <w:p w14:paraId="03326047" w14:textId="77777777" w:rsidR="00053C42" w:rsidRPr="00053C42" w:rsidRDefault="00053C42" w:rsidP="00053C42">
      <w:pPr>
        <w:pStyle w:val="CETBodytext"/>
        <w:rPr>
          <w:lang w:val="es-PE"/>
        </w:rPr>
      </w:pPr>
    </w:p>
    <w:p w14:paraId="5BD95C34" w14:textId="10016053" w:rsidR="007F3743" w:rsidRDefault="00215073" w:rsidP="007F3743">
      <w:pPr>
        <w:pStyle w:val="CETBodytext"/>
        <w:rPr>
          <w:bCs/>
          <w:lang w:val="en-US"/>
        </w:rPr>
      </w:pPr>
      <w:r w:rsidRPr="00215073">
        <w:rPr>
          <w:bCs/>
          <w:lang w:val="en-US"/>
        </w:rPr>
        <w:t>The soil pH analysis was carried out by taking a 50 g sample of contaminated soil, then 50 ml of distilled water was added and homogenized for 30 seconds, allowed to stand for 3 minutes and the process was repeated by preparing 3 samples. At the end the pH was measured using a Hanna brand multiparameter instrument model HI98128. With the same instrument, the electrical conductivity was read.</w:t>
      </w:r>
    </w:p>
    <w:p w14:paraId="5E81DCF5" w14:textId="37C5D624" w:rsidR="007F3743" w:rsidRDefault="00EC08D8" w:rsidP="007F3743">
      <w:pPr>
        <w:pStyle w:val="CETCaption"/>
        <w:spacing w:before="0" w:after="0"/>
        <w:rPr>
          <w:i w:val="0"/>
          <w:iCs/>
          <w:lang w:val="es-PE"/>
        </w:rPr>
      </w:pPr>
      <w:r w:rsidRPr="00EC08D8">
        <w:rPr>
          <w:bCs/>
          <w:i w:val="0"/>
          <w:lang w:val="en-US"/>
        </w:rPr>
        <w:t>The determination of organic matter (using ASTM D-2974-00) began with the sieving of the contaminated soil after drying at 105 °C, then the soil was placed in a properly tared crucible and weighed on the analytical balance (P1); then the crucible with the sample was calcined at 430 ºC for 48 hours. It was cooled in a desiccator for 20 min and weighed (P2). With Eq 2 the % of organic matter was calculated.</w:t>
      </w:r>
    </w:p>
    <w:tbl>
      <w:tblPr>
        <w:tblStyle w:val="Tablaconcuadrcula"/>
        <w:tblpPr w:leftFromText="141" w:rightFromText="141"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686"/>
      </w:tblGrid>
      <w:tr w:rsidR="00EC08D8" w:rsidRPr="0014101F" w14:paraId="7009EF3E" w14:textId="77777777" w:rsidTr="00566811">
        <w:trPr>
          <w:trHeight w:val="428"/>
        </w:trPr>
        <w:tc>
          <w:tcPr>
            <w:tcW w:w="4962" w:type="dxa"/>
          </w:tcPr>
          <w:p w14:paraId="731163B4" w14:textId="77777777" w:rsidR="00EC08D8" w:rsidRPr="00EC08D8" w:rsidRDefault="00EC08D8" w:rsidP="00EC08D8">
            <w:pPr>
              <w:pStyle w:val="CETCaption"/>
              <w:spacing w:before="0"/>
              <w:rPr>
                <w:i w:val="0"/>
                <w:iCs/>
                <w:lang w:val="es-PE"/>
              </w:rPr>
            </w:pPr>
            <m:oMathPara>
              <m:oMath>
                <m:r>
                  <w:rPr>
                    <w:rFonts w:ascii="Cambria Math" w:hAnsi="Cambria Math"/>
                    <w:lang w:val="es-PE"/>
                  </w:rPr>
                  <w:lastRenderedPageBreak/>
                  <m:t xml:space="preserve">% de M.O. = </m:t>
                </m:r>
                <m:d>
                  <m:dPr>
                    <m:begChr m:val="["/>
                    <m:endChr m:val="]"/>
                    <m:ctrlPr>
                      <w:rPr>
                        <w:rFonts w:ascii="Cambria Math" w:hAnsi="Cambria Math"/>
                        <w:iCs/>
                        <w:lang w:val="es-PE"/>
                      </w:rPr>
                    </m:ctrlPr>
                  </m:dPr>
                  <m:e>
                    <m:f>
                      <m:fPr>
                        <m:ctrlPr>
                          <w:rPr>
                            <w:rFonts w:ascii="Cambria Math" w:hAnsi="Cambria Math"/>
                            <w:iCs/>
                            <w:lang w:val="es-PE"/>
                          </w:rPr>
                        </m:ctrlPr>
                      </m:fPr>
                      <m:num>
                        <m:r>
                          <w:rPr>
                            <w:rFonts w:ascii="Cambria Math" w:hAnsi="Cambria Math"/>
                            <w:lang w:val="es-PE"/>
                          </w:rPr>
                          <m:t>P1-P2</m:t>
                        </m:r>
                      </m:num>
                      <m:den>
                        <m:r>
                          <w:rPr>
                            <w:rFonts w:ascii="Cambria Math" w:hAnsi="Cambria Math"/>
                            <w:lang w:val="es-PE"/>
                          </w:rPr>
                          <m:t>P1</m:t>
                        </m:r>
                      </m:den>
                    </m:f>
                  </m:e>
                </m:d>
                <m:r>
                  <w:rPr>
                    <w:rFonts w:ascii="Cambria Math" w:hAnsi="Cambria Math"/>
                    <w:lang w:val="es-PE"/>
                  </w:rPr>
                  <m:t xml:space="preserve"> x 100</m:t>
                </m:r>
              </m:oMath>
            </m:oMathPara>
          </w:p>
        </w:tc>
        <w:tc>
          <w:tcPr>
            <w:tcW w:w="3686" w:type="dxa"/>
          </w:tcPr>
          <w:p w14:paraId="7D2ADA69" w14:textId="77777777" w:rsidR="00EC08D8" w:rsidRPr="00EC08D8" w:rsidRDefault="00EC08D8" w:rsidP="00EC08D8">
            <w:pPr>
              <w:pStyle w:val="CETCaption"/>
              <w:spacing w:before="0"/>
              <w:jc w:val="right"/>
              <w:rPr>
                <w:i w:val="0"/>
                <w:iCs/>
                <w:lang w:val="es-PE"/>
              </w:rPr>
            </w:pPr>
            <w:r w:rsidRPr="00EC08D8">
              <w:rPr>
                <w:iCs/>
                <w:lang w:val="es-PE"/>
              </w:rPr>
              <w:t>(2)</w:t>
            </w:r>
          </w:p>
        </w:tc>
      </w:tr>
    </w:tbl>
    <w:p w14:paraId="7BFE674F" w14:textId="4C4D7AE5" w:rsidR="00B45294" w:rsidRDefault="00CC5D8D" w:rsidP="00566811">
      <w:pPr>
        <w:pStyle w:val="CETEquation"/>
        <w:tabs>
          <w:tab w:val="clear" w:pos="7100"/>
        </w:tabs>
        <w:rPr>
          <w:lang w:val="en-US"/>
        </w:rPr>
      </w:pPr>
      <w:r w:rsidRPr="00AC3971">
        <w:rPr>
          <w:iCs/>
          <w:lang w:val="en-US"/>
        </w:rPr>
        <w:t xml:space="preserve"> </w:t>
      </w:r>
      <w:r w:rsidR="008E3648" w:rsidRPr="008E3648">
        <w:rPr>
          <w:lang w:val="en-US"/>
        </w:rPr>
        <w:t>Soil texture was determined using the Bouyoc</w:t>
      </w:r>
      <w:r w:rsidR="00C337D5">
        <w:rPr>
          <w:lang w:val="en-US"/>
        </w:rPr>
        <w:t>u</w:t>
      </w:r>
      <w:r w:rsidR="008E3648" w:rsidRPr="008E3648">
        <w:rPr>
          <w:lang w:val="en-US"/>
        </w:rPr>
        <w:t>s method (ASTM 152-H). A sample of 2 kg of soil was taken from the agricultural area of Carabayllo. The procedure was to use 50 g of soil mixed with 100 ml of water and 10 ml of the dispersing agent ((NaPO</w:t>
      </w:r>
      <w:r w:rsidR="008E3648" w:rsidRPr="00C337D5">
        <w:rPr>
          <w:vertAlign w:val="subscript"/>
          <w:lang w:val="en-US"/>
        </w:rPr>
        <w:t>3</w:t>
      </w:r>
      <w:r w:rsidR="008E3648" w:rsidRPr="008E3648">
        <w:rPr>
          <w:lang w:val="en-US"/>
        </w:rPr>
        <w:t>)</w:t>
      </w:r>
      <w:r w:rsidR="008E3648" w:rsidRPr="00C337D5">
        <w:rPr>
          <w:vertAlign w:val="subscript"/>
          <w:lang w:val="en-US"/>
        </w:rPr>
        <w:t>6</w:t>
      </w:r>
      <w:r w:rsidR="008E3648" w:rsidRPr="008E3648">
        <w:rPr>
          <w:lang w:val="en-US"/>
        </w:rPr>
        <w:t>) and it was taken to a mechanical agitator for 10 minutes, the suspension was transferred to a test tube (1000 ml) and it was gauged with distilled water, with a glass rod it was agitated again for a period of 1 min and it was left to rest for 40 sec. Then the hydrometer of bouyo</w:t>
      </w:r>
      <w:r w:rsidR="00C337D5">
        <w:rPr>
          <w:lang w:val="en-US"/>
        </w:rPr>
        <w:t>cus</w:t>
      </w:r>
      <w:r w:rsidR="008E3648" w:rsidRPr="008E3648">
        <w:rPr>
          <w:lang w:val="en-US"/>
        </w:rPr>
        <w:t xml:space="preserve"> is introduced to take the reading of the density (1st measurement), with a thermometer also the temperature is measured to find the correction of the hydrometer of baoyoc</w:t>
      </w:r>
      <w:r w:rsidR="00C337D5">
        <w:rPr>
          <w:lang w:val="en-US"/>
        </w:rPr>
        <w:t>u</w:t>
      </w:r>
      <w:r w:rsidR="008E3648" w:rsidRPr="008E3648">
        <w:rPr>
          <w:lang w:val="en-US"/>
        </w:rPr>
        <w:t>s with Eq</w:t>
      </w:r>
      <w:r w:rsidR="008E3648">
        <w:rPr>
          <w:lang w:val="en-US"/>
        </w:rPr>
        <w:t xml:space="preserve"> </w:t>
      </w:r>
      <w:r w:rsidR="008E3648" w:rsidRPr="008E3648">
        <w:rPr>
          <w:lang w:val="en-US"/>
        </w:rPr>
        <w:t>(3). After 2 hours the measurement is repeated (2nd measurement) and the correction is also calculated. The calculation of the percentages of sand, silt and clay is done with Eq</w:t>
      </w:r>
      <w:r w:rsidR="008E3648">
        <w:rPr>
          <w:lang w:val="en-US"/>
        </w:rPr>
        <w:t xml:space="preserve"> </w:t>
      </w:r>
      <w:r w:rsidR="008E3648" w:rsidRPr="008E3648">
        <w:rPr>
          <w:lang w:val="en-US"/>
        </w:rPr>
        <w:t>(4), Eq</w:t>
      </w:r>
      <w:r w:rsidR="008E3648">
        <w:rPr>
          <w:lang w:val="en-US"/>
        </w:rPr>
        <w:t xml:space="preserve"> </w:t>
      </w:r>
      <w:r w:rsidR="008E3648" w:rsidRPr="008E3648">
        <w:rPr>
          <w:lang w:val="en-US"/>
        </w:rPr>
        <w:t>(5) and Eq</w:t>
      </w:r>
      <w:r w:rsidR="008E3648">
        <w:rPr>
          <w:lang w:val="en-US"/>
        </w:rPr>
        <w:t xml:space="preserve"> </w:t>
      </w:r>
      <w:r w:rsidR="008E3648" w:rsidRPr="008E3648">
        <w:rPr>
          <w:lang w:val="en-US"/>
        </w:rPr>
        <w:t>(6), whose values are shown in the results section and are taken to the texture diagram.</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418"/>
      </w:tblGrid>
      <w:tr w:rsidR="008E3648" w:rsidRPr="00C337D5" w14:paraId="6CAB2E57" w14:textId="77777777" w:rsidTr="0010686B">
        <w:tc>
          <w:tcPr>
            <w:tcW w:w="6804" w:type="dxa"/>
          </w:tcPr>
          <w:p w14:paraId="0BB6505D" w14:textId="77777777" w:rsidR="008E3648" w:rsidRPr="00C337D5" w:rsidRDefault="008E3648" w:rsidP="0010686B">
            <w:pPr>
              <w:pStyle w:val="CETBodytext"/>
              <w:rPr>
                <w:lang w:val="en-GB"/>
              </w:rPr>
            </w:pPr>
            <m:oMathPara>
              <m:oMathParaPr>
                <m:jc m:val="left"/>
              </m:oMathParaPr>
              <m:oMath>
                <m:r>
                  <m:rPr>
                    <m:sty m:val="p"/>
                  </m:rPr>
                  <w:rPr>
                    <w:rFonts w:ascii="Cambria Math" w:hAnsi="Cambria Math"/>
                    <w:lang w:val="en-GB"/>
                  </w:rPr>
                  <m:t>c=</m:t>
                </m:r>
                <m:d>
                  <m:dPr>
                    <m:ctrlPr>
                      <w:rPr>
                        <w:rFonts w:ascii="Cambria Math" w:hAnsi="Cambria Math"/>
                        <w:lang w:val="en-GB"/>
                      </w:rPr>
                    </m:ctrlPr>
                  </m:dPr>
                  <m:e>
                    <m:r>
                      <m:rPr>
                        <m:sty m:val="p"/>
                      </m:rPr>
                      <w:rPr>
                        <w:rFonts w:ascii="Cambria Math" w:hAnsi="Cambria Math"/>
                        <w:lang w:val="en-GB"/>
                      </w:rPr>
                      <m:t>T-0.36</m:t>
                    </m:r>
                  </m:e>
                </m:d>
                <m:r>
                  <m:rPr>
                    <m:sty m:val="p"/>
                  </m:rPr>
                  <w:rPr>
                    <w:rFonts w:ascii="Cambria Math" w:hAnsi="Cambria Math"/>
                    <w:lang w:val="en-GB"/>
                  </w:rPr>
                  <m:t>-</m:t>
                </m:r>
                <m:r>
                  <m:rPr>
                    <m:sty m:val="p"/>
                  </m:rPr>
                  <w:rPr>
                    <w:rFonts w:ascii="Cambria Math" w:hAnsi="Cambria Math"/>
                    <w:lang w:val="en-GB"/>
                  </w:rPr>
                  <m:t>7</m:t>
                </m:r>
              </m:oMath>
            </m:oMathPara>
          </w:p>
          <w:p w14:paraId="57532EA2" w14:textId="77777777" w:rsidR="008E3648" w:rsidRPr="00C337D5" w:rsidRDefault="008E3648" w:rsidP="0010686B">
            <w:pPr>
              <w:pStyle w:val="CETBodytext"/>
              <w:rPr>
                <w:lang w:val="en-GB"/>
              </w:rPr>
            </w:pPr>
            <w:r w:rsidRPr="00C337D5">
              <w:rPr>
                <w:lang w:val="en-GB"/>
              </w:rPr>
              <w:t>c= will be the correction value added to the value measured by the hydrometer</w:t>
            </w:r>
            <w:r w:rsidRPr="00C337D5">
              <w:rPr>
                <w:lang w:val="en-GB"/>
              </w:rPr>
              <w:t xml:space="preserve"> </w:t>
            </w:r>
          </w:p>
          <w:p w14:paraId="6119FACE" w14:textId="74927719" w:rsidR="008E3648" w:rsidRPr="00C337D5" w:rsidRDefault="008E3648" w:rsidP="0010686B">
            <w:pPr>
              <w:pStyle w:val="CETBodytext"/>
              <w:rPr>
                <w:lang w:val="en-GB"/>
              </w:rPr>
            </w:pPr>
            <w:r w:rsidRPr="00C337D5">
              <w:rPr>
                <w:lang w:val="en-GB"/>
              </w:rPr>
              <w:t xml:space="preserve">T= </w:t>
            </w:r>
            <w:r w:rsidRPr="00C337D5">
              <w:rPr>
                <w:lang w:val="en-GB"/>
              </w:rPr>
              <w:t>temperatur</w:t>
            </w:r>
            <w:r w:rsidR="00C337D5">
              <w:rPr>
                <w:lang w:val="en-GB"/>
              </w:rPr>
              <w:t>e</w:t>
            </w:r>
            <w:r w:rsidRPr="00C337D5">
              <w:rPr>
                <w:lang w:val="en-GB"/>
              </w:rPr>
              <w:t xml:space="preserve"> read</w:t>
            </w:r>
          </w:p>
        </w:tc>
        <w:tc>
          <w:tcPr>
            <w:tcW w:w="1418" w:type="dxa"/>
          </w:tcPr>
          <w:p w14:paraId="3CB7A7BF" w14:textId="77777777" w:rsidR="008E3648" w:rsidRPr="00C337D5" w:rsidRDefault="008E3648" w:rsidP="0010686B">
            <w:pPr>
              <w:pStyle w:val="CETBodytext"/>
              <w:jc w:val="right"/>
              <w:rPr>
                <w:lang w:val="es-PE"/>
              </w:rPr>
            </w:pPr>
            <w:r w:rsidRPr="00C337D5">
              <w:rPr>
                <w:lang w:val="es-PE"/>
              </w:rPr>
              <w:t>(3)</w:t>
            </w:r>
          </w:p>
        </w:tc>
      </w:tr>
      <w:tr w:rsidR="008E3648" w:rsidRPr="00C337D5" w14:paraId="7AE16C0C" w14:textId="77777777" w:rsidTr="0010686B">
        <w:tc>
          <w:tcPr>
            <w:tcW w:w="6804" w:type="dxa"/>
          </w:tcPr>
          <w:p w14:paraId="7E1DA548" w14:textId="6694DD25" w:rsidR="008E3648" w:rsidRPr="00C337D5" w:rsidRDefault="00C337D5" w:rsidP="0010686B">
            <w:pPr>
              <w:pStyle w:val="CETBodytext"/>
              <w:rPr>
                <w:lang w:val="es-PE"/>
              </w:rPr>
            </w:pPr>
            <m:oMathPara>
              <m:oMath>
                <m:r>
                  <m:rPr>
                    <m:sty m:val="p"/>
                  </m:rPr>
                  <w:rPr>
                    <w:rFonts w:ascii="Cambria Math" w:hAnsi="Cambria Math"/>
                    <w:lang w:val="es-PE"/>
                  </w:rPr>
                  <m:t>% of sand</m:t>
                </m:r>
                <m:r>
                  <w:rPr>
                    <w:rFonts w:ascii="Cambria Math" w:hAnsi="Cambria Math"/>
                    <w:lang w:val="es-PE"/>
                  </w:rPr>
                  <m:t>=100-</m:t>
                </m:r>
                <m:f>
                  <m:fPr>
                    <m:ctrlPr>
                      <w:rPr>
                        <w:rFonts w:ascii="Cambria Math" w:hAnsi="Cambria Math"/>
                        <w:lang w:val="es-PE"/>
                      </w:rPr>
                    </m:ctrlPr>
                  </m:fPr>
                  <m:num>
                    <m:r>
                      <w:rPr>
                        <w:rFonts w:ascii="Cambria Math" w:hAnsi="Cambria Math"/>
                        <w:lang w:val="es-PE"/>
                      </w:rPr>
                      <m:t>1st corrected reading</m:t>
                    </m:r>
                    <m:r>
                      <w:rPr>
                        <w:rFonts w:ascii="Cambria Math" w:hAnsi="Cambria Math"/>
                        <w:lang w:val="es-PE"/>
                      </w:rPr>
                      <m:t>*100</m:t>
                    </m:r>
                  </m:num>
                  <m:den>
                    <m:r>
                      <w:rPr>
                        <w:rFonts w:ascii="Cambria Math" w:hAnsi="Cambria Math"/>
                        <w:lang w:val="es-PE"/>
                      </w:rPr>
                      <m:t>sample weight</m:t>
                    </m:r>
                  </m:den>
                </m:f>
              </m:oMath>
            </m:oMathPara>
          </w:p>
        </w:tc>
        <w:tc>
          <w:tcPr>
            <w:tcW w:w="1418" w:type="dxa"/>
          </w:tcPr>
          <w:p w14:paraId="525AA7BA" w14:textId="77777777" w:rsidR="008E3648" w:rsidRPr="00C337D5" w:rsidRDefault="008E3648" w:rsidP="0010686B">
            <w:pPr>
              <w:pStyle w:val="CETBodytext"/>
              <w:jc w:val="right"/>
              <w:rPr>
                <w:lang w:val="es-PE"/>
              </w:rPr>
            </w:pPr>
            <w:r w:rsidRPr="00C337D5">
              <w:rPr>
                <w:lang w:val="es-PE"/>
              </w:rPr>
              <w:t>(4)</w:t>
            </w:r>
          </w:p>
        </w:tc>
      </w:tr>
      <w:tr w:rsidR="008E3648" w:rsidRPr="00C337D5" w14:paraId="51F92E55" w14:textId="77777777" w:rsidTr="0010686B">
        <w:tc>
          <w:tcPr>
            <w:tcW w:w="6804" w:type="dxa"/>
          </w:tcPr>
          <w:p w14:paraId="34FB14A0" w14:textId="5C4C79C0" w:rsidR="008E3648" w:rsidRPr="00C337D5" w:rsidRDefault="00C337D5" w:rsidP="0010686B">
            <w:pPr>
              <w:pStyle w:val="CETBodytext"/>
              <w:rPr>
                <w:lang w:val="es-PE"/>
              </w:rPr>
            </w:pPr>
            <m:oMathPara>
              <m:oMath>
                <m:r>
                  <m:rPr>
                    <m:sty m:val="p"/>
                  </m:rPr>
                  <w:rPr>
                    <w:rFonts w:ascii="Cambria Math" w:hAnsi="Cambria Math"/>
                    <w:lang w:val="es-PE"/>
                  </w:rPr>
                  <m:t>% of clay</m:t>
                </m:r>
                <m:r>
                  <w:rPr>
                    <w:rFonts w:ascii="Cambria Math" w:hAnsi="Cambria Math"/>
                    <w:lang w:val="es-PE"/>
                  </w:rPr>
                  <m:t>=100-</m:t>
                </m:r>
                <m:f>
                  <m:fPr>
                    <m:ctrlPr>
                      <w:rPr>
                        <w:rFonts w:ascii="Cambria Math" w:hAnsi="Cambria Math"/>
                        <w:lang w:val="es-PE"/>
                      </w:rPr>
                    </m:ctrlPr>
                  </m:fPr>
                  <m:num>
                    <m:r>
                      <w:rPr>
                        <w:rFonts w:ascii="Cambria Math" w:hAnsi="Cambria Math"/>
                        <w:lang w:val="es-PE"/>
                      </w:rPr>
                      <m:t>2nd corrected reading</m:t>
                    </m:r>
                    <m:r>
                      <w:rPr>
                        <w:rFonts w:ascii="Cambria Math" w:hAnsi="Cambria Math"/>
                        <w:lang w:val="es-PE"/>
                      </w:rPr>
                      <m:t xml:space="preserve">  *100</m:t>
                    </m:r>
                  </m:num>
                  <m:den>
                    <m:r>
                      <w:rPr>
                        <w:rFonts w:ascii="Cambria Math" w:hAnsi="Cambria Math"/>
                        <w:lang w:val="es-PE"/>
                      </w:rPr>
                      <m:t>sample weight</m:t>
                    </m:r>
                  </m:den>
                </m:f>
              </m:oMath>
            </m:oMathPara>
          </w:p>
        </w:tc>
        <w:tc>
          <w:tcPr>
            <w:tcW w:w="1418" w:type="dxa"/>
          </w:tcPr>
          <w:p w14:paraId="1F53192A" w14:textId="77777777" w:rsidR="008E3648" w:rsidRPr="00C337D5" w:rsidRDefault="008E3648" w:rsidP="0010686B">
            <w:pPr>
              <w:pStyle w:val="CETBodytext"/>
              <w:jc w:val="right"/>
              <w:rPr>
                <w:lang w:val="es-PE"/>
              </w:rPr>
            </w:pPr>
            <w:r w:rsidRPr="00C337D5">
              <w:rPr>
                <w:lang w:val="es-PE"/>
              </w:rPr>
              <w:t>(5)</w:t>
            </w:r>
          </w:p>
        </w:tc>
      </w:tr>
      <w:tr w:rsidR="008E3648" w14:paraId="2E3CB641" w14:textId="77777777" w:rsidTr="0010686B">
        <w:tc>
          <w:tcPr>
            <w:tcW w:w="6804" w:type="dxa"/>
          </w:tcPr>
          <w:p w14:paraId="5F73570E" w14:textId="7FB33763" w:rsidR="008E3648" w:rsidRPr="00C337D5" w:rsidRDefault="00C337D5" w:rsidP="0010686B">
            <w:pPr>
              <w:pStyle w:val="CETBodytext"/>
              <w:rPr>
                <w:lang w:val="es-PE"/>
              </w:rPr>
            </w:pPr>
            <m:oMathPara>
              <m:oMath>
                <m:r>
                  <m:rPr>
                    <m:sty m:val="p"/>
                  </m:rPr>
                  <w:rPr>
                    <w:rFonts w:ascii="Cambria Math" w:hAnsi="Cambria Math"/>
                    <w:lang w:val="es-PE"/>
                  </w:rPr>
                  <m:t>% of silt</m:t>
                </m:r>
                <m:r>
                  <w:rPr>
                    <w:rFonts w:ascii="Cambria Math" w:hAnsi="Cambria Math"/>
                    <w:lang w:val="es-PE"/>
                  </w:rPr>
                  <m:t xml:space="preserve">=100-(% </m:t>
                </m:r>
                <m:r>
                  <w:rPr>
                    <w:rFonts w:ascii="Cambria Math" w:hAnsi="Cambria Math"/>
                    <w:lang w:val="es-PE"/>
                  </w:rPr>
                  <m:t>of sand</m:t>
                </m:r>
                <m:r>
                  <w:rPr>
                    <w:rFonts w:ascii="Cambria Math" w:hAnsi="Cambria Math"/>
                    <w:lang w:val="es-PE"/>
                  </w:rPr>
                  <m:t xml:space="preserve">+% </m:t>
                </m:r>
                <m:r>
                  <w:rPr>
                    <w:rFonts w:ascii="Cambria Math" w:hAnsi="Cambria Math"/>
                    <w:lang w:val="es-PE"/>
                  </w:rPr>
                  <m:t>of clay</m:t>
                </m:r>
                <m:r>
                  <w:rPr>
                    <w:rFonts w:ascii="Cambria Math" w:hAnsi="Cambria Math"/>
                    <w:lang w:val="es-PE"/>
                  </w:rPr>
                  <m:t>)</m:t>
                </m:r>
              </m:oMath>
            </m:oMathPara>
          </w:p>
        </w:tc>
        <w:tc>
          <w:tcPr>
            <w:tcW w:w="1418" w:type="dxa"/>
          </w:tcPr>
          <w:p w14:paraId="66DFAEAB" w14:textId="77777777" w:rsidR="008E3648" w:rsidRPr="00333363" w:rsidRDefault="008E3648" w:rsidP="0010686B">
            <w:pPr>
              <w:pStyle w:val="CETBodytext"/>
              <w:jc w:val="right"/>
              <w:rPr>
                <w:lang w:val="es-PE"/>
              </w:rPr>
            </w:pPr>
            <w:r w:rsidRPr="00C337D5">
              <w:rPr>
                <w:lang w:val="es-PE"/>
              </w:rPr>
              <w:t>(6)</w:t>
            </w:r>
          </w:p>
        </w:tc>
      </w:tr>
    </w:tbl>
    <w:p w14:paraId="7231B674" w14:textId="77777777" w:rsidR="00DD0FE5" w:rsidRDefault="00DD0FE5" w:rsidP="00D46B3A">
      <w:pPr>
        <w:pStyle w:val="CETBodytext"/>
        <w:rPr>
          <w:lang w:val="es-PE"/>
        </w:rPr>
      </w:pPr>
    </w:p>
    <w:p w14:paraId="51648BA0" w14:textId="4B6B1456" w:rsidR="00E847CE" w:rsidRPr="00AC3971" w:rsidRDefault="007911B4" w:rsidP="00D46B3A">
      <w:pPr>
        <w:pStyle w:val="CETBodytext"/>
        <w:rPr>
          <w:lang w:val="en-US"/>
        </w:rPr>
      </w:pPr>
      <w:r w:rsidRPr="00AC3971">
        <w:rPr>
          <w:lang w:val="en-US"/>
        </w:rPr>
        <w:t xml:space="preserve">For the microbiological evaluation, the characterization of actinomycetes was evaluated, because these filamentous bacteria (high positive) </w:t>
      </w:r>
      <w:r w:rsidR="0061793D">
        <w:rPr>
          <w:lang w:val="en-US"/>
        </w:rPr>
        <w:t xml:space="preserve">are </w:t>
      </w:r>
      <w:r w:rsidRPr="00AC3971">
        <w:rPr>
          <w:lang w:val="en-US"/>
        </w:rPr>
        <w:t xml:space="preserve">widely distributed in the rhizosphere, whose properties have been studied for their ability to control pathogens focused on the bio-protection of crops, </w:t>
      </w:r>
      <w:r w:rsidR="00203387" w:rsidRPr="00203387">
        <w:rPr>
          <w:lang w:val="en-US"/>
        </w:rPr>
        <w:t>that allows stimulating the reduction of pesticides</w:t>
      </w:r>
      <w:r w:rsidR="009C60D6" w:rsidRPr="00AC3971">
        <w:rPr>
          <w:lang w:val="en-US"/>
        </w:rPr>
        <w:t xml:space="preserve"> </w:t>
      </w:r>
      <w:r w:rsidR="00256899">
        <w:rPr>
          <w:lang w:val="es-PE"/>
        </w:rPr>
        <w:fldChar w:fldCharType="begin" w:fldLock="1"/>
      </w:r>
      <w:r w:rsidR="00D73214">
        <w:rPr>
          <w:lang w:val="en-US"/>
        </w:rPr>
        <w:instrText>ADDIN CSL_CITATION {"citationItems":[{"id":"ITEM-1","itemData":{"ISBN":"1950149390","ISSN":"1727-9933","abstract":"COMENTARIO El mal uso agrícola de los suelos, que desafortunadamente ocurre en diferentes zonas cultivables, ha ido intensificando los problemas de fertilidad en los mismos. Particularmente, el uso intensivo de los fertilizantes y productos fitosanitarios químicos ha conllevado a elevar los costos de producción de muchos alimentos y otros derivados de la agricultura haciéndolos poco competitivos en el mercado. Los manejos agrícolas más sostenibles preconizan la disminución de agroquímicos, como alternativa al uso de estos compuestos, estrategias que cada día cobran más interés. En relación con los manejos sostenibles en agricultura, la posibilidad de usar técnicas basadas en el manejo de microorganismos que usualmente viven asociados a las plan-tas, ocurre en virtud de las acciones positivas que se sabe realizan. En efecto, determinados microorganismos que se desarrollan en asociación con las raíces de las plantas, en la llamada rizosfera, están involucrados en la promoción de crecimiento vegetal me-diante un amplio rango de actividades. Estas acciones incluyen la estimulación de los ciclos biogeoquímicos de los nutrientes, mejora de la salud de la planta y la calidad estructural del suelo, factores claves de la fertilidad del mismo. Como consecuencia de lo anterior se hace necesario entender los diferentes factores que regulan la actividad microbiana rela-cionada con el mantenimiento de la fertilidad del suelo y la nu-trición vegetal. Es así que muchas investigaciones han intentado enfocarse en la búsqueda de microorganismos con habilidad para mejorar el enraizamiento, disolver el fósforo mineral no asimilable por la planta, fijar nitrógeno de la atmósfera, producir sideróforos, interactuar con otros microorganismos, entre otras actividades. En este contexto, es de reseñar los pocos estudios publicados sobre los actinomicetos, bacterias conocidas por desarrollar di-versas actividades en el ecosistema, tales como el mejoramiento de la estructura del suelo y producción de compuestos bioactivos con actividad antagonista contra microorganismos patógenos, siendo los principales productores de antibióticos. Particular-mente, se han descrito actividades que pueden catalogar a los actinomicetos como rizobacterias promotoras del crecimiento vegetal: PGPR (del inglés Plant Growth Promoting Rhizobacteria). Es así que cabe resaltar como la línea de investigación titulada: Microorganismos con Potencial Agroindustrial, ha sido pionera en el avance de este tema (Fran…","author":[{"dropping-particle":"","family":"Franco-Correa","given":"Marcela","non-dropping-particle":"","parse-names":false,"suffix":""}],"container-title":"Rev.Peru.Biol.","id":"ITEM-1","issue":"2","issued":{"date-parts":[["2010"]]},"page":"239-242","title":"Utilización de los actinomicetos en procesos de biofertilización Use of actinomycetes in processes biofertilization","type":"article-journal","volume":"16"},"uris":["http://www.mendeley.com/documents/?uuid=38268d67-52df-46ea-9418-e634f8cf375c"]}],"mendeley":{"formattedCitation":"(Franco-correa, 2010)","manualFormatting":"(Franco-Correa, 2010)","plainTextFormattedCitation":"(Franco-correa, 2010)","previouslyFormattedCitation":"(Franco-correa, 2010)"},"properties":{"noteIndex":0},"schema":"https://github.com/citation-style-language/schema/raw/master/csl-citation.json"}</w:instrText>
      </w:r>
      <w:r w:rsidR="00256899">
        <w:rPr>
          <w:lang w:val="es-PE"/>
        </w:rPr>
        <w:fldChar w:fldCharType="separate"/>
      </w:r>
      <w:r w:rsidR="00256899" w:rsidRPr="00AC3971">
        <w:rPr>
          <w:noProof/>
          <w:lang w:val="en-US"/>
        </w:rPr>
        <w:t>(Franco-</w:t>
      </w:r>
      <w:r w:rsidR="00D73214">
        <w:rPr>
          <w:noProof/>
          <w:lang w:val="en-US"/>
        </w:rPr>
        <w:t>C</w:t>
      </w:r>
      <w:r w:rsidR="00256899" w:rsidRPr="00AC3971">
        <w:rPr>
          <w:noProof/>
          <w:lang w:val="en-US"/>
        </w:rPr>
        <w:t>orrea, 2010)</w:t>
      </w:r>
      <w:r w:rsidR="00256899">
        <w:rPr>
          <w:lang w:val="es-PE"/>
        </w:rPr>
        <w:fldChar w:fldCharType="end"/>
      </w:r>
      <w:r w:rsidR="004F7167" w:rsidRPr="00AC3971">
        <w:rPr>
          <w:lang w:val="en-US"/>
        </w:rPr>
        <w:t>.</w:t>
      </w:r>
    </w:p>
    <w:p w14:paraId="3CE867D7" w14:textId="4FEF0B97" w:rsidR="008623DE" w:rsidRPr="00AC3971" w:rsidRDefault="000735D4" w:rsidP="00D46B3A">
      <w:pPr>
        <w:pStyle w:val="CETBodytext"/>
        <w:rPr>
          <w:lang w:val="en-US"/>
        </w:rPr>
      </w:pPr>
      <w:r w:rsidRPr="00AC3971">
        <w:rPr>
          <w:lang w:val="en-US"/>
        </w:rPr>
        <w:t>For the analysis of the physicochemical characteristics of the biosolids, the same procedures were used</w:t>
      </w:r>
      <w:r w:rsidR="0061793D">
        <w:rPr>
          <w:lang w:val="en-US"/>
        </w:rPr>
        <w:t>,</w:t>
      </w:r>
      <w:r w:rsidRPr="00AC3971">
        <w:rPr>
          <w:lang w:val="en-US"/>
        </w:rPr>
        <w:t xml:space="preserve"> and as microbiological tests, fecal and total coliforms were determined to establish the suitability of the mixture with the contaminated soil and use as a treatment product, according to Supreme Decree </w:t>
      </w:r>
      <w:r w:rsidR="000402AC" w:rsidRPr="00AC3971">
        <w:rPr>
          <w:lang w:val="en-US"/>
        </w:rPr>
        <w:t>No. 015- 2017-</w:t>
      </w:r>
      <w:r w:rsidR="00D73214">
        <w:rPr>
          <w:lang w:val="en-US"/>
        </w:rPr>
        <w:t>VIVIENDA</w:t>
      </w:r>
      <w:r w:rsidR="000402AC" w:rsidRPr="00AC3971">
        <w:rPr>
          <w:lang w:val="en-US"/>
        </w:rPr>
        <w:t xml:space="preserve"> </w:t>
      </w:r>
      <w:r w:rsidR="009D1159">
        <w:rPr>
          <w:lang w:val="es-PE"/>
        </w:rPr>
        <w:fldChar w:fldCharType="begin" w:fldLock="1"/>
      </w:r>
      <w:r w:rsidR="00D73214">
        <w:rPr>
          <w:lang w:val="en-US"/>
        </w:rPr>
        <w:instrText>ADDIN CSL_CITATION {"citationItems":[{"id":"ITEM-1","itemData":{"author":[{"dropping-particle":"","family":"Ministerio de vivienda Costrucción y Saneamiento","given":"","non-dropping-particle":"","parse-names":false,"suffix":""}],"id":"ITEM-1","issued":{"date-parts":[["2017"]]},"page":"32-40","title":"Decreto Supremo que aprueba el Reglamento para el Reaprovechamiento de los Lodos generados en las Plantas de Tratamiento de Aguas Residuales","type":"article"},"uris":["http://www.mendeley.com/documents/?uuid=f04c2b52-23ca-429e-b1ec-23d39c54dd28"]}],"mendeley":{"formattedCitation":"(Ministerio de vivienda Costrucción y Saneamiento, 2017)","manualFormatting":"(Ministerio de Vivienda, Costrucción y Saneamiento, 2017)","plainTextFormattedCitation":"(Ministerio de vivienda Costrucción y Saneamiento, 2017)","previouslyFormattedCitation":"(Ministerio de vivienda Costrucción y Saneamiento, 2017)"},"properties":{"noteIndex":0},"schema":"https://github.com/citation-style-language/schema/raw/master/csl-citation.json"}</w:instrText>
      </w:r>
      <w:r w:rsidR="009D1159">
        <w:rPr>
          <w:lang w:val="es-PE"/>
        </w:rPr>
        <w:fldChar w:fldCharType="separate"/>
      </w:r>
      <w:r w:rsidR="00C4218C" w:rsidRPr="00AC3971">
        <w:rPr>
          <w:noProof/>
          <w:lang w:val="en-US"/>
        </w:rPr>
        <w:t>(</w:t>
      </w:r>
      <w:r w:rsidR="00D73214">
        <w:rPr>
          <w:noProof/>
          <w:lang w:val="en-US"/>
        </w:rPr>
        <w:t>Ministerio de Vivienda, Costrucción y Saneamiento</w:t>
      </w:r>
      <w:r w:rsidR="00C4218C" w:rsidRPr="00AC3971">
        <w:rPr>
          <w:noProof/>
          <w:lang w:val="en-US"/>
        </w:rPr>
        <w:t>, 2017)</w:t>
      </w:r>
      <w:r w:rsidR="009D1159">
        <w:rPr>
          <w:lang w:val="es-PE"/>
        </w:rPr>
        <w:fldChar w:fldCharType="end"/>
      </w:r>
      <w:r w:rsidR="00D75EE3" w:rsidRPr="00AC3971">
        <w:rPr>
          <w:lang w:val="en-US"/>
        </w:rPr>
        <w:t>. In addition, the microbial growth of actinomycetes was also evaluated for their ecological benefits as protectors of mycorrhiza; the test used was the colony-forming units (CFU) count.</w:t>
      </w:r>
    </w:p>
    <w:p w14:paraId="69E7E99A" w14:textId="0EBC42A0" w:rsidR="008623DE" w:rsidRPr="00D73214" w:rsidRDefault="00375641" w:rsidP="003E09B1">
      <w:pPr>
        <w:pStyle w:val="CETheadingx"/>
        <w:rPr>
          <w:lang w:val="en-US"/>
        </w:rPr>
      </w:pPr>
      <w:r w:rsidRPr="00D73214">
        <w:rPr>
          <w:lang w:val="en-US"/>
        </w:rPr>
        <w:t xml:space="preserve">Treatment process with </w:t>
      </w:r>
      <w:r w:rsidR="005F5A8F" w:rsidRPr="00D73214">
        <w:rPr>
          <w:lang w:val="en-US"/>
        </w:rPr>
        <w:t>biosolid.</w:t>
      </w:r>
    </w:p>
    <w:p w14:paraId="4DFF49C5" w14:textId="29C673AB" w:rsidR="006A2D8A" w:rsidRDefault="00D11815" w:rsidP="005F5A8F">
      <w:pPr>
        <w:pStyle w:val="CETBodytext"/>
        <w:rPr>
          <w:lang w:val="en-US"/>
        </w:rPr>
      </w:pPr>
      <w:r w:rsidRPr="00AC3971">
        <w:rPr>
          <w:lang w:val="en-US"/>
        </w:rPr>
        <w:t>For the experimental part, the treatments were defined by preparing containers containing doses with a percentage ratio of 10</w:t>
      </w:r>
      <w:r w:rsidR="00203387">
        <w:rPr>
          <w:lang w:val="en-US"/>
        </w:rPr>
        <w:t xml:space="preserve"> </w:t>
      </w:r>
      <w:r w:rsidRPr="00AC3971">
        <w:rPr>
          <w:lang w:val="en-US"/>
        </w:rPr>
        <w:t>% (222 g of biosolid), 20</w:t>
      </w:r>
      <w:r w:rsidR="00203387">
        <w:rPr>
          <w:lang w:val="en-US"/>
        </w:rPr>
        <w:t xml:space="preserve"> </w:t>
      </w:r>
      <w:r w:rsidRPr="00AC3971">
        <w:rPr>
          <w:lang w:val="en-US"/>
        </w:rPr>
        <w:t>% (500 g of biosolid)</w:t>
      </w:r>
      <w:r w:rsidR="0061793D">
        <w:rPr>
          <w:lang w:val="en-US"/>
        </w:rPr>
        <w:t>,</w:t>
      </w:r>
      <w:r w:rsidRPr="00AC3971">
        <w:rPr>
          <w:lang w:val="en-US"/>
        </w:rPr>
        <w:t xml:space="preserve"> and 30</w:t>
      </w:r>
      <w:r w:rsidR="00203387">
        <w:rPr>
          <w:lang w:val="en-US"/>
        </w:rPr>
        <w:t xml:space="preserve"> </w:t>
      </w:r>
      <w:r w:rsidRPr="00AC3971">
        <w:rPr>
          <w:lang w:val="en-US"/>
        </w:rPr>
        <w:t>% (857 g of biosolid</w:t>
      </w:r>
      <w:r w:rsidR="00D73214">
        <w:rPr>
          <w:lang w:val="en-US"/>
        </w:rPr>
        <w:t>)</w:t>
      </w:r>
      <w:r w:rsidRPr="00AC3971">
        <w:rPr>
          <w:lang w:val="en-US"/>
        </w:rPr>
        <w:t xml:space="preserve"> that were mixed with samples of 2 kg of soil contaminated with Aldrin. It was also defined that there were three repetitions for each percentage relationship (Figure 2), with a total of 9 samples that were then controlled and monitored.</w:t>
      </w:r>
    </w:p>
    <w:p w14:paraId="0B3E174E" w14:textId="0D3628EF" w:rsidR="00D75E1B" w:rsidRDefault="00D75E1B" w:rsidP="005F5A8F">
      <w:pPr>
        <w:pStyle w:val="CETBodytext"/>
        <w:rPr>
          <w:lang w:val="en-US"/>
        </w:rPr>
      </w:pPr>
      <w:r>
        <w:rPr>
          <w:noProof/>
        </w:rPr>
        <w:drawing>
          <wp:inline distT="0" distB="0" distL="0" distR="0" wp14:anchorId="6AA3DFEC" wp14:editId="2B8E49AE">
            <wp:extent cx="5456135" cy="1755648"/>
            <wp:effectExtent l="0" t="0" r="0" b="0"/>
            <wp:docPr id="1124395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409" t="17946" r="5737" b="18447"/>
                    <a:stretch/>
                  </pic:blipFill>
                  <pic:spPr bwMode="auto">
                    <a:xfrm>
                      <a:off x="0" y="0"/>
                      <a:ext cx="5494562" cy="1768013"/>
                    </a:xfrm>
                    <a:prstGeom prst="rect">
                      <a:avLst/>
                    </a:prstGeom>
                    <a:noFill/>
                    <a:ln>
                      <a:noFill/>
                    </a:ln>
                    <a:extLst>
                      <a:ext uri="{53640926-AAD7-44D8-BBD7-CCE9431645EC}">
                        <a14:shadowObscured xmlns:a14="http://schemas.microsoft.com/office/drawing/2010/main"/>
                      </a:ext>
                    </a:extLst>
                  </pic:spPr>
                </pic:pic>
              </a:graphicData>
            </a:graphic>
          </wp:inline>
        </w:drawing>
      </w:r>
    </w:p>
    <w:p w14:paraId="6E5C264F" w14:textId="60AB4DDE" w:rsidR="005F5A8F" w:rsidRPr="00AC3971" w:rsidRDefault="00D36949" w:rsidP="00053C42">
      <w:pPr>
        <w:pStyle w:val="CETCaption"/>
        <w:spacing w:before="0" w:after="0"/>
        <w:rPr>
          <w:lang w:val="en-US"/>
        </w:rPr>
      </w:pPr>
      <w:bookmarkStart w:id="0" w:name="_Hlk157536740"/>
      <w:r w:rsidRPr="00AC3971">
        <w:rPr>
          <w:lang w:val="en-US"/>
        </w:rPr>
        <w:t>Figure 2: Biosolid treatments.</w:t>
      </w:r>
      <w:bookmarkEnd w:id="0"/>
      <w:r w:rsidR="00F72BE7" w:rsidRPr="00AC3971">
        <w:rPr>
          <w:lang w:val="en-US"/>
        </w:rPr>
        <w:t xml:space="preserve"> </w:t>
      </w:r>
    </w:p>
    <w:p w14:paraId="4303263B" w14:textId="77777777" w:rsidR="00215073" w:rsidRDefault="00215073" w:rsidP="00D46B3A">
      <w:pPr>
        <w:pStyle w:val="CETBodytext"/>
        <w:rPr>
          <w:lang w:val="en-US"/>
        </w:rPr>
      </w:pPr>
    </w:p>
    <w:p w14:paraId="06A28230" w14:textId="2F5DF816" w:rsidR="000042FB" w:rsidRPr="00AC3971" w:rsidRDefault="00BF21C5" w:rsidP="00D46B3A">
      <w:pPr>
        <w:pStyle w:val="CETBodytext"/>
        <w:rPr>
          <w:lang w:val="en-US"/>
        </w:rPr>
      </w:pPr>
      <w:r w:rsidRPr="00AC3971">
        <w:rPr>
          <w:lang w:val="en-US"/>
        </w:rPr>
        <w:t xml:space="preserve">The treatments were coded </w:t>
      </w:r>
      <w:r w:rsidR="00D11815" w:rsidRPr="00AC3971">
        <w:rPr>
          <w:lang w:val="en-US"/>
        </w:rPr>
        <w:t>as T1, T2</w:t>
      </w:r>
      <w:r w:rsidR="0061793D">
        <w:rPr>
          <w:lang w:val="en-US"/>
        </w:rPr>
        <w:t>,</w:t>
      </w:r>
      <w:r w:rsidR="00D11815" w:rsidRPr="00AC3971">
        <w:rPr>
          <w:lang w:val="en-US"/>
        </w:rPr>
        <w:t xml:space="preserve"> and T3 for the percentages of 10, 20</w:t>
      </w:r>
      <w:r w:rsidR="0061793D">
        <w:rPr>
          <w:lang w:val="en-US"/>
        </w:rPr>
        <w:t>,</w:t>
      </w:r>
      <w:r w:rsidR="00D11815" w:rsidRPr="00AC3971">
        <w:rPr>
          <w:lang w:val="en-US"/>
        </w:rPr>
        <w:t xml:space="preserve"> and 30</w:t>
      </w:r>
      <w:r w:rsidR="00203387">
        <w:rPr>
          <w:lang w:val="en-US"/>
        </w:rPr>
        <w:t xml:space="preserve"> </w:t>
      </w:r>
      <w:r w:rsidR="00D11815" w:rsidRPr="00AC3971">
        <w:rPr>
          <w:lang w:val="en-US"/>
        </w:rPr>
        <w:t xml:space="preserve">% of biosolids used in the containers with contaminated soil. The containers were placed in a dry place at room temperature for 8 weeks. The humidity and temperature parameters were monitored daily. The pH was evaluated twice a week and the influence of the parameters on the bioremediation was established. the value of organic matter to show </w:t>
      </w:r>
      <w:r w:rsidR="0061793D">
        <w:rPr>
          <w:lang w:val="en-US"/>
        </w:rPr>
        <w:t xml:space="preserve">an </w:t>
      </w:r>
      <w:r w:rsidR="00D11815" w:rsidRPr="00AC3971">
        <w:rPr>
          <w:lang w:val="en-US"/>
        </w:rPr>
        <w:t>increase or reduction of microorganisms.</w:t>
      </w:r>
    </w:p>
    <w:p w14:paraId="677EBFF0" w14:textId="78A967D9" w:rsidR="00600535" w:rsidRPr="00B57B36" w:rsidRDefault="00972EFB" w:rsidP="00600535">
      <w:pPr>
        <w:pStyle w:val="CETHeading1"/>
        <w:tabs>
          <w:tab w:val="clear" w:pos="360"/>
          <w:tab w:val="right" w:pos="7100"/>
        </w:tabs>
        <w:jc w:val="both"/>
        <w:rPr>
          <w:lang w:val="en-GB"/>
        </w:rPr>
      </w:pPr>
      <w:r>
        <w:rPr>
          <w:lang w:val="en-GB"/>
        </w:rPr>
        <w:lastRenderedPageBreak/>
        <w:t>Result and discussion</w:t>
      </w:r>
    </w:p>
    <w:p w14:paraId="0E75CF9B" w14:textId="679DCC8A" w:rsidR="00D14D52" w:rsidRPr="00AC3971" w:rsidRDefault="003F1375" w:rsidP="00DF23C8">
      <w:pPr>
        <w:pStyle w:val="CETheadingx"/>
        <w:rPr>
          <w:lang w:val="en-US"/>
        </w:rPr>
      </w:pPr>
      <w:r w:rsidRPr="00AC3971">
        <w:rPr>
          <w:lang w:val="en-US"/>
        </w:rPr>
        <w:t>Physicochemical analysis of contaminated soil before treatment.</w:t>
      </w:r>
    </w:p>
    <w:p w14:paraId="1950D3D9" w14:textId="2B8610FF" w:rsidR="00B77A57" w:rsidRPr="00AC3971" w:rsidRDefault="007F693B" w:rsidP="00D14D52">
      <w:pPr>
        <w:pStyle w:val="CETBodytext"/>
        <w:rPr>
          <w:lang w:val="en-US"/>
        </w:rPr>
      </w:pPr>
      <w:r w:rsidRPr="00AC3971">
        <w:rPr>
          <w:lang w:val="en-US"/>
        </w:rPr>
        <w:t xml:space="preserve">The results of the agricultural soil contaminated with Aldrin were characterized in the laboratory of the </w:t>
      </w:r>
      <w:r w:rsidR="00D73214">
        <w:rPr>
          <w:lang w:val="en-US"/>
        </w:rPr>
        <w:t xml:space="preserve">Universidad </w:t>
      </w:r>
      <w:r w:rsidRPr="00AC3971">
        <w:rPr>
          <w:lang w:val="en-US"/>
        </w:rPr>
        <w:t xml:space="preserve">César Vallejo with the result presented in Table 1. In the same way, the biosolid was also characterized for its physicochemical and microbiological properties of both fecal coliforms and total </w:t>
      </w:r>
      <w:r w:rsidR="00D73214" w:rsidRPr="00AC3971">
        <w:rPr>
          <w:lang w:val="en-US"/>
        </w:rPr>
        <w:t>coliforms</w:t>
      </w:r>
      <w:r w:rsidR="00D73214">
        <w:rPr>
          <w:lang w:val="en-US"/>
        </w:rPr>
        <w:t xml:space="preserve"> </w:t>
      </w:r>
      <w:r w:rsidR="00D73214" w:rsidRPr="00AC3971">
        <w:rPr>
          <w:lang w:val="en-US"/>
        </w:rPr>
        <w:t>to</w:t>
      </w:r>
      <w:r w:rsidRPr="00AC3971">
        <w:rPr>
          <w:lang w:val="en-US"/>
        </w:rPr>
        <w:t xml:space="preserve"> support its application on agricultural land according to national regulations (see </w:t>
      </w:r>
      <w:r w:rsidR="0061793D">
        <w:rPr>
          <w:lang w:val="en-US"/>
        </w:rPr>
        <w:t>Table</w:t>
      </w:r>
      <w:r w:rsidRPr="00AC3971">
        <w:rPr>
          <w:lang w:val="en-US"/>
        </w:rPr>
        <w:t xml:space="preserve"> 2).</w:t>
      </w:r>
    </w:p>
    <w:p w14:paraId="01EECCDB" w14:textId="77777777" w:rsidR="0072148A" w:rsidRPr="00AC3971" w:rsidRDefault="0072148A" w:rsidP="00B77A57">
      <w:pPr>
        <w:pStyle w:val="CETTabletitle"/>
        <w:rPr>
          <w:lang w:val="en-US"/>
        </w:rPr>
        <w:sectPr w:rsidR="0072148A" w:rsidRPr="00AC3971" w:rsidSect="00EC4532">
          <w:type w:val="continuous"/>
          <w:pgSz w:w="11906" w:h="16838" w:code="9"/>
          <w:pgMar w:top="1701" w:right="1418" w:bottom="1701" w:left="1701" w:header="1701" w:footer="0" w:gutter="0"/>
          <w:cols w:space="708"/>
          <w:formProt w:val="0"/>
          <w:titlePg/>
          <w:docGrid w:linePitch="360"/>
        </w:sectPr>
      </w:pPr>
    </w:p>
    <w:p w14:paraId="1EA9BEAF" w14:textId="7641A47B" w:rsidR="00B77A57" w:rsidRPr="00AC3971" w:rsidRDefault="00B77A57" w:rsidP="00B77A57">
      <w:pPr>
        <w:pStyle w:val="CETTabletitle"/>
        <w:rPr>
          <w:lang w:val="en-US"/>
        </w:rPr>
      </w:pPr>
      <w:r w:rsidRPr="00AC3971">
        <w:rPr>
          <w:lang w:val="en-US"/>
        </w:rPr>
        <w:t>Table 1: Initial physicochemical and microbiological characteristics of the soil.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67"/>
        <w:gridCol w:w="1049"/>
        <w:gridCol w:w="1023"/>
      </w:tblGrid>
      <w:tr w:rsidR="00C81B1F" w:rsidRPr="00B57B36" w14:paraId="74E59574" w14:textId="77777777" w:rsidTr="00225967">
        <w:tc>
          <w:tcPr>
            <w:tcW w:w="1967" w:type="dxa"/>
            <w:tcBorders>
              <w:top w:val="single" w:sz="12" w:space="0" w:color="008000"/>
              <w:bottom w:val="single" w:sz="6" w:space="0" w:color="008000"/>
            </w:tcBorders>
            <w:shd w:val="clear" w:color="auto" w:fill="FFFFFF"/>
          </w:tcPr>
          <w:p w14:paraId="71051511" w14:textId="27064ACF" w:rsidR="00C81B1F" w:rsidRPr="007700C9" w:rsidRDefault="00C81B1F" w:rsidP="007700C9">
            <w:pPr>
              <w:pStyle w:val="CETBodytext"/>
              <w:jc w:val="center"/>
              <w:rPr>
                <w:b/>
                <w:bCs/>
                <w:lang w:val="en-GB"/>
              </w:rPr>
            </w:pPr>
            <w:r w:rsidRPr="007700C9">
              <w:rPr>
                <w:b/>
                <w:bCs/>
                <w:lang w:val="en-GB"/>
              </w:rPr>
              <w:t>Parameter</w:t>
            </w:r>
          </w:p>
        </w:tc>
        <w:tc>
          <w:tcPr>
            <w:tcW w:w="1049" w:type="dxa"/>
            <w:tcBorders>
              <w:top w:val="single" w:sz="12" w:space="0" w:color="008000"/>
              <w:bottom w:val="single" w:sz="6" w:space="0" w:color="008000"/>
            </w:tcBorders>
            <w:shd w:val="clear" w:color="auto" w:fill="FFFFFF"/>
          </w:tcPr>
          <w:p w14:paraId="6B0610AE" w14:textId="49DE651F" w:rsidR="00C81B1F" w:rsidRPr="007700C9" w:rsidRDefault="00C81B1F" w:rsidP="007700C9">
            <w:pPr>
              <w:pStyle w:val="CETBodytext"/>
              <w:jc w:val="center"/>
              <w:rPr>
                <w:b/>
                <w:bCs/>
                <w:lang w:val="en-GB"/>
              </w:rPr>
            </w:pPr>
            <w:r w:rsidRPr="007700C9">
              <w:rPr>
                <w:b/>
                <w:bCs/>
                <w:lang w:val="en-GB"/>
              </w:rPr>
              <w:t>Unit</w:t>
            </w:r>
          </w:p>
        </w:tc>
        <w:tc>
          <w:tcPr>
            <w:tcW w:w="1023" w:type="dxa"/>
            <w:tcBorders>
              <w:top w:val="single" w:sz="12" w:space="0" w:color="008000"/>
              <w:bottom w:val="single" w:sz="6" w:space="0" w:color="008000"/>
            </w:tcBorders>
            <w:shd w:val="clear" w:color="auto" w:fill="FFFFFF"/>
          </w:tcPr>
          <w:p w14:paraId="62BAC571" w14:textId="27D1BE6D" w:rsidR="00C81B1F" w:rsidRPr="007700C9" w:rsidRDefault="005E23E9" w:rsidP="007700C9">
            <w:pPr>
              <w:pStyle w:val="CETBodytext"/>
              <w:jc w:val="center"/>
              <w:rPr>
                <w:b/>
                <w:bCs/>
                <w:lang w:val="en-GB"/>
              </w:rPr>
            </w:pPr>
            <w:r>
              <w:rPr>
                <w:b/>
                <w:bCs/>
                <w:lang w:val="en-GB"/>
              </w:rPr>
              <w:t>value</w:t>
            </w:r>
          </w:p>
        </w:tc>
      </w:tr>
      <w:tr w:rsidR="00C81B1F" w:rsidRPr="00B57B36" w14:paraId="5A61B711" w14:textId="77777777" w:rsidTr="00225967">
        <w:tc>
          <w:tcPr>
            <w:tcW w:w="1967" w:type="dxa"/>
            <w:shd w:val="clear" w:color="auto" w:fill="FFFFFF"/>
          </w:tcPr>
          <w:p w14:paraId="26A36AD8" w14:textId="5532990A" w:rsidR="00C81B1F" w:rsidRPr="00B57B36" w:rsidRDefault="00C81B1F" w:rsidP="00203387">
            <w:pPr>
              <w:pStyle w:val="CETBodytext"/>
              <w:jc w:val="left"/>
              <w:rPr>
                <w:lang w:val="en-GB"/>
              </w:rPr>
            </w:pPr>
            <w:r>
              <w:rPr>
                <w:lang w:val="en-GB"/>
              </w:rPr>
              <w:t>Conductivity electric</w:t>
            </w:r>
          </w:p>
        </w:tc>
        <w:tc>
          <w:tcPr>
            <w:tcW w:w="1049" w:type="dxa"/>
            <w:shd w:val="clear" w:color="auto" w:fill="FFFFFF"/>
          </w:tcPr>
          <w:p w14:paraId="6646A2EE" w14:textId="075E5119" w:rsidR="00C81B1F" w:rsidRPr="00B57B36" w:rsidRDefault="00C81B1F" w:rsidP="007700C9">
            <w:pPr>
              <w:pStyle w:val="CETBodytext"/>
              <w:jc w:val="center"/>
              <w:rPr>
                <w:lang w:val="en-GB"/>
              </w:rPr>
            </w:pPr>
            <w:proofErr w:type="spellStart"/>
            <w:r>
              <w:rPr>
                <w:lang w:val="en-GB"/>
              </w:rPr>
              <w:t>dS</w:t>
            </w:r>
            <w:proofErr w:type="spellEnd"/>
            <w:r>
              <w:rPr>
                <w:lang w:val="en-GB"/>
              </w:rPr>
              <w:t xml:space="preserve"> /m</w:t>
            </w:r>
          </w:p>
        </w:tc>
        <w:tc>
          <w:tcPr>
            <w:tcW w:w="1023" w:type="dxa"/>
            <w:shd w:val="clear" w:color="auto" w:fill="FFFFFF"/>
          </w:tcPr>
          <w:p w14:paraId="3EE562B9" w14:textId="185B506A" w:rsidR="00C81B1F" w:rsidRPr="00B57B36" w:rsidRDefault="007700C9" w:rsidP="00FF52E5">
            <w:pPr>
              <w:pStyle w:val="CETBodytext"/>
              <w:jc w:val="center"/>
              <w:rPr>
                <w:lang w:val="en-GB"/>
              </w:rPr>
            </w:pPr>
            <w:r>
              <w:rPr>
                <w:lang w:val="en-GB"/>
              </w:rPr>
              <w:t>1.65</w:t>
            </w:r>
          </w:p>
        </w:tc>
      </w:tr>
      <w:tr w:rsidR="00C81B1F" w:rsidRPr="00B57B36" w14:paraId="0F88D56B" w14:textId="77777777" w:rsidTr="00225967">
        <w:tc>
          <w:tcPr>
            <w:tcW w:w="1967" w:type="dxa"/>
            <w:shd w:val="clear" w:color="auto" w:fill="FFFFFF"/>
          </w:tcPr>
          <w:p w14:paraId="71B8F4CB" w14:textId="3770BD25" w:rsidR="00C81B1F" w:rsidRPr="00B57B36" w:rsidRDefault="00C81B1F" w:rsidP="00203387">
            <w:pPr>
              <w:pStyle w:val="CETBodytext"/>
              <w:ind w:right="-1"/>
              <w:jc w:val="left"/>
              <w:rPr>
                <w:rFonts w:cs="Arial"/>
                <w:szCs w:val="18"/>
                <w:lang w:val="en-GB"/>
              </w:rPr>
            </w:pPr>
            <w:r>
              <w:rPr>
                <w:rFonts w:cs="Arial"/>
                <w:szCs w:val="18"/>
                <w:lang w:val="en-GB"/>
              </w:rPr>
              <w:t>pH</w:t>
            </w:r>
          </w:p>
        </w:tc>
        <w:tc>
          <w:tcPr>
            <w:tcW w:w="1049" w:type="dxa"/>
            <w:shd w:val="clear" w:color="auto" w:fill="FFFFFF"/>
          </w:tcPr>
          <w:p w14:paraId="5F9405FB" w14:textId="04B4BB7B" w:rsidR="00C81B1F" w:rsidRPr="00B57B36" w:rsidRDefault="00C81B1F" w:rsidP="007700C9">
            <w:pPr>
              <w:pStyle w:val="CETBodytext"/>
              <w:ind w:right="-1"/>
              <w:jc w:val="center"/>
              <w:rPr>
                <w:rFonts w:cs="Arial"/>
                <w:szCs w:val="18"/>
                <w:lang w:val="en-GB"/>
              </w:rPr>
            </w:pPr>
            <w:r>
              <w:rPr>
                <w:rFonts w:cs="Arial"/>
                <w:szCs w:val="18"/>
                <w:lang w:val="en-GB"/>
              </w:rPr>
              <w:t>1-14</w:t>
            </w:r>
          </w:p>
        </w:tc>
        <w:tc>
          <w:tcPr>
            <w:tcW w:w="1023" w:type="dxa"/>
            <w:shd w:val="clear" w:color="auto" w:fill="FFFFFF"/>
          </w:tcPr>
          <w:p w14:paraId="4CB6604D" w14:textId="4A4E0D62" w:rsidR="00C81B1F" w:rsidRPr="00B57B36" w:rsidRDefault="007700C9" w:rsidP="00FF52E5">
            <w:pPr>
              <w:pStyle w:val="CETBodytext"/>
              <w:ind w:right="-1"/>
              <w:jc w:val="center"/>
              <w:rPr>
                <w:rFonts w:cs="Arial"/>
                <w:szCs w:val="18"/>
                <w:lang w:val="en-GB"/>
              </w:rPr>
            </w:pPr>
            <w:r>
              <w:rPr>
                <w:rFonts w:cs="Arial"/>
                <w:szCs w:val="18"/>
                <w:lang w:val="en-GB"/>
              </w:rPr>
              <w:t>7.72</w:t>
            </w:r>
          </w:p>
        </w:tc>
      </w:tr>
      <w:tr w:rsidR="00C81B1F" w:rsidRPr="00B57B36" w14:paraId="2161AE5E" w14:textId="77777777" w:rsidTr="00225967">
        <w:tc>
          <w:tcPr>
            <w:tcW w:w="1967" w:type="dxa"/>
            <w:shd w:val="clear" w:color="auto" w:fill="FFFFFF"/>
          </w:tcPr>
          <w:p w14:paraId="24D4D11A" w14:textId="67F87445" w:rsidR="00C81B1F" w:rsidRDefault="00CC1538" w:rsidP="00203387">
            <w:pPr>
              <w:pStyle w:val="CETBodytext"/>
              <w:ind w:right="-1"/>
              <w:jc w:val="left"/>
              <w:rPr>
                <w:rFonts w:cs="Arial"/>
                <w:szCs w:val="18"/>
                <w:lang w:val="en-GB"/>
              </w:rPr>
            </w:pPr>
            <w:r w:rsidRPr="00CC1538">
              <w:rPr>
                <w:rFonts w:cs="Arial"/>
                <w:szCs w:val="18"/>
                <w:lang w:val="en-GB"/>
              </w:rPr>
              <w:t>organic matter</w:t>
            </w:r>
          </w:p>
        </w:tc>
        <w:tc>
          <w:tcPr>
            <w:tcW w:w="1049" w:type="dxa"/>
            <w:shd w:val="clear" w:color="auto" w:fill="FFFFFF"/>
          </w:tcPr>
          <w:p w14:paraId="1366A492" w14:textId="37F2559E" w:rsidR="00C81B1F" w:rsidRPr="00B57B36" w:rsidRDefault="00C81B1F" w:rsidP="007700C9">
            <w:pPr>
              <w:pStyle w:val="CETBodytext"/>
              <w:ind w:right="-1"/>
              <w:jc w:val="center"/>
              <w:rPr>
                <w:rFonts w:cs="Arial"/>
                <w:szCs w:val="18"/>
                <w:lang w:val="en-GB"/>
              </w:rPr>
            </w:pPr>
            <w:r>
              <w:rPr>
                <w:rFonts w:cs="Arial"/>
                <w:szCs w:val="18"/>
                <w:lang w:val="en-GB"/>
              </w:rPr>
              <w:t>%</w:t>
            </w:r>
          </w:p>
        </w:tc>
        <w:tc>
          <w:tcPr>
            <w:tcW w:w="1023" w:type="dxa"/>
            <w:shd w:val="clear" w:color="auto" w:fill="FFFFFF"/>
          </w:tcPr>
          <w:p w14:paraId="63C42B83" w14:textId="636C1B2E" w:rsidR="00C81B1F" w:rsidRPr="00B57B36" w:rsidRDefault="007700C9" w:rsidP="00FF52E5">
            <w:pPr>
              <w:pStyle w:val="CETBodytext"/>
              <w:ind w:right="-1"/>
              <w:jc w:val="center"/>
              <w:rPr>
                <w:rFonts w:cs="Arial"/>
                <w:szCs w:val="18"/>
                <w:lang w:val="en-GB"/>
              </w:rPr>
            </w:pPr>
            <w:r>
              <w:rPr>
                <w:rFonts w:cs="Arial"/>
                <w:szCs w:val="18"/>
                <w:lang w:val="en-GB"/>
              </w:rPr>
              <w:t>1.84</w:t>
            </w:r>
          </w:p>
        </w:tc>
      </w:tr>
      <w:tr w:rsidR="00C81B1F" w:rsidRPr="00B57B36" w14:paraId="5C488BEA" w14:textId="77777777" w:rsidTr="00225967">
        <w:tc>
          <w:tcPr>
            <w:tcW w:w="1967" w:type="dxa"/>
            <w:shd w:val="clear" w:color="auto" w:fill="FFFFFF"/>
          </w:tcPr>
          <w:p w14:paraId="57325A4E" w14:textId="2E07006B" w:rsidR="00C81B1F" w:rsidRDefault="00CC1538" w:rsidP="00203387">
            <w:pPr>
              <w:pStyle w:val="CETBodytext"/>
              <w:ind w:right="-1"/>
              <w:jc w:val="left"/>
              <w:rPr>
                <w:rFonts w:cs="Arial"/>
                <w:szCs w:val="18"/>
                <w:lang w:val="en-GB"/>
              </w:rPr>
            </w:pPr>
            <w:r w:rsidRPr="00CC1538">
              <w:rPr>
                <w:rFonts w:cs="Arial"/>
                <w:szCs w:val="18"/>
                <w:lang w:val="en-GB"/>
              </w:rPr>
              <w:t>moisture</w:t>
            </w:r>
          </w:p>
        </w:tc>
        <w:tc>
          <w:tcPr>
            <w:tcW w:w="1049" w:type="dxa"/>
            <w:shd w:val="clear" w:color="auto" w:fill="FFFFFF"/>
          </w:tcPr>
          <w:p w14:paraId="41BF5880" w14:textId="135BE64D" w:rsidR="00C81B1F" w:rsidRPr="00B57B36" w:rsidRDefault="00C81B1F" w:rsidP="007700C9">
            <w:pPr>
              <w:pStyle w:val="CETBodytext"/>
              <w:ind w:right="-1"/>
              <w:jc w:val="center"/>
              <w:rPr>
                <w:rFonts w:cs="Arial"/>
                <w:szCs w:val="18"/>
                <w:lang w:val="en-GB"/>
              </w:rPr>
            </w:pPr>
            <w:r>
              <w:rPr>
                <w:rFonts w:cs="Arial"/>
                <w:szCs w:val="18"/>
                <w:lang w:val="en-GB"/>
              </w:rPr>
              <w:t>%</w:t>
            </w:r>
          </w:p>
        </w:tc>
        <w:tc>
          <w:tcPr>
            <w:tcW w:w="1023" w:type="dxa"/>
            <w:shd w:val="clear" w:color="auto" w:fill="FFFFFF"/>
          </w:tcPr>
          <w:p w14:paraId="64B2EB22" w14:textId="3C620F1B" w:rsidR="00C81B1F" w:rsidRPr="00B57B36" w:rsidRDefault="00FF52E5" w:rsidP="00FF52E5">
            <w:pPr>
              <w:pStyle w:val="CETBodytext"/>
              <w:ind w:right="-1"/>
              <w:jc w:val="center"/>
              <w:rPr>
                <w:rFonts w:cs="Arial"/>
                <w:szCs w:val="18"/>
                <w:lang w:val="en-GB"/>
              </w:rPr>
            </w:pPr>
            <w:r>
              <w:rPr>
                <w:rFonts w:cs="Arial"/>
                <w:szCs w:val="18"/>
                <w:lang w:val="en-GB"/>
              </w:rPr>
              <w:t>13.64</w:t>
            </w:r>
          </w:p>
        </w:tc>
      </w:tr>
      <w:tr w:rsidR="007700C9" w:rsidRPr="00B57B36" w14:paraId="27680551" w14:textId="77777777" w:rsidTr="00225967">
        <w:tc>
          <w:tcPr>
            <w:tcW w:w="1967" w:type="dxa"/>
            <w:vMerge w:val="restart"/>
            <w:shd w:val="clear" w:color="auto" w:fill="FFFFFF"/>
            <w:vAlign w:val="center"/>
          </w:tcPr>
          <w:p w14:paraId="770D304C" w14:textId="1E023205" w:rsidR="007700C9" w:rsidRDefault="007700C9" w:rsidP="00203387">
            <w:pPr>
              <w:pStyle w:val="CETBodytext"/>
              <w:ind w:right="-1"/>
              <w:jc w:val="left"/>
              <w:rPr>
                <w:rFonts w:cs="Arial"/>
                <w:szCs w:val="18"/>
                <w:lang w:val="en-GB"/>
              </w:rPr>
            </w:pPr>
            <w:r>
              <w:rPr>
                <w:rFonts w:cs="Arial"/>
                <w:szCs w:val="18"/>
                <w:lang w:val="en-GB"/>
              </w:rPr>
              <w:t>Texture</w:t>
            </w:r>
          </w:p>
        </w:tc>
        <w:tc>
          <w:tcPr>
            <w:tcW w:w="1049" w:type="dxa"/>
            <w:shd w:val="clear" w:color="auto" w:fill="FFFFFF"/>
          </w:tcPr>
          <w:p w14:paraId="5002CA25" w14:textId="31CCCF75" w:rsidR="007700C9" w:rsidRPr="00B57B36" w:rsidRDefault="007700C9" w:rsidP="007700C9">
            <w:pPr>
              <w:pStyle w:val="CETBodytext"/>
              <w:ind w:right="-1"/>
              <w:jc w:val="center"/>
              <w:rPr>
                <w:rFonts w:cs="Arial"/>
                <w:szCs w:val="18"/>
                <w:lang w:val="en-GB"/>
              </w:rPr>
            </w:pPr>
            <w:r>
              <w:rPr>
                <w:rFonts w:cs="Arial"/>
                <w:szCs w:val="18"/>
                <w:lang w:val="en-GB"/>
              </w:rPr>
              <w:t>% Sand</w:t>
            </w:r>
          </w:p>
        </w:tc>
        <w:tc>
          <w:tcPr>
            <w:tcW w:w="1023" w:type="dxa"/>
            <w:shd w:val="clear" w:color="auto" w:fill="FFFFFF"/>
          </w:tcPr>
          <w:p w14:paraId="1611D512" w14:textId="720FA1B2" w:rsidR="007700C9" w:rsidRPr="00B57B36" w:rsidRDefault="00FF52E5" w:rsidP="00FF52E5">
            <w:pPr>
              <w:pStyle w:val="CETBodytext"/>
              <w:ind w:right="-1"/>
              <w:jc w:val="center"/>
              <w:rPr>
                <w:rFonts w:cs="Arial"/>
                <w:szCs w:val="18"/>
                <w:lang w:val="en-GB"/>
              </w:rPr>
            </w:pPr>
            <w:r>
              <w:rPr>
                <w:rFonts w:cs="Arial"/>
                <w:szCs w:val="18"/>
                <w:lang w:val="en-GB"/>
              </w:rPr>
              <w:t>36</w:t>
            </w:r>
          </w:p>
        </w:tc>
      </w:tr>
      <w:tr w:rsidR="007700C9" w:rsidRPr="00B57B36" w14:paraId="4E0DC7E2" w14:textId="77777777" w:rsidTr="00225967">
        <w:tc>
          <w:tcPr>
            <w:tcW w:w="1967" w:type="dxa"/>
            <w:vMerge/>
            <w:shd w:val="clear" w:color="auto" w:fill="FFFFFF"/>
          </w:tcPr>
          <w:p w14:paraId="5FBDDC9D" w14:textId="77777777" w:rsidR="007700C9" w:rsidRDefault="007700C9" w:rsidP="00203387">
            <w:pPr>
              <w:pStyle w:val="CETBodytext"/>
              <w:ind w:right="-1"/>
              <w:jc w:val="left"/>
              <w:rPr>
                <w:rFonts w:cs="Arial"/>
                <w:szCs w:val="18"/>
                <w:lang w:val="en-GB"/>
              </w:rPr>
            </w:pPr>
          </w:p>
        </w:tc>
        <w:tc>
          <w:tcPr>
            <w:tcW w:w="1049" w:type="dxa"/>
            <w:shd w:val="clear" w:color="auto" w:fill="FFFFFF"/>
          </w:tcPr>
          <w:p w14:paraId="11C54C21" w14:textId="193F88D5" w:rsidR="007700C9" w:rsidRDefault="007700C9" w:rsidP="007700C9">
            <w:pPr>
              <w:pStyle w:val="CETBodytext"/>
              <w:ind w:right="-1"/>
              <w:jc w:val="center"/>
              <w:rPr>
                <w:rFonts w:cs="Arial"/>
                <w:szCs w:val="18"/>
                <w:lang w:val="en-GB"/>
              </w:rPr>
            </w:pPr>
            <w:r>
              <w:rPr>
                <w:rFonts w:cs="Arial"/>
                <w:szCs w:val="18"/>
                <w:lang w:val="en-GB"/>
              </w:rPr>
              <w:t>% Silt</w:t>
            </w:r>
          </w:p>
        </w:tc>
        <w:tc>
          <w:tcPr>
            <w:tcW w:w="1023" w:type="dxa"/>
            <w:shd w:val="clear" w:color="auto" w:fill="FFFFFF"/>
          </w:tcPr>
          <w:p w14:paraId="59064057" w14:textId="13E8B3E6" w:rsidR="007700C9" w:rsidRPr="00B57B36" w:rsidRDefault="00FF52E5" w:rsidP="00FF52E5">
            <w:pPr>
              <w:pStyle w:val="CETBodytext"/>
              <w:ind w:right="-1"/>
              <w:jc w:val="center"/>
              <w:rPr>
                <w:rFonts w:cs="Arial"/>
                <w:szCs w:val="18"/>
                <w:lang w:val="en-GB"/>
              </w:rPr>
            </w:pPr>
            <w:r>
              <w:rPr>
                <w:rFonts w:cs="Arial"/>
                <w:szCs w:val="18"/>
                <w:lang w:val="en-GB"/>
              </w:rPr>
              <w:t>3. 4</w:t>
            </w:r>
          </w:p>
        </w:tc>
      </w:tr>
      <w:tr w:rsidR="007700C9" w:rsidRPr="00B57B36" w14:paraId="01CEB381" w14:textId="77777777" w:rsidTr="00225967">
        <w:tc>
          <w:tcPr>
            <w:tcW w:w="1967" w:type="dxa"/>
            <w:vMerge/>
            <w:shd w:val="clear" w:color="auto" w:fill="FFFFFF"/>
          </w:tcPr>
          <w:p w14:paraId="05C3B575" w14:textId="77777777" w:rsidR="007700C9" w:rsidRDefault="007700C9" w:rsidP="00203387">
            <w:pPr>
              <w:pStyle w:val="CETBodytext"/>
              <w:ind w:right="-1"/>
              <w:jc w:val="left"/>
              <w:rPr>
                <w:rFonts w:cs="Arial"/>
                <w:szCs w:val="18"/>
                <w:lang w:val="en-GB"/>
              </w:rPr>
            </w:pPr>
          </w:p>
        </w:tc>
        <w:tc>
          <w:tcPr>
            <w:tcW w:w="1049" w:type="dxa"/>
            <w:shd w:val="clear" w:color="auto" w:fill="FFFFFF"/>
          </w:tcPr>
          <w:p w14:paraId="4014EA19" w14:textId="3571183D" w:rsidR="007700C9" w:rsidRDefault="007700C9" w:rsidP="007700C9">
            <w:pPr>
              <w:pStyle w:val="CETBodytext"/>
              <w:ind w:right="-1"/>
              <w:jc w:val="center"/>
              <w:rPr>
                <w:rFonts w:cs="Arial"/>
                <w:szCs w:val="18"/>
                <w:lang w:val="en-GB"/>
              </w:rPr>
            </w:pPr>
            <w:r>
              <w:rPr>
                <w:rFonts w:cs="Arial"/>
                <w:szCs w:val="18"/>
                <w:lang w:val="en-GB"/>
              </w:rPr>
              <w:t>% Clay</w:t>
            </w:r>
          </w:p>
        </w:tc>
        <w:tc>
          <w:tcPr>
            <w:tcW w:w="1023" w:type="dxa"/>
            <w:shd w:val="clear" w:color="auto" w:fill="FFFFFF"/>
          </w:tcPr>
          <w:p w14:paraId="7D659B71" w14:textId="76151296" w:rsidR="007700C9" w:rsidRPr="00B57B36" w:rsidRDefault="00FF52E5" w:rsidP="00FF52E5">
            <w:pPr>
              <w:pStyle w:val="CETBodytext"/>
              <w:ind w:right="-1"/>
              <w:jc w:val="center"/>
              <w:rPr>
                <w:rFonts w:cs="Arial"/>
                <w:szCs w:val="18"/>
                <w:lang w:val="en-GB"/>
              </w:rPr>
            </w:pPr>
            <w:r>
              <w:rPr>
                <w:rFonts w:cs="Arial"/>
                <w:szCs w:val="18"/>
                <w:lang w:val="en-GB"/>
              </w:rPr>
              <w:t>30</w:t>
            </w:r>
          </w:p>
        </w:tc>
      </w:tr>
      <w:tr w:rsidR="00654C10" w:rsidRPr="00B57B36" w14:paraId="4FEE29EC" w14:textId="77777777" w:rsidTr="00225967">
        <w:tc>
          <w:tcPr>
            <w:tcW w:w="1967" w:type="dxa"/>
            <w:shd w:val="clear" w:color="auto" w:fill="FFFFFF"/>
          </w:tcPr>
          <w:p w14:paraId="686FC6B8" w14:textId="3D7E4AF6" w:rsidR="00654C10" w:rsidRDefault="00AF534E" w:rsidP="00203387">
            <w:pPr>
              <w:pStyle w:val="CETBodytext"/>
              <w:ind w:right="-1"/>
              <w:jc w:val="left"/>
              <w:rPr>
                <w:rFonts w:cs="Arial"/>
                <w:szCs w:val="18"/>
                <w:lang w:val="en-GB"/>
              </w:rPr>
            </w:pPr>
            <w:r>
              <w:rPr>
                <w:rFonts w:cs="Arial"/>
                <w:szCs w:val="18"/>
                <w:lang w:val="en-GB"/>
              </w:rPr>
              <w:t>Actinomycetes</w:t>
            </w:r>
          </w:p>
        </w:tc>
        <w:tc>
          <w:tcPr>
            <w:tcW w:w="1049" w:type="dxa"/>
            <w:shd w:val="clear" w:color="auto" w:fill="FFFFFF"/>
          </w:tcPr>
          <w:p w14:paraId="232767F2" w14:textId="001847AC" w:rsidR="00654C10" w:rsidRDefault="00F34D5A" w:rsidP="007700C9">
            <w:pPr>
              <w:pStyle w:val="CETBodytext"/>
              <w:ind w:right="-1"/>
              <w:jc w:val="center"/>
              <w:rPr>
                <w:rFonts w:cs="Arial"/>
                <w:szCs w:val="18"/>
                <w:lang w:val="en-GB"/>
              </w:rPr>
            </w:pPr>
            <w:r>
              <w:rPr>
                <w:rFonts w:cs="Arial"/>
                <w:szCs w:val="18"/>
                <w:lang w:val="en-GB"/>
              </w:rPr>
              <w:t>UFC</w:t>
            </w:r>
          </w:p>
        </w:tc>
        <w:tc>
          <w:tcPr>
            <w:tcW w:w="1023" w:type="dxa"/>
            <w:shd w:val="clear" w:color="auto" w:fill="FFFFFF"/>
          </w:tcPr>
          <w:p w14:paraId="39CB865B" w14:textId="32667808" w:rsidR="00654C10" w:rsidRDefault="00F34D5A" w:rsidP="00FF52E5">
            <w:pPr>
              <w:pStyle w:val="CETBodytext"/>
              <w:ind w:right="-1"/>
              <w:jc w:val="center"/>
              <w:rPr>
                <w:rFonts w:cs="Arial"/>
                <w:szCs w:val="18"/>
                <w:lang w:val="en-GB"/>
              </w:rPr>
            </w:pPr>
            <w:r>
              <w:rPr>
                <w:rFonts w:cs="Arial"/>
                <w:szCs w:val="18"/>
                <w:lang w:val="en-GB"/>
              </w:rPr>
              <w:t>1 x 10</w:t>
            </w:r>
            <w:r w:rsidRPr="00F34D5A">
              <w:rPr>
                <w:rFonts w:cs="Arial"/>
                <w:szCs w:val="18"/>
                <w:vertAlign w:val="superscript"/>
                <w:lang w:val="en-GB"/>
              </w:rPr>
              <w:t>4</w:t>
            </w:r>
          </w:p>
        </w:tc>
      </w:tr>
    </w:tbl>
    <w:p w14:paraId="3544DE5D" w14:textId="6F550FE8" w:rsidR="00225967" w:rsidRPr="00AC3971" w:rsidRDefault="00225967" w:rsidP="00225967">
      <w:pPr>
        <w:pStyle w:val="CETTabletitle"/>
        <w:rPr>
          <w:lang w:val="en-US"/>
        </w:rPr>
      </w:pPr>
      <w:r w:rsidRPr="00AC3971">
        <w:rPr>
          <w:lang w:val="en-US"/>
        </w:rPr>
        <w:t>Table 2: Initial physicochemical and microbiological characteristics of the biosolid.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67"/>
        <w:gridCol w:w="1049"/>
        <w:gridCol w:w="1023"/>
      </w:tblGrid>
      <w:tr w:rsidR="00225967" w:rsidRPr="00B57B36" w14:paraId="04850BB8" w14:textId="77777777" w:rsidTr="00CA16D7">
        <w:tc>
          <w:tcPr>
            <w:tcW w:w="1967" w:type="dxa"/>
            <w:tcBorders>
              <w:top w:val="single" w:sz="12" w:space="0" w:color="008000"/>
              <w:bottom w:val="single" w:sz="6" w:space="0" w:color="008000"/>
            </w:tcBorders>
            <w:shd w:val="clear" w:color="auto" w:fill="FFFFFF"/>
          </w:tcPr>
          <w:p w14:paraId="2E136489" w14:textId="77777777" w:rsidR="00225967" w:rsidRPr="007700C9" w:rsidRDefault="00225967" w:rsidP="00A70B56">
            <w:pPr>
              <w:pStyle w:val="CETBodytext"/>
              <w:jc w:val="center"/>
              <w:rPr>
                <w:b/>
                <w:bCs/>
                <w:lang w:val="en-GB"/>
              </w:rPr>
            </w:pPr>
            <w:r w:rsidRPr="007700C9">
              <w:rPr>
                <w:b/>
                <w:bCs/>
                <w:lang w:val="en-GB"/>
              </w:rPr>
              <w:t>Parameter</w:t>
            </w:r>
          </w:p>
        </w:tc>
        <w:tc>
          <w:tcPr>
            <w:tcW w:w="1049" w:type="dxa"/>
            <w:tcBorders>
              <w:top w:val="single" w:sz="12" w:space="0" w:color="008000"/>
              <w:bottom w:val="single" w:sz="6" w:space="0" w:color="008000"/>
            </w:tcBorders>
            <w:shd w:val="clear" w:color="auto" w:fill="FFFFFF"/>
          </w:tcPr>
          <w:p w14:paraId="3904B1F0" w14:textId="77777777" w:rsidR="00225967" w:rsidRPr="007700C9" w:rsidRDefault="00225967" w:rsidP="00A70B56">
            <w:pPr>
              <w:pStyle w:val="CETBodytext"/>
              <w:jc w:val="center"/>
              <w:rPr>
                <w:b/>
                <w:bCs/>
                <w:lang w:val="en-GB"/>
              </w:rPr>
            </w:pPr>
            <w:r w:rsidRPr="007700C9">
              <w:rPr>
                <w:b/>
                <w:bCs/>
                <w:lang w:val="en-GB"/>
              </w:rPr>
              <w:t>Unit</w:t>
            </w:r>
          </w:p>
        </w:tc>
        <w:tc>
          <w:tcPr>
            <w:tcW w:w="1023" w:type="dxa"/>
            <w:tcBorders>
              <w:top w:val="single" w:sz="12" w:space="0" w:color="008000"/>
              <w:bottom w:val="single" w:sz="6" w:space="0" w:color="008000"/>
            </w:tcBorders>
            <w:shd w:val="clear" w:color="auto" w:fill="FFFFFF"/>
          </w:tcPr>
          <w:p w14:paraId="042B19AF" w14:textId="1FE60849" w:rsidR="00225967" w:rsidRPr="007700C9" w:rsidRDefault="005E23E9" w:rsidP="00A70B56">
            <w:pPr>
              <w:pStyle w:val="CETBodytext"/>
              <w:jc w:val="center"/>
              <w:rPr>
                <w:b/>
                <w:bCs/>
                <w:lang w:val="en-GB"/>
              </w:rPr>
            </w:pPr>
            <w:r>
              <w:rPr>
                <w:b/>
                <w:bCs/>
                <w:lang w:val="en-GB"/>
              </w:rPr>
              <w:t>value</w:t>
            </w:r>
          </w:p>
        </w:tc>
      </w:tr>
      <w:tr w:rsidR="00225967" w:rsidRPr="00B57B36" w14:paraId="2BF07CBB" w14:textId="77777777" w:rsidTr="00CA16D7">
        <w:tc>
          <w:tcPr>
            <w:tcW w:w="1967" w:type="dxa"/>
            <w:shd w:val="clear" w:color="auto" w:fill="FFFFFF"/>
          </w:tcPr>
          <w:p w14:paraId="7F1F4DB5" w14:textId="77777777" w:rsidR="00225967" w:rsidRPr="00B57B36" w:rsidRDefault="00225967" w:rsidP="00203387">
            <w:pPr>
              <w:pStyle w:val="CETBodytext"/>
              <w:jc w:val="left"/>
              <w:rPr>
                <w:lang w:val="en-GB"/>
              </w:rPr>
            </w:pPr>
            <w:r>
              <w:rPr>
                <w:lang w:val="en-GB"/>
              </w:rPr>
              <w:t>Conductivity electric</w:t>
            </w:r>
          </w:p>
        </w:tc>
        <w:tc>
          <w:tcPr>
            <w:tcW w:w="1049" w:type="dxa"/>
            <w:shd w:val="clear" w:color="auto" w:fill="FFFFFF"/>
          </w:tcPr>
          <w:p w14:paraId="6EF51DF9" w14:textId="77777777" w:rsidR="00225967" w:rsidRPr="00B57B36" w:rsidRDefault="00225967" w:rsidP="00A70B56">
            <w:pPr>
              <w:pStyle w:val="CETBodytext"/>
              <w:jc w:val="center"/>
              <w:rPr>
                <w:lang w:val="en-GB"/>
              </w:rPr>
            </w:pPr>
            <w:proofErr w:type="spellStart"/>
            <w:r>
              <w:rPr>
                <w:lang w:val="en-GB"/>
              </w:rPr>
              <w:t>dS</w:t>
            </w:r>
            <w:proofErr w:type="spellEnd"/>
            <w:r>
              <w:rPr>
                <w:lang w:val="en-GB"/>
              </w:rPr>
              <w:t xml:space="preserve"> /m</w:t>
            </w:r>
          </w:p>
        </w:tc>
        <w:tc>
          <w:tcPr>
            <w:tcW w:w="1023" w:type="dxa"/>
            <w:shd w:val="clear" w:color="auto" w:fill="FFFFFF"/>
          </w:tcPr>
          <w:p w14:paraId="4C8BD829" w14:textId="6DA6C91A" w:rsidR="00225967" w:rsidRPr="00B57B36" w:rsidRDefault="0079004A" w:rsidP="00A70B56">
            <w:pPr>
              <w:pStyle w:val="CETBodytext"/>
              <w:jc w:val="center"/>
              <w:rPr>
                <w:lang w:val="en-GB"/>
              </w:rPr>
            </w:pPr>
            <w:r>
              <w:rPr>
                <w:lang w:val="en-GB"/>
              </w:rPr>
              <w:t>21.60</w:t>
            </w:r>
          </w:p>
        </w:tc>
      </w:tr>
      <w:tr w:rsidR="00225967" w:rsidRPr="00B57B36" w14:paraId="272E2FB4" w14:textId="77777777" w:rsidTr="00CA16D7">
        <w:tc>
          <w:tcPr>
            <w:tcW w:w="1967" w:type="dxa"/>
            <w:shd w:val="clear" w:color="auto" w:fill="FFFFFF"/>
          </w:tcPr>
          <w:p w14:paraId="43EDD19F" w14:textId="77777777" w:rsidR="00225967" w:rsidRPr="00B57B36" w:rsidRDefault="00225967" w:rsidP="00203387">
            <w:pPr>
              <w:pStyle w:val="CETBodytext"/>
              <w:ind w:right="-1"/>
              <w:jc w:val="left"/>
              <w:rPr>
                <w:rFonts w:cs="Arial"/>
                <w:szCs w:val="18"/>
                <w:lang w:val="en-GB"/>
              </w:rPr>
            </w:pPr>
            <w:r>
              <w:rPr>
                <w:rFonts w:cs="Arial"/>
                <w:szCs w:val="18"/>
                <w:lang w:val="en-GB"/>
              </w:rPr>
              <w:t>pH</w:t>
            </w:r>
          </w:p>
        </w:tc>
        <w:tc>
          <w:tcPr>
            <w:tcW w:w="1049" w:type="dxa"/>
            <w:shd w:val="clear" w:color="auto" w:fill="FFFFFF"/>
          </w:tcPr>
          <w:p w14:paraId="158FA9BD" w14:textId="77777777" w:rsidR="00225967" w:rsidRPr="00B57B36" w:rsidRDefault="00225967" w:rsidP="00A70B56">
            <w:pPr>
              <w:pStyle w:val="CETBodytext"/>
              <w:ind w:right="-1"/>
              <w:jc w:val="center"/>
              <w:rPr>
                <w:rFonts w:cs="Arial"/>
                <w:szCs w:val="18"/>
                <w:lang w:val="en-GB"/>
              </w:rPr>
            </w:pPr>
            <w:r>
              <w:rPr>
                <w:rFonts w:cs="Arial"/>
                <w:szCs w:val="18"/>
                <w:lang w:val="en-GB"/>
              </w:rPr>
              <w:t>1-14</w:t>
            </w:r>
          </w:p>
        </w:tc>
        <w:tc>
          <w:tcPr>
            <w:tcW w:w="1023" w:type="dxa"/>
            <w:shd w:val="clear" w:color="auto" w:fill="FFFFFF"/>
          </w:tcPr>
          <w:p w14:paraId="436F7D7E" w14:textId="28E0660F" w:rsidR="00225967" w:rsidRPr="00B57B36" w:rsidRDefault="0079004A" w:rsidP="00A70B56">
            <w:pPr>
              <w:pStyle w:val="CETBodytext"/>
              <w:ind w:right="-1"/>
              <w:jc w:val="center"/>
              <w:rPr>
                <w:rFonts w:cs="Arial"/>
                <w:szCs w:val="18"/>
                <w:lang w:val="en-GB"/>
              </w:rPr>
            </w:pPr>
            <w:r>
              <w:rPr>
                <w:rFonts w:cs="Arial"/>
                <w:szCs w:val="18"/>
                <w:lang w:val="en-GB"/>
              </w:rPr>
              <w:t>5.23</w:t>
            </w:r>
          </w:p>
        </w:tc>
      </w:tr>
      <w:tr w:rsidR="00225967" w:rsidRPr="00B57B36" w14:paraId="1CD7E07D" w14:textId="77777777" w:rsidTr="00CA16D7">
        <w:tc>
          <w:tcPr>
            <w:tcW w:w="1967" w:type="dxa"/>
            <w:shd w:val="clear" w:color="auto" w:fill="FFFFFF"/>
          </w:tcPr>
          <w:p w14:paraId="31E8D991" w14:textId="10BD018D" w:rsidR="00225967" w:rsidRDefault="00CC1538" w:rsidP="00203387">
            <w:pPr>
              <w:pStyle w:val="CETBodytext"/>
              <w:ind w:right="-1"/>
              <w:jc w:val="left"/>
              <w:rPr>
                <w:rFonts w:cs="Arial"/>
                <w:szCs w:val="18"/>
                <w:lang w:val="en-GB"/>
              </w:rPr>
            </w:pPr>
            <w:r w:rsidRPr="00CC1538">
              <w:rPr>
                <w:rFonts w:cs="Arial"/>
                <w:szCs w:val="18"/>
                <w:lang w:val="en-GB"/>
              </w:rPr>
              <w:t>organic matter</w:t>
            </w:r>
          </w:p>
        </w:tc>
        <w:tc>
          <w:tcPr>
            <w:tcW w:w="1049" w:type="dxa"/>
            <w:shd w:val="clear" w:color="auto" w:fill="FFFFFF"/>
          </w:tcPr>
          <w:p w14:paraId="4CEF6CF6" w14:textId="77777777" w:rsidR="00225967" w:rsidRPr="00B57B36" w:rsidRDefault="00225967" w:rsidP="00A70B56">
            <w:pPr>
              <w:pStyle w:val="CETBodytext"/>
              <w:ind w:right="-1"/>
              <w:jc w:val="center"/>
              <w:rPr>
                <w:rFonts w:cs="Arial"/>
                <w:szCs w:val="18"/>
                <w:lang w:val="en-GB"/>
              </w:rPr>
            </w:pPr>
            <w:r>
              <w:rPr>
                <w:rFonts w:cs="Arial"/>
                <w:szCs w:val="18"/>
                <w:lang w:val="en-GB"/>
              </w:rPr>
              <w:t>%</w:t>
            </w:r>
          </w:p>
        </w:tc>
        <w:tc>
          <w:tcPr>
            <w:tcW w:w="1023" w:type="dxa"/>
            <w:shd w:val="clear" w:color="auto" w:fill="FFFFFF"/>
          </w:tcPr>
          <w:p w14:paraId="1833F8AE" w14:textId="4541BEA0" w:rsidR="00225967" w:rsidRPr="00B57B36" w:rsidRDefault="0079004A" w:rsidP="00A70B56">
            <w:pPr>
              <w:pStyle w:val="CETBodytext"/>
              <w:ind w:right="-1"/>
              <w:jc w:val="center"/>
              <w:rPr>
                <w:rFonts w:cs="Arial"/>
                <w:szCs w:val="18"/>
                <w:lang w:val="en-GB"/>
              </w:rPr>
            </w:pPr>
            <w:r>
              <w:rPr>
                <w:rFonts w:cs="Arial"/>
                <w:szCs w:val="18"/>
                <w:lang w:val="en-GB"/>
              </w:rPr>
              <w:t>11.79</w:t>
            </w:r>
          </w:p>
        </w:tc>
      </w:tr>
      <w:tr w:rsidR="00225967" w:rsidRPr="00B57B36" w14:paraId="543E1D3E" w14:textId="77777777" w:rsidTr="00CA16D7">
        <w:tc>
          <w:tcPr>
            <w:tcW w:w="1967" w:type="dxa"/>
            <w:shd w:val="clear" w:color="auto" w:fill="FFFFFF"/>
          </w:tcPr>
          <w:p w14:paraId="20CBD482" w14:textId="4C8B5211" w:rsidR="00225967" w:rsidRDefault="00CC1538" w:rsidP="00203387">
            <w:pPr>
              <w:pStyle w:val="CETBodytext"/>
              <w:ind w:right="-1"/>
              <w:jc w:val="left"/>
              <w:rPr>
                <w:rFonts w:cs="Arial"/>
                <w:szCs w:val="18"/>
                <w:lang w:val="en-GB"/>
              </w:rPr>
            </w:pPr>
            <w:r w:rsidRPr="00CC1538">
              <w:rPr>
                <w:rFonts w:cs="Arial"/>
                <w:szCs w:val="18"/>
                <w:lang w:val="en-GB"/>
              </w:rPr>
              <w:t>moisture</w:t>
            </w:r>
          </w:p>
        </w:tc>
        <w:tc>
          <w:tcPr>
            <w:tcW w:w="1049" w:type="dxa"/>
            <w:shd w:val="clear" w:color="auto" w:fill="FFFFFF"/>
          </w:tcPr>
          <w:p w14:paraId="46A44270" w14:textId="77777777" w:rsidR="00225967" w:rsidRPr="00B57B36" w:rsidRDefault="00225967" w:rsidP="00A70B56">
            <w:pPr>
              <w:pStyle w:val="CETBodytext"/>
              <w:ind w:right="-1"/>
              <w:jc w:val="center"/>
              <w:rPr>
                <w:rFonts w:cs="Arial"/>
                <w:szCs w:val="18"/>
                <w:lang w:val="en-GB"/>
              </w:rPr>
            </w:pPr>
            <w:r>
              <w:rPr>
                <w:rFonts w:cs="Arial"/>
                <w:szCs w:val="18"/>
                <w:lang w:val="en-GB"/>
              </w:rPr>
              <w:t>%</w:t>
            </w:r>
          </w:p>
        </w:tc>
        <w:tc>
          <w:tcPr>
            <w:tcW w:w="1023" w:type="dxa"/>
            <w:shd w:val="clear" w:color="auto" w:fill="FFFFFF"/>
          </w:tcPr>
          <w:p w14:paraId="269599E8" w14:textId="5199FF32" w:rsidR="00225967" w:rsidRPr="00B57B36" w:rsidRDefault="0079004A" w:rsidP="00A70B56">
            <w:pPr>
              <w:pStyle w:val="CETBodytext"/>
              <w:ind w:right="-1"/>
              <w:jc w:val="center"/>
              <w:rPr>
                <w:rFonts w:cs="Arial"/>
                <w:szCs w:val="18"/>
                <w:lang w:val="en-GB"/>
              </w:rPr>
            </w:pPr>
            <w:r>
              <w:rPr>
                <w:rFonts w:cs="Arial"/>
                <w:szCs w:val="18"/>
                <w:lang w:val="en-GB"/>
              </w:rPr>
              <w:t>7.27</w:t>
            </w:r>
          </w:p>
        </w:tc>
      </w:tr>
      <w:tr w:rsidR="005451D0" w:rsidRPr="00B57B36" w14:paraId="41AEFFAE" w14:textId="77777777" w:rsidTr="00CA16D7">
        <w:tc>
          <w:tcPr>
            <w:tcW w:w="1967" w:type="dxa"/>
            <w:shd w:val="clear" w:color="auto" w:fill="FFFFFF"/>
          </w:tcPr>
          <w:p w14:paraId="247F6C87" w14:textId="2C1A01BA" w:rsidR="005451D0" w:rsidRDefault="005731CF" w:rsidP="00203387">
            <w:pPr>
              <w:pStyle w:val="CETBodytext"/>
              <w:ind w:right="-1"/>
              <w:jc w:val="left"/>
              <w:rPr>
                <w:rFonts w:cs="Arial"/>
                <w:szCs w:val="18"/>
                <w:lang w:val="en-GB"/>
              </w:rPr>
            </w:pPr>
            <w:r>
              <w:rPr>
                <w:rFonts w:cs="Arial"/>
                <w:szCs w:val="18"/>
                <w:lang w:val="en-GB"/>
              </w:rPr>
              <w:t xml:space="preserve">Coliforms </w:t>
            </w:r>
            <w:proofErr w:type="spellStart"/>
            <w:r>
              <w:rPr>
                <w:rFonts w:cs="Arial"/>
                <w:szCs w:val="18"/>
                <w:lang w:val="en-GB"/>
              </w:rPr>
              <w:t>fecal</w:t>
            </w:r>
            <w:proofErr w:type="spellEnd"/>
            <w:r>
              <w:rPr>
                <w:rFonts w:cs="Arial"/>
                <w:szCs w:val="18"/>
                <w:lang w:val="en-GB"/>
              </w:rPr>
              <w:t xml:space="preserve"> </w:t>
            </w:r>
          </w:p>
        </w:tc>
        <w:tc>
          <w:tcPr>
            <w:tcW w:w="1049" w:type="dxa"/>
            <w:shd w:val="clear" w:color="auto" w:fill="FFFFFF"/>
          </w:tcPr>
          <w:p w14:paraId="477335E8" w14:textId="69A7B753" w:rsidR="005451D0" w:rsidRDefault="009A199E" w:rsidP="00A70B56">
            <w:pPr>
              <w:pStyle w:val="CETBodytext"/>
              <w:ind w:right="-1"/>
              <w:jc w:val="center"/>
              <w:rPr>
                <w:rFonts w:cs="Arial"/>
                <w:szCs w:val="18"/>
                <w:lang w:val="en-GB"/>
              </w:rPr>
            </w:pPr>
            <w:r>
              <w:rPr>
                <w:rFonts w:cs="Arial"/>
                <w:szCs w:val="18"/>
                <w:lang w:val="en-GB"/>
              </w:rPr>
              <w:t>NMP/g</w:t>
            </w:r>
          </w:p>
        </w:tc>
        <w:tc>
          <w:tcPr>
            <w:tcW w:w="1023" w:type="dxa"/>
            <w:shd w:val="clear" w:color="auto" w:fill="FFFFFF"/>
          </w:tcPr>
          <w:p w14:paraId="29E7EE55" w14:textId="20179324" w:rsidR="005451D0" w:rsidRDefault="00DF6CA8" w:rsidP="00A70B56">
            <w:pPr>
              <w:pStyle w:val="CETBodytext"/>
              <w:ind w:right="-1"/>
              <w:jc w:val="center"/>
              <w:rPr>
                <w:rFonts w:cs="Arial"/>
                <w:szCs w:val="18"/>
                <w:lang w:val="en-GB"/>
              </w:rPr>
            </w:pPr>
            <w:r>
              <w:rPr>
                <w:rFonts w:cs="Arial"/>
                <w:szCs w:val="18"/>
                <w:lang w:val="en-GB"/>
              </w:rPr>
              <w:t>13x10</w:t>
            </w:r>
            <w:r w:rsidRPr="00DF6CA8">
              <w:rPr>
                <w:rFonts w:cs="Arial"/>
                <w:szCs w:val="18"/>
                <w:vertAlign w:val="superscript"/>
                <w:lang w:val="en-GB"/>
              </w:rPr>
              <w:t>12</w:t>
            </w:r>
          </w:p>
        </w:tc>
      </w:tr>
      <w:tr w:rsidR="005451D0" w:rsidRPr="00B57B36" w14:paraId="59F099DD" w14:textId="77777777" w:rsidTr="00CA16D7">
        <w:tc>
          <w:tcPr>
            <w:tcW w:w="1967" w:type="dxa"/>
            <w:shd w:val="clear" w:color="auto" w:fill="FFFFFF"/>
          </w:tcPr>
          <w:p w14:paraId="54AED6FE" w14:textId="40C764FC" w:rsidR="005451D0" w:rsidRDefault="005731CF" w:rsidP="00203387">
            <w:pPr>
              <w:pStyle w:val="CETBodytext"/>
              <w:ind w:right="-1"/>
              <w:jc w:val="left"/>
              <w:rPr>
                <w:rFonts w:cs="Arial"/>
                <w:szCs w:val="18"/>
                <w:lang w:val="en-GB"/>
              </w:rPr>
            </w:pPr>
            <w:r>
              <w:rPr>
                <w:rFonts w:cs="Arial"/>
                <w:szCs w:val="18"/>
                <w:lang w:val="en-GB"/>
              </w:rPr>
              <w:t>Coliforms totals</w:t>
            </w:r>
          </w:p>
        </w:tc>
        <w:tc>
          <w:tcPr>
            <w:tcW w:w="1049" w:type="dxa"/>
            <w:shd w:val="clear" w:color="auto" w:fill="FFFFFF"/>
          </w:tcPr>
          <w:p w14:paraId="527AACC2" w14:textId="095783FC" w:rsidR="005451D0" w:rsidRDefault="009A199E" w:rsidP="00A70B56">
            <w:pPr>
              <w:pStyle w:val="CETBodytext"/>
              <w:ind w:right="-1"/>
              <w:jc w:val="center"/>
              <w:rPr>
                <w:rFonts w:cs="Arial"/>
                <w:szCs w:val="18"/>
                <w:lang w:val="en-GB"/>
              </w:rPr>
            </w:pPr>
            <w:r>
              <w:rPr>
                <w:rFonts w:cs="Arial"/>
                <w:szCs w:val="18"/>
                <w:lang w:val="en-GB"/>
              </w:rPr>
              <w:t>NMP/g</w:t>
            </w:r>
          </w:p>
        </w:tc>
        <w:tc>
          <w:tcPr>
            <w:tcW w:w="1023" w:type="dxa"/>
            <w:shd w:val="clear" w:color="auto" w:fill="FFFFFF"/>
          </w:tcPr>
          <w:p w14:paraId="47426A30" w14:textId="43748373" w:rsidR="005451D0" w:rsidRDefault="00DF6CA8" w:rsidP="00A70B56">
            <w:pPr>
              <w:pStyle w:val="CETBodytext"/>
              <w:ind w:right="-1"/>
              <w:jc w:val="center"/>
              <w:rPr>
                <w:rFonts w:cs="Arial"/>
                <w:szCs w:val="18"/>
                <w:lang w:val="en-GB"/>
              </w:rPr>
            </w:pPr>
            <w:r>
              <w:rPr>
                <w:rFonts w:cs="Arial"/>
                <w:szCs w:val="18"/>
                <w:lang w:val="en-GB"/>
              </w:rPr>
              <w:t>15 x 10</w:t>
            </w:r>
            <w:r w:rsidRPr="00DF6CA8">
              <w:rPr>
                <w:rFonts w:cs="Arial"/>
                <w:szCs w:val="18"/>
                <w:vertAlign w:val="superscript"/>
                <w:lang w:val="en-GB"/>
              </w:rPr>
              <w:t>12</w:t>
            </w:r>
          </w:p>
        </w:tc>
      </w:tr>
    </w:tbl>
    <w:p w14:paraId="41359DE3" w14:textId="77777777" w:rsidR="00225967" w:rsidRDefault="00225967" w:rsidP="00D14D52">
      <w:pPr>
        <w:pStyle w:val="CETBodytext"/>
        <w:rPr>
          <w:lang w:val="es-PE"/>
        </w:rPr>
        <w:sectPr w:rsidR="00225967" w:rsidSect="00EC4532">
          <w:type w:val="continuous"/>
          <w:pgSz w:w="11906" w:h="16838" w:code="9"/>
          <w:pgMar w:top="1701" w:right="1418" w:bottom="1701" w:left="1701" w:header="1701" w:footer="0" w:gutter="0"/>
          <w:cols w:num="2" w:space="708"/>
          <w:formProt w:val="0"/>
          <w:titlePg/>
          <w:docGrid w:linePitch="360"/>
        </w:sectPr>
      </w:pPr>
    </w:p>
    <w:p w14:paraId="6F9D53AA" w14:textId="77777777" w:rsidR="004A262B" w:rsidRDefault="004A262B" w:rsidP="00D14D52">
      <w:pPr>
        <w:pStyle w:val="CETBodytext"/>
        <w:rPr>
          <w:lang w:val="es-PE"/>
        </w:rPr>
      </w:pPr>
    </w:p>
    <w:p w14:paraId="1134290B" w14:textId="1CE80F20" w:rsidR="00215073" w:rsidRDefault="00215073" w:rsidP="00D14D52">
      <w:pPr>
        <w:pStyle w:val="CETBodytext"/>
        <w:rPr>
          <w:lang w:val="en-US"/>
        </w:rPr>
      </w:pPr>
      <w:r w:rsidRPr="00215073">
        <w:rPr>
          <w:lang w:val="en-US"/>
        </w:rPr>
        <w:t xml:space="preserve">The initial results of contaminated soil parameters showed values of 1.65 </w:t>
      </w:r>
      <w:proofErr w:type="spellStart"/>
      <w:r w:rsidRPr="00215073">
        <w:rPr>
          <w:lang w:val="en-US"/>
        </w:rPr>
        <w:t>dS</w:t>
      </w:r>
      <w:proofErr w:type="spellEnd"/>
      <w:r w:rsidRPr="00215073">
        <w:rPr>
          <w:lang w:val="en-US"/>
        </w:rPr>
        <w:t>/m for electrical conductivity considered as a very slightly saline soil, pH was classified as slightly alkaline, moisture was low considering the soil texture which should be between 50 to 70% (Galindo et al., 2017), the texture turned out to be clay loam (USDA, 1999), the presence of organic matter allows evaluating the productivity and fertility of the soil and the value obtained was 1.84, it is considered as medium and beneficial for the soil (FAO, 2009). The Aldrin content was 3.01 mg/kg reported by analysis performed in a specialized and certified laboratory (Environmental Testing Laboratory).</w:t>
      </w:r>
    </w:p>
    <w:p w14:paraId="74BC389A" w14:textId="1AC10344" w:rsidR="00C64E30" w:rsidRPr="00AC3971" w:rsidRDefault="00215073" w:rsidP="00D14D52">
      <w:pPr>
        <w:pStyle w:val="CETBodytext"/>
        <w:rPr>
          <w:lang w:val="en-US"/>
        </w:rPr>
      </w:pPr>
      <w:r w:rsidRPr="00215073">
        <w:rPr>
          <w:lang w:val="en-US"/>
        </w:rPr>
        <w:t>In the case of biosolids, the results showed that they were very saline, strongly acidic, with a very high level of organic matter; the microbiological analysis was less than 1x103 and they were considered suitable for application in soils according to Peruvian regulations (&lt;1000 NMP), so they should be subjected to a pre-treatment for their use (this was not done in this research because its objective was mainly focused on the reduction of the agrochemical Aldrin). The moisture percentage for both samples was low (ICA, 1992).</w:t>
      </w:r>
      <w:r w:rsidR="00D40131">
        <w:rPr>
          <w:lang w:val="en-US"/>
        </w:rPr>
        <w:t xml:space="preserve"> </w:t>
      </w:r>
      <w:r w:rsidR="00D40131" w:rsidRPr="00D40131">
        <w:rPr>
          <w:lang w:val="en-US"/>
        </w:rPr>
        <w:t>This is justified because, as mentioned above, the biosolid was extracted from the water treatment plant and dried a long time before (22 months), for confinement</w:t>
      </w:r>
      <w:r w:rsidR="00F51388">
        <w:rPr>
          <w:lang w:val="en-US"/>
        </w:rPr>
        <w:t xml:space="preserve"> </w:t>
      </w:r>
      <w:r w:rsidR="00F51388" w:rsidRPr="00F51388">
        <w:rPr>
          <w:lang w:val="en-US"/>
        </w:rPr>
        <w:t>(the samples for the investigation were taken from there)</w:t>
      </w:r>
      <w:r w:rsidR="00F51388">
        <w:rPr>
          <w:lang w:val="en-US"/>
        </w:rPr>
        <w:t>.</w:t>
      </w:r>
    </w:p>
    <w:p w14:paraId="074D895C" w14:textId="7DE551A8" w:rsidR="005A294C" w:rsidRPr="00AC3971" w:rsidRDefault="00215073" w:rsidP="00DF23C8">
      <w:pPr>
        <w:pStyle w:val="CETheadingx"/>
        <w:rPr>
          <w:lang w:val="en-US"/>
        </w:rPr>
      </w:pPr>
      <w:r w:rsidRPr="00215073">
        <w:rPr>
          <w:lang w:val="en-US"/>
        </w:rPr>
        <w:t>Results of physicochemical and microbiological analyses after treatment with biosolids</w:t>
      </w:r>
      <w:r w:rsidR="005A294C" w:rsidRPr="00AC3971">
        <w:rPr>
          <w:lang w:val="en-US"/>
        </w:rPr>
        <w:t>.</w:t>
      </w:r>
    </w:p>
    <w:p w14:paraId="13C02048" w14:textId="6D67ADD0" w:rsidR="005A294C" w:rsidRPr="00AC3971" w:rsidRDefault="00215073" w:rsidP="005A294C">
      <w:pPr>
        <w:pStyle w:val="CETBodytext"/>
        <w:rPr>
          <w:lang w:val="en-US"/>
        </w:rPr>
      </w:pPr>
      <w:r w:rsidRPr="00215073">
        <w:rPr>
          <w:lang w:val="en-US"/>
        </w:rPr>
        <w:t>The results of the parameters evaluated after treatment with biosolids (T1, T2, T3) with 3 replicates (R1, R2, R3) are shown in Table 3, their averages for each parameter and the absolute error of the measurements are calculated</w:t>
      </w:r>
      <w:r w:rsidR="008C506F" w:rsidRPr="00AC3971">
        <w:rPr>
          <w:lang w:val="en-US"/>
        </w:rPr>
        <w:t>.</w:t>
      </w:r>
    </w:p>
    <w:p w14:paraId="10F0CEDE" w14:textId="4262CA08" w:rsidR="00B54CB1" w:rsidRDefault="00B54CB1" w:rsidP="00B54CB1">
      <w:pPr>
        <w:pStyle w:val="CETTabletitle"/>
        <w:rPr>
          <w:lang w:val="en-US"/>
        </w:rPr>
      </w:pPr>
      <w:r w:rsidRPr="00AC3971">
        <w:rPr>
          <w:lang w:val="en-US"/>
        </w:rPr>
        <w:t xml:space="preserve">Table 3: Physicochemical </w:t>
      </w:r>
      <w:r w:rsidR="006975E3">
        <w:rPr>
          <w:lang w:val="en-US"/>
        </w:rPr>
        <w:t xml:space="preserve">and microbial </w:t>
      </w:r>
      <w:r w:rsidR="00644214">
        <w:rPr>
          <w:lang w:val="en-US"/>
        </w:rPr>
        <w:t>c</w:t>
      </w:r>
      <w:r w:rsidRPr="00AC3971">
        <w:rPr>
          <w:lang w:val="en-US"/>
        </w:rPr>
        <w:t>haracteristics after treatment.</w:t>
      </w:r>
    </w:p>
    <w:tbl>
      <w:tblPr>
        <w:tblW w:w="8610" w:type="dxa"/>
        <w:tblBorders>
          <w:top w:val="single" w:sz="12" w:space="0" w:color="00B050"/>
          <w:bottom w:val="single" w:sz="12" w:space="0" w:color="00B050"/>
        </w:tblBorders>
        <w:tblCellMar>
          <w:left w:w="70" w:type="dxa"/>
          <w:right w:w="70" w:type="dxa"/>
        </w:tblCellMar>
        <w:tblLook w:val="04A0" w:firstRow="1" w:lastRow="0" w:firstColumn="1" w:lastColumn="0" w:noHBand="0" w:noVBand="1"/>
      </w:tblPr>
      <w:tblGrid>
        <w:gridCol w:w="1631"/>
        <w:gridCol w:w="1630"/>
        <w:gridCol w:w="850"/>
        <w:gridCol w:w="851"/>
        <w:gridCol w:w="850"/>
        <w:gridCol w:w="1134"/>
        <w:gridCol w:w="1664"/>
      </w:tblGrid>
      <w:tr w:rsidR="00A13FE1" w:rsidRPr="000E4F22" w14:paraId="041FEAF3" w14:textId="77777777" w:rsidTr="006975E3">
        <w:trPr>
          <w:trHeight w:val="321"/>
        </w:trPr>
        <w:tc>
          <w:tcPr>
            <w:tcW w:w="1631" w:type="dxa"/>
            <w:tcBorders>
              <w:top w:val="single" w:sz="12" w:space="0" w:color="009644"/>
              <w:bottom w:val="single" w:sz="4" w:space="0" w:color="009644"/>
            </w:tcBorders>
            <w:shd w:val="clear" w:color="auto" w:fill="auto"/>
            <w:noWrap/>
            <w:vAlign w:val="center"/>
            <w:hideMark/>
          </w:tcPr>
          <w:p w14:paraId="54A04DC3" w14:textId="5AFDE381"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Treatment</w:t>
            </w:r>
          </w:p>
        </w:tc>
        <w:tc>
          <w:tcPr>
            <w:tcW w:w="1630" w:type="dxa"/>
            <w:tcBorders>
              <w:top w:val="single" w:sz="12" w:space="0" w:color="009644"/>
              <w:bottom w:val="single" w:sz="4" w:space="0" w:color="009644"/>
            </w:tcBorders>
            <w:shd w:val="clear" w:color="auto" w:fill="auto"/>
            <w:noWrap/>
            <w:vAlign w:val="center"/>
            <w:hideMark/>
          </w:tcPr>
          <w:p w14:paraId="24D40ADB"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Parameter</w:t>
            </w:r>
          </w:p>
        </w:tc>
        <w:tc>
          <w:tcPr>
            <w:tcW w:w="850" w:type="dxa"/>
            <w:tcBorders>
              <w:top w:val="single" w:sz="12" w:space="0" w:color="009644"/>
              <w:bottom w:val="single" w:sz="4" w:space="0" w:color="009644"/>
            </w:tcBorders>
            <w:shd w:val="clear" w:color="auto" w:fill="auto"/>
            <w:vAlign w:val="center"/>
            <w:hideMark/>
          </w:tcPr>
          <w:p w14:paraId="75B1454D"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szCs w:val="18"/>
                <w:lang w:val="en-US" w:eastAsia="es-PE"/>
              </w:rPr>
              <w:t>R1</w:t>
            </w:r>
          </w:p>
        </w:tc>
        <w:tc>
          <w:tcPr>
            <w:tcW w:w="851" w:type="dxa"/>
            <w:tcBorders>
              <w:top w:val="single" w:sz="12" w:space="0" w:color="009644"/>
              <w:bottom w:val="single" w:sz="4" w:space="0" w:color="009644"/>
            </w:tcBorders>
            <w:shd w:val="clear" w:color="auto" w:fill="auto"/>
            <w:vAlign w:val="center"/>
            <w:hideMark/>
          </w:tcPr>
          <w:p w14:paraId="2CBCA1B2"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szCs w:val="18"/>
                <w:lang w:val="en-US" w:eastAsia="es-PE"/>
              </w:rPr>
              <w:t>R2</w:t>
            </w:r>
          </w:p>
        </w:tc>
        <w:tc>
          <w:tcPr>
            <w:tcW w:w="850" w:type="dxa"/>
            <w:tcBorders>
              <w:top w:val="single" w:sz="12" w:space="0" w:color="009644"/>
              <w:bottom w:val="single" w:sz="4" w:space="0" w:color="009644"/>
            </w:tcBorders>
            <w:shd w:val="clear" w:color="auto" w:fill="auto"/>
            <w:vAlign w:val="center"/>
            <w:hideMark/>
          </w:tcPr>
          <w:p w14:paraId="5B93F3EB"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szCs w:val="18"/>
                <w:lang w:val="en-US" w:eastAsia="es-PE"/>
              </w:rPr>
              <w:t>R3</w:t>
            </w:r>
          </w:p>
        </w:tc>
        <w:tc>
          <w:tcPr>
            <w:tcW w:w="1134" w:type="dxa"/>
            <w:tcBorders>
              <w:top w:val="single" w:sz="12" w:space="0" w:color="009644"/>
              <w:bottom w:val="single" w:sz="4" w:space="0" w:color="009644"/>
            </w:tcBorders>
            <w:shd w:val="clear" w:color="auto" w:fill="auto"/>
            <w:vAlign w:val="center"/>
            <w:hideMark/>
          </w:tcPr>
          <w:p w14:paraId="5601586F"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Average</w:t>
            </w:r>
          </w:p>
        </w:tc>
        <w:tc>
          <w:tcPr>
            <w:tcW w:w="1664" w:type="dxa"/>
            <w:tcBorders>
              <w:top w:val="single" w:sz="12" w:space="0" w:color="009644"/>
              <w:bottom w:val="single" w:sz="4" w:space="0" w:color="009644"/>
            </w:tcBorders>
            <w:shd w:val="clear" w:color="auto" w:fill="auto"/>
            <w:vAlign w:val="center"/>
            <w:hideMark/>
          </w:tcPr>
          <w:p w14:paraId="0CAA80E8"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Absolut mistake</w:t>
            </w:r>
          </w:p>
        </w:tc>
      </w:tr>
      <w:tr w:rsidR="00A13FE1" w:rsidRPr="000E4F22" w14:paraId="47DF0FC4" w14:textId="77777777" w:rsidTr="006975E3">
        <w:trPr>
          <w:trHeight w:val="199"/>
        </w:trPr>
        <w:tc>
          <w:tcPr>
            <w:tcW w:w="1631" w:type="dxa"/>
            <w:vMerge w:val="restart"/>
            <w:tcBorders>
              <w:top w:val="single" w:sz="4" w:space="0" w:color="009644"/>
            </w:tcBorders>
            <w:shd w:val="clear" w:color="auto" w:fill="auto"/>
            <w:noWrap/>
            <w:vAlign w:val="center"/>
            <w:hideMark/>
          </w:tcPr>
          <w:p w14:paraId="57851543" w14:textId="77777777" w:rsidR="00A13FE1" w:rsidRPr="00A13FE1" w:rsidRDefault="00A13FE1" w:rsidP="007835DD">
            <w:pPr>
              <w:tabs>
                <w:tab w:val="clear" w:pos="7100"/>
              </w:tabs>
              <w:spacing w:line="240" w:lineRule="auto"/>
              <w:jc w:val="center"/>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T1</w:t>
            </w:r>
          </w:p>
        </w:tc>
        <w:tc>
          <w:tcPr>
            <w:tcW w:w="1630" w:type="dxa"/>
            <w:tcBorders>
              <w:top w:val="single" w:sz="4" w:space="0" w:color="009644"/>
            </w:tcBorders>
            <w:shd w:val="clear" w:color="auto" w:fill="auto"/>
            <w:vAlign w:val="center"/>
            <w:hideMark/>
          </w:tcPr>
          <w:p w14:paraId="278D92E4" w14:textId="77777777" w:rsidR="00A13FE1" w:rsidRPr="00A13FE1" w:rsidRDefault="00A13FE1" w:rsidP="007835DD">
            <w:pPr>
              <w:tabs>
                <w:tab w:val="clear" w:pos="7100"/>
              </w:tabs>
              <w:spacing w:line="240" w:lineRule="auto"/>
              <w:jc w:val="left"/>
              <w:rPr>
                <w:rFonts w:cs="Arial"/>
                <w:color w:val="000000"/>
                <w:szCs w:val="18"/>
                <w:lang w:val="en-US" w:eastAsia="es-PE"/>
              </w:rPr>
            </w:pPr>
            <w:r w:rsidRPr="00A13FE1">
              <w:rPr>
                <w:rFonts w:cs="Arial"/>
                <w:szCs w:val="18"/>
                <w:lang w:val="en-US" w:eastAsia="es-PE"/>
              </w:rPr>
              <w:t>pH</w:t>
            </w:r>
          </w:p>
        </w:tc>
        <w:tc>
          <w:tcPr>
            <w:tcW w:w="850" w:type="dxa"/>
            <w:tcBorders>
              <w:top w:val="single" w:sz="4" w:space="0" w:color="009644"/>
            </w:tcBorders>
            <w:shd w:val="clear" w:color="auto" w:fill="auto"/>
            <w:vAlign w:val="center"/>
            <w:hideMark/>
          </w:tcPr>
          <w:p w14:paraId="7D490FB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8.03</w:t>
            </w:r>
          </w:p>
        </w:tc>
        <w:tc>
          <w:tcPr>
            <w:tcW w:w="851" w:type="dxa"/>
            <w:tcBorders>
              <w:top w:val="single" w:sz="4" w:space="0" w:color="009644"/>
            </w:tcBorders>
            <w:shd w:val="clear" w:color="auto" w:fill="auto"/>
            <w:vAlign w:val="center"/>
            <w:hideMark/>
          </w:tcPr>
          <w:p w14:paraId="76ECC5FB"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7.15</w:t>
            </w:r>
          </w:p>
        </w:tc>
        <w:tc>
          <w:tcPr>
            <w:tcW w:w="850" w:type="dxa"/>
            <w:tcBorders>
              <w:top w:val="single" w:sz="4" w:space="0" w:color="009644"/>
            </w:tcBorders>
            <w:shd w:val="clear" w:color="auto" w:fill="auto"/>
            <w:vAlign w:val="center"/>
            <w:hideMark/>
          </w:tcPr>
          <w:p w14:paraId="74741A9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7.5</w:t>
            </w:r>
          </w:p>
        </w:tc>
        <w:tc>
          <w:tcPr>
            <w:tcW w:w="1134" w:type="dxa"/>
            <w:tcBorders>
              <w:top w:val="single" w:sz="4" w:space="0" w:color="009644"/>
            </w:tcBorders>
            <w:shd w:val="clear" w:color="auto" w:fill="auto"/>
            <w:vAlign w:val="center"/>
            <w:hideMark/>
          </w:tcPr>
          <w:p w14:paraId="252D7FDB"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7.56</w:t>
            </w:r>
          </w:p>
        </w:tc>
        <w:tc>
          <w:tcPr>
            <w:tcW w:w="1664" w:type="dxa"/>
            <w:tcBorders>
              <w:top w:val="single" w:sz="4" w:space="0" w:color="009644"/>
            </w:tcBorders>
            <w:shd w:val="clear" w:color="auto" w:fill="auto"/>
            <w:vAlign w:val="center"/>
            <w:hideMark/>
          </w:tcPr>
          <w:p w14:paraId="5D8EBC6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0.31</w:t>
            </w:r>
          </w:p>
        </w:tc>
      </w:tr>
      <w:tr w:rsidR="00A13FE1" w:rsidRPr="000E4F22" w14:paraId="6A37FA61" w14:textId="77777777" w:rsidTr="006975E3">
        <w:trPr>
          <w:trHeight w:val="321"/>
        </w:trPr>
        <w:tc>
          <w:tcPr>
            <w:tcW w:w="1631" w:type="dxa"/>
            <w:vMerge/>
            <w:vAlign w:val="center"/>
            <w:hideMark/>
          </w:tcPr>
          <w:p w14:paraId="536CA333"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shd w:val="clear" w:color="auto" w:fill="auto"/>
            <w:vAlign w:val="center"/>
            <w:hideMark/>
          </w:tcPr>
          <w:p w14:paraId="09BDC2EF" w14:textId="08F70F53"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 xml:space="preserve">organic matter </w:t>
            </w:r>
            <w:r w:rsidR="00A13FE1" w:rsidRPr="00A13FE1">
              <w:rPr>
                <w:rFonts w:cs="Arial"/>
                <w:color w:val="000000"/>
                <w:szCs w:val="18"/>
                <w:lang w:val="en-US" w:eastAsia="es-PE"/>
              </w:rPr>
              <w:t>(%)</w:t>
            </w:r>
          </w:p>
        </w:tc>
        <w:tc>
          <w:tcPr>
            <w:tcW w:w="850" w:type="dxa"/>
            <w:shd w:val="clear" w:color="auto" w:fill="auto"/>
            <w:vAlign w:val="center"/>
            <w:hideMark/>
          </w:tcPr>
          <w:p w14:paraId="4FEBF16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13.2</w:t>
            </w:r>
          </w:p>
        </w:tc>
        <w:tc>
          <w:tcPr>
            <w:tcW w:w="851" w:type="dxa"/>
            <w:shd w:val="clear" w:color="auto" w:fill="auto"/>
            <w:vAlign w:val="center"/>
            <w:hideMark/>
          </w:tcPr>
          <w:p w14:paraId="299937E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14.1</w:t>
            </w:r>
          </w:p>
        </w:tc>
        <w:tc>
          <w:tcPr>
            <w:tcW w:w="850" w:type="dxa"/>
            <w:shd w:val="clear" w:color="auto" w:fill="auto"/>
            <w:vAlign w:val="center"/>
            <w:hideMark/>
          </w:tcPr>
          <w:p w14:paraId="7601EB22"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15.11</w:t>
            </w:r>
          </w:p>
        </w:tc>
        <w:tc>
          <w:tcPr>
            <w:tcW w:w="1134" w:type="dxa"/>
            <w:shd w:val="clear" w:color="auto" w:fill="auto"/>
            <w:vAlign w:val="center"/>
            <w:hideMark/>
          </w:tcPr>
          <w:p w14:paraId="42A6783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14.14</w:t>
            </w:r>
          </w:p>
        </w:tc>
        <w:tc>
          <w:tcPr>
            <w:tcW w:w="1664" w:type="dxa"/>
            <w:shd w:val="clear" w:color="auto" w:fill="auto"/>
            <w:vAlign w:val="center"/>
            <w:hideMark/>
          </w:tcPr>
          <w:p w14:paraId="075F331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0.65</w:t>
            </w:r>
          </w:p>
        </w:tc>
      </w:tr>
      <w:tr w:rsidR="00A13FE1" w:rsidRPr="000E4F22" w14:paraId="0BA4F698" w14:textId="77777777" w:rsidTr="00F84829">
        <w:trPr>
          <w:trHeight w:val="66"/>
        </w:trPr>
        <w:tc>
          <w:tcPr>
            <w:tcW w:w="1631" w:type="dxa"/>
            <w:vMerge/>
            <w:vAlign w:val="center"/>
            <w:hideMark/>
          </w:tcPr>
          <w:p w14:paraId="008D5334"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shd w:val="clear" w:color="auto" w:fill="auto"/>
            <w:vAlign w:val="center"/>
            <w:hideMark/>
          </w:tcPr>
          <w:p w14:paraId="48BD9DF3" w14:textId="07E9C9E4"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moisture</w:t>
            </w:r>
            <w:r w:rsidR="00A13FE1" w:rsidRPr="00A13FE1">
              <w:rPr>
                <w:rFonts w:cs="Arial"/>
                <w:color w:val="000000"/>
                <w:szCs w:val="18"/>
                <w:lang w:val="en-US" w:eastAsia="es-PE"/>
              </w:rPr>
              <w:t xml:space="preserve"> (%)</w:t>
            </w:r>
          </w:p>
        </w:tc>
        <w:tc>
          <w:tcPr>
            <w:tcW w:w="850" w:type="dxa"/>
            <w:shd w:val="clear" w:color="auto" w:fill="auto"/>
            <w:vAlign w:val="center"/>
            <w:hideMark/>
          </w:tcPr>
          <w:p w14:paraId="2D6145A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8.13</w:t>
            </w:r>
          </w:p>
        </w:tc>
        <w:tc>
          <w:tcPr>
            <w:tcW w:w="851" w:type="dxa"/>
            <w:shd w:val="clear" w:color="auto" w:fill="auto"/>
            <w:vAlign w:val="center"/>
            <w:hideMark/>
          </w:tcPr>
          <w:p w14:paraId="07B8E1F8"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8.78</w:t>
            </w:r>
          </w:p>
        </w:tc>
        <w:tc>
          <w:tcPr>
            <w:tcW w:w="850" w:type="dxa"/>
            <w:shd w:val="clear" w:color="auto" w:fill="auto"/>
            <w:vAlign w:val="center"/>
            <w:hideMark/>
          </w:tcPr>
          <w:p w14:paraId="5AC1AE93"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10.12</w:t>
            </w:r>
          </w:p>
        </w:tc>
        <w:tc>
          <w:tcPr>
            <w:tcW w:w="1134" w:type="dxa"/>
            <w:shd w:val="clear" w:color="auto" w:fill="auto"/>
            <w:vAlign w:val="center"/>
            <w:hideMark/>
          </w:tcPr>
          <w:p w14:paraId="5353222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9.01</w:t>
            </w:r>
          </w:p>
        </w:tc>
        <w:tc>
          <w:tcPr>
            <w:tcW w:w="1664" w:type="dxa"/>
            <w:shd w:val="clear" w:color="auto" w:fill="auto"/>
            <w:vAlign w:val="center"/>
            <w:hideMark/>
          </w:tcPr>
          <w:p w14:paraId="37532451"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0.74</w:t>
            </w:r>
          </w:p>
        </w:tc>
      </w:tr>
      <w:tr w:rsidR="00A13FE1" w:rsidRPr="000E4F22" w14:paraId="3F6D4418" w14:textId="77777777" w:rsidTr="006975E3">
        <w:trPr>
          <w:trHeight w:val="199"/>
        </w:trPr>
        <w:tc>
          <w:tcPr>
            <w:tcW w:w="1631" w:type="dxa"/>
            <w:vMerge w:val="restart"/>
            <w:shd w:val="clear" w:color="auto" w:fill="auto"/>
            <w:noWrap/>
            <w:vAlign w:val="center"/>
            <w:hideMark/>
          </w:tcPr>
          <w:p w14:paraId="5294DD6A" w14:textId="77777777" w:rsidR="00A13FE1" w:rsidRPr="00A13FE1" w:rsidRDefault="00A13FE1" w:rsidP="007835DD">
            <w:pPr>
              <w:tabs>
                <w:tab w:val="clear" w:pos="7100"/>
              </w:tabs>
              <w:spacing w:line="240" w:lineRule="auto"/>
              <w:jc w:val="center"/>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T2</w:t>
            </w:r>
          </w:p>
        </w:tc>
        <w:tc>
          <w:tcPr>
            <w:tcW w:w="1630" w:type="dxa"/>
            <w:shd w:val="clear" w:color="auto" w:fill="auto"/>
            <w:vAlign w:val="center"/>
            <w:hideMark/>
          </w:tcPr>
          <w:p w14:paraId="33FF0E30" w14:textId="77777777" w:rsidR="00A13FE1" w:rsidRPr="00A13FE1" w:rsidRDefault="00A13FE1" w:rsidP="007835DD">
            <w:pPr>
              <w:tabs>
                <w:tab w:val="clear" w:pos="7100"/>
              </w:tabs>
              <w:spacing w:line="240" w:lineRule="auto"/>
              <w:jc w:val="left"/>
              <w:rPr>
                <w:rFonts w:cs="Arial"/>
                <w:color w:val="000000"/>
                <w:szCs w:val="18"/>
                <w:lang w:val="en-US" w:eastAsia="es-PE"/>
              </w:rPr>
            </w:pPr>
            <w:r w:rsidRPr="00A13FE1">
              <w:rPr>
                <w:rFonts w:cs="Arial"/>
                <w:szCs w:val="18"/>
                <w:lang w:val="en-US" w:eastAsia="es-PE"/>
              </w:rPr>
              <w:t>pH</w:t>
            </w:r>
          </w:p>
        </w:tc>
        <w:tc>
          <w:tcPr>
            <w:tcW w:w="850" w:type="dxa"/>
            <w:shd w:val="clear" w:color="auto" w:fill="auto"/>
            <w:vAlign w:val="center"/>
            <w:hideMark/>
          </w:tcPr>
          <w:p w14:paraId="5AD029B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7.88</w:t>
            </w:r>
          </w:p>
        </w:tc>
        <w:tc>
          <w:tcPr>
            <w:tcW w:w="851" w:type="dxa"/>
            <w:shd w:val="clear" w:color="auto" w:fill="auto"/>
            <w:vAlign w:val="center"/>
            <w:hideMark/>
          </w:tcPr>
          <w:p w14:paraId="7EDE43D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8.49</w:t>
            </w:r>
          </w:p>
        </w:tc>
        <w:tc>
          <w:tcPr>
            <w:tcW w:w="850" w:type="dxa"/>
            <w:shd w:val="clear" w:color="auto" w:fill="auto"/>
            <w:vAlign w:val="center"/>
            <w:hideMark/>
          </w:tcPr>
          <w:p w14:paraId="2FDDD64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8.18</w:t>
            </w:r>
          </w:p>
        </w:tc>
        <w:tc>
          <w:tcPr>
            <w:tcW w:w="1134" w:type="dxa"/>
            <w:shd w:val="clear" w:color="auto" w:fill="auto"/>
            <w:vAlign w:val="center"/>
            <w:hideMark/>
          </w:tcPr>
          <w:p w14:paraId="6C71C10C"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8.18</w:t>
            </w:r>
          </w:p>
        </w:tc>
        <w:tc>
          <w:tcPr>
            <w:tcW w:w="1664" w:type="dxa"/>
            <w:shd w:val="clear" w:color="auto" w:fill="auto"/>
            <w:vAlign w:val="center"/>
            <w:hideMark/>
          </w:tcPr>
          <w:p w14:paraId="6307DB1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0.20</w:t>
            </w:r>
          </w:p>
        </w:tc>
      </w:tr>
      <w:tr w:rsidR="00A13FE1" w:rsidRPr="000E4F22" w14:paraId="28DD83D5" w14:textId="77777777" w:rsidTr="006975E3">
        <w:trPr>
          <w:trHeight w:val="240"/>
        </w:trPr>
        <w:tc>
          <w:tcPr>
            <w:tcW w:w="1631" w:type="dxa"/>
            <w:vMerge/>
            <w:vAlign w:val="center"/>
            <w:hideMark/>
          </w:tcPr>
          <w:p w14:paraId="5DDA29C7"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shd w:val="clear" w:color="auto" w:fill="auto"/>
            <w:vAlign w:val="center"/>
            <w:hideMark/>
          </w:tcPr>
          <w:p w14:paraId="1581A810" w14:textId="35CF577E"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 xml:space="preserve">organic matter </w:t>
            </w:r>
            <w:r w:rsidR="00A13FE1" w:rsidRPr="00A13FE1">
              <w:rPr>
                <w:rFonts w:cs="Arial"/>
                <w:color w:val="000000"/>
                <w:szCs w:val="18"/>
                <w:lang w:val="en-US" w:eastAsia="es-PE"/>
              </w:rPr>
              <w:t>(%)</w:t>
            </w:r>
          </w:p>
        </w:tc>
        <w:tc>
          <w:tcPr>
            <w:tcW w:w="850" w:type="dxa"/>
            <w:shd w:val="clear" w:color="auto" w:fill="auto"/>
            <w:vAlign w:val="center"/>
            <w:hideMark/>
          </w:tcPr>
          <w:p w14:paraId="2A192F7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18.08</w:t>
            </w:r>
          </w:p>
        </w:tc>
        <w:tc>
          <w:tcPr>
            <w:tcW w:w="851" w:type="dxa"/>
            <w:shd w:val="clear" w:color="auto" w:fill="auto"/>
            <w:vAlign w:val="center"/>
            <w:hideMark/>
          </w:tcPr>
          <w:p w14:paraId="233E2D1D"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17.55</w:t>
            </w:r>
          </w:p>
        </w:tc>
        <w:tc>
          <w:tcPr>
            <w:tcW w:w="850" w:type="dxa"/>
            <w:shd w:val="clear" w:color="auto" w:fill="auto"/>
            <w:vAlign w:val="center"/>
            <w:hideMark/>
          </w:tcPr>
          <w:p w14:paraId="23557F5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17.64</w:t>
            </w:r>
          </w:p>
        </w:tc>
        <w:tc>
          <w:tcPr>
            <w:tcW w:w="1134" w:type="dxa"/>
            <w:shd w:val="clear" w:color="auto" w:fill="auto"/>
            <w:vAlign w:val="center"/>
            <w:hideMark/>
          </w:tcPr>
          <w:p w14:paraId="2201E85F"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17.76</w:t>
            </w:r>
          </w:p>
        </w:tc>
        <w:tc>
          <w:tcPr>
            <w:tcW w:w="1664" w:type="dxa"/>
            <w:shd w:val="clear" w:color="auto" w:fill="auto"/>
            <w:vAlign w:val="center"/>
            <w:hideMark/>
          </w:tcPr>
          <w:p w14:paraId="3E3C42D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0.22</w:t>
            </w:r>
          </w:p>
        </w:tc>
      </w:tr>
      <w:tr w:rsidR="00A13FE1" w:rsidRPr="000E4F22" w14:paraId="5E9AF04B" w14:textId="77777777" w:rsidTr="006975E3">
        <w:trPr>
          <w:trHeight w:val="199"/>
        </w:trPr>
        <w:tc>
          <w:tcPr>
            <w:tcW w:w="1631" w:type="dxa"/>
            <w:vMerge/>
            <w:vAlign w:val="center"/>
            <w:hideMark/>
          </w:tcPr>
          <w:p w14:paraId="551745AA"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shd w:val="clear" w:color="auto" w:fill="auto"/>
            <w:vAlign w:val="center"/>
            <w:hideMark/>
          </w:tcPr>
          <w:p w14:paraId="78D868F1" w14:textId="61C3012E"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moisture</w:t>
            </w:r>
            <w:r w:rsidR="00A13FE1" w:rsidRPr="00A13FE1">
              <w:rPr>
                <w:rFonts w:cs="Arial"/>
                <w:color w:val="000000"/>
                <w:szCs w:val="18"/>
                <w:lang w:val="en-US" w:eastAsia="es-PE"/>
              </w:rPr>
              <w:t xml:space="preserve"> (%)</w:t>
            </w:r>
          </w:p>
        </w:tc>
        <w:tc>
          <w:tcPr>
            <w:tcW w:w="850" w:type="dxa"/>
            <w:shd w:val="clear" w:color="auto" w:fill="auto"/>
            <w:vAlign w:val="center"/>
            <w:hideMark/>
          </w:tcPr>
          <w:p w14:paraId="213ECBC1"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14.65</w:t>
            </w:r>
          </w:p>
        </w:tc>
        <w:tc>
          <w:tcPr>
            <w:tcW w:w="851" w:type="dxa"/>
            <w:shd w:val="clear" w:color="auto" w:fill="auto"/>
            <w:vAlign w:val="center"/>
            <w:hideMark/>
          </w:tcPr>
          <w:p w14:paraId="011B7BA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15.77</w:t>
            </w:r>
          </w:p>
        </w:tc>
        <w:tc>
          <w:tcPr>
            <w:tcW w:w="850" w:type="dxa"/>
            <w:shd w:val="clear" w:color="auto" w:fill="auto"/>
            <w:vAlign w:val="center"/>
            <w:hideMark/>
          </w:tcPr>
          <w:p w14:paraId="1663E65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15.96</w:t>
            </w:r>
          </w:p>
        </w:tc>
        <w:tc>
          <w:tcPr>
            <w:tcW w:w="1134" w:type="dxa"/>
            <w:shd w:val="clear" w:color="auto" w:fill="auto"/>
            <w:vAlign w:val="center"/>
            <w:hideMark/>
          </w:tcPr>
          <w:p w14:paraId="1188CA0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15.46</w:t>
            </w:r>
          </w:p>
        </w:tc>
        <w:tc>
          <w:tcPr>
            <w:tcW w:w="1664" w:type="dxa"/>
            <w:shd w:val="clear" w:color="auto" w:fill="auto"/>
            <w:vAlign w:val="center"/>
            <w:hideMark/>
          </w:tcPr>
          <w:p w14:paraId="47BAA6B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0.54</w:t>
            </w:r>
          </w:p>
        </w:tc>
      </w:tr>
      <w:tr w:rsidR="00A13FE1" w:rsidRPr="000E4F22" w14:paraId="468D9C16" w14:textId="77777777" w:rsidTr="006975E3">
        <w:trPr>
          <w:trHeight w:val="199"/>
        </w:trPr>
        <w:tc>
          <w:tcPr>
            <w:tcW w:w="1631" w:type="dxa"/>
            <w:vMerge w:val="restart"/>
            <w:shd w:val="clear" w:color="auto" w:fill="auto"/>
            <w:noWrap/>
            <w:vAlign w:val="center"/>
            <w:hideMark/>
          </w:tcPr>
          <w:p w14:paraId="790150BF" w14:textId="77777777" w:rsidR="00A13FE1" w:rsidRPr="00A13FE1" w:rsidRDefault="00A13FE1" w:rsidP="007835DD">
            <w:pPr>
              <w:tabs>
                <w:tab w:val="clear" w:pos="7100"/>
              </w:tabs>
              <w:spacing w:line="240" w:lineRule="auto"/>
              <w:jc w:val="center"/>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T3</w:t>
            </w:r>
          </w:p>
        </w:tc>
        <w:tc>
          <w:tcPr>
            <w:tcW w:w="1630" w:type="dxa"/>
            <w:shd w:val="clear" w:color="auto" w:fill="auto"/>
            <w:vAlign w:val="center"/>
            <w:hideMark/>
          </w:tcPr>
          <w:p w14:paraId="4283B7FB" w14:textId="77777777" w:rsidR="00A13FE1" w:rsidRPr="00A13FE1" w:rsidRDefault="00A13FE1" w:rsidP="007835DD">
            <w:pPr>
              <w:tabs>
                <w:tab w:val="clear" w:pos="7100"/>
              </w:tabs>
              <w:spacing w:line="240" w:lineRule="auto"/>
              <w:jc w:val="left"/>
              <w:rPr>
                <w:rFonts w:cs="Arial"/>
                <w:color w:val="000000"/>
                <w:szCs w:val="18"/>
                <w:lang w:val="en-US" w:eastAsia="es-PE"/>
              </w:rPr>
            </w:pPr>
            <w:r w:rsidRPr="00A13FE1">
              <w:rPr>
                <w:rFonts w:cs="Arial"/>
                <w:szCs w:val="18"/>
                <w:lang w:val="en-US" w:eastAsia="es-PE"/>
              </w:rPr>
              <w:t>pH</w:t>
            </w:r>
          </w:p>
        </w:tc>
        <w:tc>
          <w:tcPr>
            <w:tcW w:w="850" w:type="dxa"/>
            <w:shd w:val="clear" w:color="auto" w:fill="auto"/>
            <w:vAlign w:val="center"/>
            <w:hideMark/>
          </w:tcPr>
          <w:p w14:paraId="5235F71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9.14</w:t>
            </w:r>
          </w:p>
        </w:tc>
        <w:tc>
          <w:tcPr>
            <w:tcW w:w="851" w:type="dxa"/>
            <w:shd w:val="clear" w:color="auto" w:fill="auto"/>
            <w:vAlign w:val="center"/>
            <w:hideMark/>
          </w:tcPr>
          <w:p w14:paraId="7B56190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8.77</w:t>
            </w:r>
          </w:p>
        </w:tc>
        <w:tc>
          <w:tcPr>
            <w:tcW w:w="850" w:type="dxa"/>
            <w:shd w:val="clear" w:color="auto" w:fill="auto"/>
            <w:vAlign w:val="center"/>
            <w:hideMark/>
          </w:tcPr>
          <w:p w14:paraId="310C222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8.5</w:t>
            </w:r>
          </w:p>
        </w:tc>
        <w:tc>
          <w:tcPr>
            <w:tcW w:w="1134" w:type="dxa"/>
            <w:shd w:val="clear" w:color="auto" w:fill="auto"/>
            <w:vAlign w:val="center"/>
            <w:hideMark/>
          </w:tcPr>
          <w:p w14:paraId="3986F395"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8.80</w:t>
            </w:r>
          </w:p>
        </w:tc>
        <w:tc>
          <w:tcPr>
            <w:tcW w:w="1664" w:type="dxa"/>
            <w:shd w:val="clear" w:color="auto" w:fill="auto"/>
            <w:vAlign w:val="center"/>
            <w:hideMark/>
          </w:tcPr>
          <w:p w14:paraId="093B649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0.22</w:t>
            </w:r>
          </w:p>
        </w:tc>
      </w:tr>
      <w:tr w:rsidR="00A13FE1" w:rsidRPr="000E4F22" w14:paraId="493CA59A" w14:textId="77777777" w:rsidTr="006975E3">
        <w:trPr>
          <w:trHeight w:val="321"/>
        </w:trPr>
        <w:tc>
          <w:tcPr>
            <w:tcW w:w="1631" w:type="dxa"/>
            <w:vMerge/>
            <w:vAlign w:val="center"/>
            <w:hideMark/>
          </w:tcPr>
          <w:p w14:paraId="41A9E58A"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shd w:val="clear" w:color="auto" w:fill="auto"/>
            <w:vAlign w:val="center"/>
            <w:hideMark/>
          </w:tcPr>
          <w:p w14:paraId="2DD7A80A" w14:textId="2668FBFE"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 xml:space="preserve">organic matter </w:t>
            </w:r>
            <w:r w:rsidR="00A13FE1" w:rsidRPr="00A13FE1">
              <w:rPr>
                <w:rFonts w:cs="Arial"/>
                <w:color w:val="000000"/>
                <w:szCs w:val="18"/>
                <w:lang w:val="en-US" w:eastAsia="es-PE"/>
              </w:rPr>
              <w:t>(%)</w:t>
            </w:r>
          </w:p>
        </w:tc>
        <w:tc>
          <w:tcPr>
            <w:tcW w:w="850" w:type="dxa"/>
            <w:shd w:val="clear" w:color="auto" w:fill="auto"/>
            <w:vAlign w:val="center"/>
            <w:hideMark/>
          </w:tcPr>
          <w:p w14:paraId="4556575B"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13.93</w:t>
            </w:r>
          </w:p>
        </w:tc>
        <w:tc>
          <w:tcPr>
            <w:tcW w:w="851" w:type="dxa"/>
            <w:shd w:val="clear" w:color="auto" w:fill="auto"/>
            <w:vAlign w:val="center"/>
            <w:hideMark/>
          </w:tcPr>
          <w:p w14:paraId="1C62221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18.25</w:t>
            </w:r>
          </w:p>
        </w:tc>
        <w:tc>
          <w:tcPr>
            <w:tcW w:w="850" w:type="dxa"/>
            <w:shd w:val="clear" w:color="auto" w:fill="auto"/>
            <w:vAlign w:val="center"/>
            <w:hideMark/>
          </w:tcPr>
          <w:p w14:paraId="7BC292A3"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17.32</w:t>
            </w:r>
          </w:p>
        </w:tc>
        <w:tc>
          <w:tcPr>
            <w:tcW w:w="1134" w:type="dxa"/>
            <w:shd w:val="clear" w:color="auto" w:fill="auto"/>
            <w:vAlign w:val="center"/>
            <w:hideMark/>
          </w:tcPr>
          <w:p w14:paraId="72805F9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16.50</w:t>
            </w:r>
          </w:p>
        </w:tc>
        <w:tc>
          <w:tcPr>
            <w:tcW w:w="1664" w:type="dxa"/>
            <w:shd w:val="clear" w:color="auto" w:fill="auto"/>
            <w:vAlign w:val="center"/>
            <w:hideMark/>
          </w:tcPr>
          <w:p w14:paraId="41DFFEB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1.71</w:t>
            </w:r>
          </w:p>
        </w:tc>
      </w:tr>
      <w:tr w:rsidR="00A13FE1" w:rsidRPr="000E4F22" w14:paraId="33A6F90B" w14:textId="77777777" w:rsidTr="006975E3">
        <w:trPr>
          <w:trHeight w:val="199"/>
        </w:trPr>
        <w:tc>
          <w:tcPr>
            <w:tcW w:w="1631" w:type="dxa"/>
            <w:vMerge/>
            <w:tcBorders>
              <w:bottom w:val="single" w:sz="12" w:space="0" w:color="009644"/>
            </w:tcBorders>
            <w:vAlign w:val="center"/>
            <w:hideMark/>
          </w:tcPr>
          <w:p w14:paraId="36A9D1F9"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p>
        </w:tc>
        <w:tc>
          <w:tcPr>
            <w:tcW w:w="1630" w:type="dxa"/>
            <w:tcBorders>
              <w:bottom w:val="single" w:sz="12" w:space="0" w:color="009644"/>
            </w:tcBorders>
            <w:shd w:val="clear" w:color="auto" w:fill="auto"/>
            <w:vAlign w:val="center"/>
            <w:hideMark/>
          </w:tcPr>
          <w:p w14:paraId="2BE90CCF" w14:textId="35BA9259" w:rsidR="00A13FE1" w:rsidRPr="00A13FE1" w:rsidRDefault="00CC1538" w:rsidP="007835DD">
            <w:pPr>
              <w:tabs>
                <w:tab w:val="clear" w:pos="7100"/>
              </w:tabs>
              <w:spacing w:line="240" w:lineRule="auto"/>
              <w:jc w:val="left"/>
              <w:rPr>
                <w:rFonts w:cs="Arial"/>
                <w:color w:val="000000"/>
                <w:szCs w:val="18"/>
                <w:lang w:val="en-US" w:eastAsia="es-PE"/>
              </w:rPr>
            </w:pPr>
            <w:r w:rsidRPr="00CC1538">
              <w:rPr>
                <w:rFonts w:cs="Arial"/>
                <w:color w:val="000000"/>
                <w:szCs w:val="18"/>
                <w:lang w:val="en-US" w:eastAsia="es-PE"/>
              </w:rPr>
              <w:t>moisture</w:t>
            </w:r>
            <w:r w:rsidR="00A13FE1" w:rsidRPr="00A13FE1">
              <w:rPr>
                <w:rFonts w:cs="Arial"/>
                <w:color w:val="000000"/>
                <w:szCs w:val="18"/>
                <w:lang w:val="en-US" w:eastAsia="es-PE"/>
              </w:rPr>
              <w:t xml:space="preserve"> (%)</w:t>
            </w:r>
          </w:p>
        </w:tc>
        <w:tc>
          <w:tcPr>
            <w:tcW w:w="850" w:type="dxa"/>
            <w:tcBorders>
              <w:bottom w:val="single" w:sz="12" w:space="0" w:color="009644"/>
            </w:tcBorders>
            <w:shd w:val="clear" w:color="auto" w:fill="auto"/>
            <w:vAlign w:val="center"/>
            <w:hideMark/>
          </w:tcPr>
          <w:p w14:paraId="269D226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14.68</w:t>
            </w:r>
          </w:p>
        </w:tc>
        <w:tc>
          <w:tcPr>
            <w:tcW w:w="851" w:type="dxa"/>
            <w:tcBorders>
              <w:bottom w:val="single" w:sz="12" w:space="0" w:color="009644"/>
            </w:tcBorders>
            <w:shd w:val="clear" w:color="auto" w:fill="auto"/>
            <w:vAlign w:val="center"/>
            <w:hideMark/>
          </w:tcPr>
          <w:p w14:paraId="753D0ADA"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18.39</w:t>
            </w:r>
          </w:p>
        </w:tc>
        <w:tc>
          <w:tcPr>
            <w:tcW w:w="850" w:type="dxa"/>
            <w:tcBorders>
              <w:bottom w:val="single" w:sz="12" w:space="0" w:color="009644"/>
            </w:tcBorders>
            <w:shd w:val="clear" w:color="auto" w:fill="auto"/>
            <w:vAlign w:val="center"/>
            <w:hideMark/>
          </w:tcPr>
          <w:p w14:paraId="41D633B3"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20.25</w:t>
            </w:r>
          </w:p>
        </w:tc>
        <w:tc>
          <w:tcPr>
            <w:tcW w:w="1134" w:type="dxa"/>
            <w:tcBorders>
              <w:bottom w:val="single" w:sz="12" w:space="0" w:color="009644"/>
            </w:tcBorders>
            <w:shd w:val="clear" w:color="auto" w:fill="auto"/>
            <w:vAlign w:val="center"/>
            <w:hideMark/>
          </w:tcPr>
          <w:p w14:paraId="518A201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17.77</w:t>
            </w:r>
          </w:p>
        </w:tc>
        <w:tc>
          <w:tcPr>
            <w:tcW w:w="1664" w:type="dxa"/>
            <w:tcBorders>
              <w:bottom w:val="single" w:sz="12" w:space="0" w:color="009644"/>
            </w:tcBorders>
            <w:shd w:val="clear" w:color="auto" w:fill="auto"/>
            <w:vAlign w:val="center"/>
            <w:hideMark/>
          </w:tcPr>
          <w:p w14:paraId="3AFDBF7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2.06</w:t>
            </w:r>
          </w:p>
        </w:tc>
      </w:tr>
    </w:tbl>
    <w:p w14:paraId="4C97F702" w14:textId="77777777" w:rsidR="00B54CB1" w:rsidRDefault="00B54CB1" w:rsidP="005A294C">
      <w:pPr>
        <w:pStyle w:val="CETBodytext"/>
        <w:rPr>
          <w:lang w:val="es-PE"/>
        </w:rPr>
      </w:pPr>
    </w:p>
    <w:p w14:paraId="0FB166C0" w14:textId="1FF7AA5B" w:rsidR="00FB4764" w:rsidRPr="00AC3971" w:rsidRDefault="00A13FE1" w:rsidP="005A294C">
      <w:pPr>
        <w:pStyle w:val="CETBodytext"/>
        <w:rPr>
          <w:lang w:val="en-US"/>
        </w:rPr>
      </w:pPr>
      <w:r w:rsidRPr="00A13FE1">
        <w:rPr>
          <w:lang w:val="en-US"/>
        </w:rPr>
        <w:t>Table 3 shows a progressive increase in pH from the treatment with 10, 20 and 30 % of biosolids used in the treatment, the third treatment whose average value is 8.80 is the most basic, this value is within the range suitable for soil bio-remediation (</w:t>
      </w:r>
      <w:proofErr w:type="spellStart"/>
      <w:r w:rsidRPr="00A13FE1">
        <w:rPr>
          <w:lang w:val="en-US"/>
        </w:rPr>
        <w:t>Tibamba</w:t>
      </w:r>
      <w:proofErr w:type="spellEnd"/>
      <w:r w:rsidRPr="00A13FE1">
        <w:rPr>
          <w:lang w:val="en-US"/>
        </w:rPr>
        <w:t xml:space="preserve"> et al... 2024); Likewise, the results of organic matter of the soil treated with biosolids show a significant increase for the second treatment, this shows that the application of biosolids improves soil conditions which allows it to be used as fertilizer, 2024); Likewise, the results of organic matter of </w:t>
      </w:r>
      <w:r w:rsidRPr="00A13FE1">
        <w:rPr>
          <w:lang w:val="en-US"/>
        </w:rPr>
        <w:lastRenderedPageBreak/>
        <w:t xml:space="preserve">the soil treated with biosolid shows a significant increase for the second treatment, this shows that the application of the biosolid improves soil conditions which allows it to be used as fertilizer or soil amendment material (Pulgarin Muñoz et al., 2022); the percentage of humidity also showed a significant increase due to the addition of the biosolid (Mansur </w:t>
      </w:r>
      <w:proofErr w:type="spellStart"/>
      <w:r w:rsidRPr="00A13FE1">
        <w:rPr>
          <w:lang w:val="en-US"/>
        </w:rPr>
        <w:t>Aisse</w:t>
      </w:r>
      <w:proofErr w:type="spellEnd"/>
      <w:r w:rsidRPr="00A13FE1">
        <w:rPr>
          <w:lang w:val="en-US"/>
        </w:rPr>
        <w:t>, 2020)</w:t>
      </w:r>
      <w:r w:rsidR="004712B1">
        <w:rPr>
          <w:lang w:val="en-US"/>
        </w:rPr>
        <w:t xml:space="preserve">. </w:t>
      </w:r>
      <w:r w:rsidRPr="00A13FE1">
        <w:rPr>
          <w:lang w:val="en-US"/>
        </w:rPr>
        <w:t xml:space="preserve"> </w:t>
      </w:r>
      <w:r w:rsidR="004712B1" w:rsidRPr="004712B1">
        <w:rPr>
          <w:lang w:val="en-US"/>
        </w:rPr>
        <w:t>Microbial growth was also evident, with growth being 3.2 x 10</w:t>
      </w:r>
      <w:r w:rsidR="004712B1" w:rsidRPr="00BC5CE5">
        <w:rPr>
          <w:vertAlign w:val="superscript"/>
          <w:lang w:val="en-US"/>
        </w:rPr>
        <w:t>4</w:t>
      </w:r>
      <w:r w:rsidR="004712B1" w:rsidRPr="004712B1">
        <w:rPr>
          <w:lang w:val="en-US"/>
        </w:rPr>
        <w:t>, 3.6 x 10</w:t>
      </w:r>
      <w:r w:rsidR="004712B1" w:rsidRPr="00BC5CE5">
        <w:rPr>
          <w:vertAlign w:val="superscript"/>
          <w:lang w:val="en-US"/>
        </w:rPr>
        <w:t xml:space="preserve">4 </w:t>
      </w:r>
      <w:r w:rsidR="004712B1" w:rsidRPr="004712B1">
        <w:rPr>
          <w:lang w:val="en-US"/>
        </w:rPr>
        <w:t>and 4.0 x 10</w:t>
      </w:r>
      <w:r w:rsidR="004712B1" w:rsidRPr="00BC5CE5">
        <w:rPr>
          <w:vertAlign w:val="superscript"/>
          <w:lang w:val="en-US"/>
        </w:rPr>
        <w:t>4</w:t>
      </w:r>
      <w:r w:rsidR="004712B1" w:rsidRPr="004712B1">
        <w:rPr>
          <w:lang w:val="en-US"/>
        </w:rPr>
        <w:t xml:space="preserve"> CFU for treatments T1, T2 and T3 respectively. These results allow us to infer that this helped protect the root and improve the availability of nutrients in the soil, generating a direct positive impact in its application of agricultural activity (González Jiménez, 2010)</w:t>
      </w:r>
      <w:r w:rsidRPr="00A13FE1">
        <w:rPr>
          <w:lang w:val="en-US"/>
        </w:rPr>
        <w:t>.</w:t>
      </w:r>
    </w:p>
    <w:p w14:paraId="63461507" w14:textId="77777777" w:rsidR="00957C74" w:rsidRPr="00AC3971" w:rsidRDefault="00415721" w:rsidP="00DF23C8">
      <w:pPr>
        <w:pStyle w:val="CETheadingx"/>
        <w:rPr>
          <w:lang w:val="en-US"/>
        </w:rPr>
      </w:pPr>
      <w:r w:rsidRPr="00AC3971">
        <w:rPr>
          <w:lang w:val="en-US"/>
        </w:rPr>
        <w:t>Reduction of Aldrin with biosolids treatment.</w:t>
      </w:r>
    </w:p>
    <w:p w14:paraId="30AF7BFF" w14:textId="3A93CBE0" w:rsidR="00952CBA" w:rsidRDefault="008C27A1" w:rsidP="00A70DA7">
      <w:pPr>
        <w:pStyle w:val="CETBodytext"/>
        <w:rPr>
          <w:lang w:val="en-US"/>
        </w:rPr>
      </w:pPr>
      <w:r w:rsidRPr="00AC3971">
        <w:rPr>
          <w:lang w:val="en-US"/>
        </w:rPr>
        <w:t>The effect of applying the biosolid at different doses for the reduction of Aldrin in the contaminated soil was evaluated, which were doses of 10</w:t>
      </w:r>
      <w:r w:rsidR="00203387">
        <w:rPr>
          <w:lang w:val="en-US"/>
        </w:rPr>
        <w:t xml:space="preserve"> </w:t>
      </w:r>
      <w:r w:rsidRPr="00AC3971">
        <w:rPr>
          <w:lang w:val="en-US"/>
        </w:rPr>
        <w:t>%, 20</w:t>
      </w:r>
      <w:r w:rsidR="00203387">
        <w:rPr>
          <w:lang w:val="en-US"/>
        </w:rPr>
        <w:t xml:space="preserve"> </w:t>
      </w:r>
      <w:r w:rsidRPr="00AC3971">
        <w:rPr>
          <w:lang w:val="en-US"/>
        </w:rPr>
        <w:t>%</w:t>
      </w:r>
      <w:r w:rsidR="0061793D">
        <w:rPr>
          <w:lang w:val="en-US"/>
        </w:rPr>
        <w:t>,</w:t>
      </w:r>
      <w:r w:rsidRPr="00AC3971">
        <w:rPr>
          <w:lang w:val="en-US"/>
        </w:rPr>
        <w:t xml:space="preserve"> and 30</w:t>
      </w:r>
      <w:r w:rsidR="00203387">
        <w:rPr>
          <w:lang w:val="en-US"/>
        </w:rPr>
        <w:t xml:space="preserve"> </w:t>
      </w:r>
      <w:r w:rsidRPr="00AC3971">
        <w:rPr>
          <w:lang w:val="en-US"/>
        </w:rPr>
        <w:t xml:space="preserve">%, with three repetitions, which allowed the objective of the research to be verified (see </w:t>
      </w:r>
      <w:r w:rsidR="00053D9B">
        <w:rPr>
          <w:lang w:val="en-US"/>
        </w:rPr>
        <w:t>Table 4</w:t>
      </w:r>
      <w:r w:rsidRPr="00AC3971">
        <w:rPr>
          <w:lang w:val="en-US"/>
        </w:rPr>
        <w:t xml:space="preserve">), it is necessary to indicate that </w:t>
      </w:r>
      <w:r w:rsidR="0061793D">
        <w:rPr>
          <w:lang w:val="en-US"/>
        </w:rPr>
        <w:t>before</w:t>
      </w:r>
      <w:r w:rsidRPr="00AC3971">
        <w:rPr>
          <w:lang w:val="en-US"/>
        </w:rPr>
        <w:t xml:space="preserve"> treatment, the concentration of Aldrin in the contaminated soil was evaluated as 3.01 mg/kg.</w:t>
      </w:r>
    </w:p>
    <w:p w14:paraId="762D0FD3" w14:textId="77777777" w:rsidR="00A13FE1" w:rsidRDefault="00A13FE1" w:rsidP="00A70DA7">
      <w:pPr>
        <w:pStyle w:val="CETBodytext"/>
        <w:rPr>
          <w:lang w:val="en-US"/>
        </w:rPr>
      </w:pPr>
    </w:p>
    <w:p w14:paraId="4D705D40" w14:textId="0B5DC182" w:rsidR="00A13FE1" w:rsidRDefault="00A13FE1" w:rsidP="00A13FE1">
      <w:pPr>
        <w:pStyle w:val="CETCaption"/>
        <w:spacing w:before="0" w:after="0"/>
        <w:rPr>
          <w:lang w:val="es-PE"/>
        </w:rPr>
      </w:pPr>
      <w:r>
        <w:rPr>
          <w:lang w:val="es-PE"/>
        </w:rPr>
        <w:t xml:space="preserve">Table </w:t>
      </w:r>
      <w:r w:rsidR="00053D9B">
        <w:rPr>
          <w:lang w:val="es-PE"/>
        </w:rPr>
        <w:t>4</w:t>
      </w:r>
      <w:r w:rsidRPr="00032592">
        <w:rPr>
          <w:lang w:val="es-PE"/>
        </w:rPr>
        <w:t xml:space="preserve">: </w:t>
      </w:r>
      <w:r>
        <w:rPr>
          <w:lang w:val="es-PE"/>
        </w:rPr>
        <w:t>Reducción de Aldrin según tratamiento</w:t>
      </w:r>
    </w:p>
    <w:tbl>
      <w:tblPr>
        <w:tblW w:w="8789" w:type="dxa"/>
        <w:tblBorders>
          <w:top w:val="single" w:sz="12" w:space="0" w:color="009644"/>
          <w:bottom w:val="single" w:sz="12" w:space="0" w:color="009644"/>
        </w:tblBorders>
        <w:tblCellMar>
          <w:left w:w="70" w:type="dxa"/>
          <w:right w:w="70" w:type="dxa"/>
        </w:tblCellMar>
        <w:tblLook w:val="04A0" w:firstRow="1" w:lastRow="0" w:firstColumn="1" w:lastColumn="0" w:noHBand="0" w:noVBand="1"/>
      </w:tblPr>
      <w:tblGrid>
        <w:gridCol w:w="1187"/>
        <w:gridCol w:w="1844"/>
        <w:gridCol w:w="535"/>
        <w:gridCol w:w="723"/>
        <w:gridCol w:w="723"/>
        <w:gridCol w:w="884"/>
        <w:gridCol w:w="1475"/>
        <w:gridCol w:w="1418"/>
      </w:tblGrid>
      <w:tr w:rsidR="00A13FE1" w:rsidRPr="00A13FE1" w14:paraId="3DE7247F" w14:textId="77777777" w:rsidTr="00F84829">
        <w:trPr>
          <w:trHeight w:val="322"/>
        </w:trPr>
        <w:tc>
          <w:tcPr>
            <w:tcW w:w="1187" w:type="dxa"/>
            <w:tcBorders>
              <w:top w:val="single" w:sz="12" w:space="0" w:color="009644"/>
              <w:bottom w:val="single" w:sz="4" w:space="0" w:color="009644"/>
            </w:tcBorders>
            <w:shd w:val="clear" w:color="auto" w:fill="auto"/>
            <w:noWrap/>
            <w:vAlign w:val="bottom"/>
          </w:tcPr>
          <w:p w14:paraId="6A752652"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Treatment</w:t>
            </w:r>
          </w:p>
        </w:tc>
        <w:tc>
          <w:tcPr>
            <w:tcW w:w="1844" w:type="dxa"/>
            <w:tcBorders>
              <w:top w:val="single" w:sz="12" w:space="0" w:color="009644"/>
              <w:bottom w:val="single" w:sz="4" w:space="0" w:color="009644"/>
            </w:tcBorders>
            <w:shd w:val="clear" w:color="auto" w:fill="auto"/>
            <w:vAlign w:val="center"/>
          </w:tcPr>
          <w:p w14:paraId="2B4C05B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Aldrin Concentration</w:t>
            </w:r>
          </w:p>
        </w:tc>
        <w:tc>
          <w:tcPr>
            <w:tcW w:w="535" w:type="dxa"/>
            <w:tcBorders>
              <w:top w:val="single" w:sz="12" w:space="0" w:color="009644"/>
              <w:bottom w:val="single" w:sz="4" w:space="0" w:color="009644"/>
            </w:tcBorders>
            <w:shd w:val="clear" w:color="auto" w:fill="auto"/>
            <w:vAlign w:val="center"/>
          </w:tcPr>
          <w:p w14:paraId="1E83DC81"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R1</w:t>
            </w:r>
          </w:p>
        </w:tc>
        <w:tc>
          <w:tcPr>
            <w:tcW w:w="723" w:type="dxa"/>
            <w:tcBorders>
              <w:top w:val="single" w:sz="12" w:space="0" w:color="009644"/>
              <w:bottom w:val="single" w:sz="4" w:space="0" w:color="009644"/>
            </w:tcBorders>
            <w:shd w:val="clear" w:color="auto" w:fill="auto"/>
            <w:vAlign w:val="center"/>
          </w:tcPr>
          <w:p w14:paraId="43AEFBFB"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R2</w:t>
            </w:r>
          </w:p>
        </w:tc>
        <w:tc>
          <w:tcPr>
            <w:tcW w:w="723" w:type="dxa"/>
            <w:tcBorders>
              <w:top w:val="single" w:sz="12" w:space="0" w:color="009644"/>
              <w:bottom w:val="single" w:sz="4" w:space="0" w:color="009644"/>
            </w:tcBorders>
            <w:shd w:val="clear" w:color="auto" w:fill="auto"/>
            <w:vAlign w:val="center"/>
          </w:tcPr>
          <w:p w14:paraId="2B05B21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R3</w:t>
            </w:r>
          </w:p>
        </w:tc>
        <w:tc>
          <w:tcPr>
            <w:tcW w:w="884" w:type="dxa"/>
            <w:tcBorders>
              <w:top w:val="single" w:sz="12" w:space="0" w:color="009644"/>
              <w:bottom w:val="single" w:sz="4" w:space="0" w:color="009644"/>
            </w:tcBorders>
            <w:shd w:val="clear" w:color="auto" w:fill="auto"/>
            <w:vAlign w:val="center"/>
          </w:tcPr>
          <w:p w14:paraId="148DD108"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Average</w:t>
            </w:r>
          </w:p>
        </w:tc>
        <w:tc>
          <w:tcPr>
            <w:tcW w:w="1475" w:type="dxa"/>
            <w:tcBorders>
              <w:top w:val="single" w:sz="12" w:space="0" w:color="009644"/>
              <w:bottom w:val="single" w:sz="4" w:space="0" w:color="009644"/>
            </w:tcBorders>
            <w:shd w:val="clear" w:color="auto" w:fill="auto"/>
            <w:vAlign w:val="center"/>
          </w:tcPr>
          <w:p w14:paraId="1F98EDFC"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Absolut mistake</w:t>
            </w:r>
          </w:p>
        </w:tc>
        <w:tc>
          <w:tcPr>
            <w:tcW w:w="1418" w:type="dxa"/>
            <w:tcBorders>
              <w:top w:val="single" w:sz="12" w:space="0" w:color="009644"/>
              <w:bottom w:val="single" w:sz="4" w:space="0" w:color="009644"/>
            </w:tcBorders>
          </w:tcPr>
          <w:p w14:paraId="04A4B602" w14:textId="665E8A8F" w:rsidR="00A13FE1" w:rsidRPr="00A13FE1" w:rsidRDefault="00A13FE1" w:rsidP="00F84829">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Reduction (%)</w:t>
            </w:r>
          </w:p>
        </w:tc>
      </w:tr>
      <w:tr w:rsidR="00A13FE1" w:rsidRPr="00A13FE1" w14:paraId="6D420C00" w14:textId="77777777" w:rsidTr="00F84829">
        <w:trPr>
          <w:trHeight w:val="322"/>
        </w:trPr>
        <w:tc>
          <w:tcPr>
            <w:tcW w:w="1187" w:type="dxa"/>
            <w:tcBorders>
              <w:top w:val="single" w:sz="4" w:space="0" w:color="009644"/>
            </w:tcBorders>
            <w:shd w:val="clear" w:color="auto" w:fill="auto"/>
            <w:noWrap/>
            <w:vAlign w:val="bottom"/>
            <w:hideMark/>
          </w:tcPr>
          <w:p w14:paraId="676FF7B2"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T1</w:t>
            </w:r>
          </w:p>
        </w:tc>
        <w:tc>
          <w:tcPr>
            <w:tcW w:w="1844" w:type="dxa"/>
            <w:tcBorders>
              <w:top w:val="single" w:sz="4" w:space="0" w:color="009644"/>
            </w:tcBorders>
            <w:shd w:val="clear" w:color="auto" w:fill="auto"/>
            <w:vAlign w:val="center"/>
            <w:hideMark/>
          </w:tcPr>
          <w:p w14:paraId="4D7E6684" w14:textId="77777777" w:rsidR="00A13FE1" w:rsidRPr="00A13FE1" w:rsidRDefault="00A13FE1" w:rsidP="007835DD">
            <w:pPr>
              <w:tabs>
                <w:tab w:val="clear" w:pos="7100"/>
              </w:tabs>
              <w:spacing w:line="240" w:lineRule="auto"/>
              <w:jc w:val="center"/>
              <w:rPr>
                <w:rFonts w:cs="Arial"/>
                <w:color w:val="000000"/>
                <w:szCs w:val="18"/>
                <w:lang w:val="en-US" w:eastAsia="es-PE"/>
              </w:rPr>
            </w:pPr>
            <w:proofErr w:type="spellStart"/>
            <w:r w:rsidRPr="00A13FE1">
              <w:rPr>
                <w:rFonts w:cs="Arial"/>
                <w:color w:val="000000"/>
                <w:szCs w:val="18"/>
                <w:lang w:val="en-US" w:eastAsia="es-PE"/>
              </w:rPr>
              <w:t>Aldrín</w:t>
            </w:r>
            <w:proofErr w:type="spellEnd"/>
            <w:r w:rsidRPr="00A13FE1">
              <w:rPr>
                <w:rFonts w:cs="Arial"/>
                <w:color w:val="000000"/>
                <w:szCs w:val="18"/>
                <w:lang w:val="en-US" w:eastAsia="es-PE"/>
              </w:rPr>
              <w:t xml:space="preserve"> (mg/kg)</w:t>
            </w:r>
          </w:p>
        </w:tc>
        <w:tc>
          <w:tcPr>
            <w:tcW w:w="535" w:type="dxa"/>
            <w:tcBorders>
              <w:top w:val="single" w:sz="4" w:space="0" w:color="009644"/>
            </w:tcBorders>
            <w:shd w:val="clear" w:color="auto" w:fill="auto"/>
            <w:vAlign w:val="center"/>
            <w:hideMark/>
          </w:tcPr>
          <w:p w14:paraId="052FC3A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2.4</w:t>
            </w:r>
          </w:p>
        </w:tc>
        <w:tc>
          <w:tcPr>
            <w:tcW w:w="723" w:type="dxa"/>
            <w:tcBorders>
              <w:top w:val="single" w:sz="4" w:space="0" w:color="009644"/>
            </w:tcBorders>
            <w:shd w:val="clear" w:color="auto" w:fill="auto"/>
            <w:vAlign w:val="center"/>
            <w:hideMark/>
          </w:tcPr>
          <w:p w14:paraId="14718E2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2.4</w:t>
            </w:r>
          </w:p>
        </w:tc>
        <w:tc>
          <w:tcPr>
            <w:tcW w:w="723" w:type="dxa"/>
            <w:tcBorders>
              <w:top w:val="single" w:sz="4" w:space="0" w:color="009644"/>
            </w:tcBorders>
            <w:shd w:val="clear" w:color="auto" w:fill="auto"/>
            <w:vAlign w:val="center"/>
            <w:hideMark/>
          </w:tcPr>
          <w:p w14:paraId="63670F4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2.39</w:t>
            </w:r>
          </w:p>
        </w:tc>
        <w:tc>
          <w:tcPr>
            <w:tcW w:w="884" w:type="dxa"/>
            <w:tcBorders>
              <w:top w:val="single" w:sz="4" w:space="0" w:color="009644"/>
            </w:tcBorders>
            <w:shd w:val="clear" w:color="auto" w:fill="auto"/>
            <w:vAlign w:val="center"/>
            <w:hideMark/>
          </w:tcPr>
          <w:p w14:paraId="03C2484D"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2.40</w:t>
            </w:r>
          </w:p>
        </w:tc>
        <w:tc>
          <w:tcPr>
            <w:tcW w:w="1475" w:type="dxa"/>
            <w:tcBorders>
              <w:top w:val="single" w:sz="4" w:space="0" w:color="009644"/>
            </w:tcBorders>
            <w:shd w:val="clear" w:color="auto" w:fill="auto"/>
            <w:vAlign w:val="bottom"/>
            <w:hideMark/>
          </w:tcPr>
          <w:p w14:paraId="4F5C713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0.00</w:t>
            </w:r>
          </w:p>
        </w:tc>
        <w:tc>
          <w:tcPr>
            <w:tcW w:w="1418" w:type="dxa"/>
            <w:tcBorders>
              <w:top w:val="single" w:sz="4" w:space="0" w:color="009644"/>
            </w:tcBorders>
          </w:tcPr>
          <w:p w14:paraId="28700A26"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20</w:t>
            </w:r>
          </w:p>
        </w:tc>
      </w:tr>
      <w:tr w:rsidR="00A13FE1" w:rsidRPr="00A13FE1" w14:paraId="27EDA1B5" w14:textId="77777777" w:rsidTr="00F84829">
        <w:trPr>
          <w:trHeight w:val="322"/>
        </w:trPr>
        <w:tc>
          <w:tcPr>
            <w:tcW w:w="1187" w:type="dxa"/>
            <w:shd w:val="clear" w:color="auto" w:fill="auto"/>
            <w:noWrap/>
            <w:vAlign w:val="bottom"/>
            <w:hideMark/>
          </w:tcPr>
          <w:p w14:paraId="19D33EAF"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T2</w:t>
            </w:r>
          </w:p>
        </w:tc>
        <w:tc>
          <w:tcPr>
            <w:tcW w:w="1844" w:type="dxa"/>
            <w:shd w:val="clear" w:color="auto" w:fill="auto"/>
            <w:vAlign w:val="center"/>
            <w:hideMark/>
          </w:tcPr>
          <w:p w14:paraId="58187B97" w14:textId="77777777" w:rsidR="00A13FE1" w:rsidRPr="00A13FE1" w:rsidRDefault="00A13FE1" w:rsidP="007835DD">
            <w:pPr>
              <w:tabs>
                <w:tab w:val="clear" w:pos="7100"/>
              </w:tabs>
              <w:spacing w:line="240" w:lineRule="auto"/>
              <w:jc w:val="center"/>
              <w:rPr>
                <w:rFonts w:cs="Arial"/>
                <w:color w:val="000000"/>
                <w:szCs w:val="18"/>
                <w:lang w:val="en-US" w:eastAsia="es-PE"/>
              </w:rPr>
            </w:pPr>
            <w:proofErr w:type="spellStart"/>
            <w:r w:rsidRPr="00A13FE1">
              <w:rPr>
                <w:rFonts w:cs="Arial"/>
                <w:color w:val="000000"/>
                <w:szCs w:val="18"/>
                <w:lang w:val="en-US" w:eastAsia="es-PE"/>
              </w:rPr>
              <w:t>Aldrín</w:t>
            </w:r>
            <w:proofErr w:type="spellEnd"/>
            <w:r w:rsidRPr="00A13FE1">
              <w:rPr>
                <w:rFonts w:cs="Arial"/>
                <w:color w:val="000000"/>
                <w:szCs w:val="18"/>
                <w:lang w:val="en-US" w:eastAsia="es-PE"/>
              </w:rPr>
              <w:t xml:space="preserve"> (mg/kg)</w:t>
            </w:r>
          </w:p>
        </w:tc>
        <w:tc>
          <w:tcPr>
            <w:tcW w:w="535" w:type="dxa"/>
            <w:shd w:val="clear" w:color="auto" w:fill="auto"/>
            <w:vAlign w:val="center"/>
            <w:hideMark/>
          </w:tcPr>
          <w:p w14:paraId="3E4A3CA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1.32</w:t>
            </w:r>
          </w:p>
        </w:tc>
        <w:tc>
          <w:tcPr>
            <w:tcW w:w="723" w:type="dxa"/>
            <w:shd w:val="clear" w:color="auto" w:fill="auto"/>
            <w:vAlign w:val="center"/>
            <w:hideMark/>
          </w:tcPr>
          <w:p w14:paraId="4105A29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1.34</w:t>
            </w:r>
          </w:p>
        </w:tc>
        <w:tc>
          <w:tcPr>
            <w:tcW w:w="723" w:type="dxa"/>
            <w:shd w:val="clear" w:color="auto" w:fill="auto"/>
            <w:vAlign w:val="center"/>
            <w:hideMark/>
          </w:tcPr>
          <w:p w14:paraId="103C59F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1.31</w:t>
            </w:r>
          </w:p>
        </w:tc>
        <w:tc>
          <w:tcPr>
            <w:tcW w:w="884" w:type="dxa"/>
            <w:shd w:val="clear" w:color="auto" w:fill="auto"/>
            <w:vAlign w:val="center"/>
            <w:hideMark/>
          </w:tcPr>
          <w:p w14:paraId="76545F6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1.32</w:t>
            </w:r>
          </w:p>
        </w:tc>
        <w:tc>
          <w:tcPr>
            <w:tcW w:w="1475" w:type="dxa"/>
            <w:shd w:val="clear" w:color="auto" w:fill="auto"/>
            <w:vAlign w:val="bottom"/>
            <w:hideMark/>
          </w:tcPr>
          <w:p w14:paraId="1DDBCF6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0.01</w:t>
            </w:r>
          </w:p>
        </w:tc>
        <w:tc>
          <w:tcPr>
            <w:tcW w:w="1418" w:type="dxa"/>
          </w:tcPr>
          <w:p w14:paraId="14AF6620"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56</w:t>
            </w:r>
          </w:p>
        </w:tc>
      </w:tr>
      <w:tr w:rsidR="00A13FE1" w:rsidRPr="00A13FE1" w14:paraId="6B9E511B" w14:textId="77777777" w:rsidTr="00F84829">
        <w:trPr>
          <w:trHeight w:val="322"/>
        </w:trPr>
        <w:tc>
          <w:tcPr>
            <w:tcW w:w="1187" w:type="dxa"/>
            <w:shd w:val="clear" w:color="auto" w:fill="auto"/>
            <w:noWrap/>
            <w:vAlign w:val="bottom"/>
            <w:hideMark/>
          </w:tcPr>
          <w:p w14:paraId="62616C8D" w14:textId="77777777" w:rsidR="00A13FE1" w:rsidRPr="00A13FE1" w:rsidRDefault="00A13FE1" w:rsidP="007835DD">
            <w:pPr>
              <w:tabs>
                <w:tab w:val="clear" w:pos="7100"/>
              </w:tabs>
              <w:spacing w:line="240" w:lineRule="auto"/>
              <w:jc w:val="left"/>
              <w:rPr>
                <w:rFonts w:ascii="Calibri" w:hAnsi="Calibri" w:cs="Calibri"/>
                <w:color w:val="000000"/>
                <w:sz w:val="22"/>
                <w:szCs w:val="22"/>
                <w:lang w:val="en-US" w:eastAsia="es-PE"/>
              </w:rPr>
            </w:pPr>
            <w:r w:rsidRPr="00A13FE1">
              <w:rPr>
                <w:rFonts w:ascii="Calibri" w:hAnsi="Calibri" w:cs="Calibri"/>
                <w:color w:val="000000"/>
                <w:sz w:val="22"/>
                <w:szCs w:val="22"/>
                <w:lang w:val="en-US" w:eastAsia="es-PE"/>
              </w:rPr>
              <w:t>T3</w:t>
            </w:r>
          </w:p>
        </w:tc>
        <w:tc>
          <w:tcPr>
            <w:tcW w:w="1844" w:type="dxa"/>
            <w:shd w:val="clear" w:color="auto" w:fill="auto"/>
            <w:vAlign w:val="center"/>
            <w:hideMark/>
          </w:tcPr>
          <w:p w14:paraId="4E8E4838" w14:textId="77777777" w:rsidR="00A13FE1" w:rsidRPr="00A13FE1" w:rsidRDefault="00A13FE1" w:rsidP="007835DD">
            <w:pPr>
              <w:tabs>
                <w:tab w:val="clear" w:pos="7100"/>
              </w:tabs>
              <w:spacing w:line="240" w:lineRule="auto"/>
              <w:jc w:val="center"/>
              <w:rPr>
                <w:rFonts w:cs="Arial"/>
                <w:color w:val="000000"/>
                <w:szCs w:val="18"/>
                <w:lang w:val="en-US" w:eastAsia="es-PE"/>
              </w:rPr>
            </w:pPr>
            <w:proofErr w:type="spellStart"/>
            <w:r w:rsidRPr="00A13FE1">
              <w:rPr>
                <w:rFonts w:cs="Arial"/>
                <w:color w:val="000000"/>
                <w:szCs w:val="18"/>
                <w:lang w:val="en-US" w:eastAsia="es-PE"/>
              </w:rPr>
              <w:t>Aldrín</w:t>
            </w:r>
            <w:proofErr w:type="spellEnd"/>
            <w:r w:rsidRPr="00A13FE1">
              <w:rPr>
                <w:rFonts w:cs="Arial"/>
                <w:color w:val="000000"/>
                <w:szCs w:val="18"/>
                <w:lang w:val="en-US" w:eastAsia="es-PE"/>
              </w:rPr>
              <w:t xml:space="preserve"> (mg/kg)</w:t>
            </w:r>
          </w:p>
        </w:tc>
        <w:tc>
          <w:tcPr>
            <w:tcW w:w="535" w:type="dxa"/>
            <w:shd w:val="clear" w:color="auto" w:fill="auto"/>
            <w:vAlign w:val="center"/>
            <w:hideMark/>
          </w:tcPr>
          <w:p w14:paraId="437574DE"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0.93</w:t>
            </w:r>
          </w:p>
        </w:tc>
        <w:tc>
          <w:tcPr>
            <w:tcW w:w="723" w:type="dxa"/>
            <w:shd w:val="clear" w:color="auto" w:fill="auto"/>
            <w:vAlign w:val="center"/>
            <w:hideMark/>
          </w:tcPr>
          <w:p w14:paraId="0C115167"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0.9</w:t>
            </w:r>
          </w:p>
        </w:tc>
        <w:tc>
          <w:tcPr>
            <w:tcW w:w="723" w:type="dxa"/>
            <w:shd w:val="clear" w:color="auto" w:fill="auto"/>
            <w:vAlign w:val="center"/>
            <w:hideMark/>
          </w:tcPr>
          <w:p w14:paraId="0F6C8D59"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0.91</w:t>
            </w:r>
          </w:p>
        </w:tc>
        <w:tc>
          <w:tcPr>
            <w:tcW w:w="884" w:type="dxa"/>
            <w:shd w:val="clear" w:color="auto" w:fill="auto"/>
            <w:vAlign w:val="center"/>
            <w:hideMark/>
          </w:tcPr>
          <w:p w14:paraId="52775A42"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0.91</w:t>
            </w:r>
          </w:p>
        </w:tc>
        <w:tc>
          <w:tcPr>
            <w:tcW w:w="1475" w:type="dxa"/>
            <w:shd w:val="clear" w:color="auto" w:fill="auto"/>
            <w:vAlign w:val="bottom"/>
            <w:hideMark/>
          </w:tcPr>
          <w:p w14:paraId="47CE8864"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0.01</w:t>
            </w:r>
          </w:p>
        </w:tc>
        <w:tc>
          <w:tcPr>
            <w:tcW w:w="1418" w:type="dxa"/>
          </w:tcPr>
          <w:p w14:paraId="59534C2D" w14:textId="77777777" w:rsidR="00A13FE1" w:rsidRPr="00A13FE1" w:rsidRDefault="00A13FE1" w:rsidP="007835DD">
            <w:pPr>
              <w:tabs>
                <w:tab w:val="clear" w:pos="7100"/>
              </w:tabs>
              <w:spacing w:line="240" w:lineRule="auto"/>
              <w:jc w:val="center"/>
              <w:rPr>
                <w:rFonts w:cs="Arial"/>
                <w:color w:val="000000"/>
                <w:szCs w:val="18"/>
                <w:lang w:val="en-US" w:eastAsia="es-PE"/>
              </w:rPr>
            </w:pPr>
            <w:r w:rsidRPr="00A13FE1">
              <w:rPr>
                <w:rFonts w:cs="Arial"/>
                <w:color w:val="000000"/>
                <w:szCs w:val="18"/>
                <w:lang w:val="en-US" w:eastAsia="es-PE"/>
              </w:rPr>
              <w:t>70</w:t>
            </w:r>
          </w:p>
        </w:tc>
      </w:tr>
    </w:tbl>
    <w:p w14:paraId="339A7531" w14:textId="77777777" w:rsidR="00A13FE1" w:rsidRDefault="00A13FE1" w:rsidP="00A13FE1">
      <w:pPr>
        <w:pStyle w:val="CETBodytext"/>
        <w:rPr>
          <w:lang w:val="es-PE"/>
        </w:rPr>
      </w:pPr>
    </w:p>
    <w:p w14:paraId="55DBC4DB" w14:textId="339EB352" w:rsidR="002F5F73" w:rsidRDefault="00A13FE1" w:rsidP="00D66B2D">
      <w:pPr>
        <w:pStyle w:val="CETCaption"/>
        <w:spacing w:before="0" w:after="0"/>
        <w:rPr>
          <w:i w:val="0"/>
          <w:iCs/>
          <w:lang w:val="en-US"/>
        </w:rPr>
      </w:pPr>
      <w:r w:rsidRPr="00A13FE1">
        <w:rPr>
          <w:i w:val="0"/>
          <w:iCs/>
          <w:lang w:val="en-US"/>
        </w:rPr>
        <w:t>Initially, the Aldrin concentration was 3.01 mg/kg in dry mass and the concentration of the contaminant in the samples treated with biosolids decreased according to the percentage of biosolids applied, demonstrating the effectiveness of biosolids as a carbonaceous agent to improve contaminated soil (Saito et al., 2011), complying with the soil quality standard of the Peruvian regulations (Ministry of Environment, 2013). In all replicates there was a reduction of the pollutant Aldrin, with the highest concentration reduction in treatment T3.</w:t>
      </w:r>
      <w:r w:rsidR="00C31EDF">
        <w:rPr>
          <w:i w:val="0"/>
          <w:iCs/>
          <w:lang w:val="en-US"/>
        </w:rPr>
        <w:t xml:space="preserve"> </w:t>
      </w:r>
      <w:r w:rsidR="00C31EDF" w:rsidRPr="00C31EDF">
        <w:rPr>
          <w:i w:val="0"/>
          <w:iCs/>
          <w:lang w:val="en-US"/>
        </w:rPr>
        <w:t>The mechanism for the reduction of Aldrin was due to the adsorption capacity of biosolids, facilitated by the presence of organic matter, which absorbs organochlorine compounds such as Aldrin, which have low solubility in water, but high liposubility (so they are prone to accumulate in animal and plant fatty deposits); This adsorption can be influenced by factors such as pH, particle size, temperature and contact time (Espinoza, et al., 1995).</w:t>
      </w:r>
    </w:p>
    <w:p w14:paraId="0AF2E141" w14:textId="54843091" w:rsidR="00BC5CE5" w:rsidRPr="00AC3971" w:rsidRDefault="00BC5CE5" w:rsidP="00D66B2D">
      <w:pPr>
        <w:pStyle w:val="CETCaption"/>
        <w:spacing w:before="0" w:after="0"/>
        <w:rPr>
          <w:i w:val="0"/>
          <w:iCs/>
          <w:lang w:val="en-US"/>
        </w:rPr>
      </w:pPr>
      <w:r w:rsidRPr="00BC5CE5">
        <w:rPr>
          <w:i w:val="0"/>
          <w:iCs/>
          <w:lang w:val="en-US"/>
        </w:rPr>
        <w:t>The study demonstrates that the biosolid allows for improving the quality of soil contaminated with Aldrin, reducing its concentration; Therefore, tests are continuing to determine the saturation point of the biosolid of the wastewater treatment plant in the Carabayllo area, that is, the optimal percentage for its use, instead of being disposed of as waste.</w:t>
      </w:r>
    </w:p>
    <w:p w14:paraId="68D26B83" w14:textId="0AA80B38" w:rsidR="00600535" w:rsidRPr="00B57B36" w:rsidRDefault="00600535" w:rsidP="00600535">
      <w:pPr>
        <w:pStyle w:val="CETHeading1"/>
        <w:rPr>
          <w:lang w:val="en-GB"/>
        </w:rPr>
      </w:pPr>
      <w:r w:rsidRPr="00B57B36">
        <w:rPr>
          <w:lang w:val="en-GB"/>
        </w:rPr>
        <w:t>Conclusion</w:t>
      </w:r>
    </w:p>
    <w:p w14:paraId="66FFEE64" w14:textId="79FE0B51" w:rsidR="00AB2F9D" w:rsidRPr="00AC3971" w:rsidRDefault="00A13FE1" w:rsidP="00013C64">
      <w:pPr>
        <w:pStyle w:val="CETBodytext"/>
        <w:rPr>
          <w:lang w:val="en-US"/>
        </w:rPr>
      </w:pPr>
      <w:r w:rsidRPr="00A13FE1">
        <w:rPr>
          <w:lang w:val="en-US"/>
        </w:rPr>
        <w:t>Based on the results obtained, it was established that the behavior of the biosolids with each treatment dose (10 %, 20 % and 30 %) reduces the Aldrin contaminant in the agricultural soil, and the effect of this element on the microorganisms present in the soil (actinomycetes) increases the capacity of this bioremediator to improve the physicochemical properties of the soil; however, it is the treatment with 30 % of biosolids that obtained the best results, reducing 70 % of the agrochemical Aldrin. This result will allow future trials at the experimental field level to remediate and improve the quality of agricultural soils degraded by these fertilizers.</w:t>
      </w:r>
    </w:p>
    <w:p w14:paraId="459D05E6" w14:textId="77777777" w:rsidR="00600535" w:rsidRPr="00B57B36" w:rsidRDefault="00600535" w:rsidP="00600535">
      <w:pPr>
        <w:pStyle w:val="CETAcknowledgementstitle"/>
      </w:pPr>
      <w:r w:rsidRPr="00B57B36">
        <w:t>Acknowledgments</w:t>
      </w:r>
    </w:p>
    <w:p w14:paraId="33F8138F" w14:textId="426B4542" w:rsidR="00600535" w:rsidRPr="00ED5491" w:rsidRDefault="00306BF0" w:rsidP="00600535">
      <w:pPr>
        <w:pStyle w:val="CETBodytext"/>
        <w:rPr>
          <w:lang w:val="en-GB"/>
        </w:rPr>
      </w:pPr>
      <w:r w:rsidRPr="00306BF0">
        <w:rPr>
          <w:lang w:val="en-GB"/>
        </w:rPr>
        <w:t>The authors would like to thank the Vice-Rectorate of Research of the Universidad César Vallejo for the financial support for the dissemination of this scientific work</w:t>
      </w:r>
      <w:r w:rsidR="00B863AF" w:rsidRPr="00ED5491">
        <w:rPr>
          <w:lang w:val="en-GB"/>
        </w:rPr>
        <w:t>.</w:t>
      </w:r>
    </w:p>
    <w:p w14:paraId="4F1327F8" w14:textId="77777777" w:rsidR="00600535" w:rsidRPr="00ED5491" w:rsidRDefault="00600535" w:rsidP="00600535">
      <w:pPr>
        <w:pStyle w:val="CETReference"/>
        <w:rPr>
          <w:lang w:val="en-GB"/>
        </w:rPr>
      </w:pPr>
      <w:r w:rsidRPr="00ED5491">
        <w:rPr>
          <w:lang w:val="en-GB"/>
        </w:rPr>
        <w:t>References</w:t>
      </w:r>
    </w:p>
    <w:p w14:paraId="5ECDCE29" w14:textId="77777777" w:rsidR="00C31EDF" w:rsidRPr="00054CA0" w:rsidRDefault="00C31EDF" w:rsidP="00DA09C2">
      <w:pPr>
        <w:pStyle w:val="CETReferencetext"/>
        <w:rPr>
          <w:noProof/>
          <w:lang w:val="es-PE"/>
        </w:rPr>
      </w:pPr>
      <w:r w:rsidRPr="00054CA0">
        <w:rPr>
          <w:noProof/>
          <w:lang w:val="es-PE"/>
        </w:rPr>
        <w:t>Arias Verdes</w:t>
      </w:r>
      <w:r>
        <w:rPr>
          <w:noProof/>
          <w:lang w:val="es-PE"/>
        </w:rPr>
        <w:t xml:space="preserve"> </w:t>
      </w:r>
      <w:r w:rsidRPr="00054CA0">
        <w:rPr>
          <w:noProof/>
          <w:lang w:val="es-PE"/>
        </w:rPr>
        <w:t>J. A., Rojas Companioni</w:t>
      </w:r>
      <w:r>
        <w:rPr>
          <w:noProof/>
          <w:lang w:val="es-PE"/>
        </w:rPr>
        <w:t xml:space="preserve"> </w:t>
      </w:r>
      <w:r w:rsidRPr="00054CA0">
        <w:rPr>
          <w:noProof/>
          <w:lang w:val="es-PE"/>
        </w:rPr>
        <w:t>D., Dierkmeier Corcuela</w:t>
      </w:r>
      <w:r>
        <w:rPr>
          <w:noProof/>
          <w:lang w:val="es-PE"/>
        </w:rPr>
        <w:t xml:space="preserve"> </w:t>
      </w:r>
      <w:r w:rsidRPr="00054CA0">
        <w:rPr>
          <w:noProof/>
          <w:lang w:val="es-PE"/>
        </w:rPr>
        <w:t>G., Riera Betancourt</w:t>
      </w:r>
      <w:r>
        <w:rPr>
          <w:noProof/>
          <w:lang w:val="es-PE"/>
        </w:rPr>
        <w:t xml:space="preserve"> </w:t>
      </w:r>
      <w:r w:rsidRPr="00054CA0">
        <w:rPr>
          <w:noProof/>
          <w:lang w:val="es-PE"/>
        </w:rPr>
        <w:t>C., &amp; Cabrera Cruz</w:t>
      </w:r>
      <w:r>
        <w:rPr>
          <w:noProof/>
          <w:lang w:val="es-PE"/>
        </w:rPr>
        <w:t xml:space="preserve"> </w:t>
      </w:r>
      <w:r w:rsidRPr="00054CA0">
        <w:rPr>
          <w:noProof/>
          <w:lang w:val="es-PE"/>
        </w:rPr>
        <w:t>N.</w:t>
      </w:r>
      <w:r>
        <w:rPr>
          <w:noProof/>
          <w:lang w:val="es-PE"/>
        </w:rPr>
        <w:t xml:space="preserve">, </w:t>
      </w:r>
      <w:r w:rsidRPr="00054CA0">
        <w:rPr>
          <w:noProof/>
          <w:lang w:val="es-PE"/>
        </w:rPr>
        <w:t>1990</w:t>
      </w:r>
      <w:r>
        <w:rPr>
          <w:noProof/>
          <w:lang w:val="es-PE"/>
        </w:rPr>
        <w:t xml:space="preserve">, </w:t>
      </w:r>
      <w:r w:rsidRPr="00DA09C2">
        <w:rPr>
          <w:noProof/>
          <w:lang w:val="es-PE"/>
        </w:rPr>
        <w:t>Surveillance Series 9: Organochlorine Pesticides</w:t>
      </w:r>
      <w:r>
        <w:rPr>
          <w:noProof/>
          <w:lang w:val="es-PE"/>
        </w:rPr>
        <w:t xml:space="preserve">, [in Spanish], </w:t>
      </w:r>
      <w:r w:rsidRPr="00DA09C2">
        <w:rPr>
          <w:noProof/>
          <w:lang w:val="es-PE"/>
        </w:rPr>
        <w:t>Pan American Center for Human Ecology and Health.</w:t>
      </w:r>
    </w:p>
    <w:p w14:paraId="186AF614" w14:textId="77777777" w:rsidR="00C31EDF" w:rsidRPr="00054CA0" w:rsidRDefault="00C31EDF" w:rsidP="00DA09C2">
      <w:pPr>
        <w:pStyle w:val="CETReferencetext"/>
        <w:rPr>
          <w:noProof/>
          <w:lang w:val="es-PE"/>
        </w:rPr>
      </w:pPr>
      <w:r w:rsidRPr="00D9276F">
        <w:rPr>
          <w:noProof/>
        </w:rPr>
        <w:t>Bavasso</w:t>
      </w:r>
      <w:r>
        <w:rPr>
          <w:noProof/>
        </w:rPr>
        <w:t xml:space="preserve"> </w:t>
      </w:r>
      <w:r w:rsidRPr="00D9276F">
        <w:rPr>
          <w:noProof/>
        </w:rPr>
        <w:t>I., Vilardi</w:t>
      </w:r>
      <w:r>
        <w:rPr>
          <w:noProof/>
        </w:rPr>
        <w:t xml:space="preserve"> </w:t>
      </w:r>
      <w:r w:rsidRPr="00D9276F">
        <w:rPr>
          <w:noProof/>
        </w:rPr>
        <w:t>G., Stoller</w:t>
      </w:r>
      <w:r>
        <w:rPr>
          <w:noProof/>
        </w:rPr>
        <w:t xml:space="preserve"> </w:t>
      </w:r>
      <w:r w:rsidRPr="00D9276F">
        <w:rPr>
          <w:noProof/>
        </w:rPr>
        <w:t>M., Chianese</w:t>
      </w:r>
      <w:r>
        <w:rPr>
          <w:noProof/>
        </w:rPr>
        <w:t xml:space="preserve"> </w:t>
      </w:r>
      <w:r w:rsidRPr="00D9276F">
        <w:rPr>
          <w:noProof/>
        </w:rPr>
        <w:t>A., &amp; Di Palma</w:t>
      </w:r>
      <w:r>
        <w:rPr>
          <w:noProof/>
        </w:rPr>
        <w:t xml:space="preserve"> </w:t>
      </w:r>
      <w:r w:rsidRPr="00D9276F">
        <w:rPr>
          <w:noProof/>
        </w:rPr>
        <w:t>L.</w:t>
      </w:r>
      <w:r>
        <w:rPr>
          <w:noProof/>
        </w:rPr>
        <w:t xml:space="preserve">, </w:t>
      </w:r>
      <w:r w:rsidRPr="00D9276F">
        <w:rPr>
          <w:noProof/>
        </w:rPr>
        <w:t>2016</w:t>
      </w:r>
      <w:r>
        <w:rPr>
          <w:noProof/>
        </w:rPr>
        <w:t xml:space="preserve">, </w:t>
      </w:r>
      <w:r w:rsidRPr="00D9276F">
        <w:rPr>
          <w:noProof/>
        </w:rPr>
        <w:t xml:space="preserve">Perspectives in nanotechnology based innovative applications for the environment. </w:t>
      </w:r>
      <w:r w:rsidRPr="00DA09C2">
        <w:rPr>
          <w:noProof/>
          <w:lang w:val="es-PE"/>
        </w:rPr>
        <w:t>Chemical Engineering Transactions, 47</w:t>
      </w:r>
      <w:r w:rsidRPr="00054CA0">
        <w:rPr>
          <w:noProof/>
          <w:lang w:val="es-PE"/>
        </w:rPr>
        <w:t xml:space="preserve">, 55–60. </w:t>
      </w:r>
      <w:r>
        <w:rPr>
          <w:noProof/>
          <w:lang w:val="es-PE"/>
        </w:rPr>
        <w:t>&lt;</w:t>
      </w:r>
      <w:r w:rsidRPr="00054CA0">
        <w:rPr>
          <w:noProof/>
          <w:lang w:val="es-PE"/>
        </w:rPr>
        <w:t>doi.org/10.3303/CET1647010</w:t>
      </w:r>
      <w:r>
        <w:rPr>
          <w:noProof/>
          <w:lang w:val="es-PE"/>
        </w:rPr>
        <w:t xml:space="preserve">˃ </w:t>
      </w:r>
      <w:proofErr w:type="spellStart"/>
      <w:r w:rsidRPr="00126163">
        <w:rPr>
          <w:lang w:val="es-PE"/>
        </w:rPr>
        <w:t>accessed</w:t>
      </w:r>
      <w:proofErr w:type="spellEnd"/>
      <w:r w:rsidRPr="00126163">
        <w:rPr>
          <w:lang w:val="es-PE"/>
        </w:rPr>
        <w:t xml:space="preserve"> 05.01.2024.</w:t>
      </w:r>
    </w:p>
    <w:p w14:paraId="5A6F286B" w14:textId="77777777" w:rsidR="00C31EDF" w:rsidRPr="00D9276F" w:rsidRDefault="00C31EDF" w:rsidP="00DA09C2">
      <w:pPr>
        <w:pStyle w:val="CETReferencetext"/>
        <w:rPr>
          <w:noProof/>
        </w:rPr>
      </w:pPr>
      <w:r w:rsidRPr="00054CA0">
        <w:rPr>
          <w:noProof/>
          <w:lang w:val="es-PE"/>
        </w:rPr>
        <w:t>Benites-Alfaro</w:t>
      </w:r>
      <w:r>
        <w:rPr>
          <w:noProof/>
          <w:lang w:val="es-PE"/>
        </w:rPr>
        <w:t xml:space="preserve"> </w:t>
      </w:r>
      <w:r w:rsidRPr="00054CA0">
        <w:rPr>
          <w:noProof/>
          <w:lang w:val="es-PE"/>
        </w:rPr>
        <w:t>E., Silva Carhuatocto</w:t>
      </w:r>
      <w:r>
        <w:rPr>
          <w:noProof/>
          <w:lang w:val="es-PE"/>
        </w:rPr>
        <w:t xml:space="preserve"> </w:t>
      </w:r>
      <w:r w:rsidRPr="00054CA0">
        <w:rPr>
          <w:noProof/>
          <w:lang w:val="es-PE"/>
        </w:rPr>
        <w:t>L. M., Guanilo Iñigo</w:t>
      </w:r>
      <w:r>
        <w:rPr>
          <w:noProof/>
          <w:lang w:val="es-PE"/>
        </w:rPr>
        <w:t xml:space="preserve"> </w:t>
      </w:r>
      <w:r w:rsidRPr="00054CA0">
        <w:rPr>
          <w:noProof/>
          <w:lang w:val="es-PE"/>
        </w:rPr>
        <w:t>A. P., Nakayo</w:t>
      </w:r>
      <w:r>
        <w:rPr>
          <w:noProof/>
          <w:lang w:val="es-PE"/>
        </w:rPr>
        <w:t xml:space="preserve"> </w:t>
      </w:r>
      <w:r w:rsidRPr="00054CA0">
        <w:rPr>
          <w:noProof/>
          <w:lang w:val="es-PE"/>
        </w:rPr>
        <w:t>J. J., Castañeda-Olivera, C. A., Lizarzaburu-Aguinaga</w:t>
      </w:r>
      <w:r>
        <w:rPr>
          <w:noProof/>
          <w:lang w:val="es-PE"/>
        </w:rPr>
        <w:t xml:space="preserve"> </w:t>
      </w:r>
      <w:r w:rsidRPr="00054CA0">
        <w:rPr>
          <w:noProof/>
          <w:lang w:val="es-PE"/>
        </w:rPr>
        <w:t>D. A., &amp; Cabrera Carranza</w:t>
      </w:r>
      <w:r>
        <w:rPr>
          <w:noProof/>
          <w:lang w:val="es-PE"/>
        </w:rPr>
        <w:t xml:space="preserve"> </w:t>
      </w:r>
      <w:r w:rsidRPr="00054CA0">
        <w:rPr>
          <w:noProof/>
          <w:lang w:val="es-PE"/>
        </w:rPr>
        <w:t>C. F.</w:t>
      </w:r>
      <w:r>
        <w:rPr>
          <w:noProof/>
          <w:lang w:val="es-PE"/>
        </w:rPr>
        <w:t xml:space="preserve">, </w:t>
      </w:r>
      <w:r w:rsidRPr="00054CA0">
        <w:rPr>
          <w:noProof/>
          <w:lang w:val="es-PE"/>
        </w:rPr>
        <w:t>2023</w:t>
      </w:r>
      <w:r>
        <w:rPr>
          <w:noProof/>
          <w:lang w:val="es-PE"/>
        </w:rPr>
        <w:t xml:space="preserve">, </w:t>
      </w:r>
      <w:r w:rsidRPr="00126163">
        <w:rPr>
          <w:noProof/>
          <w:lang w:val="es-PE"/>
        </w:rPr>
        <w:t xml:space="preserve">Pleurotus Ostreatus and Trametes Versicolor </w:t>
      </w:r>
      <w:r w:rsidRPr="00126163">
        <w:rPr>
          <w:noProof/>
          <w:lang w:val="es-PE"/>
        </w:rPr>
        <w:lastRenderedPageBreak/>
        <w:t xml:space="preserve">Fungi to Decontaminate Soils Containing Organophosphates Methamidophos and Cadmium. </w:t>
      </w:r>
      <w:r w:rsidRPr="00D9276F">
        <w:rPr>
          <w:i/>
          <w:iCs/>
          <w:noProof/>
        </w:rPr>
        <w:t>Chemical Engineering Transactions</w:t>
      </w:r>
      <w:r w:rsidRPr="00D9276F">
        <w:rPr>
          <w:noProof/>
        </w:rPr>
        <w:t xml:space="preserve">, </w:t>
      </w:r>
      <w:r w:rsidRPr="00D9276F">
        <w:rPr>
          <w:i/>
          <w:iCs/>
          <w:noProof/>
        </w:rPr>
        <w:t>100</w:t>
      </w:r>
      <w:r w:rsidRPr="00D9276F">
        <w:rPr>
          <w:noProof/>
        </w:rPr>
        <w:t xml:space="preserve">(March), 97–102. </w:t>
      </w:r>
      <w:r>
        <w:rPr>
          <w:noProof/>
        </w:rPr>
        <w:t>&lt;</w:t>
      </w:r>
      <w:r w:rsidRPr="00D9276F">
        <w:rPr>
          <w:noProof/>
        </w:rPr>
        <w:t>doi.org/10.3303/CET23100017</w:t>
      </w:r>
      <w:r>
        <w:rPr>
          <w:noProof/>
        </w:rPr>
        <w:t xml:space="preserve">˃ </w:t>
      </w:r>
      <w:r w:rsidRPr="006B4888">
        <w:t xml:space="preserve">accessed </w:t>
      </w:r>
      <w:r>
        <w:t>1</w:t>
      </w:r>
      <w:r w:rsidRPr="006B4888">
        <w:t>4.</w:t>
      </w:r>
      <w:r>
        <w:t>01.2024.</w:t>
      </w:r>
    </w:p>
    <w:p w14:paraId="756E71D3" w14:textId="77777777" w:rsidR="00C31EDF" w:rsidRPr="00D9276F" w:rsidRDefault="00C31EDF" w:rsidP="00DA09C2">
      <w:pPr>
        <w:pStyle w:val="CETReferencetext"/>
        <w:rPr>
          <w:noProof/>
        </w:rPr>
      </w:pPr>
      <w:r w:rsidRPr="00D9276F">
        <w:rPr>
          <w:noProof/>
        </w:rPr>
        <w:t>Bonelli</w:t>
      </w:r>
      <w:r>
        <w:rPr>
          <w:noProof/>
        </w:rPr>
        <w:t xml:space="preserve"> </w:t>
      </w:r>
      <w:r w:rsidRPr="00D9276F">
        <w:rPr>
          <w:noProof/>
        </w:rPr>
        <w:t>M. G., &amp; Manni</w:t>
      </w:r>
      <w:r>
        <w:rPr>
          <w:noProof/>
        </w:rPr>
        <w:t xml:space="preserve"> </w:t>
      </w:r>
      <w:r w:rsidRPr="00D9276F">
        <w:rPr>
          <w:noProof/>
        </w:rPr>
        <w:t>A.</w:t>
      </w:r>
      <w:r>
        <w:rPr>
          <w:noProof/>
        </w:rPr>
        <w:t xml:space="preserve">, </w:t>
      </w:r>
      <w:r w:rsidRPr="00D9276F">
        <w:rPr>
          <w:noProof/>
        </w:rPr>
        <w:t>2019</w:t>
      </w:r>
      <w:r>
        <w:rPr>
          <w:noProof/>
        </w:rPr>
        <w:t xml:space="preserve">, </w:t>
      </w:r>
      <w:r w:rsidRPr="00D9276F">
        <w:rPr>
          <w:noProof/>
        </w:rPr>
        <w:t xml:space="preserve">Organochlorine pesticides (OCPs) forecasting from heavy metals determinations. </w:t>
      </w:r>
      <w:r w:rsidRPr="00D9276F">
        <w:rPr>
          <w:i/>
          <w:iCs/>
          <w:noProof/>
        </w:rPr>
        <w:t>The Seventh International Conference on Environmental Management, Engineering, Planning &amp; Economics</w:t>
      </w:r>
      <w:r w:rsidRPr="00D9276F">
        <w:rPr>
          <w:noProof/>
        </w:rPr>
        <w:t xml:space="preserve">, </w:t>
      </w:r>
      <w:r w:rsidRPr="00D9276F">
        <w:rPr>
          <w:i/>
          <w:iCs/>
          <w:noProof/>
        </w:rPr>
        <w:t>May</w:t>
      </w:r>
      <w:r w:rsidRPr="00D9276F">
        <w:rPr>
          <w:noProof/>
        </w:rPr>
        <w:t>.</w:t>
      </w:r>
    </w:p>
    <w:p w14:paraId="2911AD81" w14:textId="77777777" w:rsidR="00C31EDF" w:rsidRPr="00054CA0" w:rsidRDefault="00C31EDF" w:rsidP="00DA09C2">
      <w:pPr>
        <w:pStyle w:val="CETReferencetext"/>
        <w:rPr>
          <w:noProof/>
          <w:lang w:val="es-PE"/>
        </w:rPr>
      </w:pPr>
      <w:r w:rsidRPr="00054CA0">
        <w:rPr>
          <w:noProof/>
          <w:lang w:val="es-PE"/>
        </w:rPr>
        <w:t>Consejo Nacional del Ambiente (CONAM).</w:t>
      </w:r>
      <w:r>
        <w:rPr>
          <w:noProof/>
          <w:lang w:val="es-PE"/>
        </w:rPr>
        <w:t xml:space="preserve">, </w:t>
      </w:r>
      <w:r w:rsidRPr="00054CA0">
        <w:rPr>
          <w:noProof/>
          <w:lang w:val="es-PE"/>
        </w:rPr>
        <w:t>2006</w:t>
      </w:r>
      <w:r>
        <w:rPr>
          <w:noProof/>
          <w:lang w:val="es-PE"/>
        </w:rPr>
        <w:t xml:space="preserve">, </w:t>
      </w:r>
      <w:r w:rsidRPr="00054CA0">
        <w:rPr>
          <w:i/>
          <w:iCs/>
          <w:noProof/>
          <w:lang w:val="es-PE"/>
        </w:rPr>
        <w:t>Inventario Nacional de Plaguicidas COP</w:t>
      </w:r>
      <w:r w:rsidRPr="00054CA0">
        <w:rPr>
          <w:noProof/>
          <w:lang w:val="es-PE"/>
        </w:rPr>
        <w:t>.</w:t>
      </w:r>
    </w:p>
    <w:p w14:paraId="2639FF76" w14:textId="77777777" w:rsidR="00C31EDF" w:rsidRPr="00DA09C2" w:rsidRDefault="00C31EDF" w:rsidP="00DA09C2">
      <w:pPr>
        <w:pStyle w:val="CETReferencetext"/>
        <w:rPr>
          <w:noProof/>
          <w:lang w:val="es-PE"/>
        </w:rPr>
      </w:pPr>
      <w:r w:rsidRPr="00054CA0">
        <w:rPr>
          <w:noProof/>
          <w:lang w:val="es-PE"/>
        </w:rPr>
        <w:t>Departamento de Agricultura de Estados Unidos de Norteametica (USDA).</w:t>
      </w:r>
      <w:r>
        <w:rPr>
          <w:noProof/>
          <w:lang w:val="es-PE"/>
        </w:rPr>
        <w:t xml:space="preserve">, </w:t>
      </w:r>
      <w:r w:rsidRPr="00054CA0">
        <w:rPr>
          <w:noProof/>
          <w:lang w:val="es-PE"/>
        </w:rPr>
        <w:t>1999</w:t>
      </w:r>
      <w:r>
        <w:rPr>
          <w:noProof/>
          <w:lang w:val="es-PE"/>
        </w:rPr>
        <w:t xml:space="preserve">, </w:t>
      </w:r>
      <w:r w:rsidRPr="00DA09C2">
        <w:rPr>
          <w:noProof/>
          <w:lang w:val="es-PE"/>
        </w:rPr>
        <w:t>Guide for the Evaluation of Soil Quality and Health [in Spanish].</w:t>
      </w:r>
    </w:p>
    <w:p w14:paraId="1A0A244A" w14:textId="224E4940" w:rsidR="00C31EDF" w:rsidRPr="00126163" w:rsidRDefault="00C31EDF" w:rsidP="00DA09C2">
      <w:pPr>
        <w:pStyle w:val="CETReferencetext"/>
        <w:rPr>
          <w:noProof/>
          <w:lang w:val="es-PE"/>
        </w:rPr>
      </w:pPr>
      <w:r w:rsidRPr="00054CA0">
        <w:rPr>
          <w:noProof/>
          <w:lang w:val="es-PE"/>
        </w:rPr>
        <w:t>Derco</w:t>
      </w:r>
      <w:r>
        <w:rPr>
          <w:noProof/>
          <w:lang w:val="es-PE"/>
        </w:rPr>
        <w:t xml:space="preserve"> </w:t>
      </w:r>
      <w:r w:rsidRPr="00054CA0">
        <w:rPr>
          <w:noProof/>
          <w:lang w:val="es-PE"/>
        </w:rPr>
        <w:t>J., Dudáš</w:t>
      </w:r>
      <w:r>
        <w:rPr>
          <w:noProof/>
          <w:lang w:val="es-PE"/>
        </w:rPr>
        <w:t xml:space="preserve"> </w:t>
      </w:r>
      <w:r w:rsidRPr="00054CA0">
        <w:rPr>
          <w:noProof/>
          <w:lang w:val="es-PE"/>
        </w:rPr>
        <w:t>J., Šilhárová</w:t>
      </w:r>
      <w:r>
        <w:rPr>
          <w:noProof/>
          <w:lang w:val="es-PE"/>
        </w:rPr>
        <w:t xml:space="preserve"> </w:t>
      </w:r>
      <w:r w:rsidRPr="00054CA0">
        <w:rPr>
          <w:noProof/>
          <w:lang w:val="es-PE"/>
        </w:rPr>
        <w:t>K., Valičková</w:t>
      </w:r>
      <w:r>
        <w:rPr>
          <w:noProof/>
          <w:lang w:val="es-PE"/>
        </w:rPr>
        <w:t xml:space="preserve"> </w:t>
      </w:r>
      <w:r w:rsidRPr="00054CA0">
        <w:rPr>
          <w:noProof/>
          <w:lang w:val="es-PE"/>
        </w:rPr>
        <w:t>M., Melicher</w:t>
      </w:r>
      <w:r>
        <w:rPr>
          <w:noProof/>
          <w:lang w:val="es-PE"/>
        </w:rPr>
        <w:t xml:space="preserve"> </w:t>
      </w:r>
      <w:r w:rsidRPr="00054CA0">
        <w:rPr>
          <w:noProof/>
          <w:lang w:val="es-PE"/>
        </w:rPr>
        <w:t>M., &amp; Luptáková</w:t>
      </w:r>
      <w:r>
        <w:rPr>
          <w:noProof/>
          <w:lang w:val="es-PE"/>
        </w:rPr>
        <w:t xml:space="preserve"> </w:t>
      </w:r>
      <w:r w:rsidRPr="00054CA0">
        <w:rPr>
          <w:noProof/>
          <w:lang w:val="es-PE"/>
        </w:rPr>
        <w:t>A</w:t>
      </w:r>
      <w:r>
        <w:rPr>
          <w:noProof/>
          <w:lang w:val="es-PE"/>
        </w:rPr>
        <w:t xml:space="preserve">, </w:t>
      </w:r>
      <w:r w:rsidRPr="00054CA0">
        <w:rPr>
          <w:noProof/>
          <w:lang w:val="es-PE"/>
        </w:rPr>
        <w:t xml:space="preserve">2012. </w:t>
      </w:r>
      <w:r w:rsidRPr="00D9276F">
        <w:rPr>
          <w:noProof/>
        </w:rPr>
        <w:t xml:space="preserve">Removal of selected micropollutants by ozonation. </w:t>
      </w:r>
      <w:r w:rsidRPr="00DA09C2">
        <w:rPr>
          <w:noProof/>
        </w:rPr>
        <w:t>Chemical Engineering Transactions, 29</w:t>
      </w:r>
      <w:r w:rsidRPr="00D9276F">
        <w:rPr>
          <w:noProof/>
        </w:rPr>
        <w:t xml:space="preserve">(2012), 1315–1320. </w:t>
      </w:r>
    </w:p>
    <w:p w14:paraId="121EFD3B" w14:textId="77777777" w:rsidR="00C31EDF" w:rsidRPr="00054CA0" w:rsidRDefault="00C31EDF" w:rsidP="00DA09C2">
      <w:pPr>
        <w:pStyle w:val="CETReferencetext"/>
        <w:rPr>
          <w:noProof/>
          <w:lang w:val="es-PE"/>
        </w:rPr>
      </w:pPr>
      <w:r w:rsidRPr="00054CA0">
        <w:rPr>
          <w:noProof/>
          <w:lang w:val="es-PE"/>
        </w:rPr>
        <w:t xml:space="preserve">Díaz </w:t>
      </w:r>
      <w:r>
        <w:rPr>
          <w:noProof/>
          <w:lang w:val="es-PE"/>
        </w:rPr>
        <w:t>J</w:t>
      </w:r>
      <w:r w:rsidRPr="00054CA0">
        <w:rPr>
          <w:noProof/>
          <w:lang w:val="es-PE"/>
        </w:rPr>
        <w:t xml:space="preserve"> </w:t>
      </w:r>
      <w:r>
        <w:rPr>
          <w:noProof/>
          <w:lang w:val="es-PE"/>
        </w:rPr>
        <w:t>and</w:t>
      </w:r>
      <w:r w:rsidRPr="00054CA0">
        <w:rPr>
          <w:noProof/>
          <w:lang w:val="es-PE"/>
        </w:rPr>
        <w:t xml:space="preserve"> Cifuentes</w:t>
      </w:r>
      <w:r>
        <w:rPr>
          <w:noProof/>
          <w:lang w:val="es-PE"/>
        </w:rPr>
        <w:t xml:space="preserve"> G., 2020</w:t>
      </w:r>
      <w:r w:rsidRPr="00054CA0">
        <w:rPr>
          <w:noProof/>
          <w:lang w:val="es-PE"/>
        </w:rPr>
        <w:t xml:space="preserve">, </w:t>
      </w:r>
      <w:r w:rsidRPr="005E4233">
        <w:rPr>
          <w:noProof/>
          <w:lang w:val="es-PE"/>
        </w:rPr>
        <w:t>From generation to sustainable use: sludge and biosolids from water and wastewater treatment</w:t>
      </w:r>
      <w:r>
        <w:rPr>
          <w:noProof/>
          <w:lang w:val="es-PE"/>
        </w:rPr>
        <w:t xml:space="preserve">, [in Spanish], </w:t>
      </w:r>
      <w:r w:rsidRPr="00054CA0">
        <w:rPr>
          <w:noProof/>
          <w:lang w:val="es-PE"/>
        </w:rPr>
        <w:t>Saneamiento de Lodos y Biosólidos</w:t>
      </w:r>
      <w:r w:rsidRPr="005E4233">
        <w:rPr>
          <w:noProof/>
          <w:lang w:val="es-PE"/>
        </w:rPr>
        <w:t xml:space="preserve"> (Issue December</w:t>
      </w:r>
      <w:r w:rsidRPr="00054CA0">
        <w:rPr>
          <w:noProof/>
          <w:lang w:val="es-PE"/>
        </w:rPr>
        <w:t>)</w:t>
      </w:r>
      <w:r>
        <w:rPr>
          <w:noProof/>
          <w:lang w:val="es-PE"/>
        </w:rPr>
        <w:t xml:space="preserve">, </w:t>
      </w:r>
      <w:r w:rsidRPr="00054CA0">
        <w:rPr>
          <w:noProof/>
          <w:lang w:val="es-PE"/>
        </w:rPr>
        <w:t xml:space="preserve">Universidad de Bocayá. </w:t>
      </w:r>
      <w:r>
        <w:rPr>
          <w:noProof/>
          <w:lang w:val="es-PE"/>
        </w:rPr>
        <w:t>&lt;</w:t>
      </w:r>
      <w:r w:rsidRPr="00054CA0">
        <w:rPr>
          <w:noProof/>
          <w:lang w:val="es-PE"/>
        </w:rPr>
        <w:t>doi.org/10.24267/9789585120136</w:t>
      </w:r>
      <w:r>
        <w:rPr>
          <w:noProof/>
          <w:lang w:val="es-PE"/>
        </w:rPr>
        <w:t xml:space="preserve">˃ </w:t>
      </w:r>
    </w:p>
    <w:p w14:paraId="49E58BD0" w14:textId="62ED67DA" w:rsidR="00C31EDF" w:rsidRDefault="00C31EDF" w:rsidP="00DA09C2">
      <w:pPr>
        <w:pStyle w:val="CETReferencetext"/>
      </w:pPr>
      <w:r w:rsidRPr="00C31EDF">
        <w:t xml:space="preserve">Espinosa, L., Ramírez G. and Campos N., 1995, Analysis of organochlorine residues in the sediments of mangrove areas in the </w:t>
      </w:r>
      <w:proofErr w:type="spellStart"/>
      <w:r w:rsidRPr="00C31EDF">
        <w:t>Cénaga</w:t>
      </w:r>
      <w:proofErr w:type="spellEnd"/>
      <w:r w:rsidRPr="00C31EDF">
        <w:t xml:space="preserve"> Grande of Santa Marta </w:t>
      </w:r>
      <w:proofErr w:type="gramStart"/>
      <w:r w:rsidRPr="00C31EDF">
        <w:t>And</w:t>
      </w:r>
      <w:proofErr w:type="gramEnd"/>
      <w:r w:rsidRPr="00C31EDF">
        <w:t xml:space="preserve"> </w:t>
      </w:r>
      <w:proofErr w:type="spellStart"/>
      <w:r w:rsidRPr="00C31EDF">
        <w:t>Chengue</w:t>
      </w:r>
      <w:proofErr w:type="spellEnd"/>
      <w:r w:rsidRPr="00C31EDF">
        <w:t xml:space="preserve"> Bay, Colombian Caribbean, [in Spanish], </w:t>
      </w:r>
      <w:proofErr w:type="spellStart"/>
      <w:r w:rsidRPr="00C31EDF">
        <w:t>Boletín</w:t>
      </w:r>
      <w:proofErr w:type="spellEnd"/>
      <w:r w:rsidRPr="00C31EDF">
        <w:t xml:space="preserve"> de </w:t>
      </w:r>
      <w:proofErr w:type="spellStart"/>
      <w:r w:rsidRPr="00C31EDF">
        <w:t>Investigaciones</w:t>
      </w:r>
      <w:proofErr w:type="spellEnd"/>
      <w:r w:rsidRPr="00C31EDF">
        <w:t xml:space="preserve"> Marinas y </w:t>
      </w:r>
      <w:proofErr w:type="spellStart"/>
      <w:r w:rsidRPr="00C31EDF">
        <w:t>Costeras</w:t>
      </w:r>
      <w:proofErr w:type="spellEnd"/>
      <w:r w:rsidRPr="00C31EDF">
        <w:t xml:space="preserve"> - INVEMAR, 24(1), 79-94, </w:t>
      </w:r>
    </w:p>
    <w:p w14:paraId="06317A11" w14:textId="77777777" w:rsidR="00C31EDF" w:rsidRPr="00054CA0" w:rsidRDefault="00C31EDF" w:rsidP="00DA09C2">
      <w:pPr>
        <w:pStyle w:val="CETReferencetext"/>
        <w:rPr>
          <w:noProof/>
          <w:lang w:val="es-PE"/>
        </w:rPr>
      </w:pPr>
      <w:r w:rsidRPr="00126163">
        <w:rPr>
          <w:noProof/>
          <w:lang w:val="en-US"/>
        </w:rPr>
        <w:t xml:space="preserve">Franco-correa M., 2010, Use of actinomycetes in processes biofertilization. </w:t>
      </w:r>
      <w:r w:rsidRPr="00054CA0">
        <w:rPr>
          <w:i/>
          <w:iCs/>
          <w:noProof/>
          <w:lang w:val="es-PE"/>
        </w:rPr>
        <w:t>Rev.Peru.Biol.</w:t>
      </w:r>
      <w:r w:rsidRPr="00054CA0">
        <w:rPr>
          <w:noProof/>
          <w:lang w:val="es-PE"/>
        </w:rPr>
        <w:t xml:space="preserve">, </w:t>
      </w:r>
      <w:r w:rsidRPr="00054CA0">
        <w:rPr>
          <w:i/>
          <w:iCs/>
          <w:noProof/>
          <w:lang w:val="es-PE"/>
        </w:rPr>
        <w:t>16</w:t>
      </w:r>
      <w:r w:rsidRPr="00054CA0">
        <w:rPr>
          <w:noProof/>
          <w:lang w:val="es-PE"/>
        </w:rPr>
        <w:t>(2), 239–242.</w:t>
      </w:r>
    </w:p>
    <w:p w14:paraId="332486F0" w14:textId="77777777" w:rsidR="00C31EDF" w:rsidRPr="00054CA0" w:rsidRDefault="00C31EDF" w:rsidP="00DA09C2">
      <w:pPr>
        <w:pStyle w:val="CETReferencetext"/>
        <w:rPr>
          <w:noProof/>
          <w:lang w:val="es-PE"/>
        </w:rPr>
      </w:pPr>
      <w:r w:rsidRPr="00054CA0">
        <w:rPr>
          <w:noProof/>
          <w:lang w:val="es-PE"/>
        </w:rPr>
        <w:t>González Jiménez</w:t>
      </w:r>
      <w:r>
        <w:rPr>
          <w:noProof/>
          <w:lang w:val="es-PE"/>
        </w:rPr>
        <w:t xml:space="preserve"> </w:t>
      </w:r>
      <w:r w:rsidRPr="00054CA0">
        <w:rPr>
          <w:noProof/>
          <w:lang w:val="es-PE"/>
        </w:rPr>
        <w:t>Y. T.</w:t>
      </w:r>
      <w:r>
        <w:rPr>
          <w:noProof/>
          <w:lang w:val="es-PE"/>
        </w:rPr>
        <w:t xml:space="preserve">, </w:t>
      </w:r>
      <w:r w:rsidRPr="00054CA0">
        <w:rPr>
          <w:noProof/>
          <w:lang w:val="es-PE"/>
        </w:rPr>
        <w:t>2010</w:t>
      </w:r>
      <w:r>
        <w:rPr>
          <w:noProof/>
          <w:lang w:val="es-PE"/>
        </w:rPr>
        <w:t xml:space="preserve">, </w:t>
      </w:r>
      <w:r w:rsidRPr="00DA09C2">
        <w:rPr>
          <w:noProof/>
          <w:lang w:val="es-PE"/>
        </w:rPr>
        <w:t>Actinomycetes: A View as Plant Growth Promoters</w:t>
      </w:r>
      <w:r>
        <w:rPr>
          <w:noProof/>
          <w:lang w:val="es-PE"/>
        </w:rPr>
        <w:t xml:space="preserve"> [in Spanish], </w:t>
      </w:r>
      <w:r w:rsidRPr="00DA09C2">
        <w:rPr>
          <w:noProof/>
          <w:lang w:val="es-PE"/>
        </w:rPr>
        <w:t>In Pontifical Javeriana University</w:t>
      </w:r>
      <w:r w:rsidRPr="00054CA0">
        <w:rPr>
          <w:noProof/>
          <w:lang w:val="es-PE"/>
        </w:rPr>
        <w:t>.</w:t>
      </w:r>
    </w:p>
    <w:p w14:paraId="1B5977D6" w14:textId="77777777" w:rsidR="00C31EDF" w:rsidRPr="00054CA0" w:rsidRDefault="00C31EDF" w:rsidP="00DA09C2">
      <w:pPr>
        <w:pStyle w:val="CETReferencetext"/>
        <w:rPr>
          <w:noProof/>
          <w:lang w:val="es-PE"/>
        </w:rPr>
      </w:pPr>
      <w:r w:rsidRPr="00054CA0">
        <w:rPr>
          <w:noProof/>
          <w:lang w:val="es-PE"/>
        </w:rPr>
        <w:t>Instituto Colombiano Agropecuario (ICA).</w:t>
      </w:r>
      <w:r>
        <w:rPr>
          <w:noProof/>
          <w:lang w:val="es-PE"/>
        </w:rPr>
        <w:t xml:space="preserve">, </w:t>
      </w:r>
      <w:r w:rsidRPr="00054CA0">
        <w:rPr>
          <w:noProof/>
          <w:lang w:val="es-PE"/>
        </w:rPr>
        <w:t>1992</w:t>
      </w:r>
      <w:r>
        <w:rPr>
          <w:noProof/>
          <w:lang w:val="es-PE"/>
        </w:rPr>
        <w:t xml:space="preserve">, </w:t>
      </w:r>
      <w:r w:rsidRPr="005E4233">
        <w:rPr>
          <w:noProof/>
          <w:lang w:val="es-PE"/>
        </w:rPr>
        <w:t>Fertilization in various crops; fifth approximation [in Spanish]</w:t>
      </w:r>
      <w:r>
        <w:rPr>
          <w:i/>
          <w:iCs/>
          <w:noProof/>
          <w:lang w:val="es-PE"/>
        </w:rPr>
        <w:t>,</w:t>
      </w:r>
      <w:r w:rsidRPr="00054CA0">
        <w:rPr>
          <w:noProof/>
          <w:lang w:val="es-PE"/>
        </w:rPr>
        <w:t xml:space="preserve"> (pp. 1–72). ICA.</w:t>
      </w:r>
    </w:p>
    <w:p w14:paraId="52570DA1" w14:textId="77777777" w:rsidR="00C31EDF" w:rsidRPr="00D9276F" w:rsidRDefault="00C31EDF" w:rsidP="00DA09C2">
      <w:pPr>
        <w:pStyle w:val="CETReferencetext"/>
        <w:rPr>
          <w:noProof/>
        </w:rPr>
      </w:pPr>
      <w:r w:rsidRPr="00054CA0">
        <w:rPr>
          <w:noProof/>
          <w:lang w:val="es-PE"/>
        </w:rPr>
        <w:t>Instituto Nacional de Seguridad e Higiene en el Trabajo</w:t>
      </w:r>
      <w:r>
        <w:rPr>
          <w:noProof/>
          <w:lang w:val="es-PE"/>
        </w:rPr>
        <w:t>,</w:t>
      </w:r>
      <w:r w:rsidRPr="00054CA0">
        <w:rPr>
          <w:noProof/>
          <w:lang w:val="es-PE"/>
        </w:rPr>
        <w:t xml:space="preserve"> </w:t>
      </w:r>
      <w:r w:rsidRPr="00D9276F">
        <w:rPr>
          <w:noProof/>
        </w:rPr>
        <w:t>2015</w:t>
      </w:r>
      <w:r>
        <w:rPr>
          <w:noProof/>
        </w:rPr>
        <w:t>,</w:t>
      </w:r>
      <w:r w:rsidRPr="00D9276F">
        <w:rPr>
          <w:noProof/>
        </w:rPr>
        <w:t xml:space="preserve"> </w:t>
      </w:r>
      <w:r w:rsidRPr="00DA09C2">
        <w:rPr>
          <w:noProof/>
        </w:rPr>
        <w:t>DLEP 95 Aldrin</w:t>
      </w:r>
      <w:r w:rsidRPr="00D9276F">
        <w:rPr>
          <w:noProof/>
        </w:rPr>
        <w:t xml:space="preserve">. </w:t>
      </w:r>
      <w:r>
        <w:rPr>
          <w:noProof/>
        </w:rPr>
        <w:t>&lt;</w:t>
      </w:r>
      <w:r w:rsidRPr="00D9276F">
        <w:rPr>
          <w:noProof/>
        </w:rPr>
        <w:t>www.insst.es/documents/94886/288875/DLEP+95+Aldrin.pdf/97b85590-237c-40b8-9a15-232f0eb1a968</w:t>
      </w:r>
      <w:r>
        <w:rPr>
          <w:noProof/>
        </w:rPr>
        <w:t xml:space="preserve">˃ </w:t>
      </w:r>
      <w:r w:rsidRPr="006B4888">
        <w:t xml:space="preserve">accessed </w:t>
      </w:r>
      <w:r>
        <w:t>12</w:t>
      </w:r>
      <w:r w:rsidRPr="006B4888">
        <w:t>.</w:t>
      </w:r>
      <w:r>
        <w:t>01.2024.</w:t>
      </w:r>
    </w:p>
    <w:p w14:paraId="70B2BEDD" w14:textId="77777777" w:rsidR="00C31EDF" w:rsidRPr="0061356B" w:rsidRDefault="00C31EDF" w:rsidP="00DA09C2">
      <w:pPr>
        <w:pStyle w:val="CETReferencetext"/>
        <w:rPr>
          <w:noProof/>
          <w:lang w:val="es-PE"/>
        </w:rPr>
      </w:pPr>
      <w:r w:rsidRPr="00D9276F">
        <w:rPr>
          <w:noProof/>
        </w:rPr>
        <w:t>Kaur</w:t>
      </w:r>
      <w:r>
        <w:rPr>
          <w:noProof/>
        </w:rPr>
        <w:t xml:space="preserve"> </w:t>
      </w:r>
      <w:r w:rsidRPr="00D9276F">
        <w:rPr>
          <w:noProof/>
        </w:rPr>
        <w:t>K., Rana</w:t>
      </w:r>
      <w:r>
        <w:rPr>
          <w:noProof/>
        </w:rPr>
        <w:t xml:space="preserve"> </w:t>
      </w:r>
      <w:r w:rsidRPr="00D9276F">
        <w:rPr>
          <w:noProof/>
        </w:rPr>
        <w:t>A. K., Kumar</w:t>
      </w:r>
      <w:r>
        <w:rPr>
          <w:noProof/>
        </w:rPr>
        <w:t xml:space="preserve"> </w:t>
      </w:r>
      <w:r w:rsidRPr="00D9276F">
        <w:rPr>
          <w:noProof/>
        </w:rPr>
        <w:t>B., Kumar</w:t>
      </w:r>
      <w:r>
        <w:rPr>
          <w:noProof/>
        </w:rPr>
        <w:t xml:space="preserve"> </w:t>
      </w:r>
      <w:r w:rsidRPr="00D9276F">
        <w:rPr>
          <w:noProof/>
        </w:rPr>
        <w:t>V., &amp; Saruchi.</w:t>
      </w:r>
      <w:r>
        <w:rPr>
          <w:noProof/>
        </w:rPr>
        <w:t xml:space="preserve">, </w:t>
      </w:r>
      <w:r w:rsidRPr="00D9276F">
        <w:rPr>
          <w:noProof/>
        </w:rPr>
        <w:t>2022</w:t>
      </w:r>
      <w:r>
        <w:rPr>
          <w:noProof/>
        </w:rPr>
        <w:t xml:space="preserve">, </w:t>
      </w:r>
      <w:r w:rsidRPr="00D9276F">
        <w:rPr>
          <w:noProof/>
        </w:rPr>
        <w:t xml:space="preserve">Advance remediation technologies for the removal of organochlorine from water and wastewater. In </w:t>
      </w:r>
      <w:r w:rsidRPr="003E6EA1">
        <w:rPr>
          <w:noProof/>
        </w:rPr>
        <w:t xml:space="preserve">Pesticides Remediation Technologies from Water and Wastewater. </w:t>
      </w:r>
      <w:r w:rsidRPr="003E6EA1">
        <w:rPr>
          <w:noProof/>
          <w:lang w:val="es-PE"/>
        </w:rPr>
        <w:t>INC</w:t>
      </w:r>
      <w:r w:rsidRPr="0061356B">
        <w:rPr>
          <w:noProof/>
          <w:lang w:val="es-PE"/>
        </w:rPr>
        <w:t>. &lt;doi.org/10.1016/B978-0-323-90893-1.00014</w:t>
      </w:r>
      <w:r>
        <w:rPr>
          <w:noProof/>
          <w:lang w:val="es-PE"/>
        </w:rPr>
        <w:t>&gt;</w:t>
      </w:r>
      <w:r w:rsidRPr="0061356B">
        <w:rPr>
          <w:lang w:val="es-PE"/>
        </w:rPr>
        <w:t>.</w:t>
      </w:r>
    </w:p>
    <w:p w14:paraId="14511B46" w14:textId="77777777" w:rsidR="00C31EDF" w:rsidRPr="00054CA0" w:rsidRDefault="00C31EDF" w:rsidP="00DA09C2">
      <w:pPr>
        <w:pStyle w:val="CETReferencetext"/>
        <w:rPr>
          <w:noProof/>
          <w:lang w:val="es-PE"/>
        </w:rPr>
      </w:pPr>
      <w:r w:rsidRPr="00054CA0">
        <w:rPr>
          <w:noProof/>
          <w:lang w:val="es-PE"/>
        </w:rPr>
        <w:t xml:space="preserve">Ministerio de </w:t>
      </w:r>
      <w:r>
        <w:rPr>
          <w:noProof/>
          <w:lang w:val="es-PE"/>
        </w:rPr>
        <w:t>V</w:t>
      </w:r>
      <w:r w:rsidRPr="00054CA0">
        <w:rPr>
          <w:noProof/>
          <w:lang w:val="es-PE"/>
        </w:rPr>
        <w:t>ivienda Costrucción y Saneamiento.</w:t>
      </w:r>
      <w:r>
        <w:rPr>
          <w:noProof/>
          <w:lang w:val="es-PE"/>
        </w:rPr>
        <w:t xml:space="preserve">, </w:t>
      </w:r>
      <w:r w:rsidRPr="00054CA0">
        <w:rPr>
          <w:noProof/>
          <w:lang w:val="es-PE"/>
        </w:rPr>
        <w:t>2017</w:t>
      </w:r>
      <w:r>
        <w:rPr>
          <w:noProof/>
          <w:lang w:val="es-PE"/>
        </w:rPr>
        <w:t xml:space="preserve">, </w:t>
      </w:r>
      <w:r w:rsidRPr="005E4233">
        <w:rPr>
          <w:noProof/>
          <w:lang w:val="es-PE"/>
        </w:rPr>
        <w:t>Supreme Decree that approves the Regulation for the Reuse of Sludge generated in Wastewater Treatment Plants</w:t>
      </w:r>
      <w:r>
        <w:rPr>
          <w:noProof/>
          <w:lang w:val="es-PE"/>
        </w:rPr>
        <w:t xml:space="preserve">, [ in Spanish], El Peruano, </w:t>
      </w:r>
      <w:r w:rsidRPr="00054CA0">
        <w:rPr>
          <w:noProof/>
          <w:lang w:val="es-PE"/>
        </w:rPr>
        <w:t>(pp. 32–40).</w:t>
      </w:r>
    </w:p>
    <w:p w14:paraId="069010FE" w14:textId="77777777" w:rsidR="00C31EDF" w:rsidRPr="00054CA0" w:rsidRDefault="00C31EDF" w:rsidP="00DA09C2">
      <w:pPr>
        <w:pStyle w:val="CETReferencetext"/>
        <w:rPr>
          <w:noProof/>
          <w:lang w:val="es-PE"/>
        </w:rPr>
      </w:pPr>
      <w:r w:rsidRPr="00054CA0">
        <w:rPr>
          <w:noProof/>
          <w:lang w:val="es-PE"/>
        </w:rPr>
        <w:t>Ministerio del Ambiente.</w:t>
      </w:r>
      <w:r>
        <w:rPr>
          <w:noProof/>
          <w:lang w:val="es-PE"/>
        </w:rPr>
        <w:t xml:space="preserve">, </w:t>
      </w:r>
      <w:r w:rsidRPr="00054CA0">
        <w:rPr>
          <w:noProof/>
          <w:lang w:val="es-PE"/>
        </w:rPr>
        <w:t>2013</w:t>
      </w:r>
      <w:r>
        <w:rPr>
          <w:noProof/>
          <w:lang w:val="es-PE"/>
        </w:rPr>
        <w:t xml:space="preserve">, </w:t>
      </w:r>
      <w:r w:rsidRPr="003E6EA1">
        <w:rPr>
          <w:noProof/>
          <w:lang w:val="es-PE"/>
        </w:rPr>
        <w:t>Environmental Quality Standards (E</w:t>
      </w:r>
      <w:r>
        <w:rPr>
          <w:noProof/>
          <w:lang w:val="es-PE"/>
        </w:rPr>
        <w:t>QS</w:t>
      </w:r>
      <w:r w:rsidRPr="003E6EA1">
        <w:rPr>
          <w:noProof/>
          <w:lang w:val="es-PE"/>
        </w:rPr>
        <w:t>) for Soil</w:t>
      </w:r>
      <w:r>
        <w:rPr>
          <w:noProof/>
          <w:lang w:val="es-PE"/>
        </w:rPr>
        <w:t xml:space="preserve">, [In Spanish], </w:t>
      </w:r>
      <w:r w:rsidRPr="00054CA0">
        <w:rPr>
          <w:noProof/>
          <w:lang w:val="es-PE"/>
        </w:rPr>
        <w:t xml:space="preserve">In </w:t>
      </w:r>
      <w:r w:rsidRPr="00DA09C2">
        <w:rPr>
          <w:noProof/>
          <w:lang w:val="es-PE"/>
        </w:rPr>
        <w:t>El Peruano</w:t>
      </w:r>
      <w:r w:rsidRPr="00054CA0">
        <w:rPr>
          <w:noProof/>
          <w:lang w:val="es-PE"/>
        </w:rPr>
        <w:t xml:space="preserve"> (pp. 491497–491500).</w:t>
      </w:r>
    </w:p>
    <w:p w14:paraId="5FE89B77" w14:textId="48B5F2F5" w:rsidR="00C31EDF" w:rsidRDefault="00C31EDF" w:rsidP="00DA09C2">
      <w:pPr>
        <w:pStyle w:val="CETReferencetext"/>
        <w:rPr>
          <w:noProof/>
          <w:lang w:val="es-PE"/>
        </w:rPr>
      </w:pPr>
      <w:r w:rsidRPr="0061356B">
        <w:rPr>
          <w:noProof/>
          <w:lang w:val="en-US"/>
        </w:rPr>
        <w:t xml:space="preserve">Navarra W., Sacco O., Vaiano V., &amp; Venditto V., 2023, </w:t>
      </w:r>
      <w:r w:rsidRPr="00D9276F">
        <w:rPr>
          <w:noProof/>
        </w:rPr>
        <w:t>Pesticides Removal from Wastewater using a Pilot-scale Photocatalytic Reactor.</w:t>
      </w:r>
      <w:r>
        <w:rPr>
          <w:noProof/>
        </w:rPr>
        <w:t xml:space="preserve"> </w:t>
      </w:r>
      <w:r w:rsidRPr="00DA09C2">
        <w:rPr>
          <w:noProof/>
          <w:lang w:val="es-PE"/>
        </w:rPr>
        <w:t>Chemical Engineering Transactions</w:t>
      </w:r>
      <w:r w:rsidRPr="0061356B">
        <w:rPr>
          <w:noProof/>
          <w:lang w:val="es-PE"/>
        </w:rPr>
        <w:t xml:space="preserve">, </w:t>
      </w:r>
      <w:r w:rsidRPr="00DA09C2">
        <w:rPr>
          <w:noProof/>
          <w:lang w:val="es-PE"/>
        </w:rPr>
        <w:t>98</w:t>
      </w:r>
      <w:r w:rsidRPr="0061356B">
        <w:rPr>
          <w:noProof/>
          <w:lang w:val="es-PE"/>
        </w:rPr>
        <w:t xml:space="preserve">(December 2022), 159–164. </w:t>
      </w:r>
    </w:p>
    <w:p w14:paraId="3198E73E" w14:textId="4F9A08B1" w:rsidR="009B3266" w:rsidRDefault="009B3266" w:rsidP="009B3266">
      <w:pPr>
        <w:pStyle w:val="CETReferencetext"/>
        <w:rPr>
          <w:noProof/>
        </w:rPr>
      </w:pPr>
      <w:bookmarkStart w:id="1" w:name="_Hlk163298233"/>
      <w:r w:rsidRPr="009B3266">
        <w:rPr>
          <w:noProof/>
        </w:rPr>
        <w:t>Ozores-Hampton</w:t>
      </w:r>
      <w:r>
        <w:rPr>
          <w:noProof/>
        </w:rPr>
        <w:t xml:space="preserve"> M., and</w:t>
      </w:r>
      <w:r w:rsidRPr="009B3266">
        <w:rPr>
          <w:noProof/>
        </w:rPr>
        <w:t xml:space="preserve"> Mendez</w:t>
      </w:r>
      <w:r>
        <w:rPr>
          <w:noProof/>
        </w:rPr>
        <w:t xml:space="preserve"> J., 20</w:t>
      </w:r>
      <w:r>
        <w:rPr>
          <w:noProof/>
        </w:rPr>
        <w:t>21</w:t>
      </w:r>
      <w:bookmarkEnd w:id="1"/>
      <w:r>
        <w:rPr>
          <w:noProof/>
        </w:rPr>
        <w:t xml:space="preserve">, </w:t>
      </w:r>
      <w:r w:rsidRPr="009B3266">
        <w:rPr>
          <w:noProof/>
        </w:rPr>
        <w:t>Use of Biosolids in Vegetable Production</w:t>
      </w:r>
      <w:r>
        <w:rPr>
          <w:noProof/>
        </w:rPr>
        <w:t xml:space="preserve"> [in Spanish], </w:t>
      </w:r>
      <w:r w:rsidRPr="009B3266">
        <w:rPr>
          <w:noProof/>
        </w:rPr>
        <w:t>University of Florida/IFAS</w:t>
      </w:r>
      <w:r>
        <w:rPr>
          <w:noProof/>
        </w:rPr>
        <w:t>, &lt;</w:t>
      </w:r>
      <w:r w:rsidRPr="009B3266">
        <w:rPr>
          <w:noProof/>
        </w:rPr>
        <w:t>edis.ifas.ufl.edu/publication/HS1183</w:t>
      </w:r>
      <w:r>
        <w:rPr>
          <w:noProof/>
        </w:rPr>
        <w:t>&gt;.</w:t>
      </w:r>
    </w:p>
    <w:p w14:paraId="79A11119" w14:textId="77777777" w:rsidR="00C31EDF" w:rsidRPr="00054CA0" w:rsidRDefault="00C31EDF" w:rsidP="00DA09C2">
      <w:pPr>
        <w:pStyle w:val="CETReferencetext"/>
        <w:rPr>
          <w:noProof/>
          <w:lang w:val="es-PE"/>
        </w:rPr>
      </w:pPr>
      <w:r w:rsidRPr="00054CA0">
        <w:rPr>
          <w:noProof/>
          <w:lang w:val="es-PE"/>
        </w:rPr>
        <w:t>Organización de las Naciones Unidas para la Alimentación y la Agricultura (FAO).</w:t>
      </w:r>
      <w:r>
        <w:rPr>
          <w:noProof/>
          <w:lang w:val="es-PE"/>
        </w:rPr>
        <w:t xml:space="preserve">, </w:t>
      </w:r>
      <w:r w:rsidRPr="00054CA0">
        <w:rPr>
          <w:noProof/>
          <w:lang w:val="es-PE"/>
        </w:rPr>
        <w:t>2009</w:t>
      </w:r>
      <w:r>
        <w:rPr>
          <w:noProof/>
          <w:lang w:val="es-PE"/>
        </w:rPr>
        <w:t xml:space="preserve">, </w:t>
      </w:r>
      <w:r w:rsidRPr="002E1DCE">
        <w:rPr>
          <w:noProof/>
          <w:lang w:val="es-PE"/>
        </w:rPr>
        <w:t>Guide to soil description</w:t>
      </w:r>
      <w:r>
        <w:rPr>
          <w:noProof/>
          <w:lang w:val="es-PE"/>
        </w:rPr>
        <w:t xml:space="preserve"> [in Spanish]</w:t>
      </w:r>
      <w:r w:rsidRPr="00054CA0">
        <w:rPr>
          <w:noProof/>
          <w:lang w:val="es-PE"/>
        </w:rPr>
        <w:t>.</w:t>
      </w:r>
    </w:p>
    <w:p w14:paraId="3319E95D" w14:textId="77777777" w:rsidR="00C31EDF" w:rsidRPr="00054CA0" w:rsidRDefault="00C31EDF" w:rsidP="00DA09C2">
      <w:pPr>
        <w:pStyle w:val="CETReferencetext"/>
        <w:rPr>
          <w:noProof/>
          <w:lang w:val="es-PE"/>
        </w:rPr>
      </w:pPr>
      <w:r w:rsidRPr="00054CA0">
        <w:rPr>
          <w:noProof/>
          <w:lang w:val="es-PE"/>
        </w:rPr>
        <w:t>Pulgarin Muñoz</w:t>
      </w:r>
      <w:r>
        <w:rPr>
          <w:noProof/>
          <w:lang w:val="es-PE"/>
        </w:rPr>
        <w:t xml:space="preserve"> </w:t>
      </w:r>
      <w:r w:rsidRPr="00054CA0">
        <w:rPr>
          <w:noProof/>
          <w:lang w:val="es-PE"/>
        </w:rPr>
        <w:t>C. E.</w:t>
      </w:r>
      <w:r>
        <w:rPr>
          <w:noProof/>
          <w:lang w:val="es-PE"/>
        </w:rPr>
        <w:t xml:space="preserve">, </w:t>
      </w:r>
      <w:r w:rsidRPr="00054CA0">
        <w:rPr>
          <w:noProof/>
          <w:lang w:val="es-PE"/>
        </w:rPr>
        <w:t>Saldarriaga Molina</w:t>
      </w:r>
      <w:r>
        <w:rPr>
          <w:noProof/>
          <w:lang w:val="es-PE"/>
        </w:rPr>
        <w:t xml:space="preserve"> </w:t>
      </w:r>
      <w:r w:rsidRPr="00054CA0">
        <w:rPr>
          <w:noProof/>
          <w:lang w:val="es-PE"/>
        </w:rPr>
        <w:t>J. C., &amp; Correa Ochoa</w:t>
      </w:r>
      <w:r>
        <w:rPr>
          <w:noProof/>
          <w:lang w:val="es-PE"/>
        </w:rPr>
        <w:t xml:space="preserve"> </w:t>
      </w:r>
      <w:r w:rsidRPr="00054CA0">
        <w:rPr>
          <w:noProof/>
          <w:lang w:val="es-PE"/>
        </w:rPr>
        <w:t>M. A.</w:t>
      </w:r>
      <w:r>
        <w:rPr>
          <w:noProof/>
          <w:lang w:val="es-PE"/>
        </w:rPr>
        <w:t xml:space="preserve">, </w:t>
      </w:r>
      <w:r w:rsidRPr="00054CA0">
        <w:rPr>
          <w:noProof/>
          <w:lang w:val="es-PE"/>
        </w:rPr>
        <w:t>2022</w:t>
      </w:r>
      <w:r>
        <w:rPr>
          <w:noProof/>
          <w:lang w:val="es-PE"/>
        </w:rPr>
        <w:t xml:space="preserve">, </w:t>
      </w:r>
      <w:r w:rsidRPr="00DA09C2">
        <w:rPr>
          <w:noProof/>
          <w:lang w:val="es-PE"/>
        </w:rPr>
        <w:t>Analysis and perspectives of anaerobic treatment and use of biological sludge in Latin America</w:t>
      </w:r>
      <w:r>
        <w:rPr>
          <w:noProof/>
          <w:lang w:val="es-PE"/>
        </w:rPr>
        <w:t xml:space="preserve">, [In Spanish], </w:t>
      </w:r>
      <w:r w:rsidRPr="00054CA0">
        <w:rPr>
          <w:noProof/>
          <w:lang w:val="es-PE"/>
        </w:rPr>
        <w:t xml:space="preserve"> </w:t>
      </w:r>
      <w:r>
        <w:rPr>
          <w:noProof/>
          <w:lang w:val="es-PE"/>
        </w:rPr>
        <w:t>Jornal</w:t>
      </w:r>
      <w:r w:rsidRPr="00DA09C2">
        <w:rPr>
          <w:noProof/>
          <w:lang w:val="es-PE"/>
        </w:rPr>
        <w:t xml:space="preserve"> EIA, 19</w:t>
      </w:r>
      <w:r w:rsidRPr="00054CA0">
        <w:rPr>
          <w:noProof/>
          <w:lang w:val="es-PE"/>
        </w:rPr>
        <w:t xml:space="preserve">(38), 1–6. </w:t>
      </w:r>
      <w:r>
        <w:rPr>
          <w:noProof/>
          <w:lang w:val="es-PE"/>
        </w:rPr>
        <w:t>&lt;</w:t>
      </w:r>
      <w:r w:rsidRPr="00054CA0">
        <w:rPr>
          <w:noProof/>
          <w:lang w:val="es-PE"/>
        </w:rPr>
        <w:t>doi.org/10.24050/reia.v19i38.1516</w:t>
      </w:r>
      <w:r>
        <w:rPr>
          <w:noProof/>
          <w:lang w:val="es-PE"/>
        </w:rPr>
        <w:t>˃</w:t>
      </w:r>
    </w:p>
    <w:p w14:paraId="041A633D" w14:textId="77777777" w:rsidR="00C31EDF" w:rsidRPr="00D9276F" w:rsidRDefault="00C31EDF" w:rsidP="00DA09C2">
      <w:pPr>
        <w:pStyle w:val="CETReferencetext"/>
        <w:rPr>
          <w:noProof/>
        </w:rPr>
      </w:pPr>
      <w:r w:rsidRPr="0061356B">
        <w:rPr>
          <w:noProof/>
          <w:lang w:val="en-US"/>
        </w:rPr>
        <w:t xml:space="preserve">Ramirez-Sandoval M., Muñiz-Hernández S., &amp; Velázquez-Fernández J. B., 2013, </w:t>
      </w:r>
      <w:r w:rsidRPr="00D9276F">
        <w:rPr>
          <w:noProof/>
        </w:rPr>
        <w:t xml:space="preserve">Mechanisms of phytoremediatory effect of ocimum basilicum l. and its rhizosphere exposed to different concentrations of the organochlorine pesticide endosulfan. </w:t>
      </w:r>
      <w:r w:rsidRPr="00DA09C2">
        <w:rPr>
          <w:noProof/>
        </w:rPr>
        <w:t>Chemical Engineering Transactions, 34</w:t>
      </w:r>
      <w:r w:rsidRPr="00D9276F">
        <w:rPr>
          <w:noProof/>
        </w:rPr>
        <w:t xml:space="preserve">(April), 73–78. </w:t>
      </w:r>
      <w:r>
        <w:rPr>
          <w:noProof/>
        </w:rPr>
        <w:t>&lt;</w:t>
      </w:r>
      <w:r w:rsidRPr="00D9276F">
        <w:rPr>
          <w:noProof/>
        </w:rPr>
        <w:t>doi.org/10.3303/CET1334013</w:t>
      </w:r>
      <w:r>
        <w:rPr>
          <w:noProof/>
        </w:rPr>
        <w:t>˃</w:t>
      </w:r>
      <w:r w:rsidRPr="0061356B">
        <w:t xml:space="preserve"> </w:t>
      </w:r>
      <w:r w:rsidRPr="006B4888">
        <w:t xml:space="preserve">accessed </w:t>
      </w:r>
      <w:r>
        <w:t>15</w:t>
      </w:r>
      <w:r w:rsidRPr="006B4888">
        <w:t>.</w:t>
      </w:r>
      <w:r>
        <w:t>01.2024.</w:t>
      </w:r>
    </w:p>
    <w:p w14:paraId="035DD575" w14:textId="77777777" w:rsidR="00C31EDF" w:rsidRPr="002E1DCE" w:rsidRDefault="00C31EDF" w:rsidP="00DA09C2">
      <w:pPr>
        <w:pStyle w:val="CETReferencetext"/>
        <w:rPr>
          <w:noProof/>
          <w:lang w:val="en-US"/>
        </w:rPr>
      </w:pPr>
      <w:r w:rsidRPr="0061356B">
        <w:rPr>
          <w:noProof/>
          <w:lang w:val="en-US"/>
        </w:rPr>
        <w:t xml:space="preserve">Saito T., Otani T., Seike N., Murano H. &amp; Okazaki, M., 2011, </w:t>
      </w:r>
      <w:r w:rsidRPr="00D9276F">
        <w:rPr>
          <w:noProof/>
        </w:rPr>
        <w:t xml:space="preserve">Suppressive effect of soil application of carbonaceous adsorbents on dieldrin uptake by cucumber fruits. </w:t>
      </w:r>
      <w:r w:rsidRPr="002E1DCE">
        <w:rPr>
          <w:noProof/>
        </w:rPr>
        <w:t xml:space="preserve">Soil Science and Plant Nutrition, 57(1), 157–166. </w:t>
      </w:r>
      <w:r w:rsidRPr="002E1DCE">
        <w:rPr>
          <w:noProof/>
          <w:lang w:val="en-US"/>
        </w:rPr>
        <w:t xml:space="preserve">&lt;doi.org/10.1080/00380768.2010.551281˃ </w:t>
      </w:r>
    </w:p>
    <w:p w14:paraId="41D2A91E" w14:textId="77777777" w:rsidR="00C31EDF" w:rsidRPr="00D9276F" w:rsidRDefault="00C31EDF" w:rsidP="00DA09C2">
      <w:pPr>
        <w:pStyle w:val="CETReferencetext"/>
        <w:rPr>
          <w:noProof/>
        </w:rPr>
      </w:pPr>
      <w:r w:rsidRPr="0061356B">
        <w:rPr>
          <w:noProof/>
          <w:lang w:val="en-US"/>
        </w:rPr>
        <w:t xml:space="preserve">Sarno M., Casa M., Cirillo C., &amp; Ciambelli P., 2017, </w:t>
      </w:r>
      <w:r w:rsidRPr="00D9276F">
        <w:rPr>
          <w:noProof/>
        </w:rPr>
        <w:t xml:space="preserve">Complete removal of persistent pesticide using reduced graphene oxide-silver nanocomposite. </w:t>
      </w:r>
      <w:r w:rsidRPr="00DA09C2">
        <w:rPr>
          <w:noProof/>
        </w:rPr>
        <w:t>Chemical Engineering Transactions, 60</w:t>
      </w:r>
      <w:r w:rsidRPr="00D9276F">
        <w:rPr>
          <w:noProof/>
        </w:rPr>
        <w:t xml:space="preserve">, 151–156. </w:t>
      </w:r>
      <w:r>
        <w:rPr>
          <w:noProof/>
        </w:rPr>
        <w:t>&lt;</w:t>
      </w:r>
      <w:r w:rsidRPr="00D9276F">
        <w:rPr>
          <w:noProof/>
        </w:rPr>
        <w:t>doi.org/10.3303/CET1760026</w:t>
      </w:r>
      <w:r>
        <w:rPr>
          <w:noProof/>
        </w:rPr>
        <w:t xml:space="preserve">˃ </w:t>
      </w:r>
      <w:r w:rsidRPr="006B4888">
        <w:t xml:space="preserve">accessed </w:t>
      </w:r>
      <w:r>
        <w:t>15</w:t>
      </w:r>
      <w:r w:rsidRPr="006B4888">
        <w:t>.</w:t>
      </w:r>
      <w:r>
        <w:t>01.2024.</w:t>
      </w:r>
    </w:p>
    <w:p w14:paraId="49AEC5E8" w14:textId="77777777" w:rsidR="00C31EDF" w:rsidRPr="00D9276F" w:rsidRDefault="00C31EDF" w:rsidP="00DA09C2">
      <w:pPr>
        <w:pStyle w:val="CETReferencetext"/>
        <w:rPr>
          <w:noProof/>
        </w:rPr>
      </w:pPr>
      <w:r w:rsidRPr="0061356B">
        <w:rPr>
          <w:noProof/>
          <w:lang w:val="en-US"/>
        </w:rPr>
        <w:t xml:space="preserve">Tesi J. N., Tesi G. O., Ossai J. C., &amp; Agbozu I. E., 2020, </w:t>
      </w:r>
      <w:r w:rsidRPr="00D9276F">
        <w:rPr>
          <w:noProof/>
        </w:rPr>
        <w:t xml:space="preserve">Organochlorine pesticides (OCPs) in agricultural soils of Southern Nigeria: spatial distribution, source identification, ecotoxicological and human health risks assessment. </w:t>
      </w:r>
      <w:r w:rsidRPr="00D9276F">
        <w:rPr>
          <w:i/>
          <w:iCs/>
          <w:noProof/>
        </w:rPr>
        <w:t>Environmental Forensics</w:t>
      </w:r>
      <w:r w:rsidRPr="00D9276F">
        <w:rPr>
          <w:noProof/>
        </w:rPr>
        <w:t xml:space="preserve">, </w:t>
      </w:r>
      <w:r w:rsidRPr="00D9276F">
        <w:rPr>
          <w:i/>
          <w:iCs/>
          <w:noProof/>
        </w:rPr>
        <w:t>0</w:t>
      </w:r>
      <w:r w:rsidRPr="00D9276F">
        <w:rPr>
          <w:noProof/>
        </w:rPr>
        <w:t xml:space="preserve">(0), 1–13. </w:t>
      </w:r>
      <w:r>
        <w:rPr>
          <w:noProof/>
        </w:rPr>
        <w:t>&lt;</w:t>
      </w:r>
      <w:r w:rsidRPr="00D9276F">
        <w:rPr>
          <w:noProof/>
        </w:rPr>
        <w:t>doi.org/10.1080/15275922.2020.1850570</w:t>
      </w:r>
      <w:r>
        <w:rPr>
          <w:noProof/>
        </w:rPr>
        <w:t xml:space="preserve">˃ </w:t>
      </w:r>
      <w:r w:rsidRPr="006B4888">
        <w:t xml:space="preserve">accessed </w:t>
      </w:r>
      <w:r>
        <w:t>1</w:t>
      </w:r>
      <w:r w:rsidRPr="006B4888">
        <w:t>4.</w:t>
      </w:r>
      <w:r>
        <w:t>01.2024.</w:t>
      </w:r>
    </w:p>
    <w:p w14:paraId="50EB1F3C" w14:textId="77777777" w:rsidR="00C31EDF" w:rsidRDefault="00C31EDF" w:rsidP="00DA09C2">
      <w:pPr>
        <w:pStyle w:val="CETReferencetext"/>
        <w:rPr>
          <w:noProof/>
        </w:rPr>
      </w:pPr>
      <w:r w:rsidRPr="00D9276F">
        <w:rPr>
          <w:noProof/>
        </w:rPr>
        <w:t>Tibamba Matthew</w:t>
      </w:r>
      <w:r>
        <w:rPr>
          <w:noProof/>
        </w:rPr>
        <w:t xml:space="preserve"> </w:t>
      </w:r>
      <w:r w:rsidRPr="00D9276F">
        <w:rPr>
          <w:noProof/>
        </w:rPr>
        <w:t>T., Wang</w:t>
      </w:r>
      <w:r>
        <w:rPr>
          <w:noProof/>
        </w:rPr>
        <w:t xml:space="preserve"> </w:t>
      </w:r>
      <w:r w:rsidRPr="00D9276F">
        <w:rPr>
          <w:noProof/>
        </w:rPr>
        <w:t>Y., Gameli</w:t>
      </w:r>
      <w:r>
        <w:rPr>
          <w:noProof/>
        </w:rPr>
        <w:t xml:space="preserve"> </w:t>
      </w:r>
      <w:r w:rsidRPr="00D9276F">
        <w:rPr>
          <w:noProof/>
        </w:rPr>
        <w:t>R. B. H., Mbage</w:t>
      </w:r>
      <w:r>
        <w:rPr>
          <w:noProof/>
        </w:rPr>
        <w:t xml:space="preserve"> </w:t>
      </w:r>
      <w:r w:rsidRPr="00D9276F">
        <w:rPr>
          <w:noProof/>
        </w:rPr>
        <w:t>B., Duwiejuah</w:t>
      </w:r>
      <w:r>
        <w:rPr>
          <w:noProof/>
        </w:rPr>
        <w:t xml:space="preserve"> </w:t>
      </w:r>
      <w:r w:rsidRPr="00D9276F">
        <w:rPr>
          <w:noProof/>
        </w:rPr>
        <w:t>A. B., Wang</w:t>
      </w:r>
      <w:r>
        <w:rPr>
          <w:noProof/>
        </w:rPr>
        <w:t xml:space="preserve"> </w:t>
      </w:r>
      <w:r w:rsidRPr="00D9276F">
        <w:rPr>
          <w:noProof/>
        </w:rPr>
        <w:t>N., &amp; Bing</w:t>
      </w:r>
      <w:r>
        <w:rPr>
          <w:noProof/>
        </w:rPr>
        <w:t xml:space="preserve"> </w:t>
      </w:r>
      <w:r w:rsidRPr="00D9276F">
        <w:rPr>
          <w:noProof/>
        </w:rPr>
        <w:t>L.</w:t>
      </w:r>
      <w:r>
        <w:rPr>
          <w:noProof/>
        </w:rPr>
        <w:t xml:space="preserve">, </w:t>
      </w:r>
      <w:r w:rsidRPr="00D9276F">
        <w:rPr>
          <w:noProof/>
        </w:rPr>
        <w:t>2024</w:t>
      </w:r>
      <w:r>
        <w:rPr>
          <w:noProof/>
        </w:rPr>
        <w:t xml:space="preserve">, </w:t>
      </w:r>
      <w:r w:rsidRPr="00D9276F">
        <w:rPr>
          <w:noProof/>
        </w:rPr>
        <w:t xml:space="preserve">Mono and Simultaneous Adsorption of Aldrin and Toxic Metals from Aqueous Solution Using Rice Husk-Biochar. </w:t>
      </w:r>
      <w:r w:rsidRPr="00D9276F">
        <w:rPr>
          <w:i/>
          <w:iCs/>
          <w:noProof/>
        </w:rPr>
        <w:t>BioResources</w:t>
      </w:r>
      <w:r w:rsidRPr="00D9276F">
        <w:rPr>
          <w:noProof/>
        </w:rPr>
        <w:t xml:space="preserve">. </w:t>
      </w:r>
      <w:r>
        <w:rPr>
          <w:noProof/>
        </w:rPr>
        <w:t>&lt;</w:t>
      </w:r>
      <w:r w:rsidRPr="00D9276F">
        <w:rPr>
          <w:noProof/>
        </w:rPr>
        <w:t>doi.org/10.15376/biores.19.1.257-275</w:t>
      </w:r>
      <w:r>
        <w:rPr>
          <w:noProof/>
        </w:rPr>
        <w:t>˃</w:t>
      </w:r>
    </w:p>
    <w:p w14:paraId="3E7831B9" w14:textId="77777777" w:rsidR="009B3266" w:rsidRDefault="009B3266" w:rsidP="00DA09C2">
      <w:pPr>
        <w:pStyle w:val="CETReferencetext"/>
        <w:rPr>
          <w:noProof/>
        </w:rPr>
      </w:pPr>
    </w:p>
    <w:sectPr w:rsidR="009B3266" w:rsidSect="00EC453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AE0F" w14:textId="77777777" w:rsidR="00EC4532" w:rsidRDefault="00EC4532" w:rsidP="004F5E36">
      <w:r>
        <w:separator/>
      </w:r>
    </w:p>
  </w:endnote>
  <w:endnote w:type="continuationSeparator" w:id="0">
    <w:p w14:paraId="50EAE935" w14:textId="77777777" w:rsidR="00EC4532" w:rsidRDefault="00EC453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0433" w14:textId="77777777" w:rsidR="00EC4532" w:rsidRDefault="00EC4532" w:rsidP="004F5E36">
      <w:r>
        <w:separator/>
      </w:r>
    </w:p>
  </w:footnote>
  <w:footnote w:type="continuationSeparator" w:id="0">
    <w:p w14:paraId="7C2EB7E5" w14:textId="77777777" w:rsidR="00EC4532" w:rsidRDefault="00EC453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158996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954" w:firstLine="0"/>
      </w:pPr>
      <w:rPr>
        <w:rFonts w:hint="default"/>
        <w:lang w:val="es-PE"/>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703940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B6"/>
    <w:rsid w:val="00002492"/>
    <w:rsid w:val="000027C0"/>
    <w:rsid w:val="00003E02"/>
    <w:rsid w:val="000042FB"/>
    <w:rsid w:val="000052FB"/>
    <w:rsid w:val="00005A19"/>
    <w:rsid w:val="000060C5"/>
    <w:rsid w:val="000067BF"/>
    <w:rsid w:val="00006BDC"/>
    <w:rsid w:val="000117CB"/>
    <w:rsid w:val="00013C64"/>
    <w:rsid w:val="00016A7E"/>
    <w:rsid w:val="0001788F"/>
    <w:rsid w:val="000218CA"/>
    <w:rsid w:val="00023B78"/>
    <w:rsid w:val="000241FD"/>
    <w:rsid w:val="00024C37"/>
    <w:rsid w:val="000254E2"/>
    <w:rsid w:val="0003148D"/>
    <w:rsid w:val="00031650"/>
    <w:rsid w:val="00031EEC"/>
    <w:rsid w:val="00032592"/>
    <w:rsid w:val="00034FA5"/>
    <w:rsid w:val="000360BB"/>
    <w:rsid w:val="00036461"/>
    <w:rsid w:val="000402AC"/>
    <w:rsid w:val="00042003"/>
    <w:rsid w:val="0004286F"/>
    <w:rsid w:val="000440C0"/>
    <w:rsid w:val="00044C0B"/>
    <w:rsid w:val="000469ED"/>
    <w:rsid w:val="00046C5C"/>
    <w:rsid w:val="000501AF"/>
    <w:rsid w:val="00051566"/>
    <w:rsid w:val="00053C42"/>
    <w:rsid w:val="00053D9B"/>
    <w:rsid w:val="00054288"/>
    <w:rsid w:val="00054505"/>
    <w:rsid w:val="00054CA0"/>
    <w:rsid w:val="000562A9"/>
    <w:rsid w:val="00062A9A"/>
    <w:rsid w:val="0006358F"/>
    <w:rsid w:val="00063932"/>
    <w:rsid w:val="00065058"/>
    <w:rsid w:val="00072E15"/>
    <w:rsid w:val="000735D4"/>
    <w:rsid w:val="00080A16"/>
    <w:rsid w:val="00080DC5"/>
    <w:rsid w:val="000815EF"/>
    <w:rsid w:val="00081712"/>
    <w:rsid w:val="00082ED0"/>
    <w:rsid w:val="00086C39"/>
    <w:rsid w:val="00086E47"/>
    <w:rsid w:val="00087CE9"/>
    <w:rsid w:val="00090AC2"/>
    <w:rsid w:val="00090B6D"/>
    <w:rsid w:val="00092BBE"/>
    <w:rsid w:val="00092D3D"/>
    <w:rsid w:val="00094670"/>
    <w:rsid w:val="000A03B2"/>
    <w:rsid w:val="000A2F93"/>
    <w:rsid w:val="000A4971"/>
    <w:rsid w:val="000B3C53"/>
    <w:rsid w:val="000B468A"/>
    <w:rsid w:val="000B764B"/>
    <w:rsid w:val="000C4316"/>
    <w:rsid w:val="000D0268"/>
    <w:rsid w:val="000D34BE"/>
    <w:rsid w:val="000D3AA2"/>
    <w:rsid w:val="000D5B30"/>
    <w:rsid w:val="000E102F"/>
    <w:rsid w:val="000E2406"/>
    <w:rsid w:val="000E36F1"/>
    <w:rsid w:val="000E3A73"/>
    <w:rsid w:val="000E414A"/>
    <w:rsid w:val="000E6DD9"/>
    <w:rsid w:val="000F0471"/>
    <w:rsid w:val="000F0660"/>
    <w:rsid w:val="000F093C"/>
    <w:rsid w:val="000F219F"/>
    <w:rsid w:val="000F5CC2"/>
    <w:rsid w:val="000F6A4B"/>
    <w:rsid w:val="000F787B"/>
    <w:rsid w:val="00100029"/>
    <w:rsid w:val="00102805"/>
    <w:rsid w:val="001035A3"/>
    <w:rsid w:val="00110A5B"/>
    <w:rsid w:val="00110DB8"/>
    <w:rsid w:val="001159FC"/>
    <w:rsid w:val="0012091F"/>
    <w:rsid w:val="00121074"/>
    <w:rsid w:val="0012146A"/>
    <w:rsid w:val="00122967"/>
    <w:rsid w:val="001232EF"/>
    <w:rsid w:val="00126163"/>
    <w:rsid w:val="00126BC2"/>
    <w:rsid w:val="001308B6"/>
    <w:rsid w:val="00130EA4"/>
    <w:rsid w:val="0013121F"/>
    <w:rsid w:val="00131FE6"/>
    <w:rsid w:val="0013263F"/>
    <w:rsid w:val="001331DF"/>
    <w:rsid w:val="00134DE4"/>
    <w:rsid w:val="00134E9B"/>
    <w:rsid w:val="00137A42"/>
    <w:rsid w:val="00140278"/>
    <w:rsid w:val="0014034D"/>
    <w:rsid w:val="00142E47"/>
    <w:rsid w:val="0014356F"/>
    <w:rsid w:val="00143753"/>
    <w:rsid w:val="00144D16"/>
    <w:rsid w:val="00145EEB"/>
    <w:rsid w:val="00150E59"/>
    <w:rsid w:val="001521AE"/>
    <w:rsid w:val="00152DE3"/>
    <w:rsid w:val="00155FA9"/>
    <w:rsid w:val="00164CF9"/>
    <w:rsid w:val="001667A6"/>
    <w:rsid w:val="00166995"/>
    <w:rsid w:val="001676D9"/>
    <w:rsid w:val="00170331"/>
    <w:rsid w:val="00170B3D"/>
    <w:rsid w:val="00170CDE"/>
    <w:rsid w:val="00172C1B"/>
    <w:rsid w:val="00173A42"/>
    <w:rsid w:val="00174130"/>
    <w:rsid w:val="001745D8"/>
    <w:rsid w:val="0018218C"/>
    <w:rsid w:val="00182F39"/>
    <w:rsid w:val="00183A8E"/>
    <w:rsid w:val="00184AD6"/>
    <w:rsid w:val="0019373F"/>
    <w:rsid w:val="001A2734"/>
    <w:rsid w:val="001A4AF7"/>
    <w:rsid w:val="001A7FDD"/>
    <w:rsid w:val="001B0349"/>
    <w:rsid w:val="001B11E1"/>
    <w:rsid w:val="001B1E93"/>
    <w:rsid w:val="001B2B1F"/>
    <w:rsid w:val="001B47B2"/>
    <w:rsid w:val="001B65C1"/>
    <w:rsid w:val="001B75DA"/>
    <w:rsid w:val="001C2892"/>
    <w:rsid w:val="001C56CA"/>
    <w:rsid w:val="001C62F7"/>
    <w:rsid w:val="001C684B"/>
    <w:rsid w:val="001D0CFB"/>
    <w:rsid w:val="001D21AF"/>
    <w:rsid w:val="001D32C8"/>
    <w:rsid w:val="001D3D6B"/>
    <w:rsid w:val="001D53FC"/>
    <w:rsid w:val="001D65D6"/>
    <w:rsid w:val="001D751B"/>
    <w:rsid w:val="001E16E6"/>
    <w:rsid w:val="001E599E"/>
    <w:rsid w:val="001F1D97"/>
    <w:rsid w:val="001F42A5"/>
    <w:rsid w:val="001F4E71"/>
    <w:rsid w:val="001F6907"/>
    <w:rsid w:val="001F6B92"/>
    <w:rsid w:val="001F7B9D"/>
    <w:rsid w:val="0020018D"/>
    <w:rsid w:val="002013AC"/>
    <w:rsid w:val="00201C93"/>
    <w:rsid w:val="00201E74"/>
    <w:rsid w:val="00203387"/>
    <w:rsid w:val="00204788"/>
    <w:rsid w:val="00206125"/>
    <w:rsid w:val="00212EF6"/>
    <w:rsid w:val="00213AB8"/>
    <w:rsid w:val="00215073"/>
    <w:rsid w:val="00217AD4"/>
    <w:rsid w:val="0022075E"/>
    <w:rsid w:val="002207A5"/>
    <w:rsid w:val="0022241F"/>
    <w:rsid w:val="002224B4"/>
    <w:rsid w:val="00222C95"/>
    <w:rsid w:val="00224553"/>
    <w:rsid w:val="002253BC"/>
    <w:rsid w:val="00225967"/>
    <w:rsid w:val="00237854"/>
    <w:rsid w:val="0024074E"/>
    <w:rsid w:val="002447EF"/>
    <w:rsid w:val="0024711E"/>
    <w:rsid w:val="002507FE"/>
    <w:rsid w:val="00251550"/>
    <w:rsid w:val="002524BA"/>
    <w:rsid w:val="00256899"/>
    <w:rsid w:val="002570C6"/>
    <w:rsid w:val="00263653"/>
    <w:rsid w:val="00263B05"/>
    <w:rsid w:val="00265DA0"/>
    <w:rsid w:val="0027221A"/>
    <w:rsid w:val="002728CE"/>
    <w:rsid w:val="002732E2"/>
    <w:rsid w:val="00275B61"/>
    <w:rsid w:val="00276727"/>
    <w:rsid w:val="00280FAF"/>
    <w:rsid w:val="00281463"/>
    <w:rsid w:val="00282656"/>
    <w:rsid w:val="002829E3"/>
    <w:rsid w:val="00283418"/>
    <w:rsid w:val="00286594"/>
    <w:rsid w:val="00290864"/>
    <w:rsid w:val="00292148"/>
    <w:rsid w:val="00296B83"/>
    <w:rsid w:val="002A4C39"/>
    <w:rsid w:val="002B117F"/>
    <w:rsid w:val="002B314A"/>
    <w:rsid w:val="002B4015"/>
    <w:rsid w:val="002B4D98"/>
    <w:rsid w:val="002B7893"/>
    <w:rsid w:val="002B78CE"/>
    <w:rsid w:val="002C0434"/>
    <w:rsid w:val="002C11B6"/>
    <w:rsid w:val="002C2FB6"/>
    <w:rsid w:val="002C5961"/>
    <w:rsid w:val="002C710A"/>
    <w:rsid w:val="002D383B"/>
    <w:rsid w:val="002D6ED1"/>
    <w:rsid w:val="002D6EDD"/>
    <w:rsid w:val="002D71AB"/>
    <w:rsid w:val="002E1DCE"/>
    <w:rsid w:val="002E4358"/>
    <w:rsid w:val="002E49C4"/>
    <w:rsid w:val="002E5FA7"/>
    <w:rsid w:val="002F0D04"/>
    <w:rsid w:val="002F1D75"/>
    <w:rsid w:val="002F3309"/>
    <w:rsid w:val="002F446D"/>
    <w:rsid w:val="002F45B0"/>
    <w:rsid w:val="002F5F73"/>
    <w:rsid w:val="002F65E6"/>
    <w:rsid w:val="003008CE"/>
    <w:rsid w:val="003009B7"/>
    <w:rsid w:val="00300E56"/>
    <w:rsid w:val="0030152C"/>
    <w:rsid w:val="0030469C"/>
    <w:rsid w:val="00305B6F"/>
    <w:rsid w:val="00306BF0"/>
    <w:rsid w:val="00311382"/>
    <w:rsid w:val="0031175F"/>
    <w:rsid w:val="00317CC0"/>
    <w:rsid w:val="003213EE"/>
    <w:rsid w:val="00321CA6"/>
    <w:rsid w:val="003221F2"/>
    <w:rsid w:val="00323763"/>
    <w:rsid w:val="00323821"/>
    <w:rsid w:val="00323C5F"/>
    <w:rsid w:val="00330C6D"/>
    <w:rsid w:val="00331113"/>
    <w:rsid w:val="00333363"/>
    <w:rsid w:val="00334C09"/>
    <w:rsid w:val="00337650"/>
    <w:rsid w:val="00337FE8"/>
    <w:rsid w:val="00341119"/>
    <w:rsid w:val="00341E35"/>
    <w:rsid w:val="00343D6E"/>
    <w:rsid w:val="003442AA"/>
    <w:rsid w:val="0034578C"/>
    <w:rsid w:val="00353F19"/>
    <w:rsid w:val="003723D4"/>
    <w:rsid w:val="003735E1"/>
    <w:rsid w:val="00375641"/>
    <w:rsid w:val="00376ACB"/>
    <w:rsid w:val="00381905"/>
    <w:rsid w:val="00381D3D"/>
    <w:rsid w:val="0038327B"/>
    <w:rsid w:val="0038328D"/>
    <w:rsid w:val="00384CC8"/>
    <w:rsid w:val="00386221"/>
    <w:rsid w:val="003871FD"/>
    <w:rsid w:val="00390E1D"/>
    <w:rsid w:val="00391254"/>
    <w:rsid w:val="003A1E30"/>
    <w:rsid w:val="003A2829"/>
    <w:rsid w:val="003A31B4"/>
    <w:rsid w:val="003A7D1C"/>
    <w:rsid w:val="003B0ADF"/>
    <w:rsid w:val="003B304B"/>
    <w:rsid w:val="003B3146"/>
    <w:rsid w:val="003B430A"/>
    <w:rsid w:val="003B586A"/>
    <w:rsid w:val="003C026E"/>
    <w:rsid w:val="003C0C6D"/>
    <w:rsid w:val="003C115F"/>
    <w:rsid w:val="003C3E6F"/>
    <w:rsid w:val="003C4ED1"/>
    <w:rsid w:val="003C56E1"/>
    <w:rsid w:val="003C7666"/>
    <w:rsid w:val="003D1790"/>
    <w:rsid w:val="003D1FE8"/>
    <w:rsid w:val="003D25A1"/>
    <w:rsid w:val="003D37D7"/>
    <w:rsid w:val="003D42DA"/>
    <w:rsid w:val="003E0178"/>
    <w:rsid w:val="003E09B1"/>
    <w:rsid w:val="003E2D5C"/>
    <w:rsid w:val="003E6EA1"/>
    <w:rsid w:val="003E79D8"/>
    <w:rsid w:val="003F015E"/>
    <w:rsid w:val="003F079B"/>
    <w:rsid w:val="003F1375"/>
    <w:rsid w:val="003F15C3"/>
    <w:rsid w:val="003F2276"/>
    <w:rsid w:val="003F26C9"/>
    <w:rsid w:val="003F600C"/>
    <w:rsid w:val="003F6FD2"/>
    <w:rsid w:val="00400414"/>
    <w:rsid w:val="0040156E"/>
    <w:rsid w:val="0041085E"/>
    <w:rsid w:val="00414342"/>
    <w:rsid w:val="0041446B"/>
    <w:rsid w:val="00415039"/>
    <w:rsid w:val="00415721"/>
    <w:rsid w:val="00417325"/>
    <w:rsid w:val="0042210D"/>
    <w:rsid w:val="00422607"/>
    <w:rsid w:val="0042501D"/>
    <w:rsid w:val="00427CF3"/>
    <w:rsid w:val="004341E4"/>
    <w:rsid w:val="0044071E"/>
    <w:rsid w:val="00442612"/>
    <w:rsid w:val="00442CA7"/>
    <w:rsid w:val="0044329C"/>
    <w:rsid w:val="0044479E"/>
    <w:rsid w:val="00453E24"/>
    <w:rsid w:val="00456334"/>
    <w:rsid w:val="00457456"/>
    <w:rsid w:val="004577FE"/>
    <w:rsid w:val="00457B9C"/>
    <w:rsid w:val="00457F40"/>
    <w:rsid w:val="00460B71"/>
    <w:rsid w:val="0046164A"/>
    <w:rsid w:val="004628D2"/>
    <w:rsid w:val="004628E1"/>
    <w:rsid w:val="00462DCD"/>
    <w:rsid w:val="0046346D"/>
    <w:rsid w:val="004648AD"/>
    <w:rsid w:val="004703A9"/>
    <w:rsid w:val="004712B1"/>
    <w:rsid w:val="00471E9C"/>
    <w:rsid w:val="004745A6"/>
    <w:rsid w:val="0047570B"/>
    <w:rsid w:val="004760DE"/>
    <w:rsid w:val="004763D7"/>
    <w:rsid w:val="00483053"/>
    <w:rsid w:val="00486EE8"/>
    <w:rsid w:val="004A004E"/>
    <w:rsid w:val="004A096D"/>
    <w:rsid w:val="004A24CF"/>
    <w:rsid w:val="004A262B"/>
    <w:rsid w:val="004A39F9"/>
    <w:rsid w:val="004A7C4D"/>
    <w:rsid w:val="004B28C8"/>
    <w:rsid w:val="004B3439"/>
    <w:rsid w:val="004B3843"/>
    <w:rsid w:val="004B5BB8"/>
    <w:rsid w:val="004C06FD"/>
    <w:rsid w:val="004C3D1D"/>
    <w:rsid w:val="004C3D84"/>
    <w:rsid w:val="004C6115"/>
    <w:rsid w:val="004C7913"/>
    <w:rsid w:val="004D5264"/>
    <w:rsid w:val="004D5C08"/>
    <w:rsid w:val="004D776E"/>
    <w:rsid w:val="004E26AA"/>
    <w:rsid w:val="004E4480"/>
    <w:rsid w:val="004E4DD6"/>
    <w:rsid w:val="004E6C8D"/>
    <w:rsid w:val="004F0790"/>
    <w:rsid w:val="004F3288"/>
    <w:rsid w:val="004F5E36"/>
    <w:rsid w:val="004F7167"/>
    <w:rsid w:val="00502920"/>
    <w:rsid w:val="00505C3D"/>
    <w:rsid w:val="00507B47"/>
    <w:rsid w:val="00507BEF"/>
    <w:rsid w:val="00507CC9"/>
    <w:rsid w:val="00511816"/>
    <w:rsid w:val="005119A5"/>
    <w:rsid w:val="00512432"/>
    <w:rsid w:val="005278B7"/>
    <w:rsid w:val="00532016"/>
    <w:rsid w:val="005346C8"/>
    <w:rsid w:val="00534A17"/>
    <w:rsid w:val="0053529F"/>
    <w:rsid w:val="00536B6A"/>
    <w:rsid w:val="00541AC7"/>
    <w:rsid w:val="0054349F"/>
    <w:rsid w:val="005437AA"/>
    <w:rsid w:val="00543E7D"/>
    <w:rsid w:val="005451D0"/>
    <w:rsid w:val="00547639"/>
    <w:rsid w:val="00547A68"/>
    <w:rsid w:val="005521C9"/>
    <w:rsid w:val="00552721"/>
    <w:rsid w:val="005531C9"/>
    <w:rsid w:val="00554F8E"/>
    <w:rsid w:val="0055585A"/>
    <w:rsid w:val="00557E00"/>
    <w:rsid w:val="00560DBC"/>
    <w:rsid w:val="00566811"/>
    <w:rsid w:val="00570C43"/>
    <w:rsid w:val="0057188C"/>
    <w:rsid w:val="0057226E"/>
    <w:rsid w:val="005726D0"/>
    <w:rsid w:val="005731CF"/>
    <w:rsid w:val="00573AD6"/>
    <w:rsid w:val="00574DFE"/>
    <w:rsid w:val="00577881"/>
    <w:rsid w:val="00580062"/>
    <w:rsid w:val="00581B83"/>
    <w:rsid w:val="0058342C"/>
    <w:rsid w:val="00583D3C"/>
    <w:rsid w:val="00584CE0"/>
    <w:rsid w:val="00594BE2"/>
    <w:rsid w:val="00595318"/>
    <w:rsid w:val="00596BC5"/>
    <w:rsid w:val="005A1C59"/>
    <w:rsid w:val="005A294C"/>
    <w:rsid w:val="005A49EA"/>
    <w:rsid w:val="005A7610"/>
    <w:rsid w:val="005B2110"/>
    <w:rsid w:val="005B2B98"/>
    <w:rsid w:val="005B401C"/>
    <w:rsid w:val="005B58AF"/>
    <w:rsid w:val="005B61E6"/>
    <w:rsid w:val="005B6392"/>
    <w:rsid w:val="005B736D"/>
    <w:rsid w:val="005B7DF8"/>
    <w:rsid w:val="005C29B3"/>
    <w:rsid w:val="005C4AF1"/>
    <w:rsid w:val="005C6EB9"/>
    <w:rsid w:val="005C77E1"/>
    <w:rsid w:val="005D508A"/>
    <w:rsid w:val="005D668A"/>
    <w:rsid w:val="005D6A2F"/>
    <w:rsid w:val="005E1A82"/>
    <w:rsid w:val="005E23E9"/>
    <w:rsid w:val="005E4233"/>
    <w:rsid w:val="005E65D9"/>
    <w:rsid w:val="005E74BF"/>
    <w:rsid w:val="005E7883"/>
    <w:rsid w:val="005E794C"/>
    <w:rsid w:val="005F0A28"/>
    <w:rsid w:val="005F0E5E"/>
    <w:rsid w:val="005F1DB5"/>
    <w:rsid w:val="005F5A8F"/>
    <w:rsid w:val="00600535"/>
    <w:rsid w:val="0060137E"/>
    <w:rsid w:val="00603C62"/>
    <w:rsid w:val="00606EC5"/>
    <w:rsid w:val="0061093C"/>
    <w:rsid w:val="00610CD6"/>
    <w:rsid w:val="0061356B"/>
    <w:rsid w:val="006172D4"/>
    <w:rsid w:val="0061793D"/>
    <w:rsid w:val="00620DEE"/>
    <w:rsid w:val="00621F40"/>
    <w:rsid w:val="00621F92"/>
    <w:rsid w:val="0062280A"/>
    <w:rsid w:val="0062306F"/>
    <w:rsid w:val="006232D4"/>
    <w:rsid w:val="00623A9B"/>
    <w:rsid w:val="00625550"/>
    <w:rsid w:val="00625639"/>
    <w:rsid w:val="00626027"/>
    <w:rsid w:val="00630800"/>
    <w:rsid w:val="006317ED"/>
    <w:rsid w:val="00631B33"/>
    <w:rsid w:val="00632FE0"/>
    <w:rsid w:val="0063388F"/>
    <w:rsid w:val="00637DC6"/>
    <w:rsid w:val="0064184D"/>
    <w:rsid w:val="006422CC"/>
    <w:rsid w:val="00644214"/>
    <w:rsid w:val="00647103"/>
    <w:rsid w:val="00651E83"/>
    <w:rsid w:val="00652BBA"/>
    <w:rsid w:val="00653E42"/>
    <w:rsid w:val="00654C10"/>
    <w:rsid w:val="006556CB"/>
    <w:rsid w:val="00660E3E"/>
    <w:rsid w:val="00662E74"/>
    <w:rsid w:val="006721D9"/>
    <w:rsid w:val="006728E8"/>
    <w:rsid w:val="00674517"/>
    <w:rsid w:val="006758B6"/>
    <w:rsid w:val="00680C23"/>
    <w:rsid w:val="00683D65"/>
    <w:rsid w:val="00684394"/>
    <w:rsid w:val="00687816"/>
    <w:rsid w:val="00691BEC"/>
    <w:rsid w:val="00691FE1"/>
    <w:rsid w:val="0069304A"/>
    <w:rsid w:val="00693766"/>
    <w:rsid w:val="006975E3"/>
    <w:rsid w:val="006A2D8A"/>
    <w:rsid w:val="006A3281"/>
    <w:rsid w:val="006A3EB1"/>
    <w:rsid w:val="006B0601"/>
    <w:rsid w:val="006B4888"/>
    <w:rsid w:val="006B7988"/>
    <w:rsid w:val="006C2E45"/>
    <w:rsid w:val="006C359C"/>
    <w:rsid w:val="006C502A"/>
    <w:rsid w:val="006C5579"/>
    <w:rsid w:val="006D34B2"/>
    <w:rsid w:val="006D3769"/>
    <w:rsid w:val="006D4D45"/>
    <w:rsid w:val="006D5EA6"/>
    <w:rsid w:val="006D6C17"/>
    <w:rsid w:val="006D6E8B"/>
    <w:rsid w:val="006D71F3"/>
    <w:rsid w:val="006D7D35"/>
    <w:rsid w:val="006E34DD"/>
    <w:rsid w:val="006E6008"/>
    <w:rsid w:val="006E737D"/>
    <w:rsid w:val="006F1489"/>
    <w:rsid w:val="006F1CBB"/>
    <w:rsid w:val="006F6040"/>
    <w:rsid w:val="00701B42"/>
    <w:rsid w:val="007065C0"/>
    <w:rsid w:val="00707DD1"/>
    <w:rsid w:val="00710BAA"/>
    <w:rsid w:val="00713973"/>
    <w:rsid w:val="00714B1A"/>
    <w:rsid w:val="007168DB"/>
    <w:rsid w:val="00717246"/>
    <w:rsid w:val="0071759A"/>
    <w:rsid w:val="00720330"/>
    <w:rsid w:val="00720A24"/>
    <w:rsid w:val="0072148A"/>
    <w:rsid w:val="00722E1D"/>
    <w:rsid w:val="00727D5B"/>
    <w:rsid w:val="00732386"/>
    <w:rsid w:val="00733403"/>
    <w:rsid w:val="00733C49"/>
    <w:rsid w:val="00734962"/>
    <w:rsid w:val="0073514D"/>
    <w:rsid w:val="007421A8"/>
    <w:rsid w:val="007436A7"/>
    <w:rsid w:val="007447F3"/>
    <w:rsid w:val="00752E8D"/>
    <w:rsid w:val="0075499F"/>
    <w:rsid w:val="0075565F"/>
    <w:rsid w:val="00757604"/>
    <w:rsid w:val="0075795F"/>
    <w:rsid w:val="00761201"/>
    <w:rsid w:val="00763334"/>
    <w:rsid w:val="007640D8"/>
    <w:rsid w:val="007661C8"/>
    <w:rsid w:val="00766CED"/>
    <w:rsid w:val="00767883"/>
    <w:rsid w:val="007700C9"/>
    <w:rsid w:val="0077098D"/>
    <w:rsid w:val="007710AA"/>
    <w:rsid w:val="00771C2F"/>
    <w:rsid w:val="00776541"/>
    <w:rsid w:val="00780E15"/>
    <w:rsid w:val="0078215C"/>
    <w:rsid w:val="007834CB"/>
    <w:rsid w:val="00784123"/>
    <w:rsid w:val="007848CE"/>
    <w:rsid w:val="0079004A"/>
    <w:rsid w:val="007911B4"/>
    <w:rsid w:val="007931FA"/>
    <w:rsid w:val="00793551"/>
    <w:rsid w:val="007941BE"/>
    <w:rsid w:val="007955E6"/>
    <w:rsid w:val="00796D7A"/>
    <w:rsid w:val="007A03C1"/>
    <w:rsid w:val="007A1CBE"/>
    <w:rsid w:val="007A30BA"/>
    <w:rsid w:val="007A4861"/>
    <w:rsid w:val="007A6B00"/>
    <w:rsid w:val="007A7BBA"/>
    <w:rsid w:val="007B0AAD"/>
    <w:rsid w:val="007B0C50"/>
    <w:rsid w:val="007B1555"/>
    <w:rsid w:val="007B3A01"/>
    <w:rsid w:val="007B48F9"/>
    <w:rsid w:val="007C1A43"/>
    <w:rsid w:val="007C34CF"/>
    <w:rsid w:val="007D0951"/>
    <w:rsid w:val="007D3F80"/>
    <w:rsid w:val="007D6A85"/>
    <w:rsid w:val="007D7825"/>
    <w:rsid w:val="007E14D9"/>
    <w:rsid w:val="007E1813"/>
    <w:rsid w:val="007F1377"/>
    <w:rsid w:val="007F3743"/>
    <w:rsid w:val="007F693B"/>
    <w:rsid w:val="0080013E"/>
    <w:rsid w:val="00801366"/>
    <w:rsid w:val="00806E88"/>
    <w:rsid w:val="00810BB3"/>
    <w:rsid w:val="008131CA"/>
    <w:rsid w:val="00813288"/>
    <w:rsid w:val="00816477"/>
    <w:rsid w:val="008168FC"/>
    <w:rsid w:val="0081692C"/>
    <w:rsid w:val="00825C0E"/>
    <w:rsid w:val="00827DE5"/>
    <w:rsid w:val="00830996"/>
    <w:rsid w:val="00830B2A"/>
    <w:rsid w:val="00830FF2"/>
    <w:rsid w:val="008345F1"/>
    <w:rsid w:val="008368CD"/>
    <w:rsid w:val="00844B13"/>
    <w:rsid w:val="00846B7B"/>
    <w:rsid w:val="0085722B"/>
    <w:rsid w:val="008572FA"/>
    <w:rsid w:val="008623DE"/>
    <w:rsid w:val="00864479"/>
    <w:rsid w:val="00865B07"/>
    <w:rsid w:val="008667D2"/>
    <w:rsid w:val="008667EA"/>
    <w:rsid w:val="0087094C"/>
    <w:rsid w:val="0087637F"/>
    <w:rsid w:val="00877B46"/>
    <w:rsid w:val="00892AD5"/>
    <w:rsid w:val="0089372F"/>
    <w:rsid w:val="00895AA4"/>
    <w:rsid w:val="008A1512"/>
    <w:rsid w:val="008A4B1C"/>
    <w:rsid w:val="008A6E64"/>
    <w:rsid w:val="008C0256"/>
    <w:rsid w:val="008C27A1"/>
    <w:rsid w:val="008C506F"/>
    <w:rsid w:val="008C5A3C"/>
    <w:rsid w:val="008D037F"/>
    <w:rsid w:val="008D30CD"/>
    <w:rsid w:val="008D32B9"/>
    <w:rsid w:val="008D42F5"/>
    <w:rsid w:val="008D433B"/>
    <w:rsid w:val="008D4448"/>
    <w:rsid w:val="008D4A16"/>
    <w:rsid w:val="008D7A79"/>
    <w:rsid w:val="008E0DD8"/>
    <w:rsid w:val="008E19C1"/>
    <w:rsid w:val="008E3648"/>
    <w:rsid w:val="008E3A5C"/>
    <w:rsid w:val="008E443A"/>
    <w:rsid w:val="008E566E"/>
    <w:rsid w:val="008E617C"/>
    <w:rsid w:val="008F0F82"/>
    <w:rsid w:val="008F1ABE"/>
    <w:rsid w:val="008F1AEA"/>
    <w:rsid w:val="008F272D"/>
    <w:rsid w:val="008F61CD"/>
    <w:rsid w:val="0090161A"/>
    <w:rsid w:val="00901EB6"/>
    <w:rsid w:val="0090465B"/>
    <w:rsid w:val="00904C62"/>
    <w:rsid w:val="00912E74"/>
    <w:rsid w:val="00913E86"/>
    <w:rsid w:val="00913F50"/>
    <w:rsid w:val="00920561"/>
    <w:rsid w:val="00922BA8"/>
    <w:rsid w:val="00924DAC"/>
    <w:rsid w:val="00926C41"/>
    <w:rsid w:val="00927058"/>
    <w:rsid w:val="00927E12"/>
    <w:rsid w:val="00932349"/>
    <w:rsid w:val="009335BA"/>
    <w:rsid w:val="00933BC1"/>
    <w:rsid w:val="00934C79"/>
    <w:rsid w:val="00942750"/>
    <w:rsid w:val="009450CE"/>
    <w:rsid w:val="009459BB"/>
    <w:rsid w:val="00946915"/>
    <w:rsid w:val="00947179"/>
    <w:rsid w:val="0095065B"/>
    <w:rsid w:val="0095164B"/>
    <w:rsid w:val="00952CBA"/>
    <w:rsid w:val="00952FAE"/>
    <w:rsid w:val="00954090"/>
    <w:rsid w:val="009573E7"/>
    <w:rsid w:val="00957C74"/>
    <w:rsid w:val="00963E05"/>
    <w:rsid w:val="009640DF"/>
    <w:rsid w:val="0096444D"/>
    <w:rsid w:val="00964A45"/>
    <w:rsid w:val="00967843"/>
    <w:rsid w:val="00967D54"/>
    <w:rsid w:val="00971028"/>
    <w:rsid w:val="00972EFB"/>
    <w:rsid w:val="009746EC"/>
    <w:rsid w:val="00975FD3"/>
    <w:rsid w:val="00980CD1"/>
    <w:rsid w:val="0098388F"/>
    <w:rsid w:val="00993B84"/>
    <w:rsid w:val="00995773"/>
    <w:rsid w:val="00996483"/>
    <w:rsid w:val="00996F5A"/>
    <w:rsid w:val="009A199E"/>
    <w:rsid w:val="009A317F"/>
    <w:rsid w:val="009A65B7"/>
    <w:rsid w:val="009B041A"/>
    <w:rsid w:val="009B1ABB"/>
    <w:rsid w:val="009B3266"/>
    <w:rsid w:val="009B58D4"/>
    <w:rsid w:val="009C03A5"/>
    <w:rsid w:val="009C115D"/>
    <w:rsid w:val="009C1D26"/>
    <w:rsid w:val="009C37C3"/>
    <w:rsid w:val="009C3DCA"/>
    <w:rsid w:val="009C40B3"/>
    <w:rsid w:val="009C48BC"/>
    <w:rsid w:val="009C60D6"/>
    <w:rsid w:val="009C7C86"/>
    <w:rsid w:val="009D0251"/>
    <w:rsid w:val="009D0C03"/>
    <w:rsid w:val="009D1159"/>
    <w:rsid w:val="009D240A"/>
    <w:rsid w:val="009D2FF7"/>
    <w:rsid w:val="009D5B30"/>
    <w:rsid w:val="009E5AA8"/>
    <w:rsid w:val="009E60AA"/>
    <w:rsid w:val="009E7884"/>
    <w:rsid w:val="009E788A"/>
    <w:rsid w:val="009F0E08"/>
    <w:rsid w:val="009F27A3"/>
    <w:rsid w:val="009F5970"/>
    <w:rsid w:val="009F6A8B"/>
    <w:rsid w:val="00A072BC"/>
    <w:rsid w:val="00A13A3F"/>
    <w:rsid w:val="00A13FCE"/>
    <w:rsid w:val="00A13FE1"/>
    <w:rsid w:val="00A170B9"/>
    <w:rsid w:val="00A1763D"/>
    <w:rsid w:val="00A178D9"/>
    <w:rsid w:val="00A17CEC"/>
    <w:rsid w:val="00A22873"/>
    <w:rsid w:val="00A23A6E"/>
    <w:rsid w:val="00A243C0"/>
    <w:rsid w:val="00A27EF0"/>
    <w:rsid w:val="00A323C4"/>
    <w:rsid w:val="00A37DFC"/>
    <w:rsid w:val="00A42361"/>
    <w:rsid w:val="00A424EE"/>
    <w:rsid w:val="00A430C0"/>
    <w:rsid w:val="00A4461E"/>
    <w:rsid w:val="00A44BFD"/>
    <w:rsid w:val="00A462F9"/>
    <w:rsid w:val="00A5012D"/>
    <w:rsid w:val="00A50B20"/>
    <w:rsid w:val="00A51390"/>
    <w:rsid w:val="00A538F8"/>
    <w:rsid w:val="00A55E6D"/>
    <w:rsid w:val="00A57E2C"/>
    <w:rsid w:val="00A60D13"/>
    <w:rsid w:val="00A616ED"/>
    <w:rsid w:val="00A70DA7"/>
    <w:rsid w:val="00A7223D"/>
    <w:rsid w:val="00A72745"/>
    <w:rsid w:val="00A74BF3"/>
    <w:rsid w:val="00A76EFC"/>
    <w:rsid w:val="00A771D6"/>
    <w:rsid w:val="00A77BDD"/>
    <w:rsid w:val="00A80F9F"/>
    <w:rsid w:val="00A82089"/>
    <w:rsid w:val="00A83106"/>
    <w:rsid w:val="00A84418"/>
    <w:rsid w:val="00A84E31"/>
    <w:rsid w:val="00A857C1"/>
    <w:rsid w:val="00A85ABF"/>
    <w:rsid w:val="00A87D50"/>
    <w:rsid w:val="00A9031A"/>
    <w:rsid w:val="00A91010"/>
    <w:rsid w:val="00A92B5E"/>
    <w:rsid w:val="00A96C46"/>
    <w:rsid w:val="00A97F29"/>
    <w:rsid w:val="00AA25C7"/>
    <w:rsid w:val="00AA37AC"/>
    <w:rsid w:val="00AA37E6"/>
    <w:rsid w:val="00AA3E37"/>
    <w:rsid w:val="00AA691F"/>
    <w:rsid w:val="00AA702E"/>
    <w:rsid w:val="00AA7D26"/>
    <w:rsid w:val="00AB0964"/>
    <w:rsid w:val="00AB2F9D"/>
    <w:rsid w:val="00AB5011"/>
    <w:rsid w:val="00AB56DF"/>
    <w:rsid w:val="00AB7212"/>
    <w:rsid w:val="00AC3971"/>
    <w:rsid w:val="00AC7368"/>
    <w:rsid w:val="00AD16B9"/>
    <w:rsid w:val="00AD34F8"/>
    <w:rsid w:val="00AD5208"/>
    <w:rsid w:val="00AD5A94"/>
    <w:rsid w:val="00AD7412"/>
    <w:rsid w:val="00AD78A0"/>
    <w:rsid w:val="00AE1583"/>
    <w:rsid w:val="00AE2F1F"/>
    <w:rsid w:val="00AE377D"/>
    <w:rsid w:val="00AF061E"/>
    <w:rsid w:val="00AF0EBA"/>
    <w:rsid w:val="00AF534E"/>
    <w:rsid w:val="00AF535B"/>
    <w:rsid w:val="00AF62ED"/>
    <w:rsid w:val="00B025DD"/>
    <w:rsid w:val="00B028F6"/>
    <w:rsid w:val="00B02C8A"/>
    <w:rsid w:val="00B076BB"/>
    <w:rsid w:val="00B07A8A"/>
    <w:rsid w:val="00B11E5E"/>
    <w:rsid w:val="00B1321F"/>
    <w:rsid w:val="00B17AD9"/>
    <w:rsid w:val="00B17FBD"/>
    <w:rsid w:val="00B2246D"/>
    <w:rsid w:val="00B26C1E"/>
    <w:rsid w:val="00B30E09"/>
    <w:rsid w:val="00B315A6"/>
    <w:rsid w:val="00B31813"/>
    <w:rsid w:val="00B33365"/>
    <w:rsid w:val="00B41933"/>
    <w:rsid w:val="00B451D3"/>
    <w:rsid w:val="00B45294"/>
    <w:rsid w:val="00B51878"/>
    <w:rsid w:val="00B52F87"/>
    <w:rsid w:val="00B54CB1"/>
    <w:rsid w:val="00B57B36"/>
    <w:rsid w:val="00B57E6F"/>
    <w:rsid w:val="00B60180"/>
    <w:rsid w:val="00B62D1D"/>
    <w:rsid w:val="00B66FF7"/>
    <w:rsid w:val="00B743B5"/>
    <w:rsid w:val="00B7453F"/>
    <w:rsid w:val="00B74563"/>
    <w:rsid w:val="00B755B6"/>
    <w:rsid w:val="00B77A57"/>
    <w:rsid w:val="00B82D76"/>
    <w:rsid w:val="00B83F6A"/>
    <w:rsid w:val="00B863AF"/>
    <w:rsid w:val="00B8686D"/>
    <w:rsid w:val="00B87B33"/>
    <w:rsid w:val="00B923BC"/>
    <w:rsid w:val="00B93F69"/>
    <w:rsid w:val="00B9441F"/>
    <w:rsid w:val="00B94C1C"/>
    <w:rsid w:val="00BA3ED3"/>
    <w:rsid w:val="00BB1DDC"/>
    <w:rsid w:val="00BB416F"/>
    <w:rsid w:val="00BC1750"/>
    <w:rsid w:val="00BC2351"/>
    <w:rsid w:val="00BC30C9"/>
    <w:rsid w:val="00BC5CE5"/>
    <w:rsid w:val="00BC7266"/>
    <w:rsid w:val="00BD007C"/>
    <w:rsid w:val="00BD077D"/>
    <w:rsid w:val="00BD6F76"/>
    <w:rsid w:val="00BE05DF"/>
    <w:rsid w:val="00BE3738"/>
    <w:rsid w:val="00BE3E58"/>
    <w:rsid w:val="00BE6C61"/>
    <w:rsid w:val="00BF21C5"/>
    <w:rsid w:val="00BF2F0F"/>
    <w:rsid w:val="00BF4212"/>
    <w:rsid w:val="00BF4A8D"/>
    <w:rsid w:val="00BF7626"/>
    <w:rsid w:val="00C012B0"/>
    <w:rsid w:val="00C01616"/>
    <w:rsid w:val="00C0162B"/>
    <w:rsid w:val="00C01664"/>
    <w:rsid w:val="00C04EBC"/>
    <w:rsid w:val="00C05913"/>
    <w:rsid w:val="00C068ED"/>
    <w:rsid w:val="00C101EE"/>
    <w:rsid w:val="00C1445B"/>
    <w:rsid w:val="00C15D8D"/>
    <w:rsid w:val="00C16C80"/>
    <w:rsid w:val="00C20AED"/>
    <w:rsid w:val="00C20E15"/>
    <w:rsid w:val="00C21F54"/>
    <w:rsid w:val="00C22E0C"/>
    <w:rsid w:val="00C25826"/>
    <w:rsid w:val="00C26EC2"/>
    <w:rsid w:val="00C31EDF"/>
    <w:rsid w:val="00C324E9"/>
    <w:rsid w:val="00C337D5"/>
    <w:rsid w:val="00C345B1"/>
    <w:rsid w:val="00C36A75"/>
    <w:rsid w:val="00C40142"/>
    <w:rsid w:val="00C40807"/>
    <w:rsid w:val="00C4218C"/>
    <w:rsid w:val="00C44C68"/>
    <w:rsid w:val="00C52C3C"/>
    <w:rsid w:val="00C57182"/>
    <w:rsid w:val="00C57863"/>
    <w:rsid w:val="00C60332"/>
    <w:rsid w:val="00C640AF"/>
    <w:rsid w:val="00C64D19"/>
    <w:rsid w:val="00C64E30"/>
    <w:rsid w:val="00C655FD"/>
    <w:rsid w:val="00C65EBE"/>
    <w:rsid w:val="00C6707B"/>
    <w:rsid w:val="00C75407"/>
    <w:rsid w:val="00C77BAF"/>
    <w:rsid w:val="00C8181A"/>
    <w:rsid w:val="00C81B1F"/>
    <w:rsid w:val="00C82BA3"/>
    <w:rsid w:val="00C841C6"/>
    <w:rsid w:val="00C85C86"/>
    <w:rsid w:val="00C870A8"/>
    <w:rsid w:val="00C876C9"/>
    <w:rsid w:val="00C91991"/>
    <w:rsid w:val="00C92626"/>
    <w:rsid w:val="00C94434"/>
    <w:rsid w:val="00C9601A"/>
    <w:rsid w:val="00CA0D75"/>
    <w:rsid w:val="00CA16D7"/>
    <w:rsid w:val="00CA1BAD"/>
    <w:rsid w:val="00CA1C95"/>
    <w:rsid w:val="00CA46B8"/>
    <w:rsid w:val="00CA5A9C"/>
    <w:rsid w:val="00CA692B"/>
    <w:rsid w:val="00CA737C"/>
    <w:rsid w:val="00CA7678"/>
    <w:rsid w:val="00CA795C"/>
    <w:rsid w:val="00CA79AF"/>
    <w:rsid w:val="00CB26C8"/>
    <w:rsid w:val="00CB66EF"/>
    <w:rsid w:val="00CC0CBC"/>
    <w:rsid w:val="00CC12C1"/>
    <w:rsid w:val="00CC1538"/>
    <w:rsid w:val="00CC24EA"/>
    <w:rsid w:val="00CC2C13"/>
    <w:rsid w:val="00CC4C20"/>
    <w:rsid w:val="00CC5993"/>
    <w:rsid w:val="00CC5D8D"/>
    <w:rsid w:val="00CD0939"/>
    <w:rsid w:val="00CD346B"/>
    <w:rsid w:val="00CD3517"/>
    <w:rsid w:val="00CD3D10"/>
    <w:rsid w:val="00CD4810"/>
    <w:rsid w:val="00CD58C0"/>
    <w:rsid w:val="00CD5FE2"/>
    <w:rsid w:val="00CD7407"/>
    <w:rsid w:val="00CE7C68"/>
    <w:rsid w:val="00CF17E7"/>
    <w:rsid w:val="00CF259D"/>
    <w:rsid w:val="00CF2E50"/>
    <w:rsid w:val="00D02B4C"/>
    <w:rsid w:val="00D040C4"/>
    <w:rsid w:val="00D05F4F"/>
    <w:rsid w:val="00D11815"/>
    <w:rsid w:val="00D121CC"/>
    <w:rsid w:val="00D12B27"/>
    <w:rsid w:val="00D12F93"/>
    <w:rsid w:val="00D14D52"/>
    <w:rsid w:val="00D14FC1"/>
    <w:rsid w:val="00D15693"/>
    <w:rsid w:val="00D16553"/>
    <w:rsid w:val="00D20AD1"/>
    <w:rsid w:val="00D2373E"/>
    <w:rsid w:val="00D2374D"/>
    <w:rsid w:val="00D2582C"/>
    <w:rsid w:val="00D25B8A"/>
    <w:rsid w:val="00D26BF6"/>
    <w:rsid w:val="00D27066"/>
    <w:rsid w:val="00D273D5"/>
    <w:rsid w:val="00D30D51"/>
    <w:rsid w:val="00D33CC2"/>
    <w:rsid w:val="00D34666"/>
    <w:rsid w:val="00D34BFB"/>
    <w:rsid w:val="00D36949"/>
    <w:rsid w:val="00D378D1"/>
    <w:rsid w:val="00D40131"/>
    <w:rsid w:val="00D403C2"/>
    <w:rsid w:val="00D408AC"/>
    <w:rsid w:val="00D46B3A"/>
    <w:rsid w:val="00D46B7E"/>
    <w:rsid w:val="00D528D1"/>
    <w:rsid w:val="00D5549B"/>
    <w:rsid w:val="00D56152"/>
    <w:rsid w:val="00D57C84"/>
    <w:rsid w:val="00D6057D"/>
    <w:rsid w:val="00D66B2D"/>
    <w:rsid w:val="00D67B14"/>
    <w:rsid w:val="00D71640"/>
    <w:rsid w:val="00D72994"/>
    <w:rsid w:val="00D73214"/>
    <w:rsid w:val="00D73C32"/>
    <w:rsid w:val="00D7571A"/>
    <w:rsid w:val="00D75E1B"/>
    <w:rsid w:val="00D75EE3"/>
    <w:rsid w:val="00D776F7"/>
    <w:rsid w:val="00D836C5"/>
    <w:rsid w:val="00D84576"/>
    <w:rsid w:val="00D85333"/>
    <w:rsid w:val="00D91A03"/>
    <w:rsid w:val="00D9276F"/>
    <w:rsid w:val="00D973FF"/>
    <w:rsid w:val="00DA0274"/>
    <w:rsid w:val="00DA09C2"/>
    <w:rsid w:val="00DA12F3"/>
    <w:rsid w:val="00DA1399"/>
    <w:rsid w:val="00DA24C6"/>
    <w:rsid w:val="00DA4D7B"/>
    <w:rsid w:val="00DA6888"/>
    <w:rsid w:val="00DA7459"/>
    <w:rsid w:val="00DB0789"/>
    <w:rsid w:val="00DB4586"/>
    <w:rsid w:val="00DB535F"/>
    <w:rsid w:val="00DC0561"/>
    <w:rsid w:val="00DC2AAF"/>
    <w:rsid w:val="00DC7B78"/>
    <w:rsid w:val="00DD0487"/>
    <w:rsid w:val="00DD0FE5"/>
    <w:rsid w:val="00DD271C"/>
    <w:rsid w:val="00DD4104"/>
    <w:rsid w:val="00DD5E05"/>
    <w:rsid w:val="00DE264A"/>
    <w:rsid w:val="00DF0FC0"/>
    <w:rsid w:val="00DF14F4"/>
    <w:rsid w:val="00DF1BEB"/>
    <w:rsid w:val="00DF23C8"/>
    <w:rsid w:val="00DF3CAB"/>
    <w:rsid w:val="00DF5072"/>
    <w:rsid w:val="00DF6CA8"/>
    <w:rsid w:val="00E02D18"/>
    <w:rsid w:val="00E03E7E"/>
    <w:rsid w:val="00E041E7"/>
    <w:rsid w:val="00E077CA"/>
    <w:rsid w:val="00E1037A"/>
    <w:rsid w:val="00E108C3"/>
    <w:rsid w:val="00E109FE"/>
    <w:rsid w:val="00E23CA1"/>
    <w:rsid w:val="00E27BC7"/>
    <w:rsid w:val="00E30C35"/>
    <w:rsid w:val="00E323E3"/>
    <w:rsid w:val="00E34074"/>
    <w:rsid w:val="00E342BE"/>
    <w:rsid w:val="00E409A8"/>
    <w:rsid w:val="00E43FEC"/>
    <w:rsid w:val="00E465DF"/>
    <w:rsid w:val="00E47CFD"/>
    <w:rsid w:val="00E50C12"/>
    <w:rsid w:val="00E50EF9"/>
    <w:rsid w:val="00E52D4C"/>
    <w:rsid w:val="00E57277"/>
    <w:rsid w:val="00E60D6D"/>
    <w:rsid w:val="00E615C7"/>
    <w:rsid w:val="00E65B91"/>
    <w:rsid w:val="00E67696"/>
    <w:rsid w:val="00E70B7F"/>
    <w:rsid w:val="00E71DC2"/>
    <w:rsid w:val="00E7209D"/>
    <w:rsid w:val="00E72EAD"/>
    <w:rsid w:val="00E75AA4"/>
    <w:rsid w:val="00E77223"/>
    <w:rsid w:val="00E81414"/>
    <w:rsid w:val="00E81701"/>
    <w:rsid w:val="00E81868"/>
    <w:rsid w:val="00E82809"/>
    <w:rsid w:val="00E847CE"/>
    <w:rsid w:val="00E8528B"/>
    <w:rsid w:val="00E85B94"/>
    <w:rsid w:val="00E8648D"/>
    <w:rsid w:val="00E908AE"/>
    <w:rsid w:val="00E919C7"/>
    <w:rsid w:val="00E91AD8"/>
    <w:rsid w:val="00E978D0"/>
    <w:rsid w:val="00EA3BB9"/>
    <w:rsid w:val="00EA4613"/>
    <w:rsid w:val="00EA7F91"/>
    <w:rsid w:val="00EB0CE8"/>
    <w:rsid w:val="00EB1523"/>
    <w:rsid w:val="00EB2AC8"/>
    <w:rsid w:val="00EB60AE"/>
    <w:rsid w:val="00EB619F"/>
    <w:rsid w:val="00EB7F51"/>
    <w:rsid w:val="00EC08D8"/>
    <w:rsid w:val="00EC0A2F"/>
    <w:rsid w:val="00EC0E49"/>
    <w:rsid w:val="00EC101F"/>
    <w:rsid w:val="00EC1D9F"/>
    <w:rsid w:val="00EC226E"/>
    <w:rsid w:val="00EC2A0D"/>
    <w:rsid w:val="00EC37BF"/>
    <w:rsid w:val="00EC4532"/>
    <w:rsid w:val="00EC6079"/>
    <w:rsid w:val="00ED1844"/>
    <w:rsid w:val="00ED2F26"/>
    <w:rsid w:val="00ED4ACF"/>
    <w:rsid w:val="00ED5491"/>
    <w:rsid w:val="00ED5D8D"/>
    <w:rsid w:val="00EE0131"/>
    <w:rsid w:val="00EE0CCF"/>
    <w:rsid w:val="00EE17B0"/>
    <w:rsid w:val="00EE247B"/>
    <w:rsid w:val="00EE5321"/>
    <w:rsid w:val="00EF06D9"/>
    <w:rsid w:val="00EF1693"/>
    <w:rsid w:val="00EF6263"/>
    <w:rsid w:val="00EF7358"/>
    <w:rsid w:val="00EF7A0A"/>
    <w:rsid w:val="00EF7A77"/>
    <w:rsid w:val="00EF7F33"/>
    <w:rsid w:val="00F00872"/>
    <w:rsid w:val="00F15F1E"/>
    <w:rsid w:val="00F162BC"/>
    <w:rsid w:val="00F239BC"/>
    <w:rsid w:val="00F2770B"/>
    <w:rsid w:val="00F27A9E"/>
    <w:rsid w:val="00F3049E"/>
    <w:rsid w:val="00F30C64"/>
    <w:rsid w:val="00F32BA2"/>
    <w:rsid w:val="00F32CDB"/>
    <w:rsid w:val="00F34D5A"/>
    <w:rsid w:val="00F3571D"/>
    <w:rsid w:val="00F35963"/>
    <w:rsid w:val="00F37789"/>
    <w:rsid w:val="00F4214A"/>
    <w:rsid w:val="00F454F2"/>
    <w:rsid w:val="00F51388"/>
    <w:rsid w:val="00F53508"/>
    <w:rsid w:val="00F5410C"/>
    <w:rsid w:val="00F565FE"/>
    <w:rsid w:val="00F63A70"/>
    <w:rsid w:val="00F63D8C"/>
    <w:rsid w:val="00F65253"/>
    <w:rsid w:val="00F70D1C"/>
    <w:rsid w:val="00F71F24"/>
    <w:rsid w:val="00F72BE7"/>
    <w:rsid w:val="00F744F4"/>
    <w:rsid w:val="00F74B38"/>
    <w:rsid w:val="00F7534E"/>
    <w:rsid w:val="00F84829"/>
    <w:rsid w:val="00F8553A"/>
    <w:rsid w:val="00F93369"/>
    <w:rsid w:val="00F93EDF"/>
    <w:rsid w:val="00F94241"/>
    <w:rsid w:val="00FA1802"/>
    <w:rsid w:val="00FA21D0"/>
    <w:rsid w:val="00FA2CD8"/>
    <w:rsid w:val="00FA5F5F"/>
    <w:rsid w:val="00FB1867"/>
    <w:rsid w:val="00FB1D5C"/>
    <w:rsid w:val="00FB40EC"/>
    <w:rsid w:val="00FB4764"/>
    <w:rsid w:val="00FB730C"/>
    <w:rsid w:val="00FB7FAB"/>
    <w:rsid w:val="00FC2695"/>
    <w:rsid w:val="00FC3A6F"/>
    <w:rsid w:val="00FC3E03"/>
    <w:rsid w:val="00FC3FC1"/>
    <w:rsid w:val="00FD3035"/>
    <w:rsid w:val="00FD77D5"/>
    <w:rsid w:val="00FE0623"/>
    <w:rsid w:val="00FE440B"/>
    <w:rsid w:val="00FE4FAF"/>
    <w:rsid w:val="00FF443B"/>
    <w:rsid w:val="00FF454F"/>
    <w:rsid w:val="00FF52E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ar"/>
    <w:uiPriority w:val="9"/>
    <w:rsid w:val="004F5E36"/>
    <w:pPr>
      <w:tabs>
        <w:tab w:val="clear" w:pos="360"/>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DF23C8"/>
    <w:pPr>
      <w:keepNext/>
      <w:numPr>
        <w:ilvl w:val="2"/>
        <w:numId w:val="1"/>
      </w:numPr>
      <w:suppressAutoHyphens/>
      <w:spacing w:before="120" w:after="120" w:line="240" w:lineRule="auto"/>
      <w:ind w:left="0"/>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DF23C8"/>
    <w:rPr>
      <w:rFonts w:ascii="Arial" w:eastAsia="Times New Roman" w:hAnsi="Arial" w:cs="Times New Roman"/>
      <w:b/>
      <w:sz w:val="18"/>
      <w:szCs w:val="20"/>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9A65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460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766">
      <w:bodyDiv w:val="1"/>
      <w:marLeft w:val="0"/>
      <w:marRight w:val="0"/>
      <w:marTop w:val="0"/>
      <w:marBottom w:val="0"/>
      <w:divBdr>
        <w:top w:val="none" w:sz="0" w:space="0" w:color="auto"/>
        <w:left w:val="none" w:sz="0" w:space="0" w:color="auto"/>
        <w:bottom w:val="none" w:sz="0" w:space="0" w:color="auto"/>
        <w:right w:val="none" w:sz="0" w:space="0" w:color="auto"/>
      </w:divBdr>
      <w:divsChild>
        <w:div w:id="1366980606">
          <w:marLeft w:val="0"/>
          <w:marRight w:val="0"/>
          <w:marTop w:val="0"/>
          <w:marBottom w:val="0"/>
          <w:divBdr>
            <w:top w:val="none" w:sz="0" w:space="0" w:color="auto"/>
            <w:left w:val="none" w:sz="0" w:space="0" w:color="auto"/>
            <w:bottom w:val="none" w:sz="0" w:space="0" w:color="auto"/>
            <w:right w:val="none" w:sz="0" w:space="0" w:color="auto"/>
          </w:divBdr>
        </w:div>
        <w:div w:id="1906378058">
          <w:marLeft w:val="0"/>
          <w:marRight w:val="0"/>
          <w:marTop w:val="0"/>
          <w:marBottom w:val="0"/>
          <w:divBdr>
            <w:top w:val="none" w:sz="0" w:space="0" w:color="auto"/>
            <w:left w:val="none" w:sz="0" w:space="0" w:color="auto"/>
            <w:bottom w:val="none" w:sz="0" w:space="0" w:color="auto"/>
            <w:right w:val="none" w:sz="0" w:space="0" w:color="auto"/>
          </w:divBdr>
        </w:div>
        <w:div w:id="2019190229">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620333-D201-42AD-9115-067B7E968290}" type="doc">
      <dgm:prSet loTypeId="urn:microsoft.com/office/officeart/2005/8/layout/hProcess10" loCatId="process" qsTypeId="urn:microsoft.com/office/officeart/2005/8/quickstyle/3d4" qsCatId="3D" csTypeId="urn:microsoft.com/office/officeart/2005/8/colors/colorful2" csCatId="colorful" phldr="1"/>
      <dgm:spPr/>
      <dgm:t>
        <a:bodyPr/>
        <a:lstStyle/>
        <a:p>
          <a:endParaRPr lang="en-US"/>
        </a:p>
      </dgm:t>
    </dgm:pt>
    <dgm:pt modelId="{150865A2-052B-4E6A-A0B5-E3C1399728B9}">
      <dgm:prSet phldrT="[Texto]"/>
      <dgm:spPr/>
      <dgm:t>
        <a:bodyPr/>
        <a:lstStyle/>
        <a:p>
          <a:r>
            <a:rPr lang="en"/>
            <a:t>Sample extraction</a:t>
          </a:r>
        </a:p>
      </dgm:t>
    </dgm:pt>
    <dgm:pt modelId="{40A9AA21-E4FE-4B65-B74F-71ADC33AFDCF}" type="parTrans" cxnId="{33F4BBCA-EC86-4980-A585-EB71CF579B6B}">
      <dgm:prSet/>
      <dgm:spPr/>
      <dgm:t>
        <a:bodyPr/>
        <a:lstStyle/>
        <a:p>
          <a:endParaRPr lang="en-US"/>
        </a:p>
      </dgm:t>
    </dgm:pt>
    <dgm:pt modelId="{C2AF396F-5594-4C84-84EE-B50217003B20}" type="sibTrans" cxnId="{33F4BBCA-EC86-4980-A585-EB71CF579B6B}">
      <dgm:prSet/>
      <dgm:spPr/>
      <dgm:t>
        <a:bodyPr/>
        <a:lstStyle/>
        <a:p>
          <a:endParaRPr lang="en-US"/>
        </a:p>
      </dgm:t>
    </dgm:pt>
    <dgm:pt modelId="{9521B8CE-7260-40CE-B557-A46799B0398B}">
      <dgm:prSet phldrT="[Texto]"/>
      <dgm:spPr/>
      <dgm:t>
        <a:bodyPr/>
        <a:lstStyle/>
        <a:p>
          <a:r>
            <a:rPr lang="en"/>
            <a:t>Preparation of treatments</a:t>
          </a:r>
        </a:p>
      </dgm:t>
    </dgm:pt>
    <dgm:pt modelId="{34C39B67-6ADF-48F2-8D97-8FE9B2CB22AA}" type="parTrans" cxnId="{B3E6F350-7E35-446B-9155-2D892A09B555}">
      <dgm:prSet/>
      <dgm:spPr/>
      <dgm:t>
        <a:bodyPr/>
        <a:lstStyle/>
        <a:p>
          <a:endParaRPr lang="en-US"/>
        </a:p>
      </dgm:t>
    </dgm:pt>
    <dgm:pt modelId="{169D2833-0BB0-4C44-8D1D-07D8D77828B1}" type="sibTrans" cxnId="{B3E6F350-7E35-446B-9155-2D892A09B555}">
      <dgm:prSet/>
      <dgm:spPr/>
      <dgm:t>
        <a:bodyPr/>
        <a:lstStyle/>
        <a:p>
          <a:endParaRPr lang="en-US"/>
        </a:p>
      </dgm:t>
    </dgm:pt>
    <dgm:pt modelId="{C5BE083F-5994-423E-82AC-5D871561511C}">
      <dgm:prSet phldrT="[Texto]"/>
      <dgm:spPr/>
      <dgm:t>
        <a:bodyPr/>
        <a:lstStyle/>
        <a:p>
          <a:r>
            <a:rPr lang="en"/>
            <a:t>Obtaining results.</a:t>
          </a:r>
        </a:p>
      </dgm:t>
    </dgm:pt>
    <dgm:pt modelId="{E806A553-4667-4A0E-9E0C-F7D4651A9916}" type="parTrans" cxnId="{73F4D815-576C-4A48-AEF5-5205A284C40D}">
      <dgm:prSet/>
      <dgm:spPr/>
      <dgm:t>
        <a:bodyPr/>
        <a:lstStyle/>
        <a:p>
          <a:endParaRPr lang="en-US"/>
        </a:p>
      </dgm:t>
    </dgm:pt>
    <dgm:pt modelId="{BF0FD72A-5A27-478E-80D3-6CE5F153FFDE}" type="sibTrans" cxnId="{73F4D815-576C-4A48-AEF5-5205A284C40D}">
      <dgm:prSet/>
      <dgm:spPr/>
      <dgm:t>
        <a:bodyPr/>
        <a:lstStyle/>
        <a:p>
          <a:endParaRPr lang="en-US"/>
        </a:p>
      </dgm:t>
    </dgm:pt>
    <dgm:pt modelId="{D0DBF9B6-C8E9-4250-BC1E-00CE9E451787}">
      <dgm:prSet phldrT="[Texto]"/>
      <dgm:spPr/>
      <dgm:t>
        <a:bodyPr/>
        <a:lstStyle/>
        <a:p>
          <a:r>
            <a:rPr lang="en"/>
            <a:t>Determination of initial parameters</a:t>
          </a:r>
        </a:p>
      </dgm:t>
    </dgm:pt>
    <dgm:pt modelId="{AE224943-B73C-468B-A4BD-2B7AFF1C26AA}" type="parTrans" cxnId="{15739C25-9332-44FF-B8FF-5D9525EFDC03}">
      <dgm:prSet/>
      <dgm:spPr/>
      <dgm:t>
        <a:bodyPr/>
        <a:lstStyle/>
        <a:p>
          <a:endParaRPr lang="es-PE"/>
        </a:p>
      </dgm:t>
    </dgm:pt>
    <dgm:pt modelId="{EAC711B9-2A22-4076-AD3C-5F130084BBC4}" type="sibTrans" cxnId="{15739C25-9332-44FF-B8FF-5D9525EFDC03}">
      <dgm:prSet/>
      <dgm:spPr/>
      <dgm:t>
        <a:bodyPr/>
        <a:lstStyle/>
        <a:p>
          <a:endParaRPr lang="en-US"/>
        </a:p>
      </dgm:t>
    </dgm:pt>
    <dgm:pt modelId="{FE5535E6-25CE-4E95-8A23-1BCC087CB0FB}" type="pres">
      <dgm:prSet presAssocID="{FE620333-D201-42AD-9115-067B7E968290}" presName="Name0" presStyleCnt="0">
        <dgm:presLayoutVars>
          <dgm:dir/>
          <dgm:resizeHandles val="exact"/>
        </dgm:presLayoutVars>
      </dgm:prSet>
      <dgm:spPr/>
    </dgm:pt>
    <dgm:pt modelId="{8B86AB7E-8BE0-4FD6-B285-B6B66116A70B}" type="pres">
      <dgm:prSet presAssocID="{150865A2-052B-4E6A-A0B5-E3C1399728B9}" presName="composite" presStyleCnt="0"/>
      <dgm:spPr/>
    </dgm:pt>
    <dgm:pt modelId="{F79B2B7A-1F9F-48FC-8710-5F2CBD075E4B}" type="pres">
      <dgm:prSet presAssocID="{150865A2-052B-4E6A-A0B5-E3C1399728B9}" presName="imagSh" presStyleLbl="b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t="-29000" b="-29000"/>
          </a:stretch>
        </a:blipFill>
      </dgm:spPr>
    </dgm:pt>
    <dgm:pt modelId="{ED11927B-1A39-4061-99B1-2C5D0763D18F}" type="pres">
      <dgm:prSet presAssocID="{150865A2-052B-4E6A-A0B5-E3C1399728B9}" presName="txNode" presStyleLbl="node1" presStyleIdx="0" presStyleCnt="4">
        <dgm:presLayoutVars>
          <dgm:bulletEnabled val="1"/>
        </dgm:presLayoutVars>
      </dgm:prSet>
      <dgm:spPr/>
    </dgm:pt>
    <dgm:pt modelId="{F4A420CD-CAFD-4539-901A-F544E6B6FBB2}" type="pres">
      <dgm:prSet presAssocID="{C2AF396F-5594-4C84-84EE-B50217003B20}" presName="sibTrans" presStyleLbl="sibTrans2D1" presStyleIdx="0" presStyleCnt="3"/>
      <dgm:spPr/>
    </dgm:pt>
    <dgm:pt modelId="{274C0159-7C82-48CB-8AAA-C58036F9A0DA}" type="pres">
      <dgm:prSet presAssocID="{C2AF396F-5594-4C84-84EE-B50217003B20}" presName="connTx" presStyleLbl="sibTrans2D1" presStyleIdx="0" presStyleCnt="3"/>
      <dgm:spPr/>
    </dgm:pt>
    <dgm:pt modelId="{A2955C61-7C02-40EB-B488-164EDAA6F32D}" type="pres">
      <dgm:prSet presAssocID="{D0DBF9B6-C8E9-4250-BC1E-00CE9E451787}" presName="composite" presStyleCnt="0"/>
      <dgm:spPr/>
    </dgm:pt>
    <dgm:pt modelId="{94AFC6F4-F373-49B1-B845-646D5BE51F1E}" type="pres">
      <dgm:prSet presAssocID="{D0DBF9B6-C8E9-4250-BC1E-00CE9E451787}" presName="imagSh" presStyleLbl="b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t="-25000" b="-25000"/>
          </a:stretch>
        </a:blipFill>
      </dgm:spPr>
    </dgm:pt>
    <dgm:pt modelId="{438B4D9D-D644-4528-BFB5-D78164D0571E}" type="pres">
      <dgm:prSet presAssocID="{D0DBF9B6-C8E9-4250-BC1E-00CE9E451787}" presName="txNode" presStyleLbl="node1" presStyleIdx="1" presStyleCnt="4">
        <dgm:presLayoutVars>
          <dgm:bulletEnabled val="1"/>
        </dgm:presLayoutVars>
      </dgm:prSet>
      <dgm:spPr/>
    </dgm:pt>
    <dgm:pt modelId="{BE4BAB00-A993-400D-B366-144595E2405D}" type="pres">
      <dgm:prSet presAssocID="{EAC711B9-2A22-4076-AD3C-5F130084BBC4}" presName="sibTrans" presStyleLbl="sibTrans2D1" presStyleIdx="1" presStyleCnt="3"/>
      <dgm:spPr/>
    </dgm:pt>
    <dgm:pt modelId="{B3BBAAA6-FA1E-4ACB-BA48-16887618135B}" type="pres">
      <dgm:prSet presAssocID="{EAC711B9-2A22-4076-AD3C-5F130084BBC4}" presName="connTx" presStyleLbl="sibTrans2D1" presStyleIdx="1" presStyleCnt="3"/>
      <dgm:spPr/>
    </dgm:pt>
    <dgm:pt modelId="{C6BCE691-27D0-4A1F-98D9-FC6760F6B387}" type="pres">
      <dgm:prSet presAssocID="{9521B8CE-7260-40CE-B557-A46799B0398B}" presName="composite" presStyleCnt="0"/>
      <dgm:spPr/>
    </dgm:pt>
    <dgm:pt modelId="{D2245365-1349-4221-BD83-65FB90D56D41}" type="pres">
      <dgm:prSet presAssocID="{9521B8CE-7260-40CE-B557-A46799B0398B}" presName="imagSh" presStyleLbl="b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pt>
    <dgm:pt modelId="{16C1EC6B-E4F1-4C86-9FCF-B70F58625AC3}" type="pres">
      <dgm:prSet presAssocID="{9521B8CE-7260-40CE-B557-A46799B0398B}" presName="txNode" presStyleLbl="node1" presStyleIdx="2" presStyleCnt="4">
        <dgm:presLayoutVars>
          <dgm:bulletEnabled val="1"/>
        </dgm:presLayoutVars>
      </dgm:prSet>
      <dgm:spPr/>
    </dgm:pt>
    <dgm:pt modelId="{9266E848-49D2-43E4-8672-61592047B689}" type="pres">
      <dgm:prSet presAssocID="{169D2833-0BB0-4C44-8D1D-07D8D77828B1}" presName="sibTrans" presStyleLbl="sibTrans2D1" presStyleIdx="2" presStyleCnt="3"/>
      <dgm:spPr/>
    </dgm:pt>
    <dgm:pt modelId="{832915A0-C95E-4FAC-BE74-9596A02D7B13}" type="pres">
      <dgm:prSet presAssocID="{169D2833-0BB0-4C44-8D1D-07D8D77828B1}" presName="connTx" presStyleLbl="sibTrans2D1" presStyleIdx="2" presStyleCnt="3"/>
      <dgm:spPr/>
    </dgm:pt>
    <dgm:pt modelId="{66FB18FC-2FFD-4F54-896C-96BDDDE778FC}" type="pres">
      <dgm:prSet presAssocID="{C5BE083F-5994-423E-82AC-5D871561511C}" presName="composite" presStyleCnt="0"/>
      <dgm:spPr/>
    </dgm:pt>
    <dgm:pt modelId="{7B02B008-014A-409B-8D53-F183427C62C8}" type="pres">
      <dgm:prSet presAssocID="{C5BE083F-5994-423E-82AC-5D871561511C}" presName="imagSh" presStyleLbl="b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t="-4000" b="-4000"/>
          </a:stretch>
        </a:blipFill>
      </dgm:spPr>
    </dgm:pt>
    <dgm:pt modelId="{B14D2AE5-7F03-4F80-91BA-74748E78C418}" type="pres">
      <dgm:prSet presAssocID="{C5BE083F-5994-423E-82AC-5D871561511C}" presName="txNode" presStyleLbl="node1" presStyleIdx="3" presStyleCnt="4">
        <dgm:presLayoutVars>
          <dgm:bulletEnabled val="1"/>
        </dgm:presLayoutVars>
      </dgm:prSet>
      <dgm:spPr/>
    </dgm:pt>
  </dgm:ptLst>
  <dgm:cxnLst>
    <dgm:cxn modelId="{73F4D815-576C-4A48-AEF5-5205A284C40D}" srcId="{FE620333-D201-42AD-9115-067B7E968290}" destId="{C5BE083F-5994-423E-82AC-5D871561511C}" srcOrd="3" destOrd="0" parTransId="{E806A553-4667-4A0E-9E0C-F7D4651A9916}" sibTransId="{BF0FD72A-5A27-478E-80D3-6CE5F153FFDE}"/>
    <dgm:cxn modelId="{48AAFA15-7BC6-411A-ADF7-A3369D8C1858}" type="presOf" srcId="{9521B8CE-7260-40CE-B557-A46799B0398B}" destId="{16C1EC6B-E4F1-4C86-9FCF-B70F58625AC3}" srcOrd="0" destOrd="0" presId="urn:microsoft.com/office/officeart/2005/8/layout/hProcess10"/>
    <dgm:cxn modelId="{15739C25-9332-44FF-B8FF-5D9525EFDC03}" srcId="{FE620333-D201-42AD-9115-067B7E968290}" destId="{D0DBF9B6-C8E9-4250-BC1E-00CE9E451787}" srcOrd="1" destOrd="0" parTransId="{AE224943-B73C-468B-A4BD-2B7AFF1C26AA}" sibTransId="{EAC711B9-2A22-4076-AD3C-5F130084BBC4}"/>
    <dgm:cxn modelId="{535CFD6F-0AAB-4640-BCD1-2A15E54656C2}" type="presOf" srcId="{169D2833-0BB0-4C44-8D1D-07D8D77828B1}" destId="{9266E848-49D2-43E4-8672-61592047B689}" srcOrd="0" destOrd="0" presId="urn:microsoft.com/office/officeart/2005/8/layout/hProcess10"/>
    <dgm:cxn modelId="{B3E6F350-7E35-446B-9155-2D892A09B555}" srcId="{FE620333-D201-42AD-9115-067B7E968290}" destId="{9521B8CE-7260-40CE-B557-A46799B0398B}" srcOrd="2" destOrd="0" parTransId="{34C39B67-6ADF-48F2-8D97-8FE9B2CB22AA}" sibTransId="{169D2833-0BB0-4C44-8D1D-07D8D77828B1}"/>
    <dgm:cxn modelId="{FF9BA174-F3C2-4D2D-BDD0-02E793910499}" type="presOf" srcId="{169D2833-0BB0-4C44-8D1D-07D8D77828B1}" destId="{832915A0-C95E-4FAC-BE74-9596A02D7B13}" srcOrd="1" destOrd="0" presId="urn:microsoft.com/office/officeart/2005/8/layout/hProcess10"/>
    <dgm:cxn modelId="{068107AB-B4AC-481C-AF78-7029353591EC}" type="presOf" srcId="{FE620333-D201-42AD-9115-067B7E968290}" destId="{FE5535E6-25CE-4E95-8A23-1BCC087CB0FB}" srcOrd="0" destOrd="0" presId="urn:microsoft.com/office/officeart/2005/8/layout/hProcess10"/>
    <dgm:cxn modelId="{2215A4AE-E90B-4B88-A074-BDD2A9907E61}" type="presOf" srcId="{EAC711B9-2A22-4076-AD3C-5F130084BBC4}" destId="{BE4BAB00-A993-400D-B366-144595E2405D}" srcOrd="0" destOrd="0" presId="urn:microsoft.com/office/officeart/2005/8/layout/hProcess10"/>
    <dgm:cxn modelId="{4761FFB6-86DC-4A7E-B3F7-43132F1E38CD}" type="presOf" srcId="{C2AF396F-5594-4C84-84EE-B50217003B20}" destId="{F4A420CD-CAFD-4539-901A-F544E6B6FBB2}" srcOrd="0" destOrd="0" presId="urn:microsoft.com/office/officeart/2005/8/layout/hProcess10"/>
    <dgm:cxn modelId="{616EBEC2-F12A-4BD3-9751-888693CDF631}" type="presOf" srcId="{150865A2-052B-4E6A-A0B5-E3C1399728B9}" destId="{ED11927B-1A39-4061-99B1-2C5D0763D18F}" srcOrd="0" destOrd="0" presId="urn:microsoft.com/office/officeart/2005/8/layout/hProcess10"/>
    <dgm:cxn modelId="{33F4BBCA-EC86-4980-A585-EB71CF579B6B}" srcId="{FE620333-D201-42AD-9115-067B7E968290}" destId="{150865A2-052B-4E6A-A0B5-E3C1399728B9}" srcOrd="0" destOrd="0" parTransId="{40A9AA21-E4FE-4B65-B74F-71ADC33AFDCF}" sibTransId="{C2AF396F-5594-4C84-84EE-B50217003B20}"/>
    <dgm:cxn modelId="{4E4A78CF-0FC3-4EAF-85D2-1D6B325F3116}" type="presOf" srcId="{C2AF396F-5594-4C84-84EE-B50217003B20}" destId="{274C0159-7C82-48CB-8AAA-C58036F9A0DA}" srcOrd="1" destOrd="0" presId="urn:microsoft.com/office/officeart/2005/8/layout/hProcess10"/>
    <dgm:cxn modelId="{F6118CD4-DB38-4A0F-B665-2E5FA2B55CC5}" type="presOf" srcId="{C5BE083F-5994-423E-82AC-5D871561511C}" destId="{B14D2AE5-7F03-4F80-91BA-74748E78C418}" srcOrd="0" destOrd="0" presId="urn:microsoft.com/office/officeart/2005/8/layout/hProcess10"/>
    <dgm:cxn modelId="{337C3EF8-EFBA-48D6-836D-B3CEC9EC8CB0}" type="presOf" srcId="{EAC711B9-2A22-4076-AD3C-5F130084BBC4}" destId="{B3BBAAA6-FA1E-4ACB-BA48-16887618135B}" srcOrd="1" destOrd="0" presId="urn:microsoft.com/office/officeart/2005/8/layout/hProcess10"/>
    <dgm:cxn modelId="{240F4EFE-DB37-4D72-A405-F1A3F7D73C90}" type="presOf" srcId="{D0DBF9B6-C8E9-4250-BC1E-00CE9E451787}" destId="{438B4D9D-D644-4528-BFB5-D78164D0571E}" srcOrd="0" destOrd="0" presId="urn:microsoft.com/office/officeart/2005/8/layout/hProcess10"/>
    <dgm:cxn modelId="{E8A2CBCA-76F7-4E47-A86F-9560BBF2EF01}" type="presParOf" srcId="{FE5535E6-25CE-4E95-8A23-1BCC087CB0FB}" destId="{8B86AB7E-8BE0-4FD6-B285-B6B66116A70B}" srcOrd="0" destOrd="0" presId="urn:microsoft.com/office/officeart/2005/8/layout/hProcess10"/>
    <dgm:cxn modelId="{1EC41A01-DA46-49E4-A925-786AF2E957FF}" type="presParOf" srcId="{8B86AB7E-8BE0-4FD6-B285-B6B66116A70B}" destId="{F79B2B7A-1F9F-48FC-8710-5F2CBD075E4B}" srcOrd="0" destOrd="0" presId="urn:microsoft.com/office/officeart/2005/8/layout/hProcess10"/>
    <dgm:cxn modelId="{DBDA1575-999B-4904-B954-2F1EDDBA0326}" type="presParOf" srcId="{8B86AB7E-8BE0-4FD6-B285-B6B66116A70B}" destId="{ED11927B-1A39-4061-99B1-2C5D0763D18F}" srcOrd="1" destOrd="0" presId="urn:microsoft.com/office/officeart/2005/8/layout/hProcess10"/>
    <dgm:cxn modelId="{FAD23B66-2C5F-4E90-BF82-70193A8C6598}" type="presParOf" srcId="{FE5535E6-25CE-4E95-8A23-1BCC087CB0FB}" destId="{F4A420CD-CAFD-4539-901A-F544E6B6FBB2}" srcOrd="1" destOrd="0" presId="urn:microsoft.com/office/officeart/2005/8/layout/hProcess10"/>
    <dgm:cxn modelId="{CAB6983D-9FBC-4B79-A187-9EC9F797B390}" type="presParOf" srcId="{F4A420CD-CAFD-4539-901A-F544E6B6FBB2}" destId="{274C0159-7C82-48CB-8AAA-C58036F9A0DA}" srcOrd="0" destOrd="0" presId="urn:microsoft.com/office/officeart/2005/8/layout/hProcess10"/>
    <dgm:cxn modelId="{02C138A5-C70E-4174-B77F-8A242F5806FB}" type="presParOf" srcId="{FE5535E6-25CE-4E95-8A23-1BCC087CB0FB}" destId="{A2955C61-7C02-40EB-B488-164EDAA6F32D}" srcOrd="2" destOrd="0" presId="urn:microsoft.com/office/officeart/2005/8/layout/hProcess10"/>
    <dgm:cxn modelId="{26D8B624-AA25-467D-9534-5F90CC8BAADF}" type="presParOf" srcId="{A2955C61-7C02-40EB-B488-164EDAA6F32D}" destId="{94AFC6F4-F373-49B1-B845-646D5BE51F1E}" srcOrd="0" destOrd="0" presId="urn:microsoft.com/office/officeart/2005/8/layout/hProcess10"/>
    <dgm:cxn modelId="{568BC547-C984-4AE1-BFFD-7DBEFA761682}" type="presParOf" srcId="{A2955C61-7C02-40EB-B488-164EDAA6F32D}" destId="{438B4D9D-D644-4528-BFB5-D78164D0571E}" srcOrd="1" destOrd="0" presId="urn:microsoft.com/office/officeart/2005/8/layout/hProcess10"/>
    <dgm:cxn modelId="{24C6E475-961E-4F6C-B9DD-130BEA56DF21}" type="presParOf" srcId="{FE5535E6-25CE-4E95-8A23-1BCC087CB0FB}" destId="{BE4BAB00-A993-400D-B366-144595E2405D}" srcOrd="3" destOrd="0" presId="urn:microsoft.com/office/officeart/2005/8/layout/hProcess10"/>
    <dgm:cxn modelId="{B61D142B-76F2-4ED5-9D0A-8745800800B6}" type="presParOf" srcId="{BE4BAB00-A993-400D-B366-144595E2405D}" destId="{B3BBAAA6-FA1E-4ACB-BA48-16887618135B}" srcOrd="0" destOrd="0" presId="urn:microsoft.com/office/officeart/2005/8/layout/hProcess10"/>
    <dgm:cxn modelId="{3F1B1781-EF0D-44B1-A065-20E2C022E532}" type="presParOf" srcId="{FE5535E6-25CE-4E95-8A23-1BCC087CB0FB}" destId="{C6BCE691-27D0-4A1F-98D9-FC6760F6B387}" srcOrd="4" destOrd="0" presId="urn:microsoft.com/office/officeart/2005/8/layout/hProcess10"/>
    <dgm:cxn modelId="{803EED6F-8DAA-4D08-A3A7-7C86B784970C}" type="presParOf" srcId="{C6BCE691-27D0-4A1F-98D9-FC6760F6B387}" destId="{D2245365-1349-4221-BD83-65FB90D56D41}" srcOrd="0" destOrd="0" presId="urn:microsoft.com/office/officeart/2005/8/layout/hProcess10"/>
    <dgm:cxn modelId="{16AEEC17-2728-4C51-8346-26EA6A60F1EC}" type="presParOf" srcId="{C6BCE691-27D0-4A1F-98D9-FC6760F6B387}" destId="{16C1EC6B-E4F1-4C86-9FCF-B70F58625AC3}" srcOrd="1" destOrd="0" presId="urn:microsoft.com/office/officeart/2005/8/layout/hProcess10"/>
    <dgm:cxn modelId="{28102DCD-2CB0-42DB-A1C7-6B3EE061184C}" type="presParOf" srcId="{FE5535E6-25CE-4E95-8A23-1BCC087CB0FB}" destId="{9266E848-49D2-43E4-8672-61592047B689}" srcOrd="5" destOrd="0" presId="urn:microsoft.com/office/officeart/2005/8/layout/hProcess10"/>
    <dgm:cxn modelId="{CAF3785D-768D-4760-B034-5F1D96803866}" type="presParOf" srcId="{9266E848-49D2-43E4-8672-61592047B689}" destId="{832915A0-C95E-4FAC-BE74-9596A02D7B13}" srcOrd="0" destOrd="0" presId="urn:microsoft.com/office/officeart/2005/8/layout/hProcess10"/>
    <dgm:cxn modelId="{6D2A43A3-338D-4067-BC22-7ED4E7E70C7C}" type="presParOf" srcId="{FE5535E6-25CE-4E95-8A23-1BCC087CB0FB}" destId="{66FB18FC-2FFD-4F54-896C-96BDDDE778FC}" srcOrd="6" destOrd="0" presId="urn:microsoft.com/office/officeart/2005/8/layout/hProcess10"/>
    <dgm:cxn modelId="{9D939BF1-81DC-4624-8F6E-699398654FC1}" type="presParOf" srcId="{66FB18FC-2FFD-4F54-896C-96BDDDE778FC}" destId="{7B02B008-014A-409B-8D53-F183427C62C8}" srcOrd="0" destOrd="0" presId="urn:microsoft.com/office/officeart/2005/8/layout/hProcess10"/>
    <dgm:cxn modelId="{194F6669-6308-4EDF-877C-401EE9E2B78B}" type="presParOf" srcId="{66FB18FC-2FFD-4F54-896C-96BDDDE778FC}" destId="{B14D2AE5-7F03-4F80-91BA-74748E78C418}" srcOrd="1" destOrd="0" presId="urn:microsoft.com/office/officeart/2005/8/layout/hProcess10"/>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B2B7A-1F9F-48FC-8710-5F2CBD075E4B}">
      <dsp:nvSpPr>
        <dsp:cNvPr id="0" name=""/>
        <dsp:cNvSpPr/>
      </dsp:nvSpPr>
      <dsp:spPr>
        <a:xfrm>
          <a:off x="723" y="0"/>
          <a:ext cx="941464" cy="70485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9000" b="-29000"/>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ED11927B-1A39-4061-99B1-2C5D0763D18F}">
      <dsp:nvSpPr>
        <dsp:cNvPr id="0" name=""/>
        <dsp:cNvSpPr/>
      </dsp:nvSpPr>
      <dsp:spPr>
        <a:xfrm>
          <a:off x="153984" y="422910"/>
          <a:ext cx="941464" cy="704850"/>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 sz="1000" kern="1200"/>
            <a:t>Sample extraction</a:t>
          </a:r>
        </a:p>
      </dsp:txBody>
      <dsp:txXfrm>
        <a:off x="174628" y="443554"/>
        <a:ext cx="900176" cy="663562"/>
      </dsp:txXfrm>
    </dsp:sp>
    <dsp:sp modelId="{F4A420CD-CAFD-4539-901A-F544E6B6FBB2}">
      <dsp:nvSpPr>
        <dsp:cNvPr id="0" name=""/>
        <dsp:cNvSpPr/>
      </dsp:nvSpPr>
      <dsp:spPr>
        <a:xfrm>
          <a:off x="1123534" y="239314"/>
          <a:ext cx="181346" cy="226220"/>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23534" y="284558"/>
        <a:ext cx="126942" cy="135732"/>
      </dsp:txXfrm>
    </dsp:sp>
    <dsp:sp modelId="{94AFC6F4-F373-49B1-B845-646D5BE51F1E}">
      <dsp:nvSpPr>
        <dsp:cNvPr id="0" name=""/>
        <dsp:cNvSpPr/>
      </dsp:nvSpPr>
      <dsp:spPr>
        <a:xfrm>
          <a:off x="1460322" y="0"/>
          <a:ext cx="941464" cy="704850"/>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25000" b="-25000"/>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438B4D9D-D644-4528-BFB5-D78164D0571E}">
      <dsp:nvSpPr>
        <dsp:cNvPr id="0" name=""/>
        <dsp:cNvSpPr/>
      </dsp:nvSpPr>
      <dsp:spPr>
        <a:xfrm>
          <a:off x="1613583" y="422910"/>
          <a:ext cx="941464" cy="704850"/>
        </a:xfrm>
        <a:prstGeom prst="roundRect">
          <a:avLst>
            <a:gd name="adj" fmla="val 10000"/>
          </a:avLst>
        </a:prstGeom>
        <a:solidFill>
          <a:schemeClr val="accent2">
            <a:hueOff val="1560506"/>
            <a:satOff val="-1946"/>
            <a:lumOff val="45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 sz="1000" kern="1200"/>
            <a:t>Determination of initial parameters</a:t>
          </a:r>
        </a:p>
      </dsp:txBody>
      <dsp:txXfrm>
        <a:off x="1634227" y="443554"/>
        <a:ext cx="900176" cy="663562"/>
      </dsp:txXfrm>
    </dsp:sp>
    <dsp:sp modelId="{BE4BAB00-A993-400D-B366-144595E2405D}">
      <dsp:nvSpPr>
        <dsp:cNvPr id="0" name=""/>
        <dsp:cNvSpPr/>
      </dsp:nvSpPr>
      <dsp:spPr>
        <a:xfrm>
          <a:off x="2583134" y="239314"/>
          <a:ext cx="181346" cy="226220"/>
        </a:xfrm>
        <a:prstGeom prst="rightArrow">
          <a:avLst>
            <a:gd name="adj1" fmla="val 60000"/>
            <a:gd name="adj2" fmla="val 50000"/>
          </a:avLst>
        </a:prstGeom>
        <a:solidFill>
          <a:schemeClr val="accent2">
            <a:hueOff val="2340759"/>
            <a:satOff val="-2919"/>
            <a:lumOff val="686"/>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583134" y="284558"/>
        <a:ext cx="126942" cy="135732"/>
      </dsp:txXfrm>
    </dsp:sp>
    <dsp:sp modelId="{D2245365-1349-4221-BD83-65FB90D56D41}">
      <dsp:nvSpPr>
        <dsp:cNvPr id="0" name=""/>
        <dsp:cNvSpPr/>
      </dsp:nvSpPr>
      <dsp:spPr>
        <a:xfrm>
          <a:off x="2919921" y="0"/>
          <a:ext cx="941464" cy="704850"/>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16C1EC6B-E4F1-4C86-9FCF-B70F58625AC3}">
      <dsp:nvSpPr>
        <dsp:cNvPr id="0" name=""/>
        <dsp:cNvSpPr/>
      </dsp:nvSpPr>
      <dsp:spPr>
        <a:xfrm>
          <a:off x="3073182" y="422910"/>
          <a:ext cx="941464" cy="704850"/>
        </a:xfrm>
        <a:prstGeom prst="roundRect">
          <a:avLst>
            <a:gd name="adj" fmla="val 10000"/>
          </a:avLst>
        </a:prstGeom>
        <a:solidFill>
          <a:schemeClr val="accent2">
            <a:hueOff val="3121013"/>
            <a:satOff val="-3893"/>
            <a:lumOff val="91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 sz="1000" kern="1200"/>
            <a:t>Preparation of treatments</a:t>
          </a:r>
        </a:p>
      </dsp:txBody>
      <dsp:txXfrm>
        <a:off x="3093826" y="443554"/>
        <a:ext cx="900176" cy="663562"/>
      </dsp:txXfrm>
    </dsp:sp>
    <dsp:sp modelId="{9266E848-49D2-43E4-8672-61592047B689}">
      <dsp:nvSpPr>
        <dsp:cNvPr id="0" name=""/>
        <dsp:cNvSpPr/>
      </dsp:nvSpPr>
      <dsp:spPr>
        <a:xfrm>
          <a:off x="4042733" y="239314"/>
          <a:ext cx="181346" cy="226220"/>
        </a:xfrm>
        <a:prstGeom prst="rightArrow">
          <a:avLst>
            <a:gd name="adj1" fmla="val 60000"/>
            <a:gd name="adj2" fmla="val 50000"/>
          </a:avLst>
        </a:prstGeom>
        <a:solidFill>
          <a:schemeClr val="accent2">
            <a:hueOff val="4681519"/>
            <a:satOff val="-5839"/>
            <a:lumOff val="1373"/>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42733" y="284558"/>
        <a:ext cx="126942" cy="135732"/>
      </dsp:txXfrm>
    </dsp:sp>
    <dsp:sp modelId="{7B02B008-014A-409B-8D53-F183427C62C8}">
      <dsp:nvSpPr>
        <dsp:cNvPr id="0" name=""/>
        <dsp:cNvSpPr/>
      </dsp:nvSpPr>
      <dsp:spPr>
        <a:xfrm>
          <a:off x="4379520" y="0"/>
          <a:ext cx="941464" cy="704850"/>
        </a:xfrm>
        <a:prstGeom prst="roundRect">
          <a:avLst>
            <a:gd name="adj" fmla="val 10000"/>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t="-4000" b="-4000"/>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B14D2AE5-7F03-4F80-91BA-74748E78C418}">
      <dsp:nvSpPr>
        <dsp:cNvPr id="0" name=""/>
        <dsp:cNvSpPr/>
      </dsp:nvSpPr>
      <dsp:spPr>
        <a:xfrm>
          <a:off x="4532781" y="422910"/>
          <a:ext cx="941464" cy="704850"/>
        </a:xfrm>
        <a:prstGeom prst="roundRect">
          <a:avLst>
            <a:gd name="adj" fmla="val 10000"/>
          </a:avLst>
        </a:prstGeom>
        <a:solidFill>
          <a:schemeClr val="accent2">
            <a:hueOff val="4681519"/>
            <a:satOff val="-5839"/>
            <a:lumOff val="137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 sz="1000" kern="1200"/>
            <a:t>Obtaining results.</a:t>
          </a:r>
        </a:p>
      </dsp:txBody>
      <dsp:txXfrm>
        <a:off x="4553425" y="443554"/>
        <a:ext cx="900176" cy="6635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8551</Words>
  <Characters>47036</Characters>
  <Application>Microsoft Office Word</Application>
  <DocSecurity>0</DocSecurity>
  <Lines>391</Lines>
  <Paragraphs>110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2</cp:revision>
  <cp:lastPrinted>2015-05-12T18:31:00Z</cp:lastPrinted>
  <dcterms:created xsi:type="dcterms:W3CDTF">2024-04-06T17:34:00Z</dcterms:created>
  <dcterms:modified xsi:type="dcterms:W3CDTF">2024-04-06T17:34:00Z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4e9fef4ded990d4dc4b6285f253ee7a69ad82f2e732c9faabf4916c0fe18a531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