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D6EB4F5" w:rsidR="00E978D0" w:rsidRPr="00B57B36" w:rsidRDefault="003A4CE8" w:rsidP="00E978D0">
      <w:pPr>
        <w:pStyle w:val="CETTitle"/>
      </w:pPr>
      <w:r w:rsidRPr="003A4CE8">
        <w:t>Application of lactic fermentation processes for the use of vegetable matrices and apiculture products as a contribution to the Colombian Caribbean region economy</w:t>
      </w:r>
    </w:p>
    <w:p w14:paraId="09A5907C" w14:textId="5F55D57C" w:rsidR="003A4CE8" w:rsidRPr="003A4CE8" w:rsidRDefault="003A4CE8" w:rsidP="003A4CE8">
      <w:pPr>
        <w:pStyle w:val="CETAuthors"/>
        <w:rPr>
          <w:lang w:val="es-CO"/>
        </w:rPr>
      </w:pPr>
      <w:r w:rsidRPr="003A4CE8">
        <w:rPr>
          <w:lang w:val="es-CO"/>
        </w:rPr>
        <w:t>Jalelys Liceth Leones-Cerpa</w:t>
      </w:r>
      <w:r w:rsidRPr="003A4CE8">
        <w:rPr>
          <w:vertAlign w:val="superscript"/>
          <w:lang w:val="es-CO"/>
        </w:rPr>
        <w:t>a</w:t>
      </w:r>
      <w:r w:rsidRPr="003A4CE8">
        <w:rPr>
          <w:lang w:val="es-CO"/>
        </w:rPr>
        <w:t>, Martha</w:t>
      </w:r>
      <w:r w:rsidR="00336E4C">
        <w:rPr>
          <w:lang w:val="es-CO"/>
        </w:rPr>
        <w:t xml:space="preserve"> </w:t>
      </w:r>
      <w:r w:rsidRPr="003A4CE8">
        <w:rPr>
          <w:lang w:val="es-CO"/>
        </w:rPr>
        <w:t>Cuenca</w:t>
      </w:r>
      <w:r>
        <w:rPr>
          <w:lang w:val="es-CO"/>
        </w:rPr>
        <w:t xml:space="preserve"> Quicazán</w:t>
      </w:r>
      <w:r w:rsidRPr="003A4CE8">
        <w:rPr>
          <w:vertAlign w:val="superscript"/>
          <w:lang w:val="es-CO"/>
        </w:rPr>
        <w:t>b</w:t>
      </w:r>
      <w:r w:rsidRPr="003A4CE8">
        <w:rPr>
          <w:lang w:val="es-CO"/>
        </w:rPr>
        <w:t>,</w:t>
      </w:r>
      <w:r>
        <w:rPr>
          <w:lang w:val="es-CO"/>
        </w:rPr>
        <w:t xml:space="preserve"> </w:t>
      </w:r>
      <w:r w:rsidRPr="003A4CE8">
        <w:rPr>
          <w:lang w:val="es-CO"/>
        </w:rPr>
        <w:t>Eduardo Sanchez</w:t>
      </w:r>
      <w:r>
        <w:rPr>
          <w:lang w:val="es-CO"/>
        </w:rPr>
        <w:t>-Tuirán</w:t>
      </w:r>
      <w:r w:rsidRPr="003A4CE8">
        <w:rPr>
          <w:vertAlign w:val="superscript"/>
          <w:lang w:val="es-CO"/>
        </w:rPr>
        <w:t>a</w:t>
      </w:r>
      <w:r w:rsidRPr="003A4CE8">
        <w:rPr>
          <w:lang w:val="es-CO"/>
        </w:rPr>
        <w:t>, Karina A. Ojeda</w:t>
      </w:r>
      <w:r>
        <w:rPr>
          <w:lang w:val="es-CO"/>
        </w:rPr>
        <w:t xml:space="preserve"> Delgado</w:t>
      </w:r>
      <w:r w:rsidRPr="003A4CE8">
        <w:rPr>
          <w:vertAlign w:val="superscript"/>
          <w:lang w:val="es-CO"/>
        </w:rPr>
        <w:t>a,</w:t>
      </w:r>
      <w:r w:rsidRPr="003A4CE8">
        <w:rPr>
          <w:lang w:val="es-CO"/>
        </w:rPr>
        <w:t>*</w:t>
      </w:r>
    </w:p>
    <w:p w14:paraId="17059EED" w14:textId="77777777" w:rsidR="003A4CE8" w:rsidRPr="004C12ED" w:rsidRDefault="003A4CE8" w:rsidP="003A4CE8">
      <w:pPr>
        <w:pStyle w:val="CETAddress"/>
        <w:rPr>
          <w:lang w:val="en-US"/>
        </w:rPr>
      </w:pPr>
      <w:r w:rsidRPr="00B57B36">
        <w:rPr>
          <w:vertAlign w:val="superscript"/>
        </w:rPr>
        <w:t>a</w:t>
      </w:r>
      <w:r w:rsidRPr="00E200FF">
        <w:t xml:space="preserve">Process Design and Biomass Utilization Research Group (IDAB). Chemical Engineering Program, </w:t>
      </w:r>
      <w:r>
        <w:t>Universidad de Cartagena</w:t>
      </w:r>
      <w:r w:rsidRPr="00E200FF">
        <w:t xml:space="preserve">, Av. </w:t>
      </w:r>
      <w:r w:rsidRPr="00822E22">
        <w:t xml:space="preserve">El Consulado Street 30 #48-150. </w:t>
      </w:r>
      <w:r w:rsidRPr="004C12ED">
        <w:rPr>
          <w:lang w:val="en-US"/>
        </w:rPr>
        <w:t>Cartagena, Colombia.</w:t>
      </w:r>
    </w:p>
    <w:p w14:paraId="434D64BC" w14:textId="38179343" w:rsidR="0046111E" w:rsidRDefault="003A4CE8" w:rsidP="0046111E">
      <w:pPr>
        <w:pStyle w:val="CETAddress"/>
        <w:rPr>
          <w:lang w:val="en-US"/>
        </w:rPr>
      </w:pPr>
      <w:r w:rsidRPr="0046111E">
        <w:rPr>
          <w:vertAlign w:val="superscript"/>
          <w:lang w:val="en-US"/>
        </w:rPr>
        <w:t>b</w:t>
      </w:r>
      <w:r w:rsidR="0046111E" w:rsidRPr="0046111E">
        <w:rPr>
          <w:lang w:val="en-US"/>
        </w:rPr>
        <w:t>Transformation of Industrial and Agro-industrial Matrixes research group (ITMIA). Chemical Engineering Program, Universidad de Cartagena, Cartagena, Colombia.</w:t>
      </w:r>
      <w:r w:rsidRPr="00855FDE">
        <w:rPr>
          <w:lang w:val="en-US"/>
        </w:rPr>
        <w:t xml:space="preserve"> </w:t>
      </w:r>
    </w:p>
    <w:p w14:paraId="412A47B1" w14:textId="265C7050" w:rsidR="003A4CE8" w:rsidRPr="00B57B36" w:rsidRDefault="003A4CE8" w:rsidP="0046111E">
      <w:pPr>
        <w:pStyle w:val="CETAddress"/>
      </w:pPr>
      <w:r w:rsidRPr="00E200FF">
        <w:t>kojedad@unicartagena.edu.co</w:t>
      </w:r>
    </w:p>
    <w:p w14:paraId="5990E2DF" w14:textId="77777777" w:rsidR="0046111E" w:rsidRDefault="0046111E" w:rsidP="00855FDE">
      <w:pPr>
        <w:pStyle w:val="CETBodytext"/>
        <w:rPr>
          <w:lang w:val="en-GB"/>
        </w:rPr>
      </w:pPr>
    </w:p>
    <w:p w14:paraId="6C00ADE6" w14:textId="15248927" w:rsidR="00611275" w:rsidRDefault="008E3D69" w:rsidP="00611275">
      <w:pPr>
        <w:pStyle w:val="CETBodytext"/>
        <w:rPr>
          <w:lang w:val="en-GB"/>
        </w:rPr>
      </w:pPr>
      <w:r w:rsidRPr="008E3D69">
        <w:rPr>
          <w:lang w:val="en-GB"/>
        </w:rPr>
        <w:t>There is a pressing need to prioritize the development of food products that incorporate various functional elements while carefully considering factors such as production costs, food safety, and environmental impact. Colombia has climatic characteristics that allow it to have varied agricultural and beekeeping production, but there is little innovation in the development of value-added products. The beekeeping development in the municipalities of Montes de María has not received the attention it deserves, despite its importance as a sustainable productive dynamic. In this research, fermented drinks were developed using vegetable matrix sesame (Sesamum indicum L.) seeds, pollen, and honey. In lactic fermentation, a decrease in pH was evident, with pH levels between 4 and 4.5, with the addition of pollen. The percentage of lactic acid (g/L) was influenced by the sesame Sesamum indicum L. seed content. The highest value was presented by the drink with the lowest amount of sesame seeds (0.75 g of lactic acid/L). Volumetric productivity, with values between 54.60 % and 82.09 %, compared to other substrates. The sensory evaluation revealed a higher level of acceptability of drinks containing pollen and honey after the fermentation process, thus, the inclusion of pollen and honey improved the attributes of the drinks.</w:t>
      </w:r>
    </w:p>
    <w:p w14:paraId="66C5FA96" w14:textId="77777777" w:rsidR="00611275" w:rsidRDefault="00611275" w:rsidP="00855FDE">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673CD1BD" w14:textId="2216A917" w:rsidR="008A72B9" w:rsidRPr="00822E22" w:rsidRDefault="00E568A4" w:rsidP="00600535">
      <w:pPr>
        <w:pStyle w:val="CETBodytext"/>
      </w:pPr>
      <w:r w:rsidRPr="00E568A4">
        <w:rPr>
          <w:lang w:val="en-GB"/>
        </w:rPr>
        <w:t>Currently, there is a growing interest in finding</w:t>
      </w:r>
      <w:r>
        <w:rPr>
          <w:lang w:val="en-GB"/>
        </w:rPr>
        <w:t xml:space="preserve"> </w:t>
      </w:r>
      <w:r w:rsidR="00394515" w:rsidRPr="00394515">
        <w:t>techniques to obtain food products that meet the nutritional and quality requirements of consumers. Foods offer the body nutritional advantages and specific impacts on human well-being due to the presence of components that positively affect the physiological functions of the body</w:t>
      </w:r>
      <w:r w:rsidR="00394515">
        <w:t xml:space="preserve"> </w:t>
      </w:r>
      <w:r w:rsidR="00A85BB2">
        <w:rPr>
          <w:lang w:val="es-CO" w:eastAsia="es-ES"/>
        </w:rPr>
        <w:fldChar w:fldCharType="begin" w:fldLock="1"/>
      </w:r>
      <w:r w:rsidR="008129A5">
        <w:rPr>
          <w:lang w:eastAsia="es-ES"/>
        </w:rPr>
        <w:instrText>ADDIN CSL_CITATION {"citationItems":[{"id":"ITEM-1","itemData":{"DOI":"10.3390/foods11193145","ISSN":"23048158","abstract":"This review’s objective was to critically revisit various research approaches for studies on the application of beneficial organisms and bacteriocins as effective biopreservatives in the food industry. There are a substantial number of research papers reporting newly isolated bacterial strains from fermented food products and their application as potential probiotics, including partial characterization of bacteriocins produced by these microorganisms. Most of these studies follow scientific community-accepted standard procedures and propose various applications of the studied strains and bacteriocins as potential biopreservatives for the food industry. A few investigations go somewhat further, performing model studies, exploring the application of expressed bacteriocins in a designed food product, or trying to evaluate the effectiveness of the studied potential probiotics and bacteriocins against foodborne pathogens. Some authors propose applications of bacteriocin producers as starter cultures and are exploring in situ bacteriocin production to aid in the effective control of foodborne pathogens. However, few studies have evaluated the possible adverse effects of bacteriocins, such as toxicity. This comes from well-documented reports on bacteriocins being mostly non-immunogenic and having low cytotoxicity because most of these proteinaceous molecules are small peptides. However, some studies have reported on bacteriocins with noticeable cytotoxicity, which may become even more pronounced in genetically engineered or modified bacteriocins. Moreover, their cytotoxicity can be very specific and is dependent on the concentration of the bacteriocin and the nature of the targeted cell. This will be discussed in detail in the present review.","author":[{"dropping-particle":"","family":"Todorov","given":"Svetoslav Dimitrov","non-dropping-particle":"","parse-names":false,"suffix":""},{"dropping-particle":"","family":"Popov","given":"Igor","non-dropping-particle":"","parse-names":false,"suffix":""},{"dropping-particle":"","family":"Weeks","given":"Richard","non-dropping-particle":"","parse-names":false,"suffix":""},{"dropping-particle":"","family":"Chikindas","given":"Michael Leonidas","non-dropping-particle":"","parse-names":false,"suffix":""}],"container-title":"Foods","id":"ITEM-1","issue":"19","issued":{"date-parts":[["2022"]]},"page":"1-21","title":"Use of Bacteriocins and Bacteriocinogenic Beneficial Organisms in Food Products: Benefits, Challenges, Concerns","type":"article-journal","volume":"11"},"uris":["http://www.mendeley.com/documents/?uuid=345536fd-a9c4-4d30-b33c-21e5ae8efd1b"]}],"mendeley":{"formattedCitation":"(Todorov et al., 2022)","plainTextFormattedCitation":"(Todorov et al., 2022)","previouslyFormattedCitation":"(Todorov et al., 2022)"},"properties":{"noteIndex":0},"schema":"https://github.com/citation-style-language/schema/raw/master/csl-citation.json"}</w:instrText>
      </w:r>
      <w:r w:rsidR="00A85BB2">
        <w:rPr>
          <w:lang w:val="es-CO" w:eastAsia="es-ES"/>
        </w:rPr>
        <w:fldChar w:fldCharType="separate"/>
      </w:r>
      <w:r w:rsidR="00A85BB2" w:rsidRPr="00822E22">
        <w:rPr>
          <w:noProof/>
          <w:lang w:eastAsia="es-ES"/>
        </w:rPr>
        <w:t>(Todorov et al., 2022)</w:t>
      </w:r>
      <w:r w:rsidR="00A85BB2">
        <w:rPr>
          <w:lang w:val="es-CO" w:eastAsia="es-ES"/>
        </w:rPr>
        <w:fldChar w:fldCharType="end"/>
      </w:r>
      <w:r w:rsidR="00A85BB2" w:rsidRPr="00822E22">
        <w:rPr>
          <w:lang w:eastAsia="es-ES"/>
        </w:rPr>
        <w:t>.</w:t>
      </w:r>
      <w:r w:rsidR="00A85BB2">
        <w:t xml:space="preserve"> </w:t>
      </w:r>
      <w:r w:rsidR="00A85BB2" w:rsidRPr="00A85BB2">
        <w:t xml:space="preserve">Consequently, the food category called functional foods is linked to improving health and preventing diseases </w:t>
      </w:r>
      <w:r w:rsidR="00A85BB2">
        <w:rPr>
          <w:lang w:eastAsia="es-ES"/>
        </w:rPr>
        <w:fldChar w:fldCharType="begin" w:fldLock="1"/>
      </w:r>
      <w:r w:rsidR="00A85BB2" w:rsidRPr="00A85BB2">
        <w:rPr>
          <w:lang w:eastAsia="es-ES"/>
        </w:rPr>
        <w:instrText>ADDIN CSL_CITATION {"citationItems":[{"id":"ITEM-1","itemData":{"DOI":"10.18684/BSAA(13)140-149","ISSN":"1909-9959","abstract":"An analytical review of functional foods, types and the application of these, use for health, the socio-economic impact, investment and the participation of developing countries was performed. The evaluation of habits has been highly variable over time, every day demands of consumers are more directed to the search of new products with functional properties that can provide a nutritional value and other components with physiological activity. The rapid growth in investment, production, and consumption has attracted interest economic and business of communicating to consumers the benefits that they bring, so they are well informed to be able to choose better foods consumed. In response to the growing interest on this type of food, have released new products with active ingredients and functional properties that contributes an additional physiological benefit more than basic nutritional needs. Each day there are new offerings market, having become an important source of business for companies in the food sector.","author":[{"dropping-particle":"","family":"Fuentes","given":"Lorenzo","non-dropping-particle":"","parse-names":false,"suffix":""},{"dropping-particle":"","family":"Acevedo","given":"Diofanor","non-dropping-partic</w:instrText>
      </w:r>
      <w:r w:rsidR="00A85BB2">
        <w:rPr>
          <w:lang w:eastAsia="es-ES"/>
        </w:rPr>
        <w:instrText>le":"","parse-names":false,"suffix":""},{"dropping-particle":"","family":"Gelvez","given":"Victor","non-dropping-particle":"","parse-names":false,"suffix":""}],"container-title":"Biotecnología en el sector agropecuario y agroindustrial","id":"ITEM-1","issue":"2","issued":{"date-parts":[["2015"]]},"page":"140-149","title":"Functional foods: impact and challeges for development and weifare society colombian","type":"article-journal","volume":"13"},"uris":["http://www.mendeley.com/documents/?uuid=2c78768a-b360-4fea-9052-d85f0338f4ef"]}],"mendeley":{"formattedCitation":"(Fuentes et al., 2015)","plainTextFormattedCitation":"(Fuentes et al., 2015)","previouslyFormattedCitation":"(Fuentes et al., 2015)"},"properties":{"noteIndex":0},"schema":"https://github.com/citation-style-language/schema/raw/master/csl-citation.json"}</w:instrText>
      </w:r>
      <w:r w:rsidR="00A85BB2">
        <w:rPr>
          <w:lang w:eastAsia="es-ES"/>
        </w:rPr>
        <w:fldChar w:fldCharType="separate"/>
      </w:r>
      <w:r w:rsidR="00A85BB2" w:rsidRPr="00987506">
        <w:rPr>
          <w:noProof/>
          <w:lang w:eastAsia="es-ES"/>
        </w:rPr>
        <w:t>(Fuentes et al., 2015)</w:t>
      </w:r>
      <w:r w:rsidR="00A85BB2">
        <w:rPr>
          <w:lang w:eastAsia="es-ES"/>
        </w:rPr>
        <w:fldChar w:fldCharType="end"/>
      </w:r>
      <w:r w:rsidR="00A85BB2">
        <w:rPr>
          <w:lang w:eastAsia="es-ES"/>
        </w:rPr>
        <w:t xml:space="preserve">. </w:t>
      </w:r>
      <w:r w:rsidR="005C798A" w:rsidRPr="005C798A">
        <w:t xml:space="preserve">Colombia has a diverse climate that allows extensive agricultural and beekeeping production. However, the country has not yet fully exploited the potential of value-added products. In the Caribbean region, the capacity of the peasant population to generate goods, services, fair income, and employment opportunities is limited, which affects the </w:t>
      </w:r>
      <w:r w:rsidR="005B46E6" w:rsidRPr="005B46E6">
        <w:t>region's economy</w:t>
      </w:r>
      <w:r w:rsidR="005C798A" w:rsidRPr="005C798A">
        <w:t xml:space="preserve">, which depends largely on livestock and agricultural activities </w:t>
      </w:r>
      <w:r w:rsidR="008A72B9">
        <w:rPr>
          <w:lang w:val="es-CO"/>
        </w:rPr>
        <w:fldChar w:fldCharType="begin" w:fldLock="1"/>
      </w:r>
      <w:r w:rsidR="008A72B9" w:rsidRPr="008A72B9">
        <w:instrText>ADDIN CSL_CITATION {"citationItems":[{"id":"ITEM-1","itemData":{"DOI":"10.18359/prole.4309","author":[{"dropping-particle":"","family":"Alzate Mora","given":"Daniel","non-dropping-particle":"","parse-names":false,"suffix":""}],"container-title":"Prolegómenos","id":"ITEM-1","issue":"46","issued":{"date-parts":[["2020"]]},"page":"51-70","title":"Land concentration and Rural, Economic, and Social Development Interest Zones (Zidres) in los Montes de María, María La Baja and Carmen de Bolívar","type":"article-journal","volume":"23"},"uris":["http://www.mendeley.com/documents/?uuid=81415291-9c12-40e1-b15c-ab0c1026943c"]}],"mendeley":{"formattedCitation":"(Alzate Mora, 2020)","plainTextFormattedCitation":"(Alzate Mora, 2020)","previouslyFormattedCitation":"(Alzate Mora, 2020)"},"properties":{"noteIndex":0},"schema":"https://github.com/citation-style-language/schema/raw/master/csl-citation.json"}</w:instrText>
      </w:r>
      <w:r w:rsidR="008A72B9">
        <w:rPr>
          <w:lang w:val="es-CO"/>
        </w:rPr>
        <w:fldChar w:fldCharType="separate"/>
      </w:r>
      <w:r w:rsidR="008A72B9" w:rsidRPr="008A72B9">
        <w:rPr>
          <w:noProof/>
        </w:rPr>
        <w:t>(Alzate Mora, 2020)</w:t>
      </w:r>
      <w:r w:rsidR="008A72B9">
        <w:rPr>
          <w:lang w:val="es-CO"/>
        </w:rPr>
        <w:fldChar w:fldCharType="end"/>
      </w:r>
      <w:r w:rsidR="008A72B9" w:rsidRPr="008A72B9">
        <w:t>.</w:t>
      </w:r>
      <w:r w:rsidR="008A72B9">
        <w:t xml:space="preserve"> </w:t>
      </w:r>
      <w:r w:rsidR="00D12498" w:rsidRPr="00D12498">
        <w:t>Despite its importance, beekeeping in the Caribbean needs more attention from stakeholders</w:t>
      </w:r>
      <w:r w:rsidR="00D12498">
        <w:t xml:space="preserve"> </w:t>
      </w:r>
      <w:r w:rsidR="008A72B9">
        <w:rPr>
          <w:lang w:val="es-CO"/>
        </w:rPr>
        <w:fldChar w:fldCharType="begin" w:fldLock="1"/>
      </w:r>
      <w:r w:rsidR="008A72B9" w:rsidRPr="008A72B9">
        <w:instrText>ADDIN CSL_CITATION {"citationItems":[{"id":"ITEM-1","itemData":{"URL":"https://sites.google.com/site/cpaaabejascolombia/Inicio","accessed":{"date-parts":[["2023","3","5"]]},"author":[{"dropping-particle":"","family":"Production Chain of Bees and Beekeepers (CPAA)","given":"","non-dropping-particle":"","parse-names":false,"suffix":""}],"id":"ITEM-1","issued":{"date-parts":[["2020"]]},"page":"1","title":"Beekeeping sector in Colombia","type":"webpage"},"uris":["http://www.mendeley.com/documents/?uuid=f628c4fd-0f30-4ac4-8290-0242525c3807"]}],"mendeley":{"formattedCitation":"(Production Chain of Bees and Beekeepers (CPAA), 2020)","plainTextFormattedCitation":"(Production Chain of Bees and Beekeepers (CPAA), 2020)","previouslyFormattedCitation":"(Production Chain of Bees and Beekeepers (CPAA), 2020)"},"properties":{"noteIndex":0},"schema":"https://github.com/citation-style-language/schema/raw/master/csl-citation.json"}</w:instrText>
      </w:r>
      <w:r w:rsidR="008A72B9">
        <w:rPr>
          <w:lang w:val="es-CO"/>
        </w:rPr>
        <w:fldChar w:fldCharType="separate"/>
      </w:r>
      <w:r w:rsidR="008A72B9" w:rsidRPr="008A72B9">
        <w:rPr>
          <w:noProof/>
        </w:rPr>
        <w:t>(Production Chain of Bees and Beekeepers (CPAA), 2020)</w:t>
      </w:r>
      <w:r w:rsidR="008A72B9">
        <w:rPr>
          <w:lang w:val="es-CO"/>
        </w:rPr>
        <w:fldChar w:fldCharType="end"/>
      </w:r>
      <w:r w:rsidR="008A72B9">
        <w:t>.</w:t>
      </w:r>
      <w:r w:rsidR="00D12498">
        <w:t xml:space="preserve"> </w:t>
      </w:r>
      <w:r w:rsidR="00D12498" w:rsidRPr="00D12498">
        <w:t>The</w:t>
      </w:r>
      <w:r>
        <w:t xml:space="preserve"> </w:t>
      </w:r>
      <w:r w:rsidR="00D12498" w:rsidRPr="00D12498">
        <w:t xml:space="preserve">honey and pollen </w:t>
      </w:r>
      <w:r>
        <w:t xml:space="preserve">extraction </w:t>
      </w:r>
      <w:r w:rsidR="00D12498" w:rsidRPr="00D12498">
        <w:t>is influenced by bee species, climate, floral variety, honey maturation, and pestling techniques</w:t>
      </w:r>
      <w:r w:rsidR="00496691">
        <w:t xml:space="preserve"> </w:t>
      </w:r>
      <w:r w:rsidR="00307AC1">
        <w:rPr>
          <w:lang w:val="es-CO"/>
        </w:rPr>
        <w:fldChar w:fldCharType="begin" w:fldLock="1"/>
      </w:r>
      <w:r w:rsidR="00307AC1" w:rsidRPr="00307AC1">
        <w:instrText>ADDIN CSL_CITATION {"citationItems":[{"id":"ITEM-1","itemData":{"DOI":"10.1016/j.foodres.2022.111913","ISSN":"18737145","PMID":"36461271","abstract":"Honey is considered a complex matrix for presenting a range of secondary metabolites originating from the regional flora. It has been highlighted as a functional food consumed worldwide and frequently suffering from adulteration. Fraud methods have been sophisticated over the years, indicating the need of a continuous updating of the existing analysis methods. For this reason, analytical techniques applied to honey have been expanded, allowing the detection of fraud and the determination of geographic and botanical origin, to guarantee the authenticity of the product. In this sense, this study aimed to characterize floral honey samples in 2019–2020 and 2020–2021 harvests in the states of Santa Catarina (SC, southern Brazil – n = 73) and São Paulo (SP, southeastern Brazil – n = 59), through UV–vis, NIR, and NMR spectroscopies. The total reduced capacity showed a wide variation (0.76–12.8 mg GAE.g−1) among the SC and SP samples. Spectroscopic analyses through UV–vis and NMR with the application of PCA proved effective for discriminating honey samples according to their geographical origin. The honey UV–vis spectral profiles allowed to det</w:instrText>
      </w:r>
      <w:r w:rsidR="00307AC1" w:rsidRPr="00D12498">
        <w:instrText xml:space="preserve">ect wavelengths that can be associated with honey adulteration, </w:instrText>
      </w:r>
      <w:r w:rsidR="00307AC1" w:rsidRPr="00E568A4">
        <w:instrText>ho</w:instrText>
      </w:r>
      <w:r w:rsidR="00307AC1">
        <w:rPr>
          <w:lang w:val="es-CO"/>
        </w:rPr>
        <w:instrText>wever further studies are needed to establish the accuracy of detection regarding fraud. In summary, a set of analytical protocols is presented to determine the geographical origin of floral honey, even when originated from regions with great biodiversity such as Brazil.","author":[{"dropping-particle":"","family":"Nunes","given":"Aline","non-dropping-particle":"","parse-names":false,"suffix":""},{"dropping-particle":"","family":"Zilto Azevedo","given":"Gadiel","non-dropping-particle":"","parse-names":false,"suffix":""},{"dropping-particle":"",</w:instrText>
      </w:r>
      <w:r w:rsidR="00307AC1" w:rsidRPr="00822E22">
        <w:instrText>"family":"Rocha dos Santos","given":"Beatriz","non-dropping-particle":"","parse-names":false,"suffix":""},{"dropping-particle":"","family":"Vanz Borges","given":"Cristine","non-dropping-particle":"","parse-names":false,"suffix":""},{"dropping-particle":"","family":"Pace Pereira Lima","given":"Giuseppina","non-dropping-particle":"","parse-names":false,"suffix":""},{"dropping-particle":"","family":"Conte Crocoli","given":"Luana","non-dropping-particle":"","parse-names":false,"suffix":""},{"dropping-particle":"","family":"Moura","given":"Sidnei","non-dropping-particle":"","parse-names":false,"suffix":""},{"dropping-particle":"","family":"Maraschin","given":"Marcelo","non-dropping-particle":"","parse-names":false,"suffix":""}],"container-title":"Food Research International","id":"ITEM-1","issued":{"date-parts":[["2022"]]},"page":"1-12","publisher":"Elsevier Ltd","title":"Characterization of Brazilian floral honey produced in the states of Santa Catarina and São Paulo through ultraviolet–visible (UV–vis), near-infrared (NIR), and nuclear magnetic resonance (NMR) spectroscopy","type":"article-journal","volume":"162"},"uris":["http://www.mendeley.com/documents/?uuid=d58ab5f4-ffee-4878-9a2f-e2d711346654"]}],"mendeley":{"formattedCitation":"(Nunes et al., 2022)","plainTextFormattedCitation":"(Nunes et al., 2022)","previouslyFormattedCitation":"(Nunes et al., 2022)"},"properties":{"noteIndex":0},"schema":"https://github.com/citation-style-language/schema/raw/master/csl-citation.json"}</w:instrText>
      </w:r>
      <w:r w:rsidR="00307AC1">
        <w:rPr>
          <w:lang w:val="es-CO"/>
        </w:rPr>
        <w:fldChar w:fldCharType="separate"/>
      </w:r>
      <w:r w:rsidR="00307AC1" w:rsidRPr="00822E22">
        <w:rPr>
          <w:noProof/>
        </w:rPr>
        <w:t>(Nunes et al., 2022)</w:t>
      </w:r>
      <w:r w:rsidR="00307AC1">
        <w:rPr>
          <w:lang w:val="es-CO"/>
        </w:rPr>
        <w:fldChar w:fldCharType="end"/>
      </w:r>
      <w:r w:rsidR="008A72B9" w:rsidRPr="008A72B9">
        <w:t xml:space="preserve">. </w:t>
      </w:r>
    </w:p>
    <w:p w14:paraId="46009A95" w14:textId="35666359" w:rsidR="005038BF" w:rsidRDefault="00B205B5" w:rsidP="00687E50">
      <w:pPr>
        <w:pStyle w:val="CETBodytext"/>
      </w:pPr>
      <w:r w:rsidRPr="00B205B5">
        <w:t xml:space="preserve">Honey is a solution composed of sugars such as fructose and glucose, along with compounds essential for life such as vitamins, proteins, organic acids, minerals, enzymes, and others. It represents one of the byproducts of the hive </w:t>
      </w:r>
      <w:r w:rsidR="008746B8">
        <w:rPr>
          <w:lang w:val="es-CO"/>
        </w:rPr>
        <w:fldChar w:fldCharType="begin" w:fldLock="1"/>
      </w:r>
      <w:r w:rsidR="008746B8" w:rsidRPr="008746B8">
        <w:instrText>ADDIN CSL_CITATION {"citationItems":[{"id":"ITEM-1","itemData":{"DOI":"10.1080/00218839.2017.1338444","ISSN":"20786913","abstract":"Honey is a natural sweetener with a complex composition. Honey features vary depending on the botanical source and geographical origin, as well as climatic, processing and storage conditions. Honey is mainly composed of carbohydrates and water, parameters that influence its shelf life and some of its properties, including color, flavor, density, viscosity, hygroscopicity, and crystallization. Honey also contains small amounts of other components, such as nitrogen compounds, organic acids, minerals, vitamins, Maillard reaction products, volatile compounds, and several bioactive substances that affect sensory and physical characteristics, as well as biological potential. This review summarizes the literature about the composition and main properties of honey. It also describes the use of honey as a biomonitor for collecting information about the environment, identifying environmental contamination and assessing the level of soil, water, plant and air pollution.","author":[{"dropping-particle":"","family":"Machado De-Melo","given":"Adriane Alexandre","non-dropping-particle":"","parse-names":false,"suffix":""},{"dropping-particle":"de","family":"Almeida-Muradian","given":"Ligia Bicudo","non-dropping-particle":"","parse-names":false,"suffix":""},{"dropping-particle":"","family":"Sancho","given":"María Teresa","non-dropping-particle":"","parse-names":false,"suffix":""},{"dropping-particle":"","family":"Pascual-Maté","given":"Ana","non-dropping-particle":"","parse-names":false,"suffix":""}],"container-title":"Journal of Apicultural Research","id":"ITEM-1","issue":"1","issued":{"date-parts":[["2018"]]},"page":"5-37","publisher":"Taylor &amp; Francis","title":"Composition and properties of Apis mellifera honey: A review","type":"article-journal","volume":"57"},"uris":["http://www.mendeley.com/documents/?uuid=48583a8d-2101-4306-9427-fd500cbb8e10"]}],"mendeley":{"formattedCitation":"(Machado De-Melo et al., 2018)","plainTextFormattedCitation":"(Machado De-Melo et al., 2018)","previouslyFormattedCitation":"(Machado De-Melo et al., 2018)"},"properties":{"noteIndex":0},"schema":"https://github.com/citation-style-language/schema/raw/master/csl-citation.json"}</w:instrText>
      </w:r>
      <w:r w:rsidR="008746B8">
        <w:rPr>
          <w:lang w:val="es-CO"/>
        </w:rPr>
        <w:fldChar w:fldCharType="separate"/>
      </w:r>
      <w:r w:rsidR="008746B8" w:rsidRPr="008746B8">
        <w:rPr>
          <w:noProof/>
        </w:rPr>
        <w:t>(Machado De-Melo et al., 2018)</w:t>
      </w:r>
      <w:r w:rsidR="008746B8">
        <w:rPr>
          <w:lang w:val="es-CO"/>
        </w:rPr>
        <w:fldChar w:fldCharType="end"/>
      </w:r>
      <w:r w:rsidR="008746B8" w:rsidRPr="008746B8">
        <w:t>.</w:t>
      </w:r>
      <w:r w:rsidR="005038BF">
        <w:t xml:space="preserve"> </w:t>
      </w:r>
      <w:r w:rsidRPr="00B205B5">
        <w:t xml:space="preserve">Bee pollen is emerging as an important food product due to its high </w:t>
      </w:r>
      <w:r w:rsidR="005B46E6" w:rsidRPr="00B205B5">
        <w:t xml:space="preserve">nutrients </w:t>
      </w:r>
      <w:r w:rsidRPr="00B205B5">
        <w:t>concentration</w:t>
      </w:r>
      <w:r w:rsidR="005B46E6">
        <w:t xml:space="preserve"> </w:t>
      </w:r>
      <w:r w:rsidRPr="00B205B5">
        <w:t>and bioactive compounds, a source of proteins, carbohydrates, dietary fiber, lipids, predominantly polyunsaturated fatty acids, and various vitamins and minerals</w:t>
      </w:r>
      <w:r>
        <w:t xml:space="preserve"> </w:t>
      </w:r>
      <w:r w:rsidR="008746B8">
        <w:rPr>
          <w:lang w:val="es-CO"/>
        </w:rPr>
        <w:fldChar w:fldCharType="begin" w:fldLock="1"/>
      </w:r>
      <w:r w:rsidR="008746B8" w:rsidRPr="008746B8">
        <w:instrText>ADDIN CSL_CITATION {"citationItems":[{"id":"ITEM-1","itemData":{"DOI":"10.1016/j.apradiso.2019.06.015","ISSN":"18729800","PMID":"31306881","author":[{"dropping-particle":"","family":"Basso","given":"Inés M.","non-dropping-particle":"","parse-names":false,"suffix":""},{"dropping-particle":"","family":"Lorenzo","given":"Daniel S.","non-dropping-particle":"","parse-names":false,"suffix":""},{"dropping-particle":"","family":"Mouteira","given":"María C.","non-dropping-particle":"","parse-names":false,"suffix":""},{"dropping-particle":"","family":"Custo","given":"Graciela S.","non-dropping-particle":"","parse-names":false,"suffix":""}],"container-title":"Applied Radiation and Isotopes","id":"ITEM-1","issued":{"date-parts":[["2019"]]},"page":"168-171","publisher":"Elsevier Ltd","title":"Mineral analysis of pollen by Total Reflection X-Ray Fluorescence","type":"article-journal","volume":"152"},"uris":["http://www.mendeley.com/documents/?uuid=d0250587-172d-4ea2-b391-72a1781203a1"]}],"mendeley":{"formattedCitation":"(Basso et al., 2019)","plainTextFormattedCitation":"(Basso et al., 2019)","previouslyFormattedCitation":"(Basso et al., 2019)"},"properties":{"noteIndex":0},"schema":"https://github.com/citation-style-language/schema/raw/master/csl-citation.json"}</w:instrText>
      </w:r>
      <w:r w:rsidR="008746B8">
        <w:rPr>
          <w:lang w:val="es-CO"/>
        </w:rPr>
        <w:fldChar w:fldCharType="separate"/>
      </w:r>
      <w:r w:rsidR="008746B8" w:rsidRPr="008746B8">
        <w:rPr>
          <w:noProof/>
        </w:rPr>
        <w:t>(Basso et al., 2019)</w:t>
      </w:r>
      <w:r w:rsidR="008746B8">
        <w:rPr>
          <w:lang w:val="es-CO"/>
        </w:rPr>
        <w:fldChar w:fldCharType="end"/>
      </w:r>
      <w:r w:rsidR="008746B8" w:rsidRPr="008746B8">
        <w:t>,</w:t>
      </w:r>
      <w:r w:rsidR="008746B8">
        <w:t xml:space="preserve"> </w:t>
      </w:r>
      <w:r w:rsidR="008746B8" w:rsidRPr="008746B8">
        <w:t xml:space="preserve">In addition, </w:t>
      </w:r>
      <w:r w:rsidR="008746B8" w:rsidRPr="008746B8">
        <w:lastRenderedPageBreak/>
        <w:t xml:space="preserve">it includes notable amounts of phenolic acids, flavonoids, carotenoids, phytosterols and other antioxidant compounds </w:t>
      </w:r>
      <w:r w:rsidR="008746B8">
        <w:rPr>
          <w:lang w:val="es-CO"/>
        </w:rPr>
        <w:fldChar w:fldCharType="begin" w:fldLock="1"/>
      </w:r>
      <w:r w:rsidR="008746B8" w:rsidRPr="008746B8">
        <w:instrText>ADDIN CSL_CITATION {"citationItems":[{"id":"ITEM-1","itemData":{"DOI":"10.1016/j.lwt.2021.110868","ISSN":"00236438","abstract":"Different process conditions were evaluated to induce lactic acid fermentation of bee pollen at the pilot scale using three different commercial starter cultures. Clean and dry Colombian high Andean bee pollen was used as the sole source of nutrients (substrate). The effect of substrate preparation conditions (water:pollen ratio and initial substrate acidity) on lactic fermentation was evaluated by monitoring pH, titratable acidity, and pollen morphology in 6-kg-fermentation units. A 2:1 water:pollen mixture with an initial pH adjusted to 5.8, pretreated with heat/pressure (10 min; 80 kPa; 115 °C), was determined to be an adequate substrate for pilot-scale lactic fermentation for all lactic starter cultures. At the selected conditions, the kinetics of lactic acid production and the growth of specific lactic bacteria were determined. The fermentation process time was 30 h, after which a significant decline in bacterial populations was observed. Among the starter cultures tested, one constituted exclusively by probiotic Lactobacillus acidophilus NCFM presented the best performance in terms of lactic acid production, with a concentration of 1.65% wt, after 30 h. The results highlight the feasibility of producing fe</w:instrText>
      </w:r>
      <w:r w:rsidR="008746B8" w:rsidRPr="00822E22">
        <w:instrText>rmented bee pollen at a commercial scale as a functional food product with probiotic features.","author":[{"dropping-particle":"","family":"Mora-Adames","given":"William Ignacio","non-dropping-particle":"","parse-names":false,"suffix":""},{"dropping-particle":"","family":"Fuenmayor","given":"Carlos Alberto","non-dropping-particle":"","parse-names":false,"suffix":""},{"dropping-particle":"","family":"Benavides-Martín","given":"María Angélica","non-dropping-particle":"","parse-names":false,"suffix":""},{"dropping-particle":"","family":"Algecira-Enciso","given":"Néstor Ariel","non-dropping-particle":"","parse-names":false,"suffix":""},{"dropping-particle":"","family":"Quicazán","given":"Martha Cecilia","non-dropping-particle":"","parse-names":false,"suffix":""}],"container-title":"Lwt","id":"ITEM-1","issued":{"date-parts":[["2021"]]},"page":"1-9","title":"Bee pollen as a novel substrate in pilot-scale probiotic-mediated lactic fermentation processes","type":"article-journal","volume":"141"},"uris":["http://www.mendeley.com/documents/?uuid=05629258-4d9f-46a4-bc50-b4f5da707aff"]}],"mendeley":{"formattedCitation":"(Mora-Adames et al., 2021)","plainTextFormattedCitation":"(Mora-Adames et al., 2021)","previouslyFormattedCitation":"(Mora-Adames et al., 2021)"},"properties":{"noteIndex":0},"schema":"https://github.com/citation-style-language/schema/raw/master/csl-citation.json"}</w:instrText>
      </w:r>
      <w:r w:rsidR="008746B8">
        <w:rPr>
          <w:lang w:val="es-CO"/>
        </w:rPr>
        <w:fldChar w:fldCharType="separate"/>
      </w:r>
      <w:r w:rsidR="008746B8" w:rsidRPr="00822E22">
        <w:rPr>
          <w:noProof/>
        </w:rPr>
        <w:t>(Mora-Adames et al., 2021)</w:t>
      </w:r>
      <w:r w:rsidR="008746B8">
        <w:rPr>
          <w:lang w:val="es-CO"/>
        </w:rPr>
        <w:fldChar w:fldCharType="end"/>
      </w:r>
      <w:r w:rsidR="008746B8" w:rsidRPr="00822E22">
        <w:t>.</w:t>
      </w:r>
      <w:r w:rsidR="005038BF">
        <w:t xml:space="preserve"> </w:t>
      </w:r>
    </w:p>
    <w:p w14:paraId="0CB0FCCF" w14:textId="1F971454" w:rsidR="009D4BC3" w:rsidRDefault="008746B8" w:rsidP="00687E50">
      <w:pPr>
        <w:pStyle w:val="CETBodytext"/>
      </w:pPr>
      <w:r w:rsidRPr="008746B8">
        <w:t xml:space="preserve">Fermented beverages are generated through meticulous management of microbial growth and enzymatic modifications of their components </w:t>
      </w:r>
      <w:r>
        <w:rPr>
          <w:lang w:val="es-CO"/>
        </w:rPr>
        <w:fldChar w:fldCharType="begin" w:fldLock="1"/>
      </w:r>
      <w:r w:rsidRPr="008746B8">
        <w:instrText>ADDIN CSL_CITATION {"citationItems":[{"id":"ITEM-1","itemData":{"DOI":"10.1016/j.copbio.2016.11.010","ISSN":"18790429","PMID":"27998788","abstract":"Fermented foods and beverages were among the first processed food products consumed by humans. The production of foods such as yogurt and cultured milk, wine and beer, sauerkraut and kimchi, and fermented sausage were initially valued because of their improved shelf life, safety, and organoleptic properties. It is increasingly understood that fermented foods can also have enhanced nutritional and functional properties due to transformation of substrates and formation of bioactive or bioavailable end-products. Many fermented foods also contain living microorganisms of which some are genetically similar to strains used as probiotics. Although only a limited number of clinical studies on fermented foods have been performed, there is evidence that these foods provide health benefits well-beyond the starting food materials.","author":[{"dropping-particle":"","family":"Marco","given":"Maria L.","non-dropping-particle":"","parse-names":false,"suffix":""},{"dropping-particle":"","family":"Heeney","given":"Dustin","non-dropping-particle":"","parse-names":false,"suffix":""},{"dropping-particle":"","family":"Binda","given":"Sylvie","non-dropping-particle":"","parse-names":false,"suffix":""},{"dropping-particle":"","family":"Cifelli","given":"Christopher J.","non-dropping-particle":"","parse-names":false,"suffix":""},{"dropping-particle":"","family":"Cotter","given":"Paul D.","non-dropping-particle":"","parse-names":false,"suffix":""},{"dropping-particle":"","family":"Foligné","given":"Benoit","non-dropping-particle":"","parse-names":false,"suffix":""},{"dropping-particle":"","family":"Gänzle","given":"Michael","non-dropping-particle":"","parse-names":false,"suffix":""},{"dropping-particle":"","family":"Kort","given":"Remco","non-dropping-particle":"","parse-names":false,"suffix":""},{"dropping-particle":"","family":"Pasin","given":"Gonca","non-dropping-particle":"","parse-names":false,"suffix":""},{"dropping-particle":"","family":"Pihlanto","given":"Anne","non-dropping-particle":"","parse-names":false,"suffix":""},{"dropping-particle":"","family":"Smid","given":"Eddy J.","non-dropping-particle":"","parse-names":false,"suffix":""},{"dropping-particle":"","family":"Hutkins","given":"Robert","non-dropping-particle":"","parse-names":false,"suffix":""}],"container-title":"Current Opinion in Biotechnology","id":"ITEM-1","issued":{"date-parts":[["2017"]]},"page":"94-102","title":"Health benefits of fermented foods: microbiota and beyond","type":"article-journal","volume":"44"},"uris":["http://www.mendeley.com/documents/?uuid=e8731ec9-6963-455c-8a83-e16059cb0dcd"]}],"mendeley":{"formattedCitation":"(Marco et al., 2017)","plainTextFormattedCitation":"(Marco et al., 2017)","previouslyFormat</w:instrText>
      </w:r>
      <w:r w:rsidRPr="00822E22">
        <w:instrText>tedCitation":"(Marco et al., 2017)"},"properties":{"noteIndex":0},"schema":"https://github.com/citation-style-language/schema/raw/master/csl-citation.json"}</w:instrText>
      </w:r>
      <w:r>
        <w:rPr>
          <w:lang w:val="es-CO"/>
        </w:rPr>
        <w:fldChar w:fldCharType="separate"/>
      </w:r>
      <w:r w:rsidRPr="00822E22">
        <w:rPr>
          <w:noProof/>
        </w:rPr>
        <w:t>(Marco et al., 2017)</w:t>
      </w:r>
      <w:r>
        <w:rPr>
          <w:lang w:val="es-CO"/>
        </w:rPr>
        <w:fldChar w:fldCharType="end"/>
      </w:r>
      <w:r w:rsidRPr="00822E22">
        <w:t xml:space="preserve">. </w:t>
      </w:r>
      <w:r w:rsidRPr="008746B8">
        <w:t>Recently, these beverages have received renewed attention due to numerous concerns related to dietary approaches</w:t>
      </w:r>
      <w:r w:rsidR="005B46E6">
        <w:t xml:space="preserve"> </w:t>
      </w:r>
      <w:r w:rsidR="00FA2E88">
        <w:t xml:space="preserve">and </w:t>
      </w:r>
      <w:r w:rsidRPr="008746B8">
        <w:t>the presence of vitamins, prebiotics, and probiotics</w:t>
      </w:r>
      <w:r>
        <w:t xml:space="preserve"> </w:t>
      </w:r>
      <w:r>
        <w:rPr>
          <w:lang w:val="es-CO"/>
        </w:rPr>
        <w:fldChar w:fldCharType="begin" w:fldLock="1"/>
      </w:r>
      <w:r w:rsidRPr="008746B8">
        <w:instrText>ADDIN CSL_CITATION {"citationItems":[{"id":"ITEM-1","itemData":{"DOI":"10.1016/j.foodres.2017.09.031","ISSN":"18737145","PMID":"29433787","abstract":"Nutritional recommendations emphasize fruit and vegetable consumption. This is related to health-benefits associated with bioactive nutritive molecules (nutrients, vitamins, minerals, fibers, …) as well as non-nutritive phytochemicals (phenolic compounds, flavonoids, bioactive peptides, …) content of these types of foods. Fermented fruit or vegetable products are part of various diets worldwide. Lactic acid bacteria (LAB) fermentation is common among the various fermentation processes used. It produces changes in both profile and types of bioactive compounds. Molecules such as bioactive peptides, short chain fatty acids or polysaccharides are generated while sugar content or anti-nutritional compounds are decreased and phenolic compounds are converted to molecules with added biological value. These transformations, associated with prebiotic and/or probiotic potential supply as well as improvement of food components bioaccessibility and bioavailability, result in modifications of health-related properties. Lastly, interactions between ingested fermented food, intestinal microbiota and their correlations to metabolomics profiles and health represent an important pers</w:instrText>
      </w:r>
      <w:r w:rsidRPr="00822E22">
        <w:instrText>pective deserving to be further explored.","author":[{"dropping-particle":"","family":"Septembre-Malaterre","given":"Axelle","non-dropping-particle":"","parse-names":false,"suffix":""},{"dropping-particle":"","family":"Remize","given":"Fabienne","non-dropping-particle":"","parse-names":false,"suffix":""},{"dropping-particle":"","family":"Poucheret","given":"Patrick","non-dropping-particle":"","parse-names":false,"suffix":""}],"container-title":"Food Research International","id":"ITEM-1","issue":"April 2017","issued":{"date-parts":[["2018"]]},"page":"86-99","publisher":"Elsevier","title":"Fruits and vegetables, as a source of nutritional compounds and phytochemicals: Changes in bioactive compounds during lactic fermentation","type":"article-journal","volume":"104"},"uris":["http://www.mendeley.com/documents/?uuid=a927c6c3-83bb-4694-aa61-3934f0900d10"]}],"mendeley":{"formattedCitation":"(Septembre-Malaterre et al., 2018)","plainTextFormattedCitation":"(Septembre-Malaterre et al., 2018)","previouslyFormattedCitation":"(Septembre-Malaterre et al., 2018)"},"properties":{"noteIndex":0},"schema":"https://github.com/citation-style-language/schema/raw/master/csl-citation.json"}</w:instrText>
      </w:r>
      <w:r>
        <w:rPr>
          <w:lang w:val="es-CO"/>
        </w:rPr>
        <w:fldChar w:fldCharType="separate"/>
      </w:r>
      <w:r w:rsidRPr="00822E22">
        <w:rPr>
          <w:noProof/>
        </w:rPr>
        <w:t>(Septembre-Malaterre et al., 2018)</w:t>
      </w:r>
      <w:r>
        <w:rPr>
          <w:lang w:val="es-CO"/>
        </w:rPr>
        <w:fldChar w:fldCharType="end"/>
      </w:r>
      <w:r w:rsidRPr="00822E22">
        <w:t xml:space="preserve">. </w:t>
      </w:r>
      <w:r w:rsidRPr="008746B8">
        <w:t>Lactic fermentation is carried out by lactic acid bacteria, which can grow in foods due to their metabolic activities</w:t>
      </w:r>
      <w:r w:rsidR="00C62205">
        <w:t xml:space="preserve"> </w:t>
      </w:r>
      <w:r w:rsidR="00C62205">
        <w:fldChar w:fldCharType="begin" w:fldLock="1"/>
      </w:r>
      <w:r w:rsidR="00C62205">
        <w:instrText>ADDIN CSL_CITATION {"citationItems":[{"id":"ITEM-1","itemData":{"DOI":"10.3303/CET2293053","ISBN":"9788895608914","ISSN":"22839216","abstract":"Lactic acid fermentation of legume-based matrices has been gaining an increasing interest in recent years to produce pro- and post-biotic functional foods at high protein content. The optimization of the main process conditions is necessary to improve bacterial growth, microbial metabolic activity, thus the consequent functional properties of the resulting fermented products. A preliminary study of feasibility about the potential of using a leguminous substrate as growth medium for Lactobacillus paracasei CBA L74 was already conducted in previous experimentations. In this work, the effect of improving mixing conditions of a cooked navy bean suspension during the lactic acid fermentation process was investigated and some chemical and physical properties of the resulting fermented products were studied to verify their potential application as functional ingredients in food formulations. The mixing system was optimized by designing an impeller that guarantees a more homogeneous distribution of nutrients and avoids concentration gradients that could inhibit the microorganism proliferation. Bacterial growth, lactic acid production, sugar, and starch consumption were compared with those obtained during previous experimentations carried out with a different impeller. The major availability of nutrients in the fermenting medium reached with the customized impeller allowed a faster achievement of the maximum microbial load (1×109 CFU/mL after 14 h of process) and a lower doubling time of 1.53 h. Furthermore, fermentation led to a reduction in water absorption, oil binding, and foam capacity of the fermented bean powders. Total phenolic and flavonoid content and their antioxidant capacity were not influenced by the fermentation process itself but favored by the previous thermal treatment of sterilization.","author":[{"dropping-particle":"","family":"Cante","given":"Rosa Colucci","non-dropping-particle":"","parse-names":false,"suffix":""},{"dropping-particle":"","family":"Gallo","given":"Marianna","non-dropping-particle":"","parse-names":false,"suffix":""},{"dropping-particle":"","family":"Nigro","given":"Federica","non-dropping-particle":"","parse-names":false,"suffix":""},{"dropping-particle":"","family":"Vitelli","given":"Claudia","non-dropping-particle":"","parse-names":false,"suffix":""},{"dropping-particle":"","family":"Passannanti","given":"Francesca","non-dropping-particle":"","parse-names":false,"suffix":""},{"dropping-particle":"","family":"Budelli","given":"Andrea Luigi","non-dropping-particle":"","parse-names":false,"suffix":""},{"dropping-particle":"","family":"Nigro","given":"Roberto","non-dropping-particle":"","parse-names":false,"suffix":""}],"container-title":"Chemical Engineering Transactions","id":"ITEM-1","issued":{"date-parts":[["2022"]]},"page":"313-318","title":"Optimization of Mixing Conditions for improving Lactobacillus paracasei CBA L74’ s Growth during Lactic Fermentation of Cooked Navy Beans and Functional Characterization of the Fermented Products","type":"article-journal","volume":"93"},"uris":["http://www.mendeley.com/documents/?uuid=13a6057a-6c83-4cf6-a858-35dc7313fd6c"]}],"mendeley":{"formattedCitation":"(Cante et al., 2022)","plainTextFormattedCitation":"(Cante et al., 2022)"},"properties":{"noteIndex":0},"schema":"https://github.com/citation-style-language/schema/raw/master/csl-citation.json"}</w:instrText>
      </w:r>
      <w:r w:rsidR="00C62205">
        <w:fldChar w:fldCharType="separate"/>
      </w:r>
      <w:r w:rsidR="00C62205" w:rsidRPr="00C62205">
        <w:rPr>
          <w:noProof/>
        </w:rPr>
        <w:t>(Cante et al., 2022)</w:t>
      </w:r>
      <w:r w:rsidR="00C62205">
        <w:fldChar w:fldCharType="end"/>
      </w:r>
      <w:r w:rsidRPr="008746B8">
        <w:t xml:space="preserve">. These bacteria use carbohydrates to generate valuable metabolites, including amino acids, enzymes, vitamins, organic acids, and </w:t>
      </w:r>
      <w:r w:rsidR="00017FD9">
        <w:t>alcohol</w:t>
      </w:r>
      <w:r w:rsidRPr="008746B8">
        <w:t xml:space="preserve"> </w:t>
      </w:r>
      <w:r>
        <w:rPr>
          <w:lang w:val="es-CO"/>
        </w:rPr>
        <w:fldChar w:fldCharType="begin" w:fldLock="1"/>
      </w:r>
      <w:r w:rsidRPr="00822E22">
        <w:instrText>ADDIN CSL_CITATION {"citationItems":[{"id":"ITEM-1","itemData":{"author":[{"dropping-particle":"","family":"Singh","given":"Rajendra","non-dropping-particle":"","parse-names":false,"suffix":""},{"dropping-particle":"","family":"Kumar","given":"Manoj","non-dropping-particle":"","parse-names":false,"suffix":""},{"dropping-particle":"","family":"Mittal","given":"Anshumali","non-dropping-particle":"","parse-names":false,"suffix":""},{"dropping-particle":"","family":"Kumar","given":"Praveen","non-dropping-particle":"","parse-names":false,"suffix":""}],"container-title":"3 Biotech","id":"ITEM-1","issued":{"date-parts":[["2017"]]},"page":"15","title":"Microbial metabolites in nutrition, healthcare and agriculture","type":"article-journal","volume":"7"},"uris":["http://www.mendeley.com/documents/?uuid=1ae0f434-d1ea-43ca-95e4-46eae4ec802f"]}],"mendeley":{"formattedCitation":"(Singh et al., 2017)","plainTextFormattedCitation":"(Singh et al., 2017)","previouslyFormattedCitation":"(Singh et al., 2017)"},"properties":{"noteIndex":0},"schema":"https://github.com/citation-style-language/schema/raw/master/csl-citation.json"}</w:instrText>
      </w:r>
      <w:r>
        <w:rPr>
          <w:lang w:val="es-CO"/>
        </w:rPr>
        <w:fldChar w:fldCharType="separate"/>
      </w:r>
      <w:r w:rsidRPr="00822E22">
        <w:rPr>
          <w:noProof/>
        </w:rPr>
        <w:t>(Singh et al., 2017)</w:t>
      </w:r>
      <w:r>
        <w:rPr>
          <w:lang w:val="es-CO"/>
        </w:rPr>
        <w:fldChar w:fldCharType="end"/>
      </w:r>
      <w:r w:rsidRPr="00822E22">
        <w:t>.</w:t>
      </w:r>
      <w:r>
        <w:t xml:space="preserve"> </w:t>
      </w:r>
      <w:r w:rsidR="009D4BC3" w:rsidRPr="009D4BC3">
        <w:t>Lactic fermentation has been carried out using vegetable matrices and mixtures</w:t>
      </w:r>
      <w:r w:rsidR="009D4BC3">
        <w:t xml:space="preserve"> </w:t>
      </w:r>
      <w:r w:rsidR="009D4BC3">
        <w:rPr>
          <w:lang w:val="es-CO"/>
        </w:rPr>
        <w:fldChar w:fldCharType="begin" w:fldLock="1"/>
      </w:r>
      <w:r w:rsidR="000914FD">
        <w:instrText>ADDIN CSL_CITATION {"citationItems":[{"id":"ITEM-1","itemData":{"DOI":"10.1016/j.jcs.2022.103521","ISSN":"10959963","abstract":"Consumption of maize and maize-based snacks in the Philippines is limited despite the high maize production. This study aimed to develop a fermented nixtamalized maize beverage (FNMB) and evaluate the microbial quality, safety, sensory characteristics, acceptability, and proximate composition of the formulated product. Different ratio of maize milk and cow milk were mixed [0:100 (control), 50:50, 70:30, 80:20]. Ecological nixtamalization (using CaCO3) was employed to produce the maize milk and fermentation using L. bulgaricus and S. thermophilus was applied. Results showed that the lactic acid bacteria (LAB) count of the fermented treatments reached the minimum required level for fermented beverages. The most acceptable formulation was that of 50:50 maize milk:cow milk ratio, and was selected for further studies. The FNMB did not exhibit E. coli, Salmonella, and S. aureus. Nixtamalization increased the moisture and protein contents and decreased the carbohydrate and ash levels of the fermented beverage (p &lt; 0.05). Fermentation decreased the amount of moisture and carbohydrate and increased the crude protein and ash contents of the nixtamalized samples (p &lt; 0.05). The FNMB exhibited higher protein, carbohydrate, and lower fat than commercial yogurt. The FNMB is a healthy snack alternative which can promote maize consumption and utilization in the Philippines.","author":[{"dropping-particle":"","family":"Ramos","given":"Patricia Isabel K.","non-dropping-particle":"","parse-names":false,"suffix":""},{"dropping-particle":"","family":"Tuaño","given":"Arvin Paul P.","non-dropping-particle":"","parse-names":false,"suffix":""},{"dropping-particle":"","family":"Juanico","given":"Clarissa B.","non-dropping-particle":"","parse-names":false,"suffix":""}],"container-title":"Journal of Cereal Science","id":"ITEM-1","issued":{"date-parts":[["2022"]]},"page":"1-7","title":"Microbial quality, safety, sensory acceptability, and proximate composition of a fermented nixtamalized maize (Zea mays L.) beverage","type":"article-journal","volume":"107"},"uris":["http://www.mendeley.com/documents/?uuid=9ab77c82-bb21-4fb6-8906-472a21dd4bf6"]}],"mendeley":{"formattedCitation":"(Ramos et al., 2022)","plainTextFormattedCitation":"(Ramos et al., 2022)","previouslyFormattedCitation":"(Ramos et al., 2022)"},"properties":{"noteIndex":0},"schema":"https://github.com/citation-style-language/schema/raw/master/csl-citation.json"}</w:instrText>
      </w:r>
      <w:r w:rsidR="009D4BC3">
        <w:rPr>
          <w:lang w:val="es-CO"/>
        </w:rPr>
        <w:fldChar w:fldCharType="separate"/>
      </w:r>
      <w:r w:rsidR="009D4BC3" w:rsidRPr="009D4BC3">
        <w:rPr>
          <w:noProof/>
        </w:rPr>
        <w:t>(Ramos et al., 2022)</w:t>
      </w:r>
      <w:r w:rsidR="009D4BC3">
        <w:rPr>
          <w:lang w:val="es-CO"/>
        </w:rPr>
        <w:fldChar w:fldCharType="end"/>
      </w:r>
      <w:r w:rsidR="009D4BC3" w:rsidRPr="009D4BC3">
        <w:t>.</w:t>
      </w:r>
      <w:r w:rsidR="009D4BC3">
        <w:t xml:space="preserve"> </w:t>
      </w:r>
      <w:r w:rsidR="009D4BC3" w:rsidRPr="009D4BC3">
        <w:t xml:space="preserve">Protein is predominantly found in plant-based seeds, which also have nutrients that offer a source of high-quality fats and easily absorbed carbohydrates, along with fiber, vitamins, and minerals </w:t>
      </w:r>
      <w:r w:rsidR="009D4BC3">
        <w:rPr>
          <w:lang w:val="es-CO"/>
        </w:rPr>
        <w:fldChar w:fldCharType="begin" w:fldLock="1"/>
      </w:r>
      <w:r w:rsidR="009D4BC3" w:rsidRPr="009D4BC3">
        <w:instrText>ADDIN CSL_CITATION {"citationItems":[{"id":"ITEM-1","itemData":{"DOI":"https://doi.org/10.1016/j.lwt.2019.108912","ISSN":"00236438","abstract":"The aim of this work was to study the potential of two quinoa varieties, Pasankalla (PK), and Rosada de Huancayo (RH), in developing fermented spoonable vegan products. The quinoa flours were fermented by a candidate probiotic Lactobacillus plantarum Q823. Then, two experimental products were developed by flavoring fermented PK flours with date (QD) and fermented RH flour with bilberry and banana (QBB). The nutritional composition, storage time, and sensory properties (the check-all-that-apply method) of QD and QBB were assessed in relation to four commercial vegan fermented snack products. The functionality of L. plantarum Q823 fermentation was demonstrated by high viable lactic acid bacteria counts (log cfu −1 9) of QD and QBB during the 28-day storage compared to commercial products (log cfu −1 &lt;1–8.2 ± 0.04) at the time of purchase. The nutritional composition of QD and QBB was equal or superior to commercial products. Consumers (n = 66) regarded quinoa products as “novel”, “healthy”, and “high in fiber”. However, the quinoa products were also characterized to have an unpleasant aftertaste and “sandy” mouthfeel. To conclude, quinoa has potential in fermented spoonable vegan products, as clearly demonstrated by the successful fermentation process and high lactic acid bacteria viable counts required for probiotic products.","author":[{"dropping-particle":"","family":"Väkeväinen","given":"Kati","non-dropping-particle":"","parse-names":false,"suffix":""},{"dropping-particle":"","family":"Ludena-Urquizo","given":"Fanny","non-dropping-particle":"","parse-names":false,"suffix":""},{"dropping-particle":"","family":"Korkala","given":"Essi","non-dropping-particle":"","parse-names":false,"suffix":""},{"dropping-particle":"","family":"Lapveteläinen","given":"Anja","non-dropping-particle":"","parse-names":false,"suffix":""},{"dropping-particle":"","family":"Peräniemi","given":"Sirpa","non-dropping-particle":"","parse-names":false,"suffix":""},{"dropping-particle":"","family":"Wright","given":"Atte","non-dropping-particle":"von","parse-names":false,"suffix":""},{"dropping-particle":"","family":"Plumed-Ferrer","given":"Carme","non-dropping-particle":"","parse-names":false,"suffix":""}],"container-title":"LWT - Food Science and Technology","id":"ITEM-1","issued":{"date-parts":[["2020"]]},"page":"1-9","publisher":"Elsevier","title":"Potential of quinoa in the development of fermented spoonable vegan products","type":"article-journal","volume":"120"},"uris":["http://www.mendeley.com/documents/?uuid=04dc07a0-ce72-48c0-9c19-e7380365a9b6"]}],"mendeley":{"formattedCitation":"(Väkeväinen et al., 2020)","plainTextFormattedCitation":"(Väkeväinen et al., 2020)","previouslyFormattedCitation":"(Väkeväinen et al., 2020)"},"properties":{"noteIndex":0},"schema":"https://github.com/citation-style-language/schema/raw/master/csl-citation.json"}</w:instrText>
      </w:r>
      <w:r w:rsidR="009D4BC3">
        <w:rPr>
          <w:lang w:val="es-CO"/>
        </w:rPr>
        <w:fldChar w:fldCharType="separate"/>
      </w:r>
      <w:r w:rsidR="009D4BC3" w:rsidRPr="009D4BC3">
        <w:rPr>
          <w:noProof/>
        </w:rPr>
        <w:t>(Väkeväinen et al., 2020)</w:t>
      </w:r>
      <w:r w:rsidR="009D4BC3">
        <w:rPr>
          <w:lang w:val="es-CO"/>
        </w:rPr>
        <w:fldChar w:fldCharType="end"/>
      </w:r>
      <w:r w:rsidR="009D4BC3" w:rsidRPr="009D4BC3">
        <w:t xml:space="preserve">. </w:t>
      </w:r>
    </w:p>
    <w:p w14:paraId="6CD61F84" w14:textId="77777777" w:rsidR="0014255C" w:rsidRDefault="003F57DD" w:rsidP="00600535">
      <w:pPr>
        <w:pStyle w:val="CETBodytext"/>
      </w:pPr>
      <w:r w:rsidRPr="003F57DD">
        <w:t>In the Caribbean region, there is a wide variety of crops native to Colombia, demonstrating the rich agricultural diversity. One of those vegetable crops that stands out for its important annual production is sesame (</w:t>
      </w:r>
      <w:r w:rsidRPr="003F57DD">
        <w:rPr>
          <w:i/>
          <w:iCs/>
        </w:rPr>
        <w:t>Sesamum indicum L</w:t>
      </w:r>
      <w:r w:rsidRPr="003F57DD">
        <w:t>.). Throughout history, Colombia has had a long tradition of growing sesame, particularly in the Caribbean region, with a focus on the departments of Bolívar, Córdoba, Sucre</w:t>
      </w:r>
      <w:r>
        <w:t>,</w:t>
      </w:r>
      <w:r w:rsidRPr="003F57DD">
        <w:t xml:space="preserve"> and Magdalena. </w:t>
      </w:r>
      <w:r w:rsidR="00017FD9">
        <w:t>This</w:t>
      </w:r>
      <w:r w:rsidRPr="003F57DD">
        <w:t xml:space="preserve"> region alone represents more than 60</w:t>
      </w:r>
      <w:r w:rsidR="00822E22">
        <w:t xml:space="preserve"> </w:t>
      </w:r>
      <w:r w:rsidRPr="003F57DD">
        <w:t>% of the country's total sesame production</w:t>
      </w:r>
      <w:r>
        <w:t xml:space="preserve"> </w:t>
      </w:r>
      <w:r>
        <w:rPr>
          <w:lang w:val="es-CO"/>
        </w:rPr>
        <w:fldChar w:fldCharType="begin" w:fldLock="1"/>
      </w:r>
      <w:r w:rsidR="000675B4">
        <w:instrText>ADDIN CSL_CITATION {"citationItems":[{"id":"ITEM-1","itemData":{"URL":"https://www.agronet.gov.co/estadistica/Paginas/home.aspx?cod=1","accessed":{"date-parts":[["2023","3","5"]]},"author":[{"dropping-particle":"","family":"Agronet","given":"","non-dropping-particle":"","parse-names":false,"suffix":""}],"id":"ITEM-1","issued":{"date-parts":[["2021"]]},"title":"Information and communication network of the Colombian agricultural sector (Agronet)","type":"webpage"},"uris":["http://www.mendeley.com/documents/?uuid=20a2b2c1-c229-42fe-9824-431f5dc0e1c8"]}],"mendeley":{"formattedCitation":"(Agronet, 2021)","plainTextFormattedCitation":"(Agronet, 2021)","previouslyFormattedCitation":"(Agronet, 2021)"},"properties":{"noteIndex":0},"schema":"https://github.com/citation-style-language/schema/raw/master/csl-citation.json"}</w:instrText>
      </w:r>
      <w:r>
        <w:rPr>
          <w:lang w:val="es-CO"/>
        </w:rPr>
        <w:fldChar w:fldCharType="separate"/>
      </w:r>
      <w:r w:rsidRPr="003F57DD">
        <w:rPr>
          <w:noProof/>
        </w:rPr>
        <w:t>(Agronet, 2021)</w:t>
      </w:r>
      <w:r>
        <w:rPr>
          <w:lang w:val="es-CO"/>
        </w:rPr>
        <w:fldChar w:fldCharType="end"/>
      </w:r>
      <w:r w:rsidRPr="003F57DD">
        <w:t>.</w:t>
      </w:r>
      <w:r>
        <w:t xml:space="preserve"> </w:t>
      </w:r>
    </w:p>
    <w:p w14:paraId="156E63D0" w14:textId="100089F8" w:rsidR="0014255C" w:rsidRDefault="003F57DD" w:rsidP="00600535">
      <w:pPr>
        <w:pStyle w:val="CETBodytext"/>
      </w:pPr>
      <w:r w:rsidRPr="003F57DD">
        <w:t>Bolívar is emerging as the department with the highest concentration of planting and production activities related to sesame seeds, with an area of more than 3,800 h</w:t>
      </w:r>
      <w:r>
        <w:t>a</w:t>
      </w:r>
      <w:r w:rsidRPr="003F57DD">
        <w:t xml:space="preserve">, followed by the </w:t>
      </w:r>
      <w:r w:rsidR="005B46E6" w:rsidRPr="003F57DD">
        <w:t xml:space="preserve">Sucre </w:t>
      </w:r>
      <w:r w:rsidRPr="003F57DD">
        <w:t>department</w:t>
      </w:r>
      <w:r w:rsidR="005B46E6">
        <w:t xml:space="preserve"> </w:t>
      </w:r>
      <w:r w:rsidRPr="003F57DD">
        <w:t>with 400 h</w:t>
      </w:r>
      <w:r>
        <w:t>a</w:t>
      </w:r>
      <w:r w:rsidRPr="003F57DD">
        <w:t xml:space="preserve"> dedicated to this crop</w:t>
      </w:r>
      <w:r>
        <w:t xml:space="preserve"> </w:t>
      </w:r>
      <w:r>
        <w:rPr>
          <w:lang w:val="es-CO"/>
        </w:rPr>
        <w:fldChar w:fldCharType="begin" w:fldLock="1"/>
      </w:r>
      <w:r w:rsidRPr="003F57DD">
        <w:instrText>ADDIN CSL_CITATION {"citationItems":[{"id":"ITEM-1","itemData":{"URL":"https://www.camara.gov.co/aprobado-en-segundo-debate-proyecto-de-ley-del-ajonjoli#:~:text=Es en Bolívar%2C el departamento,poco más de 400 hectáreas.","accessed":{"date-parts":[["2024","1","5"]]},"author":[{"dropping-particle":"","family":"Congress of the Republic of Colombia","given":"","non-dropping-particle":"","parse-names":false,"suffix":""}],"id":"ITEM-1","issued":{"date-parts":[["2021"]]},"title":"Sesame bill approved in second debate","type":"webpage"},"uris":["http://www.mendeley.com/documents/?uuid=163c8265-476f-4952-98bf-529c8d77743d"]}],"mendeley":{"formattedCitation":"(Congress of the Republic of Colombia, 2021)","plainTextFormattedCitation":"(Congress of the Republic of Colombia, 2021)","previouslyFormattedCitation":"(Congress of the Republic of Colombia, 2021)"},"properties":{"noteIndex":0},"schema":"https://github.com/citation-style-language/schema/raw/master/csl-citation.json"}</w:instrText>
      </w:r>
      <w:r>
        <w:rPr>
          <w:lang w:val="es-CO"/>
        </w:rPr>
        <w:fldChar w:fldCharType="separate"/>
      </w:r>
      <w:r w:rsidRPr="003F57DD">
        <w:rPr>
          <w:noProof/>
        </w:rPr>
        <w:t>(Congress of the Republic of Colombia, 2021)</w:t>
      </w:r>
      <w:r>
        <w:rPr>
          <w:lang w:val="es-CO"/>
        </w:rPr>
        <w:fldChar w:fldCharType="end"/>
      </w:r>
      <w:r w:rsidRPr="003F57DD">
        <w:t>.</w:t>
      </w:r>
      <w:r w:rsidR="000675B4">
        <w:t xml:space="preserve"> </w:t>
      </w:r>
      <w:r w:rsidR="000675B4" w:rsidRPr="000675B4">
        <w:t>Sesame</w:t>
      </w:r>
      <w:r w:rsidR="00116A30">
        <w:t xml:space="preserve"> </w:t>
      </w:r>
      <w:r w:rsidR="00116A30" w:rsidRPr="003F57DD">
        <w:t>(</w:t>
      </w:r>
      <w:r w:rsidR="00116A30" w:rsidRPr="003F57DD">
        <w:rPr>
          <w:i/>
          <w:iCs/>
        </w:rPr>
        <w:t>Sesamum indicum L</w:t>
      </w:r>
      <w:r w:rsidR="00116A30" w:rsidRPr="003F57DD">
        <w:t>.)</w:t>
      </w:r>
      <w:r w:rsidR="00116A30">
        <w:t xml:space="preserve"> </w:t>
      </w:r>
      <w:r w:rsidR="000675B4" w:rsidRPr="000675B4">
        <w:t xml:space="preserve">is considered a superfood, it contains around 15 essential amino acids, </w:t>
      </w:r>
      <w:r w:rsidR="004970E4">
        <w:t xml:space="preserve">and </w:t>
      </w:r>
      <w:r w:rsidR="000675B4" w:rsidRPr="000675B4">
        <w:t>80% of the lipid content (polyunsaturated fats),</w:t>
      </w:r>
      <w:r w:rsidR="005B46E6">
        <w:t xml:space="preserve"> </w:t>
      </w:r>
      <w:r w:rsidR="000675B4" w:rsidRPr="000675B4">
        <w:t>minerals such as bioavailable calcium, iron and zinc which play a role in the assimilation of carbohydrates, proteins and fats</w:t>
      </w:r>
      <w:r w:rsidR="000675B4">
        <w:t xml:space="preserve"> </w:t>
      </w:r>
      <w:r w:rsidR="000675B4">
        <w:fldChar w:fldCharType="begin" w:fldLock="1"/>
      </w:r>
      <w:r w:rsidR="00D307FA">
        <w:instrText>ADDIN CSL_CITATION {"citationItems":[{"id":"ITEM-1","itemData":{"author":[{"dropping-particle":"","family":"Hernández-Monzón","given":"Aldo","non-dropping-particle":"","parse-names":false,"suffix":""},{"dropping-particle":"","family":"Madernás-Sánchez","given":"Daymí","non-dropping-particle":"","parse-names":false,"suffix":""},{"dropping-particle":"","family":"Pérez-Argüelles","given":"Raquel","non-dropping-particle":"","parse-names":false,"suffix":""},{"dropping-particle":"","family":"Trujillo-Pérez","given":"Graciela","non-dropping-particle":"","parse-names":false,"suffix":""},{"dropping-particle":"","family":"González-Góngora","given":"Iván","non-dropping-particle":"","parse-names":false,"suffix":""},{"dropping-particle":"","family":"Díaz-Abreu","given":"Julio","non-dropping-particle":"","parse-names":false,"suffix":""}],"container-title":"Chemical Technology","id":"ITEM-1","issue":"1","issued":{"date-parts":[["2019"]]},"page":"89-104","title":"Development of a drink made with rice flour and sesame (Sesamum Indicum) and fermented with probiotic crops","type":"article-journal","volume":"39"},"uris":["http://www.mendeley.com/documents/?uuid=79a22729-c567-4fa9-81f5-4ffa7f7581c4"]}],"mendeley":{"formattedCitation":"(Hernández-Monzón et al., 2019)","plainTextFormattedCitation":"(Hernández-Monzón et al., 2019)","previouslyFormattedCitation":"(Hernández-Monzón et al., 2019)"},"properties":{"noteIndex":0},"schema":"https://github.com/citation-style-language/schema/raw/master/csl-citation.json"}</w:instrText>
      </w:r>
      <w:r w:rsidR="000675B4">
        <w:fldChar w:fldCharType="separate"/>
      </w:r>
      <w:r w:rsidR="00D307FA" w:rsidRPr="00D307FA">
        <w:rPr>
          <w:noProof/>
        </w:rPr>
        <w:t>(Hernández-Monzón et al., 2019)</w:t>
      </w:r>
      <w:r w:rsidR="000675B4">
        <w:fldChar w:fldCharType="end"/>
      </w:r>
      <w:r w:rsidR="000675B4" w:rsidRPr="000675B4">
        <w:t>.</w:t>
      </w:r>
      <w:r w:rsidR="0014255C">
        <w:t xml:space="preserve"> </w:t>
      </w:r>
    </w:p>
    <w:p w14:paraId="3C31208E" w14:textId="3882D53D" w:rsidR="00A131CA" w:rsidRPr="00A131CA" w:rsidRDefault="0014255C" w:rsidP="00600535">
      <w:pPr>
        <w:pStyle w:val="CETBodytext"/>
      </w:pPr>
      <w:r>
        <w:t>T</w:t>
      </w:r>
      <w:r w:rsidR="00A131CA" w:rsidRPr="00A131CA">
        <w:t xml:space="preserve">he use of bee products and </w:t>
      </w:r>
      <w:r>
        <w:t xml:space="preserve">vegetables </w:t>
      </w:r>
      <w:r w:rsidR="00A131CA" w:rsidRPr="00A131CA">
        <w:t>matrices</w:t>
      </w:r>
      <w:r w:rsidR="00116A30">
        <w:t xml:space="preserve"> </w:t>
      </w:r>
      <w:r w:rsidR="00A131CA" w:rsidRPr="00A131CA">
        <w:t xml:space="preserve">through the implementation of lactic fermentation procedures as a contribution to the economic growth of the Colombian Caribbean region, the focus is aimed at providing support to the community of farmers </w:t>
      </w:r>
      <w:r w:rsidR="004970E4">
        <w:t>o</w:t>
      </w:r>
      <w:r w:rsidR="00A131CA" w:rsidRPr="00A131CA">
        <w:t xml:space="preserve">n </w:t>
      </w:r>
      <w:r w:rsidR="004970E4">
        <w:t xml:space="preserve">a </w:t>
      </w:r>
      <w:r w:rsidR="00A131CA" w:rsidRPr="00A131CA">
        <w:t>small scale that often face</w:t>
      </w:r>
      <w:r w:rsidR="004970E4">
        <w:t>s</w:t>
      </w:r>
      <w:r w:rsidR="00A131CA" w:rsidRPr="00A131CA">
        <w:t xml:space="preserve"> challenges in meeting demand due to the high availability of similar products in the market. From a social point of view, research and development of innovative products that incorporate locally sourced and sustainable components should be encouraged. This approach aims to encourage the creation of new investment prospects and avenues of employment for farmers, beekeepers</w:t>
      </w:r>
      <w:r w:rsidR="004970E4">
        <w:t>,</w:t>
      </w:r>
      <w:r w:rsidR="00A131CA" w:rsidRPr="00A131CA">
        <w:t xml:space="preserve"> and people residing in the Colombian Caribbean region.</w:t>
      </w:r>
    </w:p>
    <w:p w14:paraId="71589B74" w14:textId="0B1C28F0" w:rsidR="00CD3EA6" w:rsidRPr="00CD3EA6" w:rsidRDefault="00CD3EA6" w:rsidP="00CD3EA6">
      <w:pPr>
        <w:pStyle w:val="CETHeading1"/>
      </w:pPr>
      <w:r w:rsidRPr="00CD3EA6">
        <w:t>Materials and methods</w:t>
      </w:r>
    </w:p>
    <w:p w14:paraId="0636B784" w14:textId="74E3DC81" w:rsidR="00453E24" w:rsidRDefault="009D78DC" w:rsidP="00453E24">
      <w:pPr>
        <w:pStyle w:val="CETheadingx"/>
      </w:pPr>
      <w:r>
        <w:t>Materials</w:t>
      </w:r>
    </w:p>
    <w:p w14:paraId="44A579BB" w14:textId="2F2D51AC" w:rsidR="001E1DF3" w:rsidRPr="001E1DF3" w:rsidRDefault="001E1DF3" w:rsidP="0060701D">
      <w:pPr>
        <w:pStyle w:val="CETBodytext"/>
      </w:pPr>
      <w:r w:rsidRPr="001E1DF3">
        <w:t>In this research, sesame (</w:t>
      </w:r>
      <w:r w:rsidRPr="001E1DF3">
        <w:rPr>
          <w:i/>
          <w:iCs/>
        </w:rPr>
        <w:t>Sesamum indicum L</w:t>
      </w:r>
      <w:r w:rsidRPr="001E1DF3">
        <w:t>.) was used for experimental development</w:t>
      </w:r>
      <w:r>
        <w:t xml:space="preserve"> </w:t>
      </w:r>
      <w:r w:rsidR="004970E4">
        <w:t xml:space="preserve">acquired directly from peasant </w:t>
      </w:r>
      <w:r w:rsidRPr="001E1DF3">
        <w:t>farmers in the Colombian Caribbean region, as well as honey and bee pollen provided by beekeepers in the Montes de María</w:t>
      </w:r>
      <w:r w:rsidR="00541872">
        <w:t xml:space="preserve"> re</w:t>
      </w:r>
      <w:r w:rsidRPr="001E1DF3">
        <w:t xml:space="preserve">, Colombia. </w:t>
      </w:r>
      <w:r w:rsidR="00B621C1" w:rsidRPr="00B621C1">
        <w:t>The fermented food product was obtained using the commercial mixed culture of Danisco (Danisco, Denmark)</w:t>
      </w:r>
      <w:r w:rsidR="004C3A03">
        <w:t xml:space="preserve">, </w:t>
      </w:r>
      <w:r w:rsidR="00B621C1" w:rsidRPr="00B621C1">
        <w:t>to produce fermented dairy beverages by direct inoculation, Danisco VEGE 053 LYO 200 DCU with</w:t>
      </w:r>
      <w:r w:rsidR="00B621C1">
        <w:t xml:space="preserve"> </w:t>
      </w:r>
      <w:r w:rsidRPr="003A4A7D">
        <w:rPr>
          <w:i/>
          <w:iCs/>
        </w:rPr>
        <w:t>Streptococcus thermophilus, Lactobacillus delbrueckii subsp. bulgaricus, Lactobacillus delbrueckii subsp. lactis, Lactobacillus acidophilus (NCFM®), Bifidobacterium lactis</w:t>
      </w:r>
      <w:r w:rsidRPr="001E1DF3">
        <w:t xml:space="preserve"> (HN019TM).</w:t>
      </w:r>
    </w:p>
    <w:p w14:paraId="18BAFA6F" w14:textId="2AE23525" w:rsidR="00453E24" w:rsidRDefault="00E81340" w:rsidP="00453E24">
      <w:pPr>
        <w:pStyle w:val="CETheadingx"/>
      </w:pPr>
      <w:r>
        <w:t>L</w:t>
      </w:r>
      <w:r w:rsidRPr="00E81340">
        <w:t>actic fermentation process and parameter monitoring</w:t>
      </w:r>
    </w:p>
    <w:p w14:paraId="143E3459" w14:textId="77777777" w:rsidR="0014255C" w:rsidRDefault="00D40721" w:rsidP="00DD2D8E">
      <w:pPr>
        <w:pStyle w:val="CETBodytext"/>
      </w:pPr>
      <w:r w:rsidRPr="00D40721">
        <w:t>The process of obtaining sesame</w:t>
      </w:r>
      <w:r w:rsidR="00116A30">
        <w:t xml:space="preserve"> </w:t>
      </w:r>
      <w:r w:rsidR="00116A30" w:rsidRPr="00D40721">
        <w:t>(</w:t>
      </w:r>
      <w:r w:rsidR="00116A30" w:rsidRPr="00D40721">
        <w:rPr>
          <w:i/>
          <w:iCs/>
        </w:rPr>
        <w:t>Sesamum indicum L.)</w:t>
      </w:r>
      <w:r w:rsidR="00116A30">
        <w:t xml:space="preserve"> </w:t>
      </w:r>
      <w:r w:rsidRPr="00D40721">
        <w:t xml:space="preserve"> </w:t>
      </w:r>
      <w:r w:rsidR="00155F02">
        <w:t xml:space="preserve">beverage </w:t>
      </w:r>
      <w:r w:rsidR="00260DDA">
        <w:t xml:space="preserve">is </w:t>
      </w:r>
      <w:r w:rsidR="00260DDA" w:rsidRPr="00260DDA">
        <w:t>show</w:t>
      </w:r>
      <w:r w:rsidR="004970E4">
        <w:t>n</w:t>
      </w:r>
      <w:r w:rsidR="00260DDA" w:rsidRPr="00260DDA">
        <w:t xml:space="preserve"> in</w:t>
      </w:r>
      <w:r w:rsidR="00260DDA">
        <w:t xml:space="preserve"> </w:t>
      </w:r>
      <w:r w:rsidR="00260DDA">
        <w:fldChar w:fldCharType="begin"/>
      </w:r>
      <w:r w:rsidR="00260DDA">
        <w:instrText xml:space="preserve"> REF _Ref156051152 \h </w:instrText>
      </w:r>
      <w:r w:rsidR="00260DDA">
        <w:fldChar w:fldCharType="separate"/>
      </w:r>
      <w:r w:rsidR="00260DDA">
        <w:t xml:space="preserve">Figure </w:t>
      </w:r>
      <w:r w:rsidR="00260DDA">
        <w:rPr>
          <w:noProof/>
        </w:rPr>
        <w:t>1</w:t>
      </w:r>
      <w:r w:rsidR="00260DDA">
        <w:fldChar w:fldCharType="end"/>
      </w:r>
      <w:r w:rsidR="00260DDA">
        <w:t>.</w:t>
      </w:r>
      <w:r w:rsidRPr="00D40721">
        <w:t xml:space="preserve"> It began with cleaning the seeds with plenty of drinking water</w:t>
      </w:r>
      <w:r w:rsidR="004970E4">
        <w:t>;</w:t>
      </w:r>
      <w:r w:rsidRPr="00D40721">
        <w:t xml:space="preserve"> subsequently</w:t>
      </w:r>
      <w:r w:rsidR="004970E4">
        <w:t>,</w:t>
      </w:r>
      <w:r w:rsidRPr="00D40721">
        <w:t xml:space="preserve"> the seeds were hydrated in a 1:10 ratio for 12 h, then the hydrated seeds went through a grinding process in which they were mixed with water at 100 °C for 0.083 h in an electric blender at maximum speed </w:t>
      </w:r>
      <w:r>
        <w:rPr>
          <w:lang w:val="es-CO"/>
        </w:rPr>
        <w:fldChar w:fldCharType="begin" w:fldLock="1"/>
      </w:r>
      <w:r w:rsidR="00EA3650">
        <w:instrText>ADDIN CSL_CITATION {"citationItems":[{"id":"ITEM-1","itemData":{"ISSN":"2343-6115","abstract":"RESUMEN El creciente interés de la industria alimentaria por ofrecer alternativas ante la demanda mundial de alimentos, ha contribuido a que se desarrollen nuevos productos alimenticios que permitan aprovechar y conservar las materias primas utilizadas para la elaboración de los mismos y representen una nueva opción de consumo para la población a la cual van dirigidos. El propósito de esta investigación fue evaluar las características químicas y sensoriales de una crema para untar a base de una mezcla de leche de soya y leche de ajonjolí, para cumplirlo se aplicó un diseño experimental de mezclas de dos componentes (proporción de leche de soya y proporción de leche de ajonjolí) mediante el cual se establecieron cinco protocolos para la elaboración de la mezcla. Posteriormente se realizó la valoración sensorial a un panel de 100 consumidores, a través de una escala no estructurada, para evaluar olor, sabor, textura y untabilidad. La crema para untar que obtuvo mayor aceptabilidad fue elaborada con la mezcla A (90% leche de soya-10% leche de ajonjolí); los datos de los atributos textura y untabilidad permitieron desarrollar modelos que mostraron el efecto de las concentraciones de leche de soya y leche de ajonjolí en estos atributos, pero solo el modelo respectivo a la textura permitió estimar que la mejor textura en la crema para untar se obtiene con un 71,25% de leche de soya y 28,75% de leche de ajonjolí, para alcanzar una respuesta de 6,482 en la textura. Finalmente se evaluaron las características químicas de la crema para untar obteniendo que, comparado con otro alimento untable como la mayonesa, este nuevo producto presenta un balance nutricional con mayor contenido de proteínas y menor proporción de grasa. Palabras clave: Diseño de mezcla, emulsión, simplex-lattice.","author":[{"dropping-particle":"","family":"Moncada","given":"Jaramis","non-dropping-particle":"","parse-names":false,"suffix":""},{"dropping-particle":"","family":"Durán","given":"Luis","non-dropping-particle":"","parse-names":false,"suffix":""},{"dropping-particle":"","family":"García","given":"Tonny","non-dropping-particle":"","parse-names":false,"suffix":""},{"dropping-particle":"","family":"Roberti","given":"Daniel","non-dropping-particle":"","parse-names":false,"suffix":""}],"container-title":"Revista científica A.S.A","id":"ITEM-1","issued":{"date-parts":[["2019"]]},"page":"24-47","title":"Chemical and sensory evaluation of a cream based soy milk (Glicine max) and ajonjolí milk (Sesamum indicum)","type":"article-journal","volume":"23"},"uris":["http://www.mendeley.com/documents/?uuid=e7ebd8d3-70fd-4376-8897-fda009a14376"]}],"mendeley":{"formattedCitation":"(Moncada et al., 2019)","plainTextFormattedCitation":"(Moncada et al., 2019)","previouslyFormattedCitation":"(Moncada et al., 2019)"},"properties":{"noteIndex":0},"schema":"https://github.com/citation-style-language/schema/raw/master/csl-citation.json"}</w:instrText>
      </w:r>
      <w:r>
        <w:rPr>
          <w:lang w:val="es-CO"/>
        </w:rPr>
        <w:fldChar w:fldCharType="separate"/>
      </w:r>
      <w:r w:rsidRPr="00D40721">
        <w:rPr>
          <w:noProof/>
        </w:rPr>
        <w:t>(Moncada et al., 2019)</w:t>
      </w:r>
      <w:r>
        <w:rPr>
          <w:lang w:val="es-CO"/>
        </w:rPr>
        <w:fldChar w:fldCharType="end"/>
      </w:r>
      <w:r w:rsidRPr="00D40721">
        <w:t>.</w:t>
      </w:r>
      <w:r>
        <w:t xml:space="preserve"> </w:t>
      </w:r>
      <w:r w:rsidRPr="00D40721">
        <w:t xml:space="preserve">The above mixture was filtered and pasteurized at a temperature of 75 °C for 0.33 h and then cooled in water to 4 °C, then heated to 40 °C. </w:t>
      </w:r>
    </w:p>
    <w:p w14:paraId="2F77B053" w14:textId="4FC6AF41" w:rsidR="004B5468" w:rsidRDefault="004F3EE4" w:rsidP="00DD2D8E">
      <w:pPr>
        <w:pStyle w:val="CETBodytext"/>
      </w:pPr>
      <w:r w:rsidRPr="004F3EE4">
        <w:t>The product obtained was homogenized using 0.02 g/kg of the lyophilized commercial culture VEGE 053 LYO 200 DCU, and then mixed for 0.17 h</w:t>
      </w:r>
      <w:r w:rsidR="00D40721" w:rsidRPr="00D40721">
        <w:t>. Then, the mixture was placed in 0.18 L glass bottles, which in turn were placed in MV Power model SNJ-159B electric incubators, for 10 h at 40 °C. After 10 h, the fermented product was homogenized, tempered, packaged, and refrigerated at 4 °C.</w:t>
      </w:r>
      <w:r w:rsidR="004B5468">
        <w:t xml:space="preserve"> </w:t>
      </w:r>
      <w:r w:rsidR="000C7F81" w:rsidRPr="000C7F81">
        <w:t xml:space="preserve">In the fermentations, two factors were used for the sesame/water ratio (%w/w), which were </w:t>
      </w:r>
      <w:r w:rsidR="00941F62">
        <w:t>S</w:t>
      </w:r>
      <w:r w:rsidR="000C7F81" w:rsidRPr="000C7F81">
        <w:t xml:space="preserve">1:3 and </w:t>
      </w:r>
      <w:r w:rsidR="00941F62">
        <w:t>S</w:t>
      </w:r>
      <w:r w:rsidR="000C7F81" w:rsidRPr="000C7F81">
        <w:t xml:space="preserve">1:5. In addition, bee pollen was added to these same ratios in a ratio of 1:100 (% w/w). At the end of the experiments, bee honey was added in a ratio of 10:100 (%w/w), named </w:t>
      </w:r>
      <w:r w:rsidR="00941F62">
        <w:t>S</w:t>
      </w:r>
      <w:r w:rsidR="000C7F81" w:rsidRPr="000C7F81">
        <w:t xml:space="preserve">1:3P and </w:t>
      </w:r>
      <w:r w:rsidR="00941F62">
        <w:t>S</w:t>
      </w:r>
      <w:r w:rsidR="000C7F81" w:rsidRPr="000C7F81">
        <w:t>1:5P.</w:t>
      </w:r>
    </w:p>
    <w:p w14:paraId="0946B11C" w14:textId="77777777" w:rsidR="0014255C" w:rsidRDefault="003831B7" w:rsidP="0014255C">
      <w:pPr>
        <w:pStyle w:val="CETBodytext"/>
        <w:keepNext/>
      </w:pPr>
      <w:r>
        <w:rPr>
          <w:noProof/>
        </w:rPr>
        <w:lastRenderedPageBreak/>
        <w:drawing>
          <wp:inline distT="0" distB="0" distL="0" distR="0" wp14:anchorId="5651F481" wp14:editId="6BC7D70F">
            <wp:extent cx="3579962" cy="1531441"/>
            <wp:effectExtent l="0" t="0" r="1905" b="0"/>
            <wp:docPr id="1575312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6973" cy="1555829"/>
                    </a:xfrm>
                    <a:prstGeom prst="rect">
                      <a:avLst/>
                    </a:prstGeom>
                    <a:noFill/>
                  </pic:spPr>
                </pic:pic>
              </a:graphicData>
            </a:graphic>
          </wp:inline>
        </w:drawing>
      </w:r>
    </w:p>
    <w:p w14:paraId="5B7E89B4" w14:textId="3550999A" w:rsidR="00260DDA" w:rsidRDefault="0014255C" w:rsidP="0014255C">
      <w:pPr>
        <w:pStyle w:val="CET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260DDA">
        <w:t>Diagram of the lactic fermentation process of the sesame-based</w:t>
      </w:r>
      <w:r>
        <w:t xml:space="preserve"> beverage, P:pollen.</w:t>
      </w:r>
    </w:p>
    <w:p w14:paraId="3C272EF3" w14:textId="63E62B13" w:rsidR="00D40721" w:rsidRDefault="00D40721" w:rsidP="00A1767B">
      <w:pPr>
        <w:pStyle w:val="CETBodytext"/>
        <w:rPr>
          <w:lang w:val="es-CO"/>
        </w:rPr>
      </w:pPr>
      <w:r w:rsidRPr="00D40721">
        <w:t>Fermentation was monitored by taking samples of 0.015 L every 2 h, during which time the pH, titratable acidity (measured as g lactic acid/)</w:t>
      </w:r>
      <w:r w:rsidR="004970E4">
        <w:t>,</w:t>
      </w:r>
      <w:r w:rsidRPr="00D40721">
        <w:t xml:space="preserve"> and total soluble solids (measured as °Brix) were measured. The pH and volatile acidity were monitored while the fermentation process was carried out using a portable pH meter model HI 9813-6 brand Hanna instrument. The titratable acidity was carried out by the potentiometric method following the guidelines given in the official method AOAC 937.05. The titration was carried out with a previously prepared solution of 0.1 [M] NaOH, using 3 drops of 5</w:t>
      </w:r>
      <w:r w:rsidR="00822E22">
        <w:t xml:space="preserve"> </w:t>
      </w:r>
      <w:r w:rsidRPr="00D40721">
        <w:t xml:space="preserve">% phenolphthalein as an indicator. For all the samples that were worked, considering that the turning point of phenolphthalein occurs at a pH = 8.2 ± 0.1. Once the tests were completed, the acidity (g/L) of each replicate sample was determined using Eq. </w:t>
      </w:r>
      <w:r w:rsidRPr="00D40721">
        <w:rPr>
          <w:lang w:val="es-CO"/>
        </w:rPr>
        <w:t>(1):</w:t>
      </w:r>
    </w:p>
    <w:tbl>
      <w:tblPr>
        <w:tblW w:w="5000" w:type="pct"/>
        <w:tblLook w:val="04A0" w:firstRow="1" w:lastRow="0" w:firstColumn="1" w:lastColumn="0" w:noHBand="0" w:noVBand="1"/>
      </w:tblPr>
      <w:tblGrid>
        <w:gridCol w:w="7986"/>
        <w:gridCol w:w="801"/>
      </w:tblGrid>
      <w:tr w:rsidR="00790928" w:rsidRPr="00B57B36" w14:paraId="650EA963" w14:textId="77777777" w:rsidTr="00790928">
        <w:tc>
          <w:tcPr>
            <w:tcW w:w="7986" w:type="dxa"/>
            <w:shd w:val="clear" w:color="auto" w:fill="auto"/>
            <w:vAlign w:val="center"/>
          </w:tcPr>
          <w:p w14:paraId="2D706788" w14:textId="43BA949B" w:rsidR="00790928" w:rsidRPr="002709C2" w:rsidRDefault="00DB18D0" w:rsidP="00E70147">
            <w:pPr>
              <w:pStyle w:val="CETEquation"/>
            </w:pPr>
            <m:oMathPara>
              <m:oMathParaPr>
                <m:jc m:val="left"/>
              </m:oMathParaPr>
              <m:oMath>
                <m:r>
                  <w:rPr>
                    <w:rFonts w:ascii="Cambria Math" w:hAnsi="Cambria Math"/>
                  </w:rPr>
                  <m:t>% Acid lactic [g/L]=</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∙C∙F</m:t>
                        </m:r>
                      </m:num>
                      <m:den>
                        <m:sSub>
                          <m:sSubPr>
                            <m:ctrlPr>
                              <w:rPr>
                                <w:rFonts w:ascii="Cambria Math" w:hAnsi="Cambria Math"/>
                                <w:i/>
                              </w:rPr>
                            </m:ctrlPr>
                          </m:sSubPr>
                          <m:e>
                            <m:r>
                              <w:rPr>
                                <w:rFonts w:ascii="Cambria Math" w:hAnsi="Cambria Math"/>
                              </w:rPr>
                              <m:t>V</m:t>
                            </m:r>
                          </m:e>
                          <m:sub>
                            <m:r>
                              <w:rPr>
                                <w:rFonts w:ascii="Cambria Math" w:hAnsi="Cambria Math"/>
                              </w:rPr>
                              <m:t>m</m:t>
                            </m:r>
                          </m:sub>
                        </m:sSub>
                      </m:den>
                    </m:f>
                  </m:e>
                </m:d>
                <m:r>
                  <w:rPr>
                    <w:rFonts w:ascii="Cambria Math" w:hAnsi="Cambria Math"/>
                  </w:rPr>
                  <m:t>∙100</m:t>
                </m:r>
              </m:oMath>
            </m:oMathPara>
          </w:p>
        </w:tc>
        <w:tc>
          <w:tcPr>
            <w:tcW w:w="801" w:type="dxa"/>
            <w:shd w:val="clear" w:color="auto" w:fill="auto"/>
            <w:vAlign w:val="center"/>
          </w:tcPr>
          <w:p w14:paraId="4C4097DC" w14:textId="77777777" w:rsidR="00790928" w:rsidRPr="00B57B36" w:rsidRDefault="00790928" w:rsidP="00E70147">
            <w:pPr>
              <w:pStyle w:val="CETEquation"/>
              <w:jc w:val="right"/>
            </w:pPr>
            <w:r w:rsidRPr="00B57B36">
              <w:t>(1)</w:t>
            </w:r>
          </w:p>
        </w:tc>
      </w:tr>
    </w:tbl>
    <w:p w14:paraId="29D1791C" w14:textId="61BA9511" w:rsidR="00247F7A" w:rsidRPr="00247F7A" w:rsidRDefault="00D40721" w:rsidP="00247F7A">
      <w:pPr>
        <w:pStyle w:val="CETBodytext"/>
      </w:pPr>
      <w:r w:rsidRPr="00247F7A">
        <w:t>Where</w:t>
      </w:r>
      <w:r w:rsidR="002709C2" w:rsidRPr="00247F7A">
        <w:t xml:space="preserve"> </w:t>
      </w:r>
      <m:oMath>
        <m:sSub>
          <m:sSubPr>
            <m:ctrlPr>
              <w:rPr>
                <w:rFonts w:ascii="Cambria Math" w:hAnsi="Cambria Math"/>
                <w:i/>
                <w:lang w:val="en-GB"/>
              </w:rPr>
            </m:ctrlPr>
          </m:sSubPr>
          <m:e>
            <m:r>
              <w:rPr>
                <w:rFonts w:ascii="Cambria Math" w:hAnsi="Cambria Math"/>
              </w:rPr>
              <m:t>V</m:t>
            </m:r>
          </m:e>
          <m:sub>
            <m:r>
              <w:rPr>
                <w:rFonts w:ascii="Cambria Math" w:hAnsi="Cambria Math"/>
              </w:rPr>
              <m:t>g</m:t>
            </m:r>
          </m:sub>
        </m:sSub>
      </m:oMath>
      <w:r w:rsidR="002709C2" w:rsidRPr="00247F7A">
        <w:t xml:space="preserve"> </w:t>
      </w:r>
      <w:r w:rsidRPr="00247F7A">
        <w:t>is the spent volume of NaOH in ml</w:t>
      </w:r>
      <w:r w:rsidR="002709C2" w:rsidRPr="00247F7A">
        <w:t xml:space="preserve">, </w:t>
      </w:r>
      <m:oMath>
        <m:r>
          <w:rPr>
            <w:rFonts w:ascii="Cambria Math" w:hAnsi="Cambria Math"/>
          </w:rPr>
          <m:t>C</m:t>
        </m:r>
      </m:oMath>
      <w:r w:rsidR="002709C2" w:rsidRPr="00247F7A">
        <w:t xml:space="preserve"> </w:t>
      </w:r>
      <w:r w:rsidR="00247F7A" w:rsidRPr="00247F7A">
        <w:t xml:space="preserve">is the concentration of </w:t>
      </w:r>
      <w:r w:rsidR="002709C2" w:rsidRPr="00247F7A">
        <w:t>NaOH [</w:t>
      </w:r>
      <w:r w:rsidR="00E616BA" w:rsidRPr="00247F7A">
        <w:t>M</w:t>
      </w:r>
      <w:r w:rsidR="002709C2" w:rsidRPr="00247F7A">
        <w:t xml:space="preserve">], y </w:t>
      </w:r>
      <m:oMath>
        <m:sSub>
          <m:sSubPr>
            <m:ctrlPr>
              <w:rPr>
                <w:rFonts w:ascii="Cambria Math" w:hAnsi="Cambria Math"/>
                <w:i/>
                <w:lang w:val="en-GB"/>
              </w:rPr>
            </m:ctrlPr>
          </m:sSubPr>
          <m:e>
            <m:r>
              <w:rPr>
                <w:rFonts w:ascii="Cambria Math" w:hAnsi="Cambria Math"/>
              </w:rPr>
              <m:t>V</m:t>
            </m:r>
          </m:e>
          <m:sub>
            <m:r>
              <w:rPr>
                <w:rFonts w:ascii="Cambria Math" w:hAnsi="Cambria Math"/>
              </w:rPr>
              <m:t>m</m:t>
            </m:r>
          </m:sub>
        </m:sSub>
      </m:oMath>
      <w:r w:rsidR="002709C2" w:rsidRPr="00247F7A">
        <w:t xml:space="preserve"> </w:t>
      </w:r>
      <w:r w:rsidR="00247F7A" w:rsidRPr="00247F7A">
        <w:t>m is the volume of the sample in ml, and F is the correction factor for lactic acid equivalent</w:t>
      </w:r>
      <w:r w:rsidR="00BD52EA">
        <w:t xml:space="preserve">. </w:t>
      </w:r>
      <w:r w:rsidR="00247F7A" w:rsidRPr="00247F7A">
        <w:t>At the end of the experiments, the volumetric productivity was quantified using Eq. (2), where the difference in concentration of lactic acid (g/</w:t>
      </w:r>
      <w:r w:rsidR="00247F7A">
        <w:t>L</w:t>
      </w:r>
      <w:r w:rsidR="00247F7A" w:rsidRPr="00247F7A">
        <w:t>) in the samples is calculated between the time it took to carry out the fermentation:</w:t>
      </w:r>
    </w:p>
    <w:tbl>
      <w:tblPr>
        <w:tblW w:w="5000" w:type="pct"/>
        <w:tblLook w:val="04A0" w:firstRow="1" w:lastRow="0" w:firstColumn="1" w:lastColumn="0" w:noHBand="0" w:noVBand="1"/>
      </w:tblPr>
      <w:tblGrid>
        <w:gridCol w:w="7986"/>
        <w:gridCol w:w="801"/>
      </w:tblGrid>
      <w:tr w:rsidR="00907CAC" w:rsidRPr="00B57B36" w14:paraId="27540E18" w14:textId="77777777" w:rsidTr="00E70147">
        <w:tc>
          <w:tcPr>
            <w:tcW w:w="7986" w:type="dxa"/>
            <w:shd w:val="clear" w:color="auto" w:fill="auto"/>
            <w:vAlign w:val="center"/>
          </w:tcPr>
          <w:p w14:paraId="1E30B5B7" w14:textId="51A6CFCC" w:rsidR="00907CAC" w:rsidRPr="002709C2" w:rsidRDefault="008F09D6" w:rsidP="00E70147">
            <w:pPr>
              <w:pStyle w:val="CETEquation"/>
            </w:pPr>
            <m:oMathPara>
              <m:oMathParaPr>
                <m:jc m:val="left"/>
              </m:oMathParaPr>
              <m:oMath>
                <m:r>
                  <w:rPr>
                    <w:rFonts w:ascii="Cambria Math" w:hAnsi="Cambria Math"/>
                  </w:rPr>
                  <m:t>Volumetric productivity=</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s</m:t>
                            </m:r>
                          </m:sub>
                        </m:sSub>
                      </m:num>
                      <m:den>
                        <m:r>
                          <w:rPr>
                            <w:rFonts w:ascii="Cambria Math" w:hAnsi="Cambria Math"/>
                          </w:rPr>
                          <m:t>t</m:t>
                        </m:r>
                      </m:den>
                    </m:f>
                  </m:e>
                </m:d>
                <m:r>
                  <w:rPr>
                    <w:rFonts w:ascii="Cambria Math" w:hAnsi="Cambria Math"/>
                  </w:rPr>
                  <m:t>∙100</m:t>
                </m:r>
              </m:oMath>
            </m:oMathPara>
          </w:p>
        </w:tc>
        <w:tc>
          <w:tcPr>
            <w:tcW w:w="801" w:type="dxa"/>
            <w:shd w:val="clear" w:color="auto" w:fill="auto"/>
            <w:vAlign w:val="center"/>
          </w:tcPr>
          <w:p w14:paraId="4DB802E6" w14:textId="46ED1D49" w:rsidR="00907CAC" w:rsidRPr="00B57B36" w:rsidRDefault="00907CAC" w:rsidP="00E70147">
            <w:pPr>
              <w:pStyle w:val="CETEquation"/>
              <w:jc w:val="right"/>
            </w:pPr>
            <w:r w:rsidRPr="00B57B36">
              <w:t>(</w:t>
            </w:r>
            <w:r>
              <w:t>2</w:t>
            </w:r>
            <w:r w:rsidRPr="00B57B36">
              <w:t>)</w:t>
            </w:r>
          </w:p>
        </w:tc>
      </w:tr>
    </w:tbl>
    <w:p w14:paraId="7116CFDF" w14:textId="08A53897" w:rsidR="00843962" w:rsidRPr="00843962" w:rsidRDefault="00843962" w:rsidP="00A1767B">
      <w:pPr>
        <w:pStyle w:val="CETBodytext"/>
      </w:pPr>
      <w:r w:rsidRPr="00843962">
        <w:t xml:space="preserve">Where </w:t>
      </w:r>
      <m:oMath>
        <m:sSub>
          <m:sSubPr>
            <m:ctrlPr>
              <w:rPr>
                <w:rFonts w:ascii="Cambria Math" w:hAnsi="Cambria Math"/>
                <w:i/>
                <w:lang w:val="en-GB"/>
              </w:rPr>
            </m:ctrlPr>
          </m:sSubPr>
          <m:e>
            <m:r>
              <w:rPr>
                <w:rFonts w:ascii="Cambria Math" w:hAnsi="Cambria Math"/>
              </w:rPr>
              <m:t>x</m:t>
            </m:r>
          </m:e>
          <m:sub>
            <m:r>
              <w:rPr>
                <w:rFonts w:ascii="Cambria Math" w:hAnsi="Cambria Math"/>
              </w:rPr>
              <m:t>e</m:t>
            </m:r>
          </m:sub>
        </m:sSub>
      </m:oMath>
      <w:r w:rsidRPr="00843962">
        <w:t xml:space="preserve"> and </w:t>
      </w:r>
      <m:oMath>
        <m:sSub>
          <m:sSubPr>
            <m:ctrlPr>
              <w:rPr>
                <w:rFonts w:ascii="Cambria Math" w:hAnsi="Cambria Math"/>
                <w:i/>
                <w:lang w:val="en-GB"/>
              </w:rPr>
            </m:ctrlPr>
          </m:sSubPr>
          <m:e>
            <m:r>
              <w:rPr>
                <w:rFonts w:ascii="Cambria Math" w:hAnsi="Cambria Math"/>
              </w:rPr>
              <m:t>x</m:t>
            </m:r>
          </m:e>
          <m:sub>
            <m:r>
              <w:rPr>
                <w:rFonts w:ascii="Cambria Math" w:hAnsi="Cambria Math"/>
              </w:rPr>
              <m:t>s</m:t>
            </m:r>
          </m:sub>
        </m:sSub>
      </m:oMath>
      <w:r w:rsidRPr="00843962">
        <w:t xml:space="preserve"> correspond to the lactic acid concentrations at the beginning and end of fermentation, and</w:t>
      </w:r>
      <w:r w:rsidR="00625FB1">
        <w:t xml:space="preserve"> </w:t>
      </w:r>
      <m:oMath>
        <m:r>
          <w:rPr>
            <w:rFonts w:ascii="Cambria Math" w:hAnsi="Cambria Math"/>
          </w:rPr>
          <m:t>t</m:t>
        </m:r>
      </m:oMath>
      <w:r w:rsidR="00625FB1" w:rsidRPr="00843962">
        <w:t xml:space="preserve"> </w:t>
      </w:r>
      <w:r w:rsidRPr="00843962">
        <w:t>is the fermentation time.</w:t>
      </w:r>
    </w:p>
    <w:p w14:paraId="6F691E0F" w14:textId="2EF75C76" w:rsidR="009154E0" w:rsidRPr="009154E0" w:rsidRDefault="007E2B89" w:rsidP="009154E0">
      <w:pPr>
        <w:pStyle w:val="CETheadingx"/>
      </w:pPr>
      <w:r w:rsidRPr="007E2B89">
        <w:t>Sensory evaluation</w:t>
      </w:r>
    </w:p>
    <w:p w14:paraId="3F3E37CA" w14:textId="5EE64CE4" w:rsidR="00C1018C" w:rsidRPr="00C1018C" w:rsidRDefault="00C1018C" w:rsidP="00A1767B">
      <w:pPr>
        <w:pStyle w:val="CETBodytext"/>
      </w:pPr>
      <w:r w:rsidRPr="00C1018C">
        <w:t>The development process of new food products requires the application of sensory evaluation techniques, which have the purpose of acquiring valuable information related to the sensory characteristics and possible acceptability of experimental foods</w:t>
      </w:r>
      <w:r>
        <w:t xml:space="preserve"> </w:t>
      </w:r>
      <w:r>
        <w:rPr>
          <w:lang w:val="es-CO"/>
        </w:rPr>
        <w:fldChar w:fldCharType="begin" w:fldLock="1"/>
      </w:r>
      <w:r>
        <w:instrText>ADDIN CSL_CITATION {"citationItems":[{"id":"ITEM-1","itemData":{"DOI":"10.1111/j.1471-0307.2011.00722.x","author":[{"dropping-particle":"","family":"Cruz","given":"Adriano","non-dropping-particle":"","parse-names":false,"suffix":""},{"dropping-particle":"","family":"Cadena","given":"Santos","non-dropping-particle":"","parse-names":false,"suffix":""},{"dropping-particle":"","family":"Faria","given":"José","non-dropping-particle":"","parse-names":false,"suffix":""},{"dropping-particle":"","family":"Oliveira","given":"Carlos","non-dropping-particle":"","parse-names":false,"suffix":""},{"dropping-particle":"","family":"Cavalcanti","given":"Rodrigo","non-dropping-particle":"","parse-names":false,"suffix":""},{"dropping-particle":"","family":"Bona","given":"Evadro","non-dropping-particle":"","parse-names":false,"suffix":""},{"dropping-particle":"","family":"Bolini","given":"Helena","non-dropping-particle":"","parse-names":false,"suffix":""},{"dropping-particle":"","family":"Silva","given":"María","non-dropping-particle":"Da","parse-names":false,"suffix":""}],"container-title":"International Journal of Dairy Technology","id":"ITEM-1","issue":"4","issued":{"date-parts":[["2011"]]},"page":"549-556","title":"Consumer acceptability and purchase intent of probiotic yoghurt with added glucose oxidase using sensometrics, artificial neural networks and logistic regression","type":"article-journal","volume":"64"},"uris":["http://www.mendeley.com/documents/?uuid=f596a23d-16ed-4ae0-83ea-fad5844aa7a1"]}],"mendeley":{"formattedCitation":"(Cruz et al., 2011)","plainTextFormattedCitation":"(Cruz et al., 2011)","previouslyFormattedCitation":"(Cruz et al., 2011)"},"properties":{"noteIndex":0},"schema":"https://github.com/citation-style-language/schema/raw/master/csl-citation.json"}</w:instrText>
      </w:r>
      <w:r>
        <w:rPr>
          <w:lang w:val="es-CO"/>
        </w:rPr>
        <w:fldChar w:fldCharType="separate"/>
      </w:r>
      <w:r w:rsidRPr="00C1018C">
        <w:rPr>
          <w:noProof/>
        </w:rPr>
        <w:t>(Cruz et al., 2011)</w:t>
      </w:r>
      <w:r>
        <w:rPr>
          <w:lang w:val="es-CO"/>
        </w:rPr>
        <w:fldChar w:fldCharType="end"/>
      </w:r>
      <w:r w:rsidRPr="00C1018C">
        <w:t xml:space="preserve">. In this research, an analysis of sensory preferences was carried out, focusing specifically on the consumer, to determine the level of acceptance of the manufactured beverages. In addition, a descriptive analysis was carried out focused on the distinctive characteristics of the products. </w:t>
      </w:r>
      <w:r w:rsidR="00387ECC" w:rsidRPr="00387ECC">
        <w:t>The sensory evaluation was carried out for the samples studied with the addition of honey, for which the letter "H" was added, leaving: S1:3H, S1:5H, S1:3PH, and S1:5PH.</w:t>
      </w:r>
      <w:r w:rsidR="00BD52EA">
        <w:t xml:space="preserve"> </w:t>
      </w:r>
      <w:r w:rsidR="00387ECC">
        <w:t>T</w:t>
      </w:r>
      <w:r w:rsidRPr="00C1018C">
        <w:t xml:space="preserve">he survey was applied to a group of 15 people, randomly selected from the population of Cartagena de Indias in Bolívar, between 18 and 60 years of age. Seven specific attributes were evaluated in the surveys: appearance, consistency, color, characteristic </w:t>
      </w:r>
      <w:r w:rsidR="00155F02">
        <w:t>smell</w:t>
      </w:r>
      <w:r w:rsidRPr="00C1018C">
        <w:t xml:space="preserve">, sour taste, sweet taste, characteristic flavor, and general acceptability. To facilitate a more precise evaluation, a quantitative scale was used with a five-point qualitative scale, in which the options ranged from: Like (1), Neither like nor dislike (4), </w:t>
      </w:r>
      <w:r w:rsidR="003E7D59">
        <w:t xml:space="preserve">and </w:t>
      </w:r>
      <w:r w:rsidRPr="00C1018C">
        <w:t>Dislike (5)</w:t>
      </w:r>
      <w:r>
        <w:t xml:space="preserve"> </w:t>
      </w:r>
      <w:r>
        <w:fldChar w:fldCharType="begin" w:fldLock="1"/>
      </w:r>
      <w:r w:rsidR="00D307FA">
        <w:instrText>ADDIN CSL_CITATION {"citationItems":[{"id":"ITEM-1","itemData":{"author":[{"dropping-particle":"","family":"Benavides Martín","given":"María Angélica","non-dropping-particle":"","parse-names":false,"suffix":""}],"id":"ITEM-1","issued":{"date-parts":[["2019"]]},"number-of-pages":"274","publisher":"Universidad Nacional de Colombia. Bogotá, D.C.","title":"Application of lactic fermentation as a strategy for the transformation and valorization of vegetable matrices","type":"thesis"},"uris":["http://www.mendeley.com/documents/?uuid=f821474d-1375-4005-aacd-bb9188975784"]}],"mendeley":{"formattedCitation":"(Benavides Martín, 2019)","plainTextFormattedCitation":"(Benavides Martín, 2019)","previouslyFormattedCitation":"(Benavides Martín, 2019)"},"properties":{"noteIndex":0},"schema":"https://github.com/citation-style-language/schema/raw/master/csl-citation.json"}</w:instrText>
      </w:r>
      <w:r>
        <w:fldChar w:fldCharType="separate"/>
      </w:r>
      <w:r w:rsidRPr="00C1018C">
        <w:rPr>
          <w:noProof/>
        </w:rPr>
        <w:t>(Benavides Martín, 2019)</w:t>
      </w:r>
      <w:r>
        <w:fldChar w:fldCharType="end"/>
      </w:r>
      <w:r>
        <w:t>.</w:t>
      </w:r>
    </w:p>
    <w:p w14:paraId="764B7297" w14:textId="7D2BAA31" w:rsidR="00E2376F" w:rsidRDefault="00CD3EA6" w:rsidP="00CD3EA6">
      <w:pPr>
        <w:pStyle w:val="CETHeading1"/>
        <w:rPr>
          <w:lang w:val="en-GB"/>
        </w:rPr>
      </w:pPr>
      <w:r w:rsidRPr="00CD3EA6">
        <w:rPr>
          <w:lang w:val="en-GB"/>
        </w:rPr>
        <w:t>Results and</w:t>
      </w:r>
      <w:r w:rsidR="0051434F">
        <w:rPr>
          <w:lang w:val="en-GB"/>
        </w:rPr>
        <w:t xml:space="preserve"> </w:t>
      </w:r>
      <w:r w:rsidR="0051434F" w:rsidRPr="0051434F">
        <w:rPr>
          <w:lang w:val="en-GB"/>
        </w:rPr>
        <w:t>Discussion</w:t>
      </w:r>
    </w:p>
    <w:p w14:paraId="04963A06" w14:textId="080342D8" w:rsidR="00600535" w:rsidRPr="00B57B36" w:rsidRDefault="00BA7876" w:rsidP="00FA5F5F">
      <w:pPr>
        <w:pStyle w:val="CETheadingx"/>
      </w:pPr>
      <w:r w:rsidRPr="00BA7876">
        <w:t>Analysis of the parameters of the fermentation process</w:t>
      </w:r>
    </w:p>
    <w:p w14:paraId="1CA3FD73" w14:textId="6FD09DC5" w:rsidR="00A551B6" w:rsidRPr="00A551B6" w:rsidRDefault="002B16EF" w:rsidP="00BA7876">
      <w:pPr>
        <w:pStyle w:val="CETBodytext"/>
      </w:pPr>
      <w:r>
        <w:fldChar w:fldCharType="begin"/>
      </w:r>
      <w:r>
        <w:instrText xml:space="preserve"> REF _Ref156077540 \h </w:instrText>
      </w:r>
      <w:r>
        <w:fldChar w:fldCharType="separate"/>
      </w:r>
      <w:r>
        <w:t xml:space="preserve">Figure </w:t>
      </w:r>
      <w:r>
        <w:rPr>
          <w:noProof/>
        </w:rPr>
        <w:t>2</w:t>
      </w:r>
      <w:r>
        <w:fldChar w:fldCharType="end"/>
      </w:r>
      <w:r>
        <w:t xml:space="preserve"> </w:t>
      </w:r>
      <w:r w:rsidR="00A551B6" w:rsidRPr="00A551B6">
        <w:t xml:space="preserve">shows the variation of pH with respect to time for samples prepared from sesame </w:t>
      </w:r>
      <w:r w:rsidR="00116A30" w:rsidRPr="003F57DD">
        <w:t>(</w:t>
      </w:r>
      <w:r w:rsidR="00116A30" w:rsidRPr="003F57DD">
        <w:rPr>
          <w:i/>
          <w:iCs/>
        </w:rPr>
        <w:t>Sesamum indicum L</w:t>
      </w:r>
      <w:r w:rsidR="00116A30" w:rsidRPr="003F57DD">
        <w:t>.)</w:t>
      </w:r>
      <w:r w:rsidR="00116A30">
        <w:t xml:space="preserve"> </w:t>
      </w:r>
      <w:r w:rsidR="00A551B6" w:rsidRPr="00A551B6">
        <w:t xml:space="preserve">seeds with different wet </w:t>
      </w:r>
      <w:r w:rsidRPr="00A551B6">
        <w:t>grain: water</w:t>
      </w:r>
      <w:r w:rsidR="00A551B6" w:rsidRPr="00A551B6">
        <w:t xml:space="preserve"> ratios and the addition of pollen. The pH variation was evaluated with respect to the fermentation time, thus in the samples with sesame (S1:3 and S1:5)</w:t>
      </w:r>
      <w:r w:rsidR="002037FB">
        <w:t>,</w:t>
      </w:r>
      <w:r w:rsidR="00A551B6" w:rsidRPr="00A551B6">
        <w:t xml:space="preserve"> the pH was between 6.3 and 4.8 in a 10 h fermentation, while in the samples with sesame </w:t>
      </w:r>
      <w:r w:rsidR="00116A30" w:rsidRPr="003F57DD">
        <w:t>(</w:t>
      </w:r>
      <w:r w:rsidR="00116A30" w:rsidRPr="003F57DD">
        <w:rPr>
          <w:i/>
          <w:iCs/>
        </w:rPr>
        <w:t>Sesamum indicum L</w:t>
      </w:r>
      <w:r w:rsidR="00116A30" w:rsidRPr="003F57DD">
        <w:t>.)</w:t>
      </w:r>
      <w:r w:rsidR="00116A30">
        <w:t xml:space="preserve"> </w:t>
      </w:r>
      <w:r w:rsidR="00A551B6" w:rsidRPr="00A551B6">
        <w:t>and honey (S1:3P and S1:5P) the pH was between 5.4 and 4.4 in a 6-h fermentation, this makes a potential difference when adding pollen as the initial substrate of the fermentation with an ideal pH is a shorter time. A yogurt-type drink generally has pH values between 4 and 4.5, as for the fermentation time it will depend on the substrates used</w:t>
      </w:r>
      <w:r w:rsidR="00A551B6">
        <w:t xml:space="preserve"> </w:t>
      </w:r>
      <w:r w:rsidR="00A551B6">
        <w:rPr>
          <w:lang w:val="es-CO"/>
        </w:rPr>
        <w:fldChar w:fldCharType="begin" w:fldLock="1"/>
      </w:r>
      <w:r w:rsidR="00A551B6" w:rsidRPr="00A551B6">
        <w:instrText xml:space="preserve">ADDIN CSL_CITATION {"citationItems":[{"id":"ITEM-1","itemData":{"DOI":"10.1016/j.foodres.2019.04.057","abstract":"Selenium (Se), which is present as SeCys in seleno-proteins, is involved in cancer prevention, thyroid functioning, and pathogen inhibition. Se is incorporated in the diet through Se-containing foods. Some lactic acid bacteria (LAB) can biotransform selenite (toxic) into Se-nanoparticles (SeNPs) and Se-amino acids. To exert their beneficial properties in the host, bacteria should survive the harsh conditions of the gastrointestinal tract and during food storage. We evaluated whether selenization of LAB influenced bacterial growth and survival during gastrointestinal digestion and after storage when present in a fermented fruit juice-milk (FJM) beverage. Lactobacillus brevis CRL 2051 and Fructobacillus tropaeoli CRL 2034 were grown in MRS with and without selenite, and used to inoculate the FJM matrix. Selenization had no effect on LAB growth (9.54–9.9 log CFU/mL) in the FJM drink. The presence of SeNPs was confirmed for both selenized strains in the FJM beverage; however, the highest Se concentration (100 </w:instrText>
      </w:r>
      <w:r w:rsidR="00A551B6">
        <w:rPr>
          <w:lang w:val="es-CO"/>
        </w:rPr>
        <w:instrText>μ</w:instrText>
      </w:r>
      <w:r w:rsidR="00A551B6" w:rsidRPr="00A551B6">
        <w:instrText xml:space="preserve">g/L) was detected for the fermented beverage with selenized L. brevis. Under storage conditions 1.1 log CFU/ml decrease in cell count of selenized cells of L. brevis was observed, while no effect on cell viability was detected for non-selenized L. brevis or both selenized and control cells of F. tropaeoli. Resistance of L. brevis during digestion of the fermented FJM beverage was not affected by selenization. Contrarily, an increase (1 log CFU/mL) in the resistance of F. tropaeoli was observed when cells were selenized. After digestion, Se was detected in the soluble fraction of the beverage fermented by both strains, being higher for L. brevis (23.6 </w:instrText>
      </w:r>
      <w:r w:rsidR="00A551B6">
        <w:rPr>
          <w:lang w:val="es-CO"/>
        </w:rPr>
        <w:instrText>μ</w:instrText>
      </w:r>
      <w:r w:rsidR="00A551B6" w:rsidRPr="00A551B6">
        <w:instrText>g/L). Although selenization did not exert a drastic effect on strains´ survival during storage and digestion, microbial selenization previous to food fermentation could be an interesting tool for Se enrichment avoiding thus the addition of toxic Se salts.","author":[{"dropping-particle":"","family":"Martínez","given":"Fernando G.","non-dropping-particle":"","parse-names":false,"suffix":""},{"dropping-particle":"","family":"Cuencas Barrientos","given":"María E.","non-dropping-particle":"","parse-names":false,"suffix":""},{"dropping-particle":"","family":"Mozzi","given":"Fernanda","non-dropping-particle":"","parse-names":false,"suffix":""},{"dropping-particle":"","family":"Pescuma","given":"Micaela","non-dropping-particle":"","parse-names":false,"suffix":""}],"container-title":"Food Research International","id":"ITEM-1","issued":{"date-parts":[["2019"]]},"page":"115-124","publisher":"Elsevier","title":"Survival of selenium-enriched lactic acid bacteria in a fermented drink under storage and simulated gastro-intestinal digestion","type":"article-journal","volume":"123"},"uris":["http://www.mendeley.com/documents/?uuid=87ddc6ae-cc2f-4870-9d1d-2b2831a0b20d"]}],"mendeley":{"formattedCitation":"(Martínez et al., 2019)","plainTextFormattedCitation":"(Martínez et al., 2019)","previouslyFormattedCitation":"(Martínez et al., 2019)"},"properties":{"noteIndex":0},"schema":"https://github.com/citation-style-language/schema/raw/master/csl-citation.json"}</w:instrText>
      </w:r>
      <w:r w:rsidR="00A551B6">
        <w:rPr>
          <w:lang w:val="es-CO"/>
        </w:rPr>
        <w:fldChar w:fldCharType="separate"/>
      </w:r>
      <w:r w:rsidR="00A551B6" w:rsidRPr="00A551B6">
        <w:rPr>
          <w:noProof/>
        </w:rPr>
        <w:t xml:space="preserve">(Martínez </w:t>
      </w:r>
      <w:r w:rsidR="00A551B6" w:rsidRPr="00A551B6">
        <w:rPr>
          <w:noProof/>
        </w:rPr>
        <w:lastRenderedPageBreak/>
        <w:t>et al., 2019)</w:t>
      </w:r>
      <w:r w:rsidR="00A551B6">
        <w:rPr>
          <w:lang w:val="es-CO"/>
        </w:rPr>
        <w:fldChar w:fldCharType="end"/>
      </w:r>
      <w:r w:rsidR="00A551B6" w:rsidRPr="00A551B6">
        <w:t xml:space="preserve">. </w:t>
      </w:r>
      <w:r w:rsidR="00C37655">
        <w:t>In the literature have been reported</w:t>
      </w:r>
      <w:r w:rsidR="00AF1DC7">
        <w:t xml:space="preserve"> p</w:t>
      </w:r>
      <w:r w:rsidR="00A551B6" w:rsidRPr="00A551B6">
        <w:t>roducts obtained from rice flour and sesame</w:t>
      </w:r>
      <w:r w:rsidR="00116A30">
        <w:t xml:space="preserve"> </w:t>
      </w:r>
      <w:r w:rsidR="00116A30" w:rsidRPr="003F57DD">
        <w:t>(</w:t>
      </w:r>
      <w:r w:rsidR="00116A30" w:rsidRPr="003F57DD">
        <w:rPr>
          <w:i/>
          <w:iCs/>
        </w:rPr>
        <w:t>Sesamum indicum L</w:t>
      </w:r>
      <w:r w:rsidR="00116A30" w:rsidRPr="003F57DD">
        <w:t>.)</w:t>
      </w:r>
      <w:r w:rsidR="00A551B6" w:rsidRPr="00A551B6">
        <w:t xml:space="preserve"> seeds</w:t>
      </w:r>
      <w:r w:rsidR="00AF1DC7">
        <w:t xml:space="preserve"> </w:t>
      </w:r>
      <w:r w:rsidR="00A551B6" w:rsidRPr="00A551B6">
        <w:t>fermented with probiotic cultures</w:t>
      </w:r>
      <w:r w:rsidR="00AF1DC7">
        <w:t xml:space="preserve"> using </w:t>
      </w:r>
      <w:r w:rsidR="00A551B6" w:rsidRPr="00A551B6">
        <w:t>fermentation times between 2.5 to 3 h</w:t>
      </w:r>
      <w:r w:rsidR="00A551B6">
        <w:t xml:space="preserve"> </w:t>
      </w:r>
      <w:r w:rsidR="00A551B6">
        <w:rPr>
          <w:lang w:val="es-CO"/>
        </w:rPr>
        <w:fldChar w:fldCharType="begin" w:fldLock="1"/>
      </w:r>
      <w:r w:rsidR="00A551B6" w:rsidRPr="00A551B6">
        <w:instrText>ADDIN CSL_CITATION {"citationItems":[{"id":"ITEM-1","itemData":{"author":[{"dropping-particle":"","family":"Hernández-Monzón","given":"Aldo","non-dropping-particle":"","parse-names":false,"suffix":""},{"dropping-particle":"","family":"Madernás-Sánchez","given":"Daymí","non-dropping-particle":"","parse-names":false,"suffix":""},{"dropping-particle":"","family":"Pérez-Argüelles","given":"Raquel","non-dropping-particle":"","parse-names":false,"suffix":""},{"dropping-particle":"","family":"Trujillo-Pérez","given":"Graciela","non-dropping-particle":"","parse-names":false,"suffix":""},{"dropping-particle":"","family":"González-Góngora","given":"Iván","non-dropping-particle":"","parse-names":false,"suffix":""},{"dropping-particle":"","family":"Díaz-Abreu","given":"Julio","non-dropping-particle":"","parse-names":false,"suffix":""}],"container-title":"Chemical Technology","id":"ITEM-1","issue":"1","issued":{"date-parts":[["2019"]]},"page":"89-104","title":"Development of a drink made with rice flour and sesame (Sesamum Indicum) and fermented with probiotic crops","type":"article-journal","volume":"39"},"uris":["http://www.mendeley.com/documents/?uuid=79a22729-c567-4fa9-81f5-4ffa7f7581c4"]}],"mendeley":{"formattedCitation":"(Hernández-Monzón et al., 2019)","plainTextFormattedCitation":"(Hernández-Monzón et al., 2019)","previouslyFormattedCitation":"(Hernández-Monzón et al., 2019)"},"properties":{"noteIndex":0},"schema":"https://github.com/citation-style-language/schema/raw/master/csl-citation.json"}</w:instrText>
      </w:r>
      <w:r w:rsidR="00A551B6">
        <w:rPr>
          <w:lang w:val="es-CO"/>
        </w:rPr>
        <w:fldChar w:fldCharType="separate"/>
      </w:r>
      <w:r w:rsidR="00A551B6" w:rsidRPr="00A551B6">
        <w:rPr>
          <w:noProof/>
        </w:rPr>
        <w:t>(Hernández-Monzón et al., 2019)</w:t>
      </w:r>
      <w:r w:rsidR="00A551B6">
        <w:rPr>
          <w:lang w:val="es-CO"/>
        </w:rPr>
        <w:fldChar w:fldCharType="end"/>
      </w:r>
      <w:r w:rsidR="00A551B6" w:rsidRPr="00A551B6">
        <w:t>,</w:t>
      </w:r>
      <w:r w:rsidR="00A551B6">
        <w:t xml:space="preserve"> </w:t>
      </w:r>
      <w:r w:rsidR="00A551B6" w:rsidRPr="00A551B6">
        <w:t>an</w:t>
      </w:r>
      <w:r w:rsidR="002037FB">
        <w:t>d</w:t>
      </w:r>
      <w:r w:rsidR="00AF1DC7">
        <w:t xml:space="preserve"> </w:t>
      </w:r>
      <w:r w:rsidR="002037FB">
        <w:t>other substrates such as</w:t>
      </w:r>
      <w:r w:rsidR="00A551B6" w:rsidRPr="00A551B6">
        <w:t xml:space="preserve"> cereals (oats and rice) pH between 3.11 to 4.7</w:t>
      </w:r>
      <w:r w:rsidR="00A551B6">
        <w:t xml:space="preserve"> </w:t>
      </w:r>
      <w:r w:rsidR="00A551B6">
        <w:rPr>
          <w:lang w:val="es-CO"/>
        </w:rPr>
        <w:fldChar w:fldCharType="begin" w:fldLock="1"/>
      </w:r>
      <w:r w:rsidR="00A551B6" w:rsidRPr="00A551B6">
        <w:instrText>ADDIN CSL_CITATION {"citationItems":[{"id":"ITEM-1","itemData":{"DOI":"10.1016/j.heliyon.2020.e04920","ISSN":"24058440","abstract":"Studies of the ability of probiotics to ferment cereal flours are necessary to obtain products with enhanced nutritional value. In this study, Lactobacillus paracasei CBA-L74 was used to ferment cereal aqueous mixtures containing both oat (7.5% w/v) and rice flours (7.5% w/v), with and without glucose, to understand whether glucose addition could have any effect on growth and metabolism. Viability, pH, metabolites production during fermentation (24 h, 37 °C) and substrates reduction were analysed. The strain showed good growth in the cereal aqueous mixture both with and without glucose addition, but suspensions prepared with glucose showed the best results. A bacterial concentration of 7 log CFU mL−1, a pH value of 4.70 and lactic acid production of 1250 mg L−1 were achieved when fermentation was performed without glucose addition, while in the presence of glucose, a t24 bacterial growth of 8 log CFU mL−1 was reached, with a pH value of 3.11 and lactic acid production of 6050 mg L−1.","author":[{"dropping-particle":"","family":"Gallo","given":"Marianna","non-dropping-particle":"","parse-names":false,"suffix":""},{"dropping-particle":"","family":"Passannanti","given":"Francesca","non-dropping-particle":"","parse-names":false,"suffix":""},{"dropping-particle":"","family":"Colucci Cante","given":"Rosa","non-dropping-particle":"","parse-names":false,"suffix":""},{"dropping-particle":"","family":"Nigro","given":"Federica","non-dropping-particle":"","parse-names":false,"suffix":""},{"dropping-particle":"","family":"Schiattarella","given":"Paola","non-dropping-particle":"","parse-names":false,"suffix":""},{"dropping-particle":"","family":"Zappulla","given":"Salvatore","non-dropping-particle":"","parse-names":false,"suffix":""},{"dropping-particle":"","family":"Budelli","given":"Andrea","non-dropping-particle":"","parse-names":false,"suffix":""},{"dropping-particle":"","family":"Nigro","given":"Roberto","non-dropping-particle":"","parse-names":false,"suffix":""}],"container-title":"Heliyon","id":"ITEM-1","issue":"9","issued":{"date-parts":[["2020"]]},"page":"6","publisher":"Elsevier Ltd","title":"Lactic fermentation of cereals aqueous mixture of oat and rice flours with and without glucose addition","type":"article-journal","volume":"6"},"uris":["http://www.mendeley.com/documents/?uuid=fc27fa58-aa5c-4820-9de6-dfd4234aa4f7"]}],"mendeley":{"formattedCitation":"(Gallo et al., 2020)","plainTextFormattedCitation":"(Gallo et al., 2020)","previouslyFormattedCitation":"(Gallo et al., 2020)"},"properties":{"noteIndex":0},"schema":"https://github.com/citation-style-language/schema/raw/master/csl-citation.json"}</w:instrText>
      </w:r>
      <w:r w:rsidR="00A551B6">
        <w:rPr>
          <w:lang w:val="es-CO"/>
        </w:rPr>
        <w:fldChar w:fldCharType="separate"/>
      </w:r>
      <w:r w:rsidR="00A551B6" w:rsidRPr="00A551B6">
        <w:rPr>
          <w:noProof/>
        </w:rPr>
        <w:t>(Gallo et al., 2020)</w:t>
      </w:r>
      <w:r w:rsidR="00A551B6">
        <w:rPr>
          <w:lang w:val="es-CO"/>
        </w:rPr>
        <w:fldChar w:fldCharType="end"/>
      </w:r>
      <w:r w:rsidR="00A551B6" w:rsidRPr="00A551B6">
        <w:t>,</w:t>
      </w:r>
      <w:r w:rsidR="00E90448">
        <w:t xml:space="preserve"> </w:t>
      </w:r>
      <w:r w:rsidR="00A551B6" w:rsidRPr="00A551B6">
        <w:t>cooked and crushed mussel between 4.5 and 4.7</w:t>
      </w:r>
      <w:r w:rsidR="00E90448">
        <w:t xml:space="preserve"> </w:t>
      </w:r>
      <w:r w:rsidR="00A551B6">
        <w:rPr>
          <w:lang w:val="es-CO"/>
        </w:rPr>
        <w:fldChar w:fldCharType="begin" w:fldLock="1"/>
      </w:r>
      <w:r w:rsidR="00C62205">
        <w:instrText>ADDIN CSL_CITATION {"citationItems":[{"id":"ITEM-1","itemData":{"DOI":"10.1016/j.fm.2021.103829","ISSN":"10959998","PMID":"34119114","abstract":"The endogenous microflora of mussels, filter feeders, can include pathogens with resulting food safety concerns. The aim was to develop a cook-then-ferment technology to extend shelf life and safety of a ready-to-eat mussels. Only after cooking to destroy the mussel's endogenous microflora could an edible product be made as determined by pH decline after fermentation and the fate of common pathogens. Perna canaliculus was bought live at retail on many dates. Fermentation was with commercial lactic cultures incubated under vacuum at 30 °C for four days. Using one culture containing Pediococcus pentosaceus and Staphylococcus carnosus as a model, pH typically declined to 4.5 to 4.7, and common pathogens, Staphylococcus aureus, Salmonella and Vibrio parahaemolyticus were absent or reduced to acceptable levels. The fate of Listeria monocytogenes was studied with five cultures. These were variably effective at inhibition with one clear success, Chr Hansen's T–SC–150 containing a specific strain of Lactobacillus sakei, and flavour-generating Staphylococcus carnosus. This culture's efficacy was confirmed with sterile extracts of LAB challenging L. monocytogenes in vitro. This culture was also the most rapid fermenter by pH fall. Cook-then-ferment technology may be applied to other novel foods to minimise a disruptive endogenous microflora.","author":[{"dropping-particle":"","family":"Kitundu","given":"Eileen","non-dropping-particle":"","parse-names":false,"suffix":""},{"dropping-particle":"","family":"Young","given":"Owen","non-dropping-particle":"","parse-names":false,"suffix":""},{"dropping-particle":"","family":"Seale","given":"Brent","non-dropping-particle":"","parse-names":false,"suffix":""},{"dropping-particle":"","family":"Owens","given":"Adrian","non-dropping-particle":"","parse-names":false,"suffix":""}],"container-title":"Food Microbiology","id":"ITEM-1","issued":{"date-parts":[["2021"]]},"page":"1-10","publisher":"Elsevier Ltd","title":"Lactic fermentation of cooked, comminuted mussel, Perna canaliculus","type":"article-journal","volume":"99"},"uris":["http://www.mendeley.com/documents/?uuid=edeb9210-7812-47bc-9300-fc04d5e6a05f"]}],"mendeley":{"formattedCitation":"(Kitundu et al., 2021)","plainTextFormattedCitation":"(Kitundu et al., 2021)","previouslyFormattedCitation":"(Kitundu et al., 2021)"},"properties":{"noteIndex":0},"schema":"https://github.com/citation-style-language/schema/raw/master/csl-citation.json"}</w:instrText>
      </w:r>
      <w:r w:rsidR="00A551B6">
        <w:rPr>
          <w:lang w:val="es-CO"/>
        </w:rPr>
        <w:fldChar w:fldCharType="separate"/>
      </w:r>
      <w:r w:rsidR="00A551B6" w:rsidRPr="00E90448">
        <w:rPr>
          <w:noProof/>
        </w:rPr>
        <w:t>(Kitundu et al., 2021)</w:t>
      </w:r>
      <w:r w:rsidR="00A551B6">
        <w:rPr>
          <w:lang w:val="es-CO"/>
        </w:rPr>
        <w:fldChar w:fldCharType="end"/>
      </w:r>
      <w:r w:rsidR="00A551B6" w:rsidRPr="00E90448">
        <w:t>.</w:t>
      </w:r>
    </w:p>
    <w:p w14:paraId="4FDDFC1D" w14:textId="77777777" w:rsidR="00A551B6" w:rsidRPr="00822E22" w:rsidRDefault="00A551B6" w:rsidP="00BA7876">
      <w:pPr>
        <w:pStyle w:val="CETBodytext"/>
      </w:pPr>
    </w:p>
    <w:p w14:paraId="1331006F" w14:textId="77777777" w:rsidR="00E653CC" w:rsidRDefault="00E653CC" w:rsidP="00E653CC">
      <w:pPr>
        <w:pStyle w:val="CETBodytext"/>
        <w:keepNext/>
      </w:pPr>
      <w:r>
        <w:rPr>
          <w:noProof/>
        </w:rPr>
        <w:drawing>
          <wp:inline distT="0" distB="0" distL="0" distR="0" wp14:anchorId="04A47726" wp14:editId="100F8574">
            <wp:extent cx="3419475" cy="1628775"/>
            <wp:effectExtent l="0" t="0" r="0" b="0"/>
            <wp:docPr id="1262801105" name="Gráfico 1">
              <a:extLst xmlns:a="http://schemas.openxmlformats.org/drawingml/2006/main">
                <a:ext uri="{FF2B5EF4-FFF2-40B4-BE49-F238E27FC236}">
                  <a16:creationId xmlns:a16="http://schemas.microsoft.com/office/drawing/2014/main" id="{0323CCF9-8523-3DDB-7F6A-1F245BE4F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3CF9D4" w14:textId="700A88DF" w:rsidR="00BA7876" w:rsidRPr="00E653CC" w:rsidRDefault="00E653CC" w:rsidP="00E653CC">
      <w:pPr>
        <w:pStyle w:val="CETCaption"/>
        <w:rPr>
          <w:lang w:val="en-US"/>
        </w:rPr>
      </w:pPr>
      <w:bookmarkStart w:id="0" w:name="_Ref156077540"/>
      <w:r>
        <w:t xml:space="preserve">Figure </w:t>
      </w:r>
      <w:r>
        <w:fldChar w:fldCharType="begin"/>
      </w:r>
      <w:r>
        <w:instrText xml:space="preserve"> SEQ Figure \* ARABIC </w:instrText>
      </w:r>
      <w:r>
        <w:fldChar w:fldCharType="separate"/>
      </w:r>
      <w:r w:rsidR="0014255C">
        <w:rPr>
          <w:noProof/>
        </w:rPr>
        <w:t>2</w:t>
      </w:r>
      <w:r>
        <w:fldChar w:fldCharType="end"/>
      </w:r>
      <w:bookmarkEnd w:id="0"/>
      <w:r>
        <w:t xml:space="preserve">: </w:t>
      </w:r>
      <w:r w:rsidRPr="00E653CC">
        <w:t>pH</w:t>
      </w:r>
      <w:r w:rsidR="00CE2586">
        <w:t xml:space="preserve"> variation </w:t>
      </w:r>
      <w:r w:rsidRPr="00E653CC">
        <w:t>with respect to fermentation time</w:t>
      </w:r>
    </w:p>
    <w:p w14:paraId="567C3712" w14:textId="134483D0" w:rsidR="002B16EF" w:rsidRPr="002B16EF" w:rsidRDefault="002B16EF" w:rsidP="00600535">
      <w:pPr>
        <w:pStyle w:val="CETBodytext"/>
      </w:pPr>
      <w:r w:rsidRPr="002B16EF">
        <w:t xml:space="preserve">The monitoring of lactic acid production (% lactic acid g/L) is graphically represented in </w:t>
      </w:r>
      <w:r w:rsidR="007027D3">
        <w:fldChar w:fldCharType="begin"/>
      </w:r>
      <w:r w:rsidR="007027D3">
        <w:instrText xml:space="preserve"> REF _Ref156079717 \h </w:instrText>
      </w:r>
      <w:r w:rsidR="007027D3">
        <w:fldChar w:fldCharType="separate"/>
      </w:r>
      <w:r w:rsidR="007027D3">
        <w:t xml:space="preserve">Figure </w:t>
      </w:r>
      <w:r w:rsidR="007027D3">
        <w:rPr>
          <w:noProof/>
        </w:rPr>
        <w:t>3</w:t>
      </w:r>
      <w:r w:rsidR="007027D3">
        <w:fldChar w:fldCharType="end"/>
      </w:r>
      <w:r w:rsidRPr="002B16EF">
        <w:t>, which shows the gradual increase in lactic acid production over time in the fermentations. When</w:t>
      </w:r>
      <w:r>
        <w:t xml:space="preserve"> </w:t>
      </w:r>
      <w:r w:rsidRPr="002B16EF">
        <w:t xml:space="preserve">evaluating samples containing sesame </w:t>
      </w:r>
      <w:r w:rsidR="00116A30" w:rsidRPr="003F57DD">
        <w:t>(</w:t>
      </w:r>
      <w:r w:rsidR="00116A30" w:rsidRPr="003F57DD">
        <w:rPr>
          <w:i/>
          <w:iCs/>
        </w:rPr>
        <w:t>Sesamum indicum L</w:t>
      </w:r>
      <w:r w:rsidR="00116A30" w:rsidRPr="003F57DD">
        <w:t>.)</w:t>
      </w:r>
      <w:r w:rsidR="00116A30">
        <w:t xml:space="preserve"> </w:t>
      </w:r>
      <w:r w:rsidRPr="002B16EF">
        <w:t>seeds, it is evident that the production of lactic acid is notably higher in the case of S1:5 (0.75</w:t>
      </w:r>
      <w:r w:rsidR="00822E22">
        <w:t xml:space="preserve"> </w:t>
      </w:r>
      <w:r w:rsidRPr="002B16EF">
        <w:t>% g of lactic acid/L), as well as in samples containing both</w:t>
      </w:r>
      <w:r w:rsidR="00116A30">
        <w:t xml:space="preserve"> </w:t>
      </w:r>
      <w:r w:rsidRPr="002B16EF">
        <w:t>sesame</w:t>
      </w:r>
      <w:r w:rsidR="00116A30">
        <w:t xml:space="preserve"> </w:t>
      </w:r>
      <w:r w:rsidR="00116A30" w:rsidRPr="003F57DD">
        <w:t>(</w:t>
      </w:r>
      <w:r w:rsidR="00116A30" w:rsidRPr="003F57DD">
        <w:rPr>
          <w:i/>
          <w:iCs/>
        </w:rPr>
        <w:t>Sesamum indicum L</w:t>
      </w:r>
      <w:r w:rsidR="00116A30" w:rsidRPr="003F57DD">
        <w:t>.)</w:t>
      </w:r>
      <w:r w:rsidR="00116A30">
        <w:t xml:space="preserve"> </w:t>
      </w:r>
      <w:r w:rsidRPr="002B16EF">
        <w:t xml:space="preserve"> </w:t>
      </w:r>
      <w:r w:rsidR="00116A30">
        <w:t xml:space="preserve">seeds </w:t>
      </w:r>
      <w:r w:rsidRPr="002B16EF">
        <w:t>as pollen, specifically S1:3P (0.69</w:t>
      </w:r>
      <w:r w:rsidR="00822E22">
        <w:t xml:space="preserve"> </w:t>
      </w:r>
      <w:r w:rsidRPr="002B16EF">
        <w:t>% g of lactic acid/L). It is worth mentioning that lactic acid values in yogurt generally exceed the threshold of 1.5</w:t>
      </w:r>
      <w:r w:rsidR="00822E22">
        <w:t xml:space="preserve"> </w:t>
      </w:r>
      <w:r w:rsidRPr="002B16EF">
        <w:t>% g lactic acid/L. However, in vegetable fermentations, high values such as 1.25 g/L were discovered</w:t>
      </w:r>
      <w:r>
        <w:t xml:space="preserve"> </w:t>
      </w:r>
      <w:r>
        <w:fldChar w:fldCharType="begin" w:fldLock="1"/>
      </w:r>
      <w:r w:rsidR="00660FAB">
        <w:instrText>ADDIN CSL_CITATION {"citationItems":[{"id":"ITEM-1","itemData":{"DOI":"10.1016/j.heliyon.2020.e04920","ISSN":"24058440","abstract":"Studies of the ability of probiotics to ferment cereal flours are necessary to obtain products with enhanced nutritional value. In this study, Lactobacillus paracasei CBA-L74 was used to ferment cereal aqueous mixtures containing both oat (7.5% w/v) and rice flours (7.5% w/v), with and without glucose, to understand whether glucose addition could have any effect on growth and metabolism. Viability, pH, metabolites production during fermentation (24 h, 37 °C) and substrates reduction were analysed. The strain showed good growth in the cereal aqueous mixture both with and without glucose addition, but suspensions prepared with glucose showed the best results. A bacterial concentration of 7 log CFU mL−1, a pH value of 4.70 and lactic acid production of 1250 mg L−1 were achieved when fermentation was performed without glucose addition, while in the presence of glucose, a t24 bacterial growth of 8 log CFU mL−1 was reached, with a pH value of 3.11 and lactic acid production of 6050 mg L−1.","author":[{"dropping-particle":"","family":"Gallo","given":"Marianna","non-dropping-particle":"","parse-names":false,"suffix":""},{"dropping-particle":"","family":"Passannanti","given":"Francesca","non-dropping-particle":"","parse-names":false,"suffix":""},{"dropping-particle":"","family":"Colucci Cante","given":"Rosa","non-dropping-particle":"","parse-names":false,"suffix":""},{"dropping-particle":"","family":"Nigro","given":"Federica","non-dropping-particle":"","parse-names":false,"suffix":""},{"dropping-particle":"","family":"Schiattarella","given":"Paola","non-dropping-particle":"","parse-names":false,"suffix":""},{"dropping-particle":"","family":"Zappulla","given":"Salvatore","non-dropping-particle":"","parse-names":false,"suffix":""},{"dropping-particle":"","family":"Budelli","given":"Andrea","non-dropping-particle":"","parse-names":false,"suffix":""},{"dropping-particle":"","family":"Nigro","given":"Roberto","non-dropping-particle":"","parse-names":false,"suffix":""}],"container-title":"Heliyon","id":"ITEM-1","issue":"9","issued":{"date-parts":[["2020"]]},"page":"6","publisher":"Elsevier Ltd","title":"Lactic fermentation of cereals aqueous mixture of oat and rice flours with and without glucose addition","type":"article-journal","volume":"6"},"uris":["http://www.mendeley.com/documents/?uuid=fc27fa58-aa5c-4820-9de6-dfd4234aa4f7"]}],"mendeley":{"formattedCitation":"(Gallo et al., 2020)","plainTextFormattedCitation":"(Gallo et al., 2020)","previouslyFormattedCitation":"(Gallo et al., 2020)"},"properties":{"noteIndex":0},"schema":"https://github.com/citation-style-language/schema/raw/master/csl-citation.json"}</w:instrText>
      </w:r>
      <w:r>
        <w:fldChar w:fldCharType="separate"/>
      </w:r>
      <w:r w:rsidRPr="002B16EF">
        <w:rPr>
          <w:noProof/>
        </w:rPr>
        <w:t>(Gallo et al., 2020)</w:t>
      </w:r>
      <w:r>
        <w:fldChar w:fldCharType="end"/>
      </w:r>
      <w:r>
        <w:t xml:space="preserve"> </w:t>
      </w:r>
      <w:r w:rsidRPr="002B16EF">
        <w:t>with regular levels ranging between 0.5 and 0.8 g/L in both vegetables and fruits</w:t>
      </w:r>
      <w:r w:rsidR="00FD2226">
        <w:t xml:space="preserve"> </w:t>
      </w:r>
      <w:r w:rsidR="00FD2226">
        <w:rPr>
          <w:lang w:val="es-CO"/>
        </w:rPr>
        <w:fldChar w:fldCharType="begin" w:fldLock="1"/>
      </w:r>
      <w:r w:rsidR="00FD2226" w:rsidRPr="00FD2226">
        <w:instrText>ADDIN CSL_CITATION {"citationItems":[{"id":"ITEM-1","itemData":{"author":[{"dropping-particle":"","family":"Benavides Martín","given":"María Angélica","non-dropping-particle":"","parse-names":false,"suffix":""}],"id":"ITEM-1","issued":{"date-parts":[["2019"]]},"number-of-pages":"274","publisher":"Universidad Nacional de Colombia. Bogotá, D.C.","title":"Application of lactic fermentation as a strategy for the transformation and valorization of vegetable matrices","type":"thesis"},"uris":["http://www.mendeley.com/documents/?uuid=f821474d-1375-4005-aacd-bb9188975784"]}],"mendeley":{"formattedCitation":"(Benavides Martín, 2019)","plainTextFormattedCitation":"(Benavides Martín, 2019)","previouslyFormattedCitation":"(Benavides Martín, 2019)"},"properties":{"noteIndex":0},"schema":"https://github.com/citation-style-language/schema/raw/master/csl-citation.json"}</w:instrText>
      </w:r>
      <w:r w:rsidR="00FD2226">
        <w:rPr>
          <w:lang w:val="es-CO"/>
        </w:rPr>
        <w:fldChar w:fldCharType="separate"/>
      </w:r>
      <w:r w:rsidR="00FD2226" w:rsidRPr="00FD2226">
        <w:rPr>
          <w:noProof/>
        </w:rPr>
        <w:t>(Benavides Martín, 2019)</w:t>
      </w:r>
      <w:r w:rsidR="00FD2226">
        <w:rPr>
          <w:lang w:val="es-CO"/>
        </w:rPr>
        <w:fldChar w:fldCharType="end"/>
      </w:r>
      <w:r w:rsidR="00FD2226" w:rsidRPr="00FD2226">
        <w:t>.</w:t>
      </w:r>
    </w:p>
    <w:p w14:paraId="5837B8DA" w14:textId="77777777" w:rsidR="00EE751E" w:rsidRDefault="00EE751E" w:rsidP="00EE751E">
      <w:pPr>
        <w:pStyle w:val="CETBodytext"/>
        <w:keepNext/>
      </w:pPr>
      <w:r>
        <w:rPr>
          <w:noProof/>
        </w:rPr>
        <w:drawing>
          <wp:inline distT="0" distB="0" distL="0" distR="0" wp14:anchorId="38517F5E" wp14:editId="3531F441">
            <wp:extent cx="3705225" cy="1638300"/>
            <wp:effectExtent l="0" t="0" r="0" b="0"/>
            <wp:docPr id="402945345" name="Gráfico 1">
              <a:extLst xmlns:a="http://schemas.openxmlformats.org/drawingml/2006/main">
                <a:ext uri="{FF2B5EF4-FFF2-40B4-BE49-F238E27FC236}">
                  <a16:creationId xmlns:a16="http://schemas.microsoft.com/office/drawing/2014/main" id="{F2735C9A-35E3-D1EF-E687-04CDBE645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8FCACC" w14:textId="0F175943" w:rsidR="00EE751E" w:rsidRDefault="00EE751E" w:rsidP="00EE751E">
      <w:pPr>
        <w:pStyle w:val="CETCaption"/>
      </w:pPr>
      <w:bookmarkStart w:id="1" w:name="_Ref156079717"/>
      <w:r>
        <w:t xml:space="preserve">Figure </w:t>
      </w:r>
      <w:r>
        <w:fldChar w:fldCharType="begin"/>
      </w:r>
      <w:r>
        <w:instrText xml:space="preserve"> SEQ Figure \* ARABIC </w:instrText>
      </w:r>
      <w:r>
        <w:fldChar w:fldCharType="separate"/>
      </w:r>
      <w:r w:rsidR="0014255C">
        <w:rPr>
          <w:noProof/>
        </w:rPr>
        <w:t>3</w:t>
      </w:r>
      <w:r>
        <w:fldChar w:fldCharType="end"/>
      </w:r>
      <w:bookmarkEnd w:id="1"/>
      <w:r>
        <w:t xml:space="preserve">: </w:t>
      </w:r>
      <w:r w:rsidR="004173FE">
        <w:t>L</w:t>
      </w:r>
      <w:r w:rsidRPr="00EE751E">
        <w:t xml:space="preserve">actic acid </w:t>
      </w:r>
      <w:r w:rsidR="004173FE">
        <w:t xml:space="preserve">variation </w:t>
      </w:r>
      <w:r w:rsidRPr="00EE751E">
        <w:t>content with respect to fermentation time</w:t>
      </w:r>
    </w:p>
    <w:p w14:paraId="278B3410" w14:textId="546723C5" w:rsidR="004173FE" w:rsidRPr="00395658" w:rsidRDefault="00395658" w:rsidP="009844A9">
      <w:pPr>
        <w:pStyle w:val="CETBodytext"/>
      </w:pPr>
      <w:r>
        <w:fldChar w:fldCharType="begin"/>
      </w:r>
      <w:r>
        <w:instrText xml:space="preserve"> REF _Ref156078769 \h </w:instrText>
      </w:r>
      <w:r>
        <w:fldChar w:fldCharType="separate"/>
      </w:r>
      <w:r>
        <w:t xml:space="preserve">Table </w:t>
      </w:r>
      <w:r>
        <w:rPr>
          <w:noProof/>
        </w:rPr>
        <w:t>1</w:t>
      </w:r>
      <w:r>
        <w:fldChar w:fldCharType="end"/>
      </w:r>
      <w:r>
        <w:t xml:space="preserve"> </w:t>
      </w:r>
      <w:r w:rsidRPr="00395658">
        <w:t xml:space="preserve">provides an overview of the volumetric productivity </w:t>
      </w:r>
      <w:r w:rsidR="00CA07E5">
        <w:t>(</w:t>
      </w:r>
      <w:r w:rsidRPr="00395658">
        <w:t>% g/L</w:t>
      </w:r>
      <w:r w:rsidR="00D60C33">
        <w:t xml:space="preserve"> </w:t>
      </w:r>
      <w:r w:rsidRPr="00395658">
        <w:t>h</w:t>
      </w:r>
      <w:r w:rsidR="00CA07E5">
        <w:t>)</w:t>
      </w:r>
      <w:r w:rsidRPr="00395658">
        <w:t xml:space="preserve"> for all beverages brewed after 10 hours (beverages containing sesame only) and 6 hours of fermentation (beverages containing sesame and pollen).</w:t>
      </w:r>
      <w:r>
        <w:t xml:space="preserve"> I</w:t>
      </w:r>
      <w:r w:rsidRPr="00395658">
        <w:t>t is evident that the highest volumetric productivities were achieved in the case of samples S1:3P and S1:5P. It is crucial to note that, although the productivities of samples S1:3 and S1:5 are comparable to the productivity of yogurts made with whey of 54</w:t>
      </w:r>
      <w:r w:rsidR="00822E22">
        <w:t xml:space="preserve"> </w:t>
      </w:r>
      <w:r w:rsidRPr="00395658">
        <w:t>% productivity, they are lower than the productivity observed in yogurts at milk base (greater than 90</w:t>
      </w:r>
      <w:r w:rsidR="00822E22">
        <w:t xml:space="preserve"> </w:t>
      </w:r>
      <w:r w:rsidRPr="00395658">
        <w:t xml:space="preserve">%) </w:t>
      </w:r>
      <w:r>
        <w:fldChar w:fldCharType="begin" w:fldLock="1"/>
      </w:r>
      <w:r>
        <w:instrText>ADDIN CSL_CITATION {"citationItems":[{"id":"ITEM-1","itemData":{"author":[{"dropping-particle":"","family":"Videa","given":"Mariliana","non-dropping-particle":"","parse-names":false,"suffix":""},{"dropping-particle":"","family":"Videa","given":"Mabel","non-dropping-particle":"","parse-names":false,"suffix":""}],"container-title":"Revista Científica de Ciencia y Tecnología El Higo","id":"ITEM-1","issue":"1","issued":{"date-parts":[["2019"]]},"page":"12-25","title":"Natural yogur obtained from milk with dairy serum a laboratory scale, National University of Engineering, north regional headquarters, Estelí Nicaragua","type":"article-journal","volume":"9"},"uris":["http://www.mendeley.com/documents/?uuid=602a6003-a90e-4341-b767-21e10c622d2f"]}],"mendeley":{"formattedCitation":"(Videa &amp; Videa, 2019)","manualFormatting":"(Videa and Videa, 2019)","plainTextFormattedCitation":"(Videa &amp; Videa, 2019)","previouslyFormattedCitation":"(Videa &amp; Videa, 2019)"},"properties":{"noteIndex":0},"schema":"https://github.com/citation-style-language/schema/raw/master/csl-citation.json"}</w:instrText>
      </w:r>
      <w:r>
        <w:fldChar w:fldCharType="separate"/>
      </w:r>
      <w:r w:rsidRPr="00395658">
        <w:rPr>
          <w:noProof/>
        </w:rPr>
        <w:t xml:space="preserve">(Videa </w:t>
      </w:r>
      <w:r>
        <w:rPr>
          <w:noProof/>
        </w:rPr>
        <w:t>and</w:t>
      </w:r>
      <w:r w:rsidRPr="00395658">
        <w:rPr>
          <w:noProof/>
        </w:rPr>
        <w:t xml:space="preserve"> Videa, 2019)</w:t>
      </w:r>
      <w:r>
        <w:fldChar w:fldCharType="end"/>
      </w:r>
      <w:r w:rsidRPr="00395658">
        <w:t xml:space="preserve">. </w:t>
      </w:r>
    </w:p>
    <w:p w14:paraId="175BF563" w14:textId="6BD75E95" w:rsidR="0053309E" w:rsidRDefault="0053309E" w:rsidP="00155F02">
      <w:pPr>
        <w:pStyle w:val="CETTabletitle"/>
      </w:pPr>
      <w:bookmarkStart w:id="2" w:name="_Ref156078769"/>
      <w:r>
        <w:t xml:space="preserve">Table </w:t>
      </w:r>
      <w:r>
        <w:fldChar w:fldCharType="begin"/>
      </w:r>
      <w:r>
        <w:instrText xml:space="preserve"> SEQ Table \* ARABIC </w:instrText>
      </w:r>
      <w:r>
        <w:fldChar w:fldCharType="separate"/>
      </w:r>
      <w:r>
        <w:rPr>
          <w:noProof/>
        </w:rPr>
        <w:t>1</w:t>
      </w:r>
      <w:r>
        <w:fldChar w:fldCharType="end"/>
      </w:r>
      <w:bookmarkEnd w:id="2"/>
      <w:r>
        <w:t xml:space="preserve">: </w:t>
      </w:r>
      <w:r w:rsidRPr="003A0830">
        <w:t>Volumetric productivity of sesame-based</w:t>
      </w:r>
      <w:r w:rsidR="00155F02">
        <w:t xml:space="preserve"> beverage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600535" w:rsidRPr="00B57B36" w14:paraId="4B29AA51" w14:textId="77777777" w:rsidTr="00A17843">
        <w:tc>
          <w:tcPr>
            <w:tcW w:w="1134" w:type="dxa"/>
            <w:tcBorders>
              <w:top w:val="single" w:sz="12" w:space="0" w:color="008000"/>
              <w:bottom w:val="single" w:sz="6" w:space="0" w:color="008000"/>
            </w:tcBorders>
            <w:shd w:val="clear" w:color="auto" w:fill="FFFFFF"/>
          </w:tcPr>
          <w:p w14:paraId="500859EC" w14:textId="55BD8346" w:rsidR="00600535" w:rsidRPr="00B57B36" w:rsidRDefault="00EE751E" w:rsidP="00A17843">
            <w:pPr>
              <w:pStyle w:val="CETBodytext"/>
              <w:jc w:val="center"/>
              <w:rPr>
                <w:lang w:val="en-GB"/>
              </w:rPr>
            </w:pPr>
            <w:r>
              <w:rPr>
                <w:lang w:val="en-GB"/>
              </w:rPr>
              <w:t>Sample</w:t>
            </w:r>
          </w:p>
        </w:tc>
        <w:tc>
          <w:tcPr>
            <w:tcW w:w="1134" w:type="dxa"/>
            <w:tcBorders>
              <w:top w:val="single" w:sz="12" w:space="0" w:color="008000"/>
              <w:bottom w:val="single" w:sz="6" w:space="0" w:color="008000"/>
            </w:tcBorders>
            <w:shd w:val="clear" w:color="auto" w:fill="FFFFFF"/>
          </w:tcPr>
          <w:p w14:paraId="6B6E97E3" w14:textId="7E277D55" w:rsidR="00600535" w:rsidRPr="00B57B36" w:rsidRDefault="00EE751E" w:rsidP="00A17843">
            <w:pPr>
              <w:pStyle w:val="CETBodytext"/>
              <w:jc w:val="center"/>
              <w:rPr>
                <w:lang w:val="en-GB"/>
              </w:rPr>
            </w:pPr>
            <w:r>
              <w:rPr>
                <w:lang w:val="en-GB"/>
              </w:rPr>
              <w:t>Fermentation time [h]</w:t>
            </w:r>
          </w:p>
        </w:tc>
        <w:tc>
          <w:tcPr>
            <w:tcW w:w="1134" w:type="dxa"/>
            <w:tcBorders>
              <w:top w:val="single" w:sz="12" w:space="0" w:color="008000"/>
              <w:bottom w:val="single" w:sz="6" w:space="0" w:color="008000"/>
            </w:tcBorders>
            <w:shd w:val="clear" w:color="auto" w:fill="FFFFFF"/>
          </w:tcPr>
          <w:p w14:paraId="0CC5C18D" w14:textId="3C688F61" w:rsidR="00600535" w:rsidRPr="00B57B36" w:rsidRDefault="00EE751E" w:rsidP="00A17843">
            <w:pPr>
              <w:pStyle w:val="CETBodytext"/>
              <w:jc w:val="center"/>
              <w:rPr>
                <w:lang w:val="en-GB"/>
              </w:rPr>
            </w:pPr>
            <w:r>
              <w:rPr>
                <w:lang w:val="en-GB"/>
              </w:rPr>
              <w:t>Initial</w:t>
            </w:r>
            <w:r w:rsidR="00A17843">
              <w:rPr>
                <w:lang w:val="en-GB"/>
              </w:rPr>
              <w:t xml:space="preserve"> </w:t>
            </w:r>
            <w:r>
              <w:rPr>
                <w:lang w:val="en-GB"/>
              </w:rPr>
              <w:t>concentration</w:t>
            </w:r>
            <w:r w:rsidR="00A17843">
              <w:rPr>
                <w:lang w:val="en-GB"/>
              </w:rPr>
              <w:t xml:space="preserve"> </w:t>
            </w:r>
            <w:r>
              <w:rPr>
                <w:lang w:val="en-GB"/>
              </w:rPr>
              <w:t>Lactic acid [g/L]</w:t>
            </w:r>
          </w:p>
        </w:tc>
        <w:tc>
          <w:tcPr>
            <w:tcW w:w="1134" w:type="dxa"/>
            <w:tcBorders>
              <w:top w:val="single" w:sz="12" w:space="0" w:color="008000"/>
              <w:bottom w:val="single" w:sz="6" w:space="0" w:color="008000"/>
            </w:tcBorders>
            <w:shd w:val="clear" w:color="auto" w:fill="FFFFFF"/>
          </w:tcPr>
          <w:p w14:paraId="199EE8DC" w14:textId="1DAEEE21" w:rsidR="00600535" w:rsidRPr="00B57B36" w:rsidRDefault="00EE751E" w:rsidP="00A17843">
            <w:pPr>
              <w:pStyle w:val="CETBodytext"/>
              <w:ind w:right="-1"/>
              <w:jc w:val="center"/>
              <w:rPr>
                <w:rFonts w:cs="Arial"/>
                <w:szCs w:val="18"/>
                <w:lang w:val="en-GB"/>
              </w:rPr>
            </w:pPr>
            <w:r>
              <w:rPr>
                <w:rFonts w:cs="Arial"/>
                <w:szCs w:val="18"/>
                <w:lang w:val="en-GB"/>
              </w:rPr>
              <w:t xml:space="preserve">Final </w:t>
            </w:r>
            <w:r w:rsidRPr="00EE751E">
              <w:rPr>
                <w:rFonts w:cs="Arial"/>
                <w:szCs w:val="18"/>
                <w:lang w:val="en-GB"/>
              </w:rPr>
              <w:t>concentration Lactic acid [g/L]</w:t>
            </w:r>
          </w:p>
        </w:tc>
        <w:tc>
          <w:tcPr>
            <w:tcW w:w="1134" w:type="dxa"/>
            <w:tcBorders>
              <w:top w:val="single" w:sz="12" w:space="0" w:color="008000"/>
              <w:bottom w:val="single" w:sz="6" w:space="0" w:color="008000"/>
            </w:tcBorders>
            <w:shd w:val="clear" w:color="auto" w:fill="FFFFFF"/>
          </w:tcPr>
          <w:p w14:paraId="005800F7" w14:textId="3AA986DC" w:rsidR="00600535" w:rsidRPr="00B57B36" w:rsidRDefault="00EE751E" w:rsidP="00A17843">
            <w:pPr>
              <w:pStyle w:val="CETBodytext"/>
              <w:ind w:right="-1"/>
              <w:jc w:val="center"/>
              <w:rPr>
                <w:rFonts w:cs="Arial"/>
                <w:szCs w:val="18"/>
                <w:lang w:val="en-GB"/>
              </w:rPr>
            </w:pPr>
            <w:r>
              <w:rPr>
                <w:rFonts w:cs="Arial"/>
                <w:szCs w:val="18"/>
                <w:lang w:val="en-GB"/>
              </w:rPr>
              <w:t>Volumetric productivity [% g/L*h]</w:t>
            </w:r>
          </w:p>
        </w:tc>
      </w:tr>
      <w:tr w:rsidR="00600535" w:rsidRPr="00B57B36" w14:paraId="18FA68DB" w14:textId="77777777" w:rsidTr="00A17843">
        <w:tc>
          <w:tcPr>
            <w:tcW w:w="1134" w:type="dxa"/>
            <w:shd w:val="clear" w:color="auto" w:fill="FFFFFF"/>
          </w:tcPr>
          <w:p w14:paraId="1877D42D" w14:textId="12095D8C" w:rsidR="00600535" w:rsidRPr="00B57B36" w:rsidRDefault="00EE751E" w:rsidP="00507B47">
            <w:pPr>
              <w:pStyle w:val="CETBodytext"/>
              <w:rPr>
                <w:lang w:val="en-GB"/>
              </w:rPr>
            </w:pPr>
            <w:r>
              <w:rPr>
                <w:lang w:val="en-GB"/>
              </w:rPr>
              <w:t>S1:3</w:t>
            </w:r>
          </w:p>
        </w:tc>
        <w:tc>
          <w:tcPr>
            <w:tcW w:w="1134" w:type="dxa"/>
            <w:shd w:val="clear" w:color="auto" w:fill="FFFFFF"/>
          </w:tcPr>
          <w:p w14:paraId="48136FAE" w14:textId="7A69DBA9" w:rsidR="00600535" w:rsidRPr="00B57B36" w:rsidRDefault="00EE751E" w:rsidP="00507B47">
            <w:pPr>
              <w:pStyle w:val="CETBodytext"/>
              <w:rPr>
                <w:lang w:val="en-GB"/>
              </w:rPr>
            </w:pPr>
            <w:r>
              <w:rPr>
                <w:lang w:val="en-GB"/>
              </w:rPr>
              <w:t>10</w:t>
            </w:r>
          </w:p>
        </w:tc>
        <w:tc>
          <w:tcPr>
            <w:tcW w:w="1134" w:type="dxa"/>
            <w:shd w:val="clear" w:color="auto" w:fill="FFFFFF"/>
          </w:tcPr>
          <w:p w14:paraId="2CB03BEE" w14:textId="30050196" w:rsidR="00600535" w:rsidRPr="00B57B36" w:rsidRDefault="00EE751E" w:rsidP="00507B47">
            <w:pPr>
              <w:pStyle w:val="CETBodytext"/>
              <w:rPr>
                <w:lang w:val="en-GB"/>
              </w:rPr>
            </w:pPr>
            <w:r>
              <w:rPr>
                <w:lang w:val="en-GB"/>
              </w:rPr>
              <w:t>0.90</w:t>
            </w:r>
          </w:p>
        </w:tc>
        <w:tc>
          <w:tcPr>
            <w:tcW w:w="1134" w:type="dxa"/>
            <w:shd w:val="clear" w:color="auto" w:fill="FFFFFF"/>
          </w:tcPr>
          <w:p w14:paraId="7FF7EB81" w14:textId="52A44AD9" w:rsidR="00600535" w:rsidRPr="00B57B36" w:rsidRDefault="00EE751E" w:rsidP="00507B47">
            <w:pPr>
              <w:pStyle w:val="CETBodytext"/>
              <w:ind w:right="-1"/>
              <w:rPr>
                <w:rFonts w:cs="Arial"/>
                <w:szCs w:val="18"/>
                <w:lang w:val="en-GB"/>
              </w:rPr>
            </w:pPr>
            <w:r>
              <w:rPr>
                <w:rFonts w:cs="Arial"/>
                <w:szCs w:val="18"/>
                <w:lang w:val="en-GB"/>
              </w:rPr>
              <w:t>6.30</w:t>
            </w:r>
          </w:p>
        </w:tc>
        <w:tc>
          <w:tcPr>
            <w:tcW w:w="1134" w:type="dxa"/>
            <w:shd w:val="clear" w:color="auto" w:fill="FFFFFF"/>
          </w:tcPr>
          <w:p w14:paraId="6512B018" w14:textId="3014FB9A" w:rsidR="00600535" w:rsidRPr="00B57B36" w:rsidRDefault="003A0830" w:rsidP="00507B47">
            <w:pPr>
              <w:pStyle w:val="CETBodytext"/>
              <w:ind w:right="-1"/>
              <w:rPr>
                <w:rFonts w:cs="Arial"/>
                <w:szCs w:val="18"/>
                <w:lang w:val="en-GB"/>
              </w:rPr>
            </w:pPr>
            <w:r>
              <w:rPr>
                <w:rFonts w:cs="Arial"/>
                <w:szCs w:val="18"/>
                <w:lang w:val="en-GB"/>
              </w:rPr>
              <w:t>54.60</w:t>
            </w:r>
          </w:p>
        </w:tc>
      </w:tr>
      <w:tr w:rsidR="00EE751E" w:rsidRPr="00B57B36" w14:paraId="04089D53" w14:textId="77777777" w:rsidTr="00A17843">
        <w:tc>
          <w:tcPr>
            <w:tcW w:w="1134" w:type="dxa"/>
            <w:shd w:val="clear" w:color="auto" w:fill="FFFFFF"/>
          </w:tcPr>
          <w:p w14:paraId="51E5B2FC" w14:textId="11609086" w:rsidR="00EE751E" w:rsidRPr="00B57B36" w:rsidRDefault="00EE751E" w:rsidP="00507B47">
            <w:pPr>
              <w:pStyle w:val="CETBodytext"/>
              <w:rPr>
                <w:lang w:val="en-GB"/>
              </w:rPr>
            </w:pPr>
            <w:r>
              <w:rPr>
                <w:lang w:val="en-GB"/>
              </w:rPr>
              <w:t>S1:5</w:t>
            </w:r>
          </w:p>
        </w:tc>
        <w:tc>
          <w:tcPr>
            <w:tcW w:w="1134" w:type="dxa"/>
            <w:shd w:val="clear" w:color="auto" w:fill="FFFFFF"/>
          </w:tcPr>
          <w:p w14:paraId="74105698" w14:textId="521F4E77" w:rsidR="00EE751E" w:rsidRPr="00B57B36" w:rsidRDefault="00EE751E" w:rsidP="00507B47">
            <w:pPr>
              <w:pStyle w:val="CETBodytext"/>
              <w:rPr>
                <w:lang w:val="en-GB"/>
              </w:rPr>
            </w:pPr>
            <w:r>
              <w:rPr>
                <w:lang w:val="en-GB"/>
              </w:rPr>
              <w:t>10</w:t>
            </w:r>
          </w:p>
        </w:tc>
        <w:tc>
          <w:tcPr>
            <w:tcW w:w="1134" w:type="dxa"/>
            <w:shd w:val="clear" w:color="auto" w:fill="FFFFFF"/>
          </w:tcPr>
          <w:p w14:paraId="31D6F862" w14:textId="4B1AABA3" w:rsidR="00EE751E" w:rsidRPr="00B57B36" w:rsidRDefault="00EE751E" w:rsidP="00507B47">
            <w:pPr>
              <w:pStyle w:val="CETBodytext"/>
              <w:rPr>
                <w:lang w:val="en-GB"/>
              </w:rPr>
            </w:pPr>
            <w:r>
              <w:rPr>
                <w:lang w:val="en-GB"/>
              </w:rPr>
              <w:t>1.08</w:t>
            </w:r>
          </w:p>
        </w:tc>
        <w:tc>
          <w:tcPr>
            <w:tcW w:w="1134" w:type="dxa"/>
            <w:shd w:val="clear" w:color="auto" w:fill="FFFFFF"/>
          </w:tcPr>
          <w:p w14:paraId="1F03A87C" w14:textId="03D8580D" w:rsidR="00EE751E" w:rsidRPr="00B57B36" w:rsidRDefault="00EE751E" w:rsidP="00507B47">
            <w:pPr>
              <w:pStyle w:val="CETBodytext"/>
              <w:ind w:right="-1"/>
              <w:rPr>
                <w:rFonts w:cs="Arial"/>
                <w:szCs w:val="18"/>
                <w:lang w:val="en-GB"/>
              </w:rPr>
            </w:pPr>
            <w:r>
              <w:rPr>
                <w:rFonts w:cs="Arial"/>
                <w:szCs w:val="18"/>
                <w:lang w:val="en-GB"/>
              </w:rPr>
              <w:t>7.50</w:t>
            </w:r>
          </w:p>
        </w:tc>
        <w:tc>
          <w:tcPr>
            <w:tcW w:w="1134" w:type="dxa"/>
            <w:shd w:val="clear" w:color="auto" w:fill="FFFFFF"/>
          </w:tcPr>
          <w:p w14:paraId="6A637190" w14:textId="43BD4F86" w:rsidR="00EE751E" w:rsidRPr="00B57B36" w:rsidRDefault="003A0830" w:rsidP="00507B47">
            <w:pPr>
              <w:pStyle w:val="CETBodytext"/>
              <w:ind w:right="-1"/>
              <w:rPr>
                <w:rFonts w:cs="Arial"/>
                <w:szCs w:val="18"/>
                <w:lang w:val="en-GB"/>
              </w:rPr>
            </w:pPr>
            <w:r>
              <w:rPr>
                <w:rFonts w:cs="Arial"/>
                <w:szCs w:val="18"/>
                <w:lang w:val="en-GB"/>
              </w:rPr>
              <w:t>64.27</w:t>
            </w:r>
          </w:p>
        </w:tc>
      </w:tr>
      <w:tr w:rsidR="00EE751E" w:rsidRPr="00B57B36" w14:paraId="43EEEDA9" w14:textId="77777777" w:rsidTr="00A17843">
        <w:tc>
          <w:tcPr>
            <w:tcW w:w="1134" w:type="dxa"/>
            <w:shd w:val="clear" w:color="auto" w:fill="FFFFFF"/>
          </w:tcPr>
          <w:p w14:paraId="40F0057D" w14:textId="2DB51B5E" w:rsidR="00EE751E" w:rsidRPr="00B57B36" w:rsidRDefault="00EE751E" w:rsidP="00507B47">
            <w:pPr>
              <w:pStyle w:val="CETBodytext"/>
              <w:rPr>
                <w:lang w:val="en-GB"/>
              </w:rPr>
            </w:pPr>
            <w:r>
              <w:rPr>
                <w:lang w:val="en-GB"/>
              </w:rPr>
              <w:t>S1:3P</w:t>
            </w:r>
          </w:p>
        </w:tc>
        <w:tc>
          <w:tcPr>
            <w:tcW w:w="1134" w:type="dxa"/>
            <w:shd w:val="clear" w:color="auto" w:fill="FFFFFF"/>
          </w:tcPr>
          <w:p w14:paraId="530F558A" w14:textId="16120AB1" w:rsidR="00EE751E" w:rsidRPr="00B57B36" w:rsidRDefault="00EE751E" w:rsidP="00507B47">
            <w:pPr>
              <w:pStyle w:val="CETBodytext"/>
              <w:rPr>
                <w:lang w:val="en-GB"/>
              </w:rPr>
            </w:pPr>
            <w:r>
              <w:rPr>
                <w:lang w:val="en-GB"/>
              </w:rPr>
              <w:t>6</w:t>
            </w:r>
          </w:p>
        </w:tc>
        <w:tc>
          <w:tcPr>
            <w:tcW w:w="1134" w:type="dxa"/>
            <w:shd w:val="clear" w:color="auto" w:fill="FFFFFF"/>
          </w:tcPr>
          <w:p w14:paraId="0E5173C4" w14:textId="59376561" w:rsidR="00EE751E" w:rsidRPr="00B57B36" w:rsidRDefault="00EE751E" w:rsidP="00507B47">
            <w:pPr>
              <w:pStyle w:val="CETBodytext"/>
              <w:rPr>
                <w:lang w:val="en-GB"/>
              </w:rPr>
            </w:pPr>
            <w:r>
              <w:rPr>
                <w:lang w:val="en-GB"/>
              </w:rPr>
              <w:t>1.98</w:t>
            </w:r>
          </w:p>
        </w:tc>
        <w:tc>
          <w:tcPr>
            <w:tcW w:w="1134" w:type="dxa"/>
            <w:shd w:val="clear" w:color="auto" w:fill="FFFFFF"/>
          </w:tcPr>
          <w:p w14:paraId="65D2D781" w14:textId="1DB6AFCF" w:rsidR="00EE751E" w:rsidRPr="00B57B36" w:rsidRDefault="003A0830" w:rsidP="00507B47">
            <w:pPr>
              <w:pStyle w:val="CETBodytext"/>
              <w:ind w:right="-1"/>
              <w:rPr>
                <w:rFonts w:cs="Arial"/>
                <w:szCs w:val="18"/>
                <w:lang w:val="en-GB"/>
              </w:rPr>
            </w:pPr>
            <w:r>
              <w:rPr>
                <w:rFonts w:cs="Arial"/>
                <w:szCs w:val="18"/>
                <w:lang w:val="en-GB"/>
              </w:rPr>
              <w:t>6.90</w:t>
            </w:r>
          </w:p>
        </w:tc>
        <w:tc>
          <w:tcPr>
            <w:tcW w:w="1134" w:type="dxa"/>
            <w:shd w:val="clear" w:color="auto" w:fill="FFFFFF"/>
          </w:tcPr>
          <w:p w14:paraId="64A25DA2" w14:textId="7F94AF47" w:rsidR="00EE751E" w:rsidRPr="00B57B36" w:rsidRDefault="003A0830" w:rsidP="00507B47">
            <w:pPr>
              <w:pStyle w:val="CETBodytext"/>
              <w:ind w:right="-1"/>
              <w:rPr>
                <w:rFonts w:cs="Arial"/>
                <w:szCs w:val="18"/>
                <w:lang w:val="en-GB"/>
              </w:rPr>
            </w:pPr>
            <w:r>
              <w:rPr>
                <w:rFonts w:cs="Arial"/>
                <w:szCs w:val="18"/>
                <w:lang w:val="en-GB"/>
              </w:rPr>
              <w:t>82.09</w:t>
            </w:r>
          </w:p>
        </w:tc>
      </w:tr>
      <w:tr w:rsidR="00600535" w:rsidRPr="00B57B36" w14:paraId="1777C522" w14:textId="77777777" w:rsidTr="00A17843">
        <w:tc>
          <w:tcPr>
            <w:tcW w:w="1134" w:type="dxa"/>
            <w:shd w:val="clear" w:color="auto" w:fill="FFFFFF"/>
          </w:tcPr>
          <w:p w14:paraId="59954EC2" w14:textId="764B0D3D" w:rsidR="00600535" w:rsidRPr="00B57B36" w:rsidRDefault="00EE751E" w:rsidP="00507B47">
            <w:pPr>
              <w:pStyle w:val="CETBodytext"/>
              <w:ind w:right="-1"/>
              <w:rPr>
                <w:rFonts w:cs="Arial"/>
                <w:szCs w:val="18"/>
                <w:lang w:val="en-GB"/>
              </w:rPr>
            </w:pPr>
            <w:r>
              <w:rPr>
                <w:rFonts w:cs="Arial"/>
                <w:szCs w:val="18"/>
                <w:lang w:val="en-GB"/>
              </w:rPr>
              <w:t>S1:5P</w:t>
            </w:r>
          </w:p>
        </w:tc>
        <w:tc>
          <w:tcPr>
            <w:tcW w:w="1134" w:type="dxa"/>
            <w:shd w:val="clear" w:color="auto" w:fill="FFFFFF"/>
          </w:tcPr>
          <w:p w14:paraId="4FFB40F7" w14:textId="4D30EB83" w:rsidR="00600535" w:rsidRPr="00B57B36" w:rsidRDefault="00EE751E" w:rsidP="00507B47">
            <w:pPr>
              <w:pStyle w:val="CETBodytext"/>
              <w:ind w:right="-1"/>
              <w:rPr>
                <w:rFonts w:cs="Arial"/>
                <w:szCs w:val="18"/>
                <w:lang w:val="en-GB"/>
              </w:rPr>
            </w:pPr>
            <w:r>
              <w:rPr>
                <w:rFonts w:cs="Arial"/>
                <w:szCs w:val="18"/>
                <w:lang w:val="en-GB"/>
              </w:rPr>
              <w:t>6</w:t>
            </w:r>
          </w:p>
        </w:tc>
        <w:tc>
          <w:tcPr>
            <w:tcW w:w="1134" w:type="dxa"/>
            <w:shd w:val="clear" w:color="auto" w:fill="FFFFFF"/>
          </w:tcPr>
          <w:p w14:paraId="74F8316C" w14:textId="3D3919EC" w:rsidR="00600535" w:rsidRPr="00B57B36" w:rsidRDefault="003A0830" w:rsidP="00507B47">
            <w:pPr>
              <w:pStyle w:val="CETBodytext"/>
              <w:ind w:right="-1"/>
              <w:rPr>
                <w:rFonts w:cs="Arial"/>
                <w:szCs w:val="18"/>
                <w:lang w:val="en-GB"/>
              </w:rPr>
            </w:pPr>
            <w:r>
              <w:rPr>
                <w:rFonts w:cs="Arial"/>
                <w:szCs w:val="18"/>
                <w:lang w:val="en-GB"/>
              </w:rPr>
              <w:t>2.04</w:t>
            </w:r>
          </w:p>
        </w:tc>
        <w:tc>
          <w:tcPr>
            <w:tcW w:w="1134" w:type="dxa"/>
            <w:shd w:val="clear" w:color="auto" w:fill="FFFFFF"/>
          </w:tcPr>
          <w:p w14:paraId="708CF970" w14:textId="04835DD0" w:rsidR="00600535" w:rsidRPr="00B57B36" w:rsidRDefault="003A0830" w:rsidP="00507B47">
            <w:pPr>
              <w:pStyle w:val="CETBodytext"/>
              <w:ind w:right="-1"/>
              <w:rPr>
                <w:rFonts w:cs="Arial"/>
                <w:szCs w:val="18"/>
                <w:lang w:val="en-GB"/>
              </w:rPr>
            </w:pPr>
            <w:r>
              <w:rPr>
                <w:rFonts w:cs="Arial"/>
                <w:szCs w:val="18"/>
                <w:lang w:val="en-GB"/>
              </w:rPr>
              <w:t>6.72</w:t>
            </w:r>
          </w:p>
        </w:tc>
        <w:tc>
          <w:tcPr>
            <w:tcW w:w="1134" w:type="dxa"/>
            <w:shd w:val="clear" w:color="auto" w:fill="FFFFFF"/>
          </w:tcPr>
          <w:p w14:paraId="6B4A2B9B" w14:textId="24898AC4" w:rsidR="00600535" w:rsidRPr="00B57B36" w:rsidRDefault="003A0830" w:rsidP="00507B47">
            <w:pPr>
              <w:pStyle w:val="CETBodytext"/>
              <w:ind w:right="-1"/>
              <w:rPr>
                <w:rFonts w:cs="Arial"/>
                <w:szCs w:val="18"/>
                <w:lang w:val="en-GB"/>
              </w:rPr>
            </w:pPr>
            <w:r>
              <w:rPr>
                <w:rFonts w:cs="Arial"/>
                <w:szCs w:val="18"/>
                <w:lang w:val="en-GB"/>
              </w:rPr>
              <w:t>78.08</w:t>
            </w:r>
          </w:p>
        </w:tc>
      </w:tr>
    </w:tbl>
    <w:p w14:paraId="0B14DA53" w14:textId="008D37A7" w:rsidR="00BD52EA" w:rsidRDefault="00BD52EA" w:rsidP="00BD52EA">
      <w:pPr>
        <w:pStyle w:val="CETBodytext"/>
      </w:pPr>
      <w:r w:rsidRPr="00395658">
        <w:lastRenderedPageBreak/>
        <w:t xml:space="preserve">The data presented in </w:t>
      </w:r>
      <w:r>
        <w:fldChar w:fldCharType="begin"/>
      </w:r>
      <w:r>
        <w:instrText xml:space="preserve"> REF _Ref156078769 \h </w:instrText>
      </w:r>
      <w:r>
        <w:fldChar w:fldCharType="separate"/>
      </w:r>
      <w:r>
        <w:t xml:space="preserve">Table </w:t>
      </w:r>
      <w:r>
        <w:rPr>
          <w:noProof/>
        </w:rPr>
        <w:t>1</w:t>
      </w:r>
      <w:r>
        <w:fldChar w:fldCharType="end"/>
      </w:r>
      <w:r>
        <w:t xml:space="preserve"> </w:t>
      </w:r>
      <w:r w:rsidRPr="00395658">
        <w:t>clearly demonstrate that the addition of pollen to sesame</w:t>
      </w:r>
      <w:r>
        <w:t xml:space="preserve"> </w:t>
      </w:r>
      <w:r w:rsidRPr="003F57DD">
        <w:t>(</w:t>
      </w:r>
      <w:r w:rsidRPr="003F57DD">
        <w:rPr>
          <w:i/>
          <w:iCs/>
        </w:rPr>
        <w:t>Sesamum indicum L</w:t>
      </w:r>
      <w:r w:rsidRPr="003F57DD">
        <w:t>.)</w:t>
      </w:r>
      <w:r>
        <w:t xml:space="preserve"> </w:t>
      </w:r>
      <w:r w:rsidRPr="00395658">
        <w:t xml:space="preserve">seed mixtures leads to an increase in productivity. Consequently, the mixture with the highest proportion of sesame </w:t>
      </w:r>
      <w:r w:rsidRPr="003F57DD">
        <w:t>(</w:t>
      </w:r>
      <w:r w:rsidRPr="003F57DD">
        <w:rPr>
          <w:i/>
          <w:iCs/>
        </w:rPr>
        <w:t>Sesamum indicum L</w:t>
      </w:r>
      <w:r w:rsidRPr="003F57DD">
        <w:t>.)</w:t>
      </w:r>
      <w:r>
        <w:t xml:space="preserve"> </w:t>
      </w:r>
      <w:r w:rsidRPr="00395658">
        <w:t>seeds exhibits the highest volumetric productivity, which can be justified by the low pH levels it reaches in a shorter period, thus achieving the desired value expeditiously.</w:t>
      </w:r>
    </w:p>
    <w:p w14:paraId="2C943E2D" w14:textId="1439DE61" w:rsidR="00EE751E" w:rsidRDefault="00750C8F" w:rsidP="00EE751E">
      <w:pPr>
        <w:pStyle w:val="CETheadingx"/>
      </w:pPr>
      <w:r w:rsidRPr="00750C8F">
        <w:t>Sensory analysis</w:t>
      </w:r>
    </w:p>
    <w:p w14:paraId="15F95AB4" w14:textId="16C2B137" w:rsidR="00600955" w:rsidRPr="00600955" w:rsidRDefault="00600955" w:rsidP="0058777B">
      <w:pPr>
        <w:pStyle w:val="CETBodytext"/>
      </w:pPr>
      <w:r w:rsidRPr="00600955">
        <w:t xml:space="preserve">The acceptability of </w:t>
      </w:r>
      <w:r>
        <w:t>beverages</w:t>
      </w:r>
      <w:r w:rsidRPr="00600955">
        <w:t xml:space="preserve"> based on sesame</w:t>
      </w:r>
      <w:r w:rsidR="00116A30">
        <w:t xml:space="preserve"> </w:t>
      </w:r>
      <w:r w:rsidR="00116A30" w:rsidRPr="003F57DD">
        <w:t>(</w:t>
      </w:r>
      <w:r w:rsidR="00116A30" w:rsidRPr="003F57DD">
        <w:rPr>
          <w:i/>
          <w:iCs/>
        </w:rPr>
        <w:t>Sesamum indicum L</w:t>
      </w:r>
      <w:r w:rsidR="00116A30" w:rsidRPr="003F57DD">
        <w:t>.)</w:t>
      </w:r>
      <w:r w:rsidRPr="00600955">
        <w:t>, pollen</w:t>
      </w:r>
      <w:r w:rsidR="002037FB">
        <w:t>,</w:t>
      </w:r>
      <w:r w:rsidRPr="00600955">
        <w:t xml:space="preserve"> and </w:t>
      </w:r>
      <w:r w:rsidR="00B046EF">
        <w:t xml:space="preserve">the </w:t>
      </w:r>
      <w:r w:rsidRPr="00600955">
        <w:t xml:space="preserve">addition of honey was evaluated with the sensory analysis shown in </w:t>
      </w:r>
      <w:r w:rsidR="00CA07E5">
        <w:fldChar w:fldCharType="begin"/>
      </w:r>
      <w:r w:rsidR="00CA07E5">
        <w:instrText xml:space="preserve"> REF _Ref156079772 \h </w:instrText>
      </w:r>
      <w:r w:rsidR="00CA07E5">
        <w:fldChar w:fldCharType="separate"/>
      </w:r>
      <w:r w:rsidR="00CA07E5">
        <w:t xml:space="preserve">Table </w:t>
      </w:r>
      <w:r w:rsidR="00CA07E5">
        <w:rPr>
          <w:noProof/>
        </w:rPr>
        <w:t>2</w:t>
      </w:r>
      <w:r w:rsidR="00CA07E5">
        <w:fldChar w:fldCharType="end"/>
      </w:r>
      <w:r w:rsidRPr="00600955">
        <w:t xml:space="preserve">. The scores obtained for the drinks showed an increasing trend with the reduction of sesame </w:t>
      </w:r>
      <w:r w:rsidR="00116A30" w:rsidRPr="003F57DD">
        <w:t>(</w:t>
      </w:r>
      <w:r w:rsidR="00116A30" w:rsidRPr="003F57DD">
        <w:rPr>
          <w:i/>
          <w:iCs/>
        </w:rPr>
        <w:t>Sesamum indicum L</w:t>
      </w:r>
      <w:r w:rsidR="00116A30" w:rsidRPr="003F57DD">
        <w:t>.)</w:t>
      </w:r>
      <w:r w:rsidR="00116A30">
        <w:t xml:space="preserve"> </w:t>
      </w:r>
      <w:r w:rsidRPr="00600955">
        <w:t>seed</w:t>
      </w:r>
      <w:r w:rsidR="00116A30">
        <w:t>s</w:t>
      </w:r>
      <w:r w:rsidRPr="00600955">
        <w:t xml:space="preserve"> content in</w:t>
      </w:r>
      <w:r w:rsidR="002037FB">
        <w:t xml:space="preserve"> the</w:t>
      </w:r>
      <w:r w:rsidRPr="00600955">
        <w:t xml:space="preserve"> mix. Consequently, sample S1:5H presented a higher value with the addition of pollen, which is why sample S1:5PH, showed a higher value, mainly due to the sweet flavor provided by the inclusion of honey. The appearance showed good acceptability (value greater than or equal to 3) </w:t>
      </w:r>
      <w:r>
        <w:rPr>
          <w:lang w:val="es-CO"/>
        </w:rPr>
        <w:fldChar w:fldCharType="begin" w:fldLock="1"/>
      </w:r>
      <w:r w:rsidRPr="00600955">
        <w:instrText>ADDIN CSL_CITATION {"citationItems":[{"id":"ITEM-1","itemData":{"author":[{"dropping-particle":"","family":"Benavides Martín","given":"María Angélica","non-dropping-particle":"","parse-names":false,"suffix":""}],"id":"ITEM-1","issued":{"date-parts":[["2019"]]},"number-of-pages":"274","publisher":"Universidad Nacional de Colombia. Bogotá, D.C.","title":"Application of lactic fermentation as a strategy for the transformation and valorization of vegetable matrices","type":"thesis"},"uris":["http://www.mendeley.com/documents/?uuid=f821474d-1375-4005-aacd-bb9188975784"]}],"mendeley":{"formattedCitation":"(Benavides Martín, 2019)","plainTextFormattedCitation":"(Benavides Martín, 2019)","previouslyFormattedCitation":"(Benavides Martín, 2019)"},"properties":{"noteIndex":0},"schema":"https://github.com/citation-style-language/schema/raw/master/csl-citation.json"}</w:instrText>
      </w:r>
      <w:r>
        <w:rPr>
          <w:lang w:val="es-CO"/>
        </w:rPr>
        <w:fldChar w:fldCharType="separate"/>
      </w:r>
      <w:r w:rsidRPr="00600955">
        <w:rPr>
          <w:noProof/>
        </w:rPr>
        <w:t>(Benavides Martín, 2019)</w:t>
      </w:r>
      <w:r>
        <w:rPr>
          <w:lang w:val="es-CO"/>
        </w:rPr>
        <w:fldChar w:fldCharType="end"/>
      </w:r>
      <w:r w:rsidRPr="00600955">
        <w:t>.</w:t>
      </w:r>
      <w:r>
        <w:t xml:space="preserve"> </w:t>
      </w:r>
      <w:r w:rsidRPr="00600955">
        <w:t>However, it is worth noting that the color imparted by pollen played a crucial role in the evaluation process, as it significantly influenced the perception of the respondents. Furthermore, the consistency, color</w:t>
      </w:r>
      <w:r w:rsidR="00B046EF">
        <w:t>,</w:t>
      </w:r>
      <w:r w:rsidRPr="00600955">
        <w:t xml:space="preserve"> and characteristic odor of the drinks were markedly improved in samples containing pollen (S1:3PH and S1:5PH). This resulted in higher viscosity and better physical characteristics compared to samples S1:3H and S1:5H. It is important to mention that samples S 1:3 H and S 1:5 H obtained low scores, mainly due to the detection of a bitter taste. However, this </w:t>
      </w:r>
      <w:r w:rsidR="00822E22" w:rsidRPr="00822E22">
        <w:t>characteristic</w:t>
      </w:r>
      <w:r w:rsidRPr="00600955">
        <w:t xml:space="preserve"> can be addressed by incorporating other solutions derived from plant matrices </w:t>
      </w:r>
      <w:r>
        <w:rPr>
          <w:lang w:val="es-CO"/>
        </w:rPr>
        <w:fldChar w:fldCharType="begin" w:fldLock="1"/>
      </w:r>
      <w:r w:rsidRPr="00600955">
        <w:instrText>ADDIN CSL_CITATION {"citationItems":[{"id":"ITEM-1","itemData":{"ISSN":"2343-6115","abstract":"RESUMEN El creciente interés de la industria alimentaria por ofrecer alternativas ante la demanda mundial de alimentos, ha contribuido a que se desarrollen nuevos productos alimenticios que permitan aprovechar y conservar las materias primas utilizadas para la elaboración de los mismos y representen una nueva opción de consumo para la población a la cual van dirigidos. El propósito de esta investigación fue evaluar las características químicas y sensoriales de una crema para untar a base de una mezcla de leche de soya y leche de ajonjolí, para cumplirlo se aplicó un diseño experimental de mezclas de dos componentes (proporción de leche de soya y proporción de leche de ajonjolí) mediante el cual se establecieron cinco protocolos para la elaboración de la mezcla. Posteriormente se realizó la valoración sensorial a un panel de 100 consumidores, a través de una escala no estructurada, para evaluar olor, sabor, textura y untabilidad. La crema para untar que obtuvo mayor aceptabilidad fue elaborada con la mezcla A (90% leche de soya-10% leche de ajonjolí); los datos de los atributos textura y untabilidad permitieron desarrollar modelos que mostraron el efecto de las concentraciones de leche de soya y leche de ajonjolí en estos atributos, pero solo el modelo respectivo a la textura permitió</w:instrText>
      </w:r>
      <w:r>
        <w:rPr>
          <w:lang w:val="es-CO"/>
        </w:rPr>
        <w:instrText xml:space="preserve"> estimar que la mejor textura en la crema para untar se obtiene con un 71,25% de leche de soya y 28,75% de leche de ajonjolí, para</w:instrText>
      </w:r>
      <w:r w:rsidRPr="00600955">
        <w:instrText xml:space="preserve"> alcanzar una respuesta de 6,482 en la textura. Finalmente se evaluaron las características químicas de la crema para untar obteniendo que, comparado con otro alimento untable como la mayonesa, este nuevo producto presenta un balance nutricional con mayor contenido de proteínas y menor proporción de grasa. Palabras clave: Diseño de mezcla, emulsión, simplex-lattice.","author":[{"dropping-particle":"","family":"Moncada","given":"Jaramis","non-dropping-particle":"","parse-names":false,"suffix":""},{"dropping-particle":"","family":"Durán","given":"Luis","non-dropping-particle":"","parse-names":false,"suffix":""},{"dropping-particle":"","family":"García","given":"Tonny","non-dropping-particle":"","parse-names":false,"suffix":""},{"dropping-particle":"","family":"Roberti","given":"Daniel","non-dropping-particle":"","parse-names":false,"suffix":""}],"container-title":"Revista científica A.S.A","id":"ITEM-1","issued":{"date-parts":[["2019"]]},"page":"24-47","title":"Chemical and sensory evaluation of a cream based soy milk (Glicine max) and ajonjolí milk (Sesamum indicum)","type":"article-journal","volume":"23"},"uris":["http://www.mendeley.com/documents/?uuid=e7ebd8d3-70fd-4376-8897-fda009a14376"]}],"mendeley":{"formattedCitation":"(Moncada et al., 2019)","plainTextFormattedCitation":"(Moncada et al., 2019)","previouslyFormattedCitation":"(Moncada et al., 2019)"},"properties":{"noteIndex":0},"schema":"https://github.com/citation-style-language/schema/raw/master/csl-citation.json"}</w:instrText>
      </w:r>
      <w:r>
        <w:rPr>
          <w:lang w:val="es-CO"/>
        </w:rPr>
        <w:fldChar w:fldCharType="separate"/>
      </w:r>
      <w:r w:rsidRPr="00600955">
        <w:rPr>
          <w:noProof/>
        </w:rPr>
        <w:t>(Moncada et al., 2019)</w:t>
      </w:r>
      <w:r>
        <w:rPr>
          <w:lang w:val="es-CO"/>
        </w:rPr>
        <w:fldChar w:fldCharType="end"/>
      </w:r>
      <w:r w:rsidRPr="00600955">
        <w:t xml:space="preserve"> or using honey, as has been demonstrated in this research.</w:t>
      </w:r>
    </w:p>
    <w:p w14:paraId="0EE144C0" w14:textId="67A05A29" w:rsidR="0053309E" w:rsidRDefault="0053309E" w:rsidP="00155F02">
      <w:pPr>
        <w:pStyle w:val="CETTabletitle"/>
      </w:pPr>
      <w:bookmarkStart w:id="3" w:name="_Ref156079772"/>
      <w:r>
        <w:t xml:space="preserve">Table </w:t>
      </w:r>
      <w:r>
        <w:fldChar w:fldCharType="begin"/>
      </w:r>
      <w:r>
        <w:instrText xml:space="preserve"> SEQ Table \* ARABIC </w:instrText>
      </w:r>
      <w:r>
        <w:fldChar w:fldCharType="separate"/>
      </w:r>
      <w:r>
        <w:rPr>
          <w:noProof/>
        </w:rPr>
        <w:t>2</w:t>
      </w:r>
      <w:r>
        <w:fldChar w:fldCharType="end"/>
      </w:r>
      <w:bookmarkEnd w:id="3"/>
      <w:r>
        <w:t xml:space="preserve">: </w:t>
      </w:r>
      <w:r w:rsidR="00155F02" w:rsidRPr="00155F02">
        <w:t>Sensory analysis results in sesame-based drinks and bee products</w:t>
      </w:r>
    </w:p>
    <w:tbl>
      <w:tblPr>
        <w:tblW w:w="884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065"/>
        <w:gridCol w:w="1069"/>
        <w:gridCol w:w="917"/>
        <w:gridCol w:w="1120"/>
        <w:gridCol w:w="1007"/>
        <w:gridCol w:w="867"/>
        <w:gridCol w:w="1101"/>
        <w:gridCol w:w="991"/>
      </w:tblGrid>
      <w:tr w:rsidR="00155F02" w:rsidRPr="00B57B36" w14:paraId="388474DB" w14:textId="0177C339" w:rsidTr="00B046EF">
        <w:tc>
          <w:tcPr>
            <w:tcW w:w="709" w:type="dxa"/>
            <w:tcBorders>
              <w:top w:val="single" w:sz="12" w:space="0" w:color="008000"/>
              <w:bottom w:val="single" w:sz="6" w:space="0" w:color="008000"/>
            </w:tcBorders>
            <w:shd w:val="clear" w:color="auto" w:fill="FFFFFF"/>
          </w:tcPr>
          <w:p w14:paraId="722D40C2" w14:textId="77777777" w:rsidR="00155F02" w:rsidRPr="00B57B36" w:rsidRDefault="00155F02" w:rsidP="00A12398">
            <w:pPr>
              <w:pStyle w:val="CETBodytext"/>
              <w:jc w:val="center"/>
              <w:rPr>
                <w:lang w:val="en-GB"/>
              </w:rPr>
            </w:pPr>
            <w:r>
              <w:rPr>
                <w:lang w:val="en-GB"/>
              </w:rPr>
              <w:t>Sample</w:t>
            </w:r>
          </w:p>
        </w:tc>
        <w:tc>
          <w:tcPr>
            <w:tcW w:w="1065" w:type="dxa"/>
            <w:tcBorders>
              <w:top w:val="single" w:sz="12" w:space="0" w:color="008000"/>
              <w:bottom w:val="single" w:sz="6" w:space="0" w:color="008000"/>
            </w:tcBorders>
            <w:shd w:val="clear" w:color="auto" w:fill="FFFFFF"/>
          </w:tcPr>
          <w:p w14:paraId="4D1A3D2D" w14:textId="5451758C" w:rsidR="00155F02" w:rsidRPr="00B57B36" w:rsidRDefault="00155F02" w:rsidP="00A12398">
            <w:pPr>
              <w:pStyle w:val="CETBodytext"/>
              <w:jc w:val="center"/>
              <w:rPr>
                <w:lang w:val="en-GB"/>
              </w:rPr>
            </w:pPr>
            <w:r>
              <w:rPr>
                <w:lang w:val="en-GB"/>
              </w:rPr>
              <w:t>Appearance</w:t>
            </w:r>
          </w:p>
        </w:tc>
        <w:tc>
          <w:tcPr>
            <w:tcW w:w="1069" w:type="dxa"/>
            <w:tcBorders>
              <w:top w:val="single" w:sz="12" w:space="0" w:color="008000"/>
              <w:bottom w:val="single" w:sz="6" w:space="0" w:color="008000"/>
            </w:tcBorders>
            <w:shd w:val="clear" w:color="auto" w:fill="FFFFFF"/>
          </w:tcPr>
          <w:p w14:paraId="02A9B401" w14:textId="1D9961EE" w:rsidR="00155F02" w:rsidRPr="00B57B36" w:rsidRDefault="00155F02" w:rsidP="00A12398">
            <w:pPr>
              <w:pStyle w:val="CETBodytext"/>
              <w:jc w:val="center"/>
              <w:rPr>
                <w:lang w:val="en-GB"/>
              </w:rPr>
            </w:pPr>
            <w:r>
              <w:rPr>
                <w:lang w:val="en-GB"/>
              </w:rPr>
              <w:t>Consistency</w:t>
            </w:r>
          </w:p>
        </w:tc>
        <w:tc>
          <w:tcPr>
            <w:tcW w:w="917" w:type="dxa"/>
            <w:tcBorders>
              <w:top w:val="single" w:sz="12" w:space="0" w:color="008000"/>
              <w:bottom w:val="single" w:sz="6" w:space="0" w:color="008000"/>
            </w:tcBorders>
            <w:shd w:val="clear" w:color="auto" w:fill="FFFFFF"/>
          </w:tcPr>
          <w:p w14:paraId="436B36DF" w14:textId="34127D3F" w:rsidR="00155F02" w:rsidRPr="00B57B36" w:rsidRDefault="00155F02" w:rsidP="00A12398">
            <w:pPr>
              <w:pStyle w:val="CETBodytext"/>
              <w:ind w:right="-1"/>
              <w:jc w:val="center"/>
              <w:rPr>
                <w:rFonts w:cs="Arial"/>
                <w:szCs w:val="18"/>
                <w:lang w:val="en-GB"/>
              </w:rPr>
            </w:pPr>
            <w:r>
              <w:rPr>
                <w:rFonts w:cs="Arial"/>
                <w:szCs w:val="18"/>
                <w:lang w:val="en-GB"/>
              </w:rPr>
              <w:t>Color</w:t>
            </w:r>
          </w:p>
        </w:tc>
        <w:tc>
          <w:tcPr>
            <w:tcW w:w="1120" w:type="dxa"/>
            <w:tcBorders>
              <w:top w:val="single" w:sz="12" w:space="0" w:color="008000"/>
              <w:bottom w:val="single" w:sz="6" w:space="0" w:color="008000"/>
            </w:tcBorders>
            <w:shd w:val="clear" w:color="auto" w:fill="FFFFFF"/>
          </w:tcPr>
          <w:p w14:paraId="0324DED0" w14:textId="0EEAA46B" w:rsidR="00155F02" w:rsidRPr="00B57B36" w:rsidRDefault="00155F02" w:rsidP="00A12398">
            <w:pPr>
              <w:pStyle w:val="CETBodytext"/>
              <w:ind w:right="-1"/>
              <w:jc w:val="center"/>
              <w:rPr>
                <w:rFonts w:cs="Arial"/>
                <w:szCs w:val="18"/>
                <w:lang w:val="en-GB"/>
              </w:rPr>
            </w:pPr>
            <w:r>
              <w:rPr>
                <w:rFonts w:cs="Arial"/>
                <w:szCs w:val="18"/>
                <w:lang w:val="en-GB"/>
              </w:rPr>
              <w:t>Characteristic smell</w:t>
            </w:r>
          </w:p>
        </w:tc>
        <w:tc>
          <w:tcPr>
            <w:tcW w:w="1007" w:type="dxa"/>
            <w:tcBorders>
              <w:top w:val="single" w:sz="12" w:space="0" w:color="008000"/>
              <w:bottom w:val="single" w:sz="6" w:space="0" w:color="008000"/>
            </w:tcBorders>
            <w:shd w:val="clear" w:color="auto" w:fill="FFFFFF"/>
          </w:tcPr>
          <w:p w14:paraId="5D26F9CA" w14:textId="4DABECF9" w:rsidR="00155F02" w:rsidRDefault="00155F02" w:rsidP="00A12398">
            <w:pPr>
              <w:pStyle w:val="CETBodytext"/>
              <w:ind w:right="-1"/>
              <w:jc w:val="center"/>
              <w:rPr>
                <w:rFonts w:cs="Arial"/>
                <w:szCs w:val="18"/>
                <w:lang w:val="en-GB"/>
              </w:rPr>
            </w:pPr>
            <w:r>
              <w:rPr>
                <w:rFonts w:cs="Arial"/>
                <w:szCs w:val="18"/>
                <w:lang w:val="en-GB"/>
              </w:rPr>
              <w:t>Sour taste</w:t>
            </w:r>
          </w:p>
        </w:tc>
        <w:tc>
          <w:tcPr>
            <w:tcW w:w="867" w:type="dxa"/>
            <w:tcBorders>
              <w:top w:val="single" w:sz="12" w:space="0" w:color="008000"/>
              <w:bottom w:val="single" w:sz="6" w:space="0" w:color="008000"/>
            </w:tcBorders>
            <w:shd w:val="clear" w:color="auto" w:fill="FFFFFF"/>
          </w:tcPr>
          <w:p w14:paraId="475246A2" w14:textId="220FE4CD" w:rsidR="00155F02" w:rsidRDefault="00155F02" w:rsidP="00A12398">
            <w:pPr>
              <w:pStyle w:val="CETBodytext"/>
              <w:ind w:right="-1"/>
              <w:jc w:val="center"/>
              <w:rPr>
                <w:rFonts w:cs="Arial"/>
                <w:szCs w:val="18"/>
                <w:lang w:val="en-GB"/>
              </w:rPr>
            </w:pPr>
            <w:r>
              <w:rPr>
                <w:rFonts w:cs="Arial"/>
                <w:szCs w:val="18"/>
                <w:lang w:val="en-GB"/>
              </w:rPr>
              <w:t>Sweet taste</w:t>
            </w:r>
          </w:p>
        </w:tc>
        <w:tc>
          <w:tcPr>
            <w:tcW w:w="1101" w:type="dxa"/>
            <w:tcBorders>
              <w:top w:val="single" w:sz="12" w:space="0" w:color="008000"/>
              <w:bottom w:val="single" w:sz="6" w:space="0" w:color="008000"/>
            </w:tcBorders>
            <w:shd w:val="clear" w:color="auto" w:fill="FFFFFF"/>
          </w:tcPr>
          <w:p w14:paraId="2FBF24D2" w14:textId="078DEACE" w:rsidR="00155F02" w:rsidRDefault="00155F02" w:rsidP="00A12398">
            <w:pPr>
              <w:pStyle w:val="CETBodytext"/>
              <w:ind w:right="-1"/>
              <w:jc w:val="center"/>
              <w:rPr>
                <w:rFonts w:cs="Arial"/>
                <w:szCs w:val="18"/>
                <w:lang w:val="en-GB"/>
              </w:rPr>
            </w:pPr>
            <w:r>
              <w:rPr>
                <w:rFonts w:cs="Arial"/>
                <w:szCs w:val="18"/>
                <w:lang w:val="en-GB"/>
              </w:rPr>
              <w:t>Characteristic flavor</w:t>
            </w:r>
          </w:p>
        </w:tc>
        <w:tc>
          <w:tcPr>
            <w:tcW w:w="991" w:type="dxa"/>
            <w:tcBorders>
              <w:top w:val="single" w:sz="12" w:space="0" w:color="008000"/>
              <w:bottom w:val="single" w:sz="6" w:space="0" w:color="008000"/>
            </w:tcBorders>
            <w:shd w:val="clear" w:color="auto" w:fill="FFFFFF"/>
          </w:tcPr>
          <w:p w14:paraId="6A890106" w14:textId="3561FA98" w:rsidR="00155F02" w:rsidRDefault="00155F02" w:rsidP="00A12398">
            <w:pPr>
              <w:pStyle w:val="CETBodytext"/>
              <w:ind w:right="-1"/>
              <w:jc w:val="center"/>
              <w:rPr>
                <w:rFonts w:cs="Arial"/>
                <w:szCs w:val="18"/>
                <w:lang w:val="en-GB"/>
              </w:rPr>
            </w:pPr>
            <w:r>
              <w:rPr>
                <w:rFonts w:cs="Arial"/>
                <w:szCs w:val="18"/>
                <w:lang w:val="en-GB"/>
              </w:rPr>
              <w:t>General acceptability</w:t>
            </w:r>
          </w:p>
        </w:tc>
      </w:tr>
      <w:tr w:rsidR="00155F02" w:rsidRPr="00B57B36" w14:paraId="7AB4B507" w14:textId="24F9408A" w:rsidTr="00B046EF">
        <w:tc>
          <w:tcPr>
            <w:tcW w:w="709" w:type="dxa"/>
            <w:shd w:val="clear" w:color="auto" w:fill="FFFFFF"/>
          </w:tcPr>
          <w:p w14:paraId="4C83BE3E" w14:textId="02D7807E" w:rsidR="00155F02" w:rsidRPr="00B57B36" w:rsidRDefault="00155F02" w:rsidP="0053309E">
            <w:pPr>
              <w:pStyle w:val="CETBodytext"/>
              <w:rPr>
                <w:lang w:val="en-GB"/>
              </w:rPr>
            </w:pPr>
            <w:r>
              <w:rPr>
                <w:lang w:val="en-GB"/>
              </w:rPr>
              <w:t>S1:3H</w:t>
            </w:r>
          </w:p>
        </w:tc>
        <w:tc>
          <w:tcPr>
            <w:tcW w:w="1065" w:type="dxa"/>
            <w:shd w:val="clear" w:color="auto" w:fill="FFFFFF"/>
          </w:tcPr>
          <w:p w14:paraId="75262258" w14:textId="52329386" w:rsidR="00155F02" w:rsidRPr="00B57B36" w:rsidRDefault="00155F02" w:rsidP="0053309E">
            <w:pPr>
              <w:pStyle w:val="CETBodytext"/>
              <w:rPr>
                <w:lang w:val="en-GB"/>
              </w:rPr>
            </w:pPr>
            <w:r>
              <w:rPr>
                <w:lang w:val="en-GB"/>
              </w:rPr>
              <w:t>3.2</w:t>
            </w:r>
            <w:r w:rsidR="005E7636">
              <w:rPr>
                <w:lang w:val="en-GB"/>
              </w:rPr>
              <w:t>5</w:t>
            </w:r>
            <w:r>
              <w:rPr>
                <w:lang w:val="en-GB"/>
              </w:rPr>
              <w:t xml:space="preserve"> </w:t>
            </w:r>
            <w:r>
              <w:rPr>
                <w:rFonts w:cs="Arial"/>
                <w:lang w:val="en-GB"/>
              </w:rPr>
              <w:t xml:space="preserve">± </w:t>
            </w:r>
            <w:r>
              <w:rPr>
                <w:lang w:val="en-GB"/>
              </w:rPr>
              <w:t>0.8</w:t>
            </w:r>
          </w:p>
        </w:tc>
        <w:tc>
          <w:tcPr>
            <w:tcW w:w="1069" w:type="dxa"/>
            <w:shd w:val="clear" w:color="auto" w:fill="FFFFFF"/>
          </w:tcPr>
          <w:p w14:paraId="5300714B" w14:textId="79526BFE" w:rsidR="00155F02" w:rsidRPr="00B57B36" w:rsidRDefault="00155F02" w:rsidP="0053309E">
            <w:pPr>
              <w:pStyle w:val="CETBodytext"/>
              <w:rPr>
                <w:lang w:val="en-GB"/>
              </w:rPr>
            </w:pPr>
            <w:r>
              <w:rPr>
                <w:lang w:val="en-GB"/>
              </w:rPr>
              <w:t>2</w:t>
            </w:r>
            <w:r w:rsidRPr="00155F02">
              <w:rPr>
                <w:lang w:val="en-GB"/>
              </w:rPr>
              <w:t>.</w:t>
            </w:r>
            <w:r w:rsidR="002942BC">
              <w:rPr>
                <w:lang w:val="en-GB"/>
              </w:rPr>
              <w:t>7</w:t>
            </w:r>
            <w:r w:rsidR="005E7636">
              <w:rPr>
                <w:lang w:val="en-GB"/>
              </w:rPr>
              <w:t>3</w:t>
            </w:r>
            <w:r w:rsidRPr="00155F02">
              <w:rPr>
                <w:lang w:val="en-GB"/>
              </w:rPr>
              <w:t xml:space="preserve"> ± 0.</w:t>
            </w:r>
            <w:r>
              <w:rPr>
                <w:lang w:val="en-GB"/>
              </w:rPr>
              <w:t>5</w:t>
            </w:r>
          </w:p>
        </w:tc>
        <w:tc>
          <w:tcPr>
            <w:tcW w:w="917" w:type="dxa"/>
            <w:shd w:val="clear" w:color="auto" w:fill="FFFFFF"/>
          </w:tcPr>
          <w:p w14:paraId="530736AB" w14:textId="6A05FA30" w:rsidR="00155F02" w:rsidRPr="00B57B36" w:rsidRDefault="00155F02" w:rsidP="0053309E">
            <w:pPr>
              <w:pStyle w:val="CETBodytext"/>
              <w:ind w:right="-1"/>
              <w:rPr>
                <w:rFonts w:cs="Arial"/>
                <w:szCs w:val="18"/>
                <w:lang w:val="en-GB"/>
              </w:rPr>
            </w:pPr>
            <w:r>
              <w:rPr>
                <w:rFonts w:cs="Arial"/>
                <w:szCs w:val="18"/>
                <w:lang w:val="en-GB"/>
              </w:rPr>
              <w:t>2.5</w:t>
            </w:r>
            <w:r w:rsidR="005E7636">
              <w:rPr>
                <w:rFonts w:cs="Arial"/>
                <w:szCs w:val="18"/>
                <w:lang w:val="en-GB"/>
              </w:rPr>
              <w:t>6</w:t>
            </w:r>
            <w:r w:rsidRPr="00155F02">
              <w:rPr>
                <w:rFonts w:cs="Arial"/>
                <w:szCs w:val="18"/>
                <w:lang w:val="en-GB"/>
              </w:rPr>
              <w:t xml:space="preserve"> ± 0.</w:t>
            </w:r>
            <w:r>
              <w:rPr>
                <w:rFonts w:cs="Arial"/>
                <w:szCs w:val="18"/>
                <w:lang w:val="en-GB"/>
              </w:rPr>
              <w:t>7</w:t>
            </w:r>
          </w:p>
        </w:tc>
        <w:tc>
          <w:tcPr>
            <w:tcW w:w="1120" w:type="dxa"/>
            <w:shd w:val="clear" w:color="auto" w:fill="FFFFFF"/>
          </w:tcPr>
          <w:p w14:paraId="56C91197" w14:textId="025BFAA7" w:rsidR="00155F02" w:rsidRPr="00B57B36" w:rsidRDefault="00833D03" w:rsidP="0053309E">
            <w:pPr>
              <w:pStyle w:val="CETBodytext"/>
              <w:ind w:right="-1"/>
              <w:rPr>
                <w:rFonts w:cs="Arial"/>
                <w:szCs w:val="18"/>
                <w:lang w:val="en-GB"/>
              </w:rPr>
            </w:pPr>
            <w:r>
              <w:rPr>
                <w:rFonts w:cs="Arial"/>
                <w:szCs w:val="18"/>
                <w:lang w:val="en-GB"/>
              </w:rPr>
              <w:t>3.2</w:t>
            </w:r>
            <w:r w:rsidR="005E7636">
              <w:rPr>
                <w:rFonts w:cs="Arial"/>
                <w:szCs w:val="18"/>
                <w:lang w:val="en-GB"/>
              </w:rPr>
              <w:t>1</w:t>
            </w:r>
            <w:r w:rsidR="00155F02" w:rsidRPr="00155F02">
              <w:rPr>
                <w:rFonts w:cs="Arial"/>
                <w:szCs w:val="18"/>
                <w:lang w:val="en-GB"/>
              </w:rPr>
              <w:t xml:space="preserve"> ± 0.</w:t>
            </w:r>
            <w:r w:rsidR="002942BC">
              <w:rPr>
                <w:rFonts w:cs="Arial"/>
                <w:szCs w:val="18"/>
                <w:lang w:val="en-GB"/>
              </w:rPr>
              <w:t>5</w:t>
            </w:r>
          </w:p>
        </w:tc>
        <w:tc>
          <w:tcPr>
            <w:tcW w:w="1007" w:type="dxa"/>
            <w:shd w:val="clear" w:color="auto" w:fill="FFFFFF"/>
          </w:tcPr>
          <w:p w14:paraId="10F33E71" w14:textId="1DAB8BC6" w:rsidR="00155F02" w:rsidRDefault="00833D03" w:rsidP="0053309E">
            <w:pPr>
              <w:pStyle w:val="CETBodytext"/>
              <w:ind w:right="-1"/>
              <w:rPr>
                <w:rFonts w:cs="Arial"/>
                <w:szCs w:val="18"/>
                <w:lang w:val="en-GB"/>
              </w:rPr>
            </w:pPr>
            <w:r>
              <w:rPr>
                <w:rFonts w:cs="Arial"/>
                <w:szCs w:val="18"/>
                <w:lang w:val="en-GB"/>
              </w:rPr>
              <w:t>3.0</w:t>
            </w:r>
            <w:r w:rsidR="005E7636">
              <w:rPr>
                <w:rFonts w:cs="Arial"/>
                <w:szCs w:val="18"/>
                <w:lang w:val="en-GB"/>
              </w:rPr>
              <w:t>5</w:t>
            </w:r>
            <w:r w:rsidR="00155F02" w:rsidRPr="00155F02">
              <w:rPr>
                <w:rFonts w:cs="Arial"/>
                <w:szCs w:val="18"/>
                <w:lang w:val="en-GB"/>
              </w:rPr>
              <w:t xml:space="preserve"> ± 0.8</w:t>
            </w:r>
          </w:p>
        </w:tc>
        <w:tc>
          <w:tcPr>
            <w:tcW w:w="867" w:type="dxa"/>
            <w:shd w:val="clear" w:color="auto" w:fill="FFFFFF"/>
          </w:tcPr>
          <w:p w14:paraId="70FE75BB" w14:textId="2177C79C" w:rsidR="00155F02" w:rsidRDefault="002942BC" w:rsidP="0053309E">
            <w:pPr>
              <w:pStyle w:val="CETBodytext"/>
              <w:ind w:right="-1"/>
              <w:rPr>
                <w:rFonts w:cs="Arial"/>
                <w:szCs w:val="18"/>
                <w:lang w:val="en-GB"/>
              </w:rPr>
            </w:pPr>
            <w:r>
              <w:rPr>
                <w:rFonts w:cs="Arial"/>
                <w:szCs w:val="18"/>
                <w:lang w:val="en-GB"/>
              </w:rPr>
              <w:t>2.</w:t>
            </w:r>
            <w:r w:rsidR="00833D03">
              <w:rPr>
                <w:rFonts w:cs="Arial"/>
                <w:szCs w:val="18"/>
                <w:lang w:val="en-GB"/>
              </w:rPr>
              <w:t>5</w:t>
            </w:r>
            <w:r w:rsidR="005E7636">
              <w:rPr>
                <w:rFonts w:cs="Arial"/>
                <w:szCs w:val="18"/>
                <w:lang w:val="en-GB"/>
              </w:rPr>
              <w:t xml:space="preserve">8 </w:t>
            </w:r>
            <w:r w:rsidR="00155F02" w:rsidRPr="00155F02">
              <w:rPr>
                <w:rFonts w:cs="Arial"/>
                <w:szCs w:val="18"/>
                <w:lang w:val="en-GB"/>
              </w:rPr>
              <w:t>± 0.8</w:t>
            </w:r>
          </w:p>
        </w:tc>
        <w:tc>
          <w:tcPr>
            <w:tcW w:w="1101" w:type="dxa"/>
            <w:shd w:val="clear" w:color="auto" w:fill="FFFFFF"/>
          </w:tcPr>
          <w:p w14:paraId="036983E6" w14:textId="0B31637F" w:rsidR="00155F02" w:rsidRDefault="00155F02" w:rsidP="0053309E">
            <w:pPr>
              <w:pStyle w:val="CETBodytext"/>
              <w:ind w:right="-1"/>
              <w:rPr>
                <w:rFonts w:cs="Arial"/>
                <w:szCs w:val="18"/>
                <w:lang w:val="en-GB"/>
              </w:rPr>
            </w:pPr>
            <w:r w:rsidRPr="00155F02">
              <w:rPr>
                <w:rFonts w:cs="Arial"/>
                <w:szCs w:val="18"/>
                <w:lang w:val="en-GB"/>
              </w:rPr>
              <w:t>3.</w:t>
            </w:r>
            <w:r w:rsidR="00833D03">
              <w:rPr>
                <w:rFonts w:cs="Arial"/>
                <w:szCs w:val="18"/>
                <w:lang w:val="en-GB"/>
              </w:rPr>
              <w:t>5</w:t>
            </w:r>
            <w:r w:rsidR="005E7636">
              <w:rPr>
                <w:rFonts w:cs="Arial"/>
                <w:szCs w:val="18"/>
                <w:lang w:val="en-GB"/>
              </w:rPr>
              <w:t>2</w:t>
            </w:r>
            <w:r w:rsidRPr="00155F02">
              <w:rPr>
                <w:rFonts w:cs="Arial"/>
                <w:szCs w:val="18"/>
                <w:lang w:val="en-GB"/>
              </w:rPr>
              <w:t xml:space="preserve"> ± 0.8</w:t>
            </w:r>
          </w:p>
        </w:tc>
        <w:tc>
          <w:tcPr>
            <w:tcW w:w="991" w:type="dxa"/>
            <w:shd w:val="clear" w:color="auto" w:fill="FFFFFF"/>
          </w:tcPr>
          <w:p w14:paraId="092DA8A8" w14:textId="00C2BEFB" w:rsidR="00155F02" w:rsidRDefault="00833D03" w:rsidP="0053309E">
            <w:pPr>
              <w:pStyle w:val="CETBodytext"/>
              <w:ind w:right="-1"/>
              <w:rPr>
                <w:rFonts w:cs="Arial"/>
                <w:szCs w:val="18"/>
                <w:lang w:val="en-GB"/>
              </w:rPr>
            </w:pPr>
            <w:r>
              <w:rPr>
                <w:rFonts w:cs="Arial"/>
                <w:szCs w:val="18"/>
                <w:lang w:val="en-GB"/>
              </w:rPr>
              <w:t>2</w:t>
            </w:r>
            <w:r w:rsidR="00155F02" w:rsidRPr="00155F02">
              <w:rPr>
                <w:rFonts w:cs="Arial"/>
                <w:szCs w:val="18"/>
                <w:lang w:val="en-GB"/>
              </w:rPr>
              <w:t>.</w:t>
            </w:r>
            <w:r>
              <w:rPr>
                <w:rFonts w:cs="Arial"/>
                <w:szCs w:val="18"/>
                <w:lang w:val="en-GB"/>
              </w:rPr>
              <w:t>8</w:t>
            </w:r>
            <w:r w:rsidR="005E7636">
              <w:rPr>
                <w:rFonts w:cs="Arial"/>
                <w:szCs w:val="18"/>
                <w:lang w:val="en-GB"/>
              </w:rPr>
              <w:t>7</w:t>
            </w:r>
            <w:r w:rsidR="00155F02" w:rsidRPr="00155F02">
              <w:rPr>
                <w:rFonts w:cs="Arial"/>
                <w:szCs w:val="18"/>
                <w:lang w:val="en-GB"/>
              </w:rPr>
              <w:t xml:space="preserve"> ± 0.8</w:t>
            </w:r>
          </w:p>
        </w:tc>
      </w:tr>
      <w:tr w:rsidR="00155F02" w:rsidRPr="00B57B36" w14:paraId="63B4ED64" w14:textId="37ABE330" w:rsidTr="00B046EF">
        <w:tc>
          <w:tcPr>
            <w:tcW w:w="709" w:type="dxa"/>
            <w:shd w:val="clear" w:color="auto" w:fill="FFFFFF"/>
          </w:tcPr>
          <w:p w14:paraId="0191D252" w14:textId="20690A76" w:rsidR="00155F02" w:rsidRPr="00B57B36" w:rsidRDefault="00155F02" w:rsidP="0053309E">
            <w:pPr>
              <w:pStyle w:val="CETBodytext"/>
              <w:rPr>
                <w:lang w:val="en-GB"/>
              </w:rPr>
            </w:pPr>
            <w:r>
              <w:rPr>
                <w:lang w:val="en-GB"/>
              </w:rPr>
              <w:t>S1:5H</w:t>
            </w:r>
          </w:p>
        </w:tc>
        <w:tc>
          <w:tcPr>
            <w:tcW w:w="1065" w:type="dxa"/>
            <w:shd w:val="clear" w:color="auto" w:fill="FFFFFF"/>
          </w:tcPr>
          <w:p w14:paraId="523E422B" w14:textId="0F51D5C8" w:rsidR="00155F02" w:rsidRPr="00B57B36" w:rsidRDefault="00155F02" w:rsidP="0053309E">
            <w:pPr>
              <w:pStyle w:val="CETBodytext"/>
              <w:rPr>
                <w:lang w:val="en-GB"/>
              </w:rPr>
            </w:pPr>
            <w:r w:rsidRPr="00155F02">
              <w:rPr>
                <w:lang w:val="en-GB"/>
              </w:rPr>
              <w:t>3.</w:t>
            </w:r>
            <w:r w:rsidR="00833D03">
              <w:rPr>
                <w:lang w:val="en-GB"/>
              </w:rPr>
              <w:t>0</w:t>
            </w:r>
            <w:r w:rsidR="00632FE3">
              <w:rPr>
                <w:lang w:val="en-GB"/>
              </w:rPr>
              <w:t>0</w:t>
            </w:r>
            <w:r w:rsidRPr="00155F02">
              <w:rPr>
                <w:lang w:val="en-GB"/>
              </w:rPr>
              <w:t xml:space="preserve"> ± 0.</w:t>
            </w:r>
            <w:r w:rsidR="00632FE3">
              <w:rPr>
                <w:lang w:val="en-GB"/>
              </w:rPr>
              <w:t>3</w:t>
            </w:r>
          </w:p>
        </w:tc>
        <w:tc>
          <w:tcPr>
            <w:tcW w:w="1069" w:type="dxa"/>
            <w:shd w:val="clear" w:color="auto" w:fill="FFFFFF"/>
          </w:tcPr>
          <w:p w14:paraId="397D562C" w14:textId="77E0A4FA" w:rsidR="00155F02" w:rsidRPr="00B57B36" w:rsidRDefault="00632FE3" w:rsidP="0053309E">
            <w:pPr>
              <w:pStyle w:val="CETBodytext"/>
              <w:rPr>
                <w:lang w:val="en-GB"/>
              </w:rPr>
            </w:pPr>
            <w:r>
              <w:rPr>
                <w:lang w:val="en-GB"/>
              </w:rPr>
              <w:t>2</w:t>
            </w:r>
            <w:r w:rsidR="00833D03" w:rsidRPr="00155F02">
              <w:rPr>
                <w:lang w:val="en-GB"/>
              </w:rPr>
              <w:t>.</w:t>
            </w:r>
            <w:r>
              <w:rPr>
                <w:lang w:val="en-GB"/>
              </w:rPr>
              <w:t>65</w:t>
            </w:r>
            <w:r w:rsidR="00833D03" w:rsidRPr="00155F02">
              <w:rPr>
                <w:lang w:val="en-GB"/>
              </w:rPr>
              <w:t xml:space="preserve"> ± 0.</w:t>
            </w:r>
            <w:r>
              <w:rPr>
                <w:lang w:val="en-GB"/>
              </w:rPr>
              <w:t>9</w:t>
            </w:r>
          </w:p>
        </w:tc>
        <w:tc>
          <w:tcPr>
            <w:tcW w:w="917" w:type="dxa"/>
            <w:shd w:val="clear" w:color="auto" w:fill="FFFFFF"/>
          </w:tcPr>
          <w:p w14:paraId="185FA02B" w14:textId="4EC1C3D7" w:rsidR="00155F02" w:rsidRPr="00B57B36" w:rsidRDefault="00632FE3" w:rsidP="0053309E">
            <w:pPr>
              <w:pStyle w:val="CETBodytext"/>
              <w:ind w:right="-1"/>
              <w:rPr>
                <w:rFonts w:cs="Arial"/>
                <w:szCs w:val="18"/>
                <w:lang w:val="en-GB"/>
              </w:rPr>
            </w:pPr>
            <w:r>
              <w:rPr>
                <w:lang w:val="en-GB"/>
              </w:rPr>
              <w:t>2</w:t>
            </w:r>
            <w:r w:rsidR="00833D03" w:rsidRPr="00155F02">
              <w:rPr>
                <w:lang w:val="en-GB"/>
              </w:rPr>
              <w:t>.</w:t>
            </w:r>
            <w:r>
              <w:rPr>
                <w:lang w:val="en-GB"/>
              </w:rPr>
              <w:t>31</w:t>
            </w:r>
            <w:r w:rsidR="00833D03" w:rsidRPr="00155F02">
              <w:rPr>
                <w:lang w:val="en-GB"/>
              </w:rPr>
              <w:t xml:space="preserve"> ± 0.8</w:t>
            </w:r>
          </w:p>
        </w:tc>
        <w:tc>
          <w:tcPr>
            <w:tcW w:w="1120" w:type="dxa"/>
            <w:shd w:val="clear" w:color="auto" w:fill="FFFFFF"/>
          </w:tcPr>
          <w:p w14:paraId="27903E5B" w14:textId="561CD4AC" w:rsidR="00155F02" w:rsidRPr="00B57B36" w:rsidRDefault="00833D03" w:rsidP="0053309E">
            <w:pPr>
              <w:pStyle w:val="CETBodytext"/>
              <w:ind w:right="-1"/>
              <w:rPr>
                <w:rFonts w:cs="Arial"/>
                <w:szCs w:val="18"/>
                <w:lang w:val="en-GB"/>
              </w:rPr>
            </w:pPr>
            <w:r w:rsidRPr="00155F02">
              <w:rPr>
                <w:lang w:val="en-GB"/>
              </w:rPr>
              <w:t>3.</w:t>
            </w:r>
            <w:r>
              <w:rPr>
                <w:lang w:val="en-GB"/>
              </w:rPr>
              <w:t>0</w:t>
            </w:r>
            <w:r w:rsidR="00632FE3">
              <w:rPr>
                <w:lang w:val="en-GB"/>
              </w:rPr>
              <w:t>5</w:t>
            </w:r>
            <w:r w:rsidRPr="00155F02">
              <w:rPr>
                <w:lang w:val="en-GB"/>
              </w:rPr>
              <w:t xml:space="preserve"> ± 0.</w:t>
            </w:r>
            <w:r w:rsidR="00632FE3">
              <w:rPr>
                <w:lang w:val="en-GB"/>
              </w:rPr>
              <w:t>4</w:t>
            </w:r>
          </w:p>
        </w:tc>
        <w:tc>
          <w:tcPr>
            <w:tcW w:w="1007" w:type="dxa"/>
            <w:shd w:val="clear" w:color="auto" w:fill="FFFFFF"/>
          </w:tcPr>
          <w:p w14:paraId="02DD5BC2" w14:textId="77C3D57E" w:rsidR="00155F02" w:rsidRDefault="00632FE3" w:rsidP="0053309E">
            <w:pPr>
              <w:pStyle w:val="CETBodytext"/>
              <w:ind w:right="-1"/>
              <w:rPr>
                <w:rFonts w:cs="Arial"/>
                <w:szCs w:val="18"/>
                <w:lang w:val="en-GB"/>
              </w:rPr>
            </w:pPr>
            <w:r>
              <w:rPr>
                <w:lang w:val="en-GB"/>
              </w:rPr>
              <w:t>2</w:t>
            </w:r>
            <w:r w:rsidR="00833D03" w:rsidRPr="00155F02">
              <w:rPr>
                <w:lang w:val="en-GB"/>
              </w:rPr>
              <w:t>.</w:t>
            </w:r>
            <w:r>
              <w:rPr>
                <w:lang w:val="en-GB"/>
              </w:rPr>
              <w:t>89</w:t>
            </w:r>
            <w:r w:rsidR="00833D03" w:rsidRPr="00155F02">
              <w:rPr>
                <w:lang w:val="en-GB"/>
              </w:rPr>
              <w:t xml:space="preserve"> ± 0.</w:t>
            </w:r>
            <w:r>
              <w:rPr>
                <w:lang w:val="en-GB"/>
              </w:rPr>
              <w:t>7</w:t>
            </w:r>
          </w:p>
        </w:tc>
        <w:tc>
          <w:tcPr>
            <w:tcW w:w="867" w:type="dxa"/>
            <w:shd w:val="clear" w:color="auto" w:fill="FFFFFF"/>
          </w:tcPr>
          <w:p w14:paraId="6BC680F7" w14:textId="76BD2D1B" w:rsidR="00155F02" w:rsidRDefault="00632FE3" w:rsidP="0053309E">
            <w:pPr>
              <w:pStyle w:val="CETBodytext"/>
              <w:ind w:right="-1"/>
              <w:rPr>
                <w:rFonts w:cs="Arial"/>
                <w:szCs w:val="18"/>
                <w:lang w:val="en-GB"/>
              </w:rPr>
            </w:pPr>
            <w:r>
              <w:rPr>
                <w:lang w:val="en-GB"/>
              </w:rPr>
              <w:t>2</w:t>
            </w:r>
            <w:r w:rsidR="00833D03" w:rsidRPr="00155F02">
              <w:rPr>
                <w:lang w:val="en-GB"/>
              </w:rPr>
              <w:t>.</w:t>
            </w:r>
            <w:r>
              <w:rPr>
                <w:lang w:val="en-GB"/>
              </w:rPr>
              <w:t>75</w:t>
            </w:r>
            <w:r w:rsidR="00833D03" w:rsidRPr="00155F02">
              <w:rPr>
                <w:lang w:val="en-GB"/>
              </w:rPr>
              <w:t xml:space="preserve"> ± </w:t>
            </w:r>
            <w:r>
              <w:rPr>
                <w:lang w:val="en-GB"/>
              </w:rPr>
              <w:t>0.7</w:t>
            </w:r>
          </w:p>
        </w:tc>
        <w:tc>
          <w:tcPr>
            <w:tcW w:w="1101" w:type="dxa"/>
            <w:shd w:val="clear" w:color="auto" w:fill="FFFFFF"/>
          </w:tcPr>
          <w:p w14:paraId="4CE7D5A7" w14:textId="53B1574E" w:rsidR="00155F02" w:rsidRDefault="00833D03" w:rsidP="0053309E">
            <w:pPr>
              <w:pStyle w:val="CETBodytext"/>
              <w:ind w:right="-1"/>
              <w:rPr>
                <w:rFonts w:cs="Arial"/>
                <w:szCs w:val="18"/>
                <w:lang w:val="en-GB"/>
              </w:rPr>
            </w:pPr>
            <w:r w:rsidRPr="00155F02">
              <w:rPr>
                <w:lang w:val="en-GB"/>
              </w:rPr>
              <w:t>3.</w:t>
            </w:r>
            <w:r w:rsidR="00632FE3">
              <w:rPr>
                <w:lang w:val="en-GB"/>
              </w:rPr>
              <w:t>13</w:t>
            </w:r>
            <w:r w:rsidRPr="00155F02">
              <w:rPr>
                <w:lang w:val="en-GB"/>
              </w:rPr>
              <w:t xml:space="preserve"> ± 0.</w:t>
            </w:r>
            <w:r w:rsidR="00632FE3">
              <w:rPr>
                <w:lang w:val="en-GB"/>
              </w:rPr>
              <w:t>6</w:t>
            </w:r>
          </w:p>
        </w:tc>
        <w:tc>
          <w:tcPr>
            <w:tcW w:w="991" w:type="dxa"/>
            <w:shd w:val="clear" w:color="auto" w:fill="FFFFFF"/>
          </w:tcPr>
          <w:p w14:paraId="58377E14" w14:textId="2D03FC1C" w:rsidR="00155F02" w:rsidRDefault="00833D03" w:rsidP="0053309E">
            <w:pPr>
              <w:pStyle w:val="CETBodytext"/>
              <w:ind w:right="-1"/>
              <w:rPr>
                <w:rFonts w:cs="Arial"/>
                <w:szCs w:val="18"/>
                <w:lang w:val="en-GB"/>
              </w:rPr>
            </w:pPr>
            <w:r w:rsidRPr="00155F02">
              <w:rPr>
                <w:lang w:val="en-GB"/>
              </w:rPr>
              <w:t>3.</w:t>
            </w:r>
            <w:r>
              <w:rPr>
                <w:lang w:val="en-GB"/>
              </w:rPr>
              <w:t>0</w:t>
            </w:r>
            <w:r w:rsidR="00D5430B">
              <w:rPr>
                <w:lang w:val="en-GB"/>
              </w:rPr>
              <w:t>9</w:t>
            </w:r>
            <w:r w:rsidRPr="00155F02">
              <w:rPr>
                <w:lang w:val="en-GB"/>
              </w:rPr>
              <w:t xml:space="preserve"> ± 0.8</w:t>
            </w:r>
          </w:p>
        </w:tc>
      </w:tr>
      <w:tr w:rsidR="00155F02" w:rsidRPr="00B57B36" w14:paraId="4815C461" w14:textId="63ECB6B5" w:rsidTr="00B046EF">
        <w:tc>
          <w:tcPr>
            <w:tcW w:w="709" w:type="dxa"/>
            <w:shd w:val="clear" w:color="auto" w:fill="FFFFFF"/>
          </w:tcPr>
          <w:p w14:paraId="2F040858" w14:textId="78C31C8B" w:rsidR="00155F02" w:rsidRPr="00B57B36" w:rsidRDefault="00155F02" w:rsidP="0053309E">
            <w:pPr>
              <w:pStyle w:val="CETBodytext"/>
              <w:rPr>
                <w:lang w:val="en-GB"/>
              </w:rPr>
            </w:pPr>
            <w:r>
              <w:rPr>
                <w:lang w:val="en-GB"/>
              </w:rPr>
              <w:t>S1:3PH</w:t>
            </w:r>
          </w:p>
        </w:tc>
        <w:tc>
          <w:tcPr>
            <w:tcW w:w="1065" w:type="dxa"/>
            <w:shd w:val="clear" w:color="auto" w:fill="FFFFFF"/>
          </w:tcPr>
          <w:p w14:paraId="48C0EAD7" w14:textId="42264A7A" w:rsidR="00155F02" w:rsidRPr="00B57B36" w:rsidRDefault="00D5430B" w:rsidP="0053309E">
            <w:pPr>
              <w:pStyle w:val="CETBodytext"/>
              <w:rPr>
                <w:lang w:val="en-GB"/>
              </w:rPr>
            </w:pPr>
            <w:r>
              <w:rPr>
                <w:lang w:val="en-GB"/>
              </w:rPr>
              <w:t>4</w:t>
            </w:r>
            <w:r w:rsidR="00155F02" w:rsidRPr="00155F02">
              <w:rPr>
                <w:lang w:val="en-GB"/>
              </w:rPr>
              <w:t>.</w:t>
            </w:r>
            <w:r>
              <w:rPr>
                <w:lang w:val="en-GB"/>
              </w:rPr>
              <w:t>05</w:t>
            </w:r>
            <w:r w:rsidR="00155F02" w:rsidRPr="00155F02">
              <w:rPr>
                <w:lang w:val="en-GB"/>
              </w:rPr>
              <w:t xml:space="preserve"> ± 0.</w:t>
            </w:r>
            <w:r>
              <w:rPr>
                <w:lang w:val="en-GB"/>
              </w:rPr>
              <w:t>3</w:t>
            </w:r>
          </w:p>
        </w:tc>
        <w:tc>
          <w:tcPr>
            <w:tcW w:w="1069" w:type="dxa"/>
            <w:shd w:val="clear" w:color="auto" w:fill="FFFFFF"/>
          </w:tcPr>
          <w:p w14:paraId="2BFE0FE6" w14:textId="0333A513" w:rsidR="00155F02" w:rsidRPr="00B57B36" w:rsidRDefault="00D5430B" w:rsidP="0053309E">
            <w:pPr>
              <w:pStyle w:val="CETBodytext"/>
              <w:rPr>
                <w:lang w:val="en-GB"/>
              </w:rPr>
            </w:pPr>
            <w:r>
              <w:rPr>
                <w:lang w:val="en-GB"/>
              </w:rPr>
              <w:t>4</w:t>
            </w:r>
            <w:r w:rsidRPr="00155F02">
              <w:rPr>
                <w:lang w:val="en-GB"/>
              </w:rPr>
              <w:t>.</w:t>
            </w:r>
            <w:r>
              <w:rPr>
                <w:lang w:val="en-GB"/>
              </w:rPr>
              <w:t>27</w:t>
            </w:r>
            <w:r w:rsidRPr="00155F02">
              <w:rPr>
                <w:lang w:val="en-GB"/>
              </w:rPr>
              <w:t xml:space="preserve"> ± 0.</w:t>
            </w:r>
            <w:r>
              <w:rPr>
                <w:lang w:val="en-GB"/>
              </w:rPr>
              <w:t>3</w:t>
            </w:r>
          </w:p>
        </w:tc>
        <w:tc>
          <w:tcPr>
            <w:tcW w:w="917" w:type="dxa"/>
            <w:shd w:val="clear" w:color="auto" w:fill="FFFFFF"/>
          </w:tcPr>
          <w:p w14:paraId="4CB4C392" w14:textId="3073193E" w:rsidR="00155F02" w:rsidRPr="00B57B36" w:rsidRDefault="00D5430B" w:rsidP="0053309E">
            <w:pPr>
              <w:pStyle w:val="CETBodytext"/>
              <w:ind w:right="-1"/>
              <w:rPr>
                <w:rFonts w:cs="Arial"/>
                <w:szCs w:val="18"/>
                <w:lang w:val="en-GB"/>
              </w:rPr>
            </w:pPr>
            <w:r>
              <w:rPr>
                <w:lang w:val="en-GB"/>
              </w:rPr>
              <w:t>3</w:t>
            </w:r>
            <w:r w:rsidRPr="00155F02">
              <w:rPr>
                <w:lang w:val="en-GB"/>
              </w:rPr>
              <w:t>.</w:t>
            </w:r>
            <w:r>
              <w:rPr>
                <w:lang w:val="en-GB"/>
              </w:rPr>
              <w:t>24</w:t>
            </w:r>
            <w:r w:rsidRPr="00155F02">
              <w:rPr>
                <w:lang w:val="en-GB"/>
              </w:rPr>
              <w:t xml:space="preserve"> ± 0.</w:t>
            </w:r>
            <w:r>
              <w:rPr>
                <w:lang w:val="en-GB"/>
              </w:rPr>
              <w:t>5</w:t>
            </w:r>
          </w:p>
        </w:tc>
        <w:tc>
          <w:tcPr>
            <w:tcW w:w="1120" w:type="dxa"/>
            <w:shd w:val="clear" w:color="auto" w:fill="FFFFFF"/>
          </w:tcPr>
          <w:p w14:paraId="4DBF89C9" w14:textId="282738D2" w:rsidR="00155F02" w:rsidRPr="00B57B36" w:rsidRDefault="00D5430B" w:rsidP="00E70147">
            <w:pPr>
              <w:pStyle w:val="CETBodytext"/>
              <w:ind w:right="-1"/>
              <w:rPr>
                <w:rFonts w:cs="Arial"/>
                <w:szCs w:val="18"/>
                <w:lang w:val="en-GB"/>
              </w:rPr>
            </w:pPr>
            <w:r>
              <w:rPr>
                <w:lang w:val="en-GB"/>
              </w:rPr>
              <w:t>3</w:t>
            </w:r>
            <w:r w:rsidRPr="00155F02">
              <w:rPr>
                <w:lang w:val="en-GB"/>
              </w:rPr>
              <w:t>.</w:t>
            </w:r>
            <w:r>
              <w:rPr>
                <w:lang w:val="en-GB"/>
              </w:rPr>
              <w:t>45</w:t>
            </w:r>
            <w:r w:rsidRPr="00155F02">
              <w:rPr>
                <w:lang w:val="en-GB"/>
              </w:rPr>
              <w:t xml:space="preserve"> ± 0.</w:t>
            </w:r>
            <w:r>
              <w:rPr>
                <w:lang w:val="en-GB"/>
              </w:rPr>
              <w:t>7</w:t>
            </w:r>
          </w:p>
        </w:tc>
        <w:tc>
          <w:tcPr>
            <w:tcW w:w="1007" w:type="dxa"/>
            <w:shd w:val="clear" w:color="auto" w:fill="FFFFFF"/>
          </w:tcPr>
          <w:p w14:paraId="3F0FF560" w14:textId="3478B227" w:rsidR="00155F02" w:rsidRDefault="00D5430B" w:rsidP="00E70147">
            <w:pPr>
              <w:pStyle w:val="CETBodytext"/>
              <w:ind w:right="-1"/>
              <w:rPr>
                <w:rFonts w:cs="Arial"/>
                <w:szCs w:val="18"/>
                <w:lang w:val="en-GB"/>
              </w:rPr>
            </w:pPr>
            <w:r>
              <w:rPr>
                <w:lang w:val="en-GB"/>
              </w:rPr>
              <w:t>3</w:t>
            </w:r>
            <w:r w:rsidRPr="00155F02">
              <w:rPr>
                <w:lang w:val="en-GB"/>
              </w:rPr>
              <w:t>.</w:t>
            </w:r>
            <w:r>
              <w:rPr>
                <w:lang w:val="en-GB"/>
              </w:rPr>
              <w:t>22</w:t>
            </w:r>
            <w:r w:rsidRPr="00155F02">
              <w:rPr>
                <w:lang w:val="en-GB"/>
              </w:rPr>
              <w:t xml:space="preserve"> ± 0.</w:t>
            </w:r>
            <w:r>
              <w:rPr>
                <w:lang w:val="en-GB"/>
              </w:rPr>
              <w:t>5</w:t>
            </w:r>
          </w:p>
        </w:tc>
        <w:tc>
          <w:tcPr>
            <w:tcW w:w="867" w:type="dxa"/>
            <w:shd w:val="clear" w:color="auto" w:fill="FFFFFF"/>
          </w:tcPr>
          <w:p w14:paraId="1045A652" w14:textId="7AF275DF" w:rsidR="00155F02" w:rsidRDefault="00D5430B" w:rsidP="00E70147">
            <w:pPr>
              <w:pStyle w:val="CETBodytext"/>
              <w:ind w:right="-1"/>
              <w:rPr>
                <w:rFonts w:cs="Arial"/>
                <w:szCs w:val="18"/>
                <w:lang w:val="en-GB"/>
              </w:rPr>
            </w:pPr>
            <w:r>
              <w:rPr>
                <w:lang w:val="en-GB"/>
              </w:rPr>
              <w:t>3</w:t>
            </w:r>
            <w:r w:rsidRPr="00155F02">
              <w:rPr>
                <w:lang w:val="en-GB"/>
              </w:rPr>
              <w:t>.</w:t>
            </w:r>
            <w:r>
              <w:rPr>
                <w:lang w:val="en-GB"/>
              </w:rPr>
              <w:t>60</w:t>
            </w:r>
            <w:r w:rsidRPr="00155F02">
              <w:rPr>
                <w:lang w:val="en-GB"/>
              </w:rPr>
              <w:t xml:space="preserve"> ± 0.</w:t>
            </w:r>
            <w:r>
              <w:rPr>
                <w:lang w:val="en-GB"/>
              </w:rPr>
              <w:t>3</w:t>
            </w:r>
          </w:p>
        </w:tc>
        <w:tc>
          <w:tcPr>
            <w:tcW w:w="1101" w:type="dxa"/>
            <w:shd w:val="clear" w:color="auto" w:fill="FFFFFF"/>
          </w:tcPr>
          <w:p w14:paraId="0FB9FAC1" w14:textId="6E4141ED" w:rsidR="00155F02" w:rsidRDefault="00D5430B" w:rsidP="00E70147">
            <w:pPr>
              <w:pStyle w:val="CETBodytext"/>
              <w:ind w:right="-1"/>
              <w:rPr>
                <w:rFonts w:cs="Arial"/>
                <w:szCs w:val="18"/>
                <w:lang w:val="en-GB"/>
              </w:rPr>
            </w:pPr>
            <w:r>
              <w:rPr>
                <w:lang w:val="en-GB"/>
              </w:rPr>
              <w:t>4</w:t>
            </w:r>
            <w:r w:rsidRPr="00155F02">
              <w:rPr>
                <w:lang w:val="en-GB"/>
              </w:rPr>
              <w:t>.</w:t>
            </w:r>
            <w:r w:rsidR="00126E5F">
              <w:rPr>
                <w:lang w:val="en-GB"/>
              </w:rPr>
              <w:t>15</w:t>
            </w:r>
            <w:r w:rsidRPr="00155F02">
              <w:rPr>
                <w:lang w:val="en-GB"/>
              </w:rPr>
              <w:t xml:space="preserve"> ± 0.</w:t>
            </w:r>
            <w:r w:rsidR="00126E5F">
              <w:rPr>
                <w:lang w:val="en-GB"/>
              </w:rPr>
              <w:t>2</w:t>
            </w:r>
          </w:p>
        </w:tc>
        <w:tc>
          <w:tcPr>
            <w:tcW w:w="991" w:type="dxa"/>
            <w:shd w:val="clear" w:color="auto" w:fill="FFFFFF"/>
          </w:tcPr>
          <w:p w14:paraId="0B2A17BF" w14:textId="056F8F08" w:rsidR="00155F02" w:rsidRDefault="00126E5F" w:rsidP="00E70147">
            <w:pPr>
              <w:pStyle w:val="CETBodytext"/>
              <w:ind w:right="-1"/>
              <w:rPr>
                <w:rFonts w:cs="Arial"/>
                <w:szCs w:val="18"/>
                <w:lang w:val="en-GB"/>
              </w:rPr>
            </w:pPr>
            <w:r>
              <w:rPr>
                <w:lang w:val="en-GB"/>
              </w:rPr>
              <w:t>3</w:t>
            </w:r>
            <w:r w:rsidRPr="00155F02">
              <w:rPr>
                <w:lang w:val="en-GB"/>
              </w:rPr>
              <w:t>.</w:t>
            </w:r>
            <w:r>
              <w:rPr>
                <w:lang w:val="en-GB"/>
              </w:rPr>
              <w:t>78</w:t>
            </w:r>
            <w:r w:rsidRPr="00155F02">
              <w:rPr>
                <w:lang w:val="en-GB"/>
              </w:rPr>
              <w:t xml:space="preserve"> ± 0.</w:t>
            </w:r>
            <w:r>
              <w:rPr>
                <w:lang w:val="en-GB"/>
              </w:rPr>
              <w:t>4</w:t>
            </w:r>
          </w:p>
        </w:tc>
      </w:tr>
      <w:tr w:rsidR="00155F02" w:rsidRPr="00B57B36" w14:paraId="278EA02B" w14:textId="68DDB3A1" w:rsidTr="00B046EF">
        <w:tc>
          <w:tcPr>
            <w:tcW w:w="709" w:type="dxa"/>
            <w:shd w:val="clear" w:color="auto" w:fill="FFFFFF"/>
          </w:tcPr>
          <w:p w14:paraId="061B8759" w14:textId="702B02DE" w:rsidR="00155F02" w:rsidRPr="00B57B36" w:rsidRDefault="00155F02" w:rsidP="00E70147">
            <w:pPr>
              <w:pStyle w:val="CETBodytext"/>
              <w:ind w:right="-1"/>
              <w:rPr>
                <w:rFonts w:cs="Arial"/>
                <w:szCs w:val="18"/>
                <w:lang w:val="en-GB"/>
              </w:rPr>
            </w:pPr>
            <w:r>
              <w:rPr>
                <w:rFonts w:cs="Arial"/>
                <w:szCs w:val="18"/>
                <w:lang w:val="en-GB"/>
              </w:rPr>
              <w:t>S1:5PH</w:t>
            </w:r>
          </w:p>
        </w:tc>
        <w:tc>
          <w:tcPr>
            <w:tcW w:w="1065" w:type="dxa"/>
            <w:shd w:val="clear" w:color="auto" w:fill="FFFFFF"/>
          </w:tcPr>
          <w:p w14:paraId="69240718" w14:textId="4CF16E6E" w:rsidR="00155F02" w:rsidRPr="00B57B36" w:rsidRDefault="00155F02" w:rsidP="00E70147">
            <w:pPr>
              <w:pStyle w:val="CETBodytext"/>
              <w:ind w:right="-1"/>
              <w:rPr>
                <w:rFonts w:cs="Arial"/>
                <w:szCs w:val="18"/>
                <w:lang w:val="en-GB"/>
              </w:rPr>
            </w:pPr>
            <w:r w:rsidRPr="00155F02">
              <w:rPr>
                <w:rFonts w:cs="Arial"/>
                <w:szCs w:val="18"/>
                <w:lang w:val="en-GB"/>
              </w:rPr>
              <w:t>3.</w:t>
            </w:r>
            <w:r w:rsidR="00D5430B">
              <w:rPr>
                <w:rFonts w:cs="Arial"/>
                <w:szCs w:val="18"/>
                <w:lang w:val="en-GB"/>
              </w:rPr>
              <w:t>84</w:t>
            </w:r>
            <w:r w:rsidRPr="00155F02">
              <w:rPr>
                <w:rFonts w:cs="Arial"/>
                <w:szCs w:val="18"/>
                <w:lang w:val="en-GB"/>
              </w:rPr>
              <w:t xml:space="preserve"> ± 0.</w:t>
            </w:r>
            <w:r w:rsidR="00D5430B">
              <w:rPr>
                <w:rFonts w:cs="Arial"/>
                <w:szCs w:val="18"/>
                <w:lang w:val="en-GB"/>
              </w:rPr>
              <w:t>6</w:t>
            </w:r>
          </w:p>
        </w:tc>
        <w:tc>
          <w:tcPr>
            <w:tcW w:w="1069" w:type="dxa"/>
            <w:shd w:val="clear" w:color="auto" w:fill="FFFFFF"/>
          </w:tcPr>
          <w:p w14:paraId="2631128A" w14:textId="53309F6F" w:rsidR="00155F02" w:rsidRPr="00B57B36" w:rsidRDefault="00D5430B" w:rsidP="00E70147">
            <w:pPr>
              <w:pStyle w:val="CETBodytext"/>
              <w:ind w:right="-1"/>
              <w:rPr>
                <w:rFonts w:cs="Arial"/>
                <w:szCs w:val="18"/>
                <w:lang w:val="en-GB"/>
              </w:rPr>
            </w:pPr>
            <w:r>
              <w:rPr>
                <w:lang w:val="en-GB"/>
              </w:rPr>
              <w:t>3</w:t>
            </w:r>
            <w:r w:rsidRPr="00155F02">
              <w:rPr>
                <w:lang w:val="en-GB"/>
              </w:rPr>
              <w:t>.</w:t>
            </w:r>
            <w:r>
              <w:rPr>
                <w:lang w:val="en-GB"/>
              </w:rPr>
              <w:t>49</w:t>
            </w:r>
            <w:r w:rsidRPr="00155F02">
              <w:rPr>
                <w:lang w:val="en-GB"/>
              </w:rPr>
              <w:t xml:space="preserve"> ± 0.</w:t>
            </w:r>
            <w:r>
              <w:rPr>
                <w:lang w:val="en-GB"/>
              </w:rPr>
              <w:t>3</w:t>
            </w:r>
          </w:p>
        </w:tc>
        <w:tc>
          <w:tcPr>
            <w:tcW w:w="917" w:type="dxa"/>
            <w:shd w:val="clear" w:color="auto" w:fill="FFFFFF"/>
          </w:tcPr>
          <w:p w14:paraId="43A10469" w14:textId="36133A00" w:rsidR="00155F02" w:rsidRPr="00B57B36" w:rsidRDefault="00D5430B" w:rsidP="00E70147">
            <w:pPr>
              <w:pStyle w:val="CETBodytext"/>
              <w:ind w:right="-1"/>
              <w:rPr>
                <w:rFonts w:cs="Arial"/>
                <w:szCs w:val="18"/>
                <w:lang w:val="en-GB"/>
              </w:rPr>
            </w:pPr>
            <w:r>
              <w:rPr>
                <w:lang w:val="en-GB"/>
              </w:rPr>
              <w:t>3</w:t>
            </w:r>
            <w:r w:rsidRPr="00155F02">
              <w:rPr>
                <w:lang w:val="en-GB"/>
              </w:rPr>
              <w:t>.</w:t>
            </w:r>
            <w:r>
              <w:rPr>
                <w:lang w:val="en-GB"/>
              </w:rPr>
              <w:t>52</w:t>
            </w:r>
            <w:r w:rsidRPr="00155F02">
              <w:rPr>
                <w:lang w:val="en-GB"/>
              </w:rPr>
              <w:t xml:space="preserve"> ± 0.</w:t>
            </w:r>
            <w:r>
              <w:rPr>
                <w:lang w:val="en-GB"/>
              </w:rPr>
              <w:t>3</w:t>
            </w:r>
          </w:p>
        </w:tc>
        <w:tc>
          <w:tcPr>
            <w:tcW w:w="1120" w:type="dxa"/>
            <w:shd w:val="clear" w:color="auto" w:fill="FFFFFF"/>
          </w:tcPr>
          <w:p w14:paraId="1333068A" w14:textId="11025B14" w:rsidR="00155F02" w:rsidRPr="00B57B36" w:rsidRDefault="00D5430B" w:rsidP="00E70147">
            <w:pPr>
              <w:pStyle w:val="CETBodytext"/>
              <w:ind w:right="-1"/>
              <w:rPr>
                <w:rFonts w:cs="Arial"/>
                <w:szCs w:val="18"/>
                <w:lang w:val="en-GB"/>
              </w:rPr>
            </w:pPr>
            <w:r>
              <w:rPr>
                <w:lang w:val="en-GB"/>
              </w:rPr>
              <w:t>3</w:t>
            </w:r>
            <w:r w:rsidRPr="00155F02">
              <w:rPr>
                <w:lang w:val="en-GB"/>
              </w:rPr>
              <w:t>.</w:t>
            </w:r>
            <w:r>
              <w:rPr>
                <w:lang w:val="en-GB"/>
              </w:rPr>
              <w:t>67</w:t>
            </w:r>
            <w:r w:rsidRPr="00155F02">
              <w:rPr>
                <w:lang w:val="en-GB"/>
              </w:rPr>
              <w:t xml:space="preserve"> ± 0.</w:t>
            </w:r>
            <w:r>
              <w:rPr>
                <w:lang w:val="en-GB"/>
              </w:rPr>
              <w:t>3</w:t>
            </w:r>
          </w:p>
        </w:tc>
        <w:tc>
          <w:tcPr>
            <w:tcW w:w="1007" w:type="dxa"/>
            <w:shd w:val="clear" w:color="auto" w:fill="FFFFFF"/>
          </w:tcPr>
          <w:p w14:paraId="12944DC2" w14:textId="470BE740" w:rsidR="00155F02" w:rsidRDefault="00D5430B" w:rsidP="00E70147">
            <w:pPr>
              <w:pStyle w:val="CETBodytext"/>
              <w:ind w:right="-1"/>
              <w:rPr>
                <w:rFonts w:cs="Arial"/>
                <w:szCs w:val="18"/>
                <w:lang w:val="en-GB"/>
              </w:rPr>
            </w:pPr>
            <w:r>
              <w:rPr>
                <w:lang w:val="en-GB"/>
              </w:rPr>
              <w:t>3</w:t>
            </w:r>
            <w:r w:rsidRPr="00155F02">
              <w:rPr>
                <w:lang w:val="en-GB"/>
              </w:rPr>
              <w:t>.</w:t>
            </w:r>
            <w:r>
              <w:rPr>
                <w:lang w:val="en-GB"/>
              </w:rPr>
              <w:t>56</w:t>
            </w:r>
            <w:r w:rsidRPr="00155F02">
              <w:rPr>
                <w:lang w:val="en-GB"/>
              </w:rPr>
              <w:t xml:space="preserve"> ± 0.</w:t>
            </w:r>
            <w:r>
              <w:rPr>
                <w:lang w:val="en-GB"/>
              </w:rPr>
              <w:t>3</w:t>
            </w:r>
          </w:p>
        </w:tc>
        <w:tc>
          <w:tcPr>
            <w:tcW w:w="867" w:type="dxa"/>
            <w:shd w:val="clear" w:color="auto" w:fill="FFFFFF"/>
          </w:tcPr>
          <w:p w14:paraId="36E78B01" w14:textId="565A47B0" w:rsidR="00155F02" w:rsidRDefault="00D5430B" w:rsidP="00E70147">
            <w:pPr>
              <w:pStyle w:val="CETBodytext"/>
              <w:ind w:right="-1"/>
              <w:rPr>
                <w:rFonts w:cs="Arial"/>
                <w:szCs w:val="18"/>
                <w:lang w:val="en-GB"/>
              </w:rPr>
            </w:pPr>
            <w:r>
              <w:rPr>
                <w:lang w:val="en-GB"/>
              </w:rPr>
              <w:t>3</w:t>
            </w:r>
            <w:r w:rsidRPr="00155F02">
              <w:rPr>
                <w:lang w:val="en-GB"/>
              </w:rPr>
              <w:t>.</w:t>
            </w:r>
            <w:r>
              <w:rPr>
                <w:lang w:val="en-GB"/>
              </w:rPr>
              <w:t>84</w:t>
            </w:r>
            <w:r w:rsidRPr="00155F02">
              <w:rPr>
                <w:lang w:val="en-GB"/>
              </w:rPr>
              <w:t xml:space="preserve"> ± 0.</w:t>
            </w:r>
            <w:r>
              <w:rPr>
                <w:lang w:val="en-GB"/>
              </w:rPr>
              <w:t>3</w:t>
            </w:r>
          </w:p>
        </w:tc>
        <w:tc>
          <w:tcPr>
            <w:tcW w:w="1101" w:type="dxa"/>
            <w:shd w:val="clear" w:color="auto" w:fill="FFFFFF"/>
          </w:tcPr>
          <w:p w14:paraId="53CF7B63" w14:textId="21ADDB97" w:rsidR="00155F02" w:rsidRDefault="00D5430B" w:rsidP="00E70147">
            <w:pPr>
              <w:pStyle w:val="CETBodytext"/>
              <w:ind w:right="-1"/>
              <w:rPr>
                <w:rFonts w:cs="Arial"/>
                <w:szCs w:val="18"/>
                <w:lang w:val="en-GB"/>
              </w:rPr>
            </w:pPr>
            <w:r>
              <w:rPr>
                <w:lang w:val="en-GB"/>
              </w:rPr>
              <w:t>4</w:t>
            </w:r>
            <w:r w:rsidRPr="00155F02">
              <w:rPr>
                <w:lang w:val="en-GB"/>
              </w:rPr>
              <w:t>.</w:t>
            </w:r>
            <w:r>
              <w:rPr>
                <w:lang w:val="en-GB"/>
              </w:rPr>
              <w:t>0</w:t>
            </w:r>
            <w:r w:rsidR="00126E5F">
              <w:rPr>
                <w:lang w:val="en-GB"/>
              </w:rPr>
              <w:t>3</w:t>
            </w:r>
            <w:r w:rsidRPr="00155F02">
              <w:rPr>
                <w:lang w:val="en-GB"/>
              </w:rPr>
              <w:t xml:space="preserve"> ± 0.</w:t>
            </w:r>
            <w:r w:rsidR="00126E5F">
              <w:rPr>
                <w:lang w:val="en-GB"/>
              </w:rPr>
              <w:t>4</w:t>
            </w:r>
          </w:p>
        </w:tc>
        <w:tc>
          <w:tcPr>
            <w:tcW w:w="991" w:type="dxa"/>
            <w:shd w:val="clear" w:color="auto" w:fill="FFFFFF"/>
          </w:tcPr>
          <w:p w14:paraId="1C411F00" w14:textId="69195D12" w:rsidR="00155F02" w:rsidRDefault="00126E5F" w:rsidP="00E70147">
            <w:pPr>
              <w:pStyle w:val="CETBodytext"/>
              <w:ind w:right="-1"/>
              <w:rPr>
                <w:rFonts w:cs="Arial"/>
                <w:szCs w:val="18"/>
                <w:lang w:val="en-GB"/>
              </w:rPr>
            </w:pPr>
            <w:r>
              <w:rPr>
                <w:lang w:val="en-GB"/>
              </w:rPr>
              <w:t>4.02</w:t>
            </w:r>
            <w:r w:rsidRPr="00155F02">
              <w:rPr>
                <w:lang w:val="en-GB"/>
              </w:rPr>
              <w:t xml:space="preserve"> ± 0.</w:t>
            </w:r>
            <w:r>
              <w:rPr>
                <w:lang w:val="en-GB"/>
              </w:rPr>
              <w:t>6</w:t>
            </w:r>
          </w:p>
        </w:tc>
      </w:tr>
    </w:tbl>
    <w:p w14:paraId="68D26B83" w14:textId="6C66533D" w:rsidR="00600535" w:rsidRPr="00B57B36" w:rsidRDefault="00600535" w:rsidP="00600535">
      <w:pPr>
        <w:pStyle w:val="CETHeading1"/>
        <w:rPr>
          <w:lang w:val="en-GB"/>
        </w:rPr>
      </w:pPr>
      <w:r w:rsidRPr="00B57B36">
        <w:rPr>
          <w:lang w:val="en-GB"/>
        </w:rPr>
        <w:t>Conclusions</w:t>
      </w:r>
    </w:p>
    <w:p w14:paraId="728D824F" w14:textId="77777777" w:rsidR="007E7DA7" w:rsidRDefault="005038BF" w:rsidP="003F258B">
      <w:pPr>
        <w:pStyle w:val="CETBodytext"/>
      </w:pPr>
      <w:bookmarkStart w:id="4" w:name="_Hlk156082385"/>
      <w:r w:rsidRPr="005038BF">
        <w:t xml:space="preserve">The growing demand for functional foods that offer benefits to people's health has become a prominent line of research. Within the Colombian Caribbean region, agriculture is the main driving force of its economy. However, there are numerous underutilized crops from which value-added products have not yet been obtained. In parallel, beekeeping has experienced significant growth in the region, with the emergence of new associations that prioritize bee well-being, environmental </w:t>
      </w:r>
      <w:r w:rsidR="00660FAB" w:rsidRPr="005038BF">
        <w:t>sustainability,</w:t>
      </w:r>
      <w:r w:rsidRPr="005038BF">
        <w:t xml:space="preserve"> and food security. In this context, this research project aimed to develop beverages through the lactic fermentation process, using sesame</w:t>
      </w:r>
      <w:r w:rsidR="00116A30">
        <w:t xml:space="preserve"> </w:t>
      </w:r>
      <w:r w:rsidR="00116A30" w:rsidRPr="003F57DD">
        <w:t>(</w:t>
      </w:r>
      <w:r w:rsidR="00116A30" w:rsidRPr="003F57DD">
        <w:rPr>
          <w:i/>
          <w:iCs/>
        </w:rPr>
        <w:t>Sesamum indicum L</w:t>
      </w:r>
      <w:r w:rsidR="00116A30" w:rsidRPr="003F57DD">
        <w:t>.)</w:t>
      </w:r>
      <w:r w:rsidR="00116A30">
        <w:t xml:space="preserve"> </w:t>
      </w:r>
      <w:r w:rsidRPr="005038BF">
        <w:t xml:space="preserve">seeds and beehive products, such as pollen and honey to contribute to the economy of the region. </w:t>
      </w:r>
    </w:p>
    <w:p w14:paraId="54248CA2" w14:textId="1623B2C2" w:rsidR="00A95049" w:rsidRPr="005038BF" w:rsidRDefault="0058267F" w:rsidP="003F258B">
      <w:pPr>
        <w:pStyle w:val="CETBodytext"/>
      </w:pPr>
      <w:r w:rsidRPr="0058267F">
        <w:t>The fermentation process monitored pH levels between 4 and 4.5,</w:t>
      </w:r>
      <w:r>
        <w:t xml:space="preserve"> </w:t>
      </w:r>
      <w:r w:rsidR="005038BF" w:rsidRPr="005038BF">
        <w:t xml:space="preserve">which took 10 to 6 </w:t>
      </w:r>
      <w:r w:rsidR="00B046EF" w:rsidRPr="00B046EF">
        <w:t>hours</w:t>
      </w:r>
      <w:r w:rsidR="005038BF" w:rsidRPr="005038BF">
        <w:t xml:space="preserve">, depending on the specific mixture. Throughout the fermentation period, a visible decrease in pH levels from 6.3 to 4.4 was observed. It is worth noting that the addition of pollen to the drinks caused a more rapid decrease in pH levels, starting from a lower initial pH value. Furthermore, the percentage of lactic acid (g/L) was found to be relatively higher in the S1:5 and S1:3 P samples, underlining the important influence of sesame </w:t>
      </w:r>
      <w:r w:rsidR="00116A30" w:rsidRPr="003F57DD">
        <w:t>(</w:t>
      </w:r>
      <w:r w:rsidR="00116A30" w:rsidRPr="003F57DD">
        <w:rPr>
          <w:i/>
          <w:iCs/>
        </w:rPr>
        <w:t>Sesamum indicum L</w:t>
      </w:r>
      <w:r w:rsidR="00116A30" w:rsidRPr="003F57DD">
        <w:t>.)</w:t>
      </w:r>
      <w:r w:rsidR="00116A30">
        <w:t xml:space="preserve"> </w:t>
      </w:r>
      <w:r w:rsidR="005038BF" w:rsidRPr="005038BF">
        <w:t>seed</w:t>
      </w:r>
      <w:r w:rsidR="00116A30">
        <w:t>s</w:t>
      </w:r>
      <w:r w:rsidR="005038BF" w:rsidRPr="005038BF">
        <w:t xml:space="preserve"> content on this parameter. In terms of volumetric productivity, the beverages showed notable levels, ranging between 54.60</w:t>
      </w:r>
      <w:r w:rsidR="00D71CDF">
        <w:t xml:space="preserve"> </w:t>
      </w:r>
      <w:r w:rsidR="005038BF" w:rsidRPr="005038BF">
        <w:t>% and 82.09</w:t>
      </w:r>
      <w:r w:rsidR="00D71CDF">
        <w:t xml:space="preserve"> </w:t>
      </w:r>
      <w:r w:rsidR="005038BF" w:rsidRPr="005038BF">
        <w:t>%, compared to other substrates and even cow's milk. The sensory evaluation carried out revealed a higher level of acceptability of drinks containing pollen and honey after the fermentation process. The inclusion of pollen contributed to improving several attributes, while honey provided the desired sweetness to counteract the acidity produced during fermentation.</w:t>
      </w:r>
    </w:p>
    <w:bookmarkEnd w:id="4"/>
    <w:p w14:paraId="459D05E6" w14:textId="62080B20" w:rsidR="00600535" w:rsidRPr="00B57B36" w:rsidRDefault="00600535" w:rsidP="00600535">
      <w:pPr>
        <w:pStyle w:val="CETAcknowledgementstitle"/>
      </w:pPr>
      <w:r w:rsidRPr="00B57B36">
        <w:t>Acknowledgments</w:t>
      </w:r>
    </w:p>
    <w:p w14:paraId="1D7214B5" w14:textId="65E562B5" w:rsidR="00CD3EA6" w:rsidRDefault="00CD3EA6" w:rsidP="00600535">
      <w:pPr>
        <w:pStyle w:val="CETBodytext"/>
        <w:rPr>
          <w:lang w:val="en-GB"/>
        </w:rPr>
      </w:pPr>
      <w:r>
        <w:rPr>
          <w:lang w:val="en-GB"/>
        </w:rPr>
        <w:t xml:space="preserve">The </w:t>
      </w:r>
      <w:r w:rsidRPr="00CD3EA6">
        <w:rPr>
          <w:lang w:val="en-GB"/>
        </w:rPr>
        <w:t xml:space="preserve">authors acknowledge the </w:t>
      </w:r>
      <w:r w:rsidRPr="00CD3EA6">
        <w:rPr>
          <w:i/>
          <w:iCs/>
          <w:lang w:val="en-GB"/>
        </w:rPr>
        <w:t>Universidad de Cartagena</w:t>
      </w:r>
      <w:r w:rsidRPr="00CD3EA6">
        <w:rPr>
          <w:lang w:val="en-GB"/>
        </w:rPr>
        <w:t xml:space="preserve"> and </w:t>
      </w:r>
      <w:r w:rsidRPr="00CD3EA6">
        <w:rPr>
          <w:i/>
          <w:iCs/>
          <w:lang w:val="en-GB"/>
        </w:rPr>
        <w:t>Colegio Montessori de Cartagena</w:t>
      </w:r>
      <w:r w:rsidRPr="00CD3EA6">
        <w:rPr>
          <w:lang w:val="en-GB"/>
        </w:rPr>
        <w:t xml:space="preserve"> for their support with the development of this research</w:t>
      </w:r>
      <w:r w:rsidR="00131E44">
        <w:rPr>
          <w:lang w:val="en-GB"/>
        </w:rPr>
        <w:t xml:space="preserve"> (</w:t>
      </w:r>
      <w:r w:rsidRPr="00CD3EA6">
        <w:rPr>
          <w:lang w:val="en-GB"/>
        </w:rPr>
        <w:t>Act 0</w:t>
      </w:r>
      <w:r w:rsidR="00131E44">
        <w:rPr>
          <w:lang w:val="en-GB"/>
        </w:rPr>
        <w:t>6</w:t>
      </w:r>
      <w:r w:rsidRPr="00CD3EA6">
        <w:rPr>
          <w:lang w:val="en-GB"/>
        </w:rPr>
        <w:t>6-20</w:t>
      </w:r>
      <w:r w:rsidR="00131E44">
        <w:rPr>
          <w:lang w:val="en-GB"/>
        </w:rPr>
        <w:t>2</w:t>
      </w:r>
      <w:r w:rsidR="00391A7D">
        <w:rPr>
          <w:lang w:val="en-GB"/>
        </w:rPr>
        <w:t>2</w:t>
      </w:r>
      <w:bookmarkStart w:id="5" w:name="_GoBack"/>
      <w:bookmarkEnd w:id="5"/>
      <w:r w:rsidRPr="00CD3EA6">
        <w:rPr>
          <w:lang w:val="en-GB"/>
        </w:rPr>
        <w:t xml:space="preserve"> and Act 041-2021</w:t>
      </w:r>
      <w:r w:rsidR="00131E44">
        <w:rPr>
          <w:lang w:val="en-GB"/>
        </w:rPr>
        <w:t>).</w:t>
      </w:r>
    </w:p>
    <w:p w14:paraId="4F1327F8" w14:textId="504A95D1" w:rsidR="00600535" w:rsidRPr="00B57B36" w:rsidRDefault="00600535" w:rsidP="00600535">
      <w:pPr>
        <w:pStyle w:val="CETReference"/>
      </w:pPr>
      <w:r w:rsidRPr="00B57B36">
        <w:t>References</w:t>
      </w:r>
    </w:p>
    <w:p w14:paraId="386ADE12" w14:textId="77777777" w:rsidR="00FA333C" w:rsidRPr="00FA333C" w:rsidRDefault="00FA333C" w:rsidP="00FA333C">
      <w:pPr>
        <w:tabs>
          <w:tab w:val="clear" w:pos="7100"/>
        </w:tabs>
        <w:ind w:left="284" w:hanging="284"/>
      </w:pPr>
      <w:r w:rsidRPr="00FA333C">
        <w:t xml:space="preserve">Agronet, 2021, Information and communication network of the Colombian agricultural sector (Agronet), </w:t>
      </w:r>
      <w:bookmarkStart w:id="6" w:name="_Hlk156081593"/>
      <w:r w:rsidRPr="00FA333C">
        <w:t>&lt;agronet.gov.co/estadistica/Paginas/home.aspx?cod=1&gt; accessed 04.01.2024.</w:t>
      </w:r>
      <w:bookmarkEnd w:id="6"/>
    </w:p>
    <w:p w14:paraId="76D62D5B" w14:textId="77777777" w:rsidR="00FA333C" w:rsidRPr="00FA333C" w:rsidRDefault="00FA333C" w:rsidP="00FA333C">
      <w:pPr>
        <w:tabs>
          <w:tab w:val="clear" w:pos="7100"/>
        </w:tabs>
        <w:ind w:left="284" w:hanging="284"/>
      </w:pPr>
      <w:r w:rsidRPr="00FA333C">
        <w:t xml:space="preserve">Alzate Mora D., 2020, Land concentration and Rural, Economic, and Social Development Interest Zones (Zidres) in Montes de María, María La Baja and Carmen de Bolívar, Prolegómenos, 23(46), 51–70. </w:t>
      </w:r>
    </w:p>
    <w:p w14:paraId="1196ED94" w14:textId="77777777" w:rsidR="00FA333C" w:rsidRPr="00FA333C" w:rsidRDefault="00FA333C" w:rsidP="00FA333C">
      <w:pPr>
        <w:tabs>
          <w:tab w:val="clear" w:pos="7100"/>
        </w:tabs>
        <w:ind w:left="284" w:hanging="284"/>
      </w:pPr>
      <w:r w:rsidRPr="00FA333C">
        <w:rPr>
          <w:lang w:val="en-US"/>
        </w:rPr>
        <w:lastRenderedPageBreak/>
        <w:t xml:space="preserve">Basso I. M., Lorenzo D. S., Mouteira M. C., Custo G. S., 2019, </w:t>
      </w:r>
      <w:r w:rsidRPr="00FA333C">
        <w:t xml:space="preserve">Mineral analysis of pollen by Total Reflection X-Ray Fluorescence, Applied Radiation and Isotopes, 152, 168–171. </w:t>
      </w:r>
    </w:p>
    <w:p w14:paraId="6625016F" w14:textId="77777777" w:rsidR="00FA333C" w:rsidRPr="00FA333C" w:rsidRDefault="00FA333C" w:rsidP="00FA333C">
      <w:pPr>
        <w:tabs>
          <w:tab w:val="clear" w:pos="7100"/>
        </w:tabs>
        <w:ind w:left="284" w:hanging="284"/>
        <w:rPr>
          <w:lang w:val="en-US"/>
        </w:rPr>
      </w:pPr>
      <w:r w:rsidRPr="00FA333C">
        <w:t xml:space="preserve">Benavides Martín M. A., 2019, Application of lactic fermentation as a strategy for the transformation and valorization of vegetable matrices, PhD Thesis, </w:t>
      </w:r>
      <w:r w:rsidRPr="00FA333C">
        <w:rPr>
          <w:lang w:val="en-US"/>
        </w:rPr>
        <w:t>Universidad Nacional de Colombia. Bogotá, D.C.</w:t>
      </w:r>
    </w:p>
    <w:p w14:paraId="34B4E1C8" w14:textId="77777777" w:rsidR="00FA333C" w:rsidRPr="00FA333C" w:rsidRDefault="00FA333C" w:rsidP="00FA333C">
      <w:pPr>
        <w:tabs>
          <w:tab w:val="clear" w:pos="7100"/>
        </w:tabs>
        <w:ind w:left="284" w:hanging="284"/>
        <w:rPr>
          <w:lang w:val="en-US"/>
        </w:rPr>
      </w:pPr>
      <w:r w:rsidRPr="00FA333C">
        <w:rPr>
          <w:lang w:val="en-US"/>
        </w:rPr>
        <w:t xml:space="preserve">Cante R. C., Gallo M., Nigro F., Vitelli C., Passannanti F., Budelli A. L., Nigro, R., 2022, Optimization of Mixing Conditions for improving Lactobacillus paracasei CBA L74’ s Growth during Lactic Fermentation of Cooked Navy Beans and Functional Characterization of the Fermented Products. Chemical Engineering Transactions, 93, 313–318. </w:t>
      </w:r>
    </w:p>
    <w:p w14:paraId="1A46830F" w14:textId="77777777" w:rsidR="00FA333C" w:rsidRPr="00FA333C" w:rsidRDefault="00FA333C" w:rsidP="00FA333C">
      <w:pPr>
        <w:tabs>
          <w:tab w:val="clear" w:pos="7100"/>
        </w:tabs>
        <w:ind w:left="284" w:hanging="284"/>
        <w:rPr>
          <w:lang w:val="es-CO"/>
        </w:rPr>
      </w:pPr>
      <w:r w:rsidRPr="00FA333C">
        <w:rPr>
          <w:lang w:val="en-US"/>
        </w:rPr>
        <w:t xml:space="preserve">Congress of the Republic of Colombia, 2021, Sesame bill approved in second debate. </w:t>
      </w:r>
      <w:r w:rsidRPr="00FA333C">
        <w:rPr>
          <w:lang w:val="es-CO"/>
        </w:rPr>
        <w:t>&lt;camara.gov.co/aprobado-en-segundo-debate-proyecto-de-ley-del-ajonjoli &gt; accessed 04.01.2024.</w:t>
      </w:r>
    </w:p>
    <w:p w14:paraId="1E1EA247" w14:textId="77777777" w:rsidR="00FA333C" w:rsidRPr="00FA333C" w:rsidRDefault="00FA333C" w:rsidP="00FA333C">
      <w:pPr>
        <w:tabs>
          <w:tab w:val="clear" w:pos="7100"/>
        </w:tabs>
        <w:ind w:left="284" w:hanging="284"/>
        <w:rPr>
          <w:lang w:val="en-US"/>
        </w:rPr>
      </w:pPr>
      <w:r w:rsidRPr="00FA333C">
        <w:rPr>
          <w:lang w:val="en-US"/>
        </w:rPr>
        <w:t xml:space="preserve">Cruz A., Cadena S., Faria J., Oliveira C., Cavalcanti R., Bona E., Bolini H., Da Silva M., 2011, </w:t>
      </w:r>
      <w:r w:rsidRPr="00FA333C">
        <w:t>Consumer acceptability and purchase intent of probiotic yoghurt with added glucose oxidase using sensometrics, artificial neural networks and logistic regression, International Journal of Dairy Technology, 64(4), 549–</w:t>
      </w:r>
    </w:p>
    <w:p w14:paraId="184450BE" w14:textId="77777777" w:rsidR="00FA333C" w:rsidRPr="00FA333C" w:rsidRDefault="00FA333C" w:rsidP="00FA333C">
      <w:pPr>
        <w:tabs>
          <w:tab w:val="clear" w:pos="7100"/>
        </w:tabs>
        <w:ind w:left="284" w:hanging="284"/>
        <w:rPr>
          <w:lang w:val="en-US"/>
        </w:rPr>
      </w:pPr>
      <w:r w:rsidRPr="00FA333C">
        <w:rPr>
          <w:lang w:val="en-US"/>
        </w:rPr>
        <w:t xml:space="preserve">Fuentes L., Acevedo D., Gelvez V., 2015, </w:t>
      </w:r>
      <w:r w:rsidRPr="00FA333C">
        <w:t xml:space="preserve">Functional foods: impact and challeges for development and weifare society Colombian, </w:t>
      </w:r>
      <w:r w:rsidRPr="00FA333C">
        <w:rPr>
          <w:lang w:val="en-US"/>
        </w:rPr>
        <w:t xml:space="preserve">Biotecnología en el sector Agropecuario y Agroindustrial, 13(2), 140–149. </w:t>
      </w:r>
    </w:p>
    <w:p w14:paraId="0FDA3F6D" w14:textId="77777777" w:rsidR="00FA333C" w:rsidRPr="00FA333C" w:rsidRDefault="00FA333C" w:rsidP="00FA333C">
      <w:pPr>
        <w:tabs>
          <w:tab w:val="clear" w:pos="7100"/>
        </w:tabs>
        <w:ind w:left="284" w:hanging="284"/>
        <w:rPr>
          <w:lang w:val="en-US"/>
        </w:rPr>
      </w:pPr>
      <w:r w:rsidRPr="00FA333C">
        <w:rPr>
          <w:lang w:val="en-US"/>
        </w:rPr>
        <w:t xml:space="preserve">Gallo M., Passannanti F., Colucci Cante R., Nigro F., Schiattarella P., Zappulla S., Budelli A., Nigro R., 2020, </w:t>
      </w:r>
      <w:r w:rsidRPr="00FA333C">
        <w:t xml:space="preserve">Lactic fermentation of cereals aqueous mixture of oat and rice flours with and without glucose addition, </w:t>
      </w:r>
      <w:r w:rsidRPr="00FA333C">
        <w:rPr>
          <w:lang w:val="en-US"/>
        </w:rPr>
        <w:t xml:space="preserve">Heliyon, 6(9), 6. </w:t>
      </w:r>
    </w:p>
    <w:p w14:paraId="42BFE721" w14:textId="77777777" w:rsidR="00FA333C" w:rsidRPr="00FA333C" w:rsidRDefault="00FA333C" w:rsidP="00FA333C">
      <w:pPr>
        <w:tabs>
          <w:tab w:val="clear" w:pos="7100"/>
        </w:tabs>
        <w:ind w:left="284" w:hanging="284"/>
      </w:pPr>
      <w:r w:rsidRPr="00FA333C">
        <w:rPr>
          <w:lang w:val="en-US"/>
        </w:rPr>
        <w:t xml:space="preserve">Hernández-Monzón A., Madernás-Sánchez D., Pérez-Argüelles R., Trujillo-Pérez G., González-Góngora I., Díaz-Abreu J., 2019, </w:t>
      </w:r>
      <w:r w:rsidRPr="00FA333C">
        <w:t>Development of a drink made with rice flour and sesame (Sesamum Indicum) and fermented with probiotic crops, Chemical Technology, 39(1), 89–104.</w:t>
      </w:r>
    </w:p>
    <w:p w14:paraId="5712AF1C" w14:textId="77777777" w:rsidR="00FA333C" w:rsidRPr="00FA333C" w:rsidRDefault="00FA333C" w:rsidP="00FA333C">
      <w:pPr>
        <w:tabs>
          <w:tab w:val="clear" w:pos="7100"/>
        </w:tabs>
        <w:ind w:left="284" w:hanging="284"/>
        <w:rPr>
          <w:lang w:val="en-US"/>
        </w:rPr>
      </w:pPr>
      <w:r w:rsidRPr="00FA333C">
        <w:t xml:space="preserve">Kitundu E., Young O., Seale B., Owens A., 2021, Lactic fermentation of cooked, comminuted mussel, Perna canaliculus, </w:t>
      </w:r>
      <w:r w:rsidRPr="00FA333C">
        <w:rPr>
          <w:lang w:val="en-US"/>
        </w:rPr>
        <w:t xml:space="preserve">Food Microbiology, 99, 103829. </w:t>
      </w:r>
    </w:p>
    <w:p w14:paraId="02D4A203" w14:textId="77777777" w:rsidR="00FA333C" w:rsidRPr="00FA333C" w:rsidRDefault="00FA333C" w:rsidP="00FA333C">
      <w:pPr>
        <w:tabs>
          <w:tab w:val="clear" w:pos="7100"/>
        </w:tabs>
        <w:ind w:left="284" w:hanging="284"/>
      </w:pPr>
      <w:r w:rsidRPr="00FA333C">
        <w:rPr>
          <w:lang w:val="en-US"/>
        </w:rPr>
        <w:t xml:space="preserve">Machado De-Melo A. A., De Almeida-Muradian L. B., Sancho M. T., Pascual-Maté A., 2018, </w:t>
      </w:r>
      <w:r w:rsidRPr="00FA333C">
        <w:t xml:space="preserve">Composition and properties of Apis mellifera honey: A review, Journal of Apicultural Research, 57(1), 5–37. </w:t>
      </w:r>
    </w:p>
    <w:p w14:paraId="32580297" w14:textId="77777777" w:rsidR="00FA333C" w:rsidRPr="00FA333C" w:rsidRDefault="00FA333C" w:rsidP="00FA333C">
      <w:pPr>
        <w:tabs>
          <w:tab w:val="clear" w:pos="7100"/>
        </w:tabs>
        <w:ind w:left="284" w:hanging="284"/>
      </w:pPr>
      <w:r w:rsidRPr="00FA333C">
        <w:t xml:space="preserve">Marco M. L., Heeney D., Binda S., Cifelli C. J., Cotter P. D., Foligné B., Gänzle M., Kort R., Pasin G., Pihlanto A., Smid E. J., Hutkins R., 2017, Health benefits of fermented foods: microbiota and beyond, Current Opinion in Biotechnology, 44, 94–102. </w:t>
      </w:r>
    </w:p>
    <w:p w14:paraId="756828DB" w14:textId="77777777" w:rsidR="00FA333C" w:rsidRPr="00FA333C" w:rsidRDefault="00FA333C" w:rsidP="00FA333C">
      <w:pPr>
        <w:tabs>
          <w:tab w:val="clear" w:pos="7100"/>
        </w:tabs>
        <w:ind w:left="284" w:hanging="284"/>
      </w:pPr>
      <w:r w:rsidRPr="00FA333C">
        <w:rPr>
          <w:lang w:val="en-US"/>
        </w:rPr>
        <w:t xml:space="preserve">Martínez F. G., Cuencas Barrientos M. E., Mozzi F., Pescuma M., 2019, </w:t>
      </w:r>
      <w:r w:rsidRPr="00FA333C">
        <w:t>Survival of selenium-enriched lactic acid bacteria in a fermented drink under storage and simulated gastro-intestinal digestion, Food Research International, 123, 115–124.</w:t>
      </w:r>
    </w:p>
    <w:p w14:paraId="37F44DC6" w14:textId="77777777" w:rsidR="00FA333C" w:rsidRPr="00FA333C" w:rsidRDefault="00FA333C" w:rsidP="00FA333C">
      <w:pPr>
        <w:tabs>
          <w:tab w:val="clear" w:pos="7100"/>
        </w:tabs>
        <w:ind w:left="284" w:hanging="284"/>
        <w:rPr>
          <w:lang w:val="en-US"/>
        </w:rPr>
      </w:pPr>
      <w:r w:rsidRPr="00FA333C">
        <w:rPr>
          <w:lang w:val="en-US"/>
        </w:rPr>
        <w:t xml:space="preserve">Moncada J., Durán L., García T., Roberti D., 2019, </w:t>
      </w:r>
      <w:r w:rsidRPr="00FA333C">
        <w:t xml:space="preserve">Chemical and sensory evaluation of a cream based soy milk (Glicine max) and sesame milk (Sesamum indicum), </w:t>
      </w:r>
      <w:r w:rsidRPr="00FA333C">
        <w:rPr>
          <w:lang w:val="en-US"/>
        </w:rPr>
        <w:t>Revista Científica A.S.A, 23, 24–47.</w:t>
      </w:r>
    </w:p>
    <w:p w14:paraId="32587448" w14:textId="77777777" w:rsidR="00FA333C" w:rsidRPr="00FA333C" w:rsidRDefault="00FA333C" w:rsidP="00FA333C">
      <w:pPr>
        <w:tabs>
          <w:tab w:val="clear" w:pos="7100"/>
        </w:tabs>
        <w:ind w:left="284" w:hanging="284"/>
      </w:pPr>
      <w:r w:rsidRPr="00FA333C">
        <w:rPr>
          <w:lang w:val="en-US"/>
        </w:rPr>
        <w:t xml:space="preserve">Mora-Adames W. I., Fuenmayor C. A., Benavides-Martín M. A., Algecira-Enciso N. A., Quicazán M. C., 2021, </w:t>
      </w:r>
      <w:r w:rsidRPr="00FA333C">
        <w:t xml:space="preserve">Bee pollen as a novel substrate in pilot-scale probiotic-mediated lactic fermentation processes, Lwt, 141, 1–9. </w:t>
      </w:r>
    </w:p>
    <w:p w14:paraId="0671AF59" w14:textId="77777777" w:rsidR="00FA333C" w:rsidRPr="00FA333C" w:rsidRDefault="00FA333C" w:rsidP="00FA333C">
      <w:pPr>
        <w:tabs>
          <w:tab w:val="clear" w:pos="7100"/>
        </w:tabs>
        <w:ind w:left="284" w:hanging="284"/>
      </w:pPr>
      <w:r w:rsidRPr="00FA333C">
        <w:rPr>
          <w:lang w:val="en-US"/>
        </w:rPr>
        <w:t xml:space="preserve">Nunes A., Zilto Azevedo G., Rocha dos Santos B., Vanz Borges C., Pace Pereira Lima G., Conte Crocoli L., Moura S., Maraschin M., 2022, </w:t>
      </w:r>
      <w:r w:rsidRPr="00FA333C">
        <w:t xml:space="preserve">Characterization of Brazilian floral honey produced in the states of Santa Catarina and São Paulo through ultraviolet–visible (UV–vis), near-infrared (NIR), and nuclear magnetic resonance (NMR) spectroscopy, Food Research International, 162, 1–12. </w:t>
      </w:r>
    </w:p>
    <w:p w14:paraId="52609DDB" w14:textId="77777777" w:rsidR="00FA333C" w:rsidRPr="00FA333C" w:rsidRDefault="00FA333C" w:rsidP="00FA333C">
      <w:pPr>
        <w:tabs>
          <w:tab w:val="clear" w:pos="7100"/>
        </w:tabs>
        <w:ind w:left="284" w:hanging="284"/>
      </w:pPr>
      <w:r w:rsidRPr="00FA333C">
        <w:t xml:space="preserve">Production Chain of Bees and Beekeepers (CPAA), 2020, Beekeeping sector in Colombia. </w:t>
      </w:r>
      <w:r w:rsidRPr="00FA333C">
        <w:rPr>
          <w:lang w:val="en-US"/>
        </w:rPr>
        <w:t>&lt;sites.google.com/site/cpaaabejascolombia/Inicio&gt; accessed 04.01.2024.</w:t>
      </w:r>
    </w:p>
    <w:p w14:paraId="5F94C10F" w14:textId="77777777" w:rsidR="00FA333C" w:rsidRPr="00FA333C" w:rsidRDefault="00FA333C" w:rsidP="00FA333C">
      <w:pPr>
        <w:tabs>
          <w:tab w:val="clear" w:pos="7100"/>
        </w:tabs>
        <w:ind w:left="284" w:hanging="284"/>
      </w:pPr>
      <w:r w:rsidRPr="00FA333C">
        <w:rPr>
          <w:lang w:val="en-US"/>
        </w:rPr>
        <w:t xml:space="preserve">Ramos P. I. K., Tuaño A. P. P., Juanico C., 2022, </w:t>
      </w:r>
      <w:r w:rsidRPr="00FA333C">
        <w:t xml:space="preserve">Microbial quality, safety, sensory acceptability, and proximate composition of a fermented nixtamalized maize (Zea mays L.) beverage, Journal of Cereal Science, 107, 1–7. </w:t>
      </w:r>
    </w:p>
    <w:p w14:paraId="68BF48DE" w14:textId="77777777" w:rsidR="00FA333C" w:rsidRPr="00FA333C" w:rsidRDefault="00FA333C" w:rsidP="00FA333C">
      <w:pPr>
        <w:tabs>
          <w:tab w:val="clear" w:pos="7100"/>
        </w:tabs>
        <w:ind w:left="284" w:hanging="284"/>
      </w:pPr>
      <w:r w:rsidRPr="00FA333C">
        <w:t xml:space="preserve">Septembre-Malaterre A., Remize F., Poucheret P., 2018, Fruits and vegetables, as a source of nutritional compounds and phytochemicals: Changes in bioactive compounds during lactic fermentation, Food Research International, 104, 86–99. </w:t>
      </w:r>
    </w:p>
    <w:p w14:paraId="0D5B667C" w14:textId="77777777" w:rsidR="00FA333C" w:rsidRPr="00FA333C" w:rsidRDefault="00FA333C" w:rsidP="00FA333C">
      <w:pPr>
        <w:tabs>
          <w:tab w:val="clear" w:pos="7100"/>
        </w:tabs>
        <w:ind w:left="284" w:hanging="284"/>
      </w:pPr>
      <w:r w:rsidRPr="00FA333C">
        <w:t>Singh R., Kumar M., Mittal A., Kumar P., 2017, Microbial metabolites in nutrition, healthcare, and agriculture, 3 Biotech, 7, 15.</w:t>
      </w:r>
    </w:p>
    <w:p w14:paraId="067763DD" w14:textId="77777777" w:rsidR="00FA333C" w:rsidRPr="00FA333C" w:rsidRDefault="00FA333C" w:rsidP="00FA333C">
      <w:pPr>
        <w:tabs>
          <w:tab w:val="clear" w:pos="7100"/>
        </w:tabs>
        <w:ind w:left="284" w:hanging="284"/>
      </w:pPr>
      <w:r w:rsidRPr="00FA333C">
        <w:t xml:space="preserve">Todorov S. D., Popov I., Weeks R., Chikindas M. L., 2022, Use of Bacteriocins and Bacteriocinogenic Beneficial Organisms in Food Products: Benefits, Challenges, Concerns, Foods, 11(19), 1–21. </w:t>
      </w:r>
    </w:p>
    <w:p w14:paraId="2D3ECD55" w14:textId="77777777" w:rsidR="00FA333C" w:rsidRPr="00FA333C" w:rsidRDefault="00FA333C" w:rsidP="00FA333C">
      <w:pPr>
        <w:tabs>
          <w:tab w:val="clear" w:pos="7100"/>
        </w:tabs>
        <w:ind w:left="284" w:hanging="284"/>
      </w:pPr>
      <w:r w:rsidRPr="00FA333C">
        <w:t xml:space="preserve">Väkeväinen K., Ludena-Urquizo F., Korkala E., Lapveteläinen A., Peräniemi S., Von Wright A., Plumed-Ferrer C., 2020, Potential of quinoa in the development of fermented spoonable vegan products, LWT-Food Science and Technology, 120, 1–9. </w:t>
      </w:r>
    </w:p>
    <w:p w14:paraId="159C6050" w14:textId="63C40419" w:rsidR="00FA333C" w:rsidRPr="00FA333C" w:rsidRDefault="00FA333C" w:rsidP="00FA333C">
      <w:pPr>
        <w:tabs>
          <w:tab w:val="clear" w:pos="7100"/>
        </w:tabs>
        <w:ind w:left="284" w:hanging="284"/>
        <w:rPr>
          <w:rFonts w:ascii="Aptos" w:eastAsia="Aptos" w:hAnsi="Aptos"/>
          <w:kern w:val="2"/>
          <w:sz w:val="22"/>
          <w:szCs w:val="22"/>
          <w14:ligatures w14:val="standardContextual"/>
        </w:rPr>
      </w:pPr>
      <w:r w:rsidRPr="00FA333C">
        <w:t>Videa M., Videa M., 2019, Natural yogur obtained from milk with dairy serum a laboratory scale, National University of Engineering, north regional headquarters, Estelí Nicaragua, Revista Científica de Ciencia y Tecnología El Higo, 9(1), 12–25.</w:t>
      </w:r>
    </w:p>
    <w:p w14:paraId="19C4FC68" w14:textId="6B8AE15B" w:rsidR="004628D2" w:rsidRPr="00822E22" w:rsidRDefault="004628D2" w:rsidP="00FA333C">
      <w:pPr>
        <w:pStyle w:val="CETReferencetext"/>
      </w:pPr>
    </w:p>
    <w:sectPr w:rsidR="004628D2" w:rsidRPr="00822E22" w:rsidSect="001302B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8AD9" w14:textId="77777777" w:rsidR="00EA568E" w:rsidRDefault="00EA568E" w:rsidP="004F5E36">
      <w:r>
        <w:separator/>
      </w:r>
    </w:p>
  </w:endnote>
  <w:endnote w:type="continuationSeparator" w:id="0">
    <w:p w14:paraId="6EF7BE08" w14:textId="77777777" w:rsidR="00EA568E" w:rsidRDefault="00EA56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8B24" w14:textId="77777777" w:rsidR="00EA568E" w:rsidRDefault="00EA568E" w:rsidP="004F5E36">
      <w:r>
        <w:separator/>
      </w:r>
    </w:p>
  </w:footnote>
  <w:footnote w:type="continuationSeparator" w:id="0">
    <w:p w14:paraId="09A9DC94" w14:textId="77777777" w:rsidR="00EA568E" w:rsidRDefault="00EA568E"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FD9"/>
    <w:rsid w:val="0003148D"/>
    <w:rsid w:val="00031EEC"/>
    <w:rsid w:val="00051566"/>
    <w:rsid w:val="000558FF"/>
    <w:rsid w:val="000562A9"/>
    <w:rsid w:val="00062A9A"/>
    <w:rsid w:val="00064A83"/>
    <w:rsid w:val="00065058"/>
    <w:rsid w:val="000675B4"/>
    <w:rsid w:val="0007201D"/>
    <w:rsid w:val="00086C39"/>
    <w:rsid w:val="000914FD"/>
    <w:rsid w:val="000A03B2"/>
    <w:rsid w:val="000C03A3"/>
    <w:rsid w:val="000C7F81"/>
    <w:rsid w:val="000D0268"/>
    <w:rsid w:val="000D34BE"/>
    <w:rsid w:val="000E102F"/>
    <w:rsid w:val="000E36F1"/>
    <w:rsid w:val="000E3A73"/>
    <w:rsid w:val="000E414A"/>
    <w:rsid w:val="000F093C"/>
    <w:rsid w:val="000F48F9"/>
    <w:rsid w:val="000F50D5"/>
    <w:rsid w:val="000F787B"/>
    <w:rsid w:val="00114265"/>
    <w:rsid w:val="00116A30"/>
    <w:rsid w:val="0012091F"/>
    <w:rsid w:val="00126BC2"/>
    <w:rsid w:val="00126E5F"/>
    <w:rsid w:val="001302B3"/>
    <w:rsid w:val="001308B6"/>
    <w:rsid w:val="0013121F"/>
    <w:rsid w:val="00131E44"/>
    <w:rsid w:val="00131FE6"/>
    <w:rsid w:val="0013263F"/>
    <w:rsid w:val="001331DF"/>
    <w:rsid w:val="00134DE4"/>
    <w:rsid w:val="0014034D"/>
    <w:rsid w:val="0014255C"/>
    <w:rsid w:val="00144D16"/>
    <w:rsid w:val="00150E59"/>
    <w:rsid w:val="00152DE3"/>
    <w:rsid w:val="00155F02"/>
    <w:rsid w:val="00156F74"/>
    <w:rsid w:val="00164CF9"/>
    <w:rsid w:val="001667A6"/>
    <w:rsid w:val="00184AD6"/>
    <w:rsid w:val="00190E35"/>
    <w:rsid w:val="001920C0"/>
    <w:rsid w:val="001A4AF7"/>
    <w:rsid w:val="001B0349"/>
    <w:rsid w:val="001B1E93"/>
    <w:rsid w:val="001B65C1"/>
    <w:rsid w:val="001C07CC"/>
    <w:rsid w:val="001C684B"/>
    <w:rsid w:val="001D0CFB"/>
    <w:rsid w:val="001D21AF"/>
    <w:rsid w:val="001D53FC"/>
    <w:rsid w:val="001E1DF3"/>
    <w:rsid w:val="001F42A5"/>
    <w:rsid w:val="001F7B9D"/>
    <w:rsid w:val="00201C93"/>
    <w:rsid w:val="0020273B"/>
    <w:rsid w:val="002037FB"/>
    <w:rsid w:val="002224B4"/>
    <w:rsid w:val="00231A39"/>
    <w:rsid w:val="00244323"/>
    <w:rsid w:val="002447EF"/>
    <w:rsid w:val="00247F7A"/>
    <w:rsid w:val="00251550"/>
    <w:rsid w:val="00257B1F"/>
    <w:rsid w:val="00260DDA"/>
    <w:rsid w:val="00263B05"/>
    <w:rsid w:val="002709C2"/>
    <w:rsid w:val="0027221A"/>
    <w:rsid w:val="0027561C"/>
    <w:rsid w:val="00275B61"/>
    <w:rsid w:val="00280FAF"/>
    <w:rsid w:val="00282656"/>
    <w:rsid w:val="0029165C"/>
    <w:rsid w:val="002942BC"/>
    <w:rsid w:val="00296B83"/>
    <w:rsid w:val="002B16EF"/>
    <w:rsid w:val="002B4015"/>
    <w:rsid w:val="002B78CE"/>
    <w:rsid w:val="002C2FB6"/>
    <w:rsid w:val="002D6CC0"/>
    <w:rsid w:val="002E5FA7"/>
    <w:rsid w:val="002F3309"/>
    <w:rsid w:val="003008CE"/>
    <w:rsid w:val="003009B7"/>
    <w:rsid w:val="00300E56"/>
    <w:rsid w:val="0030152C"/>
    <w:rsid w:val="0030469C"/>
    <w:rsid w:val="00307AC1"/>
    <w:rsid w:val="00315F59"/>
    <w:rsid w:val="0032079A"/>
    <w:rsid w:val="00321CA6"/>
    <w:rsid w:val="00323763"/>
    <w:rsid w:val="00323C5F"/>
    <w:rsid w:val="00334C09"/>
    <w:rsid w:val="00336E4C"/>
    <w:rsid w:val="00352596"/>
    <w:rsid w:val="003723D4"/>
    <w:rsid w:val="00381905"/>
    <w:rsid w:val="003831B7"/>
    <w:rsid w:val="003838B2"/>
    <w:rsid w:val="00384CC8"/>
    <w:rsid w:val="003871FD"/>
    <w:rsid w:val="00387ECC"/>
    <w:rsid w:val="00391A7D"/>
    <w:rsid w:val="00394515"/>
    <w:rsid w:val="00395658"/>
    <w:rsid w:val="003A0830"/>
    <w:rsid w:val="003A1E30"/>
    <w:rsid w:val="003A2829"/>
    <w:rsid w:val="003A3644"/>
    <w:rsid w:val="003A4A7D"/>
    <w:rsid w:val="003A4CE8"/>
    <w:rsid w:val="003A6FC6"/>
    <w:rsid w:val="003A7D1C"/>
    <w:rsid w:val="003B304B"/>
    <w:rsid w:val="003B3146"/>
    <w:rsid w:val="003B6C13"/>
    <w:rsid w:val="003D4E8B"/>
    <w:rsid w:val="003E79D4"/>
    <w:rsid w:val="003E7D59"/>
    <w:rsid w:val="003F015E"/>
    <w:rsid w:val="003F258B"/>
    <w:rsid w:val="003F57DD"/>
    <w:rsid w:val="00400414"/>
    <w:rsid w:val="0041446B"/>
    <w:rsid w:val="004173FE"/>
    <w:rsid w:val="0044071E"/>
    <w:rsid w:val="0044329C"/>
    <w:rsid w:val="00453E24"/>
    <w:rsid w:val="004563A5"/>
    <w:rsid w:val="00457456"/>
    <w:rsid w:val="004577FE"/>
    <w:rsid w:val="00457B9C"/>
    <w:rsid w:val="0046111E"/>
    <w:rsid w:val="0046164A"/>
    <w:rsid w:val="004628D2"/>
    <w:rsid w:val="00462DCD"/>
    <w:rsid w:val="00463901"/>
    <w:rsid w:val="004648AD"/>
    <w:rsid w:val="004703A9"/>
    <w:rsid w:val="00472B67"/>
    <w:rsid w:val="004760DE"/>
    <w:rsid w:val="004761E9"/>
    <w:rsid w:val="004763D7"/>
    <w:rsid w:val="00496691"/>
    <w:rsid w:val="004970E4"/>
    <w:rsid w:val="004A004E"/>
    <w:rsid w:val="004A24CF"/>
    <w:rsid w:val="004B5468"/>
    <w:rsid w:val="004C12B6"/>
    <w:rsid w:val="004C12ED"/>
    <w:rsid w:val="004C3A03"/>
    <w:rsid w:val="004C3D1D"/>
    <w:rsid w:val="004C3D84"/>
    <w:rsid w:val="004C6E45"/>
    <w:rsid w:val="004C7913"/>
    <w:rsid w:val="004D3169"/>
    <w:rsid w:val="004D3FE6"/>
    <w:rsid w:val="004E14D4"/>
    <w:rsid w:val="004E4DD6"/>
    <w:rsid w:val="004F3EE4"/>
    <w:rsid w:val="004F5E36"/>
    <w:rsid w:val="005038BF"/>
    <w:rsid w:val="00507B47"/>
    <w:rsid w:val="00507BEF"/>
    <w:rsid w:val="00507CC9"/>
    <w:rsid w:val="005119A5"/>
    <w:rsid w:val="0051434F"/>
    <w:rsid w:val="00516AAC"/>
    <w:rsid w:val="005278B7"/>
    <w:rsid w:val="00532016"/>
    <w:rsid w:val="0053309E"/>
    <w:rsid w:val="005346C8"/>
    <w:rsid w:val="00541872"/>
    <w:rsid w:val="00543E7D"/>
    <w:rsid w:val="00547A68"/>
    <w:rsid w:val="00547EDB"/>
    <w:rsid w:val="00552802"/>
    <w:rsid w:val="005531C9"/>
    <w:rsid w:val="00570C43"/>
    <w:rsid w:val="005725CD"/>
    <w:rsid w:val="00575DBB"/>
    <w:rsid w:val="0058267F"/>
    <w:rsid w:val="00584340"/>
    <w:rsid w:val="0058777B"/>
    <w:rsid w:val="00590779"/>
    <w:rsid w:val="00596065"/>
    <w:rsid w:val="005A227F"/>
    <w:rsid w:val="005B128F"/>
    <w:rsid w:val="005B2110"/>
    <w:rsid w:val="005B46E6"/>
    <w:rsid w:val="005B61E6"/>
    <w:rsid w:val="005C77E1"/>
    <w:rsid w:val="005C798A"/>
    <w:rsid w:val="005D3E87"/>
    <w:rsid w:val="005D668A"/>
    <w:rsid w:val="005D6A2F"/>
    <w:rsid w:val="005E1A82"/>
    <w:rsid w:val="005E7636"/>
    <w:rsid w:val="005E794C"/>
    <w:rsid w:val="005F0A28"/>
    <w:rsid w:val="005F0E5E"/>
    <w:rsid w:val="00600535"/>
    <w:rsid w:val="00600955"/>
    <w:rsid w:val="006045CA"/>
    <w:rsid w:val="0060701D"/>
    <w:rsid w:val="00610CD6"/>
    <w:rsid w:val="00611275"/>
    <w:rsid w:val="00617C21"/>
    <w:rsid w:val="00620DEE"/>
    <w:rsid w:val="00621F92"/>
    <w:rsid w:val="0062280A"/>
    <w:rsid w:val="00625639"/>
    <w:rsid w:val="00625FB1"/>
    <w:rsid w:val="00631B33"/>
    <w:rsid w:val="00632FE3"/>
    <w:rsid w:val="0064184D"/>
    <w:rsid w:val="006422CC"/>
    <w:rsid w:val="00660E3E"/>
    <w:rsid w:val="00660FAB"/>
    <w:rsid w:val="00662E74"/>
    <w:rsid w:val="006733CC"/>
    <w:rsid w:val="00680AFF"/>
    <w:rsid w:val="00680C23"/>
    <w:rsid w:val="00687E50"/>
    <w:rsid w:val="00693766"/>
    <w:rsid w:val="00694500"/>
    <w:rsid w:val="006A23E9"/>
    <w:rsid w:val="006A3281"/>
    <w:rsid w:val="006B4888"/>
    <w:rsid w:val="006B7BA4"/>
    <w:rsid w:val="006C2E45"/>
    <w:rsid w:val="006C359C"/>
    <w:rsid w:val="006C5579"/>
    <w:rsid w:val="006D6E8B"/>
    <w:rsid w:val="006E737D"/>
    <w:rsid w:val="006E7DAD"/>
    <w:rsid w:val="007027D3"/>
    <w:rsid w:val="00704037"/>
    <w:rsid w:val="00713973"/>
    <w:rsid w:val="00720A24"/>
    <w:rsid w:val="00722957"/>
    <w:rsid w:val="00732386"/>
    <w:rsid w:val="00733082"/>
    <w:rsid w:val="0073514D"/>
    <w:rsid w:val="0073606C"/>
    <w:rsid w:val="00740D2D"/>
    <w:rsid w:val="007447F3"/>
    <w:rsid w:val="00750C8F"/>
    <w:rsid w:val="0075499F"/>
    <w:rsid w:val="007617BA"/>
    <w:rsid w:val="007661C8"/>
    <w:rsid w:val="0077098D"/>
    <w:rsid w:val="00775523"/>
    <w:rsid w:val="0079034E"/>
    <w:rsid w:val="00790928"/>
    <w:rsid w:val="007931FA"/>
    <w:rsid w:val="00797C5E"/>
    <w:rsid w:val="007A2973"/>
    <w:rsid w:val="007A4861"/>
    <w:rsid w:val="007A7BBA"/>
    <w:rsid w:val="007B0C50"/>
    <w:rsid w:val="007B48F9"/>
    <w:rsid w:val="007C1A43"/>
    <w:rsid w:val="007C1AE1"/>
    <w:rsid w:val="007C4E04"/>
    <w:rsid w:val="007D0951"/>
    <w:rsid w:val="007E2B89"/>
    <w:rsid w:val="007E3768"/>
    <w:rsid w:val="007E6B85"/>
    <w:rsid w:val="007E7317"/>
    <w:rsid w:val="007E76CC"/>
    <w:rsid w:val="007E7DA7"/>
    <w:rsid w:val="0080013E"/>
    <w:rsid w:val="00804482"/>
    <w:rsid w:val="00807F5F"/>
    <w:rsid w:val="008129A5"/>
    <w:rsid w:val="00813288"/>
    <w:rsid w:val="008168FC"/>
    <w:rsid w:val="00822E22"/>
    <w:rsid w:val="00830209"/>
    <w:rsid w:val="00830996"/>
    <w:rsid w:val="00833D03"/>
    <w:rsid w:val="008345F1"/>
    <w:rsid w:val="00843962"/>
    <w:rsid w:val="00843EAC"/>
    <w:rsid w:val="00852885"/>
    <w:rsid w:val="00855FDE"/>
    <w:rsid w:val="00865B07"/>
    <w:rsid w:val="008667EA"/>
    <w:rsid w:val="008746B8"/>
    <w:rsid w:val="0087637F"/>
    <w:rsid w:val="00892AD5"/>
    <w:rsid w:val="008933FE"/>
    <w:rsid w:val="008A1512"/>
    <w:rsid w:val="008A5740"/>
    <w:rsid w:val="008A72B9"/>
    <w:rsid w:val="008B40B9"/>
    <w:rsid w:val="008B7C03"/>
    <w:rsid w:val="008C1A38"/>
    <w:rsid w:val="008C791D"/>
    <w:rsid w:val="008D32B9"/>
    <w:rsid w:val="008D433B"/>
    <w:rsid w:val="008D4A16"/>
    <w:rsid w:val="008E3D69"/>
    <w:rsid w:val="008E3E55"/>
    <w:rsid w:val="008E566E"/>
    <w:rsid w:val="008F09D6"/>
    <w:rsid w:val="008F44D6"/>
    <w:rsid w:val="0090161A"/>
    <w:rsid w:val="00901EB6"/>
    <w:rsid w:val="00902EDA"/>
    <w:rsid w:val="00904C62"/>
    <w:rsid w:val="00907CAC"/>
    <w:rsid w:val="009154E0"/>
    <w:rsid w:val="00922BA8"/>
    <w:rsid w:val="00924DAC"/>
    <w:rsid w:val="00927058"/>
    <w:rsid w:val="00941F62"/>
    <w:rsid w:val="00942750"/>
    <w:rsid w:val="009450CE"/>
    <w:rsid w:val="009459BB"/>
    <w:rsid w:val="00947179"/>
    <w:rsid w:val="0095164B"/>
    <w:rsid w:val="00954090"/>
    <w:rsid w:val="00954ED4"/>
    <w:rsid w:val="009573E7"/>
    <w:rsid w:val="0096178A"/>
    <w:rsid w:val="0096193B"/>
    <w:rsid w:val="00963E05"/>
    <w:rsid w:val="00964A45"/>
    <w:rsid w:val="009663D6"/>
    <w:rsid w:val="00967843"/>
    <w:rsid w:val="00967D54"/>
    <w:rsid w:val="00971028"/>
    <w:rsid w:val="00974F9A"/>
    <w:rsid w:val="009844A9"/>
    <w:rsid w:val="00987506"/>
    <w:rsid w:val="009907B2"/>
    <w:rsid w:val="00993B84"/>
    <w:rsid w:val="00996483"/>
    <w:rsid w:val="00996F5A"/>
    <w:rsid w:val="00997175"/>
    <w:rsid w:val="009B041A"/>
    <w:rsid w:val="009C36B2"/>
    <w:rsid w:val="009C37C3"/>
    <w:rsid w:val="009C6370"/>
    <w:rsid w:val="009C7C86"/>
    <w:rsid w:val="009D2FF7"/>
    <w:rsid w:val="009D330B"/>
    <w:rsid w:val="009D4BC3"/>
    <w:rsid w:val="009D78DC"/>
    <w:rsid w:val="009E1345"/>
    <w:rsid w:val="009E7884"/>
    <w:rsid w:val="009E788A"/>
    <w:rsid w:val="009F0E08"/>
    <w:rsid w:val="00A07BB1"/>
    <w:rsid w:val="00A12284"/>
    <w:rsid w:val="00A12398"/>
    <w:rsid w:val="00A131CA"/>
    <w:rsid w:val="00A1763D"/>
    <w:rsid w:val="00A1767B"/>
    <w:rsid w:val="00A17843"/>
    <w:rsid w:val="00A17CEC"/>
    <w:rsid w:val="00A27EF0"/>
    <w:rsid w:val="00A42361"/>
    <w:rsid w:val="00A50B20"/>
    <w:rsid w:val="00A51390"/>
    <w:rsid w:val="00A551B6"/>
    <w:rsid w:val="00A56744"/>
    <w:rsid w:val="00A60D13"/>
    <w:rsid w:val="00A70986"/>
    <w:rsid w:val="00A7223D"/>
    <w:rsid w:val="00A72745"/>
    <w:rsid w:val="00A76BFF"/>
    <w:rsid w:val="00A76EFC"/>
    <w:rsid w:val="00A83C63"/>
    <w:rsid w:val="00A85BB2"/>
    <w:rsid w:val="00A87D50"/>
    <w:rsid w:val="00A91010"/>
    <w:rsid w:val="00A95049"/>
    <w:rsid w:val="00A97F29"/>
    <w:rsid w:val="00AA5771"/>
    <w:rsid w:val="00AA702E"/>
    <w:rsid w:val="00AA7D26"/>
    <w:rsid w:val="00AB0964"/>
    <w:rsid w:val="00AB5011"/>
    <w:rsid w:val="00AC7368"/>
    <w:rsid w:val="00AD16B9"/>
    <w:rsid w:val="00AE15DD"/>
    <w:rsid w:val="00AE377D"/>
    <w:rsid w:val="00AF0EBA"/>
    <w:rsid w:val="00AF1DC7"/>
    <w:rsid w:val="00B00690"/>
    <w:rsid w:val="00B02436"/>
    <w:rsid w:val="00B02C8A"/>
    <w:rsid w:val="00B046EF"/>
    <w:rsid w:val="00B051A7"/>
    <w:rsid w:val="00B05C28"/>
    <w:rsid w:val="00B15EBF"/>
    <w:rsid w:val="00B15FC5"/>
    <w:rsid w:val="00B17FBD"/>
    <w:rsid w:val="00B205B5"/>
    <w:rsid w:val="00B315A6"/>
    <w:rsid w:val="00B31813"/>
    <w:rsid w:val="00B33365"/>
    <w:rsid w:val="00B57532"/>
    <w:rsid w:val="00B57B36"/>
    <w:rsid w:val="00B57E6F"/>
    <w:rsid w:val="00B621C1"/>
    <w:rsid w:val="00B72ABC"/>
    <w:rsid w:val="00B8230F"/>
    <w:rsid w:val="00B8686D"/>
    <w:rsid w:val="00B93F69"/>
    <w:rsid w:val="00BA58FB"/>
    <w:rsid w:val="00BA7876"/>
    <w:rsid w:val="00BB1DDC"/>
    <w:rsid w:val="00BB7F78"/>
    <w:rsid w:val="00BC30C9"/>
    <w:rsid w:val="00BD077D"/>
    <w:rsid w:val="00BD52EA"/>
    <w:rsid w:val="00BE3E58"/>
    <w:rsid w:val="00BE735A"/>
    <w:rsid w:val="00C01616"/>
    <w:rsid w:val="00C0162B"/>
    <w:rsid w:val="00C02C4D"/>
    <w:rsid w:val="00C068ED"/>
    <w:rsid w:val="00C1018C"/>
    <w:rsid w:val="00C22E0C"/>
    <w:rsid w:val="00C333B7"/>
    <w:rsid w:val="00C345B1"/>
    <w:rsid w:val="00C37655"/>
    <w:rsid w:val="00C40142"/>
    <w:rsid w:val="00C4165A"/>
    <w:rsid w:val="00C52C3C"/>
    <w:rsid w:val="00C57182"/>
    <w:rsid w:val="00C57863"/>
    <w:rsid w:val="00C62205"/>
    <w:rsid w:val="00C62A5B"/>
    <w:rsid w:val="00C640AF"/>
    <w:rsid w:val="00C655FD"/>
    <w:rsid w:val="00C75407"/>
    <w:rsid w:val="00C762BE"/>
    <w:rsid w:val="00C870A8"/>
    <w:rsid w:val="00C94434"/>
    <w:rsid w:val="00CA07E5"/>
    <w:rsid w:val="00CA0D4A"/>
    <w:rsid w:val="00CA0D75"/>
    <w:rsid w:val="00CA1C95"/>
    <w:rsid w:val="00CA5A9C"/>
    <w:rsid w:val="00CA63D5"/>
    <w:rsid w:val="00CA669E"/>
    <w:rsid w:val="00CB5706"/>
    <w:rsid w:val="00CC4C20"/>
    <w:rsid w:val="00CD3517"/>
    <w:rsid w:val="00CD3EA6"/>
    <w:rsid w:val="00CD5FE2"/>
    <w:rsid w:val="00CE2586"/>
    <w:rsid w:val="00CE7C68"/>
    <w:rsid w:val="00D02B4C"/>
    <w:rsid w:val="00D040C4"/>
    <w:rsid w:val="00D04A80"/>
    <w:rsid w:val="00D04F14"/>
    <w:rsid w:val="00D12498"/>
    <w:rsid w:val="00D14857"/>
    <w:rsid w:val="00D17395"/>
    <w:rsid w:val="00D20AD1"/>
    <w:rsid w:val="00D307FA"/>
    <w:rsid w:val="00D37575"/>
    <w:rsid w:val="00D40721"/>
    <w:rsid w:val="00D46B7E"/>
    <w:rsid w:val="00D5430B"/>
    <w:rsid w:val="00D57C84"/>
    <w:rsid w:val="00D6057D"/>
    <w:rsid w:val="00D60C33"/>
    <w:rsid w:val="00D648EC"/>
    <w:rsid w:val="00D71640"/>
    <w:rsid w:val="00D71CDF"/>
    <w:rsid w:val="00D836C5"/>
    <w:rsid w:val="00D84576"/>
    <w:rsid w:val="00DA1399"/>
    <w:rsid w:val="00DA24C6"/>
    <w:rsid w:val="00DA4D7B"/>
    <w:rsid w:val="00DB18D0"/>
    <w:rsid w:val="00DB3233"/>
    <w:rsid w:val="00DB4D33"/>
    <w:rsid w:val="00DD271C"/>
    <w:rsid w:val="00DD2D8E"/>
    <w:rsid w:val="00DE0EFE"/>
    <w:rsid w:val="00DE264A"/>
    <w:rsid w:val="00DF5072"/>
    <w:rsid w:val="00E0239F"/>
    <w:rsid w:val="00E02D18"/>
    <w:rsid w:val="00E041E7"/>
    <w:rsid w:val="00E2376F"/>
    <w:rsid w:val="00E23CA1"/>
    <w:rsid w:val="00E3049E"/>
    <w:rsid w:val="00E33DD7"/>
    <w:rsid w:val="00E409A8"/>
    <w:rsid w:val="00E50C12"/>
    <w:rsid w:val="00E52F65"/>
    <w:rsid w:val="00E568A4"/>
    <w:rsid w:val="00E616BA"/>
    <w:rsid w:val="00E653CC"/>
    <w:rsid w:val="00E65B91"/>
    <w:rsid w:val="00E7209D"/>
    <w:rsid w:val="00E72EAD"/>
    <w:rsid w:val="00E74CC3"/>
    <w:rsid w:val="00E77223"/>
    <w:rsid w:val="00E81340"/>
    <w:rsid w:val="00E8528B"/>
    <w:rsid w:val="00E85B94"/>
    <w:rsid w:val="00E90448"/>
    <w:rsid w:val="00E93D48"/>
    <w:rsid w:val="00E978D0"/>
    <w:rsid w:val="00EA3650"/>
    <w:rsid w:val="00EA4613"/>
    <w:rsid w:val="00EA568E"/>
    <w:rsid w:val="00EA7F91"/>
    <w:rsid w:val="00EB1523"/>
    <w:rsid w:val="00EC0E49"/>
    <w:rsid w:val="00EC101F"/>
    <w:rsid w:val="00EC1D9F"/>
    <w:rsid w:val="00EC3FED"/>
    <w:rsid w:val="00ED092C"/>
    <w:rsid w:val="00ED5085"/>
    <w:rsid w:val="00EE0131"/>
    <w:rsid w:val="00EE0F22"/>
    <w:rsid w:val="00EE17B0"/>
    <w:rsid w:val="00EE751E"/>
    <w:rsid w:val="00EF00FE"/>
    <w:rsid w:val="00EF06D9"/>
    <w:rsid w:val="00EF405E"/>
    <w:rsid w:val="00F03134"/>
    <w:rsid w:val="00F3049E"/>
    <w:rsid w:val="00F30C64"/>
    <w:rsid w:val="00F32BA2"/>
    <w:rsid w:val="00F32CDB"/>
    <w:rsid w:val="00F565FE"/>
    <w:rsid w:val="00F57C05"/>
    <w:rsid w:val="00F636BC"/>
    <w:rsid w:val="00F63A70"/>
    <w:rsid w:val="00F63D8C"/>
    <w:rsid w:val="00F7534E"/>
    <w:rsid w:val="00F933D8"/>
    <w:rsid w:val="00F93EDF"/>
    <w:rsid w:val="00FA1802"/>
    <w:rsid w:val="00FA21D0"/>
    <w:rsid w:val="00FA2E88"/>
    <w:rsid w:val="00FA333C"/>
    <w:rsid w:val="00FA5F5F"/>
    <w:rsid w:val="00FB730C"/>
    <w:rsid w:val="00FC2695"/>
    <w:rsid w:val="00FC3E03"/>
    <w:rsid w:val="00FC3FC1"/>
    <w:rsid w:val="00FC4486"/>
    <w:rsid w:val="00FD2226"/>
    <w:rsid w:val="00FE48F6"/>
    <w:rsid w:val="00FF38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7909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Hoja1!$E$5:$E$6</c:f>
              <c:strCache>
                <c:ptCount val="2"/>
                <c:pt idx="0">
                  <c:v>S1:3</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Hoja1!$D$7:$D$12</c:f>
              <c:numCache>
                <c:formatCode>0</c:formatCode>
                <c:ptCount val="6"/>
                <c:pt idx="0">
                  <c:v>0</c:v>
                </c:pt>
                <c:pt idx="1">
                  <c:v>2</c:v>
                </c:pt>
                <c:pt idx="2">
                  <c:v>4</c:v>
                </c:pt>
                <c:pt idx="3">
                  <c:v>6</c:v>
                </c:pt>
                <c:pt idx="4">
                  <c:v>8</c:v>
                </c:pt>
                <c:pt idx="5">
                  <c:v>10</c:v>
                </c:pt>
              </c:numCache>
            </c:numRef>
          </c:cat>
          <c:val>
            <c:numRef>
              <c:f>Hoja1!$E$7:$E$12</c:f>
              <c:numCache>
                <c:formatCode>General</c:formatCode>
                <c:ptCount val="6"/>
                <c:pt idx="0">
                  <c:v>6.3</c:v>
                </c:pt>
                <c:pt idx="1">
                  <c:v>5.9</c:v>
                </c:pt>
                <c:pt idx="2">
                  <c:v>5.6</c:v>
                </c:pt>
                <c:pt idx="3">
                  <c:v>5.2</c:v>
                </c:pt>
                <c:pt idx="4">
                  <c:v>5.0999999999999996</c:v>
                </c:pt>
                <c:pt idx="5">
                  <c:v>4.9000000000000004</c:v>
                </c:pt>
              </c:numCache>
            </c:numRef>
          </c:val>
          <c:smooth val="0"/>
          <c:extLst>
            <c:ext xmlns:c16="http://schemas.microsoft.com/office/drawing/2014/chart" uri="{C3380CC4-5D6E-409C-BE32-E72D297353CC}">
              <c16:uniqueId val="{00000000-7F35-406B-9C55-0F2C6F64267B}"/>
            </c:ext>
          </c:extLst>
        </c:ser>
        <c:ser>
          <c:idx val="1"/>
          <c:order val="1"/>
          <c:tx>
            <c:strRef>
              <c:f>Hoja1!$F$5:$F$6</c:f>
              <c:strCache>
                <c:ptCount val="2"/>
                <c:pt idx="0">
                  <c:v>S1:5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Hoja1!$D$7:$D$12</c:f>
              <c:numCache>
                <c:formatCode>0</c:formatCode>
                <c:ptCount val="6"/>
                <c:pt idx="0">
                  <c:v>0</c:v>
                </c:pt>
                <c:pt idx="1">
                  <c:v>2</c:v>
                </c:pt>
                <c:pt idx="2">
                  <c:v>4</c:v>
                </c:pt>
                <c:pt idx="3">
                  <c:v>6</c:v>
                </c:pt>
                <c:pt idx="4">
                  <c:v>8</c:v>
                </c:pt>
                <c:pt idx="5">
                  <c:v>10</c:v>
                </c:pt>
              </c:numCache>
            </c:numRef>
          </c:cat>
          <c:val>
            <c:numRef>
              <c:f>Hoja1!$F$7:$F$12</c:f>
              <c:numCache>
                <c:formatCode>General</c:formatCode>
                <c:ptCount val="6"/>
                <c:pt idx="0">
                  <c:v>6.3</c:v>
                </c:pt>
                <c:pt idx="1">
                  <c:v>5.7</c:v>
                </c:pt>
                <c:pt idx="2">
                  <c:v>5.4</c:v>
                </c:pt>
                <c:pt idx="3">
                  <c:v>5.3</c:v>
                </c:pt>
                <c:pt idx="4">
                  <c:v>5</c:v>
                </c:pt>
                <c:pt idx="5">
                  <c:v>4.8</c:v>
                </c:pt>
              </c:numCache>
            </c:numRef>
          </c:val>
          <c:smooth val="0"/>
          <c:extLst>
            <c:ext xmlns:c16="http://schemas.microsoft.com/office/drawing/2014/chart" uri="{C3380CC4-5D6E-409C-BE32-E72D297353CC}">
              <c16:uniqueId val="{00000001-7F35-406B-9C55-0F2C6F64267B}"/>
            </c:ext>
          </c:extLst>
        </c:ser>
        <c:ser>
          <c:idx val="2"/>
          <c:order val="2"/>
          <c:tx>
            <c:strRef>
              <c:f>Hoja1!$G$5:$G$6</c:f>
              <c:strCache>
                <c:ptCount val="2"/>
                <c:pt idx="0">
                  <c:v>S1:3P</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Hoja1!$D$7:$D$12</c:f>
              <c:numCache>
                <c:formatCode>0</c:formatCode>
                <c:ptCount val="6"/>
                <c:pt idx="0">
                  <c:v>0</c:v>
                </c:pt>
                <c:pt idx="1">
                  <c:v>2</c:v>
                </c:pt>
                <c:pt idx="2">
                  <c:v>4</c:v>
                </c:pt>
                <c:pt idx="3">
                  <c:v>6</c:v>
                </c:pt>
                <c:pt idx="4">
                  <c:v>8</c:v>
                </c:pt>
                <c:pt idx="5">
                  <c:v>10</c:v>
                </c:pt>
              </c:numCache>
            </c:numRef>
          </c:cat>
          <c:val>
            <c:numRef>
              <c:f>Hoja1!$G$7:$G$12</c:f>
              <c:numCache>
                <c:formatCode>General</c:formatCode>
                <c:ptCount val="6"/>
                <c:pt idx="0">
                  <c:v>5.3</c:v>
                </c:pt>
                <c:pt idx="1">
                  <c:v>5</c:v>
                </c:pt>
                <c:pt idx="2">
                  <c:v>4.8</c:v>
                </c:pt>
                <c:pt idx="3">
                  <c:v>4.5</c:v>
                </c:pt>
              </c:numCache>
            </c:numRef>
          </c:val>
          <c:smooth val="0"/>
          <c:extLst>
            <c:ext xmlns:c16="http://schemas.microsoft.com/office/drawing/2014/chart" uri="{C3380CC4-5D6E-409C-BE32-E72D297353CC}">
              <c16:uniqueId val="{00000002-7F35-406B-9C55-0F2C6F64267B}"/>
            </c:ext>
          </c:extLst>
        </c:ser>
        <c:ser>
          <c:idx val="3"/>
          <c:order val="3"/>
          <c:tx>
            <c:strRef>
              <c:f>Hoja1!$H$5:$H$6</c:f>
              <c:strCache>
                <c:ptCount val="2"/>
                <c:pt idx="0">
                  <c:v>S1:5P</c:v>
                </c:pt>
              </c:strCache>
            </c:strRef>
          </c:tx>
          <c:spPr>
            <a:ln w="22225" cap="rnd">
              <a:solidFill>
                <a:schemeClr val="accent4"/>
              </a:solidFill>
              <a:round/>
            </a:ln>
            <a:effectLst/>
          </c:spPr>
          <c:marker>
            <c:symbol val="x"/>
            <c:size val="6"/>
            <c:spPr>
              <a:noFill/>
              <a:ln w="9525">
                <a:solidFill>
                  <a:schemeClr val="accent4"/>
                </a:solidFill>
                <a:round/>
              </a:ln>
              <a:effectLst/>
            </c:spPr>
          </c:marker>
          <c:cat>
            <c:numRef>
              <c:f>Hoja1!$D$7:$D$12</c:f>
              <c:numCache>
                <c:formatCode>0</c:formatCode>
                <c:ptCount val="6"/>
                <c:pt idx="0">
                  <c:v>0</c:v>
                </c:pt>
                <c:pt idx="1">
                  <c:v>2</c:v>
                </c:pt>
                <c:pt idx="2">
                  <c:v>4</c:v>
                </c:pt>
                <c:pt idx="3">
                  <c:v>6</c:v>
                </c:pt>
                <c:pt idx="4">
                  <c:v>8</c:v>
                </c:pt>
                <c:pt idx="5">
                  <c:v>10</c:v>
                </c:pt>
              </c:numCache>
            </c:numRef>
          </c:cat>
          <c:val>
            <c:numRef>
              <c:f>Hoja1!$H$7:$H$12</c:f>
              <c:numCache>
                <c:formatCode>General</c:formatCode>
                <c:ptCount val="6"/>
                <c:pt idx="0">
                  <c:v>5.4</c:v>
                </c:pt>
                <c:pt idx="1">
                  <c:v>5.2</c:v>
                </c:pt>
                <c:pt idx="2">
                  <c:v>5</c:v>
                </c:pt>
                <c:pt idx="3">
                  <c:v>4.4000000000000004</c:v>
                </c:pt>
              </c:numCache>
            </c:numRef>
          </c:val>
          <c:smooth val="0"/>
          <c:extLst>
            <c:ext xmlns:c16="http://schemas.microsoft.com/office/drawing/2014/chart" uri="{C3380CC4-5D6E-409C-BE32-E72D297353CC}">
              <c16:uniqueId val="{00000003-7F35-406B-9C55-0F2C6F64267B}"/>
            </c:ext>
          </c:extLst>
        </c:ser>
        <c:dLbls>
          <c:showLegendKey val="0"/>
          <c:showVal val="0"/>
          <c:showCatName val="0"/>
          <c:showSerName val="0"/>
          <c:showPercent val="0"/>
          <c:showBubbleSize val="0"/>
        </c:dLbls>
        <c:marker val="1"/>
        <c:smooth val="0"/>
        <c:axId val="773523256"/>
        <c:axId val="773521816"/>
      </c:lineChart>
      <c:catAx>
        <c:axId val="773523256"/>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Arial" panose="020B0604020202020204" pitchFamily="34" charset="0"/>
                    <a:ea typeface="+mn-ea"/>
                    <a:cs typeface="Arial" panose="020B0604020202020204" pitchFamily="34" charset="0"/>
                  </a:defRPr>
                </a:pPr>
                <a:r>
                  <a:rPr lang="es-CO" sz="600" cap="none" baseline="0"/>
                  <a:t>Fermentation time [h]</a:t>
                </a:r>
              </a:p>
            </c:rich>
          </c:tx>
          <c:layout>
            <c:manualLayout>
              <c:xMode val="edge"/>
              <c:yMode val="edge"/>
              <c:x val="0.41423873547839946"/>
              <c:y val="0.72178416294454417"/>
            </c:manualLayout>
          </c:layout>
          <c:overlay val="0"/>
          <c:spPr>
            <a:noFill/>
            <a:ln>
              <a:noFill/>
            </a:ln>
            <a:effectLst/>
          </c:spPr>
          <c:txPr>
            <a:bodyPr rot="0" spcFirstLastPara="1" vertOverflow="ellipsis" vert="horz" wrap="square" anchor="ctr" anchorCtr="1"/>
            <a:lstStyle/>
            <a:p>
              <a:pPr>
                <a:defRPr sz="6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crossAx val="773521816"/>
        <c:crosses val="autoZero"/>
        <c:auto val="1"/>
        <c:lblAlgn val="ctr"/>
        <c:lblOffset val="100"/>
        <c:noMultiLvlLbl val="0"/>
      </c:catAx>
      <c:valAx>
        <c:axId val="773521816"/>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cap="all" baseline="0">
                    <a:solidFill>
                      <a:schemeClr val="tx1"/>
                    </a:solidFill>
                    <a:latin typeface="Arial" panose="020B0604020202020204" pitchFamily="34" charset="0"/>
                    <a:ea typeface="+mn-ea"/>
                    <a:cs typeface="Arial" panose="020B0604020202020204" pitchFamily="34" charset="0"/>
                  </a:defRPr>
                </a:pPr>
                <a:r>
                  <a:rPr lang="es-CO" sz="700" cap="none" baseline="0"/>
                  <a:t>pH</a:t>
                </a:r>
              </a:p>
            </c:rich>
          </c:tx>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352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Hoja1!$K$16:$K$17</c:f>
              <c:strCache>
                <c:ptCount val="2"/>
                <c:pt idx="0">
                  <c:v>S1:3</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Hoja1!$J$18:$J$23</c:f>
              <c:numCache>
                <c:formatCode>0</c:formatCode>
                <c:ptCount val="6"/>
                <c:pt idx="0">
                  <c:v>0</c:v>
                </c:pt>
                <c:pt idx="1">
                  <c:v>2</c:v>
                </c:pt>
                <c:pt idx="2">
                  <c:v>4</c:v>
                </c:pt>
                <c:pt idx="3">
                  <c:v>6</c:v>
                </c:pt>
                <c:pt idx="4">
                  <c:v>8</c:v>
                </c:pt>
                <c:pt idx="5">
                  <c:v>10</c:v>
                </c:pt>
              </c:numCache>
            </c:numRef>
          </c:cat>
          <c:val>
            <c:numRef>
              <c:f>Hoja1!$K$18:$K$23</c:f>
              <c:numCache>
                <c:formatCode>General</c:formatCode>
                <c:ptCount val="6"/>
                <c:pt idx="0">
                  <c:v>9.01E-2</c:v>
                </c:pt>
                <c:pt idx="1">
                  <c:v>0.14416000000000001</c:v>
                </c:pt>
                <c:pt idx="2">
                  <c:v>0.19221333333333337</c:v>
                </c:pt>
                <c:pt idx="3">
                  <c:v>0.3904333333333333</c:v>
                </c:pt>
                <c:pt idx="4">
                  <c:v>0.43848666666666664</c:v>
                </c:pt>
                <c:pt idx="5">
                  <c:v>0.63070000000000004</c:v>
                </c:pt>
              </c:numCache>
            </c:numRef>
          </c:val>
          <c:extLst>
            <c:ext xmlns:c16="http://schemas.microsoft.com/office/drawing/2014/chart" uri="{C3380CC4-5D6E-409C-BE32-E72D297353CC}">
              <c16:uniqueId val="{00000000-D730-4B49-AA48-474C0F6A4A16}"/>
            </c:ext>
          </c:extLst>
        </c:ser>
        <c:ser>
          <c:idx val="1"/>
          <c:order val="1"/>
          <c:tx>
            <c:strRef>
              <c:f>Hoja1!$L$16:$L$17</c:f>
              <c:strCache>
                <c:ptCount val="2"/>
                <c:pt idx="0">
                  <c:v>S1:5</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Hoja1!$J$18:$J$23</c:f>
              <c:numCache>
                <c:formatCode>0</c:formatCode>
                <c:ptCount val="6"/>
                <c:pt idx="0">
                  <c:v>0</c:v>
                </c:pt>
                <c:pt idx="1">
                  <c:v>2</c:v>
                </c:pt>
                <c:pt idx="2">
                  <c:v>4</c:v>
                </c:pt>
                <c:pt idx="3">
                  <c:v>6</c:v>
                </c:pt>
                <c:pt idx="4">
                  <c:v>8</c:v>
                </c:pt>
                <c:pt idx="5">
                  <c:v>10</c:v>
                </c:pt>
              </c:numCache>
            </c:numRef>
          </c:cat>
          <c:val>
            <c:numRef>
              <c:f>Hoja1!$L$18:$L$23</c:f>
              <c:numCache>
                <c:formatCode>General</c:formatCode>
                <c:ptCount val="6"/>
                <c:pt idx="0">
                  <c:v>0.10811999999999999</c:v>
                </c:pt>
                <c:pt idx="1">
                  <c:v>0.1802</c:v>
                </c:pt>
                <c:pt idx="2">
                  <c:v>0.34838666666666662</c:v>
                </c:pt>
                <c:pt idx="3">
                  <c:v>0.51657333333333333</c:v>
                </c:pt>
                <c:pt idx="4">
                  <c:v>0.55261333333333318</c:v>
                </c:pt>
                <c:pt idx="5">
                  <c:v>0.75083333333333335</c:v>
                </c:pt>
              </c:numCache>
            </c:numRef>
          </c:val>
          <c:extLst>
            <c:ext xmlns:c16="http://schemas.microsoft.com/office/drawing/2014/chart" uri="{C3380CC4-5D6E-409C-BE32-E72D297353CC}">
              <c16:uniqueId val="{00000001-D730-4B49-AA48-474C0F6A4A16}"/>
            </c:ext>
          </c:extLst>
        </c:ser>
        <c:ser>
          <c:idx val="2"/>
          <c:order val="2"/>
          <c:tx>
            <c:strRef>
              <c:f>Hoja1!$M$16:$M$17</c:f>
              <c:strCache>
                <c:ptCount val="2"/>
                <c:pt idx="0">
                  <c:v>S1:3 P</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Hoja1!$J$18:$J$23</c:f>
              <c:numCache>
                <c:formatCode>0</c:formatCode>
                <c:ptCount val="6"/>
                <c:pt idx="0">
                  <c:v>0</c:v>
                </c:pt>
                <c:pt idx="1">
                  <c:v>2</c:v>
                </c:pt>
                <c:pt idx="2">
                  <c:v>4</c:v>
                </c:pt>
                <c:pt idx="3">
                  <c:v>6</c:v>
                </c:pt>
                <c:pt idx="4">
                  <c:v>8</c:v>
                </c:pt>
                <c:pt idx="5">
                  <c:v>10</c:v>
                </c:pt>
              </c:numCache>
            </c:numRef>
          </c:cat>
          <c:val>
            <c:numRef>
              <c:f>Hoja1!$M$18:$M$23</c:f>
              <c:numCache>
                <c:formatCode>General</c:formatCode>
                <c:ptCount val="6"/>
                <c:pt idx="0">
                  <c:v>0.19822000000000001</c:v>
                </c:pt>
                <c:pt idx="1">
                  <c:v>0.32436000000000004</c:v>
                </c:pt>
                <c:pt idx="2">
                  <c:v>0.51056666666666672</c:v>
                </c:pt>
                <c:pt idx="3">
                  <c:v>0.69076666666666675</c:v>
                </c:pt>
              </c:numCache>
            </c:numRef>
          </c:val>
          <c:extLst>
            <c:ext xmlns:c16="http://schemas.microsoft.com/office/drawing/2014/chart" uri="{C3380CC4-5D6E-409C-BE32-E72D297353CC}">
              <c16:uniqueId val="{00000002-D730-4B49-AA48-474C0F6A4A16}"/>
            </c:ext>
          </c:extLst>
        </c:ser>
        <c:ser>
          <c:idx val="3"/>
          <c:order val="3"/>
          <c:tx>
            <c:strRef>
              <c:f>Hoja1!$N$16:$N$17</c:f>
              <c:strCache>
                <c:ptCount val="2"/>
                <c:pt idx="0">
                  <c:v>S1:5 P</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Hoja1!$J$18:$J$23</c:f>
              <c:numCache>
                <c:formatCode>0</c:formatCode>
                <c:ptCount val="6"/>
                <c:pt idx="0">
                  <c:v>0</c:v>
                </c:pt>
                <c:pt idx="1">
                  <c:v>2</c:v>
                </c:pt>
                <c:pt idx="2">
                  <c:v>4</c:v>
                </c:pt>
                <c:pt idx="3">
                  <c:v>6</c:v>
                </c:pt>
                <c:pt idx="4">
                  <c:v>8</c:v>
                </c:pt>
                <c:pt idx="5">
                  <c:v>10</c:v>
                </c:pt>
              </c:numCache>
            </c:numRef>
          </c:cat>
          <c:val>
            <c:numRef>
              <c:f>Hoja1!$N$18:$N$23</c:f>
              <c:numCache>
                <c:formatCode>General</c:formatCode>
                <c:ptCount val="6"/>
                <c:pt idx="0">
                  <c:v>0.2042266666666667</c:v>
                </c:pt>
                <c:pt idx="1">
                  <c:v>0.34238000000000002</c:v>
                </c:pt>
                <c:pt idx="2">
                  <c:v>0.46851999999999994</c:v>
                </c:pt>
                <c:pt idx="3">
                  <c:v>0.6727466666666666</c:v>
                </c:pt>
              </c:numCache>
            </c:numRef>
          </c:val>
          <c:extLst>
            <c:ext xmlns:c16="http://schemas.microsoft.com/office/drawing/2014/chart" uri="{C3380CC4-5D6E-409C-BE32-E72D297353CC}">
              <c16:uniqueId val="{00000003-D730-4B49-AA48-474C0F6A4A16}"/>
            </c:ext>
          </c:extLst>
        </c:ser>
        <c:dLbls>
          <c:showLegendKey val="0"/>
          <c:showVal val="0"/>
          <c:showCatName val="0"/>
          <c:showSerName val="0"/>
          <c:showPercent val="0"/>
          <c:showBubbleSize val="0"/>
        </c:dLbls>
        <c:gapWidth val="219"/>
        <c:overlap val="-27"/>
        <c:axId val="692452608"/>
        <c:axId val="692451168"/>
      </c:barChart>
      <c:catAx>
        <c:axId val="692452608"/>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r>
                  <a:rPr lang="es-CO" sz="600"/>
                  <a:t>Fermentation time [h]</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92451168"/>
        <c:crosses val="autoZero"/>
        <c:auto val="1"/>
        <c:lblAlgn val="ctr"/>
        <c:lblOffset val="100"/>
        <c:noMultiLvlLbl val="0"/>
      </c:catAx>
      <c:valAx>
        <c:axId val="69245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es-CO" sz="700"/>
                  <a:t>Lactic</a:t>
                </a:r>
                <a:r>
                  <a:rPr lang="es-CO" sz="700" baseline="0"/>
                  <a:t> acid [%g/L]</a:t>
                </a:r>
                <a:endParaRPr lang="es-CO" sz="700"/>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9245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A3AE-846D-4139-9507-E5C6122C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12763</Words>
  <Characters>72754</Characters>
  <Application>Microsoft Office Word</Application>
  <DocSecurity>0</DocSecurity>
  <Lines>606</Lines>
  <Paragraphs>170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85347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Karina Ojeda</cp:lastModifiedBy>
  <cp:revision>3</cp:revision>
  <cp:lastPrinted>2015-05-12T18:31:00Z</cp:lastPrinted>
  <dcterms:created xsi:type="dcterms:W3CDTF">2024-02-26T12:26:00Z</dcterms:created>
  <dcterms:modified xsi:type="dcterms:W3CDTF">2024-02-26T12:27:00Z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https://csl.mendeley.com/styles/460025091/ieee-jsdewes</vt:lpwstr>
  </property>
  <property fmtid="{D5CDD505-2E9C-101B-9397-08002B2CF9AE}" pid="17" name="Mendeley Recent Style Name 6_1">
    <vt:lpwstr>IEEE - JSDEWES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5835b023-72c3-3f07-bca7-ec364861b9bc</vt:lpwstr>
  </property>
  <property fmtid="{D5CDD505-2E9C-101B-9397-08002B2CF9AE}" pid="26" name="Mendeley Citation Style_1">
    <vt:lpwstr>http://www.zotero.org/styles/apa</vt:lpwstr>
  </property>
  <property fmtid="{D5CDD505-2E9C-101B-9397-08002B2CF9AE}" pid="27" name="GrammarlyDocumentId">
    <vt:lpwstr>56698ccc6c4317d58a068154d04005f86b53fe0bf8edd36ab5779672dc1cffa0</vt:lpwstr>
  </property>
</Properties>
</file>