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A05F02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72316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6661ED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843EAC">
              <w:rPr>
                <w:rFonts w:ascii="Tahoma" w:hAnsi="Tahoma" w:cs="Tahoma"/>
                <w:color w:val="000000"/>
                <w:sz w:val="14"/>
                <w:szCs w:val="14"/>
                <w:shd w:val="clear" w:color="auto" w:fill="FFFFFF"/>
                <w:lang w:val="it-IT"/>
              </w:rPr>
              <w:t xml:space="preserve">Marco Bravi, Antonio </w:t>
            </w:r>
            <w:proofErr w:type="spellStart"/>
            <w:r w:rsidR="00843EAC">
              <w:rPr>
                <w:rFonts w:ascii="Tahoma" w:hAnsi="Tahoma" w:cs="Tahoma"/>
                <w:color w:val="000000"/>
                <w:sz w:val="14"/>
                <w:szCs w:val="14"/>
                <w:shd w:val="clear" w:color="auto" w:fill="FFFFFF"/>
                <w:lang w:val="it-IT"/>
              </w:rPr>
              <w:t>Marzocchella</w:t>
            </w:r>
            <w:proofErr w:type="spellEnd"/>
            <w:r w:rsidR="00843EAC">
              <w:rPr>
                <w:rFonts w:ascii="Tahoma" w:hAnsi="Tahoma" w:cs="Tahoma"/>
                <w:color w:val="000000"/>
                <w:sz w:val="14"/>
                <w:szCs w:val="14"/>
                <w:shd w:val="clear" w:color="auto" w:fill="FFFFFF"/>
                <w:lang w:val="it-IT"/>
              </w:rPr>
              <w:t>, Giuseppe Caputo</w:t>
            </w:r>
          </w:p>
          <w:p w14:paraId="1B0F1814" w14:textId="62155F0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723169">
              <w:rPr>
                <w:rFonts w:ascii="Tahoma" w:hAnsi="Tahoma" w:cs="Tahoma"/>
                <w:sz w:val="14"/>
                <w:szCs w:val="14"/>
              </w:rPr>
              <w:t>10-6</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342BDA6B" w:rsidR="00E978D0" w:rsidRPr="00B57B36" w:rsidRDefault="00172D8B" w:rsidP="00E978D0">
      <w:pPr>
        <w:pStyle w:val="CETTitle"/>
      </w:pPr>
      <w:r>
        <w:t xml:space="preserve">A review on the </w:t>
      </w:r>
      <w:proofErr w:type="spellStart"/>
      <w:r>
        <w:t>valorization</w:t>
      </w:r>
      <w:proofErr w:type="spellEnd"/>
      <w:r>
        <w:t xml:space="preserve"> of lignocellulosic biomass for succinic acid production: strengths and weaknesses</w:t>
      </w:r>
      <w:r w:rsidR="00581BD6" w:rsidRPr="00581BD6">
        <w:t>.</w:t>
      </w:r>
    </w:p>
    <w:p w14:paraId="0488FED2" w14:textId="621F2E40" w:rsidR="00B57E6F" w:rsidRPr="00086438" w:rsidRDefault="00086438" w:rsidP="00B57E6F">
      <w:pPr>
        <w:pStyle w:val="CETAuthors"/>
        <w:rPr>
          <w:lang w:val="it-IT"/>
        </w:rPr>
      </w:pPr>
      <w:r w:rsidRPr="00086438">
        <w:rPr>
          <w:lang w:val="it-IT"/>
        </w:rPr>
        <w:t>Patrizia Casella</w:t>
      </w:r>
      <w:r w:rsidRPr="00086438">
        <w:rPr>
          <w:vertAlign w:val="superscript"/>
          <w:lang w:val="it-IT"/>
        </w:rPr>
        <w:t>a</w:t>
      </w:r>
      <w:r w:rsidR="00B57E6F" w:rsidRPr="00086438">
        <w:rPr>
          <w:lang w:val="it-IT"/>
        </w:rPr>
        <w:t xml:space="preserve">, </w:t>
      </w:r>
      <w:r w:rsidRPr="00086438">
        <w:rPr>
          <w:lang w:val="it-IT"/>
        </w:rPr>
        <w:t>Raffaele Loffredo</w:t>
      </w:r>
      <w:r w:rsidRPr="00086438">
        <w:rPr>
          <w:vertAlign w:val="superscript"/>
          <w:lang w:val="it-IT"/>
        </w:rPr>
        <w:t>a,b</w:t>
      </w:r>
      <w:r w:rsidR="00B57E6F" w:rsidRPr="00086438">
        <w:rPr>
          <w:lang w:val="it-IT"/>
        </w:rPr>
        <w:t xml:space="preserve">, </w:t>
      </w:r>
      <w:r w:rsidRPr="00086438">
        <w:rPr>
          <w:lang w:val="it-IT"/>
        </w:rPr>
        <w:t>Maria A. Rao</w:t>
      </w:r>
      <w:r w:rsidRPr="00086438">
        <w:rPr>
          <w:vertAlign w:val="superscript"/>
          <w:lang w:val="it-IT"/>
        </w:rPr>
        <w:t>b</w:t>
      </w:r>
      <w:r w:rsidRPr="00086438">
        <w:rPr>
          <w:lang w:val="it-IT"/>
        </w:rPr>
        <w:t xml:space="preserve">, </w:t>
      </w:r>
      <w:r>
        <w:rPr>
          <w:lang w:val="it-IT"/>
        </w:rPr>
        <w:t>Roberto Balducchi</w:t>
      </w:r>
      <w:r w:rsidRPr="00086438">
        <w:rPr>
          <w:vertAlign w:val="superscript"/>
          <w:lang w:val="it-IT"/>
        </w:rPr>
        <w:t>c</w:t>
      </w:r>
      <w:r>
        <w:rPr>
          <w:lang w:val="it-IT"/>
        </w:rPr>
        <w:t>,</w:t>
      </w:r>
      <w:r w:rsidR="003A0B47">
        <w:rPr>
          <w:lang w:val="it-IT"/>
        </w:rPr>
        <w:t xml:space="preserve"> </w:t>
      </w:r>
      <w:r w:rsidRPr="00086438">
        <w:rPr>
          <w:lang w:val="it-IT"/>
        </w:rPr>
        <w:t>Antonio Molino</w:t>
      </w:r>
      <w:r w:rsidRPr="00086438">
        <w:rPr>
          <w:vertAlign w:val="superscript"/>
          <w:lang w:val="it-IT"/>
        </w:rPr>
        <w:t>a</w:t>
      </w:r>
      <w:r>
        <w:rPr>
          <w:vertAlign w:val="superscript"/>
          <w:lang w:val="it-IT"/>
        </w:rPr>
        <w:t>,*</w:t>
      </w:r>
      <w:r w:rsidR="00B57E6F" w:rsidRPr="00086438">
        <w:rPr>
          <w:lang w:val="it-IT"/>
        </w:rPr>
        <w:t xml:space="preserve"> </w:t>
      </w:r>
    </w:p>
    <w:p w14:paraId="6B2D21B3" w14:textId="0CAB75D1" w:rsidR="00B57E6F" w:rsidRPr="00B57B36" w:rsidRDefault="00B57E6F" w:rsidP="00B57E6F">
      <w:pPr>
        <w:pStyle w:val="CETAddress"/>
      </w:pPr>
      <w:r w:rsidRPr="00B57B36">
        <w:rPr>
          <w:vertAlign w:val="superscript"/>
        </w:rPr>
        <w:t>a</w:t>
      </w:r>
      <w:r w:rsidR="00086438">
        <w:t>Italian National Agency for New Technologies, Energy and Sustainable Economic Development – sustainability, biotechnology and agroindustry division, Bioprocess and Bioproducts Laboratory (ENEA-SSPT-BIOAG-PROBIO), Piazz. le Enrico Fermi 1, 80055 Portici (NA), Italy</w:t>
      </w:r>
    </w:p>
    <w:p w14:paraId="353A089D" w14:textId="7A46D056" w:rsidR="00086438" w:rsidRDefault="00B57E6F" w:rsidP="00B57E6F">
      <w:pPr>
        <w:pStyle w:val="CETAddress"/>
      </w:pPr>
      <w:r w:rsidRPr="00B57B36">
        <w:rPr>
          <w:vertAlign w:val="superscript"/>
        </w:rPr>
        <w:t>b</w:t>
      </w:r>
      <w:r w:rsidR="00086438">
        <w:t>Department of Agricultural Sciences, University of Naples, Federico II, Via Università 100, 80055 Portici (NA), Italy</w:t>
      </w:r>
    </w:p>
    <w:p w14:paraId="0E694608" w14:textId="6EF6FB44" w:rsidR="00086438" w:rsidRPr="00B57B36" w:rsidRDefault="00086438" w:rsidP="00086438">
      <w:pPr>
        <w:pStyle w:val="CETAddress"/>
      </w:pPr>
      <w:r>
        <w:rPr>
          <w:vertAlign w:val="superscript"/>
        </w:rPr>
        <w:t>c</w:t>
      </w:r>
      <w:r w:rsidRPr="00086438">
        <w:t xml:space="preserve"> </w:t>
      </w:r>
      <w:r>
        <w:t>Italian National Agency for New Technologies, Energy and Sustainable Economic Development</w:t>
      </w:r>
      <w:r w:rsidRPr="00086438">
        <w:t xml:space="preserve"> </w:t>
      </w:r>
      <w:r>
        <w:t>Energy and Sustainable Economic Development – sustainability, biotechnology and agroindustry division, Bioprocess and Bioproducts Laboratory (ENEA-SSPT-BIOAG-PROBIO), Strada Statale Jonica km 419 + 500, 75026 Rotondella (MT), Italy</w:t>
      </w:r>
    </w:p>
    <w:p w14:paraId="3D72B0B0" w14:textId="77B04FF5" w:rsidR="00B57E6F" w:rsidRPr="00B57B36" w:rsidRDefault="00B57E6F" w:rsidP="00B57E6F">
      <w:pPr>
        <w:pStyle w:val="CETAddress"/>
      </w:pPr>
    </w:p>
    <w:p w14:paraId="73F1267A" w14:textId="121875C7" w:rsidR="00B57E6F" w:rsidRDefault="00DB23EB" w:rsidP="00B57E6F">
      <w:pPr>
        <w:pStyle w:val="CETemail"/>
      </w:pPr>
      <w:hyperlink r:id="rId11" w:history="1">
        <w:r w:rsidR="00F720A2" w:rsidRPr="00AD6E1B">
          <w:rPr>
            <w:rStyle w:val="Collegamentoipertestuale"/>
          </w:rPr>
          <w:t>antonio.molino@enea.it</w:t>
        </w:r>
      </w:hyperlink>
    </w:p>
    <w:p w14:paraId="313E343B" w14:textId="48B7CC3C" w:rsidR="001500E7" w:rsidRPr="00BE2F04" w:rsidRDefault="00344B9C" w:rsidP="00344B9C">
      <w:pPr>
        <w:pStyle w:val="CETBodytext"/>
      </w:pPr>
      <w:r>
        <w:rPr>
          <w:lang w:val="en-GB"/>
        </w:rPr>
        <w:t>B</w:t>
      </w:r>
      <w:r w:rsidRPr="00344B9C">
        <w:rPr>
          <w:lang w:val="en-GB"/>
        </w:rPr>
        <w:t xml:space="preserve">io-based succinic acid production holds great promise for </w:t>
      </w:r>
      <w:r>
        <w:rPr>
          <w:lang w:val="en-GB"/>
        </w:rPr>
        <w:t xml:space="preserve">the </w:t>
      </w:r>
      <w:r w:rsidRPr="00344B9C">
        <w:rPr>
          <w:lang w:val="en-GB"/>
        </w:rPr>
        <w:t>process sustainability through the use of renewable resources such as lignocellulosic biomass and the use of microorganisms that can utilize CO</w:t>
      </w:r>
      <w:r w:rsidRPr="00344B9C">
        <w:rPr>
          <w:vertAlign w:val="subscript"/>
          <w:lang w:val="en-GB"/>
        </w:rPr>
        <w:t>2</w:t>
      </w:r>
      <w:r w:rsidRPr="00344B9C">
        <w:rPr>
          <w:lang w:val="en-GB"/>
        </w:rPr>
        <w:t xml:space="preserve"> in fermentation processes. </w:t>
      </w:r>
      <w:r w:rsidR="00D1488C" w:rsidRPr="00D1488C">
        <w:rPr>
          <w:lang w:val="en-GB"/>
        </w:rPr>
        <w:t xml:space="preserve">A critical review of the latest findings on succinic acid production from lignocellulosic biomass was discussed, </w:t>
      </w:r>
      <w:r w:rsidR="00D07E30">
        <w:rPr>
          <w:lang w:val="en-GB"/>
        </w:rPr>
        <w:t xml:space="preserve">by </w:t>
      </w:r>
      <w:r w:rsidR="00D1488C" w:rsidRPr="00D1488C">
        <w:rPr>
          <w:lang w:val="en-GB"/>
        </w:rPr>
        <w:t>highlighting all the key aspects of optimization processes at different levels of the process from pre</w:t>
      </w:r>
      <w:r w:rsidR="00D1488C">
        <w:rPr>
          <w:lang w:val="en-GB"/>
        </w:rPr>
        <w:t>-</w:t>
      </w:r>
      <w:r w:rsidR="00D1488C" w:rsidRPr="00D1488C">
        <w:rPr>
          <w:lang w:val="en-GB"/>
        </w:rPr>
        <w:t>treatment to succinic acid production.</w:t>
      </w:r>
      <w:r>
        <w:rPr>
          <w:lang w:val="en-GB"/>
        </w:rPr>
        <w:t xml:space="preserve"> </w:t>
      </w:r>
      <w:r w:rsidR="00D1488C">
        <w:rPr>
          <w:lang w:val="en-GB"/>
        </w:rPr>
        <w:t>C</w:t>
      </w:r>
      <w:r w:rsidR="00D1488C" w:rsidRPr="00D1488C">
        <w:rPr>
          <w:lang w:val="en-GB"/>
        </w:rPr>
        <w:t>hemical-physical pretreatments seem</w:t>
      </w:r>
      <w:r w:rsidR="00D1488C">
        <w:rPr>
          <w:lang w:val="en-GB"/>
        </w:rPr>
        <w:t>ed</w:t>
      </w:r>
      <w:r w:rsidR="00D1488C" w:rsidRPr="00D1488C">
        <w:rPr>
          <w:lang w:val="en-GB"/>
        </w:rPr>
        <w:t xml:space="preserve"> to be the most appropriate for the pretreatment of lignocellulosic biomass, but many strategies are still needed to solve the problem of var</w:t>
      </w:r>
      <w:r w:rsidR="00D1488C">
        <w:rPr>
          <w:lang w:val="en-GB"/>
        </w:rPr>
        <w:t xml:space="preserve">iability in initial composition, </w:t>
      </w:r>
      <w:r w:rsidR="00D1488C" w:rsidRPr="00D1488C">
        <w:rPr>
          <w:lang w:val="en-GB"/>
        </w:rPr>
        <w:t>the presence of post-treatment inhibitory compounds</w:t>
      </w:r>
      <w:r w:rsidR="00D1488C">
        <w:rPr>
          <w:lang w:val="en-GB"/>
        </w:rPr>
        <w:t xml:space="preserve"> and the use of green solvent</w:t>
      </w:r>
      <w:r w:rsidR="00D1488C" w:rsidRPr="00D1488C">
        <w:rPr>
          <w:lang w:val="en-GB"/>
        </w:rPr>
        <w:t xml:space="preserve">. In addition, the </w:t>
      </w:r>
      <w:proofErr w:type="spellStart"/>
      <w:r w:rsidR="00D1488C" w:rsidRPr="00D1488C">
        <w:rPr>
          <w:lang w:val="en-GB"/>
        </w:rPr>
        <w:t>saccharization</w:t>
      </w:r>
      <w:proofErr w:type="spellEnd"/>
      <w:r w:rsidR="00D1488C" w:rsidRPr="00D1488C">
        <w:rPr>
          <w:lang w:val="en-GB"/>
        </w:rPr>
        <w:t xml:space="preserve">-fermentation </w:t>
      </w:r>
      <w:r w:rsidR="00D1488C">
        <w:rPr>
          <w:lang w:val="en-GB"/>
        </w:rPr>
        <w:t>process</w:t>
      </w:r>
      <w:r w:rsidR="00D1488C" w:rsidRPr="00D1488C">
        <w:rPr>
          <w:lang w:val="en-GB"/>
        </w:rPr>
        <w:t xml:space="preserve"> </w:t>
      </w:r>
      <w:r w:rsidR="00D07E30" w:rsidRPr="00D1488C">
        <w:rPr>
          <w:lang w:val="en-GB"/>
        </w:rPr>
        <w:t>seem</w:t>
      </w:r>
      <w:r w:rsidR="00D07E30">
        <w:rPr>
          <w:lang w:val="en-GB"/>
        </w:rPr>
        <w:t>ed</w:t>
      </w:r>
      <w:r w:rsidR="00D07E30" w:rsidRPr="00D1488C">
        <w:rPr>
          <w:lang w:val="en-GB"/>
        </w:rPr>
        <w:t xml:space="preserve"> </w:t>
      </w:r>
      <w:r w:rsidR="00D1488C" w:rsidRPr="00D1488C">
        <w:rPr>
          <w:lang w:val="en-GB"/>
        </w:rPr>
        <w:t>to be the most suitable for the fermentative process of hydrolysates obtained from pretreatment</w:t>
      </w:r>
      <w:r w:rsidR="00D1488C">
        <w:rPr>
          <w:lang w:val="en-GB"/>
        </w:rPr>
        <w:t xml:space="preserve"> to produce bio-based succinic acid</w:t>
      </w:r>
      <w:r w:rsidR="00D1488C" w:rsidRPr="00D1488C">
        <w:rPr>
          <w:lang w:val="en-GB"/>
        </w:rPr>
        <w:t>.</w:t>
      </w:r>
      <w:r w:rsidR="00D1488C">
        <w:rPr>
          <w:lang w:val="en-GB"/>
        </w:rPr>
        <w:t xml:space="preserve"> C</w:t>
      </w:r>
      <w:r w:rsidR="00D1488C" w:rsidRPr="00D1488C">
        <w:rPr>
          <w:lang w:val="en-GB"/>
        </w:rPr>
        <w:t>ertainly new studies and strategies are still needed to overcome the weaknesses of the whole process of succinic acid production from lignocellulosic biomass</w:t>
      </w:r>
      <w:r w:rsidR="00D1488C">
        <w:rPr>
          <w:lang w:val="en-GB"/>
        </w:rPr>
        <w:t>.</w:t>
      </w:r>
    </w:p>
    <w:p w14:paraId="476B2F2E" w14:textId="77777777" w:rsidR="00600535" w:rsidRPr="00B57B36" w:rsidRDefault="00600535" w:rsidP="00600535">
      <w:pPr>
        <w:pStyle w:val="CETHeading1"/>
        <w:rPr>
          <w:lang w:val="en-GB"/>
        </w:rPr>
      </w:pPr>
      <w:r w:rsidRPr="00B57B36">
        <w:rPr>
          <w:lang w:val="en-GB"/>
        </w:rPr>
        <w:t>Introduction</w:t>
      </w:r>
    </w:p>
    <w:p w14:paraId="6B6FEC34" w14:textId="7DCDE971" w:rsidR="009A68AB" w:rsidRDefault="00BA4B82" w:rsidP="004930AA">
      <w:pPr>
        <w:pStyle w:val="CETBodytext"/>
      </w:pPr>
      <w:bookmarkStart w:id="1" w:name="_Hlk152843566"/>
      <w:r>
        <w:t>The succinic acid is one of the most valuable bulk chemicals for many applications in food, chemical and pharmaceutical sector</w:t>
      </w:r>
      <w:r w:rsidR="00A93193">
        <w:t>s</w:t>
      </w:r>
      <w:r w:rsidR="001336FA">
        <w:t>. Nowadays</w:t>
      </w:r>
      <w:r w:rsidR="00054C0B">
        <w:t>, it is still synthetized chemically through the hydrogenation of petroleum-based maleic acid or maleic anhydride. This route has been no longer sustainable for the use of fossil source and the environmental problems, and for the energy-intensive consumption.</w:t>
      </w:r>
      <w:r w:rsidR="009A68AB">
        <w:t xml:space="preserve"> </w:t>
      </w:r>
      <w:r w:rsidR="00F4448A">
        <w:t xml:space="preserve">So, </w:t>
      </w:r>
      <w:r w:rsidR="00E56145">
        <w:t xml:space="preserve">a </w:t>
      </w:r>
      <w:r w:rsidR="009A68AB">
        <w:t xml:space="preserve">sustainable </w:t>
      </w:r>
      <w:r w:rsidR="00054C0B">
        <w:t>bio-based production is necessary to substitute this highly impacting conventional process.</w:t>
      </w:r>
    </w:p>
    <w:p w14:paraId="20D586E1" w14:textId="42C64115" w:rsidR="001336FA" w:rsidRDefault="001336FA" w:rsidP="004930AA">
      <w:pPr>
        <w:pStyle w:val="CETBodytext"/>
      </w:pPr>
      <w:r>
        <w:t xml:space="preserve">The </w:t>
      </w:r>
      <w:r w:rsidR="00054C0B">
        <w:t xml:space="preserve">Bio-based </w:t>
      </w:r>
      <w:r>
        <w:t xml:space="preserve">production of </w:t>
      </w:r>
      <w:r w:rsidR="00054C0B">
        <w:t xml:space="preserve">succinic acid </w:t>
      </w:r>
      <w:r>
        <w:t xml:space="preserve">can be performed </w:t>
      </w:r>
      <w:r w:rsidR="00054C0B">
        <w:t>as intermediate in the tricarboxylic acid cycle (TCA)</w:t>
      </w:r>
      <w:r w:rsidR="00054C0B" w:rsidRPr="00054C0B">
        <w:t xml:space="preserve"> </w:t>
      </w:r>
      <w:r w:rsidR="00054C0B">
        <w:t>through fermentation process</w:t>
      </w:r>
      <w:r>
        <w:t xml:space="preserve">. Natural succinic acid producer, like the bacteria </w:t>
      </w:r>
      <w:proofErr w:type="spellStart"/>
      <w:r w:rsidRPr="00606B70">
        <w:rPr>
          <w:i/>
          <w:iCs/>
        </w:rPr>
        <w:t>Actinobacillus</w:t>
      </w:r>
      <w:proofErr w:type="spellEnd"/>
      <w:r w:rsidRPr="00606B70">
        <w:rPr>
          <w:i/>
          <w:iCs/>
        </w:rPr>
        <w:t xml:space="preserve"> succinogenes</w:t>
      </w:r>
      <w:r>
        <w:t xml:space="preserve"> and </w:t>
      </w:r>
      <w:proofErr w:type="spellStart"/>
      <w:r w:rsidRPr="00606B70">
        <w:rPr>
          <w:i/>
          <w:iCs/>
        </w:rPr>
        <w:t>Mannheimia</w:t>
      </w:r>
      <w:proofErr w:type="spellEnd"/>
      <w:r w:rsidRPr="00606B70">
        <w:rPr>
          <w:i/>
          <w:iCs/>
        </w:rPr>
        <w:t xml:space="preserve"> </w:t>
      </w:r>
      <w:proofErr w:type="spellStart"/>
      <w:r w:rsidRPr="00606B70">
        <w:rPr>
          <w:i/>
          <w:iCs/>
        </w:rPr>
        <w:t>succiniciproducens</w:t>
      </w:r>
      <w:proofErr w:type="spellEnd"/>
      <w:r>
        <w:t>,</w:t>
      </w:r>
      <w:r w:rsidRPr="001336FA">
        <w:t xml:space="preserve"> </w:t>
      </w:r>
      <w:r>
        <w:t xml:space="preserve">and genetically engineered strain as </w:t>
      </w:r>
      <w:r w:rsidRPr="00B226C4">
        <w:rPr>
          <w:i/>
          <w:iCs/>
        </w:rPr>
        <w:t>Escherichia coli</w:t>
      </w:r>
      <w:r>
        <w:t xml:space="preserve"> and </w:t>
      </w:r>
      <w:r w:rsidRPr="00B226C4">
        <w:rPr>
          <w:i/>
          <w:iCs/>
        </w:rPr>
        <w:t>Saccharomyces cerevisiae</w:t>
      </w:r>
      <w:r>
        <w:rPr>
          <w:i/>
          <w:iCs/>
        </w:rPr>
        <w:t xml:space="preserve"> </w:t>
      </w:r>
      <w:r w:rsidRPr="001336FA">
        <w:t>are able to use CO</w:t>
      </w:r>
      <w:r w:rsidRPr="001336FA">
        <w:rPr>
          <w:vertAlign w:val="subscript"/>
        </w:rPr>
        <w:t>2</w:t>
      </w:r>
      <w:r w:rsidRPr="001336FA">
        <w:t xml:space="preserve"> through fermentation </w:t>
      </w:r>
      <w:r>
        <w:t xml:space="preserve">for the production of succinic acid </w:t>
      </w:r>
      <w:r w:rsidRPr="001336FA">
        <w:t>by reducing the carbon footprint of the process (Song &amp; Lee, 2006).</w:t>
      </w:r>
    </w:p>
    <w:p w14:paraId="1AFB08C5" w14:textId="0284F410" w:rsidR="001336FA" w:rsidRDefault="00054C0B" w:rsidP="004930AA">
      <w:pPr>
        <w:pStyle w:val="CETBodytext"/>
      </w:pPr>
      <w:r>
        <w:t xml:space="preserve">Although fermentation processes can be an effective alternative to chemical synthesis processes, </w:t>
      </w:r>
      <w:r w:rsidR="00584CF3">
        <w:t xml:space="preserve">efficient strategy are necessary since </w:t>
      </w:r>
      <w:r>
        <w:t>many difficulties needed to be overcome such as cost</w:t>
      </w:r>
      <w:r>
        <w:rPr>
          <w:rFonts w:cs="Arial"/>
        </w:rPr>
        <w:t>-</w:t>
      </w:r>
      <w:r>
        <w:t>effectiveness, yield and productivity of succinic acid</w:t>
      </w:r>
      <w:r w:rsidR="00E56145">
        <w:t xml:space="preserve"> (Gao et al., 2023).</w:t>
      </w:r>
      <w:r w:rsidR="00344201">
        <w:t xml:space="preserve"> </w:t>
      </w:r>
      <w:r>
        <w:t xml:space="preserve">The </w:t>
      </w:r>
      <w:r w:rsidRPr="00F4382F">
        <w:t>valorization</w:t>
      </w:r>
      <w:r>
        <w:t xml:space="preserve"> of lignocellulosic biomass can be </w:t>
      </w:r>
      <w:r w:rsidR="009A68AB">
        <w:t xml:space="preserve">a </w:t>
      </w:r>
      <w:r>
        <w:t xml:space="preserve">strategy to increase the sustainability of bio-based succinic </w:t>
      </w:r>
      <w:r w:rsidR="00F4448A">
        <w:t xml:space="preserve">production </w:t>
      </w:r>
      <w:r>
        <w:t xml:space="preserve">and </w:t>
      </w:r>
      <w:r w:rsidR="009A68AB">
        <w:t>t</w:t>
      </w:r>
      <w:r w:rsidRPr="00F4382F">
        <w:t>o reduce waste production</w:t>
      </w:r>
      <w:r w:rsidRPr="00054C0B">
        <w:t xml:space="preserve"> </w:t>
      </w:r>
      <w:r w:rsidRPr="00F4382F">
        <w:t xml:space="preserve">for new </w:t>
      </w:r>
      <w:r>
        <w:t>green</w:t>
      </w:r>
      <w:r w:rsidRPr="00F4382F">
        <w:t xml:space="preserve"> products</w:t>
      </w:r>
      <w:r>
        <w:t xml:space="preserve"> and materials</w:t>
      </w:r>
      <w:r w:rsidR="009A68AB">
        <w:t xml:space="preserve"> but new insights are necessary to overcome the major weaknesses. </w:t>
      </w:r>
      <w:bookmarkEnd w:id="1"/>
    </w:p>
    <w:p w14:paraId="39100129" w14:textId="15E18EFA" w:rsidR="004930AA" w:rsidRDefault="004930AA" w:rsidP="004930AA">
      <w:pPr>
        <w:pStyle w:val="CETBodytext"/>
      </w:pPr>
      <w:r>
        <w:t>The process of converting lignocellulosic biomass into succinic acid mainly consist</w:t>
      </w:r>
      <w:r w:rsidR="009A68AB">
        <w:t>ed</w:t>
      </w:r>
      <w:r>
        <w:t xml:space="preserve"> of several steps: pretreatments,</w:t>
      </w:r>
      <w:r w:rsidR="00F438F7">
        <w:t xml:space="preserve"> </w:t>
      </w:r>
      <w:r w:rsidR="00E05059">
        <w:t>hydrolysis</w:t>
      </w:r>
      <w:r w:rsidR="00F438F7">
        <w:t>,</w:t>
      </w:r>
      <w:r>
        <w:t xml:space="preserve"> fermentation, and </w:t>
      </w:r>
      <w:proofErr w:type="spellStart"/>
      <w:r>
        <w:t>downstream</w:t>
      </w:r>
      <w:r w:rsidR="00E05059">
        <w:t>ing</w:t>
      </w:r>
      <w:proofErr w:type="spellEnd"/>
      <w:r>
        <w:t xml:space="preserve"> </w:t>
      </w:r>
      <w:r w:rsidR="00E05059">
        <w:t>process</w:t>
      </w:r>
      <w:r w:rsidR="009C7A84">
        <w:t>.</w:t>
      </w:r>
      <w:r>
        <w:t xml:space="preserve"> The pretreatment and the enzymatic hydrolysis are fundamental preliminary </w:t>
      </w:r>
      <w:r w:rsidR="00E05059">
        <w:t xml:space="preserve">steps </w:t>
      </w:r>
      <w:r w:rsidR="009A68AB">
        <w:t xml:space="preserve">for the availability of fermentative sugars for succinic acid </w:t>
      </w:r>
      <w:r w:rsidR="009A68AB">
        <w:lastRenderedPageBreak/>
        <w:t xml:space="preserve">producers strain but optimized operative conditions were necessary to convert </w:t>
      </w:r>
      <w:r w:rsidR="004D5E55">
        <w:t xml:space="preserve">cellulose and hemicellulose to </w:t>
      </w:r>
      <w:r w:rsidR="009A68AB">
        <w:t xml:space="preserve">glucose and xylose </w:t>
      </w:r>
      <w:r w:rsidR="00584CF3">
        <w:t xml:space="preserve">and </w:t>
      </w:r>
      <w:r w:rsidR="009A68AB">
        <w:t xml:space="preserve">by reducing potential unwanted compounds </w:t>
      </w:r>
      <w:r w:rsidR="008F2B54">
        <w:t xml:space="preserve">(Stefanidis </w:t>
      </w:r>
      <w:r w:rsidR="008F2B54" w:rsidRPr="008F2B54">
        <w:rPr>
          <w:i/>
          <w:iCs/>
        </w:rPr>
        <w:t>et al.</w:t>
      </w:r>
      <w:r w:rsidR="008F2B54">
        <w:t>, 2014)</w:t>
      </w:r>
      <w:r>
        <w:t xml:space="preserve">. </w:t>
      </w:r>
      <w:r w:rsidR="009A68AB">
        <w:t>Also the performance of fermentation needed to be assessed and optimized to enhance succinic acid concentration, productivity, yield and to avoid the production of by</w:t>
      </w:r>
      <w:r w:rsidR="00584CF3">
        <w:t>-</w:t>
      </w:r>
      <w:r w:rsidR="009A68AB">
        <w:t xml:space="preserve">products. </w:t>
      </w:r>
      <w:r w:rsidR="00E56145">
        <w:t>Furthermore</w:t>
      </w:r>
      <w:r w:rsidR="009A68AB">
        <w:t xml:space="preserve">, the </w:t>
      </w:r>
      <w:proofErr w:type="spellStart"/>
      <w:r w:rsidR="009A68AB">
        <w:t>downstreaming</w:t>
      </w:r>
      <w:proofErr w:type="spellEnd"/>
      <w:r w:rsidR="009A68AB">
        <w:t xml:space="preserve"> process </w:t>
      </w:r>
      <w:r w:rsidR="00E56145">
        <w:t xml:space="preserve">is </w:t>
      </w:r>
      <w:r w:rsidR="00E56145" w:rsidRPr="00E56145">
        <w:t xml:space="preserve">one of the most </w:t>
      </w:r>
      <w:r w:rsidR="00F4448A">
        <w:t>critical</w:t>
      </w:r>
      <w:r w:rsidR="00F4448A" w:rsidRPr="00E56145">
        <w:t xml:space="preserve"> </w:t>
      </w:r>
      <w:r w:rsidR="00E56145" w:rsidRPr="00E56145">
        <w:t>steps</w:t>
      </w:r>
      <w:r w:rsidR="00F4448A">
        <w:t xml:space="preserve"> since</w:t>
      </w:r>
      <w:r w:rsidR="00F4448A" w:rsidRPr="00E56145">
        <w:t xml:space="preserve"> </w:t>
      </w:r>
      <w:r w:rsidR="00E56145" w:rsidRPr="00E56145">
        <w:t>it contribute</w:t>
      </w:r>
      <w:r w:rsidR="00E56145">
        <w:t>d</w:t>
      </w:r>
      <w:r w:rsidR="00E56145" w:rsidRPr="00E56145">
        <w:t xml:space="preserve"> about 50 </w:t>
      </w:r>
      <w:r w:rsidR="00E56145">
        <w:t xml:space="preserve">% </w:t>
      </w:r>
      <w:r w:rsidR="00E56145" w:rsidRPr="00E56145">
        <w:t xml:space="preserve">of the final </w:t>
      </w:r>
      <w:r w:rsidR="00E56145">
        <w:t xml:space="preserve">cost of </w:t>
      </w:r>
      <w:r w:rsidR="00E56145" w:rsidRPr="00E56145">
        <w:t>succinic acid</w:t>
      </w:r>
      <w:r w:rsidR="00E56145">
        <w:t>.</w:t>
      </w:r>
    </w:p>
    <w:p w14:paraId="14946E00" w14:textId="11FF5084" w:rsidR="00124F7E" w:rsidRDefault="009D593C" w:rsidP="004930AA">
      <w:pPr>
        <w:pStyle w:val="CETBodytext"/>
      </w:pPr>
      <w:r>
        <w:t>In t</w:t>
      </w:r>
      <w:r w:rsidR="004930AA">
        <w:t xml:space="preserve">his review </w:t>
      </w:r>
      <w:r w:rsidR="00124F7E">
        <w:t>the production of succinic</w:t>
      </w:r>
      <w:r w:rsidR="001617C9">
        <w:t xml:space="preserve"> acid from different lignocellulosic biomass </w:t>
      </w:r>
      <w:r>
        <w:t>were analyzed</w:t>
      </w:r>
      <w:r w:rsidR="00124F7E">
        <w:t xml:space="preserve"> in the most recent works. A critical assessment was carried out on operative conditions and succinic acid production. Furthermore, the main challenge faced in pretreatments and processes have been discussed by highlighting new</w:t>
      </w:r>
      <w:r w:rsidR="00054C0B">
        <w:t>s</w:t>
      </w:r>
      <w:r w:rsidR="00124F7E">
        <w:t xml:space="preserve"> </w:t>
      </w:r>
      <w:r w:rsidR="00054C0B">
        <w:t>perspectives</w:t>
      </w:r>
      <w:r w:rsidR="00F4382F">
        <w:t>.</w:t>
      </w:r>
    </w:p>
    <w:p w14:paraId="4FA83FD1" w14:textId="7B81C542" w:rsidR="000747B5" w:rsidRDefault="000747B5" w:rsidP="004A268C">
      <w:pPr>
        <w:pStyle w:val="CETHeading1"/>
      </w:pPr>
      <w:r>
        <w:t>Lignocellulosic biomass</w:t>
      </w:r>
    </w:p>
    <w:p w14:paraId="12EBCC34" w14:textId="0A6B3243" w:rsidR="00C0207B" w:rsidRDefault="000747B5" w:rsidP="000747B5">
      <w:pPr>
        <w:pStyle w:val="CETBodytext"/>
      </w:pPr>
      <w:r>
        <w:t xml:space="preserve">The employment of lignocellulosic biomass to produce fuels and chemicals was gaining interest over the last decades. </w:t>
      </w:r>
      <w:r w:rsidR="00F423D2">
        <w:t>These</w:t>
      </w:r>
      <w:r w:rsidR="00BC7421">
        <w:t xml:space="preserve"> biomass</w:t>
      </w:r>
      <w:r w:rsidR="00F423D2">
        <w:t>es</w:t>
      </w:r>
      <w:r w:rsidR="00BC7421">
        <w:t xml:space="preserve"> </w:t>
      </w:r>
      <w:r w:rsidR="00F423D2">
        <w:t xml:space="preserve">derived principally from </w:t>
      </w:r>
      <w:r w:rsidR="00F423D2" w:rsidRPr="00BC7421">
        <w:t>residues</w:t>
      </w:r>
      <w:r w:rsidR="00F4382F">
        <w:t>/</w:t>
      </w:r>
      <w:r w:rsidR="00F423D2" w:rsidRPr="00BC7421">
        <w:t xml:space="preserve">waste </w:t>
      </w:r>
      <w:r w:rsidR="00F423D2">
        <w:t>of</w:t>
      </w:r>
      <w:r w:rsidR="00F423D2" w:rsidRPr="00BC7421">
        <w:t xml:space="preserve"> various production chains</w:t>
      </w:r>
      <w:r w:rsidR="00F423D2">
        <w:t xml:space="preserve"> in agro-industrial sectors </w:t>
      </w:r>
      <w:r w:rsidR="004D5E55">
        <w:t xml:space="preserve">that </w:t>
      </w:r>
      <w:r w:rsidR="00F423D2">
        <w:t xml:space="preserve">were </w:t>
      </w:r>
      <w:r w:rsidR="00BC7421">
        <w:t>quite abundant</w:t>
      </w:r>
      <w:r w:rsidR="00F423D2">
        <w:t xml:space="preserve"> with </w:t>
      </w:r>
      <w:r w:rsidR="00BC7421">
        <w:t>a production of 2 x 10</w:t>
      </w:r>
      <w:r w:rsidR="00BC7421" w:rsidRPr="00525E2E">
        <w:rPr>
          <w:vertAlign w:val="superscript"/>
        </w:rPr>
        <w:t>11</w:t>
      </w:r>
      <w:r w:rsidR="00BC7421">
        <w:t xml:space="preserve"> tons per year worldwide (Kumar </w:t>
      </w:r>
      <w:r w:rsidR="00BC7421" w:rsidRPr="00525E2E">
        <w:rPr>
          <w:i/>
          <w:iCs/>
        </w:rPr>
        <w:t>et al.</w:t>
      </w:r>
      <w:r w:rsidR="00BC7421">
        <w:t>, 2020). The most plentiful were rice, wheat, maize, and sugarcane, due to the intensive use in agriculture sector for food and livestock</w:t>
      </w:r>
      <w:r w:rsidR="00BC7421" w:rsidRPr="00176D76">
        <w:t xml:space="preserve"> </w:t>
      </w:r>
      <w:r w:rsidR="00BC7421">
        <w:t xml:space="preserve">(Vivek et al., 2017). </w:t>
      </w:r>
    </w:p>
    <w:p w14:paraId="547AED0D" w14:textId="4D73E3EB" w:rsidR="00B40127" w:rsidRDefault="00C0207B" w:rsidP="00B40127">
      <w:pPr>
        <w:pStyle w:val="CETBodytext"/>
      </w:pPr>
      <w:r>
        <w:t>Since</w:t>
      </w:r>
      <w:r w:rsidR="00BC7421">
        <w:t xml:space="preserve"> </w:t>
      </w:r>
      <w:r w:rsidR="00470DD0">
        <w:t>lignocellulosic biomass was potentially rich in fermentable sugars</w:t>
      </w:r>
      <w:r w:rsidR="004C0BC9">
        <w:t xml:space="preserve">, </w:t>
      </w:r>
      <w:r>
        <w:t xml:space="preserve">these </w:t>
      </w:r>
      <w:r w:rsidR="00E21181">
        <w:t xml:space="preserve">could be used </w:t>
      </w:r>
      <w:r>
        <w:t xml:space="preserve">as substrates for the biotransformation processes. </w:t>
      </w:r>
      <w:r w:rsidR="00762C68" w:rsidRPr="00762C68">
        <w:t xml:space="preserve">Although lignocellulosic biomass </w:t>
      </w:r>
      <w:r w:rsidR="00762C68">
        <w:t>was considered</w:t>
      </w:r>
      <w:r w:rsidR="00762C68" w:rsidRPr="00762C68">
        <w:t xml:space="preserve"> an ideal feedstock for the produ</w:t>
      </w:r>
      <w:r w:rsidR="00762C68">
        <w:t xml:space="preserve">ction of bio-based succinic acid, </w:t>
      </w:r>
      <w:r w:rsidR="00762C68" w:rsidRPr="0040054D">
        <w:t>some critical issues</w:t>
      </w:r>
      <w:r w:rsidR="00B40127" w:rsidRPr="00B40127">
        <w:t xml:space="preserve"> </w:t>
      </w:r>
      <w:r w:rsidR="00B40127" w:rsidRPr="0040054D">
        <w:t>limit</w:t>
      </w:r>
      <w:r w:rsidR="00B40127">
        <w:t>ed</w:t>
      </w:r>
      <w:r w:rsidR="00B40127" w:rsidRPr="0040054D">
        <w:t xml:space="preserve"> </w:t>
      </w:r>
      <w:r w:rsidR="00B40127">
        <w:t>their</w:t>
      </w:r>
      <w:r w:rsidR="00B40127" w:rsidRPr="0040054D">
        <w:t xml:space="preserve"> use</w:t>
      </w:r>
      <w:r w:rsidR="00B40127">
        <w:t>. T</w:t>
      </w:r>
      <w:r w:rsidR="00B40127" w:rsidRPr="00B40127">
        <w:t>he principal critical issues</w:t>
      </w:r>
      <w:r w:rsidR="00B40127">
        <w:t xml:space="preserve"> concerned the </w:t>
      </w:r>
      <w:r w:rsidR="00F15EE6">
        <w:t xml:space="preserve">variability in the </w:t>
      </w:r>
      <w:r w:rsidR="00B40127" w:rsidRPr="00A77463">
        <w:t xml:space="preserve">composition of cellulose, hemicellulose and lignin </w:t>
      </w:r>
      <w:r w:rsidR="00B40127">
        <w:t>and the consequent</w:t>
      </w:r>
      <w:r w:rsidR="00B40127" w:rsidRPr="00A77463">
        <w:t xml:space="preserve"> optimization of pretreatment processes</w:t>
      </w:r>
      <w:r w:rsidR="00B40127">
        <w:t xml:space="preserve">. </w:t>
      </w:r>
    </w:p>
    <w:p w14:paraId="0B669F5B" w14:textId="140D9E53" w:rsidR="00762C68" w:rsidRDefault="00B40127" w:rsidP="00B40127">
      <w:pPr>
        <w:pStyle w:val="CETBodytext"/>
      </w:pPr>
      <w:r>
        <w:t xml:space="preserve">Before </w:t>
      </w:r>
      <w:r w:rsidR="0040054D">
        <w:t xml:space="preserve">the fermentation process, </w:t>
      </w:r>
      <w:r w:rsidR="0040054D" w:rsidRPr="0040054D">
        <w:t xml:space="preserve">a series of pre-treatments </w:t>
      </w:r>
      <w:r w:rsidR="0040054D">
        <w:t>we</w:t>
      </w:r>
      <w:r w:rsidR="0040054D" w:rsidRPr="0040054D">
        <w:t>re needed</w:t>
      </w:r>
      <w:r w:rsidR="0040054D">
        <w:t xml:space="preserve"> </w:t>
      </w:r>
      <w:r w:rsidRPr="0040054D">
        <w:t xml:space="preserve">to free </w:t>
      </w:r>
      <w:r>
        <w:t xml:space="preserve">cellulose, and hemicellulose, that were bounded in a complex matrix, together with lignin. Furthermore, after </w:t>
      </w:r>
      <w:r w:rsidR="00F15EE6">
        <w:t>the pre-treatments</w:t>
      </w:r>
      <w:r w:rsidRPr="0040054D">
        <w:t xml:space="preserve"> </w:t>
      </w:r>
      <w:r w:rsidR="00A77463">
        <w:t xml:space="preserve">carbohydrates </w:t>
      </w:r>
      <w:r>
        <w:t xml:space="preserve">(cellulose and hemicellulose) </w:t>
      </w:r>
      <w:r w:rsidR="00A77463">
        <w:t xml:space="preserve">were </w:t>
      </w:r>
      <w:r w:rsidR="00A77463" w:rsidRPr="00A77463">
        <w:t>broken down into their monomers, such as glucose and xylose</w:t>
      </w:r>
      <w:r w:rsidR="00A77463">
        <w:t xml:space="preserve">, that could be used by microorganisms for the fermentation process. </w:t>
      </w:r>
    </w:p>
    <w:p w14:paraId="56854375" w14:textId="7C558F80" w:rsidR="00A77463" w:rsidRDefault="00EA526C" w:rsidP="000747B5">
      <w:pPr>
        <w:pStyle w:val="CETBodytext"/>
      </w:pPr>
      <w:r>
        <w:t>The harsh conditions</w:t>
      </w:r>
      <w:r w:rsidR="00B40127">
        <w:t xml:space="preserve"> of the pre-treatments</w:t>
      </w:r>
      <w:r>
        <w:t>, like high temperatures, and</w:t>
      </w:r>
      <w:r w:rsidR="00A77463">
        <w:t xml:space="preserve"> non-specificity of </w:t>
      </w:r>
      <w:r w:rsidR="00B40127">
        <w:t xml:space="preserve">the </w:t>
      </w:r>
      <w:r w:rsidR="00A77463">
        <w:t xml:space="preserve">process </w:t>
      </w:r>
      <w:r>
        <w:t xml:space="preserve">leaded to the formation of many by-products, such as organic acids, furans and phenolic compounds, identified as potential inhibitors of the </w:t>
      </w:r>
      <w:r w:rsidRPr="00A77463">
        <w:t>growth of microorganism and consequently of the productivity of the fermentative processes.</w:t>
      </w:r>
    </w:p>
    <w:p w14:paraId="08BA0230" w14:textId="3FED465A" w:rsidR="00172D8B" w:rsidRDefault="003A0746" w:rsidP="004A268C">
      <w:pPr>
        <w:pStyle w:val="CETHeading1"/>
      </w:pPr>
      <w:r>
        <w:t>Pretreatments</w:t>
      </w:r>
    </w:p>
    <w:p w14:paraId="040E6E8B" w14:textId="40E84E45" w:rsidR="003A0746" w:rsidRDefault="00833B65" w:rsidP="003A0746">
      <w:pPr>
        <w:pStyle w:val="CETBodytext"/>
      </w:pPr>
      <w:r>
        <w:t>Lignocellulosic biomass</w:t>
      </w:r>
      <w:r w:rsidR="00F4448A">
        <w:t>es</w:t>
      </w:r>
      <w:r>
        <w:t xml:space="preserve"> </w:t>
      </w:r>
      <w:r w:rsidR="00F4448A">
        <w:t>were</w:t>
      </w:r>
      <w:r w:rsidR="00F4448A" w:rsidRPr="0001377C">
        <w:t xml:space="preserve"> </w:t>
      </w:r>
      <w:r w:rsidR="0001377C" w:rsidRPr="0001377C">
        <w:t xml:space="preserve">a complex matrix in which the compounds </w:t>
      </w:r>
      <w:r w:rsidR="00F15EE6">
        <w:t>contained</w:t>
      </w:r>
      <w:r w:rsidR="00F15EE6" w:rsidRPr="0001377C">
        <w:t xml:space="preserve"> </w:t>
      </w:r>
      <w:r w:rsidR="0001377C" w:rsidRPr="0001377C">
        <w:t xml:space="preserve">in greatest quantities </w:t>
      </w:r>
      <w:r w:rsidR="00ED35AE">
        <w:t>we</w:t>
      </w:r>
      <w:r w:rsidR="00ED35AE" w:rsidRPr="0001377C">
        <w:t>re</w:t>
      </w:r>
      <w:r w:rsidR="00ED35AE">
        <w:t xml:space="preserve"> cellulose</w:t>
      </w:r>
      <w:r w:rsidR="0001377C">
        <w:t xml:space="preserve"> (</w:t>
      </w:r>
      <w:r w:rsidR="00362025">
        <w:t>40-60</w:t>
      </w:r>
      <w:r w:rsidR="0001377C">
        <w:t xml:space="preserve">% </w:t>
      </w:r>
      <w:proofErr w:type="spellStart"/>
      <w:r w:rsidR="0001377C">
        <w:t>dw</w:t>
      </w:r>
      <w:proofErr w:type="spellEnd"/>
      <w:r w:rsidR="0001377C">
        <w:t>), hemicellulose (</w:t>
      </w:r>
      <w:r w:rsidR="00362025">
        <w:t>10-40</w:t>
      </w:r>
      <w:r w:rsidR="0001377C">
        <w:t xml:space="preserve">% </w:t>
      </w:r>
      <w:proofErr w:type="spellStart"/>
      <w:r w:rsidR="0001377C">
        <w:t>dw</w:t>
      </w:r>
      <w:proofErr w:type="spellEnd"/>
      <w:r w:rsidR="0001377C">
        <w:t>) and lignin (</w:t>
      </w:r>
      <w:r w:rsidR="00362025">
        <w:t>15</w:t>
      </w:r>
      <w:r w:rsidR="0001377C">
        <w:t xml:space="preserve">-30% </w:t>
      </w:r>
      <w:proofErr w:type="spellStart"/>
      <w:r w:rsidR="0001377C">
        <w:t>dw</w:t>
      </w:r>
      <w:proofErr w:type="spellEnd"/>
      <w:r w:rsidR="0001377C">
        <w:t>) (</w:t>
      </w:r>
      <w:r w:rsidR="00362025">
        <w:t>Lu et al., 2021</w:t>
      </w:r>
      <w:r w:rsidR="0001377C">
        <w:t>). Based on the different feedstocks, the percentage composition o</w:t>
      </w:r>
      <w:r w:rsidR="00362025">
        <w:t>f</w:t>
      </w:r>
      <w:r w:rsidR="0001377C">
        <w:t xml:space="preserve"> these three components may var</w:t>
      </w:r>
      <w:r w:rsidR="00362025">
        <w:t>ied</w:t>
      </w:r>
      <w:r w:rsidR="0001377C">
        <w:t xml:space="preserve"> significantly as it possible to see in table 1</w:t>
      </w:r>
      <w:r w:rsidR="008D6B9A">
        <w:t>.</w:t>
      </w:r>
    </w:p>
    <w:p w14:paraId="2BCF173A" w14:textId="723B710C" w:rsidR="0001377C" w:rsidRDefault="0001377C" w:rsidP="0001377C">
      <w:pPr>
        <w:pStyle w:val="CETTabletitle"/>
      </w:pPr>
      <w:r>
        <w:t>Table 1: composition of lignocellulosic biomass from different sources</w:t>
      </w:r>
      <w:r w:rsidR="00ED35AE">
        <w:t xml:space="preserve"> (</w:t>
      </w:r>
      <w:proofErr w:type="spellStart"/>
      <w:r w:rsidR="00ED35AE">
        <w:t>dw</w:t>
      </w:r>
      <w:proofErr w:type="spellEnd"/>
      <w:r w:rsidR="00ED35AE">
        <w:t xml:space="preserve"> %)</w:t>
      </w:r>
      <w:r>
        <w:t>.</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6"/>
        <w:gridCol w:w="1208"/>
        <w:gridCol w:w="1662"/>
        <w:gridCol w:w="1057"/>
        <w:gridCol w:w="2025"/>
      </w:tblGrid>
      <w:tr w:rsidR="0001377C" w14:paraId="67BF5D1A" w14:textId="77777777" w:rsidTr="00D833E6">
        <w:trPr>
          <w:trHeight w:val="342"/>
          <w:jc w:val="center"/>
        </w:trPr>
        <w:tc>
          <w:tcPr>
            <w:tcW w:w="2416" w:type="dxa"/>
            <w:tcBorders>
              <w:top w:val="single" w:sz="12" w:space="0" w:color="008000"/>
              <w:left w:val="nil"/>
              <w:bottom w:val="single" w:sz="6" w:space="0" w:color="008000"/>
              <w:right w:val="nil"/>
            </w:tcBorders>
            <w:shd w:val="clear" w:color="auto" w:fill="FFFFFF"/>
          </w:tcPr>
          <w:p w14:paraId="2D5A19F4" w14:textId="034B3B7E" w:rsidR="0001377C" w:rsidRDefault="00F95906" w:rsidP="00360F96">
            <w:pPr>
              <w:pStyle w:val="CETBodytext"/>
              <w:jc w:val="center"/>
              <w:rPr>
                <w:lang w:val="en-GB"/>
              </w:rPr>
            </w:pPr>
            <w:bookmarkStart w:id="2" w:name="_Hlk157441144"/>
            <w:r>
              <w:rPr>
                <w:lang w:val="en-GB"/>
              </w:rPr>
              <w:t>Lignocellulosic biomass</w:t>
            </w:r>
          </w:p>
        </w:tc>
        <w:tc>
          <w:tcPr>
            <w:tcW w:w="1208" w:type="dxa"/>
            <w:tcBorders>
              <w:top w:val="single" w:sz="12" w:space="0" w:color="008000"/>
              <w:left w:val="nil"/>
              <w:bottom w:val="single" w:sz="6" w:space="0" w:color="008000"/>
              <w:right w:val="nil"/>
            </w:tcBorders>
            <w:shd w:val="clear" w:color="auto" w:fill="FFFFFF"/>
          </w:tcPr>
          <w:p w14:paraId="74A2785C" w14:textId="5E6BDA7E" w:rsidR="0001377C" w:rsidRDefault="00F95906" w:rsidP="00360F96">
            <w:pPr>
              <w:pStyle w:val="CETBodytext"/>
              <w:jc w:val="center"/>
              <w:rPr>
                <w:lang w:val="en-GB"/>
              </w:rPr>
            </w:pPr>
            <w:r>
              <w:rPr>
                <w:lang w:val="en-GB"/>
              </w:rPr>
              <w:t>Cellulose (%)</w:t>
            </w:r>
          </w:p>
        </w:tc>
        <w:tc>
          <w:tcPr>
            <w:tcW w:w="1662" w:type="dxa"/>
            <w:tcBorders>
              <w:top w:val="single" w:sz="12" w:space="0" w:color="008000"/>
              <w:left w:val="nil"/>
              <w:bottom w:val="single" w:sz="6" w:space="0" w:color="008000"/>
              <w:right w:val="nil"/>
            </w:tcBorders>
            <w:shd w:val="clear" w:color="auto" w:fill="FFFFFF"/>
          </w:tcPr>
          <w:p w14:paraId="17F04FA5" w14:textId="35FEA39D" w:rsidR="0001377C" w:rsidRDefault="00F95906" w:rsidP="00360F96">
            <w:pPr>
              <w:pStyle w:val="CETBodytext"/>
              <w:tabs>
                <w:tab w:val="clear" w:pos="7100"/>
                <w:tab w:val="left" w:pos="1050"/>
              </w:tabs>
              <w:jc w:val="center"/>
              <w:rPr>
                <w:lang w:val="en-GB"/>
              </w:rPr>
            </w:pPr>
            <w:r>
              <w:rPr>
                <w:lang w:val="en-GB"/>
              </w:rPr>
              <w:t>Hemicellulose (%)</w:t>
            </w:r>
          </w:p>
        </w:tc>
        <w:tc>
          <w:tcPr>
            <w:tcW w:w="1057" w:type="dxa"/>
            <w:tcBorders>
              <w:top w:val="single" w:sz="12" w:space="0" w:color="008000"/>
              <w:left w:val="nil"/>
              <w:bottom w:val="single" w:sz="6" w:space="0" w:color="008000"/>
              <w:right w:val="nil"/>
            </w:tcBorders>
            <w:shd w:val="clear" w:color="auto" w:fill="FFFFFF"/>
          </w:tcPr>
          <w:p w14:paraId="792C27E8" w14:textId="654A955D" w:rsidR="0001377C" w:rsidRDefault="00F95906" w:rsidP="00360F96">
            <w:pPr>
              <w:pStyle w:val="CETBodytext"/>
              <w:jc w:val="center"/>
              <w:rPr>
                <w:lang w:val="en-GB"/>
              </w:rPr>
            </w:pPr>
            <w:r>
              <w:rPr>
                <w:lang w:val="en-GB"/>
              </w:rPr>
              <w:t>Lignin (%)</w:t>
            </w:r>
          </w:p>
        </w:tc>
        <w:tc>
          <w:tcPr>
            <w:tcW w:w="2025" w:type="dxa"/>
            <w:tcBorders>
              <w:top w:val="single" w:sz="12" w:space="0" w:color="008000"/>
              <w:left w:val="nil"/>
              <w:bottom w:val="single" w:sz="6" w:space="0" w:color="008000"/>
              <w:right w:val="nil"/>
            </w:tcBorders>
            <w:shd w:val="clear" w:color="auto" w:fill="FFFFFF"/>
          </w:tcPr>
          <w:p w14:paraId="2E03ED9D" w14:textId="1103F946" w:rsidR="0001377C" w:rsidRDefault="00F95906" w:rsidP="00360F96">
            <w:pPr>
              <w:pStyle w:val="CETBodytext"/>
              <w:jc w:val="center"/>
              <w:rPr>
                <w:lang w:val="en-GB"/>
              </w:rPr>
            </w:pPr>
            <w:r>
              <w:rPr>
                <w:lang w:val="en-GB"/>
              </w:rPr>
              <w:t>Reference</w:t>
            </w:r>
          </w:p>
        </w:tc>
      </w:tr>
      <w:tr w:rsidR="0001377C" w14:paraId="5F07C4DF" w14:textId="77777777" w:rsidTr="00F360C8">
        <w:trPr>
          <w:trHeight w:val="244"/>
          <w:jc w:val="center"/>
        </w:trPr>
        <w:tc>
          <w:tcPr>
            <w:tcW w:w="2416" w:type="dxa"/>
            <w:tcBorders>
              <w:top w:val="nil"/>
              <w:left w:val="nil"/>
              <w:bottom w:val="nil"/>
              <w:right w:val="nil"/>
            </w:tcBorders>
            <w:shd w:val="clear" w:color="auto" w:fill="FFFFFF"/>
          </w:tcPr>
          <w:p w14:paraId="12CE93AF" w14:textId="2B2A091F" w:rsidR="0001377C" w:rsidRDefault="00D833E6" w:rsidP="00D833E6">
            <w:pPr>
              <w:pStyle w:val="CETBodytext"/>
              <w:ind w:right="-1"/>
              <w:jc w:val="center"/>
              <w:rPr>
                <w:rFonts w:cs="Arial"/>
                <w:szCs w:val="18"/>
                <w:lang w:val="en-GB"/>
              </w:rPr>
            </w:pPr>
            <w:r>
              <w:rPr>
                <w:rFonts w:cs="Arial"/>
                <w:szCs w:val="18"/>
                <w:lang w:val="en-GB"/>
              </w:rPr>
              <w:t>Corn stalks</w:t>
            </w:r>
          </w:p>
        </w:tc>
        <w:tc>
          <w:tcPr>
            <w:tcW w:w="1208" w:type="dxa"/>
            <w:tcBorders>
              <w:top w:val="nil"/>
              <w:left w:val="nil"/>
              <w:bottom w:val="nil"/>
              <w:right w:val="nil"/>
            </w:tcBorders>
            <w:shd w:val="clear" w:color="auto" w:fill="FFFFFF"/>
          </w:tcPr>
          <w:p w14:paraId="1FB9D6DB" w14:textId="2CB26DB5" w:rsidR="0001377C" w:rsidRDefault="00D833E6" w:rsidP="00D833E6">
            <w:pPr>
              <w:pStyle w:val="CETBodytext"/>
              <w:ind w:right="-1"/>
              <w:jc w:val="center"/>
              <w:rPr>
                <w:rFonts w:cs="Arial"/>
                <w:szCs w:val="18"/>
                <w:lang w:val="en-GB"/>
              </w:rPr>
            </w:pPr>
            <w:r>
              <w:rPr>
                <w:rFonts w:cs="Arial"/>
                <w:szCs w:val="18"/>
                <w:lang w:val="en-GB"/>
              </w:rPr>
              <w:t>50</w:t>
            </w:r>
          </w:p>
        </w:tc>
        <w:tc>
          <w:tcPr>
            <w:tcW w:w="1662" w:type="dxa"/>
            <w:tcBorders>
              <w:top w:val="nil"/>
              <w:left w:val="nil"/>
              <w:bottom w:val="nil"/>
              <w:right w:val="nil"/>
            </w:tcBorders>
            <w:shd w:val="clear" w:color="auto" w:fill="FFFFFF"/>
          </w:tcPr>
          <w:p w14:paraId="27DC42DE" w14:textId="08391C0E" w:rsidR="0001377C" w:rsidRDefault="00D833E6" w:rsidP="00D833E6">
            <w:pPr>
              <w:pStyle w:val="CETBodytext"/>
              <w:ind w:right="-1"/>
              <w:jc w:val="center"/>
              <w:rPr>
                <w:rFonts w:cs="Arial"/>
                <w:szCs w:val="18"/>
                <w:lang w:val="en-GB"/>
              </w:rPr>
            </w:pPr>
            <w:r>
              <w:rPr>
                <w:rFonts w:cs="Arial"/>
                <w:szCs w:val="18"/>
                <w:lang w:val="en-GB"/>
              </w:rPr>
              <w:t>20</w:t>
            </w:r>
          </w:p>
        </w:tc>
        <w:tc>
          <w:tcPr>
            <w:tcW w:w="1057" w:type="dxa"/>
            <w:tcBorders>
              <w:top w:val="nil"/>
              <w:left w:val="nil"/>
              <w:bottom w:val="nil"/>
              <w:right w:val="nil"/>
            </w:tcBorders>
            <w:shd w:val="clear" w:color="auto" w:fill="FFFFFF"/>
          </w:tcPr>
          <w:p w14:paraId="3D3BD49E" w14:textId="26FF5EF3" w:rsidR="0001377C" w:rsidRDefault="00D833E6" w:rsidP="00D833E6">
            <w:pPr>
              <w:pStyle w:val="CETBodytext"/>
              <w:ind w:right="-1"/>
              <w:jc w:val="center"/>
              <w:rPr>
                <w:rFonts w:cs="Arial"/>
                <w:szCs w:val="18"/>
                <w:lang w:val="en-GB"/>
              </w:rPr>
            </w:pPr>
            <w:r>
              <w:rPr>
                <w:rFonts w:cs="Arial"/>
                <w:szCs w:val="18"/>
                <w:lang w:val="en-GB"/>
              </w:rPr>
              <w:t>30</w:t>
            </w:r>
          </w:p>
        </w:tc>
        <w:tc>
          <w:tcPr>
            <w:tcW w:w="2025" w:type="dxa"/>
            <w:tcBorders>
              <w:top w:val="nil"/>
              <w:left w:val="nil"/>
              <w:bottom w:val="nil"/>
              <w:right w:val="nil"/>
            </w:tcBorders>
            <w:shd w:val="clear" w:color="auto" w:fill="FFFFFF"/>
          </w:tcPr>
          <w:p w14:paraId="4A66A654" w14:textId="424223B9" w:rsidR="0001377C" w:rsidRDefault="00D833E6" w:rsidP="00F360C8">
            <w:pPr>
              <w:pStyle w:val="CETBodytext"/>
              <w:ind w:right="-1"/>
              <w:jc w:val="center"/>
              <w:rPr>
                <w:rFonts w:cs="Arial"/>
                <w:szCs w:val="18"/>
                <w:lang w:val="en-GB"/>
              </w:rPr>
            </w:pPr>
            <w:r>
              <w:rPr>
                <w:rFonts w:cs="Arial"/>
                <w:szCs w:val="18"/>
                <w:lang w:val="en-GB"/>
              </w:rPr>
              <w:t>Christopher et al. (2017)</w:t>
            </w:r>
          </w:p>
        </w:tc>
      </w:tr>
      <w:tr w:rsidR="00F360C8" w14:paraId="523E5F53" w14:textId="77777777" w:rsidTr="00F360C8">
        <w:trPr>
          <w:trHeight w:val="244"/>
          <w:jc w:val="center"/>
        </w:trPr>
        <w:tc>
          <w:tcPr>
            <w:tcW w:w="2416" w:type="dxa"/>
            <w:tcBorders>
              <w:top w:val="nil"/>
              <w:left w:val="nil"/>
              <w:bottom w:val="nil"/>
              <w:right w:val="nil"/>
            </w:tcBorders>
            <w:shd w:val="clear" w:color="auto" w:fill="FFFFFF"/>
          </w:tcPr>
          <w:p w14:paraId="7A1F2C65" w14:textId="36A4DB64" w:rsidR="00F360C8" w:rsidRDefault="00F360C8" w:rsidP="00D833E6">
            <w:pPr>
              <w:pStyle w:val="CETBodytext"/>
              <w:ind w:right="-1"/>
              <w:jc w:val="center"/>
              <w:rPr>
                <w:rFonts w:cs="Arial"/>
                <w:szCs w:val="18"/>
                <w:lang w:val="en-GB"/>
              </w:rPr>
            </w:pPr>
            <w:r>
              <w:rPr>
                <w:rFonts w:cs="Arial"/>
                <w:szCs w:val="18"/>
                <w:lang w:val="en-GB"/>
              </w:rPr>
              <w:t>Corn stover</w:t>
            </w:r>
          </w:p>
        </w:tc>
        <w:tc>
          <w:tcPr>
            <w:tcW w:w="1208" w:type="dxa"/>
            <w:tcBorders>
              <w:top w:val="nil"/>
              <w:left w:val="nil"/>
              <w:bottom w:val="nil"/>
              <w:right w:val="nil"/>
            </w:tcBorders>
            <w:shd w:val="clear" w:color="auto" w:fill="FFFFFF"/>
          </w:tcPr>
          <w:p w14:paraId="18F70978" w14:textId="3866DCF6" w:rsidR="00F360C8" w:rsidRDefault="00F360C8" w:rsidP="00F15EE6">
            <w:pPr>
              <w:pStyle w:val="CETBodytext"/>
              <w:ind w:right="-1"/>
              <w:jc w:val="center"/>
              <w:rPr>
                <w:rFonts w:cs="Arial"/>
                <w:szCs w:val="18"/>
                <w:lang w:val="en-GB"/>
              </w:rPr>
            </w:pPr>
            <w:r>
              <w:rPr>
                <w:rFonts w:cs="Arial"/>
                <w:szCs w:val="18"/>
                <w:lang w:val="en-GB"/>
              </w:rPr>
              <w:t>38</w:t>
            </w:r>
          </w:p>
        </w:tc>
        <w:tc>
          <w:tcPr>
            <w:tcW w:w="1662" w:type="dxa"/>
            <w:tcBorders>
              <w:top w:val="nil"/>
              <w:left w:val="nil"/>
              <w:bottom w:val="nil"/>
              <w:right w:val="nil"/>
            </w:tcBorders>
            <w:shd w:val="clear" w:color="auto" w:fill="FFFFFF"/>
          </w:tcPr>
          <w:p w14:paraId="5832EDED" w14:textId="5D37A381" w:rsidR="00F360C8" w:rsidRDefault="00F15EE6" w:rsidP="00D833E6">
            <w:pPr>
              <w:pStyle w:val="CETBodytext"/>
              <w:ind w:right="-1"/>
              <w:jc w:val="center"/>
              <w:rPr>
                <w:rFonts w:cs="Arial"/>
                <w:szCs w:val="18"/>
                <w:lang w:val="en-GB"/>
              </w:rPr>
            </w:pPr>
            <w:r>
              <w:rPr>
                <w:rFonts w:cs="Arial"/>
                <w:szCs w:val="18"/>
                <w:lang w:val="en-GB"/>
              </w:rPr>
              <w:t>23</w:t>
            </w:r>
          </w:p>
        </w:tc>
        <w:tc>
          <w:tcPr>
            <w:tcW w:w="1057" w:type="dxa"/>
            <w:tcBorders>
              <w:top w:val="nil"/>
              <w:left w:val="nil"/>
              <w:bottom w:val="nil"/>
              <w:right w:val="nil"/>
            </w:tcBorders>
            <w:shd w:val="clear" w:color="auto" w:fill="FFFFFF"/>
          </w:tcPr>
          <w:p w14:paraId="34DE72D1" w14:textId="3A887969" w:rsidR="00F360C8" w:rsidRDefault="00F360C8" w:rsidP="00D833E6">
            <w:pPr>
              <w:pStyle w:val="CETBodytext"/>
              <w:ind w:right="-1"/>
              <w:jc w:val="center"/>
              <w:rPr>
                <w:rFonts w:cs="Arial"/>
                <w:szCs w:val="18"/>
                <w:lang w:val="en-GB"/>
              </w:rPr>
            </w:pPr>
            <w:r>
              <w:rPr>
                <w:rFonts w:cs="Arial"/>
                <w:szCs w:val="18"/>
                <w:lang w:val="en-GB"/>
              </w:rPr>
              <w:t>20</w:t>
            </w:r>
          </w:p>
        </w:tc>
        <w:tc>
          <w:tcPr>
            <w:tcW w:w="2025" w:type="dxa"/>
            <w:tcBorders>
              <w:top w:val="nil"/>
              <w:left w:val="nil"/>
              <w:bottom w:val="nil"/>
              <w:right w:val="nil"/>
            </w:tcBorders>
            <w:shd w:val="clear" w:color="auto" w:fill="FFFFFF"/>
          </w:tcPr>
          <w:p w14:paraId="54E78DF9" w14:textId="08977D6C" w:rsidR="00F360C8" w:rsidRDefault="00F360C8" w:rsidP="00F360C8">
            <w:pPr>
              <w:pStyle w:val="CETBodytext"/>
              <w:ind w:right="-1"/>
              <w:jc w:val="center"/>
              <w:rPr>
                <w:rFonts w:cs="Arial"/>
                <w:szCs w:val="18"/>
                <w:lang w:val="en-GB"/>
              </w:rPr>
            </w:pPr>
            <w:r>
              <w:rPr>
                <w:rFonts w:cs="Arial"/>
                <w:szCs w:val="18"/>
                <w:lang w:val="en-GB"/>
              </w:rPr>
              <w:t>Wan &amp; Li (2010)</w:t>
            </w:r>
          </w:p>
        </w:tc>
      </w:tr>
      <w:tr w:rsidR="00F360C8" w14:paraId="5CE36212" w14:textId="77777777" w:rsidTr="00F360C8">
        <w:trPr>
          <w:trHeight w:val="63"/>
          <w:jc w:val="center"/>
        </w:trPr>
        <w:tc>
          <w:tcPr>
            <w:tcW w:w="2416" w:type="dxa"/>
            <w:tcBorders>
              <w:top w:val="nil"/>
              <w:left w:val="nil"/>
              <w:bottom w:val="nil"/>
              <w:right w:val="nil"/>
            </w:tcBorders>
            <w:shd w:val="clear" w:color="auto" w:fill="FFFFFF"/>
          </w:tcPr>
          <w:p w14:paraId="34C22A62" w14:textId="77777777" w:rsidR="00F360C8" w:rsidRPr="00F360C8" w:rsidRDefault="00F360C8" w:rsidP="00360F96">
            <w:pPr>
              <w:pStyle w:val="CETBodytext"/>
              <w:ind w:right="-1"/>
              <w:jc w:val="center"/>
              <w:rPr>
                <w:rFonts w:cs="Arial"/>
                <w:szCs w:val="18"/>
                <w:lang w:val="en-GB"/>
              </w:rPr>
            </w:pPr>
            <w:r>
              <w:rPr>
                <w:rFonts w:cs="Arial"/>
                <w:szCs w:val="18"/>
                <w:lang w:val="en-GB"/>
              </w:rPr>
              <w:t>Sugarcane bagasse</w:t>
            </w:r>
          </w:p>
        </w:tc>
        <w:tc>
          <w:tcPr>
            <w:tcW w:w="1208" w:type="dxa"/>
            <w:tcBorders>
              <w:top w:val="nil"/>
              <w:left w:val="nil"/>
              <w:bottom w:val="nil"/>
              <w:right w:val="nil"/>
            </w:tcBorders>
            <w:shd w:val="clear" w:color="auto" w:fill="FFFFFF"/>
          </w:tcPr>
          <w:p w14:paraId="17E0B8C9" w14:textId="77777777" w:rsidR="00F360C8" w:rsidRDefault="00F360C8" w:rsidP="00360F96">
            <w:pPr>
              <w:pStyle w:val="CETBodytext"/>
              <w:ind w:right="-1"/>
              <w:jc w:val="center"/>
              <w:rPr>
                <w:rFonts w:cs="Arial"/>
                <w:szCs w:val="18"/>
                <w:lang w:val="en-GB"/>
              </w:rPr>
            </w:pPr>
            <w:r>
              <w:rPr>
                <w:rFonts w:cs="Arial"/>
                <w:szCs w:val="18"/>
                <w:lang w:val="en-GB"/>
              </w:rPr>
              <w:t>35</w:t>
            </w:r>
          </w:p>
        </w:tc>
        <w:tc>
          <w:tcPr>
            <w:tcW w:w="1662" w:type="dxa"/>
            <w:tcBorders>
              <w:top w:val="nil"/>
              <w:left w:val="nil"/>
              <w:bottom w:val="nil"/>
              <w:right w:val="nil"/>
            </w:tcBorders>
            <w:shd w:val="clear" w:color="auto" w:fill="FFFFFF"/>
          </w:tcPr>
          <w:p w14:paraId="231DBFED" w14:textId="71FB9552" w:rsidR="00F360C8" w:rsidRDefault="004D5E55" w:rsidP="00360F96">
            <w:pPr>
              <w:pStyle w:val="CETBodytext"/>
              <w:ind w:right="-1"/>
              <w:jc w:val="center"/>
              <w:rPr>
                <w:rFonts w:cs="Arial"/>
                <w:szCs w:val="18"/>
                <w:lang w:val="en-GB"/>
              </w:rPr>
            </w:pPr>
            <w:r>
              <w:rPr>
                <w:rFonts w:cs="Arial"/>
                <w:szCs w:val="18"/>
                <w:lang w:val="en-GB"/>
              </w:rPr>
              <w:t>36</w:t>
            </w:r>
          </w:p>
        </w:tc>
        <w:tc>
          <w:tcPr>
            <w:tcW w:w="1057" w:type="dxa"/>
            <w:tcBorders>
              <w:top w:val="nil"/>
              <w:left w:val="nil"/>
              <w:bottom w:val="nil"/>
              <w:right w:val="nil"/>
            </w:tcBorders>
            <w:shd w:val="clear" w:color="auto" w:fill="FFFFFF"/>
          </w:tcPr>
          <w:p w14:paraId="4758B6D2" w14:textId="20A67A0D" w:rsidR="00F360C8" w:rsidRDefault="00F360C8" w:rsidP="00360F96">
            <w:pPr>
              <w:pStyle w:val="CETBodytext"/>
              <w:ind w:right="-1"/>
              <w:jc w:val="center"/>
              <w:rPr>
                <w:rFonts w:cs="Arial"/>
                <w:szCs w:val="18"/>
                <w:lang w:val="en-GB"/>
              </w:rPr>
            </w:pPr>
            <w:r>
              <w:rPr>
                <w:rFonts w:cs="Arial"/>
                <w:szCs w:val="18"/>
                <w:lang w:val="en-GB"/>
              </w:rPr>
              <w:t>16</w:t>
            </w:r>
          </w:p>
        </w:tc>
        <w:tc>
          <w:tcPr>
            <w:tcW w:w="2025" w:type="dxa"/>
            <w:tcBorders>
              <w:top w:val="nil"/>
              <w:left w:val="nil"/>
              <w:bottom w:val="nil"/>
              <w:right w:val="nil"/>
            </w:tcBorders>
            <w:shd w:val="clear" w:color="auto" w:fill="FFFFFF"/>
          </w:tcPr>
          <w:p w14:paraId="316A7A52" w14:textId="55645FEB" w:rsidR="00F360C8" w:rsidRDefault="00F360C8" w:rsidP="00F360C8">
            <w:pPr>
              <w:pStyle w:val="CETBodytext"/>
              <w:ind w:right="-1"/>
              <w:jc w:val="center"/>
              <w:rPr>
                <w:rFonts w:cs="Arial"/>
                <w:szCs w:val="18"/>
                <w:lang w:val="en-GB"/>
              </w:rPr>
            </w:pPr>
            <w:r>
              <w:rPr>
                <w:rFonts w:cs="Arial"/>
                <w:szCs w:val="18"/>
                <w:lang w:val="en-GB"/>
              </w:rPr>
              <w:t>Sasaki et al. (200</w:t>
            </w:r>
            <w:r w:rsidR="007A25D6">
              <w:rPr>
                <w:rFonts w:cs="Arial"/>
                <w:szCs w:val="18"/>
                <w:lang w:val="en-GB"/>
              </w:rPr>
              <w:t>3</w:t>
            </w:r>
            <w:r>
              <w:rPr>
                <w:rFonts w:cs="Arial"/>
                <w:szCs w:val="18"/>
                <w:lang w:val="en-GB"/>
              </w:rPr>
              <w:t>)</w:t>
            </w:r>
          </w:p>
        </w:tc>
      </w:tr>
      <w:tr w:rsidR="00F360C8" w14:paraId="12B483DF" w14:textId="77777777" w:rsidTr="00F360C8">
        <w:trPr>
          <w:trHeight w:val="160"/>
          <w:jc w:val="center"/>
        </w:trPr>
        <w:tc>
          <w:tcPr>
            <w:tcW w:w="2416" w:type="dxa"/>
            <w:tcBorders>
              <w:top w:val="nil"/>
              <w:left w:val="nil"/>
              <w:bottom w:val="nil"/>
              <w:right w:val="nil"/>
            </w:tcBorders>
            <w:shd w:val="clear" w:color="auto" w:fill="FFFFFF"/>
          </w:tcPr>
          <w:p w14:paraId="0A4C8264" w14:textId="295964C6" w:rsidR="00F360C8" w:rsidRDefault="00F360C8" w:rsidP="00F360C8">
            <w:pPr>
              <w:pStyle w:val="CETBodytext"/>
              <w:ind w:right="-1"/>
              <w:jc w:val="center"/>
              <w:rPr>
                <w:rFonts w:cs="Arial"/>
                <w:szCs w:val="18"/>
                <w:lang w:val="en-GB"/>
              </w:rPr>
            </w:pPr>
            <w:r>
              <w:rPr>
                <w:rFonts w:cs="Arial"/>
                <w:szCs w:val="18"/>
                <w:lang w:val="en-GB"/>
              </w:rPr>
              <w:t>Rice straw</w:t>
            </w:r>
          </w:p>
        </w:tc>
        <w:tc>
          <w:tcPr>
            <w:tcW w:w="1208" w:type="dxa"/>
            <w:tcBorders>
              <w:top w:val="nil"/>
              <w:left w:val="nil"/>
              <w:bottom w:val="nil"/>
              <w:right w:val="nil"/>
            </w:tcBorders>
            <w:shd w:val="clear" w:color="auto" w:fill="FFFFFF"/>
          </w:tcPr>
          <w:p w14:paraId="3432EC6D" w14:textId="2DA51473" w:rsidR="00F360C8" w:rsidRDefault="00F15EE6" w:rsidP="00F360C8">
            <w:pPr>
              <w:pStyle w:val="CETBodytext"/>
              <w:ind w:right="-1"/>
              <w:jc w:val="center"/>
              <w:rPr>
                <w:rFonts w:cs="Arial"/>
                <w:szCs w:val="18"/>
                <w:lang w:val="en-GB"/>
              </w:rPr>
            </w:pPr>
            <w:r>
              <w:rPr>
                <w:rFonts w:cs="Arial"/>
                <w:szCs w:val="18"/>
                <w:lang w:val="en-GB"/>
              </w:rPr>
              <w:t>36</w:t>
            </w:r>
          </w:p>
        </w:tc>
        <w:tc>
          <w:tcPr>
            <w:tcW w:w="1662" w:type="dxa"/>
            <w:tcBorders>
              <w:top w:val="nil"/>
              <w:left w:val="nil"/>
              <w:bottom w:val="nil"/>
              <w:right w:val="nil"/>
            </w:tcBorders>
            <w:shd w:val="clear" w:color="auto" w:fill="FFFFFF"/>
          </w:tcPr>
          <w:p w14:paraId="20A4F0FC" w14:textId="310E3D72" w:rsidR="00F360C8" w:rsidRDefault="00F360C8" w:rsidP="00F15EE6">
            <w:pPr>
              <w:pStyle w:val="CETBodytext"/>
              <w:ind w:right="-1"/>
              <w:jc w:val="center"/>
              <w:rPr>
                <w:rFonts w:cs="Arial"/>
                <w:szCs w:val="18"/>
                <w:lang w:val="en-GB"/>
              </w:rPr>
            </w:pPr>
            <w:r>
              <w:rPr>
                <w:rFonts w:cs="Arial"/>
                <w:szCs w:val="18"/>
                <w:lang w:val="en-GB"/>
              </w:rPr>
              <w:t>21</w:t>
            </w:r>
          </w:p>
        </w:tc>
        <w:tc>
          <w:tcPr>
            <w:tcW w:w="1057" w:type="dxa"/>
            <w:tcBorders>
              <w:top w:val="nil"/>
              <w:left w:val="nil"/>
              <w:bottom w:val="nil"/>
              <w:right w:val="nil"/>
            </w:tcBorders>
            <w:shd w:val="clear" w:color="auto" w:fill="FFFFFF"/>
          </w:tcPr>
          <w:p w14:paraId="72BDAFC9" w14:textId="0A5804B3" w:rsidR="00F360C8" w:rsidRDefault="00F360C8" w:rsidP="00F360C8">
            <w:pPr>
              <w:pStyle w:val="CETBodytext"/>
              <w:ind w:right="-1"/>
              <w:jc w:val="center"/>
              <w:rPr>
                <w:rFonts w:cs="Arial"/>
                <w:szCs w:val="18"/>
                <w:lang w:val="en-GB"/>
              </w:rPr>
            </w:pPr>
            <w:r>
              <w:rPr>
                <w:rFonts w:cs="Arial"/>
                <w:szCs w:val="18"/>
                <w:lang w:val="en-GB"/>
              </w:rPr>
              <w:t>24</w:t>
            </w:r>
          </w:p>
        </w:tc>
        <w:tc>
          <w:tcPr>
            <w:tcW w:w="2025" w:type="dxa"/>
            <w:tcBorders>
              <w:top w:val="nil"/>
              <w:left w:val="nil"/>
              <w:bottom w:val="nil"/>
              <w:right w:val="nil"/>
            </w:tcBorders>
            <w:shd w:val="clear" w:color="auto" w:fill="FFFFFF"/>
          </w:tcPr>
          <w:p w14:paraId="720DB3B8" w14:textId="07ACCBBC" w:rsidR="00F360C8" w:rsidRDefault="00F360C8" w:rsidP="00F360C8">
            <w:pPr>
              <w:pStyle w:val="CETBodytext"/>
              <w:ind w:right="-1"/>
              <w:jc w:val="center"/>
              <w:rPr>
                <w:rFonts w:cs="Arial"/>
                <w:szCs w:val="18"/>
                <w:lang w:val="en-GB"/>
              </w:rPr>
            </w:pPr>
            <w:r>
              <w:rPr>
                <w:rFonts w:cs="Arial"/>
                <w:szCs w:val="18"/>
                <w:lang w:val="en-GB"/>
              </w:rPr>
              <w:t>Imman et al. (2015)</w:t>
            </w:r>
          </w:p>
        </w:tc>
      </w:tr>
      <w:tr w:rsidR="00F360C8" w14:paraId="241BDA3C" w14:textId="77777777" w:rsidTr="00F360C8">
        <w:trPr>
          <w:trHeight w:val="219"/>
          <w:jc w:val="center"/>
        </w:trPr>
        <w:tc>
          <w:tcPr>
            <w:tcW w:w="2416" w:type="dxa"/>
            <w:tcBorders>
              <w:top w:val="nil"/>
              <w:left w:val="nil"/>
              <w:bottom w:val="nil"/>
              <w:right w:val="nil"/>
            </w:tcBorders>
            <w:shd w:val="clear" w:color="auto" w:fill="FFFFFF"/>
          </w:tcPr>
          <w:p w14:paraId="47FCE20F" w14:textId="431BBDF0" w:rsidR="00F360C8" w:rsidRDefault="00F360C8" w:rsidP="00F360C8">
            <w:pPr>
              <w:pStyle w:val="CETBodytext"/>
              <w:ind w:right="-1"/>
              <w:jc w:val="center"/>
              <w:rPr>
                <w:rFonts w:cs="Arial"/>
                <w:szCs w:val="18"/>
                <w:lang w:val="en-GB"/>
              </w:rPr>
            </w:pPr>
            <w:r>
              <w:rPr>
                <w:rFonts w:cs="Arial"/>
                <w:szCs w:val="18"/>
                <w:lang w:val="en-GB"/>
              </w:rPr>
              <w:t>Wheat straw</w:t>
            </w:r>
          </w:p>
        </w:tc>
        <w:tc>
          <w:tcPr>
            <w:tcW w:w="1208" w:type="dxa"/>
            <w:tcBorders>
              <w:top w:val="nil"/>
              <w:left w:val="nil"/>
              <w:bottom w:val="nil"/>
              <w:right w:val="nil"/>
            </w:tcBorders>
            <w:shd w:val="clear" w:color="auto" w:fill="FFFFFF"/>
          </w:tcPr>
          <w:p w14:paraId="4B7923C7" w14:textId="6AD7FC6D" w:rsidR="00F360C8" w:rsidRDefault="00F360C8" w:rsidP="00F360C8">
            <w:pPr>
              <w:pStyle w:val="CETBodytext"/>
              <w:ind w:right="-1"/>
              <w:jc w:val="center"/>
              <w:rPr>
                <w:rFonts w:cs="Arial"/>
                <w:szCs w:val="18"/>
                <w:lang w:val="en-GB"/>
              </w:rPr>
            </w:pPr>
            <w:r>
              <w:rPr>
                <w:rFonts w:cs="Arial"/>
                <w:szCs w:val="18"/>
                <w:lang w:val="en-GB"/>
              </w:rPr>
              <w:t>40</w:t>
            </w:r>
          </w:p>
        </w:tc>
        <w:tc>
          <w:tcPr>
            <w:tcW w:w="1662" w:type="dxa"/>
            <w:tcBorders>
              <w:top w:val="nil"/>
              <w:left w:val="nil"/>
              <w:bottom w:val="nil"/>
              <w:right w:val="nil"/>
            </w:tcBorders>
            <w:shd w:val="clear" w:color="auto" w:fill="FFFFFF"/>
          </w:tcPr>
          <w:p w14:paraId="015E6A54" w14:textId="298004E9" w:rsidR="00F360C8" w:rsidRDefault="00F360C8" w:rsidP="00F360C8">
            <w:pPr>
              <w:pStyle w:val="CETBodytext"/>
              <w:ind w:right="-1"/>
              <w:jc w:val="center"/>
              <w:rPr>
                <w:rFonts w:cs="Arial"/>
                <w:szCs w:val="18"/>
                <w:lang w:val="en-GB"/>
              </w:rPr>
            </w:pPr>
            <w:r>
              <w:rPr>
                <w:rFonts w:cs="Arial"/>
                <w:szCs w:val="18"/>
                <w:lang w:val="en-GB"/>
              </w:rPr>
              <w:t>21</w:t>
            </w:r>
          </w:p>
        </w:tc>
        <w:tc>
          <w:tcPr>
            <w:tcW w:w="1057" w:type="dxa"/>
            <w:tcBorders>
              <w:top w:val="nil"/>
              <w:left w:val="nil"/>
              <w:bottom w:val="nil"/>
              <w:right w:val="nil"/>
            </w:tcBorders>
            <w:shd w:val="clear" w:color="auto" w:fill="FFFFFF"/>
          </w:tcPr>
          <w:p w14:paraId="1E21D49C" w14:textId="6DB90909" w:rsidR="00F360C8" w:rsidRDefault="00F360C8" w:rsidP="00F360C8">
            <w:pPr>
              <w:pStyle w:val="CETBodytext"/>
              <w:ind w:right="-1"/>
              <w:jc w:val="center"/>
              <w:rPr>
                <w:rFonts w:cs="Arial"/>
                <w:szCs w:val="18"/>
                <w:lang w:val="en-GB"/>
              </w:rPr>
            </w:pPr>
            <w:r>
              <w:rPr>
                <w:rFonts w:cs="Arial"/>
                <w:szCs w:val="18"/>
                <w:lang w:val="en-GB"/>
              </w:rPr>
              <w:t>2</w:t>
            </w:r>
            <w:r w:rsidR="00F15EE6">
              <w:rPr>
                <w:rFonts w:cs="Arial"/>
                <w:szCs w:val="18"/>
                <w:lang w:val="en-GB"/>
              </w:rPr>
              <w:t>3</w:t>
            </w:r>
          </w:p>
        </w:tc>
        <w:tc>
          <w:tcPr>
            <w:tcW w:w="2025" w:type="dxa"/>
            <w:tcBorders>
              <w:top w:val="nil"/>
              <w:left w:val="nil"/>
              <w:bottom w:val="nil"/>
              <w:right w:val="nil"/>
            </w:tcBorders>
            <w:shd w:val="clear" w:color="auto" w:fill="FFFFFF"/>
          </w:tcPr>
          <w:p w14:paraId="12E63214" w14:textId="74B4FF0D" w:rsidR="00F360C8" w:rsidRDefault="00F360C8" w:rsidP="00F360C8">
            <w:pPr>
              <w:pStyle w:val="CETBodytext"/>
              <w:ind w:right="-1"/>
              <w:jc w:val="center"/>
              <w:rPr>
                <w:rFonts w:cs="Arial"/>
                <w:szCs w:val="18"/>
                <w:lang w:val="en-GB"/>
              </w:rPr>
            </w:pPr>
            <w:r>
              <w:rPr>
                <w:rFonts w:cs="Arial"/>
                <w:szCs w:val="18"/>
                <w:lang w:val="en-GB"/>
              </w:rPr>
              <w:t>Khan et al. (2012)</w:t>
            </w:r>
          </w:p>
        </w:tc>
      </w:tr>
      <w:tr w:rsidR="00F360C8" w14:paraId="590B9442" w14:textId="77777777" w:rsidTr="00F360C8">
        <w:trPr>
          <w:trHeight w:val="219"/>
          <w:jc w:val="center"/>
        </w:trPr>
        <w:tc>
          <w:tcPr>
            <w:tcW w:w="2416" w:type="dxa"/>
            <w:tcBorders>
              <w:top w:val="nil"/>
              <w:left w:val="nil"/>
              <w:bottom w:val="single" w:sz="12" w:space="0" w:color="008000"/>
              <w:right w:val="nil"/>
            </w:tcBorders>
            <w:shd w:val="clear" w:color="auto" w:fill="FFFFFF"/>
          </w:tcPr>
          <w:p w14:paraId="3C3161CA" w14:textId="1D172956" w:rsidR="00F360C8" w:rsidRDefault="00F360C8" w:rsidP="00F360C8">
            <w:pPr>
              <w:pStyle w:val="CETBodytext"/>
              <w:ind w:right="-1"/>
              <w:jc w:val="center"/>
              <w:rPr>
                <w:rFonts w:cs="Arial"/>
                <w:szCs w:val="18"/>
                <w:lang w:val="en-GB"/>
              </w:rPr>
            </w:pPr>
            <w:proofErr w:type="spellStart"/>
            <w:r w:rsidRPr="00F360C8">
              <w:rPr>
                <w:rFonts w:cs="Arial"/>
                <w:i/>
                <w:iCs/>
                <w:szCs w:val="18"/>
                <w:lang w:val="en-GB"/>
              </w:rPr>
              <w:t>Mischantus</w:t>
            </w:r>
            <w:proofErr w:type="spellEnd"/>
            <w:r>
              <w:rPr>
                <w:rFonts w:cs="Arial"/>
                <w:szCs w:val="18"/>
                <w:lang w:val="en-GB"/>
              </w:rPr>
              <w:t xml:space="preserve"> straw</w:t>
            </w:r>
          </w:p>
        </w:tc>
        <w:tc>
          <w:tcPr>
            <w:tcW w:w="1208" w:type="dxa"/>
            <w:tcBorders>
              <w:top w:val="nil"/>
              <w:left w:val="nil"/>
              <w:bottom w:val="single" w:sz="12" w:space="0" w:color="008000"/>
              <w:right w:val="nil"/>
            </w:tcBorders>
            <w:shd w:val="clear" w:color="auto" w:fill="FFFFFF"/>
          </w:tcPr>
          <w:p w14:paraId="4D814A9D" w14:textId="6E9C9F72" w:rsidR="00F360C8" w:rsidRDefault="00F360C8" w:rsidP="00F15EE6">
            <w:pPr>
              <w:pStyle w:val="CETBodytext"/>
              <w:ind w:right="-1"/>
              <w:jc w:val="center"/>
              <w:rPr>
                <w:rFonts w:cs="Arial"/>
                <w:szCs w:val="18"/>
                <w:lang w:val="en-GB"/>
              </w:rPr>
            </w:pPr>
            <w:r>
              <w:rPr>
                <w:rFonts w:cs="Arial"/>
                <w:szCs w:val="18"/>
                <w:lang w:val="en-GB"/>
              </w:rPr>
              <w:t>42</w:t>
            </w:r>
          </w:p>
        </w:tc>
        <w:tc>
          <w:tcPr>
            <w:tcW w:w="1662" w:type="dxa"/>
            <w:tcBorders>
              <w:top w:val="nil"/>
              <w:left w:val="nil"/>
              <w:bottom w:val="single" w:sz="12" w:space="0" w:color="008000"/>
              <w:right w:val="nil"/>
            </w:tcBorders>
            <w:shd w:val="clear" w:color="auto" w:fill="FFFFFF"/>
          </w:tcPr>
          <w:p w14:paraId="741846C5" w14:textId="0D642A18" w:rsidR="00F360C8" w:rsidRDefault="00F360C8" w:rsidP="00F360C8">
            <w:pPr>
              <w:pStyle w:val="CETBodytext"/>
              <w:ind w:right="-1"/>
              <w:jc w:val="center"/>
              <w:rPr>
                <w:rFonts w:cs="Arial"/>
                <w:szCs w:val="18"/>
                <w:lang w:val="en-GB"/>
              </w:rPr>
            </w:pPr>
            <w:r>
              <w:rPr>
                <w:rFonts w:cs="Arial"/>
                <w:szCs w:val="18"/>
                <w:lang w:val="en-GB"/>
              </w:rPr>
              <w:t>25</w:t>
            </w:r>
          </w:p>
        </w:tc>
        <w:tc>
          <w:tcPr>
            <w:tcW w:w="1057" w:type="dxa"/>
            <w:tcBorders>
              <w:top w:val="nil"/>
              <w:left w:val="nil"/>
              <w:bottom w:val="single" w:sz="12" w:space="0" w:color="008000"/>
              <w:right w:val="nil"/>
            </w:tcBorders>
            <w:shd w:val="clear" w:color="auto" w:fill="FFFFFF"/>
          </w:tcPr>
          <w:p w14:paraId="625FD652" w14:textId="29421694" w:rsidR="00F360C8" w:rsidRDefault="00F360C8" w:rsidP="00F360C8">
            <w:pPr>
              <w:pStyle w:val="CETBodytext"/>
              <w:ind w:right="-1"/>
              <w:jc w:val="center"/>
              <w:rPr>
                <w:rFonts w:cs="Arial"/>
                <w:szCs w:val="18"/>
                <w:lang w:val="en-GB"/>
              </w:rPr>
            </w:pPr>
            <w:r>
              <w:rPr>
                <w:rFonts w:cs="Arial"/>
                <w:szCs w:val="18"/>
                <w:lang w:val="en-GB"/>
              </w:rPr>
              <w:t>23</w:t>
            </w:r>
          </w:p>
        </w:tc>
        <w:tc>
          <w:tcPr>
            <w:tcW w:w="2025" w:type="dxa"/>
            <w:tcBorders>
              <w:top w:val="nil"/>
              <w:left w:val="nil"/>
              <w:bottom w:val="single" w:sz="12" w:space="0" w:color="008000"/>
              <w:right w:val="nil"/>
            </w:tcBorders>
            <w:shd w:val="clear" w:color="auto" w:fill="FFFFFF"/>
          </w:tcPr>
          <w:p w14:paraId="11ADF137" w14:textId="3C036359" w:rsidR="00F360C8" w:rsidRDefault="00F360C8" w:rsidP="00F360C8">
            <w:pPr>
              <w:pStyle w:val="CETBodytext"/>
              <w:ind w:right="-1"/>
              <w:jc w:val="center"/>
              <w:rPr>
                <w:rFonts w:cs="Arial"/>
                <w:szCs w:val="18"/>
                <w:lang w:val="en-GB"/>
              </w:rPr>
            </w:pPr>
            <w:proofErr w:type="spellStart"/>
            <w:r w:rsidRPr="00F360C8">
              <w:rPr>
                <w:rFonts w:cs="Arial"/>
                <w:szCs w:val="18"/>
                <w:lang w:val="en-GB"/>
              </w:rPr>
              <w:t>Dąbkowska</w:t>
            </w:r>
            <w:proofErr w:type="spellEnd"/>
            <w:r>
              <w:rPr>
                <w:rFonts w:cs="Arial"/>
                <w:szCs w:val="18"/>
                <w:lang w:val="en-GB"/>
              </w:rPr>
              <w:t xml:space="preserve"> et al. (2019)</w:t>
            </w:r>
          </w:p>
        </w:tc>
      </w:tr>
    </w:tbl>
    <w:bookmarkEnd w:id="2"/>
    <w:p w14:paraId="076D0421" w14:textId="6034BC10" w:rsidR="009E3760" w:rsidRDefault="006E2865" w:rsidP="00C40B94">
      <w:pPr>
        <w:pStyle w:val="CETBodytext"/>
      </w:pPr>
      <w:r>
        <w:t xml:space="preserve">It was possible to note that </w:t>
      </w:r>
      <w:r w:rsidR="00BA0461">
        <w:t>the composition of lignocellulosic biomass strongly depended on the source</w:t>
      </w:r>
      <w:r w:rsidR="001D62B2">
        <w:t>. T</w:t>
      </w:r>
      <w:r>
        <w:t xml:space="preserve">he corn stalks had the major percentage of cellulose (50% </w:t>
      </w:r>
      <w:proofErr w:type="spellStart"/>
      <w:r>
        <w:t>dw</w:t>
      </w:r>
      <w:proofErr w:type="spellEnd"/>
      <w:r>
        <w:t>)</w:t>
      </w:r>
      <w:r w:rsidR="001D50CF">
        <w:t xml:space="preserve"> and lignin (30% </w:t>
      </w:r>
      <w:proofErr w:type="spellStart"/>
      <w:r w:rsidR="001D50CF">
        <w:t>dw</w:t>
      </w:r>
      <w:proofErr w:type="spellEnd"/>
      <w:r w:rsidR="00D55CC1">
        <w:t>),</w:t>
      </w:r>
      <w:r>
        <w:t xml:space="preserve"> but the hemicellulose percentage (20% </w:t>
      </w:r>
      <w:proofErr w:type="spellStart"/>
      <w:r>
        <w:t>dw</w:t>
      </w:r>
      <w:proofErr w:type="spellEnd"/>
      <w:r>
        <w:t>) was the lowest among the analyzed biomasses</w:t>
      </w:r>
      <w:r w:rsidR="001D50CF">
        <w:t xml:space="preserve"> (Christopher et al., 2017)</w:t>
      </w:r>
      <w:r>
        <w:t>. The highest content of hemicellulose was found in sugarcane bagasse (</w:t>
      </w:r>
      <w:r w:rsidR="004D5E55">
        <w:t>36</w:t>
      </w:r>
      <w:r>
        <w:t xml:space="preserve">% </w:t>
      </w:r>
      <w:proofErr w:type="spellStart"/>
      <w:r>
        <w:t>dw</w:t>
      </w:r>
      <w:proofErr w:type="spellEnd"/>
      <w:r>
        <w:t xml:space="preserve">) (Sasaki et al., </w:t>
      </w:r>
      <w:r w:rsidR="007A25D6">
        <w:t>2003</w:t>
      </w:r>
      <w:r>
        <w:t>)</w:t>
      </w:r>
      <w:r w:rsidR="001D50CF">
        <w:t xml:space="preserve">. </w:t>
      </w:r>
      <w:r w:rsidR="009E3760">
        <w:t xml:space="preserve">While, straw (wheat, rice and </w:t>
      </w:r>
      <w:proofErr w:type="spellStart"/>
      <w:r w:rsidR="009E3760" w:rsidRPr="00FC2853">
        <w:rPr>
          <w:i/>
        </w:rPr>
        <w:t>Mischantus</w:t>
      </w:r>
      <w:proofErr w:type="spellEnd"/>
      <w:r w:rsidR="009E3760">
        <w:t xml:space="preserve">) were the biomass that contained the highest percentage of lignin (&gt; 23% </w:t>
      </w:r>
      <w:proofErr w:type="spellStart"/>
      <w:r w:rsidR="009E3760">
        <w:t>dw</w:t>
      </w:r>
      <w:proofErr w:type="spellEnd"/>
      <w:r w:rsidR="009E3760">
        <w:t>.).</w:t>
      </w:r>
    </w:p>
    <w:p w14:paraId="4846164C" w14:textId="44662918" w:rsidR="00AB1636" w:rsidRDefault="00BA0461" w:rsidP="00182643">
      <w:pPr>
        <w:pStyle w:val="CETBodytext"/>
      </w:pPr>
      <w:r>
        <w:t>Due to the complexity of lignocellulosic matrix, pretreatment process</w:t>
      </w:r>
      <w:r w:rsidR="00E87942">
        <w:t>es</w:t>
      </w:r>
      <w:r>
        <w:t xml:space="preserve"> w</w:t>
      </w:r>
      <w:r w:rsidR="00E87942">
        <w:t>ere</w:t>
      </w:r>
      <w:r w:rsidR="00F4448A">
        <w:t xml:space="preserve"> </w:t>
      </w:r>
      <w:r>
        <w:t xml:space="preserve">a crucial first step to make sugars available for the microorganisms involved in fermentation process. The pretreatment altered the lignocellulose </w:t>
      </w:r>
      <w:r w:rsidR="00D55CC1">
        <w:t xml:space="preserve">structure, removed </w:t>
      </w:r>
      <w:r w:rsidR="00926559">
        <w:t>lignin,</w:t>
      </w:r>
      <w:r w:rsidR="00D55CC1">
        <w:t xml:space="preserve"> and</w:t>
      </w:r>
      <w:r>
        <w:t xml:space="preserve"> made cellulose more accessible to </w:t>
      </w:r>
      <w:r w:rsidR="004F0A8E" w:rsidRPr="00AB1636">
        <w:t xml:space="preserve">enzymatic hydrolysis </w:t>
      </w:r>
      <w:r>
        <w:t>that converted the carbohydrates polymers into fermentable sugars</w:t>
      </w:r>
      <w:r w:rsidR="004F0A8E" w:rsidRPr="00AB1636">
        <w:t>, such as glucose and xylose</w:t>
      </w:r>
      <w:r w:rsidR="004F0A8E">
        <w:t xml:space="preserve">. </w:t>
      </w:r>
      <w:r w:rsidR="004F0A8E" w:rsidRPr="004F0A8E">
        <w:t>This is a multistep step through the synergistic action of cellulolytic and hemicellulolytic enzymes (Yang et al., 2011).</w:t>
      </w:r>
      <w:r w:rsidR="004F0A8E">
        <w:t xml:space="preserve"> </w:t>
      </w:r>
      <w:r w:rsidR="00D55CC1">
        <w:t xml:space="preserve">There were developed numerous pretreatment techniques, that could be grouped into 3 different categories: physical, </w:t>
      </w:r>
      <w:r w:rsidR="00926559">
        <w:t>chemical,</w:t>
      </w:r>
      <w:r w:rsidR="00D55CC1">
        <w:t xml:space="preserve"> and chemical-physical.</w:t>
      </w:r>
      <w:r w:rsidR="00AB1636" w:rsidRPr="00AB1636">
        <w:t xml:space="preserve"> </w:t>
      </w:r>
    </w:p>
    <w:p w14:paraId="7988B6EF" w14:textId="2752C608" w:rsidR="00140928" w:rsidRDefault="00D55CC1" w:rsidP="00C40B94">
      <w:pPr>
        <w:pStyle w:val="CETBodytext"/>
      </w:pPr>
      <w:r w:rsidRPr="00E87942">
        <w:t>Physical methods included mechanical processes, such as grinding</w:t>
      </w:r>
      <w:r w:rsidR="004F0A8E">
        <w:t xml:space="preserve"> and</w:t>
      </w:r>
      <w:r w:rsidRPr="00E87942">
        <w:t xml:space="preserve"> ultrasound</w:t>
      </w:r>
      <w:r w:rsidR="00140928">
        <w:t xml:space="preserve"> treatment that required high energy and high operational costs</w:t>
      </w:r>
      <w:r>
        <w:t>.</w:t>
      </w:r>
      <w:r w:rsidR="00926559">
        <w:t xml:space="preserve"> </w:t>
      </w:r>
      <w:r w:rsidR="004F0A8E">
        <w:t>A</w:t>
      </w:r>
      <w:r w:rsidR="004F0A8E" w:rsidRPr="004F0A8E">
        <w:t>lthough</w:t>
      </w:r>
      <w:r w:rsidR="004F0A8E">
        <w:t xml:space="preserve"> </w:t>
      </w:r>
      <w:r w:rsidR="00140928">
        <w:t xml:space="preserve">another </w:t>
      </w:r>
      <w:r w:rsidR="004F0A8E">
        <w:t xml:space="preserve">limitation to the use of physical methods was the low </w:t>
      </w:r>
      <w:r w:rsidR="00140928">
        <w:t>yield</w:t>
      </w:r>
      <w:r w:rsidR="004F0A8E">
        <w:t>s</w:t>
      </w:r>
      <w:r w:rsidR="00140928">
        <w:t xml:space="preserve">, Putri et al., 2023 tested peracetic and alkaline peroxide under assisted ultrasound pre-treatment on rice straw and bagasse by obtaining an increase of cellulose content of 107% and 68% respect to initial feedstock. </w:t>
      </w:r>
    </w:p>
    <w:p w14:paraId="03952C03" w14:textId="408C7B74" w:rsidR="0091524B" w:rsidRDefault="0091524B" w:rsidP="00C40B94">
      <w:pPr>
        <w:pStyle w:val="CETBodytext"/>
      </w:pPr>
      <w:r>
        <w:t>Mineral acids (such as HCl, H</w:t>
      </w:r>
      <w:r w:rsidRPr="00FC2853">
        <w:rPr>
          <w:vertAlign w:val="subscript"/>
        </w:rPr>
        <w:t>2</w:t>
      </w:r>
      <w:r>
        <w:t>SO</w:t>
      </w:r>
      <w:r w:rsidRPr="00FC2853">
        <w:rPr>
          <w:vertAlign w:val="subscript"/>
        </w:rPr>
        <w:t>4</w:t>
      </w:r>
      <w:r>
        <w:t>, H</w:t>
      </w:r>
      <w:r w:rsidRPr="00FC2853">
        <w:rPr>
          <w:vertAlign w:val="subscript"/>
        </w:rPr>
        <w:t>2</w:t>
      </w:r>
      <w:r>
        <w:t>PO</w:t>
      </w:r>
      <w:r w:rsidRPr="00FC2853">
        <w:rPr>
          <w:vertAlign w:val="subscript"/>
        </w:rPr>
        <w:t>4</w:t>
      </w:r>
      <w:r>
        <w:t>, oxalic acid) and bases (calcium and NaOH and aqueous ammonia)</w:t>
      </w:r>
      <w:r w:rsidRPr="0091524B">
        <w:t xml:space="preserve"> </w:t>
      </w:r>
      <w:r w:rsidR="00182643">
        <w:t xml:space="preserve">and/or organic </w:t>
      </w:r>
      <w:r w:rsidR="00140928">
        <w:t xml:space="preserve">green </w:t>
      </w:r>
      <w:r w:rsidR="00182643">
        <w:t xml:space="preserve">solvent </w:t>
      </w:r>
      <w:r w:rsidR="00140928">
        <w:t>(</w:t>
      </w:r>
      <w:proofErr w:type="spellStart"/>
      <w:r w:rsidR="00140928">
        <w:t>organosolv</w:t>
      </w:r>
      <w:proofErr w:type="spellEnd"/>
      <w:r w:rsidR="00140928">
        <w:t xml:space="preserve"> methods) </w:t>
      </w:r>
      <w:r>
        <w:t>were mainly used</w:t>
      </w:r>
      <w:r w:rsidR="00182643">
        <w:t xml:space="preserve"> in chemical pretreatments.</w:t>
      </w:r>
      <w:r>
        <w:t xml:space="preserve"> </w:t>
      </w:r>
      <w:proofErr w:type="spellStart"/>
      <w:r w:rsidRPr="0091524B">
        <w:t>Jampatesh</w:t>
      </w:r>
      <w:proofErr w:type="spellEnd"/>
      <w:r w:rsidRPr="0091524B">
        <w:t xml:space="preserve"> et al. (2019)</w:t>
      </w:r>
      <w:r>
        <w:t xml:space="preserve"> compared </w:t>
      </w:r>
      <w:r w:rsidRPr="0091524B">
        <w:t xml:space="preserve">acid pretreatment </w:t>
      </w:r>
      <w:r w:rsidR="00E73A2B">
        <w:t xml:space="preserve">on rice straw </w:t>
      </w:r>
      <w:r w:rsidRPr="0091524B">
        <w:t>with hydrochloric, phosphoric,</w:t>
      </w:r>
      <w:r w:rsidR="00F04F9B">
        <w:t xml:space="preserve"> and sulfuric acid at 1</w:t>
      </w:r>
      <w:r w:rsidRPr="0091524B">
        <w:t xml:space="preserve">M </w:t>
      </w:r>
      <w:r w:rsidR="00E73A2B">
        <w:t>at</w:t>
      </w:r>
      <w:r w:rsidRPr="0091524B">
        <w:t xml:space="preserve"> different hydrolysis times (15, 30, 45, and 60 min) and obtained the best concentration of </w:t>
      </w:r>
      <w:r w:rsidR="00E73A2B">
        <w:t>sugars (10 g/l</w:t>
      </w:r>
      <w:r w:rsidR="00140928" w:rsidRPr="00140928">
        <w:t xml:space="preserve"> </w:t>
      </w:r>
      <w:r w:rsidR="00140928" w:rsidRPr="0091524B">
        <w:t>glucose</w:t>
      </w:r>
      <w:r w:rsidR="00E73A2B">
        <w:t>)</w:t>
      </w:r>
      <w:r w:rsidRPr="0091524B">
        <w:t xml:space="preserve"> and </w:t>
      </w:r>
      <w:r w:rsidR="00E73A2B">
        <w:t>(18 g/L</w:t>
      </w:r>
      <w:r w:rsidR="00140928" w:rsidRPr="00140928">
        <w:t xml:space="preserve"> </w:t>
      </w:r>
      <w:r w:rsidR="00140928" w:rsidRPr="0091524B">
        <w:t>xylose</w:t>
      </w:r>
      <w:r w:rsidR="00E73A2B">
        <w:t>) by</w:t>
      </w:r>
      <w:r w:rsidRPr="0091524B">
        <w:t xml:space="preserve"> using</w:t>
      </w:r>
      <w:r w:rsidR="00E73A2B">
        <w:t xml:space="preserve"> </w:t>
      </w:r>
      <w:r w:rsidR="00140928">
        <w:t xml:space="preserve">HCl </w:t>
      </w:r>
      <w:r w:rsidR="00E73A2B">
        <w:t xml:space="preserve">for 60 min. </w:t>
      </w:r>
      <w:r w:rsidR="00140928" w:rsidRPr="00140928">
        <w:t>Lo et al. 2020 optimized the acid pretreatment of sweet sorghum bagasse at 50 °C, 1 hour to obtain 29.2 cellulosic glucose after enzymatic hydrolysis.</w:t>
      </w:r>
      <w:r w:rsidR="00140928">
        <w:t xml:space="preserve"> </w:t>
      </w:r>
      <w:r w:rsidR="00417B57">
        <w:t xml:space="preserve">Chemical methods were widely used for the pretreatment of lignocellulosic biomass, the most important </w:t>
      </w:r>
      <w:r w:rsidR="00417B57" w:rsidRPr="00417B57">
        <w:t>strength</w:t>
      </w:r>
      <w:r w:rsidR="00417B57">
        <w:t xml:space="preserve"> is the high obtained yield while the disposal of acids and bases can be a considered a </w:t>
      </w:r>
      <w:r w:rsidR="00417B57" w:rsidRPr="00417B57">
        <w:t>weaknesses</w:t>
      </w:r>
      <w:r w:rsidR="00417B57">
        <w:t xml:space="preserve">. </w:t>
      </w:r>
    </w:p>
    <w:p w14:paraId="02D52689" w14:textId="5A1E29D1" w:rsidR="008C30AB" w:rsidRDefault="00362A72" w:rsidP="00C40B94">
      <w:pPr>
        <w:pStyle w:val="CETBodytext"/>
      </w:pPr>
      <w:r>
        <w:t xml:space="preserve">The steam explosion was the most used chemical-physical pretreatment </w:t>
      </w:r>
      <w:r w:rsidR="008C30AB">
        <w:t>where lignocellulosic biomass is exposed at high temperature (160-260</w:t>
      </w:r>
      <w:r w:rsidR="008C30AB" w:rsidRPr="00362A72">
        <w:t>°C) and a pressure (5-50 atm)</w:t>
      </w:r>
      <w:r w:rsidR="008C30AB">
        <w:t xml:space="preserve"> to a saturated steam for short times </w:t>
      </w:r>
      <w:r>
        <w:t xml:space="preserve">(Lee et al., 2003). </w:t>
      </w:r>
      <w:proofErr w:type="spellStart"/>
      <w:r w:rsidR="008C30AB" w:rsidRPr="00A442CD">
        <w:t>Kuglarz</w:t>
      </w:r>
      <w:proofErr w:type="spellEnd"/>
      <w:r w:rsidR="008C30AB" w:rsidRPr="00A442CD">
        <w:t xml:space="preserve"> et al. 2018</w:t>
      </w:r>
      <w:r w:rsidR="008C30AB">
        <w:t xml:space="preserve"> tested steam explosion on rapeseed straw by using H</w:t>
      </w:r>
      <w:r w:rsidR="008C30AB" w:rsidRPr="00FC2853">
        <w:rPr>
          <w:vertAlign w:val="subscript"/>
        </w:rPr>
        <w:t>2</w:t>
      </w:r>
      <w:r w:rsidR="008C30AB">
        <w:t>SO</w:t>
      </w:r>
      <w:r w:rsidR="008C30AB" w:rsidRPr="00FC2853">
        <w:rPr>
          <w:vertAlign w:val="subscript"/>
        </w:rPr>
        <w:t>4</w:t>
      </w:r>
      <w:r w:rsidR="008C30AB">
        <w:t xml:space="preserve"> (1% solution) in a batch reactor at 180 °C for 10 min to test several feedstock </w:t>
      </w:r>
      <w:r w:rsidR="008C2612">
        <w:t>ratios</w:t>
      </w:r>
      <w:r w:rsidR="008C30AB">
        <w:t xml:space="preserve"> (10, 15, 20, 25% w/v)</w:t>
      </w:r>
      <w:r w:rsidR="0012268C">
        <w:t xml:space="preserve"> and to test several enzymatic dosage (Cellulase activity). The authors obtained the best glucan recovery (98.7%) by using 20% w/v of feedstock and the best glucose </w:t>
      </w:r>
      <w:r w:rsidR="00417B57">
        <w:t xml:space="preserve">concentration equal to 23.3 g/L </w:t>
      </w:r>
      <w:r w:rsidR="0012268C">
        <w:t xml:space="preserve">and xylose </w:t>
      </w:r>
      <w:r w:rsidR="00417B57">
        <w:t xml:space="preserve">concentration equal to 4.5 g/L </w:t>
      </w:r>
      <w:r w:rsidR="0012268C">
        <w:t xml:space="preserve">after </w:t>
      </w:r>
      <w:r w:rsidR="00417B57">
        <w:t xml:space="preserve">the </w:t>
      </w:r>
      <w:r w:rsidR="0012268C">
        <w:t>enzymatic hydrolysis (13% dosage).</w:t>
      </w:r>
    </w:p>
    <w:p w14:paraId="3887B175" w14:textId="0B94BCF1" w:rsidR="004A6AB0" w:rsidRDefault="00C40B94" w:rsidP="00C40B94">
      <w:pPr>
        <w:pStyle w:val="CETBodytext"/>
      </w:pPr>
      <w:r>
        <w:t xml:space="preserve">The steam explosion </w:t>
      </w:r>
      <w:r w:rsidR="00417B57">
        <w:t xml:space="preserve">can be considered </w:t>
      </w:r>
      <w:r>
        <w:t xml:space="preserve">economically advantageous and environmental sustainable if compared to the techniques previously mentioned. However, </w:t>
      </w:r>
      <w:r w:rsidRPr="00C40B94">
        <w:t>despite these benefits</w:t>
      </w:r>
      <w:r>
        <w:t xml:space="preserve">, the harsh conditions </w:t>
      </w:r>
      <w:r w:rsidR="004A6AB0">
        <w:t>(</w:t>
      </w:r>
      <w:r w:rsidR="00344201">
        <w:t xml:space="preserve">high </w:t>
      </w:r>
      <w:r w:rsidR="004A6AB0">
        <w:t xml:space="preserve">temperature and pressure) </w:t>
      </w:r>
      <w:r w:rsidR="00417B57">
        <w:t xml:space="preserve">during </w:t>
      </w:r>
      <w:r w:rsidR="004A6AB0">
        <w:t xml:space="preserve">steam explosion </w:t>
      </w:r>
      <w:r w:rsidR="00417B57">
        <w:t xml:space="preserve">generated </w:t>
      </w:r>
      <w:r>
        <w:t>several unwanted compounds, such organic acids, furans</w:t>
      </w:r>
      <w:r w:rsidR="003E7A25">
        <w:t xml:space="preserve"> (furfu</w:t>
      </w:r>
      <w:r w:rsidR="00344201">
        <w:t>r</w:t>
      </w:r>
      <w:r w:rsidR="003E7A25">
        <w:t>al and HMF</w:t>
      </w:r>
      <w:r w:rsidR="00B611FC">
        <w:t xml:space="preserve"> (</w:t>
      </w:r>
      <w:proofErr w:type="spellStart"/>
      <w:r w:rsidR="00344201">
        <w:rPr>
          <w:rFonts w:cs="Arial"/>
          <w:szCs w:val="18"/>
          <w:lang w:val="en-GB"/>
        </w:rPr>
        <w:t>Hydroxymethylfurfural</w:t>
      </w:r>
      <w:proofErr w:type="spellEnd"/>
      <w:r w:rsidR="00B611FC">
        <w:rPr>
          <w:rFonts w:cs="Arial"/>
          <w:szCs w:val="18"/>
          <w:lang w:val="en-GB"/>
        </w:rPr>
        <w:t>)</w:t>
      </w:r>
      <w:r w:rsidR="003E7A25">
        <w:t>)</w:t>
      </w:r>
      <w:r>
        <w:t>, and phenolic compounds</w:t>
      </w:r>
      <w:r w:rsidR="004A6AB0" w:rsidRPr="004A6AB0">
        <w:t xml:space="preserve"> </w:t>
      </w:r>
      <w:r w:rsidR="004A6AB0">
        <w:t>that could negatively affect the following enzymatic hydrolysis</w:t>
      </w:r>
      <w:r w:rsidR="00417B57">
        <w:t xml:space="preserve"> and the succinic acid production during fermentation process</w:t>
      </w:r>
      <w:r w:rsidR="004A6AB0">
        <w:t xml:space="preserve">. </w:t>
      </w:r>
      <w:r w:rsidR="00417B57">
        <w:t>In fact</w:t>
      </w:r>
      <w:r w:rsidR="004A6AB0">
        <w:t xml:space="preserve">, </w:t>
      </w:r>
      <w:r w:rsidR="00417B57">
        <w:t xml:space="preserve">these </w:t>
      </w:r>
      <w:r w:rsidR="004A6AB0">
        <w:t>compounds are known</w:t>
      </w:r>
      <w:r w:rsidR="004A6AB0" w:rsidRPr="004A6AB0">
        <w:t xml:space="preserve"> </w:t>
      </w:r>
      <w:r w:rsidR="004A6AB0">
        <w:t xml:space="preserve">as inhibitors for the </w:t>
      </w:r>
      <w:r w:rsidR="00417B57">
        <w:t xml:space="preserve">microbial growth during </w:t>
      </w:r>
      <w:r w:rsidR="004A6AB0">
        <w:t>fermentation process.</w:t>
      </w:r>
    </w:p>
    <w:p w14:paraId="7F17A3B3" w14:textId="329031C6" w:rsidR="0001377C" w:rsidRDefault="00C813F5" w:rsidP="00C40B94">
      <w:pPr>
        <w:pStyle w:val="CETBodytext"/>
      </w:pPr>
      <w:r>
        <w:t xml:space="preserve">In table 2 there were reported the major inhibitor compounds </w:t>
      </w:r>
      <w:r w:rsidR="004A6AB0">
        <w:t xml:space="preserve">generated after the steam explosion </w:t>
      </w:r>
      <w:r>
        <w:t xml:space="preserve">and critical concentration that </w:t>
      </w:r>
      <w:r w:rsidR="004A6AB0">
        <w:t xml:space="preserve">can </w:t>
      </w:r>
      <w:r>
        <w:t xml:space="preserve">compromise the </w:t>
      </w:r>
      <w:r w:rsidR="004A6AB0">
        <w:t>succinic acid production</w:t>
      </w:r>
      <w:r>
        <w:t>.</w:t>
      </w:r>
    </w:p>
    <w:p w14:paraId="20E49F4E" w14:textId="6E8D25DE" w:rsidR="00C813F5" w:rsidRPr="00C40B94" w:rsidRDefault="00C813F5" w:rsidP="00C813F5">
      <w:pPr>
        <w:pStyle w:val="CETTabletitle"/>
      </w:pPr>
      <w:r>
        <w:t>Table 2: Inhibitor compounds found in pre</w:t>
      </w:r>
      <w:r w:rsidR="00AB1636">
        <w:t>-</w:t>
      </w:r>
      <w:r>
        <w:t xml:space="preserve">treated lignocellulosic biomass </w:t>
      </w:r>
      <w:r w:rsidR="00702B6F">
        <w:t>and their critical concentration.</w:t>
      </w:r>
    </w:p>
    <w:tbl>
      <w:tblPr>
        <w:tblW w:w="5000" w:type="pct"/>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12"/>
        <w:gridCol w:w="1750"/>
        <w:gridCol w:w="2156"/>
        <w:gridCol w:w="1673"/>
        <w:gridCol w:w="1696"/>
      </w:tblGrid>
      <w:tr w:rsidR="0098085F" w14:paraId="455D8A8E" w14:textId="77777777" w:rsidTr="008D6B9A">
        <w:trPr>
          <w:trHeight w:val="302"/>
          <w:jc w:val="center"/>
        </w:trPr>
        <w:tc>
          <w:tcPr>
            <w:tcW w:w="873" w:type="pct"/>
            <w:tcBorders>
              <w:top w:val="single" w:sz="12" w:space="0" w:color="008000"/>
              <w:left w:val="nil"/>
              <w:bottom w:val="single" w:sz="6" w:space="0" w:color="008000"/>
              <w:right w:val="nil"/>
            </w:tcBorders>
            <w:shd w:val="clear" w:color="auto" w:fill="FFFFFF"/>
          </w:tcPr>
          <w:p w14:paraId="1EA94B95" w14:textId="20C54CA3" w:rsidR="0098085F" w:rsidRDefault="0098085F" w:rsidP="00360F96">
            <w:pPr>
              <w:pStyle w:val="CETBodytext"/>
              <w:jc w:val="center"/>
              <w:rPr>
                <w:lang w:val="en-GB"/>
              </w:rPr>
            </w:pPr>
            <w:bookmarkStart w:id="3" w:name="_Hlk157506715"/>
            <w:r>
              <w:rPr>
                <w:lang w:val="en-GB"/>
              </w:rPr>
              <w:t>Class</w:t>
            </w:r>
          </w:p>
        </w:tc>
        <w:tc>
          <w:tcPr>
            <w:tcW w:w="947" w:type="pct"/>
            <w:tcBorders>
              <w:top w:val="single" w:sz="12" w:space="0" w:color="008000"/>
              <w:left w:val="nil"/>
              <w:bottom w:val="single" w:sz="6" w:space="0" w:color="008000"/>
              <w:right w:val="nil"/>
            </w:tcBorders>
            <w:shd w:val="clear" w:color="auto" w:fill="FFFFFF"/>
          </w:tcPr>
          <w:p w14:paraId="5FC561E0" w14:textId="784D8623" w:rsidR="0098085F" w:rsidRDefault="0098085F" w:rsidP="00360F96">
            <w:pPr>
              <w:pStyle w:val="CETBodytext"/>
              <w:jc w:val="center"/>
              <w:rPr>
                <w:lang w:val="en-GB"/>
              </w:rPr>
            </w:pPr>
            <w:r>
              <w:rPr>
                <w:lang w:val="en-GB"/>
              </w:rPr>
              <w:t>Compound</w:t>
            </w:r>
          </w:p>
        </w:tc>
        <w:tc>
          <w:tcPr>
            <w:tcW w:w="1239" w:type="pct"/>
            <w:tcBorders>
              <w:top w:val="single" w:sz="12" w:space="0" w:color="008000"/>
              <w:left w:val="nil"/>
              <w:bottom w:val="single" w:sz="6" w:space="0" w:color="008000"/>
              <w:right w:val="nil"/>
            </w:tcBorders>
            <w:shd w:val="clear" w:color="auto" w:fill="FFFFFF"/>
          </w:tcPr>
          <w:p w14:paraId="29F56E90" w14:textId="1526AFD0" w:rsidR="0098085F" w:rsidRDefault="0098085F" w:rsidP="00360F96">
            <w:pPr>
              <w:pStyle w:val="CETBodytext"/>
              <w:tabs>
                <w:tab w:val="clear" w:pos="7100"/>
                <w:tab w:val="left" w:pos="1050"/>
              </w:tabs>
              <w:jc w:val="center"/>
              <w:rPr>
                <w:lang w:val="en-GB"/>
              </w:rPr>
            </w:pPr>
            <w:r>
              <w:rPr>
                <w:lang w:val="en-GB"/>
              </w:rPr>
              <w:t>Microorganism employed</w:t>
            </w:r>
          </w:p>
        </w:tc>
        <w:tc>
          <w:tcPr>
            <w:tcW w:w="964" w:type="pct"/>
            <w:tcBorders>
              <w:top w:val="single" w:sz="12" w:space="0" w:color="008000"/>
              <w:left w:val="nil"/>
              <w:bottom w:val="single" w:sz="6" w:space="0" w:color="008000"/>
              <w:right w:val="nil"/>
            </w:tcBorders>
            <w:shd w:val="clear" w:color="auto" w:fill="FFFFFF"/>
          </w:tcPr>
          <w:p w14:paraId="3248CAE8" w14:textId="4F7A82B6" w:rsidR="0098085F" w:rsidRDefault="0098085F" w:rsidP="00360F96">
            <w:pPr>
              <w:pStyle w:val="CETBodytext"/>
              <w:tabs>
                <w:tab w:val="clear" w:pos="7100"/>
                <w:tab w:val="left" w:pos="1050"/>
              </w:tabs>
              <w:jc w:val="center"/>
              <w:rPr>
                <w:lang w:val="en-GB"/>
              </w:rPr>
            </w:pPr>
            <w:r>
              <w:rPr>
                <w:lang w:val="en-GB"/>
              </w:rPr>
              <w:t>Critical concentration (g/L)</w:t>
            </w:r>
          </w:p>
        </w:tc>
        <w:tc>
          <w:tcPr>
            <w:tcW w:w="977" w:type="pct"/>
            <w:tcBorders>
              <w:top w:val="single" w:sz="12" w:space="0" w:color="008000"/>
              <w:left w:val="nil"/>
              <w:bottom w:val="single" w:sz="6" w:space="0" w:color="008000"/>
              <w:right w:val="nil"/>
            </w:tcBorders>
            <w:shd w:val="clear" w:color="auto" w:fill="FFFFFF"/>
          </w:tcPr>
          <w:p w14:paraId="7A73BE6E" w14:textId="77777777" w:rsidR="0098085F" w:rsidRDefault="0098085F" w:rsidP="00360F96">
            <w:pPr>
              <w:pStyle w:val="CETBodytext"/>
              <w:jc w:val="center"/>
              <w:rPr>
                <w:lang w:val="en-GB"/>
              </w:rPr>
            </w:pPr>
            <w:r>
              <w:rPr>
                <w:lang w:val="en-GB"/>
              </w:rPr>
              <w:t>Reference</w:t>
            </w:r>
          </w:p>
        </w:tc>
      </w:tr>
      <w:tr w:rsidR="0098085F" w14:paraId="2503328E" w14:textId="77777777" w:rsidTr="008D6B9A">
        <w:trPr>
          <w:trHeight w:val="298"/>
          <w:jc w:val="center"/>
        </w:trPr>
        <w:tc>
          <w:tcPr>
            <w:tcW w:w="873" w:type="pct"/>
            <w:vMerge w:val="restart"/>
            <w:tcBorders>
              <w:top w:val="nil"/>
              <w:left w:val="nil"/>
              <w:right w:val="nil"/>
            </w:tcBorders>
            <w:shd w:val="clear" w:color="auto" w:fill="FFFFFF"/>
          </w:tcPr>
          <w:p w14:paraId="30994885" w14:textId="3162BCF3" w:rsidR="0098085F" w:rsidRDefault="0098085F" w:rsidP="00702B6F">
            <w:pPr>
              <w:pStyle w:val="CETBodytext"/>
              <w:ind w:right="-1"/>
              <w:jc w:val="center"/>
              <w:rPr>
                <w:rFonts w:cs="Arial"/>
                <w:szCs w:val="18"/>
                <w:lang w:val="en-GB"/>
              </w:rPr>
            </w:pPr>
            <w:r>
              <w:rPr>
                <w:rFonts w:cs="Arial"/>
                <w:szCs w:val="18"/>
                <w:lang w:val="en-GB"/>
              </w:rPr>
              <w:t>Organic acids</w:t>
            </w:r>
          </w:p>
        </w:tc>
        <w:tc>
          <w:tcPr>
            <w:tcW w:w="947" w:type="pct"/>
            <w:tcBorders>
              <w:top w:val="nil"/>
              <w:left w:val="nil"/>
              <w:bottom w:val="nil"/>
              <w:right w:val="nil"/>
            </w:tcBorders>
            <w:shd w:val="clear" w:color="auto" w:fill="FFFFFF"/>
          </w:tcPr>
          <w:p w14:paraId="037FF57B" w14:textId="0A6F6921" w:rsidR="0098085F" w:rsidRDefault="0098085F" w:rsidP="00360F96">
            <w:pPr>
              <w:pStyle w:val="CETBodytext"/>
              <w:ind w:right="-1"/>
              <w:jc w:val="center"/>
              <w:rPr>
                <w:rFonts w:cs="Arial"/>
                <w:szCs w:val="18"/>
                <w:lang w:val="en-GB"/>
              </w:rPr>
            </w:pPr>
            <w:r>
              <w:rPr>
                <w:rFonts w:cs="Arial"/>
                <w:szCs w:val="18"/>
                <w:lang w:val="en-GB"/>
              </w:rPr>
              <w:t>Acetic acid</w:t>
            </w:r>
          </w:p>
        </w:tc>
        <w:tc>
          <w:tcPr>
            <w:tcW w:w="1239" w:type="pct"/>
            <w:tcBorders>
              <w:top w:val="nil"/>
              <w:left w:val="nil"/>
              <w:bottom w:val="nil"/>
              <w:right w:val="nil"/>
            </w:tcBorders>
            <w:shd w:val="clear" w:color="auto" w:fill="FFFFFF"/>
          </w:tcPr>
          <w:p w14:paraId="4750CF2B" w14:textId="14294398" w:rsidR="0098085F" w:rsidRPr="0098085F" w:rsidRDefault="0098085F" w:rsidP="0098085F">
            <w:pPr>
              <w:pStyle w:val="CETBodytext"/>
              <w:ind w:right="-1"/>
              <w:jc w:val="center"/>
              <w:rPr>
                <w:rFonts w:cs="Arial"/>
                <w:i/>
                <w:iCs/>
                <w:szCs w:val="18"/>
                <w:lang w:val="en-GB"/>
              </w:rPr>
            </w:pPr>
            <w:r w:rsidRPr="0098085F">
              <w:rPr>
                <w:rFonts w:cs="Arial"/>
                <w:i/>
                <w:iCs/>
                <w:szCs w:val="18"/>
                <w:lang w:val="en-GB"/>
              </w:rPr>
              <w:t>A. succinogenes</w:t>
            </w:r>
          </w:p>
        </w:tc>
        <w:tc>
          <w:tcPr>
            <w:tcW w:w="964" w:type="pct"/>
            <w:tcBorders>
              <w:top w:val="nil"/>
              <w:left w:val="nil"/>
              <w:bottom w:val="nil"/>
              <w:right w:val="nil"/>
            </w:tcBorders>
            <w:shd w:val="clear" w:color="auto" w:fill="FFFFFF"/>
          </w:tcPr>
          <w:p w14:paraId="5EF91705" w14:textId="479F5A1C" w:rsidR="0098085F" w:rsidRDefault="0098085F" w:rsidP="00360F96">
            <w:pPr>
              <w:pStyle w:val="CETBodytext"/>
              <w:ind w:right="-1"/>
              <w:jc w:val="center"/>
              <w:rPr>
                <w:rFonts w:cs="Arial"/>
                <w:szCs w:val="18"/>
                <w:lang w:val="en-GB"/>
              </w:rPr>
            </w:pPr>
            <w:r>
              <w:rPr>
                <w:rFonts w:cs="Arial"/>
                <w:szCs w:val="18"/>
                <w:lang w:val="en-GB"/>
              </w:rPr>
              <w:t>33.7</w:t>
            </w:r>
          </w:p>
        </w:tc>
        <w:tc>
          <w:tcPr>
            <w:tcW w:w="977" w:type="pct"/>
            <w:tcBorders>
              <w:top w:val="nil"/>
              <w:left w:val="nil"/>
              <w:bottom w:val="nil"/>
              <w:right w:val="nil"/>
            </w:tcBorders>
            <w:shd w:val="clear" w:color="auto" w:fill="FFFFFF"/>
          </w:tcPr>
          <w:p w14:paraId="166E6AC8" w14:textId="7FC4CC61" w:rsidR="0098085F" w:rsidRDefault="0098085F" w:rsidP="00360F96">
            <w:pPr>
              <w:pStyle w:val="CETBodytext"/>
              <w:ind w:right="-1"/>
              <w:jc w:val="center"/>
              <w:rPr>
                <w:rFonts w:cs="Arial"/>
                <w:szCs w:val="18"/>
                <w:lang w:val="en-GB"/>
              </w:rPr>
            </w:pPr>
            <w:r>
              <w:rPr>
                <w:rFonts w:cs="Arial"/>
                <w:szCs w:val="18"/>
                <w:lang w:val="en-GB"/>
              </w:rPr>
              <w:t>Lin et al. (2008)</w:t>
            </w:r>
          </w:p>
        </w:tc>
      </w:tr>
      <w:tr w:rsidR="0098085F" w14:paraId="4C16326B" w14:textId="77777777" w:rsidTr="008D6B9A">
        <w:trPr>
          <w:trHeight w:val="298"/>
          <w:jc w:val="center"/>
        </w:trPr>
        <w:tc>
          <w:tcPr>
            <w:tcW w:w="873" w:type="pct"/>
            <w:vMerge/>
            <w:tcBorders>
              <w:left w:val="nil"/>
              <w:right w:val="nil"/>
            </w:tcBorders>
            <w:shd w:val="clear" w:color="auto" w:fill="FFFFFF"/>
          </w:tcPr>
          <w:p w14:paraId="06B73866" w14:textId="45406909" w:rsidR="0098085F" w:rsidRDefault="0098085F" w:rsidP="00360F96">
            <w:pPr>
              <w:pStyle w:val="CETBodytext"/>
              <w:ind w:right="-1"/>
              <w:jc w:val="center"/>
              <w:rPr>
                <w:rFonts w:cs="Arial"/>
                <w:szCs w:val="18"/>
                <w:lang w:val="en-GB"/>
              </w:rPr>
            </w:pPr>
          </w:p>
        </w:tc>
        <w:tc>
          <w:tcPr>
            <w:tcW w:w="947" w:type="pct"/>
            <w:tcBorders>
              <w:top w:val="nil"/>
              <w:left w:val="nil"/>
              <w:bottom w:val="nil"/>
              <w:right w:val="nil"/>
            </w:tcBorders>
            <w:shd w:val="clear" w:color="auto" w:fill="FFFFFF"/>
          </w:tcPr>
          <w:p w14:paraId="3DFB471E" w14:textId="4A2479D4" w:rsidR="0098085F" w:rsidRDefault="0098085F" w:rsidP="00360F96">
            <w:pPr>
              <w:pStyle w:val="CETBodytext"/>
              <w:ind w:right="-1"/>
              <w:jc w:val="center"/>
              <w:rPr>
                <w:rFonts w:cs="Arial"/>
                <w:szCs w:val="18"/>
                <w:lang w:val="en-GB"/>
              </w:rPr>
            </w:pPr>
            <w:proofErr w:type="spellStart"/>
            <w:r>
              <w:rPr>
                <w:rFonts w:cs="Arial"/>
                <w:szCs w:val="18"/>
                <w:lang w:val="en-GB"/>
              </w:rPr>
              <w:t>Piruvic</w:t>
            </w:r>
            <w:proofErr w:type="spellEnd"/>
            <w:r>
              <w:rPr>
                <w:rFonts w:cs="Arial"/>
                <w:szCs w:val="18"/>
                <w:lang w:val="en-GB"/>
              </w:rPr>
              <w:t xml:space="preserve"> acid</w:t>
            </w:r>
          </w:p>
        </w:tc>
        <w:tc>
          <w:tcPr>
            <w:tcW w:w="1239" w:type="pct"/>
            <w:tcBorders>
              <w:top w:val="nil"/>
              <w:left w:val="nil"/>
              <w:bottom w:val="nil"/>
              <w:right w:val="nil"/>
            </w:tcBorders>
            <w:shd w:val="clear" w:color="auto" w:fill="FFFFFF"/>
          </w:tcPr>
          <w:p w14:paraId="68BBAD30" w14:textId="77777777" w:rsidR="0098085F" w:rsidRDefault="0098085F" w:rsidP="00360F96">
            <w:pPr>
              <w:pStyle w:val="CETBodytext"/>
              <w:ind w:right="-1"/>
              <w:jc w:val="center"/>
              <w:rPr>
                <w:rFonts w:cs="Arial"/>
                <w:szCs w:val="18"/>
                <w:lang w:val="en-GB"/>
              </w:rPr>
            </w:pPr>
          </w:p>
        </w:tc>
        <w:tc>
          <w:tcPr>
            <w:tcW w:w="964" w:type="pct"/>
            <w:tcBorders>
              <w:top w:val="nil"/>
              <w:left w:val="nil"/>
              <w:bottom w:val="nil"/>
              <w:right w:val="nil"/>
            </w:tcBorders>
            <w:shd w:val="clear" w:color="auto" w:fill="FFFFFF"/>
          </w:tcPr>
          <w:p w14:paraId="6BE42E3A" w14:textId="02288D26" w:rsidR="0098085F" w:rsidRDefault="0098085F" w:rsidP="00360F96">
            <w:pPr>
              <w:pStyle w:val="CETBodytext"/>
              <w:ind w:right="-1"/>
              <w:jc w:val="center"/>
              <w:rPr>
                <w:rFonts w:cs="Arial"/>
                <w:szCs w:val="18"/>
                <w:lang w:val="en-GB"/>
              </w:rPr>
            </w:pPr>
            <w:r>
              <w:rPr>
                <w:rFonts w:cs="Arial"/>
                <w:szCs w:val="18"/>
                <w:lang w:val="en-GB"/>
              </w:rPr>
              <w:t>59.2</w:t>
            </w:r>
          </w:p>
        </w:tc>
        <w:tc>
          <w:tcPr>
            <w:tcW w:w="977" w:type="pct"/>
            <w:tcBorders>
              <w:top w:val="nil"/>
              <w:left w:val="nil"/>
              <w:bottom w:val="nil"/>
              <w:right w:val="nil"/>
            </w:tcBorders>
            <w:shd w:val="clear" w:color="auto" w:fill="FFFFFF"/>
          </w:tcPr>
          <w:p w14:paraId="23DC0E1D" w14:textId="6C5C58C6" w:rsidR="0098085F" w:rsidRDefault="0098085F" w:rsidP="00360F96">
            <w:pPr>
              <w:pStyle w:val="CETBodytext"/>
              <w:ind w:right="-1"/>
              <w:jc w:val="center"/>
              <w:rPr>
                <w:rFonts w:cs="Arial"/>
                <w:szCs w:val="18"/>
                <w:lang w:val="en-GB"/>
              </w:rPr>
            </w:pPr>
          </w:p>
        </w:tc>
      </w:tr>
      <w:tr w:rsidR="0098085F" w14:paraId="6FEE2C5D" w14:textId="77777777" w:rsidTr="008D6B9A">
        <w:trPr>
          <w:trHeight w:val="75"/>
          <w:jc w:val="center"/>
        </w:trPr>
        <w:tc>
          <w:tcPr>
            <w:tcW w:w="873" w:type="pct"/>
            <w:vMerge/>
            <w:tcBorders>
              <w:left w:val="nil"/>
              <w:bottom w:val="nil"/>
              <w:right w:val="nil"/>
            </w:tcBorders>
            <w:shd w:val="clear" w:color="auto" w:fill="FFFFFF"/>
          </w:tcPr>
          <w:p w14:paraId="0A992271" w14:textId="530A503E" w:rsidR="0098085F" w:rsidRPr="00F360C8" w:rsidRDefault="0098085F" w:rsidP="00360F96">
            <w:pPr>
              <w:pStyle w:val="CETBodytext"/>
              <w:ind w:right="-1"/>
              <w:jc w:val="center"/>
              <w:rPr>
                <w:rFonts w:cs="Arial"/>
                <w:szCs w:val="18"/>
                <w:lang w:val="en-GB"/>
              </w:rPr>
            </w:pPr>
          </w:p>
        </w:tc>
        <w:tc>
          <w:tcPr>
            <w:tcW w:w="947" w:type="pct"/>
            <w:tcBorders>
              <w:top w:val="nil"/>
              <w:left w:val="nil"/>
              <w:bottom w:val="nil"/>
              <w:right w:val="nil"/>
            </w:tcBorders>
            <w:shd w:val="clear" w:color="auto" w:fill="FFFFFF"/>
          </w:tcPr>
          <w:p w14:paraId="2FCB0E49" w14:textId="24725CC8" w:rsidR="0098085F" w:rsidRDefault="0098085F" w:rsidP="00360F96">
            <w:pPr>
              <w:pStyle w:val="CETBodytext"/>
              <w:ind w:right="-1"/>
              <w:jc w:val="center"/>
              <w:rPr>
                <w:rFonts w:cs="Arial"/>
                <w:szCs w:val="18"/>
                <w:lang w:val="en-GB"/>
              </w:rPr>
            </w:pPr>
            <w:r>
              <w:rPr>
                <w:rFonts w:cs="Arial"/>
                <w:szCs w:val="18"/>
                <w:lang w:val="en-GB"/>
              </w:rPr>
              <w:t>Formic acid</w:t>
            </w:r>
          </w:p>
        </w:tc>
        <w:tc>
          <w:tcPr>
            <w:tcW w:w="1239" w:type="pct"/>
            <w:tcBorders>
              <w:top w:val="nil"/>
              <w:left w:val="nil"/>
              <w:bottom w:val="nil"/>
              <w:right w:val="nil"/>
            </w:tcBorders>
            <w:shd w:val="clear" w:color="auto" w:fill="FFFFFF"/>
          </w:tcPr>
          <w:p w14:paraId="4D7362A6" w14:textId="77777777" w:rsidR="0098085F" w:rsidRDefault="0098085F" w:rsidP="00360F96">
            <w:pPr>
              <w:pStyle w:val="CETBodytext"/>
              <w:ind w:right="-1"/>
              <w:jc w:val="center"/>
              <w:rPr>
                <w:rFonts w:cs="Arial"/>
                <w:szCs w:val="18"/>
                <w:lang w:val="en-GB"/>
              </w:rPr>
            </w:pPr>
          </w:p>
        </w:tc>
        <w:tc>
          <w:tcPr>
            <w:tcW w:w="964" w:type="pct"/>
            <w:tcBorders>
              <w:top w:val="nil"/>
              <w:left w:val="nil"/>
              <w:bottom w:val="nil"/>
              <w:right w:val="nil"/>
            </w:tcBorders>
            <w:shd w:val="clear" w:color="auto" w:fill="FFFFFF"/>
          </w:tcPr>
          <w:p w14:paraId="1BEFDA11" w14:textId="02F00819" w:rsidR="0098085F" w:rsidRDefault="0098085F" w:rsidP="00360F96">
            <w:pPr>
              <w:pStyle w:val="CETBodytext"/>
              <w:ind w:right="-1"/>
              <w:jc w:val="center"/>
              <w:rPr>
                <w:rFonts w:cs="Arial"/>
                <w:szCs w:val="18"/>
                <w:lang w:val="en-GB"/>
              </w:rPr>
            </w:pPr>
            <w:r>
              <w:rPr>
                <w:rFonts w:cs="Arial"/>
                <w:szCs w:val="18"/>
                <w:lang w:val="en-GB"/>
              </w:rPr>
              <w:t>10.8</w:t>
            </w:r>
          </w:p>
        </w:tc>
        <w:tc>
          <w:tcPr>
            <w:tcW w:w="977" w:type="pct"/>
            <w:tcBorders>
              <w:top w:val="nil"/>
              <w:left w:val="nil"/>
              <w:bottom w:val="nil"/>
              <w:right w:val="nil"/>
            </w:tcBorders>
            <w:shd w:val="clear" w:color="auto" w:fill="FFFFFF"/>
          </w:tcPr>
          <w:p w14:paraId="5F58E24A" w14:textId="2DC6996B" w:rsidR="0098085F" w:rsidRDefault="0098085F" w:rsidP="00360F96">
            <w:pPr>
              <w:pStyle w:val="CETBodytext"/>
              <w:ind w:right="-1"/>
              <w:jc w:val="center"/>
              <w:rPr>
                <w:rFonts w:cs="Arial"/>
                <w:szCs w:val="18"/>
                <w:lang w:val="en-GB"/>
              </w:rPr>
            </w:pPr>
          </w:p>
        </w:tc>
      </w:tr>
      <w:tr w:rsidR="0098085F" w14:paraId="437814D0" w14:textId="77777777" w:rsidTr="008D6B9A">
        <w:trPr>
          <w:trHeight w:val="195"/>
          <w:jc w:val="center"/>
        </w:trPr>
        <w:tc>
          <w:tcPr>
            <w:tcW w:w="873" w:type="pct"/>
            <w:tcBorders>
              <w:top w:val="nil"/>
              <w:left w:val="nil"/>
              <w:bottom w:val="nil"/>
              <w:right w:val="nil"/>
            </w:tcBorders>
            <w:shd w:val="clear" w:color="auto" w:fill="FFFFFF"/>
          </w:tcPr>
          <w:p w14:paraId="1F28D2D0" w14:textId="3E02F44A" w:rsidR="0098085F" w:rsidRDefault="0098085F" w:rsidP="00360F96">
            <w:pPr>
              <w:pStyle w:val="CETBodytext"/>
              <w:ind w:right="-1"/>
              <w:jc w:val="center"/>
              <w:rPr>
                <w:rFonts w:cs="Arial"/>
                <w:szCs w:val="18"/>
                <w:lang w:val="en-GB"/>
              </w:rPr>
            </w:pPr>
            <w:r>
              <w:rPr>
                <w:rFonts w:cs="Arial"/>
                <w:szCs w:val="18"/>
                <w:lang w:val="en-GB"/>
              </w:rPr>
              <w:t>Furan derivates</w:t>
            </w:r>
          </w:p>
        </w:tc>
        <w:tc>
          <w:tcPr>
            <w:tcW w:w="947" w:type="pct"/>
            <w:tcBorders>
              <w:top w:val="nil"/>
              <w:left w:val="nil"/>
              <w:bottom w:val="nil"/>
              <w:right w:val="nil"/>
            </w:tcBorders>
            <w:shd w:val="clear" w:color="auto" w:fill="FFFFFF"/>
          </w:tcPr>
          <w:p w14:paraId="7C2C461B" w14:textId="330509E7" w:rsidR="0098085F" w:rsidRDefault="00344201" w:rsidP="00344201">
            <w:pPr>
              <w:pStyle w:val="CETBodytext"/>
              <w:ind w:right="-1"/>
              <w:jc w:val="center"/>
              <w:rPr>
                <w:rFonts w:cs="Arial"/>
                <w:szCs w:val="18"/>
                <w:lang w:val="en-GB"/>
              </w:rPr>
            </w:pPr>
            <w:proofErr w:type="spellStart"/>
            <w:r>
              <w:rPr>
                <w:rFonts w:cs="Arial"/>
                <w:szCs w:val="18"/>
                <w:lang w:val="en-GB"/>
              </w:rPr>
              <w:t>Hydroxymethylfurfural</w:t>
            </w:r>
            <w:proofErr w:type="spellEnd"/>
          </w:p>
        </w:tc>
        <w:tc>
          <w:tcPr>
            <w:tcW w:w="1239" w:type="pct"/>
            <w:tcBorders>
              <w:top w:val="nil"/>
              <w:left w:val="nil"/>
              <w:bottom w:val="nil"/>
              <w:right w:val="nil"/>
            </w:tcBorders>
            <w:shd w:val="clear" w:color="auto" w:fill="FFFFFF"/>
          </w:tcPr>
          <w:p w14:paraId="30A7FD59" w14:textId="34932E23" w:rsidR="0098085F" w:rsidRPr="0098085F" w:rsidRDefault="0098085F" w:rsidP="00BE2F04">
            <w:pPr>
              <w:pStyle w:val="CETBodytext"/>
              <w:ind w:left="360" w:right="-1"/>
              <w:jc w:val="center"/>
              <w:rPr>
                <w:rFonts w:cs="Arial"/>
                <w:i/>
                <w:iCs/>
                <w:szCs w:val="18"/>
                <w:lang w:val="en-GB"/>
              </w:rPr>
            </w:pPr>
            <w:r w:rsidRPr="0098085F">
              <w:rPr>
                <w:rFonts w:cs="Arial"/>
                <w:i/>
                <w:iCs/>
                <w:szCs w:val="18"/>
                <w:lang w:val="en-GB"/>
              </w:rPr>
              <w:t>A. succinogenes</w:t>
            </w:r>
          </w:p>
        </w:tc>
        <w:tc>
          <w:tcPr>
            <w:tcW w:w="964" w:type="pct"/>
            <w:tcBorders>
              <w:top w:val="nil"/>
              <w:left w:val="nil"/>
              <w:bottom w:val="nil"/>
              <w:right w:val="nil"/>
            </w:tcBorders>
            <w:shd w:val="clear" w:color="auto" w:fill="FFFFFF"/>
          </w:tcPr>
          <w:p w14:paraId="498A8420" w14:textId="5E9C63A8" w:rsidR="0098085F" w:rsidRDefault="0098085F" w:rsidP="00360F96">
            <w:pPr>
              <w:pStyle w:val="CETBodytext"/>
              <w:ind w:right="-1"/>
              <w:jc w:val="center"/>
              <w:rPr>
                <w:rFonts w:cs="Arial"/>
                <w:szCs w:val="18"/>
                <w:lang w:val="en-GB"/>
              </w:rPr>
            </w:pPr>
            <w:r>
              <w:rPr>
                <w:rFonts w:cs="Arial"/>
                <w:szCs w:val="18"/>
                <w:lang w:val="en-GB"/>
              </w:rPr>
              <w:t>10</w:t>
            </w:r>
          </w:p>
        </w:tc>
        <w:tc>
          <w:tcPr>
            <w:tcW w:w="977" w:type="pct"/>
            <w:tcBorders>
              <w:top w:val="nil"/>
              <w:left w:val="nil"/>
              <w:bottom w:val="nil"/>
              <w:right w:val="nil"/>
            </w:tcBorders>
            <w:shd w:val="clear" w:color="auto" w:fill="FFFFFF"/>
          </w:tcPr>
          <w:p w14:paraId="0E072737" w14:textId="0A3EA3C7" w:rsidR="0098085F" w:rsidRDefault="0098085F" w:rsidP="00360F96">
            <w:pPr>
              <w:pStyle w:val="CETBodytext"/>
              <w:ind w:right="-1"/>
              <w:jc w:val="center"/>
              <w:rPr>
                <w:rFonts w:cs="Arial"/>
                <w:szCs w:val="18"/>
                <w:lang w:val="en-GB"/>
              </w:rPr>
            </w:pPr>
            <w:r>
              <w:rPr>
                <w:rFonts w:cs="Arial"/>
                <w:szCs w:val="18"/>
                <w:lang w:val="en-GB"/>
              </w:rPr>
              <w:t>Dessie et al. (2019)</w:t>
            </w:r>
          </w:p>
        </w:tc>
      </w:tr>
      <w:tr w:rsidR="0098085F" w14:paraId="577DA01E" w14:textId="77777777" w:rsidTr="008D6B9A">
        <w:trPr>
          <w:trHeight w:val="267"/>
          <w:jc w:val="center"/>
        </w:trPr>
        <w:tc>
          <w:tcPr>
            <w:tcW w:w="873" w:type="pct"/>
            <w:tcBorders>
              <w:top w:val="nil"/>
              <w:left w:val="nil"/>
              <w:bottom w:val="nil"/>
              <w:right w:val="nil"/>
            </w:tcBorders>
            <w:shd w:val="clear" w:color="auto" w:fill="FFFFFF"/>
          </w:tcPr>
          <w:p w14:paraId="70C3535D" w14:textId="51CCEF3E" w:rsidR="0098085F" w:rsidRDefault="0098085F" w:rsidP="00360F96">
            <w:pPr>
              <w:pStyle w:val="CETBodytext"/>
              <w:ind w:right="-1"/>
              <w:jc w:val="center"/>
              <w:rPr>
                <w:rFonts w:cs="Arial"/>
                <w:szCs w:val="18"/>
                <w:lang w:val="en-GB"/>
              </w:rPr>
            </w:pPr>
          </w:p>
        </w:tc>
        <w:tc>
          <w:tcPr>
            <w:tcW w:w="947" w:type="pct"/>
            <w:tcBorders>
              <w:top w:val="nil"/>
              <w:left w:val="nil"/>
              <w:bottom w:val="nil"/>
              <w:right w:val="nil"/>
            </w:tcBorders>
            <w:shd w:val="clear" w:color="auto" w:fill="FFFFFF"/>
          </w:tcPr>
          <w:p w14:paraId="106214E5" w14:textId="19933753" w:rsidR="0098085F" w:rsidRDefault="0098085F" w:rsidP="00360F96">
            <w:pPr>
              <w:pStyle w:val="CETBodytext"/>
              <w:ind w:right="-1"/>
              <w:jc w:val="center"/>
              <w:rPr>
                <w:rFonts w:cs="Arial"/>
                <w:szCs w:val="18"/>
                <w:lang w:val="en-GB"/>
              </w:rPr>
            </w:pPr>
            <w:r>
              <w:rPr>
                <w:rFonts w:cs="Arial"/>
                <w:szCs w:val="18"/>
                <w:lang w:val="en-GB"/>
              </w:rPr>
              <w:t>Furfural</w:t>
            </w:r>
          </w:p>
        </w:tc>
        <w:tc>
          <w:tcPr>
            <w:tcW w:w="1239" w:type="pct"/>
            <w:tcBorders>
              <w:top w:val="nil"/>
              <w:left w:val="nil"/>
              <w:bottom w:val="nil"/>
              <w:right w:val="nil"/>
            </w:tcBorders>
            <w:shd w:val="clear" w:color="auto" w:fill="FFFFFF"/>
          </w:tcPr>
          <w:p w14:paraId="509C9EBA" w14:textId="77777777" w:rsidR="0098085F" w:rsidRDefault="0098085F" w:rsidP="00360F96">
            <w:pPr>
              <w:pStyle w:val="CETBodytext"/>
              <w:ind w:right="-1"/>
              <w:jc w:val="center"/>
              <w:rPr>
                <w:rFonts w:cs="Arial"/>
                <w:szCs w:val="18"/>
                <w:lang w:val="en-GB"/>
              </w:rPr>
            </w:pPr>
          </w:p>
        </w:tc>
        <w:tc>
          <w:tcPr>
            <w:tcW w:w="964" w:type="pct"/>
            <w:tcBorders>
              <w:top w:val="nil"/>
              <w:left w:val="nil"/>
              <w:bottom w:val="nil"/>
              <w:right w:val="nil"/>
            </w:tcBorders>
            <w:shd w:val="clear" w:color="auto" w:fill="FFFFFF"/>
          </w:tcPr>
          <w:p w14:paraId="1DC83D48" w14:textId="37AF0697" w:rsidR="0098085F" w:rsidRDefault="0098085F" w:rsidP="00360F96">
            <w:pPr>
              <w:pStyle w:val="CETBodytext"/>
              <w:ind w:right="-1"/>
              <w:jc w:val="center"/>
              <w:rPr>
                <w:rFonts w:cs="Arial"/>
                <w:szCs w:val="18"/>
                <w:lang w:val="en-GB"/>
              </w:rPr>
            </w:pPr>
            <w:r>
              <w:rPr>
                <w:rFonts w:cs="Arial"/>
                <w:szCs w:val="18"/>
                <w:lang w:val="en-GB"/>
              </w:rPr>
              <w:t>6</w:t>
            </w:r>
          </w:p>
        </w:tc>
        <w:tc>
          <w:tcPr>
            <w:tcW w:w="977" w:type="pct"/>
            <w:tcBorders>
              <w:top w:val="nil"/>
              <w:left w:val="nil"/>
              <w:bottom w:val="nil"/>
              <w:right w:val="nil"/>
            </w:tcBorders>
            <w:shd w:val="clear" w:color="auto" w:fill="FFFFFF"/>
          </w:tcPr>
          <w:p w14:paraId="2A81FAC2" w14:textId="4CE99E90" w:rsidR="0098085F" w:rsidRDefault="0098085F" w:rsidP="00360F96">
            <w:pPr>
              <w:pStyle w:val="CETBodytext"/>
              <w:ind w:right="-1"/>
              <w:jc w:val="center"/>
              <w:rPr>
                <w:rFonts w:cs="Arial"/>
                <w:szCs w:val="18"/>
                <w:lang w:val="en-GB"/>
              </w:rPr>
            </w:pPr>
          </w:p>
        </w:tc>
      </w:tr>
      <w:tr w:rsidR="0098085F" w14:paraId="0C26EFEA" w14:textId="77777777" w:rsidTr="008D6B9A">
        <w:trPr>
          <w:trHeight w:val="63"/>
          <w:jc w:val="center"/>
        </w:trPr>
        <w:tc>
          <w:tcPr>
            <w:tcW w:w="873" w:type="pct"/>
            <w:tcBorders>
              <w:top w:val="nil"/>
              <w:left w:val="nil"/>
              <w:bottom w:val="nil"/>
              <w:right w:val="nil"/>
            </w:tcBorders>
            <w:shd w:val="clear" w:color="auto" w:fill="FFFFFF"/>
          </w:tcPr>
          <w:p w14:paraId="09748F38" w14:textId="4496E14A" w:rsidR="0098085F" w:rsidRPr="0098085F" w:rsidRDefault="0098085F" w:rsidP="00360F96">
            <w:pPr>
              <w:pStyle w:val="CETBodytext"/>
              <w:ind w:right="-1"/>
              <w:jc w:val="center"/>
              <w:rPr>
                <w:rFonts w:cs="Arial"/>
                <w:szCs w:val="18"/>
                <w:lang w:val="en-GB"/>
              </w:rPr>
            </w:pPr>
            <w:r>
              <w:rPr>
                <w:rFonts w:cs="Arial"/>
                <w:szCs w:val="18"/>
                <w:lang w:val="en-GB"/>
              </w:rPr>
              <w:t>Phenolic compounds</w:t>
            </w:r>
          </w:p>
        </w:tc>
        <w:tc>
          <w:tcPr>
            <w:tcW w:w="947" w:type="pct"/>
            <w:tcBorders>
              <w:top w:val="nil"/>
              <w:left w:val="nil"/>
              <w:bottom w:val="nil"/>
              <w:right w:val="nil"/>
            </w:tcBorders>
            <w:shd w:val="clear" w:color="auto" w:fill="FFFFFF"/>
          </w:tcPr>
          <w:p w14:paraId="57A71588" w14:textId="7497BBFB" w:rsidR="0098085F" w:rsidRDefault="00BD676A" w:rsidP="00360F96">
            <w:pPr>
              <w:pStyle w:val="CETBodytext"/>
              <w:ind w:right="-1"/>
              <w:jc w:val="center"/>
              <w:rPr>
                <w:rFonts w:cs="Arial"/>
                <w:szCs w:val="18"/>
                <w:lang w:val="en-GB"/>
              </w:rPr>
            </w:pPr>
            <w:r>
              <w:rPr>
                <w:rFonts w:cs="Arial"/>
                <w:szCs w:val="18"/>
                <w:lang w:val="en-GB"/>
              </w:rPr>
              <w:t>V</w:t>
            </w:r>
            <w:r w:rsidR="0098085F">
              <w:rPr>
                <w:rFonts w:cs="Arial"/>
                <w:szCs w:val="18"/>
                <w:lang w:val="en-GB"/>
              </w:rPr>
              <w:t>anillin</w:t>
            </w:r>
          </w:p>
        </w:tc>
        <w:tc>
          <w:tcPr>
            <w:tcW w:w="1239" w:type="pct"/>
            <w:tcBorders>
              <w:top w:val="nil"/>
              <w:left w:val="nil"/>
              <w:bottom w:val="nil"/>
              <w:right w:val="nil"/>
            </w:tcBorders>
            <w:shd w:val="clear" w:color="auto" w:fill="FFFFFF"/>
          </w:tcPr>
          <w:p w14:paraId="5599672C" w14:textId="0C6B2C24" w:rsidR="0098085F" w:rsidRPr="0098085F" w:rsidRDefault="0098085F" w:rsidP="00360F96">
            <w:pPr>
              <w:pStyle w:val="CETBodytext"/>
              <w:ind w:right="-1"/>
              <w:jc w:val="center"/>
              <w:rPr>
                <w:rFonts w:cs="Arial"/>
                <w:i/>
                <w:iCs/>
                <w:szCs w:val="18"/>
                <w:lang w:val="en-GB"/>
              </w:rPr>
            </w:pPr>
            <w:r w:rsidRPr="0098085F">
              <w:rPr>
                <w:rFonts w:cs="Arial"/>
                <w:i/>
                <w:iCs/>
                <w:szCs w:val="18"/>
                <w:lang w:val="en-GB"/>
              </w:rPr>
              <w:t xml:space="preserve">Corynebacterium </w:t>
            </w:r>
            <w:proofErr w:type="spellStart"/>
            <w:r w:rsidRPr="0098085F">
              <w:rPr>
                <w:rFonts w:cs="Arial"/>
                <w:i/>
                <w:iCs/>
                <w:szCs w:val="18"/>
                <w:lang w:val="en-GB"/>
              </w:rPr>
              <w:t>glutamicum</w:t>
            </w:r>
            <w:proofErr w:type="spellEnd"/>
          </w:p>
        </w:tc>
        <w:tc>
          <w:tcPr>
            <w:tcW w:w="964" w:type="pct"/>
            <w:tcBorders>
              <w:top w:val="nil"/>
              <w:left w:val="nil"/>
              <w:bottom w:val="nil"/>
              <w:right w:val="nil"/>
            </w:tcBorders>
            <w:shd w:val="clear" w:color="auto" w:fill="FFFFFF"/>
          </w:tcPr>
          <w:p w14:paraId="3FF1F978" w14:textId="660FBEEB" w:rsidR="0098085F" w:rsidRDefault="00A122DB" w:rsidP="00360F96">
            <w:pPr>
              <w:pStyle w:val="CETBodytext"/>
              <w:ind w:right="-1"/>
              <w:jc w:val="center"/>
              <w:rPr>
                <w:rFonts w:cs="Arial"/>
                <w:szCs w:val="18"/>
                <w:lang w:val="en-GB"/>
              </w:rPr>
            </w:pPr>
            <w:r>
              <w:rPr>
                <w:rFonts w:cs="Arial"/>
                <w:szCs w:val="18"/>
                <w:lang w:val="en-GB"/>
              </w:rPr>
              <w:t>0-2</w:t>
            </w:r>
          </w:p>
        </w:tc>
        <w:tc>
          <w:tcPr>
            <w:tcW w:w="977" w:type="pct"/>
            <w:tcBorders>
              <w:top w:val="nil"/>
              <w:left w:val="nil"/>
              <w:bottom w:val="nil"/>
              <w:right w:val="nil"/>
            </w:tcBorders>
            <w:shd w:val="clear" w:color="auto" w:fill="FFFFFF"/>
          </w:tcPr>
          <w:p w14:paraId="279B4EB3" w14:textId="3E9580EB" w:rsidR="0098085F" w:rsidRDefault="00A122DB" w:rsidP="00360F96">
            <w:pPr>
              <w:pStyle w:val="CETBodytext"/>
              <w:ind w:right="-1"/>
              <w:jc w:val="center"/>
              <w:rPr>
                <w:rFonts w:cs="Arial"/>
                <w:szCs w:val="18"/>
                <w:lang w:val="en-GB"/>
              </w:rPr>
            </w:pPr>
            <w:r>
              <w:rPr>
                <w:rFonts w:cs="Arial"/>
                <w:szCs w:val="18"/>
                <w:lang w:val="en-GB"/>
              </w:rPr>
              <w:t xml:space="preserve">Xu </w:t>
            </w:r>
            <w:r w:rsidR="0098085F">
              <w:rPr>
                <w:rFonts w:cs="Arial"/>
                <w:szCs w:val="18"/>
                <w:lang w:val="en-GB"/>
              </w:rPr>
              <w:t>et al. (201</w:t>
            </w:r>
            <w:r>
              <w:rPr>
                <w:rFonts w:cs="Arial"/>
                <w:szCs w:val="18"/>
                <w:lang w:val="en-GB"/>
              </w:rPr>
              <w:t>5</w:t>
            </w:r>
            <w:r w:rsidR="0098085F">
              <w:rPr>
                <w:rFonts w:cs="Arial"/>
                <w:szCs w:val="18"/>
                <w:lang w:val="en-GB"/>
              </w:rPr>
              <w:t>)</w:t>
            </w:r>
          </w:p>
        </w:tc>
      </w:tr>
      <w:tr w:rsidR="0098085F" w14:paraId="16128A1D" w14:textId="77777777" w:rsidTr="008D6B9A">
        <w:trPr>
          <w:trHeight w:val="267"/>
          <w:jc w:val="center"/>
        </w:trPr>
        <w:tc>
          <w:tcPr>
            <w:tcW w:w="873" w:type="pct"/>
            <w:tcBorders>
              <w:top w:val="nil"/>
              <w:left w:val="nil"/>
              <w:bottom w:val="single" w:sz="12" w:space="0" w:color="008000"/>
              <w:right w:val="nil"/>
            </w:tcBorders>
            <w:shd w:val="clear" w:color="auto" w:fill="FFFFFF"/>
          </w:tcPr>
          <w:p w14:paraId="0FABE1A6" w14:textId="77777777" w:rsidR="0098085F" w:rsidRDefault="0098085F" w:rsidP="00360F96">
            <w:pPr>
              <w:pStyle w:val="CETBodytext"/>
              <w:ind w:right="-1"/>
              <w:jc w:val="center"/>
              <w:rPr>
                <w:rFonts w:cs="Arial"/>
                <w:szCs w:val="18"/>
                <w:lang w:val="en-GB"/>
              </w:rPr>
            </w:pPr>
          </w:p>
        </w:tc>
        <w:tc>
          <w:tcPr>
            <w:tcW w:w="947" w:type="pct"/>
            <w:tcBorders>
              <w:top w:val="nil"/>
              <w:left w:val="nil"/>
              <w:bottom w:val="single" w:sz="12" w:space="0" w:color="008000"/>
              <w:right w:val="nil"/>
            </w:tcBorders>
            <w:shd w:val="clear" w:color="auto" w:fill="FFFFFF"/>
          </w:tcPr>
          <w:p w14:paraId="4FFC61DD" w14:textId="125A0208" w:rsidR="0098085F" w:rsidRDefault="00BD676A" w:rsidP="00360F96">
            <w:pPr>
              <w:pStyle w:val="CETBodytext"/>
              <w:ind w:right="-1"/>
              <w:jc w:val="center"/>
              <w:rPr>
                <w:rFonts w:cs="Arial"/>
                <w:szCs w:val="18"/>
                <w:lang w:val="en-GB"/>
              </w:rPr>
            </w:pPr>
            <w:r>
              <w:rPr>
                <w:rFonts w:cs="Arial"/>
                <w:szCs w:val="18"/>
                <w:lang w:val="en-GB"/>
              </w:rPr>
              <w:t>S</w:t>
            </w:r>
            <w:r w:rsidR="00A122DB" w:rsidRPr="00A122DB">
              <w:rPr>
                <w:rFonts w:cs="Arial"/>
                <w:szCs w:val="18"/>
                <w:lang w:val="en-GB"/>
              </w:rPr>
              <w:t>yringaldehyde</w:t>
            </w:r>
          </w:p>
        </w:tc>
        <w:tc>
          <w:tcPr>
            <w:tcW w:w="1239" w:type="pct"/>
            <w:tcBorders>
              <w:top w:val="nil"/>
              <w:left w:val="nil"/>
              <w:bottom w:val="single" w:sz="12" w:space="0" w:color="008000"/>
              <w:right w:val="nil"/>
            </w:tcBorders>
            <w:shd w:val="clear" w:color="auto" w:fill="FFFFFF"/>
          </w:tcPr>
          <w:p w14:paraId="20433CD8" w14:textId="77777777" w:rsidR="0098085F" w:rsidRPr="0098085F" w:rsidRDefault="0098085F" w:rsidP="00360F96">
            <w:pPr>
              <w:pStyle w:val="CETBodytext"/>
              <w:ind w:right="-1"/>
              <w:jc w:val="center"/>
              <w:rPr>
                <w:rFonts w:cs="Arial"/>
                <w:i/>
                <w:iCs/>
                <w:szCs w:val="18"/>
                <w:lang w:val="en-GB"/>
              </w:rPr>
            </w:pPr>
          </w:p>
        </w:tc>
        <w:tc>
          <w:tcPr>
            <w:tcW w:w="964" w:type="pct"/>
            <w:tcBorders>
              <w:top w:val="nil"/>
              <w:left w:val="nil"/>
              <w:bottom w:val="single" w:sz="12" w:space="0" w:color="008000"/>
              <w:right w:val="nil"/>
            </w:tcBorders>
            <w:shd w:val="clear" w:color="auto" w:fill="FFFFFF"/>
          </w:tcPr>
          <w:p w14:paraId="4E81F0FA" w14:textId="437435A5" w:rsidR="0098085F" w:rsidRDefault="00A122DB" w:rsidP="00360F96">
            <w:pPr>
              <w:pStyle w:val="CETBodytext"/>
              <w:ind w:right="-1"/>
              <w:jc w:val="center"/>
              <w:rPr>
                <w:rFonts w:cs="Arial"/>
                <w:szCs w:val="18"/>
                <w:lang w:val="en-GB"/>
              </w:rPr>
            </w:pPr>
            <w:r>
              <w:rPr>
                <w:rFonts w:cs="Arial"/>
                <w:szCs w:val="18"/>
                <w:lang w:val="en-GB"/>
              </w:rPr>
              <w:t>0-2</w:t>
            </w:r>
          </w:p>
        </w:tc>
        <w:tc>
          <w:tcPr>
            <w:tcW w:w="977" w:type="pct"/>
            <w:tcBorders>
              <w:top w:val="nil"/>
              <w:left w:val="nil"/>
              <w:bottom w:val="single" w:sz="12" w:space="0" w:color="008000"/>
              <w:right w:val="nil"/>
            </w:tcBorders>
            <w:shd w:val="clear" w:color="auto" w:fill="FFFFFF"/>
          </w:tcPr>
          <w:p w14:paraId="6A067DBC" w14:textId="77777777" w:rsidR="0098085F" w:rsidRPr="00F360C8" w:rsidRDefault="0098085F" w:rsidP="00360F96">
            <w:pPr>
              <w:pStyle w:val="CETBodytext"/>
              <w:ind w:right="-1"/>
              <w:jc w:val="center"/>
              <w:rPr>
                <w:rFonts w:cs="Arial"/>
                <w:szCs w:val="18"/>
                <w:lang w:val="en-GB"/>
              </w:rPr>
            </w:pPr>
          </w:p>
        </w:tc>
      </w:tr>
    </w:tbl>
    <w:bookmarkEnd w:id="3"/>
    <w:p w14:paraId="0CC706D8" w14:textId="6131B41D" w:rsidR="00FC2853" w:rsidRDefault="00360F96" w:rsidP="003A54D6">
      <w:pPr>
        <w:pStyle w:val="CETBodytext"/>
      </w:pPr>
      <w:r>
        <w:t>Among the inhibitors, t</w:t>
      </w:r>
      <w:r w:rsidR="00A122DB">
        <w:t>he phenolic compounds</w:t>
      </w:r>
      <w:r w:rsidR="00234168">
        <w:t xml:space="preserve"> </w:t>
      </w:r>
      <w:r w:rsidR="00A122DB">
        <w:t xml:space="preserve">had a strong effect </w:t>
      </w:r>
      <w:r>
        <w:t xml:space="preserve">at low concentration (till to 2 g/l) as observed </w:t>
      </w:r>
      <w:r w:rsidR="00417B57">
        <w:t>by</w:t>
      </w:r>
      <w:r>
        <w:t xml:space="preserve"> </w:t>
      </w:r>
      <w:r w:rsidR="00A122DB">
        <w:t xml:space="preserve">Xu et al. (2015) </w:t>
      </w:r>
      <w:r>
        <w:t xml:space="preserve">for </w:t>
      </w:r>
      <w:r w:rsidR="00763612">
        <w:t xml:space="preserve">vanillin and syringaldehyde </w:t>
      </w:r>
      <w:r>
        <w:t xml:space="preserve">that </w:t>
      </w:r>
      <w:r w:rsidR="00763612">
        <w:t>totally inhibit</w:t>
      </w:r>
      <w:r w:rsidR="00417B57">
        <w:t>ed</w:t>
      </w:r>
      <w:r w:rsidR="00763612">
        <w:t xml:space="preserve"> </w:t>
      </w:r>
      <w:r w:rsidR="00234168" w:rsidRPr="00234168">
        <w:rPr>
          <w:i/>
          <w:iCs/>
        </w:rPr>
        <w:t xml:space="preserve">C. </w:t>
      </w:r>
      <w:proofErr w:type="spellStart"/>
      <w:r w:rsidR="00234168" w:rsidRPr="00234168">
        <w:rPr>
          <w:i/>
          <w:iCs/>
        </w:rPr>
        <w:t>glutamicum</w:t>
      </w:r>
      <w:proofErr w:type="spellEnd"/>
      <w:r w:rsidR="00234168">
        <w:t xml:space="preserve"> activity. Th</w:t>
      </w:r>
      <w:r w:rsidR="005D3E93">
        <w:t>ese inhibitors</w:t>
      </w:r>
      <w:r w:rsidR="00234168">
        <w:t xml:space="preserve"> </w:t>
      </w:r>
      <w:r>
        <w:t xml:space="preserve">can </w:t>
      </w:r>
      <w:r w:rsidR="00234168">
        <w:t>downregulat</w:t>
      </w:r>
      <w:r w:rsidR="005D3E93">
        <w:t>ed</w:t>
      </w:r>
      <w:r w:rsidR="00234168">
        <w:t xml:space="preserve"> some genes</w:t>
      </w:r>
      <w:r>
        <w:t xml:space="preserve"> for the expression of </w:t>
      </w:r>
      <w:r w:rsidR="00234168">
        <w:t xml:space="preserve">pyruvate carboxylase and phosphofructokinase, that had crucial </w:t>
      </w:r>
      <w:r w:rsidR="00417B57">
        <w:t>role</w:t>
      </w:r>
      <w:r w:rsidR="00234168">
        <w:t xml:space="preserve"> in pathways for sugar uptake, CO</w:t>
      </w:r>
      <w:r w:rsidR="00234168" w:rsidRPr="0064787F">
        <w:rPr>
          <w:vertAlign w:val="subscript"/>
        </w:rPr>
        <w:t>2</w:t>
      </w:r>
      <w:r w:rsidR="00234168">
        <w:t xml:space="preserve"> fixation and reducing power supply</w:t>
      </w:r>
      <w:r w:rsidR="005D3E93">
        <w:t xml:space="preserve"> (Xu et al., 2022).</w:t>
      </w:r>
      <w:r w:rsidR="00AB1636">
        <w:t xml:space="preserve"> Organic acids seemed most </w:t>
      </w:r>
      <w:r w:rsidR="0076432C">
        <w:t>tolerated</w:t>
      </w:r>
      <w:r w:rsidR="00AB1636">
        <w:t xml:space="preserve"> at </w:t>
      </w:r>
      <w:r w:rsidR="00417B57">
        <w:t xml:space="preserve">high </w:t>
      </w:r>
      <w:r w:rsidR="0076432C">
        <w:t>concentrations</w:t>
      </w:r>
      <w:r w:rsidR="00AB1636">
        <w:t xml:space="preserve"> till to 59.2 g/l for pyruvic acid and 33.7 g/l for acetic acid (Lin et al. 2008)</w:t>
      </w:r>
      <w:r w:rsidR="00417B57">
        <w:t xml:space="preserve"> than furan derivates as furfural and HMF</w:t>
      </w:r>
      <w:r w:rsidR="00AB1636">
        <w:t>.</w:t>
      </w:r>
    </w:p>
    <w:p w14:paraId="7772264F" w14:textId="2EA48ED1" w:rsidR="0067483F" w:rsidRDefault="00014A86" w:rsidP="008D6B9A">
      <w:pPr>
        <w:pStyle w:val="CETHeading1"/>
      </w:pPr>
      <w:r w:rsidRPr="005802F0">
        <w:t>Succinic acid</w:t>
      </w:r>
      <w:r>
        <w:t xml:space="preserve"> production starting from different lignocellulosic </w:t>
      </w:r>
      <w:r w:rsidR="00D671D1">
        <w:t>biomass.</w:t>
      </w:r>
    </w:p>
    <w:p w14:paraId="5AC40678" w14:textId="01875101" w:rsidR="00140928" w:rsidRDefault="0076432C" w:rsidP="00014A86">
      <w:pPr>
        <w:pStyle w:val="CETBodytext"/>
        <w:sectPr w:rsidR="00140928" w:rsidSect="004F7B54">
          <w:pgSz w:w="11906" w:h="16838" w:code="9"/>
          <w:pgMar w:top="1701" w:right="1418" w:bottom="1701" w:left="1701" w:header="1701" w:footer="0" w:gutter="0"/>
          <w:cols w:space="708"/>
          <w:formProt w:val="0"/>
          <w:titlePg/>
          <w:docGrid w:linePitch="360"/>
        </w:sectPr>
      </w:pPr>
      <w:r>
        <w:t xml:space="preserve">In table 3 </w:t>
      </w:r>
      <w:r w:rsidR="001336FA">
        <w:t xml:space="preserve">some recent works </w:t>
      </w:r>
      <w:r>
        <w:t xml:space="preserve">were reported on the production of succinic acid by using </w:t>
      </w:r>
      <w:r w:rsidR="00D671D1">
        <w:t xml:space="preserve">lignocellulosic biomass </w:t>
      </w:r>
      <w:r>
        <w:t>as sugars feedstocks</w:t>
      </w:r>
      <w:r w:rsidR="00DA02A9">
        <w:t>.</w:t>
      </w:r>
      <w:r w:rsidR="00F4448A" w:rsidRPr="00F4448A">
        <w:t xml:space="preserve"> Vallecilla-Yepez et al (2021)</w:t>
      </w:r>
      <w:r w:rsidR="00F4448A">
        <w:t xml:space="preserve"> obtained the best SA concentration equal to 27.8 g/L at a yield of 0.61 g/g by using corn stover hydrolysate after liquid hot water and enzymatic hydrolysis treatment. </w:t>
      </w:r>
      <w:r w:rsidR="00DB016A">
        <w:t xml:space="preserve">The authors highlighted that the highest SA concentration was reached under the effect of sodium acetate buffer added in control and in </w:t>
      </w:r>
      <w:r w:rsidR="00DB016A" w:rsidRPr="00DB016A">
        <w:t xml:space="preserve">corn stover hydrolysate </w:t>
      </w:r>
      <w:r w:rsidR="00DB016A">
        <w:t xml:space="preserve">medium. </w:t>
      </w:r>
    </w:p>
    <w:p w14:paraId="41796616" w14:textId="77A0401D" w:rsidR="00014A86" w:rsidRPr="00014A86" w:rsidRDefault="006E35F5" w:rsidP="00210B75">
      <w:pPr>
        <w:pStyle w:val="CETTabletitle"/>
      </w:pPr>
      <w:r>
        <w:t>Table 3:</w:t>
      </w:r>
      <w:r w:rsidR="00210B75">
        <w:t xml:space="preserve"> lignocellulosic biomass used for the production of succinic acid through fermentation process. Pretreatments before fermentation and microorganisms employed for fermentation, sugar concentrations after hydrolysis (g/L), succinic acid concentration (g/L) and yield (g/</w:t>
      </w:r>
      <w:proofErr w:type="spellStart"/>
      <w:r w:rsidR="00210B75">
        <w:t>g</w:t>
      </w:r>
      <w:r w:rsidR="00210B75" w:rsidRPr="00210B75">
        <w:rPr>
          <w:vertAlign w:val="subscript"/>
        </w:rPr>
        <w:t>biomass</w:t>
      </w:r>
      <w:proofErr w:type="spellEnd"/>
      <w:r w:rsidR="00210B75">
        <w:rPr>
          <w:vertAlign w:val="subscript"/>
        </w:rPr>
        <w:t>/sugars</w:t>
      </w:r>
      <w:r w:rsidR="00210B75">
        <w:t>) were reported. SA = succinic acid; NR = not reported</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18"/>
        <w:gridCol w:w="3442"/>
        <w:gridCol w:w="1744"/>
        <w:gridCol w:w="2448"/>
        <w:gridCol w:w="1510"/>
        <w:gridCol w:w="860"/>
        <w:gridCol w:w="1814"/>
      </w:tblGrid>
      <w:tr w:rsidR="006E35F5" w14:paraId="718635D2" w14:textId="77777777" w:rsidTr="00BE2F04">
        <w:trPr>
          <w:trHeight w:val="567"/>
        </w:trPr>
        <w:tc>
          <w:tcPr>
            <w:tcW w:w="602" w:type="pct"/>
            <w:tcBorders>
              <w:top w:val="single" w:sz="12" w:space="0" w:color="008000"/>
              <w:left w:val="nil"/>
              <w:bottom w:val="single" w:sz="6" w:space="0" w:color="008000"/>
              <w:right w:val="nil"/>
            </w:tcBorders>
            <w:shd w:val="clear" w:color="auto" w:fill="FFFFFF"/>
          </w:tcPr>
          <w:p w14:paraId="4EDA695C" w14:textId="5B3F4555" w:rsidR="00AC1711" w:rsidRDefault="00AC1711" w:rsidP="00BE2F04">
            <w:pPr>
              <w:pStyle w:val="CETBodytext"/>
              <w:spacing w:line="22" w:lineRule="atLeast"/>
              <w:jc w:val="center"/>
              <w:rPr>
                <w:lang w:val="en-GB"/>
              </w:rPr>
            </w:pPr>
            <w:r>
              <w:rPr>
                <w:lang w:val="en-GB"/>
              </w:rPr>
              <w:t>Biomass</w:t>
            </w:r>
          </w:p>
        </w:tc>
        <w:tc>
          <w:tcPr>
            <w:tcW w:w="1281" w:type="pct"/>
            <w:tcBorders>
              <w:top w:val="single" w:sz="12" w:space="0" w:color="008000"/>
              <w:left w:val="nil"/>
              <w:bottom w:val="single" w:sz="6" w:space="0" w:color="008000"/>
              <w:right w:val="nil"/>
            </w:tcBorders>
            <w:shd w:val="clear" w:color="auto" w:fill="FFFFFF"/>
          </w:tcPr>
          <w:p w14:paraId="2C08E08A" w14:textId="5EB13F23" w:rsidR="00AC1711" w:rsidRDefault="00AC1711" w:rsidP="00BE2F04">
            <w:pPr>
              <w:pStyle w:val="CETBodytext"/>
              <w:spacing w:line="22" w:lineRule="atLeast"/>
              <w:jc w:val="center"/>
              <w:rPr>
                <w:lang w:val="en-GB"/>
              </w:rPr>
            </w:pPr>
            <w:r>
              <w:rPr>
                <w:lang w:val="en-GB"/>
              </w:rPr>
              <w:t>Pretreatment</w:t>
            </w:r>
          </w:p>
        </w:tc>
        <w:tc>
          <w:tcPr>
            <w:tcW w:w="649" w:type="pct"/>
            <w:tcBorders>
              <w:top w:val="single" w:sz="12" w:space="0" w:color="008000"/>
              <w:left w:val="nil"/>
              <w:bottom w:val="single" w:sz="6" w:space="0" w:color="008000"/>
              <w:right w:val="nil"/>
            </w:tcBorders>
            <w:shd w:val="clear" w:color="auto" w:fill="FFFFFF"/>
          </w:tcPr>
          <w:p w14:paraId="6B9ADA1C" w14:textId="2211E6BF" w:rsidR="00AC1711" w:rsidRDefault="00AC1711" w:rsidP="00BE2F04">
            <w:pPr>
              <w:pStyle w:val="CETBodytext"/>
              <w:tabs>
                <w:tab w:val="clear" w:pos="7100"/>
                <w:tab w:val="left" w:pos="1050"/>
              </w:tabs>
              <w:spacing w:line="22" w:lineRule="atLeast"/>
              <w:jc w:val="center"/>
              <w:rPr>
                <w:lang w:val="en-GB"/>
              </w:rPr>
            </w:pPr>
            <w:r>
              <w:rPr>
                <w:lang w:val="en-GB"/>
              </w:rPr>
              <w:t>Microorganism</w:t>
            </w:r>
          </w:p>
        </w:tc>
        <w:tc>
          <w:tcPr>
            <w:tcW w:w="911" w:type="pct"/>
            <w:tcBorders>
              <w:top w:val="single" w:sz="12" w:space="0" w:color="008000"/>
              <w:left w:val="nil"/>
              <w:bottom w:val="single" w:sz="6" w:space="0" w:color="008000"/>
              <w:right w:val="nil"/>
            </w:tcBorders>
            <w:shd w:val="clear" w:color="auto" w:fill="FFFFFF"/>
          </w:tcPr>
          <w:p w14:paraId="68155826" w14:textId="77777777" w:rsidR="00210B75" w:rsidRDefault="00AC1711" w:rsidP="00BE2F04">
            <w:pPr>
              <w:pStyle w:val="CETBodytext"/>
              <w:spacing w:line="22" w:lineRule="atLeast"/>
              <w:jc w:val="center"/>
              <w:rPr>
                <w:lang w:val="en-GB"/>
              </w:rPr>
            </w:pPr>
            <w:r>
              <w:rPr>
                <w:lang w:val="en-GB"/>
              </w:rPr>
              <w:t xml:space="preserve">Sugars concentration </w:t>
            </w:r>
          </w:p>
          <w:p w14:paraId="28DB3521" w14:textId="0F0C5B40" w:rsidR="00AC1711" w:rsidRDefault="00AC1711" w:rsidP="00BE2F04">
            <w:pPr>
              <w:pStyle w:val="CETBodytext"/>
              <w:spacing w:line="22" w:lineRule="atLeast"/>
              <w:jc w:val="center"/>
              <w:rPr>
                <w:lang w:val="en-GB"/>
              </w:rPr>
            </w:pPr>
            <w:r>
              <w:rPr>
                <w:lang w:val="en-GB"/>
              </w:rPr>
              <w:t>(g/L)</w:t>
            </w:r>
          </w:p>
        </w:tc>
        <w:tc>
          <w:tcPr>
            <w:tcW w:w="562" w:type="pct"/>
            <w:tcBorders>
              <w:top w:val="single" w:sz="12" w:space="0" w:color="008000"/>
              <w:left w:val="nil"/>
              <w:bottom w:val="single" w:sz="6" w:space="0" w:color="008000"/>
              <w:right w:val="nil"/>
            </w:tcBorders>
            <w:shd w:val="clear" w:color="auto" w:fill="FFFFFF"/>
          </w:tcPr>
          <w:p w14:paraId="710811A2" w14:textId="1969714B" w:rsidR="00AC1711" w:rsidRDefault="00AC1711" w:rsidP="00BE2F04">
            <w:pPr>
              <w:pStyle w:val="CETBodytext"/>
              <w:spacing w:line="22" w:lineRule="atLeast"/>
              <w:jc w:val="center"/>
              <w:rPr>
                <w:lang w:val="en-GB"/>
              </w:rPr>
            </w:pPr>
            <w:r>
              <w:rPr>
                <w:lang w:val="en-GB"/>
              </w:rPr>
              <w:t>SA concentration (g/L)</w:t>
            </w:r>
          </w:p>
        </w:tc>
        <w:tc>
          <w:tcPr>
            <w:tcW w:w="320" w:type="pct"/>
            <w:tcBorders>
              <w:top w:val="single" w:sz="12" w:space="0" w:color="008000"/>
              <w:left w:val="nil"/>
              <w:bottom w:val="single" w:sz="6" w:space="0" w:color="008000"/>
              <w:right w:val="nil"/>
            </w:tcBorders>
            <w:shd w:val="clear" w:color="auto" w:fill="FFFFFF"/>
          </w:tcPr>
          <w:p w14:paraId="2AFA1B9A" w14:textId="3FA14F47" w:rsidR="00AC1711" w:rsidRDefault="00AC1711" w:rsidP="00BE2F04">
            <w:pPr>
              <w:pStyle w:val="CETBodytext"/>
              <w:tabs>
                <w:tab w:val="left" w:pos="1083"/>
                <w:tab w:val="center" w:pos="2768"/>
              </w:tabs>
              <w:spacing w:line="22" w:lineRule="atLeast"/>
              <w:jc w:val="center"/>
              <w:rPr>
                <w:lang w:val="en-GB"/>
              </w:rPr>
            </w:pPr>
            <w:r>
              <w:rPr>
                <w:lang w:val="en-GB"/>
              </w:rPr>
              <w:t>SA yield (g/g)</w:t>
            </w:r>
          </w:p>
        </w:tc>
        <w:tc>
          <w:tcPr>
            <w:tcW w:w="675" w:type="pct"/>
            <w:tcBorders>
              <w:top w:val="single" w:sz="12" w:space="0" w:color="008000"/>
              <w:left w:val="nil"/>
              <w:bottom w:val="single" w:sz="6" w:space="0" w:color="008000"/>
              <w:right w:val="nil"/>
            </w:tcBorders>
            <w:shd w:val="clear" w:color="auto" w:fill="FFFFFF"/>
          </w:tcPr>
          <w:p w14:paraId="6E9BFEAD" w14:textId="6D4C877D" w:rsidR="00AC1711" w:rsidRDefault="00AC1711" w:rsidP="00BE2F04">
            <w:pPr>
              <w:pStyle w:val="CETBodytext"/>
              <w:tabs>
                <w:tab w:val="left" w:pos="1083"/>
                <w:tab w:val="center" w:pos="2768"/>
              </w:tabs>
              <w:spacing w:line="22" w:lineRule="atLeast"/>
              <w:jc w:val="center"/>
              <w:rPr>
                <w:lang w:val="en-GB"/>
              </w:rPr>
            </w:pPr>
            <w:r>
              <w:rPr>
                <w:lang w:val="en-GB"/>
              </w:rPr>
              <w:t>Reference</w:t>
            </w:r>
          </w:p>
        </w:tc>
      </w:tr>
      <w:tr w:rsidR="00271055" w14:paraId="7DCA3198" w14:textId="77777777" w:rsidTr="009A4F4A">
        <w:trPr>
          <w:trHeight w:val="567"/>
        </w:trPr>
        <w:tc>
          <w:tcPr>
            <w:tcW w:w="602" w:type="pct"/>
            <w:tcBorders>
              <w:top w:val="nil"/>
              <w:left w:val="nil"/>
              <w:right w:val="nil"/>
            </w:tcBorders>
            <w:shd w:val="clear" w:color="auto" w:fill="FFFFFF"/>
          </w:tcPr>
          <w:p w14:paraId="44CBA69C" w14:textId="158A4260" w:rsidR="00271055" w:rsidRDefault="00271055" w:rsidP="00BE2F04">
            <w:pPr>
              <w:pStyle w:val="CETBodytext"/>
              <w:spacing w:line="22" w:lineRule="atLeast"/>
              <w:ind w:right="-1"/>
              <w:jc w:val="center"/>
              <w:rPr>
                <w:rFonts w:cs="Arial"/>
                <w:szCs w:val="18"/>
                <w:lang w:val="en-GB"/>
              </w:rPr>
            </w:pPr>
            <w:r>
              <w:rPr>
                <w:rFonts w:cs="Arial"/>
                <w:szCs w:val="18"/>
                <w:lang w:val="en-GB"/>
              </w:rPr>
              <w:t>Oil palm trunk</w:t>
            </w:r>
          </w:p>
        </w:tc>
        <w:tc>
          <w:tcPr>
            <w:tcW w:w="1281" w:type="pct"/>
            <w:vMerge w:val="restart"/>
            <w:tcBorders>
              <w:top w:val="nil"/>
              <w:left w:val="nil"/>
              <w:right w:val="nil"/>
            </w:tcBorders>
            <w:shd w:val="clear" w:color="auto" w:fill="FFFFFF"/>
            <w:vAlign w:val="center"/>
          </w:tcPr>
          <w:p w14:paraId="7011AD0C" w14:textId="3968E96E" w:rsidR="00271055" w:rsidRDefault="00271055" w:rsidP="009A4F4A">
            <w:pPr>
              <w:pStyle w:val="CETBodytext"/>
              <w:spacing w:line="22" w:lineRule="atLeast"/>
              <w:ind w:right="-1"/>
              <w:jc w:val="center"/>
              <w:rPr>
                <w:rFonts w:cs="Arial"/>
                <w:szCs w:val="18"/>
                <w:lang w:val="en-GB"/>
              </w:rPr>
            </w:pPr>
            <w:r>
              <w:rPr>
                <w:rFonts w:cs="Arial"/>
                <w:szCs w:val="18"/>
                <w:lang w:val="en-GB"/>
              </w:rPr>
              <w:t>C</w:t>
            </w:r>
            <w:r w:rsidRPr="00271055">
              <w:rPr>
                <w:rFonts w:cs="Arial"/>
                <w:szCs w:val="18"/>
                <w:lang w:val="en-GB"/>
              </w:rPr>
              <w:t>arboxylic</w:t>
            </w:r>
            <w:r>
              <w:rPr>
                <w:rFonts w:cs="Arial"/>
                <w:szCs w:val="18"/>
                <w:lang w:val="en-GB"/>
              </w:rPr>
              <w:t xml:space="preserve"> acid (formic, oxalic, citric acids) and Sulphuric acid</w:t>
            </w:r>
          </w:p>
          <w:p w14:paraId="53C3891C" w14:textId="08CFE513" w:rsidR="00271055" w:rsidRDefault="00271055" w:rsidP="009A4F4A">
            <w:pPr>
              <w:pStyle w:val="CETBodytext"/>
              <w:spacing w:line="22" w:lineRule="atLeast"/>
              <w:ind w:right="-1"/>
              <w:jc w:val="center"/>
              <w:rPr>
                <w:rFonts w:cs="Arial"/>
                <w:szCs w:val="18"/>
                <w:lang w:val="en-GB"/>
              </w:rPr>
            </w:pPr>
          </w:p>
        </w:tc>
        <w:tc>
          <w:tcPr>
            <w:tcW w:w="649" w:type="pct"/>
            <w:tcBorders>
              <w:top w:val="nil"/>
              <w:left w:val="nil"/>
              <w:bottom w:val="nil"/>
              <w:right w:val="nil"/>
            </w:tcBorders>
            <w:shd w:val="clear" w:color="auto" w:fill="FFFFFF"/>
          </w:tcPr>
          <w:p w14:paraId="0F6FDA3B" w14:textId="77777777" w:rsidR="00271055" w:rsidRPr="0098085F" w:rsidRDefault="00271055" w:rsidP="00BE2F04">
            <w:pPr>
              <w:pStyle w:val="CETBodytext"/>
              <w:spacing w:line="22" w:lineRule="atLeast"/>
              <w:ind w:right="-1"/>
              <w:jc w:val="center"/>
              <w:rPr>
                <w:rFonts w:cs="Arial"/>
                <w:i/>
                <w:iCs/>
                <w:szCs w:val="18"/>
                <w:lang w:val="en-GB"/>
              </w:rPr>
            </w:pPr>
            <w:r w:rsidRPr="0098085F">
              <w:rPr>
                <w:rFonts w:cs="Arial"/>
                <w:i/>
                <w:iCs/>
                <w:szCs w:val="18"/>
                <w:lang w:val="en-GB"/>
              </w:rPr>
              <w:t>A. succinogenes</w:t>
            </w:r>
          </w:p>
        </w:tc>
        <w:tc>
          <w:tcPr>
            <w:tcW w:w="911" w:type="pct"/>
            <w:tcBorders>
              <w:top w:val="nil"/>
              <w:left w:val="nil"/>
              <w:bottom w:val="nil"/>
              <w:right w:val="nil"/>
            </w:tcBorders>
            <w:shd w:val="clear" w:color="auto" w:fill="FFFFFF"/>
          </w:tcPr>
          <w:p w14:paraId="07D82BA7" w14:textId="38A28067" w:rsidR="00271055" w:rsidRDefault="00271055" w:rsidP="00BE2F04">
            <w:pPr>
              <w:pStyle w:val="CETBodytext"/>
              <w:spacing w:line="22" w:lineRule="atLeast"/>
              <w:ind w:right="-1"/>
              <w:jc w:val="center"/>
              <w:rPr>
                <w:rFonts w:cs="Arial"/>
                <w:szCs w:val="18"/>
                <w:lang w:val="en-GB"/>
              </w:rPr>
            </w:pPr>
            <w:r>
              <w:rPr>
                <w:rFonts w:cs="Arial"/>
                <w:szCs w:val="18"/>
                <w:lang w:val="en-GB"/>
              </w:rPr>
              <w:t>33.6 (total sugars)</w:t>
            </w:r>
          </w:p>
        </w:tc>
        <w:tc>
          <w:tcPr>
            <w:tcW w:w="562" w:type="pct"/>
            <w:tcBorders>
              <w:top w:val="nil"/>
              <w:left w:val="nil"/>
              <w:bottom w:val="nil"/>
              <w:right w:val="nil"/>
            </w:tcBorders>
            <w:shd w:val="clear" w:color="auto" w:fill="FFFFFF"/>
          </w:tcPr>
          <w:p w14:paraId="5F62B8BC" w14:textId="40AD3AC2" w:rsidR="00271055" w:rsidRDefault="00271055" w:rsidP="00414A95">
            <w:pPr>
              <w:pStyle w:val="CETBodytext"/>
              <w:spacing w:line="22" w:lineRule="atLeast"/>
              <w:ind w:right="-1"/>
              <w:jc w:val="center"/>
              <w:rPr>
                <w:rFonts w:cs="Arial"/>
                <w:szCs w:val="18"/>
                <w:lang w:val="en-GB"/>
              </w:rPr>
            </w:pPr>
            <w:r>
              <w:rPr>
                <w:rFonts w:cs="Arial"/>
                <w:szCs w:val="18"/>
                <w:lang w:val="en-GB"/>
              </w:rPr>
              <w:t>2.5</w:t>
            </w:r>
          </w:p>
        </w:tc>
        <w:tc>
          <w:tcPr>
            <w:tcW w:w="320" w:type="pct"/>
            <w:tcBorders>
              <w:top w:val="nil"/>
              <w:left w:val="nil"/>
              <w:bottom w:val="nil"/>
              <w:right w:val="nil"/>
            </w:tcBorders>
            <w:shd w:val="clear" w:color="auto" w:fill="FFFFFF"/>
          </w:tcPr>
          <w:p w14:paraId="52DFDD48" w14:textId="1BB34327" w:rsidR="00271055" w:rsidRDefault="00271055" w:rsidP="00BE2F04">
            <w:pPr>
              <w:pStyle w:val="CETBodytext"/>
              <w:spacing w:line="22" w:lineRule="atLeast"/>
              <w:ind w:right="-1"/>
              <w:jc w:val="center"/>
              <w:rPr>
                <w:rFonts w:cs="Arial"/>
                <w:szCs w:val="18"/>
                <w:lang w:val="en-GB"/>
              </w:rPr>
            </w:pPr>
            <w:r>
              <w:rPr>
                <w:rFonts w:cs="Arial"/>
                <w:szCs w:val="18"/>
                <w:lang w:val="en-GB"/>
              </w:rPr>
              <w:t>0.13</w:t>
            </w:r>
          </w:p>
        </w:tc>
        <w:tc>
          <w:tcPr>
            <w:tcW w:w="675" w:type="pct"/>
            <w:tcBorders>
              <w:top w:val="nil"/>
              <w:left w:val="nil"/>
              <w:bottom w:val="nil"/>
              <w:right w:val="nil"/>
            </w:tcBorders>
            <w:shd w:val="clear" w:color="auto" w:fill="FFFFFF"/>
          </w:tcPr>
          <w:p w14:paraId="7E00BFC7" w14:textId="2401D62D" w:rsidR="00271055" w:rsidRDefault="00271055" w:rsidP="00BE2F04">
            <w:pPr>
              <w:pStyle w:val="CETBodytext"/>
              <w:spacing w:line="22" w:lineRule="atLeast"/>
              <w:ind w:right="-1"/>
              <w:jc w:val="center"/>
              <w:rPr>
                <w:rFonts w:cs="Arial"/>
                <w:szCs w:val="18"/>
                <w:lang w:val="en-GB"/>
              </w:rPr>
            </w:pPr>
            <w:r>
              <w:rPr>
                <w:rFonts w:cs="Arial"/>
                <w:szCs w:val="18"/>
                <w:lang w:val="en-GB"/>
              </w:rPr>
              <w:t>Bukhari et al. (2020)</w:t>
            </w:r>
          </w:p>
        </w:tc>
      </w:tr>
      <w:tr w:rsidR="00271055" w14:paraId="0DD483E5" w14:textId="77777777" w:rsidTr="005F629F">
        <w:trPr>
          <w:trHeight w:val="567"/>
        </w:trPr>
        <w:tc>
          <w:tcPr>
            <w:tcW w:w="602" w:type="pct"/>
            <w:tcBorders>
              <w:left w:val="nil"/>
              <w:right w:val="nil"/>
            </w:tcBorders>
            <w:shd w:val="clear" w:color="auto" w:fill="FFFFFF"/>
          </w:tcPr>
          <w:p w14:paraId="50DDA19C" w14:textId="0CC811A3" w:rsidR="00271055" w:rsidRDefault="00271055" w:rsidP="00BE2F04">
            <w:pPr>
              <w:pStyle w:val="CETBodytext"/>
              <w:spacing w:line="22" w:lineRule="atLeast"/>
              <w:ind w:right="-1"/>
              <w:jc w:val="center"/>
              <w:rPr>
                <w:rFonts w:cs="Arial"/>
                <w:szCs w:val="18"/>
                <w:lang w:val="en-GB"/>
              </w:rPr>
            </w:pPr>
            <w:r>
              <w:rPr>
                <w:rFonts w:cs="Arial"/>
                <w:szCs w:val="18"/>
                <w:lang w:val="en-GB"/>
              </w:rPr>
              <w:t>Oil palm trunk</w:t>
            </w:r>
          </w:p>
        </w:tc>
        <w:tc>
          <w:tcPr>
            <w:tcW w:w="1281" w:type="pct"/>
            <w:vMerge/>
            <w:tcBorders>
              <w:left w:val="nil"/>
              <w:bottom w:val="nil"/>
              <w:right w:val="nil"/>
            </w:tcBorders>
            <w:shd w:val="clear" w:color="auto" w:fill="FFFFFF"/>
          </w:tcPr>
          <w:p w14:paraId="618DAE38" w14:textId="5DDC861B" w:rsidR="00271055" w:rsidRDefault="00271055" w:rsidP="00BE2F04">
            <w:pPr>
              <w:pStyle w:val="CETBodytext"/>
              <w:spacing w:line="22" w:lineRule="atLeast"/>
              <w:ind w:right="-1"/>
              <w:jc w:val="center"/>
              <w:rPr>
                <w:rFonts w:cs="Arial"/>
                <w:szCs w:val="18"/>
                <w:lang w:val="en-GB"/>
              </w:rPr>
            </w:pPr>
          </w:p>
        </w:tc>
        <w:tc>
          <w:tcPr>
            <w:tcW w:w="649" w:type="pct"/>
            <w:tcBorders>
              <w:top w:val="nil"/>
              <w:left w:val="nil"/>
              <w:bottom w:val="nil"/>
              <w:right w:val="nil"/>
            </w:tcBorders>
            <w:shd w:val="clear" w:color="auto" w:fill="FFFFFF"/>
          </w:tcPr>
          <w:p w14:paraId="13617E4D" w14:textId="07F57935" w:rsidR="00271055" w:rsidRDefault="00271055" w:rsidP="00BE2F04">
            <w:pPr>
              <w:pStyle w:val="CETBodytext"/>
              <w:spacing w:line="22" w:lineRule="atLeast"/>
              <w:ind w:right="-1"/>
              <w:jc w:val="center"/>
              <w:rPr>
                <w:rFonts w:cs="Arial"/>
                <w:szCs w:val="18"/>
                <w:lang w:val="en-GB"/>
              </w:rPr>
            </w:pPr>
            <w:r>
              <w:rPr>
                <w:rFonts w:cs="Arial"/>
                <w:szCs w:val="18"/>
                <w:lang w:val="en-GB"/>
              </w:rPr>
              <w:t>A. succinogenes</w:t>
            </w:r>
          </w:p>
        </w:tc>
        <w:tc>
          <w:tcPr>
            <w:tcW w:w="911" w:type="pct"/>
            <w:tcBorders>
              <w:top w:val="nil"/>
              <w:left w:val="nil"/>
              <w:bottom w:val="nil"/>
              <w:right w:val="nil"/>
            </w:tcBorders>
            <w:shd w:val="clear" w:color="auto" w:fill="FFFFFF"/>
          </w:tcPr>
          <w:p w14:paraId="6543847A" w14:textId="3CDC1782" w:rsidR="00271055" w:rsidRDefault="00271055" w:rsidP="00BE2F04">
            <w:pPr>
              <w:pStyle w:val="CETBodytext"/>
              <w:spacing w:line="22" w:lineRule="atLeast"/>
              <w:ind w:right="-1"/>
              <w:jc w:val="center"/>
              <w:rPr>
                <w:rFonts w:cs="Arial"/>
                <w:szCs w:val="18"/>
                <w:lang w:val="en-GB"/>
              </w:rPr>
            </w:pPr>
            <w:r>
              <w:rPr>
                <w:rFonts w:cs="Arial"/>
                <w:szCs w:val="18"/>
                <w:lang w:val="en-GB"/>
              </w:rPr>
              <w:t>44.38 (total sugars)</w:t>
            </w:r>
          </w:p>
        </w:tc>
        <w:tc>
          <w:tcPr>
            <w:tcW w:w="562" w:type="pct"/>
            <w:tcBorders>
              <w:top w:val="nil"/>
              <w:left w:val="nil"/>
              <w:bottom w:val="nil"/>
              <w:right w:val="nil"/>
            </w:tcBorders>
            <w:shd w:val="clear" w:color="auto" w:fill="FFFFFF"/>
          </w:tcPr>
          <w:p w14:paraId="1E125812" w14:textId="50B3FF24" w:rsidR="00271055" w:rsidRDefault="00414A95" w:rsidP="00BE2F04">
            <w:pPr>
              <w:pStyle w:val="CETBodytext"/>
              <w:spacing w:line="22" w:lineRule="atLeast"/>
              <w:ind w:right="-1"/>
              <w:jc w:val="center"/>
              <w:rPr>
                <w:rFonts w:cs="Arial"/>
                <w:szCs w:val="18"/>
                <w:lang w:val="en-GB"/>
              </w:rPr>
            </w:pPr>
            <w:r>
              <w:rPr>
                <w:rFonts w:cs="Arial"/>
                <w:szCs w:val="18"/>
                <w:lang w:val="en-GB"/>
              </w:rPr>
              <w:t>10.6</w:t>
            </w:r>
          </w:p>
        </w:tc>
        <w:tc>
          <w:tcPr>
            <w:tcW w:w="320" w:type="pct"/>
            <w:tcBorders>
              <w:top w:val="nil"/>
              <w:left w:val="nil"/>
              <w:bottom w:val="nil"/>
              <w:right w:val="nil"/>
            </w:tcBorders>
            <w:shd w:val="clear" w:color="auto" w:fill="FFFFFF"/>
          </w:tcPr>
          <w:p w14:paraId="303F006E" w14:textId="5BDF63BB" w:rsidR="00271055" w:rsidRDefault="00271055" w:rsidP="00BE2F04">
            <w:pPr>
              <w:pStyle w:val="CETBodytext"/>
              <w:spacing w:line="22" w:lineRule="atLeast"/>
              <w:ind w:right="-1"/>
              <w:jc w:val="center"/>
              <w:rPr>
                <w:rFonts w:cs="Arial"/>
                <w:szCs w:val="18"/>
                <w:lang w:val="en-GB"/>
              </w:rPr>
            </w:pPr>
            <w:r>
              <w:rPr>
                <w:rFonts w:cs="Arial"/>
                <w:szCs w:val="18"/>
                <w:lang w:val="en-GB"/>
              </w:rPr>
              <w:t>0.41</w:t>
            </w:r>
          </w:p>
        </w:tc>
        <w:tc>
          <w:tcPr>
            <w:tcW w:w="675" w:type="pct"/>
            <w:tcBorders>
              <w:top w:val="nil"/>
              <w:left w:val="nil"/>
              <w:bottom w:val="nil"/>
              <w:right w:val="nil"/>
            </w:tcBorders>
            <w:shd w:val="clear" w:color="auto" w:fill="FFFFFF"/>
          </w:tcPr>
          <w:p w14:paraId="41525004" w14:textId="2AE4A952" w:rsidR="00271055" w:rsidRDefault="00271055" w:rsidP="00BE2F04">
            <w:pPr>
              <w:pStyle w:val="CETBodytext"/>
              <w:spacing w:line="22" w:lineRule="atLeast"/>
              <w:ind w:right="-1"/>
              <w:jc w:val="center"/>
              <w:rPr>
                <w:rFonts w:cs="Arial"/>
                <w:szCs w:val="18"/>
                <w:lang w:val="en-GB"/>
              </w:rPr>
            </w:pPr>
            <w:r w:rsidRPr="00074280">
              <w:rPr>
                <w:rFonts w:cs="Arial"/>
                <w:szCs w:val="18"/>
                <w:lang w:val="en-GB"/>
              </w:rPr>
              <w:t>Bukhari et al. (2020)</w:t>
            </w:r>
          </w:p>
        </w:tc>
      </w:tr>
      <w:tr w:rsidR="006E35F5" w:rsidRPr="00074280" w14:paraId="02E0ABAE" w14:textId="77777777" w:rsidTr="00BE2F04">
        <w:trPr>
          <w:trHeight w:val="567"/>
        </w:trPr>
        <w:tc>
          <w:tcPr>
            <w:tcW w:w="602" w:type="pct"/>
            <w:tcBorders>
              <w:left w:val="nil"/>
              <w:bottom w:val="nil"/>
              <w:right w:val="nil"/>
            </w:tcBorders>
            <w:shd w:val="clear" w:color="auto" w:fill="FFFFFF"/>
          </w:tcPr>
          <w:p w14:paraId="2CD4A4E3" w14:textId="7C627951" w:rsidR="00074280" w:rsidRPr="00F360C8" w:rsidRDefault="00074280" w:rsidP="00BE2F04">
            <w:pPr>
              <w:pStyle w:val="CETBodytext"/>
              <w:spacing w:line="22" w:lineRule="atLeast"/>
              <w:ind w:right="-1"/>
              <w:jc w:val="center"/>
              <w:rPr>
                <w:rFonts w:cs="Arial"/>
                <w:szCs w:val="18"/>
                <w:lang w:val="en-GB"/>
              </w:rPr>
            </w:pPr>
            <w:r>
              <w:rPr>
                <w:rFonts w:cs="Arial"/>
                <w:szCs w:val="18"/>
                <w:lang w:val="en-GB"/>
              </w:rPr>
              <w:t>Sweet sorghum bagasse</w:t>
            </w:r>
          </w:p>
        </w:tc>
        <w:tc>
          <w:tcPr>
            <w:tcW w:w="1281" w:type="pct"/>
            <w:tcBorders>
              <w:top w:val="nil"/>
              <w:left w:val="nil"/>
              <w:bottom w:val="nil"/>
              <w:right w:val="nil"/>
            </w:tcBorders>
            <w:shd w:val="clear" w:color="auto" w:fill="FFFFFF"/>
          </w:tcPr>
          <w:p w14:paraId="74C650E2" w14:textId="00FA5E4A" w:rsidR="00074280" w:rsidRDefault="00074280" w:rsidP="00BE2F04">
            <w:pPr>
              <w:pStyle w:val="CETBodytext"/>
              <w:spacing w:line="22" w:lineRule="atLeast"/>
              <w:ind w:right="-1"/>
              <w:jc w:val="center"/>
              <w:rPr>
                <w:rFonts w:cs="Arial"/>
                <w:szCs w:val="18"/>
                <w:lang w:val="en-GB"/>
              </w:rPr>
            </w:pPr>
            <w:r>
              <w:rPr>
                <w:rFonts w:cs="Arial"/>
                <w:szCs w:val="18"/>
                <w:lang w:val="en-GB"/>
              </w:rPr>
              <w:t>Phosphoric acid</w:t>
            </w:r>
            <w:r w:rsidR="00271055">
              <w:rPr>
                <w:rFonts w:cs="Arial"/>
                <w:szCs w:val="18"/>
                <w:lang w:val="en-GB"/>
              </w:rPr>
              <w:t xml:space="preserve"> (5–99°C)</w:t>
            </w:r>
          </w:p>
        </w:tc>
        <w:tc>
          <w:tcPr>
            <w:tcW w:w="649" w:type="pct"/>
            <w:tcBorders>
              <w:top w:val="nil"/>
              <w:left w:val="nil"/>
              <w:bottom w:val="nil"/>
              <w:right w:val="nil"/>
            </w:tcBorders>
            <w:shd w:val="clear" w:color="auto" w:fill="FFFFFF"/>
          </w:tcPr>
          <w:p w14:paraId="7719E5AF" w14:textId="25DF7FE9" w:rsidR="00074280" w:rsidRDefault="00074280" w:rsidP="00BE2F04">
            <w:pPr>
              <w:pStyle w:val="CETBodytext"/>
              <w:spacing w:line="22" w:lineRule="atLeast"/>
              <w:ind w:right="-1"/>
              <w:jc w:val="center"/>
              <w:rPr>
                <w:rFonts w:cs="Arial"/>
                <w:szCs w:val="18"/>
                <w:lang w:val="en-GB"/>
              </w:rPr>
            </w:pPr>
            <w:r>
              <w:rPr>
                <w:rFonts w:cs="Arial"/>
                <w:szCs w:val="18"/>
                <w:lang w:val="en-GB"/>
              </w:rPr>
              <w:t>A. succinogenes</w:t>
            </w:r>
          </w:p>
        </w:tc>
        <w:tc>
          <w:tcPr>
            <w:tcW w:w="911" w:type="pct"/>
            <w:tcBorders>
              <w:top w:val="nil"/>
              <w:left w:val="nil"/>
              <w:bottom w:val="nil"/>
              <w:right w:val="nil"/>
            </w:tcBorders>
            <w:shd w:val="clear" w:color="auto" w:fill="FFFFFF"/>
          </w:tcPr>
          <w:p w14:paraId="6C496487" w14:textId="50349936" w:rsidR="00074280" w:rsidRPr="00074280" w:rsidRDefault="00074280" w:rsidP="00BE2F04">
            <w:pPr>
              <w:pStyle w:val="CETBodytext"/>
              <w:spacing w:line="22" w:lineRule="atLeast"/>
              <w:ind w:right="-1"/>
              <w:jc w:val="center"/>
              <w:rPr>
                <w:rFonts w:cs="Arial"/>
                <w:szCs w:val="18"/>
              </w:rPr>
            </w:pPr>
            <w:r w:rsidRPr="00074280">
              <w:rPr>
                <w:rFonts w:cs="Arial"/>
                <w:szCs w:val="18"/>
              </w:rPr>
              <w:t>32.75 (g x 100 g of bioma</w:t>
            </w:r>
            <w:r>
              <w:rPr>
                <w:rFonts w:cs="Arial"/>
                <w:szCs w:val="18"/>
              </w:rPr>
              <w:t>ss) (glucose)</w:t>
            </w:r>
          </w:p>
        </w:tc>
        <w:tc>
          <w:tcPr>
            <w:tcW w:w="562" w:type="pct"/>
            <w:tcBorders>
              <w:top w:val="nil"/>
              <w:left w:val="nil"/>
              <w:bottom w:val="nil"/>
              <w:right w:val="nil"/>
            </w:tcBorders>
            <w:shd w:val="clear" w:color="auto" w:fill="FFFFFF"/>
          </w:tcPr>
          <w:p w14:paraId="0A5ED7A7" w14:textId="57D4F144" w:rsidR="00074280" w:rsidRPr="00074280" w:rsidRDefault="00074280" w:rsidP="00BE2F04">
            <w:pPr>
              <w:pStyle w:val="CETBodytext"/>
              <w:spacing w:line="22" w:lineRule="atLeast"/>
              <w:ind w:right="-1"/>
              <w:jc w:val="center"/>
              <w:rPr>
                <w:rFonts w:cs="Arial"/>
                <w:szCs w:val="18"/>
              </w:rPr>
            </w:pPr>
            <w:r>
              <w:rPr>
                <w:rFonts w:cs="Arial"/>
                <w:szCs w:val="18"/>
              </w:rPr>
              <w:t>17.8</w:t>
            </w:r>
          </w:p>
        </w:tc>
        <w:tc>
          <w:tcPr>
            <w:tcW w:w="320" w:type="pct"/>
            <w:tcBorders>
              <w:top w:val="nil"/>
              <w:left w:val="nil"/>
              <w:bottom w:val="nil"/>
              <w:right w:val="nil"/>
            </w:tcBorders>
            <w:shd w:val="clear" w:color="auto" w:fill="FFFFFF"/>
          </w:tcPr>
          <w:p w14:paraId="328F7AAA" w14:textId="5DE1E4ED" w:rsidR="00074280" w:rsidRPr="00074280" w:rsidRDefault="00074280" w:rsidP="00BE2F04">
            <w:pPr>
              <w:pStyle w:val="CETBodytext"/>
              <w:spacing w:line="22" w:lineRule="atLeast"/>
              <w:ind w:right="-1"/>
              <w:jc w:val="center"/>
              <w:rPr>
                <w:rFonts w:cs="Arial"/>
                <w:szCs w:val="18"/>
              </w:rPr>
            </w:pPr>
            <w:r>
              <w:rPr>
                <w:rFonts w:cs="Arial"/>
                <w:szCs w:val="18"/>
              </w:rPr>
              <w:t>0.56</w:t>
            </w:r>
          </w:p>
        </w:tc>
        <w:tc>
          <w:tcPr>
            <w:tcW w:w="675" w:type="pct"/>
            <w:tcBorders>
              <w:top w:val="nil"/>
              <w:left w:val="nil"/>
              <w:bottom w:val="nil"/>
              <w:right w:val="nil"/>
            </w:tcBorders>
            <w:shd w:val="clear" w:color="auto" w:fill="FFFFFF"/>
          </w:tcPr>
          <w:p w14:paraId="46B0ACC4" w14:textId="63E48E24" w:rsidR="00074280" w:rsidRPr="00074280" w:rsidRDefault="00074280" w:rsidP="00BE2F04">
            <w:pPr>
              <w:pStyle w:val="CETBodytext"/>
              <w:spacing w:line="22" w:lineRule="atLeast"/>
              <w:ind w:right="-1"/>
              <w:jc w:val="center"/>
              <w:rPr>
                <w:rFonts w:cs="Arial"/>
                <w:szCs w:val="18"/>
              </w:rPr>
            </w:pPr>
            <w:r>
              <w:rPr>
                <w:rFonts w:cs="Arial"/>
                <w:szCs w:val="18"/>
              </w:rPr>
              <w:t>Lo et al. (2020)</w:t>
            </w:r>
          </w:p>
        </w:tc>
      </w:tr>
      <w:tr w:rsidR="00210B75" w:rsidRPr="00074280" w14:paraId="57EB3467" w14:textId="77777777" w:rsidTr="00BE2F04">
        <w:trPr>
          <w:trHeight w:val="567"/>
        </w:trPr>
        <w:tc>
          <w:tcPr>
            <w:tcW w:w="602" w:type="pct"/>
            <w:tcBorders>
              <w:top w:val="nil"/>
              <w:left w:val="nil"/>
              <w:bottom w:val="nil"/>
              <w:right w:val="nil"/>
            </w:tcBorders>
            <w:shd w:val="clear" w:color="auto" w:fill="FFFFFF"/>
          </w:tcPr>
          <w:p w14:paraId="03B329ED" w14:textId="4385483D" w:rsidR="00AC1711" w:rsidRPr="00074280" w:rsidRDefault="00074280" w:rsidP="00BE2F04">
            <w:pPr>
              <w:pStyle w:val="CETBodytext"/>
              <w:spacing w:line="22" w:lineRule="atLeast"/>
              <w:ind w:right="-1"/>
              <w:jc w:val="center"/>
              <w:rPr>
                <w:rFonts w:cs="Arial"/>
                <w:szCs w:val="18"/>
              </w:rPr>
            </w:pPr>
            <w:r>
              <w:rPr>
                <w:rFonts w:cs="Arial"/>
                <w:szCs w:val="18"/>
              </w:rPr>
              <w:t>Corn fiber</w:t>
            </w:r>
          </w:p>
        </w:tc>
        <w:tc>
          <w:tcPr>
            <w:tcW w:w="1281" w:type="pct"/>
            <w:tcBorders>
              <w:top w:val="nil"/>
              <w:left w:val="nil"/>
              <w:bottom w:val="nil"/>
              <w:right w:val="nil"/>
            </w:tcBorders>
            <w:shd w:val="clear" w:color="auto" w:fill="FFFFFF"/>
          </w:tcPr>
          <w:p w14:paraId="0B5C0905" w14:textId="02CDBFDC" w:rsidR="00AC1711" w:rsidRPr="00074280" w:rsidRDefault="00074280" w:rsidP="00BE2F04">
            <w:pPr>
              <w:pStyle w:val="CETBodytext"/>
              <w:spacing w:line="22" w:lineRule="atLeast"/>
              <w:ind w:right="-1"/>
              <w:jc w:val="center"/>
              <w:rPr>
                <w:rFonts w:cs="Arial"/>
                <w:szCs w:val="18"/>
              </w:rPr>
            </w:pPr>
            <w:r>
              <w:rPr>
                <w:rFonts w:cs="Arial"/>
                <w:szCs w:val="18"/>
              </w:rPr>
              <w:t>Liquid hot water</w:t>
            </w:r>
          </w:p>
        </w:tc>
        <w:tc>
          <w:tcPr>
            <w:tcW w:w="649" w:type="pct"/>
            <w:tcBorders>
              <w:top w:val="nil"/>
              <w:left w:val="nil"/>
              <w:bottom w:val="nil"/>
              <w:right w:val="nil"/>
            </w:tcBorders>
            <w:shd w:val="clear" w:color="auto" w:fill="FFFFFF"/>
          </w:tcPr>
          <w:p w14:paraId="64D2C6D4" w14:textId="53AA3B6A" w:rsidR="00AC1711" w:rsidRPr="00074280" w:rsidRDefault="00074280" w:rsidP="00BE2F04">
            <w:pPr>
              <w:pStyle w:val="CETBodytext"/>
              <w:spacing w:line="22" w:lineRule="atLeast"/>
              <w:ind w:right="-1"/>
              <w:jc w:val="center"/>
              <w:rPr>
                <w:rFonts w:cs="Arial"/>
                <w:i/>
                <w:iCs/>
                <w:szCs w:val="18"/>
              </w:rPr>
            </w:pPr>
            <w:r>
              <w:rPr>
                <w:rFonts w:cs="Arial"/>
                <w:i/>
                <w:iCs/>
                <w:szCs w:val="18"/>
              </w:rPr>
              <w:t>A. succinogenes</w:t>
            </w:r>
          </w:p>
        </w:tc>
        <w:tc>
          <w:tcPr>
            <w:tcW w:w="911" w:type="pct"/>
            <w:tcBorders>
              <w:top w:val="nil"/>
              <w:left w:val="nil"/>
              <w:bottom w:val="nil"/>
              <w:right w:val="nil"/>
            </w:tcBorders>
            <w:shd w:val="clear" w:color="auto" w:fill="FFFFFF"/>
          </w:tcPr>
          <w:p w14:paraId="78A649CC" w14:textId="1D647317" w:rsidR="00AC1711" w:rsidRPr="00074280" w:rsidRDefault="00074280" w:rsidP="00BE2F04">
            <w:pPr>
              <w:pStyle w:val="CETBodytext"/>
              <w:spacing w:line="22" w:lineRule="atLeast"/>
              <w:ind w:right="-1"/>
              <w:jc w:val="center"/>
              <w:rPr>
                <w:rFonts w:cs="Arial"/>
                <w:szCs w:val="18"/>
              </w:rPr>
            </w:pPr>
            <w:r>
              <w:rPr>
                <w:rFonts w:cs="Arial"/>
                <w:szCs w:val="18"/>
              </w:rPr>
              <w:t>NR</w:t>
            </w:r>
          </w:p>
        </w:tc>
        <w:tc>
          <w:tcPr>
            <w:tcW w:w="562" w:type="pct"/>
            <w:tcBorders>
              <w:top w:val="nil"/>
              <w:left w:val="nil"/>
              <w:bottom w:val="nil"/>
              <w:right w:val="nil"/>
            </w:tcBorders>
            <w:shd w:val="clear" w:color="auto" w:fill="FFFFFF"/>
          </w:tcPr>
          <w:p w14:paraId="31FA3931" w14:textId="2973C206" w:rsidR="00AC1711" w:rsidRPr="00074280" w:rsidRDefault="006E35F5" w:rsidP="00BE2F04">
            <w:pPr>
              <w:pStyle w:val="CETBodytext"/>
              <w:spacing w:line="22" w:lineRule="atLeast"/>
              <w:ind w:right="-1"/>
              <w:jc w:val="center"/>
              <w:rPr>
                <w:rFonts w:cs="Arial"/>
                <w:szCs w:val="18"/>
              </w:rPr>
            </w:pPr>
            <w:r>
              <w:rPr>
                <w:rFonts w:cs="Arial"/>
                <w:szCs w:val="18"/>
              </w:rPr>
              <w:t>27.8</w:t>
            </w:r>
          </w:p>
        </w:tc>
        <w:tc>
          <w:tcPr>
            <w:tcW w:w="320" w:type="pct"/>
            <w:tcBorders>
              <w:top w:val="nil"/>
              <w:left w:val="nil"/>
              <w:bottom w:val="nil"/>
              <w:right w:val="nil"/>
            </w:tcBorders>
            <w:shd w:val="clear" w:color="auto" w:fill="FFFFFF"/>
          </w:tcPr>
          <w:p w14:paraId="62E07292" w14:textId="3FB6DDF5" w:rsidR="00AC1711" w:rsidRPr="00074280" w:rsidRDefault="006E35F5" w:rsidP="00BE2F04">
            <w:pPr>
              <w:pStyle w:val="CETBodytext"/>
              <w:spacing w:line="22" w:lineRule="atLeast"/>
              <w:ind w:right="-1"/>
              <w:jc w:val="center"/>
              <w:rPr>
                <w:rFonts w:cs="Arial"/>
                <w:szCs w:val="18"/>
              </w:rPr>
            </w:pPr>
            <w:r>
              <w:rPr>
                <w:rFonts w:cs="Arial"/>
                <w:szCs w:val="18"/>
              </w:rPr>
              <w:t>0.61</w:t>
            </w:r>
          </w:p>
        </w:tc>
        <w:tc>
          <w:tcPr>
            <w:tcW w:w="675" w:type="pct"/>
            <w:tcBorders>
              <w:top w:val="nil"/>
              <w:left w:val="nil"/>
              <w:bottom w:val="nil"/>
              <w:right w:val="nil"/>
            </w:tcBorders>
            <w:shd w:val="clear" w:color="auto" w:fill="FFFFFF"/>
          </w:tcPr>
          <w:p w14:paraId="19A7DD8D" w14:textId="51A18D95" w:rsidR="00AC1711" w:rsidRPr="00074280" w:rsidRDefault="006E35F5" w:rsidP="00BE2F04">
            <w:pPr>
              <w:pStyle w:val="CETBodytext"/>
              <w:spacing w:line="22" w:lineRule="atLeast"/>
              <w:ind w:right="-1"/>
              <w:jc w:val="center"/>
              <w:rPr>
                <w:rFonts w:cs="Arial"/>
                <w:szCs w:val="18"/>
              </w:rPr>
            </w:pPr>
            <w:r>
              <w:rPr>
                <w:rFonts w:cs="Arial"/>
                <w:szCs w:val="18"/>
              </w:rPr>
              <w:t>Vallecilla-Yepez et al</w:t>
            </w:r>
            <w:r w:rsidR="00E87D1E">
              <w:rPr>
                <w:rFonts w:cs="Arial"/>
                <w:szCs w:val="18"/>
              </w:rPr>
              <w:t>.</w:t>
            </w:r>
            <w:r>
              <w:rPr>
                <w:rFonts w:cs="Arial"/>
                <w:szCs w:val="18"/>
              </w:rPr>
              <w:t xml:space="preserve"> (2021)</w:t>
            </w:r>
          </w:p>
        </w:tc>
      </w:tr>
      <w:tr w:rsidR="00A302F1" w:rsidRPr="00074280" w14:paraId="402C9211" w14:textId="77777777" w:rsidTr="00B65054">
        <w:trPr>
          <w:trHeight w:val="567"/>
        </w:trPr>
        <w:tc>
          <w:tcPr>
            <w:tcW w:w="602" w:type="pct"/>
            <w:tcBorders>
              <w:top w:val="nil"/>
              <w:left w:val="nil"/>
              <w:bottom w:val="nil"/>
              <w:right w:val="nil"/>
            </w:tcBorders>
            <w:shd w:val="clear" w:color="auto" w:fill="FFFFFF"/>
          </w:tcPr>
          <w:p w14:paraId="0C90AA41" w14:textId="7A01626B" w:rsidR="00A302F1" w:rsidRDefault="00A302F1" w:rsidP="00BE2F04">
            <w:pPr>
              <w:pStyle w:val="CETBodytext"/>
              <w:spacing w:line="22" w:lineRule="atLeast"/>
              <w:ind w:right="-1"/>
              <w:jc w:val="center"/>
              <w:rPr>
                <w:rFonts w:cs="Arial"/>
                <w:szCs w:val="18"/>
              </w:rPr>
            </w:pPr>
            <w:r>
              <w:rPr>
                <w:rFonts w:cs="Arial"/>
                <w:szCs w:val="18"/>
              </w:rPr>
              <w:t>Rice straw</w:t>
            </w:r>
          </w:p>
        </w:tc>
        <w:tc>
          <w:tcPr>
            <w:tcW w:w="1281" w:type="pct"/>
            <w:vMerge w:val="restart"/>
            <w:tcBorders>
              <w:top w:val="nil"/>
              <w:left w:val="nil"/>
              <w:right w:val="nil"/>
            </w:tcBorders>
            <w:shd w:val="clear" w:color="auto" w:fill="FFFFFF"/>
          </w:tcPr>
          <w:p w14:paraId="064D1BEF" w14:textId="77777777" w:rsidR="00A302F1" w:rsidRDefault="00A302F1" w:rsidP="00BE2F04">
            <w:pPr>
              <w:pStyle w:val="CETBodytext"/>
              <w:spacing w:line="22" w:lineRule="atLeast"/>
              <w:ind w:right="-1"/>
              <w:jc w:val="center"/>
              <w:rPr>
                <w:rFonts w:cs="Arial"/>
                <w:szCs w:val="18"/>
              </w:rPr>
            </w:pPr>
            <w:r>
              <w:rPr>
                <w:rFonts w:cs="Arial"/>
                <w:szCs w:val="18"/>
              </w:rPr>
              <w:t>Peracetic acid (20ml/g biomass, 3 h 35°C), alkaline peroxide (20ml/g biomass 10 h 35°C) assisted by ultrasound</w:t>
            </w:r>
          </w:p>
          <w:p w14:paraId="24E040F4" w14:textId="2A93C1A7" w:rsidR="00A302F1" w:rsidRDefault="00A302F1" w:rsidP="00BE2F04">
            <w:pPr>
              <w:pStyle w:val="CETBodytext"/>
              <w:spacing w:line="22" w:lineRule="atLeast"/>
              <w:ind w:right="-1"/>
              <w:jc w:val="center"/>
              <w:rPr>
                <w:rFonts w:cs="Arial"/>
                <w:szCs w:val="18"/>
              </w:rPr>
            </w:pPr>
          </w:p>
        </w:tc>
        <w:tc>
          <w:tcPr>
            <w:tcW w:w="649" w:type="pct"/>
            <w:tcBorders>
              <w:top w:val="nil"/>
              <w:left w:val="nil"/>
              <w:bottom w:val="nil"/>
              <w:right w:val="nil"/>
            </w:tcBorders>
            <w:shd w:val="clear" w:color="auto" w:fill="FFFFFF"/>
          </w:tcPr>
          <w:p w14:paraId="4A28931A" w14:textId="53082457" w:rsidR="00A302F1" w:rsidRDefault="00A302F1" w:rsidP="00BE2F04">
            <w:pPr>
              <w:pStyle w:val="CETBodytext"/>
              <w:spacing w:line="22" w:lineRule="atLeast"/>
              <w:ind w:right="-1"/>
              <w:jc w:val="center"/>
              <w:rPr>
                <w:rFonts w:cs="Arial"/>
                <w:i/>
                <w:iCs/>
                <w:szCs w:val="18"/>
              </w:rPr>
            </w:pPr>
            <w:r>
              <w:rPr>
                <w:rFonts w:cs="Arial"/>
                <w:i/>
                <w:iCs/>
                <w:szCs w:val="18"/>
              </w:rPr>
              <w:t>Proteus vulgaris</w:t>
            </w:r>
          </w:p>
        </w:tc>
        <w:tc>
          <w:tcPr>
            <w:tcW w:w="911" w:type="pct"/>
            <w:tcBorders>
              <w:top w:val="nil"/>
              <w:left w:val="nil"/>
              <w:bottom w:val="nil"/>
              <w:right w:val="nil"/>
            </w:tcBorders>
            <w:shd w:val="clear" w:color="auto" w:fill="FFFFFF"/>
          </w:tcPr>
          <w:p w14:paraId="11A02AB5" w14:textId="1DC0B30F" w:rsidR="00A302F1" w:rsidRDefault="00A302F1" w:rsidP="00BE2F04">
            <w:pPr>
              <w:pStyle w:val="CETBodytext"/>
              <w:spacing w:line="22" w:lineRule="atLeast"/>
              <w:ind w:right="-1"/>
              <w:jc w:val="center"/>
              <w:rPr>
                <w:rFonts w:cs="Arial"/>
                <w:szCs w:val="18"/>
              </w:rPr>
            </w:pPr>
            <w:r>
              <w:rPr>
                <w:rFonts w:cs="Arial"/>
                <w:szCs w:val="18"/>
              </w:rPr>
              <w:t>20 (glucose)</w:t>
            </w:r>
          </w:p>
        </w:tc>
        <w:tc>
          <w:tcPr>
            <w:tcW w:w="562" w:type="pct"/>
            <w:tcBorders>
              <w:top w:val="nil"/>
              <w:left w:val="nil"/>
              <w:bottom w:val="nil"/>
              <w:right w:val="nil"/>
            </w:tcBorders>
            <w:shd w:val="clear" w:color="auto" w:fill="FFFFFF"/>
          </w:tcPr>
          <w:p w14:paraId="48932890" w14:textId="244FD9AD" w:rsidR="00A302F1" w:rsidRDefault="00A302F1" w:rsidP="00414A95">
            <w:pPr>
              <w:pStyle w:val="CETBodytext"/>
              <w:spacing w:line="22" w:lineRule="atLeast"/>
              <w:ind w:right="-1"/>
              <w:jc w:val="center"/>
              <w:rPr>
                <w:rFonts w:cs="Arial"/>
                <w:szCs w:val="18"/>
              </w:rPr>
            </w:pPr>
            <w:r>
              <w:rPr>
                <w:rFonts w:cs="Arial"/>
                <w:szCs w:val="18"/>
              </w:rPr>
              <w:t>3.6</w:t>
            </w:r>
          </w:p>
        </w:tc>
        <w:tc>
          <w:tcPr>
            <w:tcW w:w="320" w:type="pct"/>
            <w:tcBorders>
              <w:top w:val="nil"/>
              <w:left w:val="nil"/>
              <w:bottom w:val="nil"/>
              <w:right w:val="nil"/>
            </w:tcBorders>
            <w:shd w:val="clear" w:color="auto" w:fill="FFFFFF"/>
          </w:tcPr>
          <w:p w14:paraId="5087E8BD" w14:textId="032DAE65" w:rsidR="00A302F1" w:rsidRDefault="00A302F1" w:rsidP="00BE2F04">
            <w:pPr>
              <w:pStyle w:val="CETBodytext"/>
              <w:spacing w:line="22" w:lineRule="atLeast"/>
              <w:ind w:right="-1"/>
              <w:jc w:val="center"/>
              <w:rPr>
                <w:rFonts w:cs="Arial"/>
                <w:szCs w:val="18"/>
              </w:rPr>
            </w:pPr>
            <w:r>
              <w:rPr>
                <w:rFonts w:cs="Arial"/>
                <w:szCs w:val="18"/>
              </w:rPr>
              <w:t>0.18</w:t>
            </w:r>
          </w:p>
        </w:tc>
        <w:tc>
          <w:tcPr>
            <w:tcW w:w="675" w:type="pct"/>
            <w:tcBorders>
              <w:top w:val="nil"/>
              <w:left w:val="nil"/>
              <w:bottom w:val="nil"/>
              <w:right w:val="nil"/>
            </w:tcBorders>
            <w:shd w:val="clear" w:color="auto" w:fill="FFFFFF"/>
          </w:tcPr>
          <w:p w14:paraId="08F87EFE" w14:textId="3244926B" w:rsidR="00A302F1" w:rsidRDefault="00A302F1" w:rsidP="00BE2F04">
            <w:pPr>
              <w:pStyle w:val="CETBodytext"/>
              <w:spacing w:line="22" w:lineRule="atLeast"/>
              <w:ind w:right="-1"/>
              <w:jc w:val="center"/>
              <w:rPr>
                <w:rFonts w:cs="Arial"/>
                <w:szCs w:val="18"/>
              </w:rPr>
            </w:pPr>
            <w:r>
              <w:rPr>
                <w:rFonts w:cs="Arial"/>
                <w:szCs w:val="18"/>
              </w:rPr>
              <w:t>Putri et al. (2023)</w:t>
            </w:r>
          </w:p>
        </w:tc>
      </w:tr>
      <w:tr w:rsidR="00A302F1" w:rsidRPr="00074280" w14:paraId="293D7243" w14:textId="77777777" w:rsidTr="00B65054">
        <w:trPr>
          <w:trHeight w:val="567"/>
        </w:trPr>
        <w:tc>
          <w:tcPr>
            <w:tcW w:w="602" w:type="pct"/>
            <w:tcBorders>
              <w:top w:val="nil"/>
              <w:left w:val="nil"/>
              <w:bottom w:val="nil"/>
              <w:right w:val="nil"/>
            </w:tcBorders>
            <w:shd w:val="clear" w:color="auto" w:fill="FFFFFF"/>
          </w:tcPr>
          <w:p w14:paraId="7BD6C94E" w14:textId="60B5F5E3" w:rsidR="00A302F1" w:rsidRDefault="00A302F1" w:rsidP="00BE2F04">
            <w:pPr>
              <w:pStyle w:val="CETBodytext"/>
              <w:spacing w:line="22" w:lineRule="atLeast"/>
              <w:ind w:right="-1"/>
              <w:jc w:val="center"/>
              <w:rPr>
                <w:rFonts w:cs="Arial"/>
                <w:szCs w:val="18"/>
              </w:rPr>
            </w:pPr>
            <w:r>
              <w:rPr>
                <w:rFonts w:cs="Arial"/>
                <w:szCs w:val="18"/>
              </w:rPr>
              <w:t>Sugarcane bagasse</w:t>
            </w:r>
          </w:p>
        </w:tc>
        <w:tc>
          <w:tcPr>
            <w:tcW w:w="1281" w:type="pct"/>
            <w:vMerge/>
            <w:tcBorders>
              <w:left w:val="nil"/>
              <w:bottom w:val="nil"/>
              <w:right w:val="nil"/>
            </w:tcBorders>
            <w:shd w:val="clear" w:color="auto" w:fill="FFFFFF"/>
          </w:tcPr>
          <w:p w14:paraId="79F5BFE0" w14:textId="702CEB55" w:rsidR="00A302F1" w:rsidRDefault="00A302F1" w:rsidP="00BE2F04">
            <w:pPr>
              <w:pStyle w:val="CETBodytext"/>
              <w:spacing w:line="22" w:lineRule="atLeast"/>
              <w:ind w:right="-1"/>
              <w:jc w:val="center"/>
              <w:rPr>
                <w:rFonts w:cs="Arial"/>
                <w:szCs w:val="18"/>
              </w:rPr>
            </w:pPr>
          </w:p>
        </w:tc>
        <w:tc>
          <w:tcPr>
            <w:tcW w:w="649" w:type="pct"/>
            <w:tcBorders>
              <w:top w:val="nil"/>
              <w:left w:val="nil"/>
              <w:bottom w:val="nil"/>
              <w:right w:val="nil"/>
            </w:tcBorders>
            <w:shd w:val="clear" w:color="auto" w:fill="FFFFFF"/>
          </w:tcPr>
          <w:p w14:paraId="63CEEF08" w14:textId="1466B6FF" w:rsidR="00A302F1" w:rsidRDefault="00A302F1" w:rsidP="00BE2F04">
            <w:pPr>
              <w:pStyle w:val="CETBodytext"/>
              <w:spacing w:line="22" w:lineRule="atLeast"/>
              <w:ind w:right="-1"/>
              <w:jc w:val="center"/>
              <w:rPr>
                <w:rFonts w:cs="Arial"/>
                <w:i/>
                <w:iCs/>
                <w:szCs w:val="18"/>
              </w:rPr>
            </w:pPr>
            <w:r>
              <w:rPr>
                <w:rFonts w:cs="Arial"/>
                <w:i/>
                <w:iCs/>
                <w:szCs w:val="18"/>
              </w:rPr>
              <w:t>Proteus vulgaris</w:t>
            </w:r>
          </w:p>
        </w:tc>
        <w:tc>
          <w:tcPr>
            <w:tcW w:w="911" w:type="pct"/>
            <w:tcBorders>
              <w:top w:val="nil"/>
              <w:left w:val="nil"/>
              <w:bottom w:val="nil"/>
              <w:right w:val="nil"/>
            </w:tcBorders>
            <w:shd w:val="clear" w:color="auto" w:fill="FFFFFF"/>
          </w:tcPr>
          <w:p w14:paraId="14B4ED16" w14:textId="4E2BBB13" w:rsidR="00A302F1" w:rsidRDefault="00A302F1" w:rsidP="00BE2F04">
            <w:pPr>
              <w:pStyle w:val="CETBodytext"/>
              <w:spacing w:line="22" w:lineRule="atLeast"/>
              <w:ind w:right="-1"/>
              <w:jc w:val="center"/>
              <w:rPr>
                <w:rFonts w:cs="Arial"/>
                <w:szCs w:val="18"/>
              </w:rPr>
            </w:pPr>
            <w:r>
              <w:rPr>
                <w:rFonts w:cs="Arial"/>
                <w:szCs w:val="18"/>
              </w:rPr>
              <w:t>20 (glucose)</w:t>
            </w:r>
          </w:p>
        </w:tc>
        <w:tc>
          <w:tcPr>
            <w:tcW w:w="562" w:type="pct"/>
            <w:tcBorders>
              <w:top w:val="nil"/>
              <w:left w:val="nil"/>
              <w:bottom w:val="nil"/>
              <w:right w:val="nil"/>
            </w:tcBorders>
            <w:shd w:val="clear" w:color="auto" w:fill="FFFFFF"/>
          </w:tcPr>
          <w:p w14:paraId="7BF81D09" w14:textId="174F4448" w:rsidR="00A302F1" w:rsidRDefault="00A302F1" w:rsidP="00BE2F04">
            <w:pPr>
              <w:pStyle w:val="CETBodytext"/>
              <w:spacing w:line="22" w:lineRule="atLeast"/>
              <w:ind w:right="-1"/>
              <w:jc w:val="center"/>
              <w:rPr>
                <w:rFonts w:cs="Arial"/>
                <w:szCs w:val="18"/>
              </w:rPr>
            </w:pPr>
            <w:r>
              <w:rPr>
                <w:rFonts w:cs="Arial"/>
                <w:szCs w:val="18"/>
              </w:rPr>
              <w:t>5.1</w:t>
            </w:r>
          </w:p>
        </w:tc>
        <w:tc>
          <w:tcPr>
            <w:tcW w:w="320" w:type="pct"/>
            <w:tcBorders>
              <w:top w:val="nil"/>
              <w:left w:val="nil"/>
              <w:bottom w:val="nil"/>
              <w:right w:val="nil"/>
            </w:tcBorders>
            <w:shd w:val="clear" w:color="auto" w:fill="FFFFFF"/>
          </w:tcPr>
          <w:p w14:paraId="787EDD60" w14:textId="44753BBB" w:rsidR="00A302F1" w:rsidRDefault="00A302F1" w:rsidP="00BE2F04">
            <w:pPr>
              <w:pStyle w:val="CETBodytext"/>
              <w:spacing w:line="22" w:lineRule="atLeast"/>
              <w:ind w:right="-1"/>
              <w:jc w:val="center"/>
              <w:rPr>
                <w:rFonts w:cs="Arial"/>
                <w:szCs w:val="18"/>
              </w:rPr>
            </w:pPr>
            <w:r>
              <w:rPr>
                <w:rFonts w:cs="Arial"/>
                <w:szCs w:val="18"/>
              </w:rPr>
              <w:t>0.25</w:t>
            </w:r>
          </w:p>
        </w:tc>
        <w:tc>
          <w:tcPr>
            <w:tcW w:w="675" w:type="pct"/>
            <w:tcBorders>
              <w:top w:val="nil"/>
              <w:left w:val="nil"/>
              <w:bottom w:val="nil"/>
              <w:right w:val="nil"/>
            </w:tcBorders>
            <w:shd w:val="clear" w:color="auto" w:fill="FFFFFF"/>
          </w:tcPr>
          <w:p w14:paraId="35FF9680" w14:textId="6BE6CB17" w:rsidR="00A302F1" w:rsidRDefault="00A302F1" w:rsidP="00BE2F04">
            <w:pPr>
              <w:pStyle w:val="CETBodytext"/>
              <w:spacing w:line="22" w:lineRule="atLeast"/>
              <w:ind w:right="-1"/>
              <w:jc w:val="center"/>
              <w:rPr>
                <w:rFonts w:cs="Arial"/>
                <w:szCs w:val="18"/>
              </w:rPr>
            </w:pPr>
            <w:r>
              <w:rPr>
                <w:rFonts w:cs="Arial"/>
                <w:szCs w:val="18"/>
              </w:rPr>
              <w:t>Putri et al. (2023)</w:t>
            </w:r>
          </w:p>
        </w:tc>
      </w:tr>
      <w:tr w:rsidR="006E35F5" w:rsidRPr="00074280" w14:paraId="5A6CAD4C" w14:textId="77777777" w:rsidTr="00BE2F04">
        <w:trPr>
          <w:trHeight w:val="567"/>
        </w:trPr>
        <w:tc>
          <w:tcPr>
            <w:tcW w:w="602" w:type="pct"/>
            <w:tcBorders>
              <w:top w:val="nil"/>
              <w:left w:val="nil"/>
              <w:bottom w:val="nil"/>
              <w:right w:val="nil"/>
            </w:tcBorders>
            <w:shd w:val="clear" w:color="auto" w:fill="FFFFFF"/>
          </w:tcPr>
          <w:p w14:paraId="0799A052" w14:textId="7CE00673" w:rsidR="006E35F5" w:rsidRDefault="006E35F5" w:rsidP="00BE2F04">
            <w:pPr>
              <w:pStyle w:val="CETBodytext"/>
              <w:spacing w:line="22" w:lineRule="atLeast"/>
              <w:ind w:right="-1"/>
              <w:jc w:val="center"/>
              <w:rPr>
                <w:rFonts w:cs="Arial"/>
                <w:szCs w:val="18"/>
              </w:rPr>
            </w:pPr>
            <w:r>
              <w:rPr>
                <w:rFonts w:cs="Arial"/>
                <w:szCs w:val="18"/>
              </w:rPr>
              <w:t>Rice straw</w:t>
            </w:r>
          </w:p>
        </w:tc>
        <w:tc>
          <w:tcPr>
            <w:tcW w:w="1281" w:type="pct"/>
            <w:tcBorders>
              <w:top w:val="nil"/>
              <w:left w:val="nil"/>
              <w:bottom w:val="nil"/>
              <w:right w:val="nil"/>
            </w:tcBorders>
            <w:shd w:val="clear" w:color="auto" w:fill="FFFFFF"/>
          </w:tcPr>
          <w:p w14:paraId="2BA8311F" w14:textId="210B6375" w:rsidR="006E35F5" w:rsidRDefault="006E35F5" w:rsidP="00BE2F04">
            <w:pPr>
              <w:pStyle w:val="CETBodytext"/>
              <w:spacing w:line="22" w:lineRule="atLeast"/>
              <w:ind w:right="-1"/>
              <w:jc w:val="center"/>
              <w:rPr>
                <w:rFonts w:cs="Arial"/>
                <w:szCs w:val="18"/>
              </w:rPr>
            </w:pPr>
            <w:r>
              <w:rPr>
                <w:rFonts w:cs="Arial"/>
                <w:szCs w:val="18"/>
              </w:rPr>
              <w:t>Sodium hydroxide</w:t>
            </w:r>
            <w:r w:rsidR="00271055">
              <w:rPr>
                <w:rFonts w:cs="Arial"/>
                <w:szCs w:val="18"/>
              </w:rPr>
              <w:t xml:space="preserve"> (0.1–2.0 M), 121°C 5 min</w:t>
            </w:r>
          </w:p>
        </w:tc>
        <w:tc>
          <w:tcPr>
            <w:tcW w:w="649" w:type="pct"/>
            <w:tcBorders>
              <w:top w:val="nil"/>
              <w:left w:val="nil"/>
              <w:bottom w:val="nil"/>
              <w:right w:val="nil"/>
            </w:tcBorders>
            <w:shd w:val="clear" w:color="auto" w:fill="FFFFFF"/>
          </w:tcPr>
          <w:p w14:paraId="6E71491A" w14:textId="54E8E2CA" w:rsidR="006E35F5" w:rsidRDefault="006E35F5" w:rsidP="00BE2F04">
            <w:pPr>
              <w:pStyle w:val="CETBodytext"/>
              <w:spacing w:line="22" w:lineRule="atLeast"/>
              <w:ind w:right="-1"/>
              <w:jc w:val="center"/>
              <w:rPr>
                <w:rFonts w:cs="Arial"/>
                <w:i/>
                <w:iCs/>
                <w:szCs w:val="18"/>
              </w:rPr>
            </w:pPr>
            <w:r>
              <w:rPr>
                <w:rFonts w:cs="Arial"/>
                <w:i/>
                <w:iCs/>
                <w:szCs w:val="18"/>
              </w:rPr>
              <w:t>Escherichia coli</w:t>
            </w:r>
          </w:p>
        </w:tc>
        <w:tc>
          <w:tcPr>
            <w:tcW w:w="911" w:type="pct"/>
            <w:tcBorders>
              <w:top w:val="nil"/>
              <w:left w:val="nil"/>
              <w:bottom w:val="nil"/>
              <w:right w:val="nil"/>
            </w:tcBorders>
            <w:shd w:val="clear" w:color="auto" w:fill="FFFFFF"/>
          </w:tcPr>
          <w:p w14:paraId="0B0E584B" w14:textId="1B3C99E9" w:rsidR="006E35F5" w:rsidRDefault="006E35F5" w:rsidP="00BE2F04">
            <w:pPr>
              <w:pStyle w:val="CETBodytext"/>
              <w:spacing w:line="22" w:lineRule="atLeast"/>
              <w:ind w:right="-1"/>
              <w:jc w:val="center"/>
              <w:rPr>
                <w:rFonts w:cs="Arial"/>
                <w:szCs w:val="18"/>
              </w:rPr>
            </w:pPr>
            <w:r>
              <w:rPr>
                <w:rFonts w:cs="Arial"/>
                <w:szCs w:val="18"/>
              </w:rPr>
              <w:t>100 (glucose)</w:t>
            </w:r>
          </w:p>
        </w:tc>
        <w:tc>
          <w:tcPr>
            <w:tcW w:w="562" w:type="pct"/>
            <w:tcBorders>
              <w:top w:val="nil"/>
              <w:left w:val="nil"/>
              <w:bottom w:val="nil"/>
              <w:right w:val="nil"/>
            </w:tcBorders>
            <w:shd w:val="clear" w:color="auto" w:fill="FFFFFF"/>
          </w:tcPr>
          <w:p w14:paraId="405DF3D0" w14:textId="5388FBDD" w:rsidR="006E35F5" w:rsidRDefault="006E35F5" w:rsidP="00BE2F04">
            <w:pPr>
              <w:pStyle w:val="CETBodytext"/>
              <w:spacing w:line="22" w:lineRule="atLeast"/>
              <w:ind w:right="-1"/>
              <w:jc w:val="center"/>
              <w:rPr>
                <w:rFonts w:cs="Arial"/>
                <w:szCs w:val="18"/>
              </w:rPr>
            </w:pPr>
            <w:r>
              <w:rPr>
                <w:rFonts w:cs="Arial"/>
                <w:szCs w:val="18"/>
              </w:rPr>
              <w:t>32</w:t>
            </w:r>
          </w:p>
        </w:tc>
        <w:tc>
          <w:tcPr>
            <w:tcW w:w="320" w:type="pct"/>
            <w:tcBorders>
              <w:top w:val="nil"/>
              <w:left w:val="nil"/>
              <w:bottom w:val="nil"/>
              <w:right w:val="nil"/>
            </w:tcBorders>
            <w:shd w:val="clear" w:color="auto" w:fill="FFFFFF"/>
          </w:tcPr>
          <w:p w14:paraId="6F5F3FBC" w14:textId="47D9DB9D" w:rsidR="006E35F5" w:rsidRDefault="006E35F5" w:rsidP="00BE2F04">
            <w:pPr>
              <w:pStyle w:val="CETBodytext"/>
              <w:spacing w:line="22" w:lineRule="atLeast"/>
              <w:ind w:right="-1"/>
              <w:jc w:val="center"/>
              <w:rPr>
                <w:rFonts w:cs="Arial"/>
                <w:szCs w:val="18"/>
              </w:rPr>
            </w:pPr>
            <w:r>
              <w:rPr>
                <w:rFonts w:cs="Arial"/>
                <w:szCs w:val="18"/>
              </w:rPr>
              <w:t>0.32</w:t>
            </w:r>
          </w:p>
        </w:tc>
        <w:tc>
          <w:tcPr>
            <w:tcW w:w="675" w:type="pct"/>
            <w:tcBorders>
              <w:top w:val="nil"/>
              <w:left w:val="nil"/>
              <w:bottom w:val="nil"/>
              <w:right w:val="nil"/>
            </w:tcBorders>
            <w:shd w:val="clear" w:color="auto" w:fill="FFFFFF"/>
          </w:tcPr>
          <w:p w14:paraId="341D12F2" w14:textId="13547E4F" w:rsidR="006E35F5" w:rsidRDefault="006E35F5" w:rsidP="00BE2F04">
            <w:pPr>
              <w:pStyle w:val="CETBodytext"/>
              <w:spacing w:line="22" w:lineRule="atLeast"/>
              <w:ind w:right="-1"/>
              <w:jc w:val="center"/>
              <w:rPr>
                <w:rFonts w:cs="Arial"/>
                <w:szCs w:val="18"/>
              </w:rPr>
            </w:pPr>
            <w:proofErr w:type="spellStart"/>
            <w:r>
              <w:rPr>
                <w:rFonts w:cs="Arial"/>
                <w:szCs w:val="18"/>
              </w:rPr>
              <w:t>Sawisit</w:t>
            </w:r>
            <w:proofErr w:type="spellEnd"/>
            <w:r>
              <w:rPr>
                <w:rFonts w:cs="Arial"/>
                <w:szCs w:val="18"/>
              </w:rPr>
              <w:t xml:space="preserve"> et al. (2018)</w:t>
            </w:r>
          </w:p>
        </w:tc>
      </w:tr>
      <w:tr w:rsidR="006E35F5" w:rsidRPr="00074280" w14:paraId="6B69C5C1" w14:textId="77777777" w:rsidTr="00BE2F04">
        <w:trPr>
          <w:trHeight w:val="567"/>
        </w:trPr>
        <w:tc>
          <w:tcPr>
            <w:tcW w:w="602" w:type="pct"/>
            <w:tcBorders>
              <w:top w:val="nil"/>
              <w:left w:val="nil"/>
              <w:bottom w:val="nil"/>
              <w:right w:val="nil"/>
            </w:tcBorders>
            <w:shd w:val="clear" w:color="auto" w:fill="FFFFFF"/>
          </w:tcPr>
          <w:p w14:paraId="5D730073" w14:textId="1153BD74" w:rsidR="006E35F5" w:rsidRDefault="006E35F5" w:rsidP="00BE2F04">
            <w:pPr>
              <w:pStyle w:val="CETBodytext"/>
              <w:spacing w:line="22" w:lineRule="atLeast"/>
              <w:ind w:right="-1"/>
              <w:jc w:val="center"/>
              <w:rPr>
                <w:rFonts w:cs="Arial"/>
                <w:szCs w:val="18"/>
              </w:rPr>
            </w:pPr>
            <w:r>
              <w:rPr>
                <w:rFonts w:cs="Arial"/>
                <w:szCs w:val="18"/>
              </w:rPr>
              <w:t>Rice straw</w:t>
            </w:r>
          </w:p>
        </w:tc>
        <w:tc>
          <w:tcPr>
            <w:tcW w:w="1281" w:type="pct"/>
            <w:tcBorders>
              <w:top w:val="nil"/>
              <w:left w:val="nil"/>
              <w:bottom w:val="nil"/>
              <w:right w:val="nil"/>
            </w:tcBorders>
            <w:shd w:val="clear" w:color="auto" w:fill="FFFFFF"/>
          </w:tcPr>
          <w:p w14:paraId="1FE51625" w14:textId="0178DC8B" w:rsidR="006E35F5" w:rsidRDefault="00A302F1" w:rsidP="00A302F1">
            <w:pPr>
              <w:pStyle w:val="CETBodytext"/>
              <w:spacing w:line="22" w:lineRule="atLeast"/>
              <w:ind w:right="-1"/>
              <w:jc w:val="center"/>
              <w:rPr>
                <w:rFonts w:cs="Arial"/>
                <w:szCs w:val="18"/>
              </w:rPr>
            </w:pPr>
            <w:r>
              <w:rPr>
                <w:rFonts w:cs="Arial"/>
                <w:szCs w:val="18"/>
              </w:rPr>
              <w:t xml:space="preserve">Acid pretreatment (4 h room temp.) and autoclaving </w:t>
            </w:r>
          </w:p>
        </w:tc>
        <w:tc>
          <w:tcPr>
            <w:tcW w:w="649" w:type="pct"/>
            <w:tcBorders>
              <w:top w:val="nil"/>
              <w:left w:val="nil"/>
              <w:bottom w:val="nil"/>
              <w:right w:val="nil"/>
            </w:tcBorders>
            <w:shd w:val="clear" w:color="auto" w:fill="FFFFFF"/>
          </w:tcPr>
          <w:p w14:paraId="328F3F2B" w14:textId="21857F87" w:rsidR="006E35F5" w:rsidRDefault="006E35F5" w:rsidP="00BE2F04">
            <w:pPr>
              <w:pStyle w:val="CETBodytext"/>
              <w:spacing w:line="22" w:lineRule="atLeast"/>
              <w:ind w:right="-1"/>
              <w:jc w:val="center"/>
              <w:rPr>
                <w:rFonts w:cs="Arial"/>
                <w:i/>
                <w:iCs/>
                <w:szCs w:val="18"/>
              </w:rPr>
            </w:pPr>
            <w:r>
              <w:rPr>
                <w:rFonts w:cs="Arial"/>
                <w:i/>
                <w:iCs/>
                <w:szCs w:val="18"/>
              </w:rPr>
              <w:t>E. coli</w:t>
            </w:r>
          </w:p>
        </w:tc>
        <w:tc>
          <w:tcPr>
            <w:tcW w:w="911" w:type="pct"/>
            <w:tcBorders>
              <w:top w:val="nil"/>
              <w:left w:val="nil"/>
              <w:bottom w:val="nil"/>
              <w:right w:val="nil"/>
            </w:tcBorders>
            <w:shd w:val="clear" w:color="auto" w:fill="FFFFFF"/>
          </w:tcPr>
          <w:p w14:paraId="3C77112A" w14:textId="115BDAE8" w:rsidR="006E35F5" w:rsidRDefault="006E35F5" w:rsidP="00BE2F04">
            <w:pPr>
              <w:pStyle w:val="CETBodytext"/>
              <w:spacing w:line="22" w:lineRule="atLeast"/>
              <w:ind w:right="-1"/>
              <w:jc w:val="center"/>
              <w:rPr>
                <w:rFonts w:cs="Arial"/>
                <w:szCs w:val="18"/>
              </w:rPr>
            </w:pPr>
            <w:r>
              <w:rPr>
                <w:rFonts w:cs="Arial"/>
                <w:szCs w:val="18"/>
              </w:rPr>
              <w:t>100 (glucose)</w:t>
            </w:r>
          </w:p>
        </w:tc>
        <w:tc>
          <w:tcPr>
            <w:tcW w:w="562" w:type="pct"/>
            <w:tcBorders>
              <w:top w:val="nil"/>
              <w:left w:val="nil"/>
              <w:bottom w:val="nil"/>
              <w:right w:val="nil"/>
            </w:tcBorders>
            <w:shd w:val="clear" w:color="auto" w:fill="FFFFFF"/>
          </w:tcPr>
          <w:p w14:paraId="3EDA491B" w14:textId="1FC03687" w:rsidR="006E35F5" w:rsidRDefault="006E35F5" w:rsidP="00BE2F04">
            <w:pPr>
              <w:pStyle w:val="CETBodytext"/>
              <w:spacing w:line="22" w:lineRule="atLeast"/>
              <w:ind w:right="-1"/>
              <w:jc w:val="center"/>
              <w:rPr>
                <w:rFonts w:cs="Arial"/>
                <w:szCs w:val="18"/>
              </w:rPr>
            </w:pPr>
            <w:r>
              <w:rPr>
                <w:rFonts w:cs="Arial"/>
                <w:szCs w:val="18"/>
              </w:rPr>
              <w:t>14</w:t>
            </w:r>
          </w:p>
        </w:tc>
        <w:tc>
          <w:tcPr>
            <w:tcW w:w="320" w:type="pct"/>
            <w:tcBorders>
              <w:top w:val="nil"/>
              <w:left w:val="nil"/>
              <w:bottom w:val="nil"/>
              <w:right w:val="nil"/>
            </w:tcBorders>
            <w:shd w:val="clear" w:color="auto" w:fill="FFFFFF"/>
          </w:tcPr>
          <w:p w14:paraId="57336A46" w14:textId="5ABA3835" w:rsidR="006E35F5" w:rsidRDefault="006E35F5" w:rsidP="00BE2F04">
            <w:pPr>
              <w:pStyle w:val="CETBodytext"/>
              <w:spacing w:line="22" w:lineRule="atLeast"/>
              <w:ind w:right="-1"/>
              <w:jc w:val="center"/>
              <w:rPr>
                <w:rFonts w:cs="Arial"/>
                <w:szCs w:val="18"/>
              </w:rPr>
            </w:pPr>
            <w:r>
              <w:rPr>
                <w:rFonts w:cs="Arial"/>
                <w:szCs w:val="18"/>
              </w:rPr>
              <w:t>0.14</w:t>
            </w:r>
          </w:p>
        </w:tc>
        <w:tc>
          <w:tcPr>
            <w:tcW w:w="675" w:type="pct"/>
            <w:tcBorders>
              <w:top w:val="nil"/>
              <w:left w:val="nil"/>
              <w:bottom w:val="nil"/>
              <w:right w:val="nil"/>
            </w:tcBorders>
            <w:shd w:val="clear" w:color="auto" w:fill="FFFFFF"/>
          </w:tcPr>
          <w:p w14:paraId="6A80D49F" w14:textId="303FA24D" w:rsidR="006E35F5" w:rsidRDefault="006E35F5" w:rsidP="00BE2F04">
            <w:pPr>
              <w:pStyle w:val="CETBodytext"/>
              <w:spacing w:line="22" w:lineRule="atLeast"/>
              <w:ind w:right="-1"/>
              <w:jc w:val="center"/>
              <w:rPr>
                <w:rFonts w:cs="Arial"/>
                <w:szCs w:val="18"/>
              </w:rPr>
            </w:pPr>
            <w:proofErr w:type="spellStart"/>
            <w:r>
              <w:rPr>
                <w:rFonts w:cs="Arial"/>
                <w:szCs w:val="18"/>
              </w:rPr>
              <w:t>Jampatesh</w:t>
            </w:r>
            <w:proofErr w:type="spellEnd"/>
            <w:r>
              <w:rPr>
                <w:rFonts w:cs="Arial"/>
                <w:szCs w:val="18"/>
              </w:rPr>
              <w:t xml:space="preserve"> et al. (2019)</w:t>
            </w:r>
          </w:p>
        </w:tc>
      </w:tr>
      <w:tr w:rsidR="006E35F5" w:rsidRPr="00074280" w14:paraId="3B0E44F1" w14:textId="77777777" w:rsidTr="00BE2F04">
        <w:trPr>
          <w:trHeight w:val="567"/>
        </w:trPr>
        <w:tc>
          <w:tcPr>
            <w:tcW w:w="602" w:type="pct"/>
            <w:tcBorders>
              <w:top w:val="nil"/>
              <w:left w:val="nil"/>
              <w:bottom w:val="nil"/>
              <w:right w:val="nil"/>
            </w:tcBorders>
            <w:shd w:val="clear" w:color="auto" w:fill="FFFFFF"/>
          </w:tcPr>
          <w:p w14:paraId="7B8C3327" w14:textId="585FF25F" w:rsidR="006E35F5" w:rsidRDefault="006E35F5" w:rsidP="00BE2F04">
            <w:pPr>
              <w:pStyle w:val="CETBodytext"/>
              <w:spacing w:line="22" w:lineRule="atLeast"/>
              <w:ind w:right="-1"/>
              <w:jc w:val="center"/>
              <w:rPr>
                <w:rFonts w:cs="Arial"/>
                <w:szCs w:val="18"/>
              </w:rPr>
            </w:pPr>
            <w:r>
              <w:rPr>
                <w:rFonts w:cs="Arial"/>
                <w:szCs w:val="18"/>
              </w:rPr>
              <w:t>Sugarcane bagasse</w:t>
            </w:r>
          </w:p>
        </w:tc>
        <w:tc>
          <w:tcPr>
            <w:tcW w:w="1281" w:type="pct"/>
            <w:tcBorders>
              <w:top w:val="nil"/>
              <w:left w:val="nil"/>
              <w:bottom w:val="nil"/>
              <w:right w:val="nil"/>
            </w:tcBorders>
            <w:shd w:val="clear" w:color="auto" w:fill="FFFFFF"/>
          </w:tcPr>
          <w:p w14:paraId="4C935C39" w14:textId="41818FCF" w:rsidR="006E35F5" w:rsidRDefault="006E35F5" w:rsidP="00BE2F04">
            <w:pPr>
              <w:pStyle w:val="CETBodytext"/>
              <w:spacing w:line="22" w:lineRule="atLeast"/>
              <w:ind w:right="-1"/>
              <w:jc w:val="center"/>
              <w:rPr>
                <w:rFonts w:cs="Arial"/>
                <w:szCs w:val="18"/>
              </w:rPr>
            </w:pPr>
            <w:r>
              <w:rPr>
                <w:rFonts w:cs="Arial"/>
                <w:szCs w:val="18"/>
              </w:rPr>
              <w:t>Sodium hydroxide</w:t>
            </w:r>
          </w:p>
        </w:tc>
        <w:tc>
          <w:tcPr>
            <w:tcW w:w="649" w:type="pct"/>
            <w:tcBorders>
              <w:top w:val="nil"/>
              <w:left w:val="nil"/>
              <w:bottom w:val="nil"/>
              <w:right w:val="nil"/>
            </w:tcBorders>
            <w:shd w:val="clear" w:color="auto" w:fill="FFFFFF"/>
          </w:tcPr>
          <w:p w14:paraId="4C45D6B1" w14:textId="544F7D8C" w:rsidR="006E35F5" w:rsidRDefault="006E35F5" w:rsidP="00BE2F04">
            <w:pPr>
              <w:pStyle w:val="CETBodytext"/>
              <w:spacing w:line="22" w:lineRule="atLeast"/>
              <w:ind w:right="-1"/>
              <w:jc w:val="center"/>
              <w:rPr>
                <w:rFonts w:cs="Arial"/>
                <w:i/>
                <w:iCs/>
                <w:szCs w:val="18"/>
              </w:rPr>
            </w:pPr>
            <w:r>
              <w:rPr>
                <w:rFonts w:cs="Arial"/>
                <w:i/>
                <w:iCs/>
                <w:szCs w:val="18"/>
              </w:rPr>
              <w:t>A. succinogenes</w:t>
            </w:r>
          </w:p>
        </w:tc>
        <w:tc>
          <w:tcPr>
            <w:tcW w:w="911" w:type="pct"/>
            <w:tcBorders>
              <w:top w:val="nil"/>
              <w:left w:val="nil"/>
              <w:bottom w:val="nil"/>
              <w:right w:val="nil"/>
            </w:tcBorders>
            <w:shd w:val="clear" w:color="auto" w:fill="FFFFFF"/>
          </w:tcPr>
          <w:p w14:paraId="2E4A11EE" w14:textId="5095B537" w:rsidR="006E35F5" w:rsidRDefault="006E35F5" w:rsidP="00BE2F04">
            <w:pPr>
              <w:pStyle w:val="CETBodytext"/>
              <w:spacing w:line="22" w:lineRule="atLeast"/>
              <w:ind w:right="-1"/>
              <w:jc w:val="center"/>
              <w:rPr>
                <w:rFonts w:cs="Arial"/>
                <w:szCs w:val="18"/>
              </w:rPr>
            </w:pPr>
            <w:r>
              <w:rPr>
                <w:rFonts w:cs="Arial"/>
                <w:szCs w:val="18"/>
              </w:rPr>
              <w:t>130 (glucose)</w:t>
            </w:r>
          </w:p>
        </w:tc>
        <w:tc>
          <w:tcPr>
            <w:tcW w:w="562" w:type="pct"/>
            <w:tcBorders>
              <w:top w:val="nil"/>
              <w:left w:val="nil"/>
              <w:bottom w:val="nil"/>
              <w:right w:val="nil"/>
            </w:tcBorders>
            <w:shd w:val="clear" w:color="auto" w:fill="FFFFFF"/>
          </w:tcPr>
          <w:p w14:paraId="6A9E91D4" w14:textId="6D909DBF" w:rsidR="006E35F5" w:rsidRDefault="006E35F5" w:rsidP="00BE2F04">
            <w:pPr>
              <w:pStyle w:val="CETBodytext"/>
              <w:spacing w:line="22" w:lineRule="atLeast"/>
              <w:ind w:right="-1"/>
              <w:jc w:val="center"/>
              <w:rPr>
                <w:rFonts w:cs="Arial"/>
                <w:szCs w:val="18"/>
              </w:rPr>
            </w:pPr>
            <w:r>
              <w:rPr>
                <w:rFonts w:cs="Arial"/>
                <w:szCs w:val="18"/>
              </w:rPr>
              <w:t>41</w:t>
            </w:r>
          </w:p>
        </w:tc>
        <w:tc>
          <w:tcPr>
            <w:tcW w:w="320" w:type="pct"/>
            <w:tcBorders>
              <w:top w:val="nil"/>
              <w:left w:val="nil"/>
              <w:bottom w:val="nil"/>
              <w:right w:val="nil"/>
            </w:tcBorders>
            <w:shd w:val="clear" w:color="auto" w:fill="FFFFFF"/>
          </w:tcPr>
          <w:p w14:paraId="604D5EF6" w14:textId="18EB7F1E" w:rsidR="006E35F5" w:rsidRDefault="006E35F5" w:rsidP="00BE2F04">
            <w:pPr>
              <w:pStyle w:val="CETBodytext"/>
              <w:spacing w:line="22" w:lineRule="atLeast"/>
              <w:ind w:right="-1"/>
              <w:jc w:val="center"/>
              <w:rPr>
                <w:rFonts w:cs="Arial"/>
                <w:szCs w:val="18"/>
              </w:rPr>
            </w:pPr>
            <w:r>
              <w:rPr>
                <w:rFonts w:cs="Arial"/>
                <w:szCs w:val="18"/>
              </w:rPr>
              <w:t>0.32</w:t>
            </w:r>
          </w:p>
        </w:tc>
        <w:tc>
          <w:tcPr>
            <w:tcW w:w="675" w:type="pct"/>
            <w:tcBorders>
              <w:top w:val="nil"/>
              <w:left w:val="nil"/>
              <w:bottom w:val="nil"/>
              <w:right w:val="nil"/>
            </w:tcBorders>
            <w:shd w:val="clear" w:color="auto" w:fill="FFFFFF"/>
          </w:tcPr>
          <w:p w14:paraId="1340E141" w14:textId="05B402B5" w:rsidR="006E35F5" w:rsidRDefault="006E35F5" w:rsidP="00BE2F04">
            <w:pPr>
              <w:pStyle w:val="CETBodytext"/>
              <w:spacing w:line="22" w:lineRule="atLeast"/>
              <w:ind w:right="-1"/>
              <w:jc w:val="center"/>
              <w:rPr>
                <w:rFonts w:cs="Arial"/>
                <w:szCs w:val="18"/>
              </w:rPr>
            </w:pPr>
            <w:r>
              <w:rPr>
                <w:rFonts w:cs="Arial"/>
                <w:szCs w:val="18"/>
              </w:rPr>
              <w:t>Chen et al. (2021)</w:t>
            </w:r>
          </w:p>
        </w:tc>
      </w:tr>
      <w:tr w:rsidR="006E35F5" w:rsidRPr="00074280" w14:paraId="6F005006" w14:textId="77777777" w:rsidTr="00BE2F04">
        <w:trPr>
          <w:trHeight w:val="567"/>
        </w:trPr>
        <w:tc>
          <w:tcPr>
            <w:tcW w:w="602" w:type="pct"/>
            <w:tcBorders>
              <w:top w:val="nil"/>
              <w:left w:val="nil"/>
              <w:bottom w:val="nil"/>
              <w:right w:val="nil"/>
            </w:tcBorders>
            <w:shd w:val="clear" w:color="auto" w:fill="FFFFFF"/>
          </w:tcPr>
          <w:p w14:paraId="72342A74" w14:textId="1466056C" w:rsidR="00210B75" w:rsidRDefault="006E35F5" w:rsidP="00BE2F04">
            <w:pPr>
              <w:pStyle w:val="CETBodytext"/>
              <w:spacing w:line="22" w:lineRule="atLeast"/>
              <w:ind w:right="-1"/>
              <w:jc w:val="center"/>
              <w:rPr>
                <w:rFonts w:cs="Arial"/>
                <w:szCs w:val="18"/>
              </w:rPr>
            </w:pPr>
            <w:proofErr w:type="spellStart"/>
            <w:r>
              <w:rPr>
                <w:rFonts w:cs="Arial"/>
                <w:szCs w:val="18"/>
              </w:rPr>
              <w:t>Mischantus</w:t>
            </w:r>
            <w:proofErr w:type="spellEnd"/>
            <w:r>
              <w:rPr>
                <w:rFonts w:cs="Arial"/>
                <w:szCs w:val="18"/>
              </w:rPr>
              <w:t xml:space="preserve"> straw</w:t>
            </w:r>
          </w:p>
        </w:tc>
        <w:tc>
          <w:tcPr>
            <w:tcW w:w="1281" w:type="pct"/>
            <w:tcBorders>
              <w:top w:val="nil"/>
              <w:left w:val="nil"/>
              <w:bottom w:val="nil"/>
              <w:right w:val="nil"/>
            </w:tcBorders>
            <w:shd w:val="clear" w:color="auto" w:fill="FFFFFF"/>
          </w:tcPr>
          <w:p w14:paraId="564DA098" w14:textId="42BE2890" w:rsidR="006E35F5" w:rsidRDefault="00A302F1" w:rsidP="00BE2F04">
            <w:pPr>
              <w:pStyle w:val="CETBodytext"/>
              <w:spacing w:line="22" w:lineRule="atLeast"/>
              <w:ind w:right="-1"/>
              <w:jc w:val="center"/>
              <w:rPr>
                <w:rFonts w:cs="Arial"/>
                <w:szCs w:val="18"/>
              </w:rPr>
            </w:pPr>
            <w:r>
              <w:rPr>
                <w:rFonts w:cs="Arial"/>
                <w:szCs w:val="18"/>
              </w:rPr>
              <w:t>(</w:t>
            </w:r>
            <w:proofErr w:type="spellStart"/>
            <w:r>
              <w:rPr>
                <w:rFonts w:cs="Arial"/>
                <w:szCs w:val="18"/>
              </w:rPr>
              <w:t>glycerol:water</w:t>
            </w:r>
            <w:proofErr w:type="spellEnd"/>
            <w:r>
              <w:rPr>
                <w:rFonts w:cs="Arial"/>
                <w:szCs w:val="18"/>
              </w:rPr>
              <w:t xml:space="preserve"> mixture and H</w:t>
            </w:r>
            <w:r w:rsidRPr="00FC2853">
              <w:rPr>
                <w:rFonts w:cs="Arial"/>
                <w:szCs w:val="18"/>
                <w:vertAlign w:val="subscript"/>
              </w:rPr>
              <w:t>2</w:t>
            </w:r>
            <w:r>
              <w:rPr>
                <w:rFonts w:cs="Arial"/>
                <w:szCs w:val="18"/>
              </w:rPr>
              <w:t>SO</w:t>
            </w:r>
            <w:r w:rsidRPr="00FC2853">
              <w:rPr>
                <w:rFonts w:cs="Arial"/>
                <w:szCs w:val="18"/>
                <w:vertAlign w:val="subscript"/>
              </w:rPr>
              <w:t>4</w:t>
            </w:r>
            <w:r>
              <w:rPr>
                <w:rFonts w:cs="Arial"/>
                <w:szCs w:val="18"/>
              </w:rPr>
              <w:t xml:space="preserve">) </w:t>
            </w:r>
            <w:proofErr w:type="spellStart"/>
            <w:r w:rsidR="006E35F5">
              <w:rPr>
                <w:rFonts w:cs="Arial"/>
                <w:szCs w:val="18"/>
              </w:rPr>
              <w:t>Organosolv</w:t>
            </w:r>
            <w:proofErr w:type="spellEnd"/>
          </w:p>
        </w:tc>
        <w:tc>
          <w:tcPr>
            <w:tcW w:w="649" w:type="pct"/>
            <w:tcBorders>
              <w:top w:val="nil"/>
              <w:left w:val="nil"/>
              <w:bottom w:val="nil"/>
              <w:right w:val="nil"/>
            </w:tcBorders>
            <w:shd w:val="clear" w:color="auto" w:fill="FFFFFF"/>
          </w:tcPr>
          <w:p w14:paraId="7B16DC2E" w14:textId="78E02EB3" w:rsidR="006E35F5" w:rsidRDefault="006E35F5" w:rsidP="00BE2F04">
            <w:pPr>
              <w:pStyle w:val="CETBodytext"/>
              <w:spacing w:line="22" w:lineRule="atLeast"/>
              <w:ind w:right="-1"/>
              <w:jc w:val="center"/>
              <w:rPr>
                <w:rFonts w:cs="Arial"/>
                <w:i/>
                <w:iCs/>
                <w:szCs w:val="18"/>
              </w:rPr>
            </w:pPr>
            <w:proofErr w:type="spellStart"/>
            <w:r>
              <w:rPr>
                <w:rFonts w:cs="Arial"/>
                <w:i/>
                <w:iCs/>
                <w:szCs w:val="18"/>
              </w:rPr>
              <w:t>A.succinogenes</w:t>
            </w:r>
            <w:proofErr w:type="spellEnd"/>
          </w:p>
        </w:tc>
        <w:tc>
          <w:tcPr>
            <w:tcW w:w="911" w:type="pct"/>
            <w:tcBorders>
              <w:top w:val="nil"/>
              <w:left w:val="nil"/>
              <w:bottom w:val="nil"/>
              <w:right w:val="nil"/>
            </w:tcBorders>
            <w:shd w:val="clear" w:color="auto" w:fill="FFFFFF"/>
          </w:tcPr>
          <w:p w14:paraId="3709BF4E" w14:textId="1E10C234" w:rsidR="006E35F5" w:rsidRDefault="006E35F5" w:rsidP="00BE2F04">
            <w:pPr>
              <w:pStyle w:val="CETBodytext"/>
              <w:spacing w:line="22" w:lineRule="atLeast"/>
              <w:ind w:right="-1"/>
              <w:jc w:val="center"/>
              <w:rPr>
                <w:rFonts w:cs="Arial"/>
                <w:szCs w:val="18"/>
              </w:rPr>
            </w:pPr>
            <w:r>
              <w:rPr>
                <w:rFonts w:cs="Arial"/>
                <w:szCs w:val="18"/>
              </w:rPr>
              <w:t>44.2 (total sugars)</w:t>
            </w:r>
          </w:p>
        </w:tc>
        <w:tc>
          <w:tcPr>
            <w:tcW w:w="562" w:type="pct"/>
            <w:tcBorders>
              <w:top w:val="nil"/>
              <w:left w:val="nil"/>
              <w:bottom w:val="nil"/>
              <w:right w:val="nil"/>
            </w:tcBorders>
            <w:shd w:val="clear" w:color="auto" w:fill="FFFFFF"/>
          </w:tcPr>
          <w:p w14:paraId="0BFCF113" w14:textId="64D6D2AB" w:rsidR="006E35F5" w:rsidRDefault="00210B75" w:rsidP="00BE2F04">
            <w:pPr>
              <w:pStyle w:val="CETBodytext"/>
              <w:spacing w:line="22" w:lineRule="atLeast"/>
              <w:ind w:right="-1"/>
              <w:jc w:val="center"/>
              <w:rPr>
                <w:rFonts w:cs="Arial"/>
                <w:szCs w:val="18"/>
              </w:rPr>
            </w:pPr>
            <w:r>
              <w:rPr>
                <w:rFonts w:cs="Arial"/>
                <w:szCs w:val="18"/>
              </w:rPr>
              <w:t>23.5</w:t>
            </w:r>
          </w:p>
        </w:tc>
        <w:tc>
          <w:tcPr>
            <w:tcW w:w="320" w:type="pct"/>
            <w:tcBorders>
              <w:top w:val="nil"/>
              <w:left w:val="nil"/>
              <w:bottom w:val="nil"/>
              <w:right w:val="nil"/>
            </w:tcBorders>
            <w:shd w:val="clear" w:color="auto" w:fill="FFFFFF"/>
          </w:tcPr>
          <w:p w14:paraId="01B9224C" w14:textId="246308AF" w:rsidR="006E35F5" w:rsidRDefault="00210B75" w:rsidP="00BE2F04">
            <w:pPr>
              <w:pStyle w:val="CETBodytext"/>
              <w:spacing w:line="22" w:lineRule="atLeast"/>
              <w:ind w:right="-1"/>
              <w:jc w:val="center"/>
              <w:rPr>
                <w:rFonts w:cs="Arial"/>
                <w:szCs w:val="18"/>
              </w:rPr>
            </w:pPr>
            <w:r>
              <w:rPr>
                <w:rFonts w:cs="Arial"/>
                <w:szCs w:val="18"/>
              </w:rPr>
              <w:t>NR</w:t>
            </w:r>
          </w:p>
        </w:tc>
        <w:tc>
          <w:tcPr>
            <w:tcW w:w="675" w:type="pct"/>
            <w:tcBorders>
              <w:top w:val="nil"/>
              <w:left w:val="nil"/>
              <w:bottom w:val="nil"/>
              <w:right w:val="nil"/>
            </w:tcBorders>
            <w:shd w:val="clear" w:color="auto" w:fill="FFFFFF"/>
          </w:tcPr>
          <w:p w14:paraId="36658085" w14:textId="60B2E2EC" w:rsidR="006E35F5" w:rsidRDefault="00210B75" w:rsidP="00BE2F04">
            <w:pPr>
              <w:pStyle w:val="CETBodytext"/>
              <w:spacing w:line="22" w:lineRule="atLeast"/>
              <w:ind w:right="-1"/>
              <w:jc w:val="center"/>
              <w:rPr>
                <w:rFonts w:cs="Arial"/>
                <w:szCs w:val="18"/>
              </w:rPr>
            </w:pPr>
            <w:proofErr w:type="spellStart"/>
            <w:r w:rsidRPr="00210B75">
              <w:rPr>
                <w:rFonts w:cs="Arial"/>
                <w:szCs w:val="18"/>
              </w:rPr>
              <w:t>Dąbkowska</w:t>
            </w:r>
            <w:proofErr w:type="spellEnd"/>
            <w:r w:rsidRPr="00210B75">
              <w:rPr>
                <w:rFonts w:cs="Arial"/>
                <w:szCs w:val="18"/>
              </w:rPr>
              <w:t xml:space="preserve"> et al. (2019)</w:t>
            </w:r>
          </w:p>
        </w:tc>
      </w:tr>
      <w:tr w:rsidR="004E4652" w:rsidRPr="00074280" w14:paraId="49FC1DE2" w14:textId="77777777" w:rsidTr="001336FA">
        <w:trPr>
          <w:trHeight w:val="335"/>
        </w:trPr>
        <w:tc>
          <w:tcPr>
            <w:tcW w:w="602" w:type="pct"/>
            <w:tcBorders>
              <w:top w:val="nil"/>
              <w:left w:val="nil"/>
              <w:bottom w:val="nil"/>
              <w:right w:val="nil"/>
            </w:tcBorders>
            <w:shd w:val="clear" w:color="auto" w:fill="FFFFFF"/>
          </w:tcPr>
          <w:p w14:paraId="78D35578" w14:textId="01A0B83F" w:rsidR="004E4652" w:rsidRDefault="008C30AB" w:rsidP="00B07AB4">
            <w:pPr>
              <w:pStyle w:val="CETBodytext"/>
              <w:spacing w:line="22" w:lineRule="atLeast"/>
              <w:jc w:val="center"/>
              <w:rPr>
                <w:rFonts w:cs="Arial"/>
                <w:szCs w:val="18"/>
              </w:rPr>
            </w:pPr>
            <w:r>
              <w:rPr>
                <w:rFonts w:cs="Arial"/>
                <w:szCs w:val="18"/>
              </w:rPr>
              <w:t>Rapeseed</w:t>
            </w:r>
            <w:r w:rsidR="004E4652">
              <w:rPr>
                <w:rFonts w:cs="Arial"/>
                <w:szCs w:val="18"/>
              </w:rPr>
              <w:t xml:space="preserve"> straw</w:t>
            </w:r>
          </w:p>
        </w:tc>
        <w:tc>
          <w:tcPr>
            <w:tcW w:w="1281" w:type="pct"/>
            <w:tcBorders>
              <w:top w:val="nil"/>
              <w:left w:val="nil"/>
              <w:bottom w:val="nil"/>
              <w:right w:val="nil"/>
            </w:tcBorders>
            <w:shd w:val="clear" w:color="auto" w:fill="FFFFFF"/>
          </w:tcPr>
          <w:p w14:paraId="5E82DF91" w14:textId="4E630FE7" w:rsidR="004E4652" w:rsidRDefault="009E4394" w:rsidP="00B07AB4">
            <w:pPr>
              <w:pStyle w:val="CETBodytext"/>
              <w:spacing w:line="22" w:lineRule="atLeast"/>
              <w:jc w:val="center"/>
              <w:rPr>
                <w:rFonts w:cs="Arial"/>
                <w:szCs w:val="18"/>
              </w:rPr>
            </w:pPr>
            <w:r w:rsidRPr="009E4394">
              <w:rPr>
                <w:rFonts w:cs="Arial"/>
                <w:szCs w:val="18"/>
              </w:rPr>
              <w:t>H</w:t>
            </w:r>
            <w:r w:rsidRPr="00FC2853">
              <w:rPr>
                <w:rFonts w:cs="Arial"/>
                <w:szCs w:val="18"/>
                <w:vertAlign w:val="subscript"/>
              </w:rPr>
              <w:t>2</w:t>
            </w:r>
            <w:r w:rsidRPr="009E4394">
              <w:rPr>
                <w:rFonts w:cs="Arial"/>
                <w:szCs w:val="18"/>
              </w:rPr>
              <w:t>SO</w:t>
            </w:r>
            <w:r w:rsidRPr="00FC2853">
              <w:rPr>
                <w:rFonts w:cs="Arial"/>
                <w:szCs w:val="18"/>
                <w:vertAlign w:val="subscript"/>
              </w:rPr>
              <w:t>4</w:t>
            </w:r>
            <w:r w:rsidRPr="009E4394">
              <w:rPr>
                <w:rFonts w:cs="Arial"/>
                <w:szCs w:val="18"/>
              </w:rPr>
              <w:t xml:space="preserve"> (1% solution)</w:t>
            </w:r>
            <w:r>
              <w:rPr>
                <w:rFonts w:cs="Arial"/>
                <w:szCs w:val="18"/>
              </w:rPr>
              <w:t xml:space="preserve"> </w:t>
            </w:r>
            <w:r w:rsidR="004E4652">
              <w:rPr>
                <w:rFonts w:cs="Arial"/>
                <w:szCs w:val="18"/>
              </w:rPr>
              <w:t xml:space="preserve">Steam explosion </w:t>
            </w:r>
          </w:p>
        </w:tc>
        <w:tc>
          <w:tcPr>
            <w:tcW w:w="649" w:type="pct"/>
            <w:tcBorders>
              <w:top w:val="nil"/>
              <w:left w:val="nil"/>
              <w:bottom w:val="nil"/>
              <w:right w:val="nil"/>
            </w:tcBorders>
            <w:shd w:val="clear" w:color="auto" w:fill="FFFFFF"/>
          </w:tcPr>
          <w:p w14:paraId="5DC7AAFF" w14:textId="70E0C472" w:rsidR="004E4652" w:rsidRDefault="004E4652" w:rsidP="00B07AB4">
            <w:pPr>
              <w:pStyle w:val="CETBodytext"/>
              <w:spacing w:line="22" w:lineRule="atLeast"/>
              <w:jc w:val="center"/>
              <w:rPr>
                <w:rFonts w:cs="Arial"/>
                <w:i/>
                <w:iCs/>
                <w:szCs w:val="18"/>
              </w:rPr>
            </w:pPr>
            <w:r>
              <w:rPr>
                <w:rFonts w:cs="Arial"/>
                <w:i/>
                <w:iCs/>
                <w:szCs w:val="18"/>
              </w:rPr>
              <w:t>S cerevisiae</w:t>
            </w:r>
          </w:p>
        </w:tc>
        <w:tc>
          <w:tcPr>
            <w:tcW w:w="911" w:type="pct"/>
            <w:tcBorders>
              <w:top w:val="nil"/>
              <w:left w:val="nil"/>
              <w:bottom w:val="nil"/>
              <w:right w:val="nil"/>
            </w:tcBorders>
            <w:shd w:val="clear" w:color="auto" w:fill="FFFFFF"/>
          </w:tcPr>
          <w:p w14:paraId="4FF7D300" w14:textId="76DE0150" w:rsidR="004E4652" w:rsidRDefault="004E4652" w:rsidP="00B07AB4">
            <w:pPr>
              <w:pStyle w:val="CETBodytext"/>
              <w:spacing w:line="22" w:lineRule="atLeast"/>
              <w:jc w:val="center"/>
              <w:rPr>
                <w:rFonts w:cs="Arial"/>
                <w:szCs w:val="18"/>
              </w:rPr>
            </w:pPr>
            <w:r>
              <w:rPr>
                <w:rFonts w:cs="Arial"/>
                <w:szCs w:val="18"/>
              </w:rPr>
              <w:t>23.3 g/l (glucose)</w:t>
            </w:r>
          </w:p>
        </w:tc>
        <w:tc>
          <w:tcPr>
            <w:tcW w:w="562" w:type="pct"/>
            <w:tcBorders>
              <w:top w:val="nil"/>
              <w:left w:val="nil"/>
              <w:bottom w:val="nil"/>
              <w:right w:val="nil"/>
            </w:tcBorders>
            <w:shd w:val="clear" w:color="auto" w:fill="FFFFFF"/>
          </w:tcPr>
          <w:p w14:paraId="71668316" w14:textId="226B9863" w:rsidR="004E4652" w:rsidRDefault="004E4652" w:rsidP="00B07AB4">
            <w:pPr>
              <w:pStyle w:val="CETBodytext"/>
              <w:spacing w:line="22" w:lineRule="atLeast"/>
              <w:jc w:val="center"/>
              <w:rPr>
                <w:rFonts w:cs="Arial"/>
                <w:szCs w:val="18"/>
              </w:rPr>
            </w:pPr>
            <w:r>
              <w:rPr>
                <w:rFonts w:cs="Arial"/>
                <w:szCs w:val="18"/>
              </w:rPr>
              <w:t>9.3</w:t>
            </w:r>
          </w:p>
        </w:tc>
        <w:tc>
          <w:tcPr>
            <w:tcW w:w="320" w:type="pct"/>
            <w:tcBorders>
              <w:top w:val="nil"/>
              <w:left w:val="nil"/>
              <w:bottom w:val="nil"/>
              <w:right w:val="nil"/>
            </w:tcBorders>
            <w:shd w:val="clear" w:color="auto" w:fill="FFFFFF"/>
          </w:tcPr>
          <w:p w14:paraId="04BFC5E7" w14:textId="3DE557F1" w:rsidR="004E4652" w:rsidRDefault="004E4652" w:rsidP="00B07AB4">
            <w:pPr>
              <w:pStyle w:val="CETBodytext"/>
              <w:spacing w:line="22" w:lineRule="atLeast"/>
              <w:jc w:val="center"/>
              <w:rPr>
                <w:rFonts w:cs="Arial"/>
                <w:szCs w:val="18"/>
              </w:rPr>
            </w:pPr>
            <w:r>
              <w:rPr>
                <w:rFonts w:cs="Arial"/>
                <w:szCs w:val="18"/>
              </w:rPr>
              <w:t>0.6</w:t>
            </w:r>
          </w:p>
        </w:tc>
        <w:tc>
          <w:tcPr>
            <w:tcW w:w="675" w:type="pct"/>
            <w:tcBorders>
              <w:top w:val="nil"/>
              <w:left w:val="nil"/>
              <w:bottom w:val="nil"/>
              <w:right w:val="nil"/>
            </w:tcBorders>
            <w:shd w:val="clear" w:color="auto" w:fill="FFFFFF"/>
          </w:tcPr>
          <w:p w14:paraId="4C17D967" w14:textId="73793D2E" w:rsidR="004E4652" w:rsidRPr="00210B75" w:rsidRDefault="004E4652" w:rsidP="00B07AB4">
            <w:pPr>
              <w:pStyle w:val="CETBodytext"/>
              <w:spacing w:line="22" w:lineRule="atLeast"/>
              <w:jc w:val="center"/>
              <w:rPr>
                <w:rFonts w:cs="Arial"/>
                <w:szCs w:val="18"/>
              </w:rPr>
            </w:pPr>
            <w:proofErr w:type="spellStart"/>
            <w:r w:rsidRPr="004E4652">
              <w:rPr>
                <w:rFonts w:cs="Arial"/>
                <w:szCs w:val="18"/>
              </w:rPr>
              <w:t>Kuglarz</w:t>
            </w:r>
            <w:proofErr w:type="spellEnd"/>
            <w:r>
              <w:rPr>
                <w:rFonts w:cs="Arial"/>
                <w:szCs w:val="18"/>
              </w:rPr>
              <w:t xml:space="preserve"> et al. 2018</w:t>
            </w:r>
          </w:p>
        </w:tc>
      </w:tr>
      <w:tr w:rsidR="00210B75" w:rsidRPr="00074280" w14:paraId="23AF3655" w14:textId="77777777" w:rsidTr="00BE2F04">
        <w:trPr>
          <w:trHeight w:val="567"/>
        </w:trPr>
        <w:tc>
          <w:tcPr>
            <w:tcW w:w="602" w:type="pct"/>
            <w:tcBorders>
              <w:top w:val="nil"/>
              <w:left w:val="nil"/>
              <w:bottom w:val="single" w:sz="12" w:space="0" w:color="008000"/>
              <w:right w:val="nil"/>
            </w:tcBorders>
            <w:shd w:val="clear" w:color="auto" w:fill="FFFFFF"/>
          </w:tcPr>
          <w:p w14:paraId="059BB2E2" w14:textId="620F1C6E" w:rsidR="00210B75" w:rsidRDefault="00210B75" w:rsidP="00BE2F04">
            <w:pPr>
              <w:pStyle w:val="CETBodytext"/>
              <w:spacing w:line="22" w:lineRule="atLeast"/>
              <w:ind w:right="-1"/>
              <w:jc w:val="center"/>
              <w:rPr>
                <w:rFonts w:cs="Arial"/>
                <w:szCs w:val="18"/>
              </w:rPr>
            </w:pPr>
            <w:r>
              <w:rPr>
                <w:rFonts w:cs="Arial"/>
                <w:szCs w:val="18"/>
              </w:rPr>
              <w:t>Wheat straw</w:t>
            </w:r>
          </w:p>
        </w:tc>
        <w:tc>
          <w:tcPr>
            <w:tcW w:w="1281" w:type="pct"/>
            <w:tcBorders>
              <w:top w:val="nil"/>
              <w:left w:val="nil"/>
              <w:bottom w:val="single" w:sz="12" w:space="0" w:color="008000"/>
              <w:right w:val="nil"/>
            </w:tcBorders>
            <w:shd w:val="clear" w:color="auto" w:fill="FFFFFF"/>
          </w:tcPr>
          <w:p w14:paraId="412A2A6B" w14:textId="62327FCE" w:rsidR="00210B75" w:rsidRDefault="00210B75" w:rsidP="00BE2F04">
            <w:pPr>
              <w:pStyle w:val="CETBodytext"/>
              <w:spacing w:line="22" w:lineRule="atLeast"/>
              <w:ind w:right="-1"/>
              <w:jc w:val="center"/>
              <w:rPr>
                <w:rFonts w:cs="Arial"/>
                <w:szCs w:val="18"/>
              </w:rPr>
            </w:pPr>
            <w:r>
              <w:rPr>
                <w:rFonts w:cs="Arial"/>
                <w:szCs w:val="18"/>
              </w:rPr>
              <w:t>No pretreatments</w:t>
            </w:r>
          </w:p>
        </w:tc>
        <w:tc>
          <w:tcPr>
            <w:tcW w:w="649" w:type="pct"/>
            <w:tcBorders>
              <w:top w:val="nil"/>
              <w:left w:val="nil"/>
              <w:bottom w:val="single" w:sz="12" w:space="0" w:color="008000"/>
              <w:right w:val="nil"/>
            </w:tcBorders>
            <w:shd w:val="clear" w:color="auto" w:fill="FFFFFF"/>
          </w:tcPr>
          <w:p w14:paraId="09AA2C0F" w14:textId="58A922CB" w:rsidR="00210B75" w:rsidRDefault="00210B75" w:rsidP="00BE2F04">
            <w:pPr>
              <w:pStyle w:val="CETBodytext"/>
              <w:spacing w:line="22" w:lineRule="atLeast"/>
              <w:ind w:right="-1"/>
              <w:jc w:val="center"/>
              <w:rPr>
                <w:rFonts w:cs="Arial"/>
                <w:i/>
                <w:iCs/>
                <w:szCs w:val="18"/>
              </w:rPr>
            </w:pPr>
            <w:proofErr w:type="spellStart"/>
            <w:r>
              <w:rPr>
                <w:rFonts w:cs="Arial"/>
                <w:i/>
                <w:iCs/>
                <w:szCs w:val="18"/>
              </w:rPr>
              <w:t>Fibrobacter</w:t>
            </w:r>
            <w:proofErr w:type="spellEnd"/>
            <w:r>
              <w:rPr>
                <w:rFonts w:cs="Arial"/>
                <w:i/>
                <w:iCs/>
                <w:szCs w:val="18"/>
              </w:rPr>
              <w:t xml:space="preserve"> succinogenes</w:t>
            </w:r>
          </w:p>
        </w:tc>
        <w:tc>
          <w:tcPr>
            <w:tcW w:w="911" w:type="pct"/>
            <w:tcBorders>
              <w:top w:val="nil"/>
              <w:left w:val="nil"/>
              <w:bottom w:val="single" w:sz="12" w:space="0" w:color="008000"/>
              <w:right w:val="nil"/>
            </w:tcBorders>
            <w:shd w:val="clear" w:color="auto" w:fill="FFFFFF"/>
          </w:tcPr>
          <w:p w14:paraId="6068DF1D" w14:textId="39085AE3" w:rsidR="00210B75" w:rsidRDefault="00210B75" w:rsidP="00BE2F04">
            <w:pPr>
              <w:pStyle w:val="CETBodytext"/>
              <w:spacing w:line="22" w:lineRule="atLeast"/>
              <w:ind w:right="-1"/>
              <w:jc w:val="center"/>
              <w:rPr>
                <w:rFonts w:cs="Arial"/>
                <w:szCs w:val="18"/>
              </w:rPr>
            </w:pPr>
            <w:r>
              <w:rPr>
                <w:rFonts w:cs="Arial"/>
                <w:szCs w:val="18"/>
              </w:rPr>
              <w:t>NR</w:t>
            </w:r>
          </w:p>
        </w:tc>
        <w:tc>
          <w:tcPr>
            <w:tcW w:w="562" w:type="pct"/>
            <w:tcBorders>
              <w:top w:val="nil"/>
              <w:left w:val="nil"/>
              <w:bottom w:val="single" w:sz="12" w:space="0" w:color="008000"/>
              <w:right w:val="nil"/>
            </w:tcBorders>
            <w:shd w:val="clear" w:color="auto" w:fill="FFFFFF"/>
          </w:tcPr>
          <w:p w14:paraId="3244470F" w14:textId="265E9445" w:rsidR="00210B75" w:rsidRDefault="00210B75" w:rsidP="00414A95">
            <w:pPr>
              <w:pStyle w:val="CETBodytext"/>
              <w:spacing w:line="22" w:lineRule="atLeast"/>
              <w:ind w:right="-1"/>
              <w:jc w:val="center"/>
              <w:rPr>
                <w:rFonts w:cs="Arial"/>
                <w:szCs w:val="18"/>
              </w:rPr>
            </w:pPr>
            <w:r>
              <w:rPr>
                <w:rFonts w:cs="Arial"/>
                <w:szCs w:val="18"/>
              </w:rPr>
              <w:t>1.5</w:t>
            </w:r>
          </w:p>
        </w:tc>
        <w:tc>
          <w:tcPr>
            <w:tcW w:w="320" w:type="pct"/>
            <w:tcBorders>
              <w:top w:val="nil"/>
              <w:left w:val="nil"/>
              <w:bottom w:val="single" w:sz="12" w:space="0" w:color="008000"/>
              <w:right w:val="nil"/>
            </w:tcBorders>
            <w:shd w:val="clear" w:color="auto" w:fill="FFFFFF"/>
          </w:tcPr>
          <w:p w14:paraId="0066D708" w14:textId="5BE1766B" w:rsidR="00210B75" w:rsidRDefault="00210B75" w:rsidP="00BE2F04">
            <w:pPr>
              <w:pStyle w:val="CETBodytext"/>
              <w:spacing w:line="22" w:lineRule="atLeast"/>
              <w:ind w:right="-1"/>
              <w:jc w:val="center"/>
              <w:rPr>
                <w:rFonts w:cs="Arial"/>
                <w:szCs w:val="18"/>
              </w:rPr>
            </w:pPr>
            <w:r>
              <w:rPr>
                <w:rFonts w:cs="Arial"/>
                <w:szCs w:val="18"/>
              </w:rPr>
              <w:t>0.05</w:t>
            </w:r>
          </w:p>
        </w:tc>
        <w:tc>
          <w:tcPr>
            <w:tcW w:w="675" w:type="pct"/>
            <w:tcBorders>
              <w:top w:val="nil"/>
              <w:left w:val="nil"/>
              <w:bottom w:val="single" w:sz="12" w:space="0" w:color="008000"/>
              <w:right w:val="nil"/>
            </w:tcBorders>
            <w:shd w:val="clear" w:color="auto" w:fill="FFFFFF"/>
          </w:tcPr>
          <w:p w14:paraId="0453F373" w14:textId="005BCB54" w:rsidR="00210B75" w:rsidRPr="00210B75" w:rsidRDefault="00210B75" w:rsidP="00BE2F04">
            <w:pPr>
              <w:pStyle w:val="CETBodytext"/>
              <w:spacing w:line="22" w:lineRule="atLeast"/>
              <w:ind w:right="-1"/>
              <w:jc w:val="center"/>
              <w:rPr>
                <w:rFonts w:cs="Arial"/>
                <w:szCs w:val="18"/>
              </w:rPr>
            </w:pPr>
            <w:r>
              <w:rPr>
                <w:rFonts w:cs="Arial"/>
                <w:szCs w:val="18"/>
              </w:rPr>
              <w:t>Li et al. (2010)</w:t>
            </w:r>
          </w:p>
        </w:tc>
      </w:tr>
    </w:tbl>
    <w:p w14:paraId="59330348" w14:textId="1511D54C" w:rsidR="00086D49" w:rsidRPr="00074280" w:rsidRDefault="00086D49" w:rsidP="006F1B83">
      <w:pPr>
        <w:pStyle w:val="CETReference"/>
        <w:rPr>
          <w:lang w:val="en-US"/>
        </w:rPr>
        <w:sectPr w:rsidR="00086D49" w:rsidRPr="00074280" w:rsidSect="004F7B54">
          <w:pgSz w:w="16838" w:h="11906" w:orient="landscape" w:code="9"/>
          <w:pgMar w:top="1701" w:right="1701" w:bottom="1418" w:left="1701" w:header="1701" w:footer="0" w:gutter="0"/>
          <w:cols w:space="708"/>
          <w:formProt w:val="0"/>
          <w:titlePg/>
          <w:docGrid w:linePitch="360"/>
        </w:sectPr>
      </w:pPr>
    </w:p>
    <w:p w14:paraId="2B235106" w14:textId="31B38F2E" w:rsidR="00344201" w:rsidRDefault="00B10FA4" w:rsidP="00DB016A">
      <w:proofErr w:type="spellStart"/>
      <w:r w:rsidRPr="00210B75">
        <w:rPr>
          <w:rFonts w:cs="Arial"/>
          <w:szCs w:val="18"/>
        </w:rPr>
        <w:t>Dąbkowska</w:t>
      </w:r>
      <w:proofErr w:type="spellEnd"/>
      <w:r w:rsidRPr="00210B75">
        <w:rPr>
          <w:rFonts w:cs="Arial"/>
          <w:szCs w:val="18"/>
        </w:rPr>
        <w:t xml:space="preserve"> et al. (2019)</w:t>
      </w:r>
      <w:r>
        <w:rPr>
          <w:rFonts w:cs="Arial"/>
          <w:szCs w:val="18"/>
        </w:rPr>
        <w:t xml:space="preserve"> reached the concentration of 23.5 g/L of </w:t>
      </w:r>
      <w:r>
        <w:t xml:space="preserve">succinic acid after the optimization of the ratio of </w:t>
      </w:r>
      <w:proofErr w:type="spellStart"/>
      <w:r w:rsidRPr="00B10FA4">
        <w:rPr>
          <w:i/>
        </w:rPr>
        <w:t>Mischantus</w:t>
      </w:r>
      <w:proofErr w:type="spellEnd"/>
      <w:r w:rsidRPr="00B10FA4">
        <w:t xml:space="preserve"> straw</w:t>
      </w:r>
      <w:r>
        <w:t xml:space="preserve"> hydrolysate at 75:25 v/v hydrolysate to medium mixing ratio.</w:t>
      </w:r>
      <w:r w:rsidR="00D7509D">
        <w:t xml:space="preserve"> </w:t>
      </w:r>
      <w:proofErr w:type="spellStart"/>
      <w:r w:rsidR="00D7509D" w:rsidRPr="00622902">
        <w:t>Sawisit</w:t>
      </w:r>
      <w:proofErr w:type="spellEnd"/>
      <w:r w:rsidR="00D7509D" w:rsidRPr="00622902">
        <w:t xml:space="preserve"> et al. (2018)</w:t>
      </w:r>
      <w:r w:rsidR="00D7509D" w:rsidRPr="00D7509D">
        <w:t xml:space="preserve"> </w:t>
      </w:r>
      <w:r w:rsidR="00D7509D">
        <w:t xml:space="preserve">investigated the </w:t>
      </w:r>
      <w:r>
        <w:t>s</w:t>
      </w:r>
      <w:r w:rsidRPr="00B10FA4">
        <w:t>imultaneous saccharification and fermentation (SSF)</w:t>
      </w:r>
      <w:r>
        <w:t xml:space="preserve"> at batch and fed-batch by using alkaline pre-treated and hydrolysed rice straw </w:t>
      </w:r>
      <w:r w:rsidR="00622902">
        <w:t xml:space="preserve">treated </w:t>
      </w:r>
      <w:r>
        <w:t>by</w:t>
      </w:r>
      <w:r w:rsidR="00622902">
        <w:t xml:space="preserve"> using</w:t>
      </w:r>
      <w:r>
        <w:t xml:space="preserve"> cellulose and xylanase enzymes</w:t>
      </w:r>
      <w:r w:rsidR="00622902">
        <w:t xml:space="preserve">. The authors achieved the highest succinic acid production under fed-batch SSF than batch SSF by using the same hydrolysate feedstock and by using the </w:t>
      </w:r>
      <w:r w:rsidR="00622902" w:rsidRPr="00622902">
        <w:t xml:space="preserve">engineered </w:t>
      </w:r>
      <w:r w:rsidR="00622902" w:rsidRPr="00AA6E26">
        <w:rPr>
          <w:i/>
        </w:rPr>
        <w:t>E. coli</w:t>
      </w:r>
      <w:r w:rsidR="00622902" w:rsidRPr="00622902">
        <w:t xml:space="preserve"> KJ122</w:t>
      </w:r>
      <w:r w:rsidR="00622902">
        <w:t>.</w:t>
      </w:r>
      <w:r w:rsidR="000A0975">
        <w:t xml:space="preserve"> A</w:t>
      </w:r>
      <w:r w:rsidR="000A0975" w:rsidRPr="000A0975">
        <w:t xml:space="preserve"> novel </w:t>
      </w:r>
      <w:r w:rsidR="000A0975" w:rsidRPr="00AA6E26">
        <w:rPr>
          <w:i/>
        </w:rPr>
        <w:t>in-situ</w:t>
      </w:r>
      <w:r w:rsidR="000A0975" w:rsidRPr="000A0975">
        <w:t xml:space="preserve"> semi- simultaneous saccharification and co-fermentation (SSSCF)</w:t>
      </w:r>
      <w:r w:rsidR="000A0975">
        <w:t xml:space="preserve"> was developed by Chen et al. 2021 that reached the SA </w:t>
      </w:r>
      <w:r w:rsidR="00166F86">
        <w:t>concentration</w:t>
      </w:r>
      <w:r w:rsidR="000A0975">
        <w:t xml:space="preserve"> of 41 g/L</w:t>
      </w:r>
      <w:r w:rsidR="00604955">
        <w:t xml:space="preserve"> by using undried </w:t>
      </w:r>
      <w:r w:rsidR="00604955" w:rsidRPr="00604955">
        <w:t>alkali-pretreated sugarcane bagasse residuals</w:t>
      </w:r>
      <w:r w:rsidR="00604955">
        <w:t xml:space="preserve"> that was enzymatically </w:t>
      </w:r>
      <w:proofErr w:type="spellStart"/>
      <w:r w:rsidR="00604955">
        <w:t>hydrolized</w:t>
      </w:r>
      <w:proofErr w:type="spellEnd"/>
      <w:r w:rsidR="00604955">
        <w:t xml:space="preserve"> and </w:t>
      </w:r>
      <w:r w:rsidR="00D7509D" w:rsidRPr="00D7509D">
        <w:t>progressively</w:t>
      </w:r>
      <w:r w:rsidR="00D7509D">
        <w:t xml:space="preserve"> in the same bottles, </w:t>
      </w:r>
      <w:r w:rsidR="00604955">
        <w:t xml:space="preserve">SA fermentation was started by adding growth medium and </w:t>
      </w:r>
      <w:r w:rsidR="00604955" w:rsidRPr="00AA6E26">
        <w:rPr>
          <w:i/>
        </w:rPr>
        <w:t>A. succinogenes</w:t>
      </w:r>
      <w:r w:rsidR="00604955">
        <w:t xml:space="preserve"> inoculum (10% v/v).</w:t>
      </w:r>
      <w:r w:rsidR="00A5794F">
        <w:t xml:space="preserve"> Lo et al. 2020 </w:t>
      </w:r>
      <w:r w:rsidR="00140928">
        <w:t xml:space="preserve">after the optimization of </w:t>
      </w:r>
      <w:r w:rsidR="00A5794F">
        <w:t>the acid pretreatment of s</w:t>
      </w:r>
      <w:r w:rsidR="00A5794F" w:rsidRPr="00A5794F">
        <w:t>weet sorghum bagasse</w:t>
      </w:r>
      <w:r w:rsidR="00A5794F">
        <w:t xml:space="preserve"> </w:t>
      </w:r>
      <w:r w:rsidR="00140928">
        <w:t>(</w:t>
      </w:r>
      <w:r w:rsidR="00A5794F">
        <w:t>at 50 °C, 1 hour</w:t>
      </w:r>
      <w:r w:rsidR="00140928">
        <w:t>)</w:t>
      </w:r>
      <w:r w:rsidR="00A5794F">
        <w:t xml:space="preserve"> </w:t>
      </w:r>
      <w:r w:rsidR="00D7509D">
        <w:t xml:space="preserve">and starting from 29.2 g/L cellulosic glucose after enzymatic hydrolysis, </w:t>
      </w:r>
      <w:r w:rsidR="00A5794F">
        <w:t>reached the concentration of 17.8 g/</w:t>
      </w:r>
      <w:r w:rsidR="00417B57">
        <w:t xml:space="preserve">L </w:t>
      </w:r>
      <w:r w:rsidR="00A5794F">
        <w:t xml:space="preserve">of succinic acid under </w:t>
      </w:r>
      <w:r w:rsidR="00D7509D">
        <w:t xml:space="preserve">strictly </w:t>
      </w:r>
      <w:r w:rsidR="005F7C6F">
        <w:t>anaerobic condition by suppling 2.5 M Na</w:t>
      </w:r>
      <w:r w:rsidR="005F7C6F" w:rsidRPr="00AA6E26">
        <w:rPr>
          <w:vertAlign w:val="subscript"/>
        </w:rPr>
        <w:t>2</w:t>
      </w:r>
      <w:r w:rsidR="005F7C6F">
        <w:t>CO</w:t>
      </w:r>
      <w:r w:rsidR="005F7C6F" w:rsidRPr="00AA6E26">
        <w:rPr>
          <w:vertAlign w:val="subscript"/>
        </w:rPr>
        <w:t>3</w:t>
      </w:r>
      <w:r w:rsidR="005F7C6F">
        <w:t xml:space="preserve"> and CO</w:t>
      </w:r>
      <w:r w:rsidR="005F7C6F" w:rsidRPr="00655507">
        <w:rPr>
          <w:vertAlign w:val="subscript"/>
        </w:rPr>
        <w:t>2</w:t>
      </w:r>
      <w:r w:rsidR="005F7C6F">
        <w:t xml:space="preserve"> (0.5 </w:t>
      </w:r>
      <w:proofErr w:type="spellStart"/>
      <w:r w:rsidR="005F7C6F">
        <w:t>vvm</w:t>
      </w:r>
      <w:proofErr w:type="spellEnd"/>
      <w:r w:rsidR="005F7C6F">
        <w:t xml:space="preserve">) </w:t>
      </w:r>
      <w:r w:rsidR="00D7509D">
        <w:t>in</w:t>
      </w:r>
      <w:r w:rsidR="005F7C6F">
        <w:t xml:space="preserve"> a 3–L reactor.</w:t>
      </w:r>
      <w:r w:rsidR="00AA6E26">
        <w:t xml:space="preserve"> </w:t>
      </w:r>
      <w:proofErr w:type="spellStart"/>
      <w:r w:rsidR="00166F86" w:rsidRPr="00166F86">
        <w:t>Jampatesh</w:t>
      </w:r>
      <w:proofErr w:type="spellEnd"/>
      <w:r w:rsidR="00166F86" w:rsidRPr="00166F86">
        <w:t xml:space="preserve"> et al. (2019)</w:t>
      </w:r>
      <w:r w:rsidR="00166F86">
        <w:t xml:space="preserve"> obtained the best result on SA concentration 14 g/</w:t>
      </w:r>
      <w:r w:rsidR="00D7509D">
        <w:t xml:space="preserve">L </w:t>
      </w:r>
      <w:r w:rsidR="00166F86">
        <w:t xml:space="preserve">at the yield of 0.14 g/g by using 70% of hydrolysate as feedstock </w:t>
      </w:r>
      <w:r w:rsidR="00D7509D">
        <w:t xml:space="preserve">for the </w:t>
      </w:r>
      <w:r w:rsidR="00166F86">
        <w:t xml:space="preserve">fermentation process. </w:t>
      </w:r>
      <w:r w:rsidR="00344201" w:rsidRPr="00344201">
        <w:t>Bukhari et al. (2020)</w:t>
      </w:r>
      <w:r w:rsidR="00344201">
        <w:t xml:space="preserve"> tested different organic acid (oxalic, citric and formic acids) to pretreat oil palm trunk biomass. The authors observed that the pre</w:t>
      </w:r>
      <w:r w:rsidR="00D7509D">
        <w:t>-</w:t>
      </w:r>
      <w:r w:rsidR="00344201">
        <w:t xml:space="preserve">treatment by using oxalic acid was the best to reach the highest recovery of glucose &gt;60% but the best </w:t>
      </w:r>
      <w:r w:rsidR="00D7509D">
        <w:t xml:space="preserve">results on </w:t>
      </w:r>
      <w:r w:rsidR="00344201">
        <w:t xml:space="preserve">succinic acid production was obtained when citric acid was used to treat the biomass. </w:t>
      </w:r>
    </w:p>
    <w:p w14:paraId="7B35B2F0" w14:textId="580AF575" w:rsidR="00A04EDF" w:rsidRPr="00DB016A" w:rsidRDefault="00344201" w:rsidP="00DB016A">
      <w:r>
        <w:t>T</w:t>
      </w:r>
      <w:r w:rsidRPr="00344201">
        <w:t xml:space="preserve">hese recent </w:t>
      </w:r>
      <w:r w:rsidR="001A6620">
        <w:t>findings</w:t>
      </w:r>
      <w:r w:rsidR="001A6620" w:rsidRPr="00344201">
        <w:t xml:space="preserve"> </w:t>
      </w:r>
      <w:r w:rsidRPr="00344201">
        <w:t xml:space="preserve">on the production of succinic acid from lignocellulosic biomass have shown how process optimization </w:t>
      </w:r>
      <w:r w:rsidR="006269D0" w:rsidRPr="00344201">
        <w:t>start</w:t>
      </w:r>
      <w:r w:rsidR="006269D0">
        <w:t>ed</w:t>
      </w:r>
      <w:r w:rsidR="006269D0" w:rsidRPr="00344201">
        <w:t xml:space="preserve"> </w:t>
      </w:r>
      <w:r w:rsidR="009D5416" w:rsidRPr="00344201">
        <w:t>from characterization of the biomass composition</w:t>
      </w:r>
      <w:r w:rsidRPr="00344201">
        <w:t xml:space="preserve"> to </w:t>
      </w:r>
      <w:r w:rsidR="006269D0">
        <w:t xml:space="preserve">the </w:t>
      </w:r>
      <w:r w:rsidRPr="00344201">
        <w:t>optimization of the pretreatment process, which almost always require</w:t>
      </w:r>
      <w:r w:rsidR="006269D0">
        <w:t>d</w:t>
      </w:r>
      <w:r w:rsidRPr="00344201">
        <w:t xml:space="preserve"> double pre</w:t>
      </w:r>
      <w:r w:rsidR="006269D0">
        <w:t>-</w:t>
      </w:r>
      <w:r w:rsidRPr="00344201">
        <w:t>treatment (chemical</w:t>
      </w:r>
      <w:r w:rsidR="001A6620">
        <w:t xml:space="preserve"> or physical/chemical</w:t>
      </w:r>
      <w:r w:rsidRPr="00344201">
        <w:t xml:space="preserve"> and enzymatic</w:t>
      </w:r>
      <w:r w:rsidR="006269D0">
        <w:t xml:space="preserve"> hydrolysis</w:t>
      </w:r>
      <w:r w:rsidRPr="00344201">
        <w:t xml:space="preserve">) except when the </w:t>
      </w:r>
      <w:r w:rsidR="006269D0" w:rsidRPr="006269D0">
        <w:t>saccharification and co-fermentation</w:t>
      </w:r>
      <w:r w:rsidRPr="00344201">
        <w:t xml:space="preserve"> approach </w:t>
      </w:r>
      <w:r w:rsidR="006269D0">
        <w:t>was</w:t>
      </w:r>
      <w:r w:rsidR="006269D0" w:rsidRPr="00344201">
        <w:t xml:space="preserve"> </w:t>
      </w:r>
      <w:r w:rsidR="006269D0">
        <w:t>experimented</w:t>
      </w:r>
      <w:r w:rsidRPr="00344201">
        <w:t>.</w:t>
      </w:r>
      <w:r w:rsidR="009A31A3">
        <w:t xml:space="preserve"> O</w:t>
      </w:r>
      <w:r w:rsidR="009A31A3" w:rsidRPr="009A31A3">
        <w:t>n the fermentation process, the aspects that seem</w:t>
      </w:r>
      <w:r w:rsidR="009A31A3">
        <w:t>ed</w:t>
      </w:r>
      <w:r w:rsidR="009A31A3" w:rsidRPr="009A31A3">
        <w:t xml:space="preserve"> to have the greatest influence on the performance of succinic acid production </w:t>
      </w:r>
      <w:r w:rsidR="009A31A3">
        <w:t>were</w:t>
      </w:r>
      <w:r w:rsidR="009A31A3" w:rsidRPr="009A31A3">
        <w:t>: the appropriate amount of hydrolysate as feedstock, the use of CO</w:t>
      </w:r>
      <w:r w:rsidR="009A31A3" w:rsidRPr="000B3990">
        <w:rPr>
          <w:vertAlign w:val="subscript"/>
        </w:rPr>
        <w:t>2</w:t>
      </w:r>
      <w:r w:rsidR="009A31A3" w:rsidRPr="009A31A3">
        <w:t xml:space="preserve"> or indirect sources of CO</w:t>
      </w:r>
      <w:r w:rsidR="009A31A3" w:rsidRPr="000B3990">
        <w:rPr>
          <w:vertAlign w:val="subscript"/>
        </w:rPr>
        <w:t>2</w:t>
      </w:r>
      <w:r w:rsidR="009A31A3" w:rsidRPr="009A31A3">
        <w:t xml:space="preserve">, the use of pH control buffers, and the use of engineered strains such as </w:t>
      </w:r>
      <w:r w:rsidR="009A31A3" w:rsidRPr="000B3990">
        <w:rPr>
          <w:i/>
        </w:rPr>
        <w:t xml:space="preserve">S. </w:t>
      </w:r>
      <w:proofErr w:type="spellStart"/>
      <w:r w:rsidR="009A31A3" w:rsidRPr="000B3990">
        <w:rPr>
          <w:i/>
        </w:rPr>
        <w:t>cerevisae</w:t>
      </w:r>
      <w:proofErr w:type="spellEnd"/>
      <w:r w:rsidR="009A31A3" w:rsidRPr="009A31A3">
        <w:t xml:space="preserve"> and </w:t>
      </w:r>
      <w:r w:rsidR="009A31A3" w:rsidRPr="000B3990">
        <w:rPr>
          <w:i/>
        </w:rPr>
        <w:t>E. coli</w:t>
      </w:r>
      <w:r w:rsidR="009A31A3" w:rsidRPr="009A31A3">
        <w:t xml:space="preserve"> </w:t>
      </w:r>
      <w:r w:rsidR="009A31A3">
        <w:t xml:space="preserve">that </w:t>
      </w:r>
      <w:r w:rsidR="009A31A3" w:rsidRPr="009A31A3">
        <w:t xml:space="preserve">could optimize the process compared with the use of </w:t>
      </w:r>
      <w:r w:rsidR="009A31A3">
        <w:t xml:space="preserve">natural SA producer </w:t>
      </w:r>
      <w:r w:rsidR="009A31A3" w:rsidRPr="009A31A3">
        <w:t xml:space="preserve">strains such as </w:t>
      </w:r>
      <w:r w:rsidR="009A31A3" w:rsidRPr="000B3990">
        <w:rPr>
          <w:i/>
        </w:rPr>
        <w:t>A. succinogenes</w:t>
      </w:r>
      <w:r w:rsidR="009A31A3" w:rsidRPr="009A31A3">
        <w:t>.</w:t>
      </w:r>
      <w:r w:rsidR="000B3990" w:rsidRPr="000B3990">
        <w:t xml:space="preserve"> Furthermore, among fermentation methodologies, simultaneous saccharification-fermentation appear</w:t>
      </w:r>
      <w:r w:rsidR="000B3990">
        <w:t>ed</w:t>
      </w:r>
      <w:r w:rsidR="000B3990" w:rsidRPr="000B3990">
        <w:t xml:space="preserve"> to be the most promising for succinic acid production from lignocellulosic biomass.</w:t>
      </w:r>
      <w:r w:rsidR="003A54D6">
        <w:t xml:space="preserve"> </w:t>
      </w:r>
      <w:r w:rsidR="00A04EDF">
        <w:t>A</w:t>
      </w:r>
      <w:r w:rsidR="00A04EDF" w:rsidRPr="00A04EDF">
        <w:t xml:space="preserve">nother critical aspect that requires further studies is the optimization of biomass pretreatment processes to reduce the production of inhibitory compounds for a better </w:t>
      </w:r>
      <w:proofErr w:type="spellStart"/>
      <w:r w:rsidR="00A04EDF" w:rsidRPr="00A04EDF">
        <w:t>valorization</w:t>
      </w:r>
      <w:proofErr w:type="spellEnd"/>
      <w:r w:rsidR="00A04EDF" w:rsidRPr="00A04EDF">
        <w:t xml:space="preserve"> of lignocellulosic biomasses through the optimization of the pretreatment process or by developing detoxification technologies of the pretreated.</w:t>
      </w:r>
    </w:p>
    <w:p w14:paraId="1E5AACFB" w14:textId="77777777" w:rsidR="00BE2F04" w:rsidRDefault="00BE2F04" w:rsidP="00F4382F">
      <w:pPr>
        <w:keepNext/>
        <w:numPr>
          <w:ilvl w:val="1"/>
          <w:numId w:val="1"/>
        </w:numPr>
        <w:tabs>
          <w:tab w:val="clear" w:pos="7100"/>
          <w:tab w:val="num" w:pos="360"/>
        </w:tabs>
        <w:suppressAutoHyphens/>
        <w:spacing w:before="240" w:after="120" w:line="240" w:lineRule="auto"/>
        <w:ind w:left="0"/>
        <w:jc w:val="left"/>
        <w:rPr>
          <w:b/>
          <w:sz w:val="20"/>
        </w:rPr>
      </w:pPr>
      <w:r w:rsidRPr="00F4382F">
        <w:rPr>
          <w:b/>
          <w:sz w:val="20"/>
        </w:rPr>
        <w:t>Conclusions</w:t>
      </w:r>
    </w:p>
    <w:p w14:paraId="5C837995" w14:textId="436B37F4" w:rsidR="00D153C8" w:rsidRPr="00BE2F04" w:rsidRDefault="00B1264A" w:rsidP="00B1264A">
      <w:r>
        <w:t xml:space="preserve">The evaluations on the most recent findings highlighted how </w:t>
      </w:r>
      <w:r w:rsidR="00D7509D">
        <w:t xml:space="preserve">several </w:t>
      </w:r>
      <w:r>
        <w:t>optimization</w:t>
      </w:r>
      <w:r w:rsidR="00D7509D">
        <w:t>s</w:t>
      </w:r>
      <w:r w:rsidR="003A54D6">
        <w:t xml:space="preserve"> and</w:t>
      </w:r>
      <w:r>
        <w:t xml:space="preserve"> </w:t>
      </w:r>
      <w:r w:rsidR="003A54D6">
        <w:t xml:space="preserve">new strategies </w:t>
      </w:r>
      <w:r w:rsidR="00D7509D">
        <w:t>are</w:t>
      </w:r>
      <w:r>
        <w:t xml:space="preserve"> </w:t>
      </w:r>
      <w:r w:rsidR="003A54D6">
        <w:t xml:space="preserve">still </w:t>
      </w:r>
      <w:r>
        <w:t xml:space="preserve">necessary </w:t>
      </w:r>
      <w:r w:rsidR="003A54D6">
        <w:t xml:space="preserve">on the production of succinic acid from lignocellulosic biomass, </w:t>
      </w:r>
      <w:r>
        <w:t>starting from the pre-treatment of the biomass due to the variable initial composition of the matrix</w:t>
      </w:r>
      <w:r w:rsidR="00D7509D">
        <w:t xml:space="preserve"> till to the fermentation process</w:t>
      </w:r>
      <w:r w:rsidR="00D153C8">
        <w:t>.</w:t>
      </w:r>
    </w:p>
    <w:p w14:paraId="0B93411B" w14:textId="77777777" w:rsidR="00BE2F04" w:rsidRPr="00B57B36" w:rsidRDefault="00BE2F04" w:rsidP="00BE2F04">
      <w:pPr>
        <w:pStyle w:val="CETAcknowledgementstitle"/>
      </w:pPr>
      <w:r w:rsidRPr="00B57B36">
        <w:t>Acknowledgments</w:t>
      </w:r>
    </w:p>
    <w:p w14:paraId="29268989" w14:textId="44406A5A" w:rsidR="00086D49" w:rsidRPr="00BE2F04" w:rsidRDefault="00BE2F04" w:rsidP="00BE2F04">
      <w:pPr>
        <w:pStyle w:val="CETBodytext"/>
        <w:rPr>
          <w:lang w:val="en-GB"/>
        </w:rPr>
      </w:pPr>
      <w:r w:rsidRPr="00BE2F04">
        <w:rPr>
          <w:lang w:val="en-GB"/>
        </w:rPr>
        <w:t xml:space="preserve">This work was supported by The National Recovery and Resilience Plan (NRRP) - Next Generation EU – Mission 4, Component 2, </w:t>
      </w:r>
      <w:proofErr w:type="spellStart"/>
      <w:r w:rsidRPr="00BE2F04">
        <w:rPr>
          <w:lang w:val="en-GB"/>
        </w:rPr>
        <w:t>Investiment</w:t>
      </w:r>
      <w:proofErr w:type="spellEnd"/>
      <w:r w:rsidRPr="00BE2F04">
        <w:rPr>
          <w:lang w:val="en-GB"/>
        </w:rPr>
        <w:t xml:space="preserve"> 1.4, under the “National Research Centre for Agricultural Technologies”, </w:t>
      </w:r>
      <w:proofErr w:type="spellStart"/>
      <w:r w:rsidRPr="00BE2F04">
        <w:rPr>
          <w:lang w:val="en-GB"/>
        </w:rPr>
        <w:t>Agritech</w:t>
      </w:r>
      <w:proofErr w:type="spellEnd"/>
      <w:r w:rsidRPr="00BE2F04">
        <w:rPr>
          <w:lang w:val="en-GB"/>
        </w:rPr>
        <w:t>, [grant number I63C22000350007].</w:t>
      </w:r>
    </w:p>
    <w:p w14:paraId="7BF2268A" w14:textId="2AFA2390" w:rsidR="006F1B83" w:rsidRDefault="00086D49" w:rsidP="006F1B83">
      <w:pPr>
        <w:pStyle w:val="CETReference"/>
      </w:pPr>
      <w:r>
        <w:t>R</w:t>
      </w:r>
      <w:r w:rsidR="006F1B83">
        <w:t>eference</w:t>
      </w:r>
    </w:p>
    <w:p w14:paraId="1764C936" w14:textId="1245B2E5" w:rsidR="00900842" w:rsidRPr="00377174" w:rsidRDefault="00900842" w:rsidP="00A8431E">
      <w:pPr>
        <w:pStyle w:val="CETReferencetext"/>
      </w:pPr>
      <w:r w:rsidRPr="00377174">
        <w:t>Bukhari, N. A., Jahim, J. M., Loh, S. K., Nasrin, A. B., Harun, S., Abdul, P. M.</w:t>
      </w:r>
      <w:r w:rsidR="009D5416">
        <w:t>,</w:t>
      </w:r>
      <w:r w:rsidRPr="00377174">
        <w:t xml:space="preserve"> 2020. Organic acid pretreatment of oil palm trunk biomass for succinic acid production. Waste and Biomass </w:t>
      </w:r>
      <w:proofErr w:type="spellStart"/>
      <w:r w:rsidRPr="00377174">
        <w:t>Valorization</w:t>
      </w:r>
      <w:proofErr w:type="spellEnd"/>
      <w:r w:rsidRPr="00377174">
        <w:t>, 11, 5549</w:t>
      </w:r>
      <w:r w:rsidR="00377174" w:rsidRPr="00377174">
        <w:t>–</w:t>
      </w:r>
      <w:r w:rsidRPr="00377174">
        <w:t>5559.</w:t>
      </w:r>
    </w:p>
    <w:p w14:paraId="1087DC16" w14:textId="72CEC280" w:rsidR="00900842" w:rsidRPr="00377174" w:rsidRDefault="00900842" w:rsidP="006E2796">
      <w:pPr>
        <w:pStyle w:val="CETReferencetext"/>
      </w:pPr>
      <w:r w:rsidRPr="00377174">
        <w:t>Chen, J., Yang, S., Alam, M. A., Wang, Z., Zhang, J., Huang, S., ... Xu, J.</w:t>
      </w:r>
      <w:r w:rsidR="009D5416">
        <w:t>,</w:t>
      </w:r>
      <w:r w:rsidRPr="00377174">
        <w:t xml:space="preserve"> 2021. Novel biorefining method for succinic acid processed from sugarcane bagasse. Bioresource Technology, 324, 124615.</w:t>
      </w:r>
    </w:p>
    <w:p w14:paraId="4712E5B3" w14:textId="449E8EBE" w:rsidR="00900842" w:rsidRPr="00377174" w:rsidRDefault="00900842" w:rsidP="00112FDC">
      <w:pPr>
        <w:pStyle w:val="CETReferencetext"/>
      </w:pPr>
      <w:r w:rsidRPr="00377174">
        <w:t>Christopher, M., Mathew, A.K., Kiran Kumar, M., Pandey, A., Sukumaran, R.K., 2017. A biorefinery-based approach for the production of ethanol from enzymatically hydrolysed cotton stalks. Bioresour</w:t>
      </w:r>
      <w:r w:rsidR="007A25D6" w:rsidRPr="00266DFF">
        <w:t>ce</w:t>
      </w:r>
      <w:r w:rsidRPr="00377174">
        <w:t xml:space="preserve"> Technol</w:t>
      </w:r>
      <w:r w:rsidR="007A25D6" w:rsidRPr="00266DFF">
        <w:t>ogy,</w:t>
      </w:r>
      <w:r w:rsidRPr="00377174">
        <w:t xml:space="preserve"> 242, 178–183.</w:t>
      </w:r>
    </w:p>
    <w:p w14:paraId="3B02D639" w14:textId="7E0858DF" w:rsidR="00900842" w:rsidRPr="00377174" w:rsidRDefault="00900842" w:rsidP="00112FDC">
      <w:pPr>
        <w:pStyle w:val="CETReferencetext"/>
      </w:pPr>
      <w:proofErr w:type="spellStart"/>
      <w:r w:rsidRPr="009D5416">
        <w:rPr>
          <w:lang w:val="it-IT"/>
        </w:rPr>
        <w:t>Dąbkowska</w:t>
      </w:r>
      <w:proofErr w:type="spellEnd"/>
      <w:r w:rsidRPr="009D5416">
        <w:rPr>
          <w:lang w:val="it-IT"/>
        </w:rPr>
        <w:t xml:space="preserve">, K., Alvarado-Morales, M., </w:t>
      </w:r>
      <w:proofErr w:type="spellStart"/>
      <w:r w:rsidRPr="009D5416">
        <w:rPr>
          <w:lang w:val="it-IT"/>
        </w:rPr>
        <w:t>Kuglarz</w:t>
      </w:r>
      <w:proofErr w:type="spellEnd"/>
      <w:r w:rsidRPr="009D5416">
        <w:rPr>
          <w:lang w:val="it-IT"/>
        </w:rPr>
        <w:t xml:space="preserve">, M., </w:t>
      </w:r>
      <w:proofErr w:type="spellStart"/>
      <w:r w:rsidRPr="009D5416">
        <w:rPr>
          <w:lang w:val="it-IT"/>
        </w:rPr>
        <w:t>Angelidaki</w:t>
      </w:r>
      <w:proofErr w:type="spellEnd"/>
      <w:r w:rsidRPr="009D5416">
        <w:rPr>
          <w:lang w:val="it-IT"/>
        </w:rPr>
        <w:t>, I.</w:t>
      </w:r>
      <w:r w:rsidR="009D5416" w:rsidRPr="009D5416">
        <w:rPr>
          <w:lang w:val="it-IT"/>
        </w:rPr>
        <w:t>,</w:t>
      </w:r>
      <w:r w:rsidRPr="009D5416">
        <w:rPr>
          <w:lang w:val="it-IT"/>
        </w:rPr>
        <w:t xml:space="preserve"> 2019. </w:t>
      </w:r>
      <w:r w:rsidRPr="00377174">
        <w:t xml:space="preserve">Miscanthus straw as substrate for </w:t>
      </w:r>
      <w:proofErr w:type="spellStart"/>
      <w:r w:rsidRPr="00377174">
        <w:t>biosuccinic</w:t>
      </w:r>
      <w:proofErr w:type="spellEnd"/>
      <w:r w:rsidRPr="00377174">
        <w:t xml:space="preserve"> acid production: Focusing on pretreatment and downstream processing. Bioresource technology, 278, 82</w:t>
      </w:r>
      <w:r w:rsidR="008C2612" w:rsidRPr="00377174">
        <w:t>–</w:t>
      </w:r>
      <w:r w:rsidRPr="00377174">
        <w:t>91.</w:t>
      </w:r>
    </w:p>
    <w:p w14:paraId="76E12C82" w14:textId="4F645E95" w:rsidR="00900842" w:rsidRDefault="00900842" w:rsidP="00112FDC">
      <w:pPr>
        <w:pStyle w:val="CETReferencetext"/>
      </w:pPr>
      <w:r w:rsidRPr="00377174">
        <w:t>Dessie, W., Xin, F., Zhang, W., Zhou, J., Wu, H., Ma, J., Jiang, M.</w:t>
      </w:r>
      <w:r w:rsidR="009D5416">
        <w:t>,</w:t>
      </w:r>
      <w:r w:rsidRPr="00377174">
        <w:t xml:space="preserve"> 2019. Inhibitory effects of lignocellulose pretreatment degradation products (</w:t>
      </w:r>
      <w:proofErr w:type="spellStart"/>
      <w:r w:rsidRPr="00377174">
        <w:t>hydroxymethylfurfural</w:t>
      </w:r>
      <w:proofErr w:type="spellEnd"/>
      <w:r w:rsidRPr="00377174">
        <w:t xml:space="preserve"> and furfural) on succinic acid producing Actinobacillus succinogenes. Biochemical Engineering Journal, 150, 107263.</w:t>
      </w:r>
    </w:p>
    <w:p w14:paraId="37757555" w14:textId="2957A16A" w:rsidR="00900842" w:rsidRDefault="00900842" w:rsidP="00112FDC">
      <w:pPr>
        <w:pStyle w:val="CETReferencetext"/>
      </w:pPr>
      <w:r w:rsidRPr="00266DFF">
        <w:t>Gao, X., Tong, X., Zhang, Y., Xue, S.</w:t>
      </w:r>
      <w:r w:rsidR="009D5416">
        <w:t>,</w:t>
      </w:r>
      <w:r w:rsidRPr="00266DFF">
        <w:t xml:space="preserve"> 2023. The sustainable production of succinic anhydride from renewable biomass. </w:t>
      </w:r>
      <w:proofErr w:type="spellStart"/>
      <w:r w:rsidRPr="00266DFF">
        <w:t>iScience</w:t>
      </w:r>
      <w:proofErr w:type="spellEnd"/>
      <w:r w:rsidR="00377174" w:rsidRPr="00266DFF">
        <w:t>, 26(7)</w:t>
      </w:r>
      <w:r w:rsidR="00E15635" w:rsidRPr="00266DFF">
        <w:t>, 107203.</w:t>
      </w:r>
    </w:p>
    <w:p w14:paraId="30230C55" w14:textId="6031A404" w:rsidR="00900842" w:rsidRPr="00377174" w:rsidRDefault="00900842" w:rsidP="00112FDC">
      <w:pPr>
        <w:pStyle w:val="CETReferencetext"/>
      </w:pPr>
      <w:r w:rsidRPr="00377174">
        <w:t xml:space="preserve">Imman, S., </w:t>
      </w:r>
      <w:proofErr w:type="spellStart"/>
      <w:r w:rsidRPr="00377174">
        <w:t>Arnthong</w:t>
      </w:r>
      <w:proofErr w:type="spellEnd"/>
      <w:r w:rsidRPr="00377174">
        <w:t xml:space="preserve">, J., </w:t>
      </w:r>
      <w:proofErr w:type="spellStart"/>
      <w:r w:rsidRPr="00377174">
        <w:t>Burapatana</w:t>
      </w:r>
      <w:proofErr w:type="spellEnd"/>
      <w:r w:rsidRPr="00377174">
        <w:t xml:space="preserve">, V., </w:t>
      </w:r>
      <w:proofErr w:type="spellStart"/>
      <w:r w:rsidRPr="00377174">
        <w:t>Champreda</w:t>
      </w:r>
      <w:proofErr w:type="spellEnd"/>
      <w:r w:rsidRPr="00377174">
        <w:t xml:space="preserve">, V., </w:t>
      </w:r>
      <w:proofErr w:type="spellStart"/>
      <w:r w:rsidRPr="00377174">
        <w:t>Laosiripojana</w:t>
      </w:r>
      <w:proofErr w:type="spellEnd"/>
      <w:r w:rsidRPr="00377174">
        <w:t>, N.,</w:t>
      </w:r>
      <w:r w:rsidR="009D5416">
        <w:t xml:space="preserve"> </w:t>
      </w:r>
      <w:r w:rsidRPr="00377174">
        <w:t>2015. Fractionation of rice straw by a single-step solvothermal process: Effects of solvents, acid promoters, and microwave treatment. Renew</w:t>
      </w:r>
      <w:r w:rsidR="007A25D6" w:rsidRPr="00377174">
        <w:t>able</w:t>
      </w:r>
      <w:r w:rsidRPr="00377174">
        <w:t xml:space="preserve"> Energy 83, 663–673.</w:t>
      </w:r>
    </w:p>
    <w:p w14:paraId="4B9CD32C" w14:textId="09015937" w:rsidR="00900842" w:rsidRPr="00377174" w:rsidRDefault="00900842" w:rsidP="006E2796">
      <w:pPr>
        <w:pStyle w:val="CETReferencetext"/>
      </w:pPr>
      <w:proofErr w:type="spellStart"/>
      <w:r w:rsidRPr="00377174">
        <w:t>Jampatesh</w:t>
      </w:r>
      <w:proofErr w:type="spellEnd"/>
      <w:r w:rsidRPr="00377174">
        <w:t xml:space="preserve">, S., </w:t>
      </w:r>
      <w:proofErr w:type="spellStart"/>
      <w:r w:rsidRPr="00377174">
        <w:t>Sawisit</w:t>
      </w:r>
      <w:proofErr w:type="spellEnd"/>
      <w:r w:rsidRPr="00377174">
        <w:t xml:space="preserve">, A., Wong, N., </w:t>
      </w:r>
      <w:proofErr w:type="spellStart"/>
      <w:r w:rsidRPr="00377174">
        <w:t>Jantama</w:t>
      </w:r>
      <w:proofErr w:type="spellEnd"/>
      <w:r w:rsidRPr="00377174">
        <w:t xml:space="preserve">, S. S., </w:t>
      </w:r>
      <w:proofErr w:type="spellStart"/>
      <w:r w:rsidRPr="00377174">
        <w:t>Jantama</w:t>
      </w:r>
      <w:proofErr w:type="spellEnd"/>
      <w:r w:rsidRPr="00377174">
        <w:t>, K.</w:t>
      </w:r>
      <w:r w:rsidR="009D5416">
        <w:t>,</w:t>
      </w:r>
      <w:r w:rsidRPr="00377174">
        <w:t xml:space="preserve"> 2019. Evaluation of inhibitory effect and feasible utilization of dilute acid-pretreated rice straws on succinate production by metabolically engineered Escherichia coli AS1600a. Bioresource technology, 273, 93</w:t>
      </w:r>
      <w:r w:rsidR="00B34CE9" w:rsidRPr="00377174">
        <w:t>–</w:t>
      </w:r>
      <w:r w:rsidRPr="00377174">
        <w:t>102.</w:t>
      </w:r>
    </w:p>
    <w:p w14:paraId="5A5E24F6" w14:textId="1F081C50" w:rsidR="00900842" w:rsidRPr="00377174" w:rsidRDefault="00900842" w:rsidP="00112FDC">
      <w:pPr>
        <w:pStyle w:val="CETReferencetext"/>
      </w:pPr>
      <w:r w:rsidRPr="00377174">
        <w:t>Khan, T. S., Mubeen, U.</w:t>
      </w:r>
      <w:r w:rsidR="009D5416">
        <w:t>,</w:t>
      </w:r>
      <w:r w:rsidRPr="00377174">
        <w:t xml:space="preserve"> 2012. Wheat straw: A pragmatic overview. </w:t>
      </w:r>
      <w:r w:rsidR="00B34CE9" w:rsidRPr="00266DFF">
        <w:t>Current research journal of biological s</w:t>
      </w:r>
      <w:r w:rsidR="008C2612" w:rsidRPr="00377174">
        <w:t>ciences</w:t>
      </w:r>
      <w:r w:rsidRPr="00377174">
        <w:t>, 4(6), 673</w:t>
      </w:r>
      <w:r w:rsidR="008C2612" w:rsidRPr="00377174">
        <w:t>–</w:t>
      </w:r>
      <w:r w:rsidRPr="00377174">
        <w:t>675.</w:t>
      </w:r>
    </w:p>
    <w:p w14:paraId="68BCD35F" w14:textId="32E78422" w:rsidR="00900842" w:rsidRPr="00377174" w:rsidRDefault="00900842" w:rsidP="00525E2E">
      <w:pPr>
        <w:pStyle w:val="CETReferencetext"/>
      </w:pPr>
      <w:proofErr w:type="spellStart"/>
      <w:r w:rsidRPr="009D5416">
        <w:rPr>
          <w:lang w:val="it-IT"/>
        </w:rPr>
        <w:t>Kuglarz</w:t>
      </w:r>
      <w:proofErr w:type="spellEnd"/>
      <w:r w:rsidRPr="009D5416">
        <w:rPr>
          <w:lang w:val="it-IT"/>
        </w:rPr>
        <w:t xml:space="preserve">, M., Alvarado-Morales, M., </w:t>
      </w:r>
      <w:proofErr w:type="spellStart"/>
      <w:r w:rsidRPr="009D5416">
        <w:rPr>
          <w:lang w:val="it-IT"/>
        </w:rPr>
        <w:t>Dąbkowska</w:t>
      </w:r>
      <w:proofErr w:type="spellEnd"/>
      <w:r w:rsidRPr="009D5416">
        <w:rPr>
          <w:lang w:val="it-IT"/>
        </w:rPr>
        <w:t xml:space="preserve">, K., </w:t>
      </w:r>
      <w:proofErr w:type="spellStart"/>
      <w:r w:rsidRPr="009D5416">
        <w:rPr>
          <w:lang w:val="it-IT"/>
        </w:rPr>
        <w:t>Angelidaki</w:t>
      </w:r>
      <w:proofErr w:type="spellEnd"/>
      <w:r w:rsidRPr="009D5416">
        <w:rPr>
          <w:lang w:val="it-IT"/>
        </w:rPr>
        <w:t>, I.</w:t>
      </w:r>
      <w:r w:rsidR="009D5416" w:rsidRPr="009D5416">
        <w:rPr>
          <w:lang w:val="it-IT"/>
        </w:rPr>
        <w:t>,</w:t>
      </w:r>
      <w:r w:rsidRPr="009D5416">
        <w:rPr>
          <w:lang w:val="it-IT"/>
        </w:rPr>
        <w:t xml:space="preserve"> 2018. </w:t>
      </w:r>
      <w:r w:rsidRPr="00377174">
        <w:t>Integrated production of cellulosic bioethanol and succinic acid from rapeseed straw after dilute-acid pretreatment. Bioresource Technology, 265, 191</w:t>
      </w:r>
      <w:r w:rsidR="00E87D1E" w:rsidRPr="00377174">
        <w:t>–</w:t>
      </w:r>
      <w:r w:rsidRPr="00377174">
        <w:t>199.</w:t>
      </w:r>
    </w:p>
    <w:p w14:paraId="2F05D3D5" w14:textId="03CD7680" w:rsidR="00900842" w:rsidRPr="00377174" w:rsidRDefault="00900842" w:rsidP="00525E2E">
      <w:pPr>
        <w:pStyle w:val="CETReferencetext"/>
      </w:pPr>
      <w:r w:rsidRPr="00377174">
        <w:t>Kumar, A., Rapoport, A., Kunze, G., Kumar, S., Singh, D., Singh, B.</w:t>
      </w:r>
      <w:r w:rsidR="009D5416">
        <w:t>,</w:t>
      </w:r>
      <w:r w:rsidRPr="00377174">
        <w:t xml:space="preserve"> 2020. Multifarious pretreatment strategies for the lignocellulosic substrates for the generation of renewable and sustainable biofuels: A review. Renewable Energy, 160, 1228</w:t>
      </w:r>
      <w:r w:rsidR="009C7A84" w:rsidRPr="00377174">
        <w:t>–</w:t>
      </w:r>
      <w:r w:rsidRPr="00377174">
        <w:t xml:space="preserve">1252. </w:t>
      </w:r>
    </w:p>
    <w:p w14:paraId="0D9C5093" w14:textId="3B63C131" w:rsidR="00900842" w:rsidRPr="00377174" w:rsidRDefault="00900842" w:rsidP="00525E2E">
      <w:pPr>
        <w:pStyle w:val="CETReferencetext"/>
      </w:pPr>
      <w:r w:rsidRPr="00377174">
        <w:t>Lee, P. C., Lee, S., Hong, S. H., Chang, H. N., Park, S. C.</w:t>
      </w:r>
      <w:r w:rsidR="009D5416">
        <w:t>,</w:t>
      </w:r>
      <w:r w:rsidRPr="00377174">
        <w:t xml:space="preserve"> 2003. Biological conversion of wood hydrolysate to succinic acid by </w:t>
      </w:r>
      <w:proofErr w:type="spellStart"/>
      <w:r w:rsidRPr="00377174">
        <w:rPr>
          <w:i/>
          <w:iCs/>
        </w:rPr>
        <w:t>Anaerobiospirillum</w:t>
      </w:r>
      <w:proofErr w:type="spellEnd"/>
      <w:r w:rsidRPr="00377174">
        <w:rPr>
          <w:i/>
          <w:iCs/>
        </w:rPr>
        <w:t xml:space="preserve"> </w:t>
      </w:r>
      <w:proofErr w:type="spellStart"/>
      <w:r w:rsidRPr="00377174">
        <w:rPr>
          <w:i/>
          <w:iCs/>
        </w:rPr>
        <w:t>succiniciproducens</w:t>
      </w:r>
      <w:proofErr w:type="spellEnd"/>
      <w:r w:rsidRPr="00377174">
        <w:t>. Biotechnology letters, 25, 111</w:t>
      </w:r>
      <w:r w:rsidR="00E87D1E" w:rsidRPr="00377174">
        <w:t>–</w:t>
      </w:r>
      <w:r w:rsidRPr="00377174">
        <w:t>114.</w:t>
      </w:r>
    </w:p>
    <w:p w14:paraId="40CBC1BD" w14:textId="72B26F3A" w:rsidR="00900842" w:rsidRPr="00377174" w:rsidRDefault="00900842" w:rsidP="006E2796">
      <w:pPr>
        <w:pStyle w:val="CETReferencetext"/>
      </w:pPr>
      <w:r w:rsidRPr="00377174">
        <w:t>Li, Q., Siles, J. A., Thompson, I. P.</w:t>
      </w:r>
      <w:r w:rsidR="009D5416">
        <w:t>,</w:t>
      </w:r>
      <w:r w:rsidRPr="00377174">
        <w:t xml:space="preserve"> 2010. Succinic acid production from orange peel and wheat straw by batch fermentations of </w:t>
      </w:r>
      <w:proofErr w:type="spellStart"/>
      <w:r w:rsidRPr="00377174">
        <w:t>Fibrobacter</w:t>
      </w:r>
      <w:proofErr w:type="spellEnd"/>
      <w:r w:rsidRPr="00377174">
        <w:t xml:space="preserve"> succinogenes S85. Applied microbiology and biotechnology, 88, 671</w:t>
      </w:r>
      <w:r w:rsidR="00377174" w:rsidRPr="00377174">
        <w:t>–</w:t>
      </w:r>
      <w:r w:rsidRPr="00377174">
        <w:t>678.</w:t>
      </w:r>
    </w:p>
    <w:p w14:paraId="63D43B30" w14:textId="5DD3F739" w:rsidR="00900842" w:rsidRPr="00377174" w:rsidRDefault="00900842" w:rsidP="00112FDC">
      <w:pPr>
        <w:pStyle w:val="CETReferencetext"/>
      </w:pPr>
      <w:r w:rsidRPr="00377174">
        <w:t xml:space="preserve">Lin, S. K. C., Du, C., </w:t>
      </w:r>
      <w:proofErr w:type="spellStart"/>
      <w:r w:rsidRPr="00377174">
        <w:t>Koutinas</w:t>
      </w:r>
      <w:proofErr w:type="spellEnd"/>
      <w:r w:rsidRPr="00377174">
        <w:t>, A., Wang, R., Webb, C.</w:t>
      </w:r>
      <w:r w:rsidR="009D5416">
        <w:t>,</w:t>
      </w:r>
      <w:r w:rsidRPr="00377174">
        <w:t xml:space="preserve"> 2008. Substrate and product inhibition kinetics in succinic acid production by Actinobacillus succinogenes. Biochemical Engineering Journal, 41(2), 128</w:t>
      </w:r>
      <w:r w:rsidR="00E87D1E" w:rsidRPr="00377174">
        <w:t>–</w:t>
      </w:r>
      <w:r w:rsidRPr="00377174">
        <w:t>135.</w:t>
      </w:r>
    </w:p>
    <w:p w14:paraId="5FEF7DDF" w14:textId="34B0276C" w:rsidR="00900842" w:rsidRPr="00377174" w:rsidRDefault="00900842" w:rsidP="00A8431E">
      <w:pPr>
        <w:pStyle w:val="CETReferencetext"/>
      </w:pPr>
      <w:r w:rsidRPr="009D5416">
        <w:rPr>
          <w:lang w:val="it-IT"/>
        </w:rPr>
        <w:t xml:space="preserve">Lo, E., </w:t>
      </w:r>
      <w:proofErr w:type="spellStart"/>
      <w:r w:rsidRPr="009D5416">
        <w:rPr>
          <w:lang w:val="it-IT"/>
        </w:rPr>
        <w:t>Brabo-Catala</w:t>
      </w:r>
      <w:proofErr w:type="spellEnd"/>
      <w:r w:rsidRPr="009D5416">
        <w:rPr>
          <w:lang w:val="it-IT"/>
        </w:rPr>
        <w:t xml:space="preserve">, L., </w:t>
      </w:r>
      <w:proofErr w:type="spellStart"/>
      <w:r w:rsidRPr="009D5416">
        <w:rPr>
          <w:lang w:val="it-IT"/>
        </w:rPr>
        <w:t>Dogaris</w:t>
      </w:r>
      <w:proofErr w:type="spellEnd"/>
      <w:r w:rsidRPr="009D5416">
        <w:rPr>
          <w:lang w:val="it-IT"/>
        </w:rPr>
        <w:t xml:space="preserve">, I., Ammar, E. M., </w:t>
      </w:r>
      <w:proofErr w:type="spellStart"/>
      <w:r w:rsidRPr="009D5416">
        <w:rPr>
          <w:lang w:val="it-IT"/>
        </w:rPr>
        <w:t>Philippidis</w:t>
      </w:r>
      <w:proofErr w:type="spellEnd"/>
      <w:r w:rsidRPr="009D5416">
        <w:rPr>
          <w:lang w:val="it-IT"/>
        </w:rPr>
        <w:t>, G. P.</w:t>
      </w:r>
      <w:r w:rsidR="009D5416">
        <w:rPr>
          <w:lang w:val="it-IT"/>
        </w:rPr>
        <w:t>,</w:t>
      </w:r>
      <w:r w:rsidRPr="009D5416">
        <w:rPr>
          <w:lang w:val="it-IT"/>
        </w:rPr>
        <w:t xml:space="preserve"> 2020. </w:t>
      </w:r>
      <w:r w:rsidRPr="00377174">
        <w:t>Biochemical conversion of sweet sorghum bagasse to succinic acid. Journal of bioscience and bioengineering, 129(1), 104</w:t>
      </w:r>
      <w:r w:rsidR="00B34CE9" w:rsidRPr="00377174">
        <w:t>–</w:t>
      </w:r>
      <w:r w:rsidRPr="00377174">
        <w:t>109.</w:t>
      </w:r>
    </w:p>
    <w:p w14:paraId="01BCC143" w14:textId="55F37375" w:rsidR="00900842" w:rsidRPr="00377174" w:rsidRDefault="00900842" w:rsidP="00525E2E">
      <w:pPr>
        <w:pStyle w:val="CETReferencetext"/>
      </w:pPr>
      <w:r w:rsidRPr="00377174">
        <w:rPr>
          <w:lang w:val="it-IT"/>
        </w:rPr>
        <w:t xml:space="preserve">Lu, J., Li, J., Gao, H., Zhou, D., </w:t>
      </w:r>
      <w:proofErr w:type="spellStart"/>
      <w:r w:rsidRPr="00377174">
        <w:rPr>
          <w:lang w:val="it-IT"/>
        </w:rPr>
        <w:t>Xu</w:t>
      </w:r>
      <w:proofErr w:type="spellEnd"/>
      <w:r w:rsidRPr="00377174">
        <w:rPr>
          <w:lang w:val="it-IT"/>
        </w:rPr>
        <w:t xml:space="preserve">, H., </w:t>
      </w:r>
      <w:proofErr w:type="spellStart"/>
      <w:r w:rsidRPr="00377174">
        <w:rPr>
          <w:lang w:val="it-IT"/>
        </w:rPr>
        <w:t>Cong</w:t>
      </w:r>
      <w:proofErr w:type="spellEnd"/>
      <w:r w:rsidRPr="00377174">
        <w:rPr>
          <w:lang w:val="it-IT"/>
        </w:rPr>
        <w:t>, Y., ...</w:t>
      </w:r>
      <w:r w:rsidRPr="009D5416">
        <w:rPr>
          <w:lang w:val="it-IT"/>
        </w:rPr>
        <w:t xml:space="preserve"> </w:t>
      </w:r>
      <w:r w:rsidRPr="00377174">
        <w:rPr>
          <w:lang w:val="en-US"/>
        </w:rPr>
        <w:t>Jiang, M.</w:t>
      </w:r>
      <w:r w:rsidR="009D5416">
        <w:rPr>
          <w:lang w:val="en-US"/>
        </w:rPr>
        <w:t>,</w:t>
      </w:r>
      <w:r w:rsidRPr="00377174">
        <w:rPr>
          <w:lang w:val="en-US"/>
        </w:rPr>
        <w:t xml:space="preserve"> 2021. </w:t>
      </w:r>
      <w:r w:rsidRPr="00377174">
        <w:t>Recent progress on bio-succinic acid production from lignocellulosic biomass. World Journal of Microbiology and Biotechnology, 37, 1</w:t>
      </w:r>
      <w:r w:rsidR="007A25D6" w:rsidRPr="00377174">
        <w:t>–</w:t>
      </w:r>
      <w:r w:rsidRPr="00377174">
        <w:t>8.</w:t>
      </w:r>
    </w:p>
    <w:p w14:paraId="414ED45F" w14:textId="4DF894EE" w:rsidR="00900842" w:rsidRPr="00377174" w:rsidRDefault="00900842" w:rsidP="006E2796">
      <w:pPr>
        <w:pStyle w:val="CETReferencetext"/>
      </w:pPr>
      <w:r w:rsidRPr="009D5416">
        <w:rPr>
          <w:lang w:val="it-IT"/>
        </w:rPr>
        <w:t xml:space="preserve">Putri, D. N., </w:t>
      </w:r>
      <w:proofErr w:type="spellStart"/>
      <w:r w:rsidRPr="009D5416">
        <w:rPr>
          <w:lang w:val="it-IT"/>
        </w:rPr>
        <w:t>Pratiwi</w:t>
      </w:r>
      <w:proofErr w:type="spellEnd"/>
      <w:r w:rsidRPr="009D5416">
        <w:rPr>
          <w:lang w:val="it-IT"/>
        </w:rPr>
        <w:t xml:space="preserve">, S. F., </w:t>
      </w:r>
      <w:proofErr w:type="spellStart"/>
      <w:r w:rsidRPr="009D5416">
        <w:rPr>
          <w:lang w:val="it-IT"/>
        </w:rPr>
        <w:t>Perdani</w:t>
      </w:r>
      <w:proofErr w:type="spellEnd"/>
      <w:r w:rsidRPr="009D5416">
        <w:rPr>
          <w:lang w:val="it-IT"/>
        </w:rPr>
        <w:t xml:space="preserve">, M. S., Rosarina, D., </w:t>
      </w:r>
      <w:proofErr w:type="spellStart"/>
      <w:r w:rsidRPr="009D5416">
        <w:rPr>
          <w:lang w:val="it-IT"/>
        </w:rPr>
        <w:t>Utami</w:t>
      </w:r>
      <w:proofErr w:type="spellEnd"/>
      <w:r w:rsidRPr="009D5416">
        <w:rPr>
          <w:lang w:val="it-IT"/>
        </w:rPr>
        <w:t xml:space="preserve">, T. S., </w:t>
      </w:r>
      <w:proofErr w:type="spellStart"/>
      <w:r w:rsidRPr="009D5416">
        <w:rPr>
          <w:lang w:val="it-IT"/>
        </w:rPr>
        <w:t>Sahlan</w:t>
      </w:r>
      <w:proofErr w:type="spellEnd"/>
      <w:r w:rsidRPr="009D5416">
        <w:rPr>
          <w:lang w:val="it-IT"/>
        </w:rPr>
        <w:t xml:space="preserve">, M., </w:t>
      </w:r>
      <w:proofErr w:type="spellStart"/>
      <w:r w:rsidRPr="009D5416">
        <w:rPr>
          <w:lang w:val="it-IT"/>
        </w:rPr>
        <w:t>Hermansyah</w:t>
      </w:r>
      <w:proofErr w:type="spellEnd"/>
      <w:r w:rsidRPr="009D5416">
        <w:rPr>
          <w:lang w:val="it-IT"/>
        </w:rPr>
        <w:t>, H.</w:t>
      </w:r>
      <w:r w:rsidR="009D5416" w:rsidRPr="009D5416">
        <w:rPr>
          <w:lang w:val="it-IT"/>
        </w:rPr>
        <w:t>,</w:t>
      </w:r>
      <w:r w:rsidRPr="009D5416">
        <w:rPr>
          <w:lang w:val="it-IT"/>
        </w:rPr>
        <w:t xml:space="preserve"> 2023. </w:t>
      </w:r>
      <w:r w:rsidRPr="00377174">
        <w:t>Utilizing rice straw and sugarcane bagasse as low-cost feedstocks towards sustainable production of succinic acid. Science of The Total Environment, 862, 160719.</w:t>
      </w:r>
    </w:p>
    <w:p w14:paraId="083620BA" w14:textId="5887063B" w:rsidR="00900842" w:rsidRPr="00377174" w:rsidRDefault="00900842" w:rsidP="00112FDC">
      <w:pPr>
        <w:pStyle w:val="CETReferencetext"/>
      </w:pPr>
      <w:r w:rsidRPr="009D5416">
        <w:rPr>
          <w:lang w:val="it-IT"/>
        </w:rPr>
        <w:t xml:space="preserve">Sasaki, M., </w:t>
      </w:r>
      <w:proofErr w:type="spellStart"/>
      <w:r w:rsidRPr="009D5416">
        <w:rPr>
          <w:lang w:val="it-IT"/>
        </w:rPr>
        <w:t>Adschiri</w:t>
      </w:r>
      <w:proofErr w:type="spellEnd"/>
      <w:r w:rsidRPr="009D5416">
        <w:rPr>
          <w:lang w:val="it-IT"/>
        </w:rPr>
        <w:t xml:space="preserve">, T., Arai, K., 2003. </w:t>
      </w:r>
      <w:r w:rsidRPr="00377174">
        <w:t>Fractionation of sugarcane bagasse by hydrothermal treatment. Bioresour</w:t>
      </w:r>
      <w:r w:rsidR="007A25D6" w:rsidRPr="00377174">
        <w:t>ce</w:t>
      </w:r>
      <w:r w:rsidRPr="00377174">
        <w:t xml:space="preserve"> Technol</w:t>
      </w:r>
      <w:r w:rsidR="007A25D6" w:rsidRPr="00377174">
        <w:t>ogy</w:t>
      </w:r>
      <w:r w:rsidRPr="00377174">
        <w:t xml:space="preserve"> 86, 301–304.</w:t>
      </w:r>
    </w:p>
    <w:p w14:paraId="1F922C61" w14:textId="5480A4AD" w:rsidR="00900842" w:rsidRPr="00377174" w:rsidRDefault="00900842" w:rsidP="006E2796">
      <w:pPr>
        <w:pStyle w:val="CETReferencetext"/>
      </w:pPr>
      <w:proofErr w:type="spellStart"/>
      <w:r w:rsidRPr="00377174">
        <w:t>Sawisit</w:t>
      </w:r>
      <w:proofErr w:type="spellEnd"/>
      <w:r w:rsidRPr="00377174">
        <w:t xml:space="preserve">, A., </w:t>
      </w:r>
      <w:proofErr w:type="spellStart"/>
      <w:r w:rsidRPr="00377174">
        <w:t>Jampatesh</w:t>
      </w:r>
      <w:proofErr w:type="spellEnd"/>
      <w:r w:rsidRPr="00377174">
        <w:t xml:space="preserve">, S., </w:t>
      </w:r>
      <w:proofErr w:type="spellStart"/>
      <w:r w:rsidRPr="00377174">
        <w:t>Jantama</w:t>
      </w:r>
      <w:proofErr w:type="spellEnd"/>
      <w:r w:rsidRPr="00377174">
        <w:t xml:space="preserve">, S. S., </w:t>
      </w:r>
      <w:proofErr w:type="spellStart"/>
      <w:r w:rsidRPr="00377174">
        <w:t>Jantama</w:t>
      </w:r>
      <w:proofErr w:type="spellEnd"/>
      <w:r w:rsidRPr="00377174">
        <w:t>, K.</w:t>
      </w:r>
      <w:r w:rsidR="009D5416">
        <w:t>,</w:t>
      </w:r>
      <w:r w:rsidRPr="00377174">
        <w:t xml:space="preserve"> 2018. Optimization of sodium hydroxide pretreatment and enzyme loading for efficient hydrolysis of rice straw to improve succinate production by metabolically engineered Escherichia coli KJ122 under simultaneous saccharification and fermentation. Bioresource technology, 260, 348</w:t>
      </w:r>
      <w:r w:rsidR="00377174" w:rsidRPr="00377174">
        <w:t>–</w:t>
      </w:r>
      <w:r w:rsidRPr="00377174">
        <w:t>356.</w:t>
      </w:r>
    </w:p>
    <w:p w14:paraId="45BD508B" w14:textId="5047AA81" w:rsidR="00900842" w:rsidRPr="00377174" w:rsidRDefault="00900842" w:rsidP="00525E2E">
      <w:pPr>
        <w:pStyle w:val="CETReferencetext"/>
        <w:rPr>
          <w:lang w:val="en-US"/>
        </w:rPr>
      </w:pPr>
      <w:r w:rsidRPr="00266DFF">
        <w:t>Song, H., Lee, S. Y.</w:t>
      </w:r>
      <w:r w:rsidR="009D5416">
        <w:t>,</w:t>
      </w:r>
      <w:r w:rsidRPr="00266DFF">
        <w:t xml:space="preserve"> 2006. Production of succinic acid by bacterial fermentation. Enzyme and microbial technology, 39(3), 352</w:t>
      </w:r>
      <w:r w:rsidR="009C7A84" w:rsidRPr="00266DFF">
        <w:t>–</w:t>
      </w:r>
      <w:r w:rsidRPr="00266DFF">
        <w:t>361.</w:t>
      </w:r>
    </w:p>
    <w:p w14:paraId="0AC7AD08" w14:textId="6CE8C613" w:rsidR="00900842" w:rsidRPr="00377174" w:rsidRDefault="00900842" w:rsidP="00F4382F">
      <w:pPr>
        <w:pStyle w:val="CETReferencetext"/>
      </w:pPr>
      <w:r w:rsidRPr="00377174">
        <w:t xml:space="preserve">Stefanidis, S. D., Kalogiannis, K. G., Iliopoulou, E. F., </w:t>
      </w:r>
      <w:proofErr w:type="spellStart"/>
      <w:r w:rsidRPr="00377174">
        <w:t>Michailof</w:t>
      </w:r>
      <w:proofErr w:type="spellEnd"/>
      <w:r w:rsidRPr="00377174">
        <w:t xml:space="preserve">, C. M., </w:t>
      </w:r>
      <w:proofErr w:type="spellStart"/>
      <w:r w:rsidRPr="00377174">
        <w:t>Pilavachi</w:t>
      </w:r>
      <w:proofErr w:type="spellEnd"/>
      <w:r w:rsidRPr="00377174">
        <w:t>, P. A., Lappas, A. A.</w:t>
      </w:r>
      <w:r w:rsidR="009D5416">
        <w:t>,</w:t>
      </w:r>
      <w:r w:rsidRPr="00377174">
        <w:t xml:space="preserve"> 2014. A study of lignocellulosic biomass pyrolysis via the pyrolysis of cellulose, hemicellulose and lignin. Journal of analytical and applied pyrolysis, 105, 143</w:t>
      </w:r>
      <w:r w:rsidR="009C7A84" w:rsidRPr="00266DFF">
        <w:t>–</w:t>
      </w:r>
      <w:r w:rsidRPr="00377174">
        <w:t xml:space="preserve">150. </w:t>
      </w:r>
    </w:p>
    <w:p w14:paraId="2945B8CA" w14:textId="6BE1F6B3" w:rsidR="00900842" w:rsidRPr="00377174" w:rsidRDefault="00900842" w:rsidP="00A8431E">
      <w:pPr>
        <w:pStyle w:val="CETReferencetext"/>
      </w:pPr>
      <w:r w:rsidRPr="00377174">
        <w:t>Vallecilla-Yepez, L., Ramchandran, D., Long, D., Saha, R., Wilkins, M. R.</w:t>
      </w:r>
      <w:r w:rsidR="009D5416">
        <w:t>,</w:t>
      </w:r>
      <w:r w:rsidRPr="00377174">
        <w:t xml:space="preserve"> 202</w:t>
      </w:r>
      <w:r w:rsidR="009D5416">
        <w:t>1</w:t>
      </w:r>
      <w:r w:rsidRPr="00377174">
        <w:t xml:space="preserve">. Corn </w:t>
      </w:r>
      <w:proofErr w:type="spellStart"/>
      <w:r w:rsidRPr="00377174">
        <w:t>fiber</w:t>
      </w:r>
      <w:proofErr w:type="spellEnd"/>
      <w:r w:rsidRPr="00377174">
        <w:t xml:space="preserve"> as a biomass feedstock for production of succinic acid. Bioresource Technology Reports, 16, 100868.</w:t>
      </w:r>
    </w:p>
    <w:p w14:paraId="72CEEFA7" w14:textId="71767765" w:rsidR="00900842" w:rsidRPr="00377174" w:rsidRDefault="00900842" w:rsidP="00525E2E">
      <w:pPr>
        <w:pStyle w:val="CETReferencetext"/>
      </w:pPr>
      <w:r w:rsidRPr="009D5416">
        <w:rPr>
          <w:lang w:val="it-IT"/>
        </w:rPr>
        <w:t xml:space="preserve">Vivek, N., </w:t>
      </w:r>
      <w:proofErr w:type="spellStart"/>
      <w:r w:rsidRPr="009D5416">
        <w:rPr>
          <w:lang w:val="it-IT"/>
        </w:rPr>
        <w:t>Sindhu</w:t>
      </w:r>
      <w:proofErr w:type="spellEnd"/>
      <w:r w:rsidRPr="009D5416">
        <w:rPr>
          <w:lang w:val="it-IT"/>
        </w:rPr>
        <w:t xml:space="preserve">, R., </w:t>
      </w:r>
      <w:proofErr w:type="spellStart"/>
      <w:r w:rsidRPr="009D5416">
        <w:rPr>
          <w:lang w:val="it-IT"/>
        </w:rPr>
        <w:t>Madhavan</w:t>
      </w:r>
      <w:proofErr w:type="spellEnd"/>
      <w:r w:rsidRPr="009D5416">
        <w:rPr>
          <w:lang w:val="it-IT"/>
        </w:rPr>
        <w:t xml:space="preserve">, A., </w:t>
      </w:r>
      <w:proofErr w:type="spellStart"/>
      <w:r w:rsidRPr="009D5416">
        <w:rPr>
          <w:lang w:val="it-IT"/>
        </w:rPr>
        <w:t>Anju</w:t>
      </w:r>
      <w:proofErr w:type="spellEnd"/>
      <w:r w:rsidRPr="009D5416">
        <w:rPr>
          <w:lang w:val="it-IT"/>
        </w:rPr>
        <w:t xml:space="preserve">, A. J., Castro, E., </w:t>
      </w:r>
      <w:proofErr w:type="spellStart"/>
      <w:r w:rsidRPr="009D5416">
        <w:rPr>
          <w:lang w:val="it-IT"/>
        </w:rPr>
        <w:t>Faraco</w:t>
      </w:r>
      <w:proofErr w:type="spellEnd"/>
      <w:r w:rsidRPr="009D5416">
        <w:rPr>
          <w:lang w:val="it-IT"/>
        </w:rPr>
        <w:t xml:space="preserve">, V., ... </w:t>
      </w:r>
      <w:r w:rsidRPr="00377174">
        <w:rPr>
          <w:lang w:val="en-US"/>
        </w:rPr>
        <w:t>Binod, P.</w:t>
      </w:r>
      <w:r w:rsidR="009D5416">
        <w:rPr>
          <w:lang w:val="en-US"/>
        </w:rPr>
        <w:t>,</w:t>
      </w:r>
      <w:r w:rsidRPr="00377174">
        <w:rPr>
          <w:lang w:val="en-US"/>
        </w:rPr>
        <w:t xml:space="preserve"> 2017. </w:t>
      </w:r>
      <w:r w:rsidRPr="00377174">
        <w:t>Recent advances in the production of value added chemicals and lipids utilizing biodiesel industry generated crude glycerol as a substrate–metabolic aspects, challenges and possibilities: an overview. Bioresource technology, 239, 507</w:t>
      </w:r>
      <w:r w:rsidR="009C7A84" w:rsidRPr="00377174">
        <w:t>–</w:t>
      </w:r>
      <w:r w:rsidRPr="00377174">
        <w:t xml:space="preserve">517. </w:t>
      </w:r>
    </w:p>
    <w:p w14:paraId="07CCC472" w14:textId="72CB548B" w:rsidR="00900842" w:rsidRPr="00377174" w:rsidRDefault="00900842" w:rsidP="00112FDC">
      <w:pPr>
        <w:pStyle w:val="CETReferencetext"/>
      </w:pPr>
      <w:r w:rsidRPr="00377174">
        <w:t xml:space="preserve">Wan, C., Li, Y., 2010. Microbial pretreatment of corn </w:t>
      </w:r>
      <w:proofErr w:type="spellStart"/>
      <w:r w:rsidRPr="00377174">
        <w:t>stover</w:t>
      </w:r>
      <w:proofErr w:type="spellEnd"/>
      <w:r w:rsidRPr="00377174">
        <w:t xml:space="preserve"> with </w:t>
      </w:r>
      <w:proofErr w:type="spellStart"/>
      <w:r w:rsidRPr="00377174">
        <w:t>Ceriporiopsis</w:t>
      </w:r>
      <w:proofErr w:type="spellEnd"/>
      <w:r w:rsidRPr="00377174">
        <w:t xml:space="preserve"> </w:t>
      </w:r>
      <w:proofErr w:type="spellStart"/>
      <w:r w:rsidRPr="00377174">
        <w:t>subvermispora</w:t>
      </w:r>
      <w:proofErr w:type="spellEnd"/>
      <w:r w:rsidRPr="00377174">
        <w:t xml:space="preserve"> for enzymatic hydrolysis and ethanol production. Bioresour</w:t>
      </w:r>
      <w:r w:rsidR="007A25D6" w:rsidRPr="00377174">
        <w:t>ce</w:t>
      </w:r>
      <w:r w:rsidRPr="00377174">
        <w:t xml:space="preserve"> Technol</w:t>
      </w:r>
      <w:r w:rsidR="007A25D6" w:rsidRPr="00377174">
        <w:t>ogy,</w:t>
      </w:r>
      <w:r w:rsidRPr="00377174">
        <w:t xml:space="preserve"> 101, 6398–6403.</w:t>
      </w:r>
    </w:p>
    <w:p w14:paraId="5598F6BF" w14:textId="2CC16D56" w:rsidR="00900842" w:rsidRPr="00377174" w:rsidRDefault="00900842" w:rsidP="00112FDC">
      <w:pPr>
        <w:pStyle w:val="CETReferencetext"/>
      </w:pPr>
      <w:r w:rsidRPr="00377174">
        <w:t>Xu, C., Alam, M. A., Zhang, J., Wang, Z., Chen, H., Xie, C., ... Xu, J.</w:t>
      </w:r>
      <w:r w:rsidR="009D5416">
        <w:t>,</w:t>
      </w:r>
      <w:r w:rsidRPr="00377174">
        <w:t xml:space="preserve"> 2022. Identification of lignocellulosic derivatives inhibiting succinic acid fermentation and molecular mechanism investigation. Industrial Crops and Products, 187, 115466.</w:t>
      </w:r>
    </w:p>
    <w:p w14:paraId="683ED31A" w14:textId="7C3BBAD3" w:rsidR="00900842" w:rsidRPr="00377174" w:rsidRDefault="00900842" w:rsidP="00112FDC">
      <w:pPr>
        <w:pStyle w:val="CETReferencetext"/>
      </w:pPr>
      <w:r w:rsidRPr="00377174">
        <w:t>Xu, H. T., Wang, C., Zhou, Z. H., Chen, Z. J., Cai, H.</w:t>
      </w:r>
      <w:r w:rsidR="009D5416">
        <w:t>,</w:t>
      </w:r>
      <w:r w:rsidRPr="00377174">
        <w:t xml:space="preserve"> 2015. Effects of lignocellulose-derived inhibitors on growth and succinic acid accumulation by Corynebacterium </w:t>
      </w:r>
      <w:proofErr w:type="spellStart"/>
      <w:r w:rsidRPr="00377174">
        <w:t>glutamicum</w:t>
      </w:r>
      <w:proofErr w:type="spellEnd"/>
      <w:r w:rsidRPr="00377174">
        <w:t>. Biotechnology and bioprocess engineering, 20, 744</w:t>
      </w:r>
      <w:r w:rsidR="00E87D1E" w:rsidRPr="00377174">
        <w:t>–</w:t>
      </w:r>
      <w:r w:rsidRPr="00377174">
        <w:t>752.</w:t>
      </w:r>
    </w:p>
    <w:p w14:paraId="4D3584DB" w14:textId="21894AFF" w:rsidR="00900842" w:rsidRDefault="00900842" w:rsidP="00F4382F">
      <w:pPr>
        <w:pStyle w:val="CETReferencetext"/>
      </w:pPr>
      <w:r w:rsidRPr="00377174">
        <w:t>Yang, B., Dai, Z., Ding, S. Y., Wyman, C. E.</w:t>
      </w:r>
      <w:r w:rsidR="009D5416">
        <w:t>,</w:t>
      </w:r>
      <w:r w:rsidRPr="00377174">
        <w:t xml:space="preserve"> 2011. Enzymatic hydrolysis of cellulosic biomass. </w:t>
      </w:r>
      <w:r w:rsidRPr="00377174">
        <w:rPr>
          <w:lang w:val="it-IT"/>
        </w:rPr>
        <w:t>Biofuels, 2(4), 421</w:t>
      </w:r>
      <w:r w:rsidR="008C2612" w:rsidRPr="00377174">
        <w:rPr>
          <w:lang w:val="it-IT"/>
        </w:rPr>
        <w:t>–</w:t>
      </w:r>
      <w:r w:rsidRPr="00377174">
        <w:rPr>
          <w:lang w:val="it-IT"/>
        </w:rPr>
        <w:t>449.</w:t>
      </w:r>
    </w:p>
    <w:sectPr w:rsidR="00900842" w:rsidSect="004F7B54">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25EA7" w14:textId="77777777" w:rsidR="00DB23EB" w:rsidRDefault="00DB23EB" w:rsidP="004F5E36">
      <w:r>
        <w:separator/>
      </w:r>
    </w:p>
  </w:endnote>
  <w:endnote w:type="continuationSeparator" w:id="0">
    <w:p w14:paraId="106D98CB" w14:textId="77777777" w:rsidR="00DB23EB" w:rsidRDefault="00DB23E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3B2F3" w14:textId="77777777" w:rsidR="00DB23EB" w:rsidRDefault="00DB23EB" w:rsidP="004F5E36">
      <w:r>
        <w:separator/>
      </w:r>
    </w:p>
  </w:footnote>
  <w:footnote w:type="continuationSeparator" w:id="0">
    <w:p w14:paraId="3D651456" w14:textId="77777777" w:rsidR="00DB23EB" w:rsidRDefault="00DB23EB"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12020347"/>
    <w:multiLevelType w:val="hybridMultilevel"/>
    <w:tmpl w:val="AD3EC04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1E44E03"/>
    <w:multiLevelType w:val="hybridMultilevel"/>
    <w:tmpl w:val="088677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142"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2D217FB5"/>
    <w:multiLevelType w:val="hybridMultilevel"/>
    <w:tmpl w:val="445CE6B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E412787"/>
    <w:multiLevelType w:val="hybridMultilevel"/>
    <w:tmpl w:val="26865EF4"/>
    <w:lvl w:ilvl="0" w:tplc="6FF8E084">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115F6E"/>
    <w:multiLevelType w:val="hybridMultilevel"/>
    <w:tmpl w:val="B2388F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49BF75DC"/>
    <w:multiLevelType w:val="hybridMultilevel"/>
    <w:tmpl w:val="0922D86A"/>
    <w:lvl w:ilvl="0" w:tplc="6FF8E084">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FE435B4"/>
    <w:multiLevelType w:val="hybridMultilevel"/>
    <w:tmpl w:val="333E489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D9B2DE6"/>
    <w:multiLevelType w:val="hybridMultilevel"/>
    <w:tmpl w:val="1D407EE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5482F7C"/>
    <w:multiLevelType w:val="hybridMultilevel"/>
    <w:tmpl w:val="993E6A70"/>
    <w:lvl w:ilvl="0" w:tplc="CF9C2E3C">
      <w:start w:val="1"/>
      <w:numFmt w:val="decimal"/>
      <w:pStyle w:val="CETheadingx"/>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4"/>
  </w:num>
  <w:num w:numId="13">
    <w:abstractNumId w:val="16"/>
  </w:num>
  <w:num w:numId="14">
    <w:abstractNumId w:val="25"/>
  </w:num>
  <w:num w:numId="15">
    <w:abstractNumId w:val="27"/>
  </w:num>
  <w:num w:numId="16">
    <w:abstractNumId w:val="26"/>
  </w:num>
  <w:num w:numId="17">
    <w:abstractNumId w:val="15"/>
  </w:num>
  <w:num w:numId="18">
    <w:abstractNumId w:val="16"/>
    <w:lvlOverride w:ilvl="0">
      <w:startOverride w:val="1"/>
    </w:lvlOverride>
  </w:num>
  <w:num w:numId="19">
    <w:abstractNumId w:val="23"/>
  </w:num>
  <w:num w:numId="20">
    <w:abstractNumId w:val="22"/>
  </w:num>
  <w:num w:numId="21">
    <w:abstractNumId w:val="19"/>
  </w:num>
  <w:num w:numId="22">
    <w:abstractNumId w:val="18"/>
  </w:num>
  <w:num w:numId="23">
    <w:abstractNumId w:val="20"/>
  </w:num>
  <w:num w:numId="24">
    <w:abstractNumId w:val="14"/>
  </w:num>
  <w:num w:numId="25">
    <w:abstractNumId w:val="11"/>
  </w:num>
  <w:num w:numId="26">
    <w:abstractNumId w:val="29"/>
  </w:num>
  <w:num w:numId="27">
    <w:abstractNumId w:val="29"/>
    <w:lvlOverride w:ilvl="0">
      <w:startOverride w:val="1"/>
    </w:lvlOverride>
  </w:num>
  <w:num w:numId="28">
    <w:abstractNumId w:val="17"/>
  </w:num>
  <w:num w:numId="29">
    <w:abstractNumId w:val="10"/>
  </w:num>
  <w:num w:numId="30">
    <w:abstractNumId w:val="21"/>
  </w:num>
  <w:num w:numId="31">
    <w:abstractNumId w:val="13"/>
  </w:num>
  <w:num w:numId="32">
    <w:abstractNumId w:val="28"/>
  </w:num>
  <w:num w:numId="33">
    <w:abstractNumId w:val="1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29D"/>
    <w:rsid w:val="000117CB"/>
    <w:rsid w:val="0001377C"/>
    <w:rsid w:val="00014A86"/>
    <w:rsid w:val="000262BD"/>
    <w:rsid w:val="0003148D"/>
    <w:rsid w:val="00031EEC"/>
    <w:rsid w:val="000364F4"/>
    <w:rsid w:val="00045449"/>
    <w:rsid w:val="00051566"/>
    <w:rsid w:val="00053C5D"/>
    <w:rsid w:val="00054C0B"/>
    <w:rsid w:val="000562A9"/>
    <w:rsid w:val="00062A9A"/>
    <w:rsid w:val="00065058"/>
    <w:rsid w:val="00074280"/>
    <w:rsid w:val="000747B5"/>
    <w:rsid w:val="00082619"/>
    <w:rsid w:val="00086438"/>
    <w:rsid w:val="00086C39"/>
    <w:rsid w:val="00086D49"/>
    <w:rsid w:val="00092900"/>
    <w:rsid w:val="000A03B2"/>
    <w:rsid w:val="000A0975"/>
    <w:rsid w:val="000B3990"/>
    <w:rsid w:val="000D0268"/>
    <w:rsid w:val="000D34BE"/>
    <w:rsid w:val="000D4A06"/>
    <w:rsid w:val="000E102F"/>
    <w:rsid w:val="000E36F1"/>
    <w:rsid w:val="000E3A73"/>
    <w:rsid w:val="000E414A"/>
    <w:rsid w:val="000E54B2"/>
    <w:rsid w:val="000F093C"/>
    <w:rsid w:val="000F787B"/>
    <w:rsid w:val="0010550D"/>
    <w:rsid w:val="00112FDC"/>
    <w:rsid w:val="0012091F"/>
    <w:rsid w:val="0012268C"/>
    <w:rsid w:val="00124F7E"/>
    <w:rsid w:val="00126BC2"/>
    <w:rsid w:val="001308B6"/>
    <w:rsid w:val="0013121F"/>
    <w:rsid w:val="00131FE6"/>
    <w:rsid w:val="0013263F"/>
    <w:rsid w:val="001331DF"/>
    <w:rsid w:val="001336FA"/>
    <w:rsid w:val="00134DE4"/>
    <w:rsid w:val="0014034D"/>
    <w:rsid w:val="00140928"/>
    <w:rsid w:val="001414AE"/>
    <w:rsid w:val="00144D16"/>
    <w:rsid w:val="001500E7"/>
    <w:rsid w:val="00150E59"/>
    <w:rsid w:val="00152DE3"/>
    <w:rsid w:val="00156F74"/>
    <w:rsid w:val="001617C9"/>
    <w:rsid w:val="00162A85"/>
    <w:rsid w:val="00164CF9"/>
    <w:rsid w:val="001667A6"/>
    <w:rsid w:val="00166F86"/>
    <w:rsid w:val="00171119"/>
    <w:rsid w:val="00172D8B"/>
    <w:rsid w:val="001732CD"/>
    <w:rsid w:val="00176D76"/>
    <w:rsid w:val="00182643"/>
    <w:rsid w:val="00183FB6"/>
    <w:rsid w:val="00184AD6"/>
    <w:rsid w:val="001A4AF7"/>
    <w:rsid w:val="001A6620"/>
    <w:rsid w:val="001B0349"/>
    <w:rsid w:val="001B1E93"/>
    <w:rsid w:val="001B65C1"/>
    <w:rsid w:val="001C472E"/>
    <w:rsid w:val="001C684B"/>
    <w:rsid w:val="001D0CFB"/>
    <w:rsid w:val="001D21AF"/>
    <w:rsid w:val="001D50CF"/>
    <w:rsid w:val="001D53FC"/>
    <w:rsid w:val="001D62B2"/>
    <w:rsid w:val="001F42A5"/>
    <w:rsid w:val="001F7B9D"/>
    <w:rsid w:val="00201C93"/>
    <w:rsid w:val="002077FA"/>
    <w:rsid w:val="00210B75"/>
    <w:rsid w:val="002224B4"/>
    <w:rsid w:val="00234168"/>
    <w:rsid w:val="002447EF"/>
    <w:rsid w:val="00251550"/>
    <w:rsid w:val="00263B05"/>
    <w:rsid w:val="00266DFF"/>
    <w:rsid w:val="00271055"/>
    <w:rsid w:val="0027221A"/>
    <w:rsid w:val="00273039"/>
    <w:rsid w:val="00275B61"/>
    <w:rsid w:val="00280FAF"/>
    <w:rsid w:val="00282656"/>
    <w:rsid w:val="002912FC"/>
    <w:rsid w:val="00293736"/>
    <w:rsid w:val="00296B83"/>
    <w:rsid w:val="002A2F26"/>
    <w:rsid w:val="002B3B82"/>
    <w:rsid w:val="002B4015"/>
    <w:rsid w:val="002B78CE"/>
    <w:rsid w:val="002C2FB6"/>
    <w:rsid w:val="002D319A"/>
    <w:rsid w:val="002D7459"/>
    <w:rsid w:val="002E5FA7"/>
    <w:rsid w:val="002F2C18"/>
    <w:rsid w:val="002F3309"/>
    <w:rsid w:val="003008CE"/>
    <w:rsid w:val="003009B7"/>
    <w:rsid w:val="00300E56"/>
    <w:rsid w:val="0030152C"/>
    <w:rsid w:val="00302960"/>
    <w:rsid w:val="0030469C"/>
    <w:rsid w:val="00306839"/>
    <w:rsid w:val="003100D2"/>
    <w:rsid w:val="003218DA"/>
    <w:rsid w:val="00321CA6"/>
    <w:rsid w:val="00323763"/>
    <w:rsid w:val="00323C5F"/>
    <w:rsid w:val="00334C09"/>
    <w:rsid w:val="00344201"/>
    <w:rsid w:val="00344B9C"/>
    <w:rsid w:val="00360F96"/>
    <w:rsid w:val="00362025"/>
    <w:rsid w:val="00362A72"/>
    <w:rsid w:val="00370082"/>
    <w:rsid w:val="003723D4"/>
    <w:rsid w:val="00377174"/>
    <w:rsid w:val="00381905"/>
    <w:rsid w:val="00384CC8"/>
    <w:rsid w:val="003871FD"/>
    <w:rsid w:val="00390C74"/>
    <w:rsid w:val="003A0746"/>
    <w:rsid w:val="003A0B47"/>
    <w:rsid w:val="003A1E30"/>
    <w:rsid w:val="003A2829"/>
    <w:rsid w:val="003A54D6"/>
    <w:rsid w:val="003A6FC6"/>
    <w:rsid w:val="003A7D1C"/>
    <w:rsid w:val="003B304B"/>
    <w:rsid w:val="003B3146"/>
    <w:rsid w:val="003C3EA7"/>
    <w:rsid w:val="003E7A25"/>
    <w:rsid w:val="003F015E"/>
    <w:rsid w:val="00400414"/>
    <w:rsid w:val="0040054D"/>
    <w:rsid w:val="00405B74"/>
    <w:rsid w:val="00406C26"/>
    <w:rsid w:val="0041446B"/>
    <w:rsid w:val="00414A95"/>
    <w:rsid w:val="00417B57"/>
    <w:rsid w:val="0044071E"/>
    <w:rsid w:val="0044329C"/>
    <w:rsid w:val="0044557D"/>
    <w:rsid w:val="004516FE"/>
    <w:rsid w:val="00453E24"/>
    <w:rsid w:val="00457456"/>
    <w:rsid w:val="004577FE"/>
    <w:rsid w:val="00457B9C"/>
    <w:rsid w:val="0046164A"/>
    <w:rsid w:val="004628D2"/>
    <w:rsid w:val="00462DCD"/>
    <w:rsid w:val="004648AD"/>
    <w:rsid w:val="0046544B"/>
    <w:rsid w:val="004703A9"/>
    <w:rsid w:val="00470DD0"/>
    <w:rsid w:val="004760DE"/>
    <w:rsid w:val="004761E9"/>
    <w:rsid w:val="004763D7"/>
    <w:rsid w:val="004930AA"/>
    <w:rsid w:val="004A004E"/>
    <w:rsid w:val="004A24CF"/>
    <w:rsid w:val="004A268C"/>
    <w:rsid w:val="004A6AB0"/>
    <w:rsid w:val="004C0BC9"/>
    <w:rsid w:val="004C3D1D"/>
    <w:rsid w:val="004C3D84"/>
    <w:rsid w:val="004C7913"/>
    <w:rsid w:val="004D5E55"/>
    <w:rsid w:val="004E4652"/>
    <w:rsid w:val="004E4DD6"/>
    <w:rsid w:val="004F0A8E"/>
    <w:rsid w:val="004F3914"/>
    <w:rsid w:val="004F5E36"/>
    <w:rsid w:val="004F7B54"/>
    <w:rsid w:val="00507B47"/>
    <w:rsid w:val="00507BEF"/>
    <w:rsid w:val="00507CC9"/>
    <w:rsid w:val="005119A5"/>
    <w:rsid w:val="00516AAC"/>
    <w:rsid w:val="00522B4E"/>
    <w:rsid w:val="00525E2E"/>
    <w:rsid w:val="005278B7"/>
    <w:rsid w:val="00532016"/>
    <w:rsid w:val="005346C8"/>
    <w:rsid w:val="00543E7D"/>
    <w:rsid w:val="00547A68"/>
    <w:rsid w:val="005524BD"/>
    <w:rsid w:val="005531C9"/>
    <w:rsid w:val="00570C43"/>
    <w:rsid w:val="00575FD2"/>
    <w:rsid w:val="005802F0"/>
    <w:rsid w:val="00581BD6"/>
    <w:rsid w:val="00584CF3"/>
    <w:rsid w:val="005B2110"/>
    <w:rsid w:val="005B61E6"/>
    <w:rsid w:val="005C77E1"/>
    <w:rsid w:val="005D3E93"/>
    <w:rsid w:val="005D668A"/>
    <w:rsid w:val="005D6A2F"/>
    <w:rsid w:val="005E1A82"/>
    <w:rsid w:val="005E794C"/>
    <w:rsid w:val="005F0A28"/>
    <w:rsid w:val="005F0E5E"/>
    <w:rsid w:val="005F15AB"/>
    <w:rsid w:val="005F7C6F"/>
    <w:rsid w:val="00600535"/>
    <w:rsid w:val="00603D20"/>
    <w:rsid w:val="00604955"/>
    <w:rsid w:val="00606B70"/>
    <w:rsid w:val="00607E13"/>
    <w:rsid w:val="00610CD6"/>
    <w:rsid w:val="00620DEE"/>
    <w:rsid w:val="00621F92"/>
    <w:rsid w:val="0062280A"/>
    <w:rsid w:val="00622902"/>
    <w:rsid w:val="00625639"/>
    <w:rsid w:val="006269D0"/>
    <w:rsid w:val="00630235"/>
    <w:rsid w:val="00631B33"/>
    <w:rsid w:val="006330C0"/>
    <w:rsid w:val="0064184D"/>
    <w:rsid w:val="006422CC"/>
    <w:rsid w:val="00642569"/>
    <w:rsid w:val="006426C5"/>
    <w:rsid w:val="0064787F"/>
    <w:rsid w:val="00655507"/>
    <w:rsid w:val="00660E3E"/>
    <w:rsid w:val="00662E74"/>
    <w:rsid w:val="00671D5A"/>
    <w:rsid w:val="0067483F"/>
    <w:rsid w:val="00675FD9"/>
    <w:rsid w:val="00680C23"/>
    <w:rsid w:val="00682354"/>
    <w:rsid w:val="00693766"/>
    <w:rsid w:val="006A3281"/>
    <w:rsid w:val="006B2524"/>
    <w:rsid w:val="006B4888"/>
    <w:rsid w:val="006C2E45"/>
    <w:rsid w:val="006C359C"/>
    <w:rsid w:val="006C5579"/>
    <w:rsid w:val="006C6401"/>
    <w:rsid w:val="006D6E8B"/>
    <w:rsid w:val="006E0B4B"/>
    <w:rsid w:val="006E2796"/>
    <w:rsid w:val="006E2865"/>
    <w:rsid w:val="006E35F5"/>
    <w:rsid w:val="006E737D"/>
    <w:rsid w:val="006F1B83"/>
    <w:rsid w:val="00702B6F"/>
    <w:rsid w:val="00713973"/>
    <w:rsid w:val="00720A24"/>
    <w:rsid w:val="00723169"/>
    <w:rsid w:val="007278FB"/>
    <w:rsid w:val="00732386"/>
    <w:rsid w:val="0073514D"/>
    <w:rsid w:val="00740116"/>
    <w:rsid w:val="007436E5"/>
    <w:rsid w:val="007447F3"/>
    <w:rsid w:val="0075397C"/>
    <w:rsid w:val="0075499F"/>
    <w:rsid w:val="0076298E"/>
    <w:rsid w:val="00762C68"/>
    <w:rsid w:val="00763612"/>
    <w:rsid w:val="0076432C"/>
    <w:rsid w:val="007661C8"/>
    <w:rsid w:val="0077098D"/>
    <w:rsid w:val="007931FA"/>
    <w:rsid w:val="00797C5E"/>
    <w:rsid w:val="007A25D6"/>
    <w:rsid w:val="007A4861"/>
    <w:rsid w:val="007A7BBA"/>
    <w:rsid w:val="007B0C50"/>
    <w:rsid w:val="007B48F9"/>
    <w:rsid w:val="007C1A43"/>
    <w:rsid w:val="007C50E0"/>
    <w:rsid w:val="007D0951"/>
    <w:rsid w:val="0080013E"/>
    <w:rsid w:val="008078C0"/>
    <w:rsid w:val="00813288"/>
    <w:rsid w:val="008168FC"/>
    <w:rsid w:val="00830996"/>
    <w:rsid w:val="008324CC"/>
    <w:rsid w:val="00833B65"/>
    <w:rsid w:val="008345F1"/>
    <w:rsid w:val="00843EAC"/>
    <w:rsid w:val="00865B07"/>
    <w:rsid w:val="008667EA"/>
    <w:rsid w:val="0087637F"/>
    <w:rsid w:val="00880E51"/>
    <w:rsid w:val="008842F5"/>
    <w:rsid w:val="008912C2"/>
    <w:rsid w:val="00892AD5"/>
    <w:rsid w:val="008A1512"/>
    <w:rsid w:val="008A610E"/>
    <w:rsid w:val="008B5372"/>
    <w:rsid w:val="008B7C03"/>
    <w:rsid w:val="008C2612"/>
    <w:rsid w:val="008C30AB"/>
    <w:rsid w:val="008C4B79"/>
    <w:rsid w:val="008D1BFB"/>
    <w:rsid w:val="008D32B9"/>
    <w:rsid w:val="008D433B"/>
    <w:rsid w:val="008D4A16"/>
    <w:rsid w:val="008D6B9A"/>
    <w:rsid w:val="008E1417"/>
    <w:rsid w:val="008E1639"/>
    <w:rsid w:val="008E566E"/>
    <w:rsid w:val="008F2B54"/>
    <w:rsid w:val="008F76C4"/>
    <w:rsid w:val="00900842"/>
    <w:rsid w:val="0090161A"/>
    <w:rsid w:val="00901EB6"/>
    <w:rsid w:val="0090428B"/>
    <w:rsid w:val="00904C62"/>
    <w:rsid w:val="00911517"/>
    <w:rsid w:val="009134AD"/>
    <w:rsid w:val="0091524B"/>
    <w:rsid w:val="00917C12"/>
    <w:rsid w:val="00922BA8"/>
    <w:rsid w:val="00924DAC"/>
    <w:rsid w:val="00926559"/>
    <w:rsid w:val="00927058"/>
    <w:rsid w:val="00935DEE"/>
    <w:rsid w:val="00942750"/>
    <w:rsid w:val="009450CE"/>
    <w:rsid w:val="009459BB"/>
    <w:rsid w:val="00947179"/>
    <w:rsid w:val="0095164B"/>
    <w:rsid w:val="00954090"/>
    <w:rsid w:val="009573E7"/>
    <w:rsid w:val="00961A39"/>
    <w:rsid w:val="00963E05"/>
    <w:rsid w:val="00964A45"/>
    <w:rsid w:val="00967843"/>
    <w:rsid w:val="00967D54"/>
    <w:rsid w:val="0097029A"/>
    <w:rsid w:val="00971028"/>
    <w:rsid w:val="009739FA"/>
    <w:rsid w:val="0098085F"/>
    <w:rsid w:val="009937FC"/>
    <w:rsid w:val="00993B84"/>
    <w:rsid w:val="00996483"/>
    <w:rsid w:val="00996AF6"/>
    <w:rsid w:val="00996F5A"/>
    <w:rsid w:val="009A0EB2"/>
    <w:rsid w:val="009A31A3"/>
    <w:rsid w:val="009A4F4A"/>
    <w:rsid w:val="009A68AB"/>
    <w:rsid w:val="009B041A"/>
    <w:rsid w:val="009C37C3"/>
    <w:rsid w:val="009C7A84"/>
    <w:rsid w:val="009C7C86"/>
    <w:rsid w:val="009D07A8"/>
    <w:rsid w:val="009D2FF7"/>
    <w:rsid w:val="009D5416"/>
    <w:rsid w:val="009D593C"/>
    <w:rsid w:val="009E3760"/>
    <w:rsid w:val="009E4394"/>
    <w:rsid w:val="009E73F6"/>
    <w:rsid w:val="009E7884"/>
    <w:rsid w:val="009E788A"/>
    <w:rsid w:val="009F0E08"/>
    <w:rsid w:val="009F0E9A"/>
    <w:rsid w:val="009F3DCE"/>
    <w:rsid w:val="009F7AAB"/>
    <w:rsid w:val="00A04EDF"/>
    <w:rsid w:val="00A07BD9"/>
    <w:rsid w:val="00A10752"/>
    <w:rsid w:val="00A122DB"/>
    <w:rsid w:val="00A1763D"/>
    <w:rsid w:val="00A17CEC"/>
    <w:rsid w:val="00A2198A"/>
    <w:rsid w:val="00A27EF0"/>
    <w:rsid w:val="00A302F1"/>
    <w:rsid w:val="00A42361"/>
    <w:rsid w:val="00A442CD"/>
    <w:rsid w:val="00A50B20"/>
    <w:rsid w:val="00A51390"/>
    <w:rsid w:val="00A5794F"/>
    <w:rsid w:val="00A60D13"/>
    <w:rsid w:val="00A7223D"/>
    <w:rsid w:val="00A723D1"/>
    <w:rsid w:val="00A72745"/>
    <w:rsid w:val="00A76EFC"/>
    <w:rsid w:val="00A77463"/>
    <w:rsid w:val="00A8431E"/>
    <w:rsid w:val="00A87D50"/>
    <w:rsid w:val="00A91010"/>
    <w:rsid w:val="00A91151"/>
    <w:rsid w:val="00A93193"/>
    <w:rsid w:val="00A97F29"/>
    <w:rsid w:val="00AA6E26"/>
    <w:rsid w:val="00AA702E"/>
    <w:rsid w:val="00AA7D26"/>
    <w:rsid w:val="00AB0964"/>
    <w:rsid w:val="00AB1636"/>
    <w:rsid w:val="00AB5011"/>
    <w:rsid w:val="00AC1711"/>
    <w:rsid w:val="00AC7368"/>
    <w:rsid w:val="00AD16B9"/>
    <w:rsid w:val="00AD7E33"/>
    <w:rsid w:val="00AE377D"/>
    <w:rsid w:val="00AF0EBA"/>
    <w:rsid w:val="00B007E9"/>
    <w:rsid w:val="00B02C8A"/>
    <w:rsid w:val="00B07AB4"/>
    <w:rsid w:val="00B10FA4"/>
    <w:rsid w:val="00B1264A"/>
    <w:rsid w:val="00B1264C"/>
    <w:rsid w:val="00B15561"/>
    <w:rsid w:val="00B177D2"/>
    <w:rsid w:val="00B17FBD"/>
    <w:rsid w:val="00B226C4"/>
    <w:rsid w:val="00B315A6"/>
    <w:rsid w:val="00B31813"/>
    <w:rsid w:val="00B33365"/>
    <w:rsid w:val="00B33C7E"/>
    <w:rsid w:val="00B34CE9"/>
    <w:rsid w:val="00B40127"/>
    <w:rsid w:val="00B40EAC"/>
    <w:rsid w:val="00B4792B"/>
    <w:rsid w:val="00B57B36"/>
    <w:rsid w:val="00B57E6F"/>
    <w:rsid w:val="00B611FC"/>
    <w:rsid w:val="00B80D41"/>
    <w:rsid w:val="00B8686D"/>
    <w:rsid w:val="00B922BF"/>
    <w:rsid w:val="00B93F69"/>
    <w:rsid w:val="00BA0461"/>
    <w:rsid w:val="00BA4B82"/>
    <w:rsid w:val="00BB1DDC"/>
    <w:rsid w:val="00BC30C9"/>
    <w:rsid w:val="00BC7421"/>
    <w:rsid w:val="00BD077D"/>
    <w:rsid w:val="00BD666F"/>
    <w:rsid w:val="00BD676A"/>
    <w:rsid w:val="00BE2F04"/>
    <w:rsid w:val="00BE3E58"/>
    <w:rsid w:val="00BF7E79"/>
    <w:rsid w:val="00C01616"/>
    <w:rsid w:val="00C0162B"/>
    <w:rsid w:val="00C0207B"/>
    <w:rsid w:val="00C068ED"/>
    <w:rsid w:val="00C22888"/>
    <w:rsid w:val="00C22E0C"/>
    <w:rsid w:val="00C26726"/>
    <w:rsid w:val="00C32730"/>
    <w:rsid w:val="00C345B1"/>
    <w:rsid w:val="00C40142"/>
    <w:rsid w:val="00C40B94"/>
    <w:rsid w:val="00C44234"/>
    <w:rsid w:val="00C52A3A"/>
    <w:rsid w:val="00C52C3C"/>
    <w:rsid w:val="00C57182"/>
    <w:rsid w:val="00C57863"/>
    <w:rsid w:val="00C640AF"/>
    <w:rsid w:val="00C655EC"/>
    <w:rsid w:val="00C655FD"/>
    <w:rsid w:val="00C75407"/>
    <w:rsid w:val="00C813F5"/>
    <w:rsid w:val="00C870A8"/>
    <w:rsid w:val="00C94434"/>
    <w:rsid w:val="00C9555A"/>
    <w:rsid w:val="00CA0D4A"/>
    <w:rsid w:val="00CA0D75"/>
    <w:rsid w:val="00CA1C95"/>
    <w:rsid w:val="00CA5A9C"/>
    <w:rsid w:val="00CA7B16"/>
    <w:rsid w:val="00CB10C9"/>
    <w:rsid w:val="00CC0459"/>
    <w:rsid w:val="00CC1AC5"/>
    <w:rsid w:val="00CC2088"/>
    <w:rsid w:val="00CC43FE"/>
    <w:rsid w:val="00CC4C20"/>
    <w:rsid w:val="00CD030D"/>
    <w:rsid w:val="00CD3517"/>
    <w:rsid w:val="00CD5FE2"/>
    <w:rsid w:val="00CE1E4E"/>
    <w:rsid w:val="00CE68DA"/>
    <w:rsid w:val="00CE7C68"/>
    <w:rsid w:val="00CF2EF9"/>
    <w:rsid w:val="00D02B4C"/>
    <w:rsid w:val="00D040C4"/>
    <w:rsid w:val="00D07E30"/>
    <w:rsid w:val="00D1488C"/>
    <w:rsid w:val="00D153C8"/>
    <w:rsid w:val="00D20AD1"/>
    <w:rsid w:val="00D37F14"/>
    <w:rsid w:val="00D441AC"/>
    <w:rsid w:val="00D46B7E"/>
    <w:rsid w:val="00D55CC1"/>
    <w:rsid w:val="00D57C84"/>
    <w:rsid w:val="00D6057D"/>
    <w:rsid w:val="00D6129B"/>
    <w:rsid w:val="00D648EC"/>
    <w:rsid w:val="00D671D1"/>
    <w:rsid w:val="00D71640"/>
    <w:rsid w:val="00D7509D"/>
    <w:rsid w:val="00D770B1"/>
    <w:rsid w:val="00D811C5"/>
    <w:rsid w:val="00D833E6"/>
    <w:rsid w:val="00D836C5"/>
    <w:rsid w:val="00D84576"/>
    <w:rsid w:val="00D90D03"/>
    <w:rsid w:val="00DA02A9"/>
    <w:rsid w:val="00DA1399"/>
    <w:rsid w:val="00DA24C6"/>
    <w:rsid w:val="00DA4D7B"/>
    <w:rsid w:val="00DB016A"/>
    <w:rsid w:val="00DB23EB"/>
    <w:rsid w:val="00DD271C"/>
    <w:rsid w:val="00DD3804"/>
    <w:rsid w:val="00DE264A"/>
    <w:rsid w:val="00DE42BA"/>
    <w:rsid w:val="00DF5072"/>
    <w:rsid w:val="00E02D18"/>
    <w:rsid w:val="00E041E7"/>
    <w:rsid w:val="00E047B8"/>
    <w:rsid w:val="00E05059"/>
    <w:rsid w:val="00E15024"/>
    <w:rsid w:val="00E15635"/>
    <w:rsid w:val="00E21181"/>
    <w:rsid w:val="00E22FB9"/>
    <w:rsid w:val="00E23CA1"/>
    <w:rsid w:val="00E26677"/>
    <w:rsid w:val="00E27070"/>
    <w:rsid w:val="00E33DD7"/>
    <w:rsid w:val="00E3529D"/>
    <w:rsid w:val="00E409A8"/>
    <w:rsid w:val="00E50C12"/>
    <w:rsid w:val="00E51C10"/>
    <w:rsid w:val="00E56145"/>
    <w:rsid w:val="00E60AEE"/>
    <w:rsid w:val="00E60B83"/>
    <w:rsid w:val="00E65B91"/>
    <w:rsid w:val="00E7209D"/>
    <w:rsid w:val="00E72EAD"/>
    <w:rsid w:val="00E73A2B"/>
    <w:rsid w:val="00E77223"/>
    <w:rsid w:val="00E85236"/>
    <w:rsid w:val="00E8528B"/>
    <w:rsid w:val="00E85B94"/>
    <w:rsid w:val="00E87942"/>
    <w:rsid w:val="00E87D1E"/>
    <w:rsid w:val="00E978D0"/>
    <w:rsid w:val="00EA4613"/>
    <w:rsid w:val="00EA526C"/>
    <w:rsid w:val="00EA7F91"/>
    <w:rsid w:val="00EB1523"/>
    <w:rsid w:val="00EB5855"/>
    <w:rsid w:val="00EC0E49"/>
    <w:rsid w:val="00EC101F"/>
    <w:rsid w:val="00EC1D9F"/>
    <w:rsid w:val="00ED2F91"/>
    <w:rsid w:val="00ED35AE"/>
    <w:rsid w:val="00EE0131"/>
    <w:rsid w:val="00EE17B0"/>
    <w:rsid w:val="00EE5512"/>
    <w:rsid w:val="00EE6139"/>
    <w:rsid w:val="00EF06D9"/>
    <w:rsid w:val="00F04F9B"/>
    <w:rsid w:val="00F155A7"/>
    <w:rsid w:val="00F15EE6"/>
    <w:rsid w:val="00F16DF0"/>
    <w:rsid w:val="00F26863"/>
    <w:rsid w:val="00F3049E"/>
    <w:rsid w:val="00F30C64"/>
    <w:rsid w:val="00F32BA2"/>
    <w:rsid w:val="00F32CDB"/>
    <w:rsid w:val="00F360C8"/>
    <w:rsid w:val="00F423D2"/>
    <w:rsid w:val="00F4382F"/>
    <w:rsid w:val="00F438F7"/>
    <w:rsid w:val="00F4448A"/>
    <w:rsid w:val="00F46491"/>
    <w:rsid w:val="00F47421"/>
    <w:rsid w:val="00F53EA7"/>
    <w:rsid w:val="00F565FE"/>
    <w:rsid w:val="00F568F8"/>
    <w:rsid w:val="00F63A70"/>
    <w:rsid w:val="00F63D8C"/>
    <w:rsid w:val="00F720A2"/>
    <w:rsid w:val="00F7534E"/>
    <w:rsid w:val="00F8552F"/>
    <w:rsid w:val="00F93CAD"/>
    <w:rsid w:val="00F93EDF"/>
    <w:rsid w:val="00F95906"/>
    <w:rsid w:val="00F9737F"/>
    <w:rsid w:val="00FA1802"/>
    <w:rsid w:val="00FA21D0"/>
    <w:rsid w:val="00FA5F5F"/>
    <w:rsid w:val="00FB730C"/>
    <w:rsid w:val="00FC2695"/>
    <w:rsid w:val="00FC2853"/>
    <w:rsid w:val="00FC3E03"/>
    <w:rsid w:val="00FC3FC1"/>
    <w:rsid w:val="00FE195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086D49"/>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15024"/>
    <w:pPr>
      <w:keepNext/>
      <w:numPr>
        <w:numId w:val="26"/>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15024"/>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996AF6"/>
    <w:pPr>
      <w:spacing w:after="0" w:line="240" w:lineRule="auto"/>
    </w:pPr>
    <w:rPr>
      <w:rFonts w:ascii="Arial" w:eastAsia="Times New Roman" w:hAnsi="Arial" w:cs="Times New Roman"/>
      <w:sz w:val="18"/>
      <w:szCs w:val="20"/>
      <w:lang w:val="en-GB"/>
    </w:rPr>
  </w:style>
  <w:style w:type="character" w:customStyle="1" w:styleId="Menzionenonrisolta1">
    <w:name w:val="Menzione non risolta1"/>
    <w:basedOn w:val="Carpredefinitoparagrafo"/>
    <w:uiPriority w:val="99"/>
    <w:semiHidden/>
    <w:unhideWhenUsed/>
    <w:rsid w:val="006F1B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086D49"/>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15024"/>
    <w:pPr>
      <w:keepNext/>
      <w:numPr>
        <w:numId w:val="26"/>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15024"/>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996AF6"/>
    <w:pPr>
      <w:spacing w:after="0" w:line="240" w:lineRule="auto"/>
    </w:pPr>
    <w:rPr>
      <w:rFonts w:ascii="Arial" w:eastAsia="Times New Roman" w:hAnsi="Arial" w:cs="Times New Roman"/>
      <w:sz w:val="18"/>
      <w:szCs w:val="20"/>
      <w:lang w:val="en-GB"/>
    </w:rPr>
  </w:style>
  <w:style w:type="character" w:customStyle="1" w:styleId="Menzionenonrisolta1">
    <w:name w:val="Menzione non risolta1"/>
    <w:basedOn w:val="Carpredefinitoparagrafo"/>
    <w:uiPriority w:val="99"/>
    <w:semiHidden/>
    <w:unhideWhenUsed/>
    <w:rsid w:val="006F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5812">
      <w:bodyDiv w:val="1"/>
      <w:marLeft w:val="0"/>
      <w:marRight w:val="0"/>
      <w:marTop w:val="0"/>
      <w:marBottom w:val="0"/>
      <w:divBdr>
        <w:top w:val="none" w:sz="0" w:space="0" w:color="auto"/>
        <w:left w:val="none" w:sz="0" w:space="0" w:color="auto"/>
        <w:bottom w:val="none" w:sz="0" w:space="0" w:color="auto"/>
        <w:right w:val="none" w:sz="0" w:space="0" w:color="auto"/>
      </w:divBdr>
    </w:div>
    <w:div w:id="132412065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272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tonio.molino@enea.it"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65D1D-2A38-4695-A364-466DD1C9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3707</Words>
  <Characters>21135</Characters>
  <Application>Microsoft Office Word</Application>
  <DocSecurity>0</DocSecurity>
  <Lines>176</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user</cp:lastModifiedBy>
  <cp:revision>2</cp:revision>
  <cp:lastPrinted>2015-05-12T18:31:00Z</cp:lastPrinted>
  <dcterms:created xsi:type="dcterms:W3CDTF">2024-03-05T10:26:00Z</dcterms:created>
  <dcterms:modified xsi:type="dcterms:W3CDTF">2024-03-05T10:26:00Z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SIP_Label_2ad0b24d-6422-44b0-b3de-abb3a9e8c81a_Enabled">
    <vt:lpwstr>true</vt:lpwstr>
  </property>
  <property fmtid="{D5CDD505-2E9C-101B-9397-08002B2CF9AE}" pid="5" name="MSIP_Label_2ad0b24d-6422-44b0-b3de-abb3a9e8c81a_SetDate">
    <vt:lpwstr>2023-12-04T14:50:02Z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ea62417a-b620-4615-a020-26912afade7f</vt:lpwstr>
  </property>
  <property fmtid="{D5CDD505-2E9C-101B-9397-08002B2CF9AE}" pid="10" name="MSIP_Label_2ad0b24d-6422-44b0-b3de-abb3a9e8c81a_ContentBits">
    <vt:lpwstr>0</vt:lpwstr>
  </property>
</Properties>
</file>