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932488">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15DAE12D"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843EAC">
              <w:rPr>
                <w:rFonts w:cs="Arial"/>
                <w:b/>
                <w:bCs/>
                <w:i/>
                <w:iCs/>
                <w:color w:val="000066"/>
                <w:sz w:val="22"/>
                <w:szCs w:val="22"/>
                <w:lang w:eastAsia="it-IT"/>
              </w:rPr>
              <w:t xml:space="preserve">    </w:t>
            </w:r>
            <w:r w:rsidR="004761E9">
              <w:rPr>
                <w:rFonts w:cs="Arial"/>
                <w:b/>
                <w:bCs/>
                <w:i/>
                <w:iCs/>
                <w:color w:val="000066"/>
                <w:sz w:val="22"/>
                <w:szCs w:val="22"/>
                <w:lang w:eastAsia="it-IT"/>
              </w:rPr>
              <w:t xml:space="preserve">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DB3233">
              <w:rPr>
                <w:rFonts w:cs="Arial"/>
                <w:b/>
                <w:bCs/>
                <w:i/>
                <w:iCs/>
                <w:color w:val="000066"/>
                <w:sz w:val="22"/>
                <w:szCs w:val="22"/>
                <w:lang w:eastAsia="it-IT"/>
              </w:rPr>
              <w:t>4</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932488">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932488">
        <w:trPr>
          <w:trHeight w:val="68"/>
          <w:jc w:val="center"/>
        </w:trPr>
        <w:tc>
          <w:tcPr>
            <w:tcW w:w="8782" w:type="dxa"/>
            <w:gridSpan w:val="2"/>
          </w:tcPr>
          <w:p w14:paraId="1D8DD3C9" w14:textId="475D992A" w:rsidR="00AA7D26" w:rsidRPr="006A23E9" w:rsidRDefault="00AA7D26" w:rsidP="00AA7D26">
            <w:pPr>
              <w:ind w:left="-107"/>
              <w:outlineLvl w:val="2"/>
              <w:rPr>
                <w:rFonts w:ascii="Tahoma" w:hAnsi="Tahoma" w:cs="Tahoma"/>
                <w:bCs/>
                <w:color w:val="000000"/>
                <w:sz w:val="14"/>
                <w:szCs w:val="14"/>
                <w:lang w:eastAsia="it-IT"/>
              </w:rPr>
            </w:pPr>
            <w:r w:rsidRPr="006A23E9">
              <w:rPr>
                <w:rFonts w:ascii="Tahoma" w:hAnsi="Tahoma" w:cs="Tahoma"/>
                <w:iCs/>
                <w:color w:val="333333"/>
                <w:sz w:val="14"/>
                <w:szCs w:val="14"/>
                <w:lang w:eastAsia="it-IT"/>
              </w:rPr>
              <w:t>Guest Editors:</w:t>
            </w:r>
            <w:r w:rsidRPr="006A23E9">
              <w:rPr>
                <w:rFonts w:ascii="Tahoma" w:hAnsi="Tahoma" w:cs="Tahoma"/>
                <w:color w:val="000000"/>
                <w:sz w:val="14"/>
                <w:szCs w:val="14"/>
                <w:shd w:val="clear" w:color="auto" w:fill="FFFFFF"/>
              </w:rPr>
              <w:t xml:space="preserve"> </w:t>
            </w:r>
            <w:r w:rsidR="006A23E9" w:rsidRPr="00946B70">
              <w:rPr>
                <w:rFonts w:ascii="Tahoma" w:hAnsi="Tahoma" w:cs="Tahoma"/>
                <w:color w:val="000000"/>
                <w:sz w:val="14"/>
                <w:szCs w:val="14"/>
                <w:shd w:val="clear" w:color="auto" w:fill="FFFFFF"/>
              </w:rPr>
              <w:t xml:space="preserve">Leonardo </w:t>
            </w:r>
            <w:proofErr w:type="spellStart"/>
            <w:r w:rsidR="006A23E9" w:rsidRPr="00946B70">
              <w:rPr>
                <w:rFonts w:ascii="Tahoma" w:hAnsi="Tahoma" w:cs="Tahoma"/>
                <w:color w:val="000000"/>
                <w:sz w:val="14"/>
                <w:szCs w:val="14"/>
                <w:shd w:val="clear" w:color="auto" w:fill="FFFFFF"/>
              </w:rPr>
              <w:t>Tognotti</w:t>
            </w:r>
            <w:proofErr w:type="spellEnd"/>
            <w:r w:rsidR="006A23E9" w:rsidRPr="00946B70">
              <w:rPr>
                <w:rFonts w:ascii="Tahoma" w:hAnsi="Tahoma" w:cs="Tahoma"/>
                <w:color w:val="000000"/>
                <w:sz w:val="14"/>
                <w:szCs w:val="14"/>
                <w:shd w:val="clear" w:color="auto" w:fill="FFFFFF"/>
              </w:rPr>
              <w:t xml:space="preserve">, </w:t>
            </w:r>
            <w:r w:rsidR="006A23E9" w:rsidRPr="00946B70">
              <w:rPr>
                <w:rFonts w:ascii="Tahoma" w:hAnsi="Tahoma" w:cs="Tahoma"/>
                <w:color w:val="000000"/>
                <w:sz w:val="14"/>
                <w:szCs w:val="14"/>
              </w:rPr>
              <w:t>Rubens Maciel Filho</w:t>
            </w:r>
            <w:r w:rsidR="006A23E9" w:rsidRPr="00946B70">
              <w:rPr>
                <w:rFonts w:ascii="Tahoma" w:hAnsi="Tahoma" w:cs="Tahoma"/>
                <w:color w:val="000000"/>
                <w:sz w:val="14"/>
                <w:szCs w:val="14"/>
                <w:shd w:val="clear" w:color="auto" w:fill="FFFFFF"/>
              </w:rPr>
              <w:t xml:space="preserve">, </w:t>
            </w:r>
            <w:r w:rsidR="006A23E9" w:rsidRPr="00946B70">
              <w:rPr>
                <w:rFonts w:ascii="Tahoma" w:hAnsi="Tahoma" w:cs="Tahoma"/>
                <w:color w:val="000000"/>
                <w:sz w:val="14"/>
                <w:szCs w:val="14"/>
              </w:rPr>
              <w:t xml:space="preserve">Viatcheslav </w:t>
            </w:r>
            <w:proofErr w:type="spellStart"/>
            <w:r w:rsidR="006A23E9" w:rsidRPr="00946B70">
              <w:rPr>
                <w:rFonts w:ascii="Tahoma" w:hAnsi="Tahoma" w:cs="Tahoma"/>
                <w:color w:val="000000"/>
                <w:sz w:val="14"/>
                <w:szCs w:val="14"/>
              </w:rPr>
              <w:t>Kafarov</w:t>
            </w:r>
            <w:proofErr w:type="spellEnd"/>
          </w:p>
          <w:p w14:paraId="1B0F1814" w14:textId="3AD74145"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843EAC">
              <w:rPr>
                <w:rFonts w:ascii="Tahoma" w:hAnsi="Tahoma" w:cs="Tahoma"/>
                <w:iCs/>
                <w:color w:val="333333"/>
                <w:sz w:val="14"/>
                <w:szCs w:val="14"/>
                <w:lang w:eastAsia="it-IT"/>
              </w:rPr>
              <w:t>4</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8B7C03" w:rsidRPr="000562A9">
              <w:rPr>
                <w:rFonts w:ascii="Tahoma" w:hAnsi="Tahoma" w:cs="Tahoma"/>
                <w:sz w:val="14"/>
                <w:szCs w:val="14"/>
              </w:rPr>
              <w:t>97</w:t>
            </w:r>
            <w:r w:rsidR="008B7C03">
              <w:rPr>
                <w:rFonts w:ascii="Tahoma" w:hAnsi="Tahoma" w:cs="Tahoma"/>
                <w:sz w:val="14"/>
                <w:szCs w:val="14"/>
              </w:rPr>
              <w:t>9</w:t>
            </w:r>
            <w:r w:rsidR="008B7C03" w:rsidRPr="000562A9">
              <w:rPr>
                <w:rFonts w:ascii="Tahoma" w:hAnsi="Tahoma" w:cs="Tahoma"/>
                <w:sz w:val="14"/>
                <w:szCs w:val="14"/>
              </w:rPr>
              <w:t>-</w:t>
            </w:r>
            <w:r w:rsidR="008B7C03">
              <w:rPr>
                <w:rFonts w:ascii="Tahoma" w:hAnsi="Tahoma" w:cs="Tahoma"/>
                <w:sz w:val="14"/>
                <w:szCs w:val="14"/>
              </w:rPr>
              <w:t>12</w:t>
            </w:r>
            <w:r w:rsidR="008B7C03" w:rsidRPr="000562A9">
              <w:rPr>
                <w:rFonts w:ascii="Tahoma" w:hAnsi="Tahoma" w:cs="Tahoma"/>
                <w:sz w:val="14"/>
                <w:szCs w:val="14"/>
              </w:rPr>
              <w:t>-</w:t>
            </w:r>
            <w:r w:rsidR="008B7C03">
              <w:rPr>
                <w:rFonts w:ascii="Tahoma" w:hAnsi="Tahoma" w:cs="Tahoma"/>
                <w:sz w:val="14"/>
                <w:szCs w:val="14"/>
              </w:rPr>
              <w:t>81206</w:t>
            </w:r>
            <w:r>
              <w:rPr>
                <w:rFonts w:ascii="Tahoma" w:hAnsi="Tahoma" w:cs="Tahoma"/>
                <w:sz w:val="14"/>
                <w:szCs w:val="14"/>
              </w:rPr>
              <w:t>-</w:t>
            </w:r>
            <w:r w:rsidR="00DB3233">
              <w:rPr>
                <w:rFonts w:ascii="Tahoma" w:hAnsi="Tahoma" w:cs="Tahoma"/>
                <w:sz w:val="14"/>
                <w:szCs w:val="14"/>
              </w:rPr>
              <w:t>09</w:t>
            </w:r>
            <w:r>
              <w:rPr>
                <w:rFonts w:ascii="Tahoma" w:hAnsi="Tahoma" w:cs="Tahoma"/>
                <w:sz w:val="14"/>
                <w:szCs w:val="14"/>
              </w:rPr>
              <w:t>-</w:t>
            </w:r>
            <w:r w:rsidR="00DB3233">
              <w:rPr>
                <w:rFonts w:ascii="Tahoma" w:hAnsi="Tahoma" w:cs="Tahoma"/>
                <w:sz w:val="14"/>
                <w:szCs w:val="14"/>
              </w:rPr>
              <w:t>0</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310A9D67" w:rsidR="00E978D0" w:rsidRPr="00B57B36" w:rsidRDefault="00437691" w:rsidP="00E978D0">
      <w:pPr>
        <w:pStyle w:val="CETTitle"/>
      </w:pPr>
      <w:r w:rsidRPr="00437691">
        <w:t>Analysis of Municipal Solid Waste in Soweto, Johannesburg Municipality, South Africa: Implications for Sustainable Waste Management Practices</w:t>
      </w:r>
    </w:p>
    <w:p w14:paraId="0488FED2" w14:textId="72A612F0" w:rsidR="00B57E6F" w:rsidRPr="00B57B36" w:rsidRDefault="00932488" w:rsidP="00B57E6F">
      <w:pPr>
        <w:pStyle w:val="CETAuthors"/>
      </w:pPr>
      <w:r>
        <w:t>Seshibe S</w:t>
      </w:r>
      <w:r w:rsidR="00B57E6F" w:rsidRPr="00B57B36">
        <w:t xml:space="preserve">. </w:t>
      </w:r>
      <w:r>
        <w:t>Makgato</w:t>
      </w:r>
      <w:r>
        <w:rPr>
          <w:vertAlign w:val="superscript"/>
        </w:rPr>
        <w:t>a</w:t>
      </w:r>
    </w:p>
    <w:p w14:paraId="6B2D21B3" w14:textId="726B1C80" w:rsidR="00B57E6F" w:rsidRPr="00B57B36" w:rsidRDefault="00B57E6F" w:rsidP="00B57E6F">
      <w:pPr>
        <w:pStyle w:val="CETAddress"/>
      </w:pPr>
      <w:r w:rsidRPr="00B57B36">
        <w:rPr>
          <w:vertAlign w:val="superscript"/>
        </w:rPr>
        <w:t>a</w:t>
      </w:r>
      <w:r w:rsidR="003D427E" w:rsidRPr="003D427E">
        <w:t xml:space="preserve">Department of Chemical </w:t>
      </w:r>
      <w:r w:rsidR="00A96F59">
        <w:t xml:space="preserve">&amp; Materials </w:t>
      </w:r>
      <w:r w:rsidR="003D427E" w:rsidRPr="003D427E">
        <w:t>Engineering, College of Science, Engineering and Technology, University of South Africa (UNISA), C/o Christiaan de Wet &amp; Pioneer Avenue, Florida  Campus, 1710, Johannesburg, South Africa</w:t>
      </w:r>
    </w:p>
    <w:p w14:paraId="73F1267A" w14:textId="55014ECD" w:rsidR="00B57E6F" w:rsidRPr="00B57B36" w:rsidRDefault="003D427E" w:rsidP="00B57E6F">
      <w:pPr>
        <w:pStyle w:val="CETemail"/>
      </w:pPr>
      <w:r>
        <w:t xml:space="preserve">E-mail: </w:t>
      </w:r>
      <w:hyperlink r:id="rId10" w:history="1">
        <w:r w:rsidRPr="008A09EB">
          <w:rPr>
            <w:rStyle w:val="Hyperlink"/>
          </w:rPr>
          <w:t>makgato2001@yahoo.com</w:t>
        </w:r>
      </w:hyperlink>
      <w:r>
        <w:t xml:space="preserve">  </w:t>
      </w:r>
    </w:p>
    <w:p w14:paraId="04B319EE" w14:textId="48C1550C" w:rsidR="00600535" w:rsidRPr="00DB53B8" w:rsidRDefault="00D65644" w:rsidP="00600535">
      <w:pPr>
        <w:pStyle w:val="CETBodytext"/>
        <w:rPr>
          <w:highlight w:val="green"/>
          <w:lang w:val="en-ZA"/>
        </w:rPr>
      </w:pPr>
      <w:r w:rsidRPr="00D65644">
        <w:rPr>
          <w:lang w:val="en-ZA"/>
        </w:rPr>
        <w:t xml:space="preserve">The generation of municipal solid waste (MSW) has been consistently increasing due to various factors, such as the improvement of living standards, urban migration for employment opportunities, and, most notably, rapid population growth. In South Africa, inadequate collection and transportation methods result in the accumulation of solid waste. The objective of this study is to quantify and </w:t>
      </w:r>
      <w:r w:rsidR="00E62883" w:rsidRPr="00D65644">
        <w:rPr>
          <w:lang w:val="en-ZA"/>
        </w:rPr>
        <w:t>analyse</w:t>
      </w:r>
      <w:r w:rsidRPr="00D65644">
        <w:rPr>
          <w:lang w:val="en-ZA"/>
        </w:rPr>
        <w:t xml:space="preserve"> the composition of municipal solid waste by type, evaluate proximate and ultimate analysis, and assess the potential effectiveness of energy generation from Johannesburg City in Soweto. According to the proximate analysis findings, the MSW contains a significant amount of moisture and ash. Therefore, it requires additional separation and purification processes before its utilization. The elemental analysis results indicate that the waste material has a decreased concentration of sulfur and nitrogen, which is desirable. The study's findings can help to optimize and design the thermal waste-to-energy (WTF) process for the composition of the studied waste, thereby expediting the transition to a circular economy in urban regions and reducing </w:t>
      </w:r>
      <w:bookmarkStart w:id="0" w:name="_Hlk495475023"/>
      <w:r w:rsidR="00A90B84" w:rsidRPr="00D65644">
        <w:rPr>
          <w:lang w:val="en-ZA"/>
        </w:rPr>
        <w:t>pollution.</w:t>
      </w:r>
    </w:p>
    <w:bookmarkEnd w:id="0"/>
    <w:p w14:paraId="26B883CF" w14:textId="77777777" w:rsidR="000D13DE" w:rsidRPr="00DB53B8" w:rsidRDefault="000D13DE" w:rsidP="000D13DE">
      <w:pPr>
        <w:pStyle w:val="CETListbullets"/>
        <w:ind w:left="0" w:firstLine="0"/>
        <w:rPr>
          <w:highlight w:val="green"/>
        </w:rPr>
      </w:pPr>
    </w:p>
    <w:p w14:paraId="008808E5" w14:textId="1CAFFE39" w:rsidR="000D13DE" w:rsidRDefault="000D13DE" w:rsidP="000D13DE">
      <w:pPr>
        <w:pStyle w:val="CETListbullets"/>
        <w:ind w:left="0" w:firstLine="0"/>
      </w:pPr>
      <w:r w:rsidRPr="00A50FF7">
        <w:t>Keywords: Solid waste; municipal; classification; reuse</w:t>
      </w:r>
    </w:p>
    <w:p w14:paraId="476B2F2E" w14:textId="77777777" w:rsidR="00600535" w:rsidRPr="00B57B36" w:rsidRDefault="00600535" w:rsidP="00600535">
      <w:pPr>
        <w:pStyle w:val="CETHeading1"/>
        <w:rPr>
          <w:lang w:val="en-GB"/>
        </w:rPr>
      </w:pPr>
      <w:r w:rsidRPr="00B57B36">
        <w:rPr>
          <w:lang w:val="en-GB"/>
        </w:rPr>
        <w:t>Introduction</w:t>
      </w:r>
    </w:p>
    <w:p w14:paraId="23F43F40" w14:textId="101DF8E9" w:rsidR="00F25293" w:rsidRDefault="00A5436E" w:rsidP="00953D15">
      <w:pPr>
        <w:pStyle w:val="CETListbullets"/>
        <w:ind w:left="0" w:firstLine="0"/>
      </w:pPr>
      <w:r w:rsidRPr="00A5436E">
        <w:t xml:space="preserve">Household, </w:t>
      </w:r>
      <w:proofErr w:type="gramStart"/>
      <w:r w:rsidRPr="00A5436E">
        <w:t>commercial</w:t>
      </w:r>
      <w:proofErr w:type="gramEnd"/>
      <w:r w:rsidR="007723D3">
        <w:t xml:space="preserve"> </w:t>
      </w:r>
      <w:r w:rsidRPr="00A5436E">
        <w:t xml:space="preserve">and industrial sources generate municipal solid waste (MSW), also known as garbage (Adhikari et al., 2018). In recent years, municipalities have been generating progressively larger quantities of municipal solid waste (MSW), </w:t>
      </w:r>
      <w:r w:rsidRPr="007723D3">
        <w:t>resulting in environmental contamination, the expansion of landfills</w:t>
      </w:r>
      <w:r w:rsidR="00A57062" w:rsidRPr="007723D3">
        <w:t xml:space="preserve"> </w:t>
      </w:r>
      <w:r w:rsidRPr="007723D3">
        <w:t xml:space="preserve">and detrimental effects on human health. Nagamori et al. (2023) project a significant surge in greenhouse gas emissions due to the increase in population and industrialization in Africa. </w:t>
      </w:r>
      <w:r w:rsidRPr="00A5436E">
        <w:t>Municipalities in South Africa are responsible for waste management service delivery, as stipulated in the South African Constitution (Nkosi et al., 2013). The Waste Act (Act 59 of 2008) reinforces this directive by requiring towns to comply with national and provincial norms and regulations (DEA, 2011). The Waste Act establishes a waste management hierarchy, prioritizing waste avoidance as the primary objective, followed by waste reduction, reuse, recycling, and disposal as the last choice.</w:t>
      </w:r>
      <w:r>
        <w:t xml:space="preserve"> </w:t>
      </w:r>
      <w:r w:rsidR="00422133" w:rsidRPr="00422133">
        <w:t>Recycling, reusing, or converting waste offers benefits like reducing greenhouse gas emissions (Kaur et al., 2021). South Africa currently generates about 12.7 million metric tons of waste annually, with approximately 3.67 million metric tons illegally dumped (Nkosi et al., 2013). Rising living standards and global population growth contribute to the increasing diversity and volume of solid waste. Municipalities are therefore under pressure to implement more efficient technologies and policies to manage MSW and address environmental threats (Young, 2010). Nagamori et al. (2023) also noted that MSW contributes to greenhouse gas emissions, soil and groundwater contamination, visual blight, and the spread of diseases.</w:t>
      </w:r>
    </w:p>
    <w:p w14:paraId="18000479" w14:textId="77777777" w:rsidR="00422133" w:rsidRPr="00B92003" w:rsidRDefault="00422133" w:rsidP="00953D15">
      <w:pPr>
        <w:pStyle w:val="CETListbullets"/>
        <w:ind w:left="0" w:firstLine="0"/>
      </w:pPr>
    </w:p>
    <w:p w14:paraId="24A1D4D1" w14:textId="1BFB4F12" w:rsidR="00F25293" w:rsidRDefault="00422133" w:rsidP="006541ED">
      <w:pPr>
        <w:pStyle w:val="CETListbullets"/>
        <w:ind w:left="0" w:firstLine="0"/>
      </w:pPr>
      <w:r w:rsidRPr="00422133">
        <w:t xml:space="preserve">Ma and </w:t>
      </w:r>
      <w:proofErr w:type="spellStart"/>
      <w:r w:rsidRPr="00422133">
        <w:t>Hipel</w:t>
      </w:r>
      <w:proofErr w:type="spellEnd"/>
      <w:r w:rsidRPr="00422133">
        <w:t xml:space="preserve"> (2016) report that the average household size in townships is 3.1 people, with 28% of the community living in overcrowded conditions. Johannesburg, for instance, accommodates over </w:t>
      </w:r>
      <w:proofErr w:type="gramStart"/>
      <w:r w:rsidRPr="00422133">
        <w:t>5</w:t>
      </w:r>
      <w:proofErr w:type="gramEnd"/>
      <w:r w:rsidRPr="00422133">
        <w:t xml:space="preserve"> million people in an area of 1 643 km², serving as South Africa's economic hub and representing approximately 8% of the total population. In </w:t>
      </w:r>
      <w:proofErr w:type="gramStart"/>
      <w:r w:rsidRPr="00422133">
        <w:t>many</w:t>
      </w:r>
      <w:proofErr w:type="gramEnd"/>
      <w:r w:rsidRPr="00422133">
        <w:t xml:space="preserve"> townships, inadequate municipal management has resulted in a failure to collect refuse </w:t>
      </w:r>
      <w:r w:rsidRPr="00422133">
        <w:lastRenderedPageBreak/>
        <w:t xml:space="preserve">waste, posing a risk of exposure to microorganisms that can cause deadly diseases. </w:t>
      </w:r>
      <w:r w:rsidR="006541ED" w:rsidRPr="006541ED">
        <w:t xml:space="preserve">A lack of adequate waste management infrastructure makes township settlements vulnerable to airborne and waste-borne diseases. Nagamori et al. (2023) propose that implementing efficient municipal waste management can significantly reduce the prevalence of diseases caused by inadequate waste disposal methods. With population growth, there is a corresponding increase in </w:t>
      </w:r>
      <w:proofErr w:type="gramStart"/>
      <w:r w:rsidR="006541ED" w:rsidRPr="006541ED">
        <w:t>garbage</w:t>
      </w:r>
      <w:proofErr w:type="gramEnd"/>
      <w:r w:rsidR="006541ED" w:rsidRPr="006541ED">
        <w:t xml:space="preserve"> production, which has led to a rising need for effective waste </w:t>
      </w:r>
      <w:r w:rsidR="005848DD" w:rsidRPr="006541ED">
        <w:t>management.</w:t>
      </w:r>
    </w:p>
    <w:p w14:paraId="41945D5E" w14:textId="77777777" w:rsidR="006541ED" w:rsidRPr="00B92003" w:rsidRDefault="006541ED" w:rsidP="006541ED">
      <w:pPr>
        <w:pStyle w:val="CETListbullets"/>
        <w:ind w:left="0" w:firstLine="0"/>
      </w:pPr>
    </w:p>
    <w:p w14:paraId="5E3E1933" w14:textId="10ED90B9" w:rsidR="006B1A4B" w:rsidRPr="00B92003" w:rsidRDefault="00A5436E" w:rsidP="00F25293">
      <w:pPr>
        <w:pStyle w:val="CETListbullets"/>
        <w:ind w:left="0" w:firstLine="0"/>
      </w:pPr>
      <w:r w:rsidRPr="00A5436E">
        <w:t xml:space="preserve">The increase in population and the fast expansion of metropolitan areas in Gauteng Province, South Africa, worsen the problem of limited space for landfills. This has resulted in difficulties in the disposal and management of municipal solid waste (MSW), with unauthorized dumping causing damage to the environment. Municipal waste management has emerged as a prominent engineering field, with a particular emphasis on harnessing the energy potential of </w:t>
      </w:r>
      <w:proofErr w:type="gramStart"/>
      <w:r w:rsidRPr="00A5436E">
        <w:t>trash</w:t>
      </w:r>
      <w:proofErr w:type="gramEnd"/>
      <w:r w:rsidRPr="00A5436E">
        <w:t>. Although towns face difficulties managing solid waste systems, research has shed light on how to achieve efficient waste management. Researchers are assessing the potential for South African townships to harness solid waste as a source of electricity. Municipal solid waste (MSW) often goes through thermal conversion methods such as incineration, pyrolysis, and gasification. These procedures convert heat energy into electrical energy. MSW offers advantages such as energy recovery, sustainability promotion, and greenhouse gas reduction. Additionally, it helps prevent pollution of land and water. Although there has been significant research on the characterization of municipal solid waste (MSW) and its conversion into energy, there is still a need to efficiently apply regulations that might improve the manageability of MSW for municipalities</w:t>
      </w:r>
      <w:r>
        <w:t>.</w:t>
      </w:r>
    </w:p>
    <w:p w14:paraId="7A6BCF56" w14:textId="77777777" w:rsidR="006B1A4B" w:rsidRPr="00B92003" w:rsidRDefault="006B1A4B" w:rsidP="006B1A4B">
      <w:pPr>
        <w:pStyle w:val="CETListbullets"/>
        <w:ind w:left="0" w:firstLine="0"/>
      </w:pPr>
    </w:p>
    <w:p w14:paraId="006229BC" w14:textId="046164B0" w:rsidR="002F423B" w:rsidRPr="00B92003" w:rsidRDefault="00A5436E" w:rsidP="00BF5A4B">
      <w:pPr>
        <w:pStyle w:val="CETListbullets"/>
        <w:ind w:left="0" w:firstLine="0"/>
      </w:pPr>
      <w:r w:rsidRPr="00A5436E">
        <w:t xml:space="preserve">The study selected Southwestern townships (Soweto), a municipality in Johannesburg, Gauteng province. The classification of municipal solid waste was based on factors such as economic development, energy sources, seasons, lifestyle, and the population size of Soweto, which is 1.3 million. We conducted this classification to identify the types of waste that current available technologies can use for energy generation. The study's objective was to classify municipal solid waste by characterizing its composition, assessing its ultimate and proximate analysis, conducting ash analysis of combustible categories, and evaluating </w:t>
      </w:r>
      <w:r w:rsidR="00D65644">
        <w:t xml:space="preserve">the relevant </w:t>
      </w:r>
      <w:r w:rsidRPr="00A5436E">
        <w:t xml:space="preserve">waste-to-energy technologies relevant to the waste </w:t>
      </w:r>
      <w:r w:rsidR="005848DD" w:rsidRPr="00A5436E">
        <w:t>studied.</w:t>
      </w:r>
      <w:r w:rsidR="00A473A1" w:rsidRPr="00B92003">
        <w:t xml:space="preserve"> </w:t>
      </w:r>
    </w:p>
    <w:p w14:paraId="677EBFF0" w14:textId="23414E3B" w:rsidR="00600535" w:rsidRPr="00B92003" w:rsidRDefault="00235DA4" w:rsidP="00600535">
      <w:pPr>
        <w:pStyle w:val="CETHeading1"/>
        <w:tabs>
          <w:tab w:val="right" w:pos="7100"/>
        </w:tabs>
        <w:jc w:val="both"/>
        <w:rPr>
          <w:lang w:val="en-GB"/>
        </w:rPr>
      </w:pPr>
      <w:r w:rsidRPr="00B92003">
        <w:rPr>
          <w:lang w:val="en-GB"/>
        </w:rPr>
        <w:t>Materials and methods</w:t>
      </w:r>
    </w:p>
    <w:p w14:paraId="04963A06" w14:textId="0F29A79F" w:rsidR="00600535" w:rsidRPr="00B92003" w:rsidRDefault="00DD4E33" w:rsidP="006C47C3">
      <w:pPr>
        <w:pStyle w:val="CETheadingx"/>
      </w:pPr>
      <w:r w:rsidRPr="00B92003">
        <w:t xml:space="preserve">Study </w:t>
      </w:r>
      <w:proofErr w:type="gramStart"/>
      <w:r w:rsidRPr="00B92003">
        <w:t>area</w:t>
      </w:r>
      <w:proofErr w:type="gramEnd"/>
    </w:p>
    <w:p w14:paraId="6317C197" w14:textId="5056236E" w:rsidR="00DD4E33" w:rsidRPr="00B92003" w:rsidRDefault="00422133" w:rsidP="00FA2BED">
      <w:pPr>
        <w:pStyle w:val="CETBodytext"/>
      </w:pPr>
      <w:r w:rsidRPr="00422133">
        <w:t>We conducted the research in Soweto, a township within the Johannesburg municipality in the Gauteng province of South Africa. We chose Soweto because of its economic development, energy sources, lifestyle, population size (estimated at 1.3 million), consumption patterns, and frequency of municipal solid waste disposal. It is the largest township in South Africa, with an estimated population of 1.9 million in 2019.</w:t>
      </w:r>
    </w:p>
    <w:p w14:paraId="4C70B4B1" w14:textId="77777777" w:rsidR="00DD4E33" w:rsidRPr="00B92003" w:rsidRDefault="00DD4E33" w:rsidP="00DD4E33">
      <w:pPr>
        <w:pStyle w:val="CETheadingx"/>
      </w:pPr>
      <w:r w:rsidRPr="00B92003">
        <w:t xml:space="preserve">Waste </w:t>
      </w:r>
      <w:proofErr w:type="gramStart"/>
      <w:r w:rsidRPr="00B92003">
        <w:t>samples</w:t>
      </w:r>
      <w:proofErr w:type="gramEnd"/>
    </w:p>
    <w:p w14:paraId="53F2732B" w14:textId="1A84284D" w:rsidR="00851CC8" w:rsidRPr="00B92003" w:rsidRDefault="00E947B2" w:rsidP="00FA2BED">
      <w:pPr>
        <w:pStyle w:val="CETBodytext"/>
      </w:pPr>
      <w:r w:rsidRPr="00B92003">
        <w:t xml:space="preserve">Samples were manually collected and sorted throughout the </w:t>
      </w:r>
      <w:r w:rsidR="00A57062">
        <w:t>year</w:t>
      </w:r>
      <w:r w:rsidRPr="00B92003">
        <w:t xml:space="preserve">. Each sample, weighing 100 kg, was then </w:t>
      </w:r>
      <w:proofErr w:type="gramStart"/>
      <w:r w:rsidRPr="00B92003">
        <w:t>sampled</w:t>
      </w:r>
      <w:proofErr w:type="gramEnd"/>
      <w:r w:rsidRPr="00B92003">
        <w:t xml:space="preserve"> and weighed in accordance with the standard (ASTM D5231 – 92, 2008).</w:t>
      </w:r>
      <w:r w:rsidR="00851CC8" w:rsidRPr="00B92003">
        <w:t xml:space="preserve"> </w:t>
      </w:r>
    </w:p>
    <w:p w14:paraId="1A808E93" w14:textId="62279F36" w:rsidR="00CF23CF" w:rsidRPr="00B92003" w:rsidRDefault="003653A1" w:rsidP="006C47C3">
      <w:pPr>
        <w:pStyle w:val="CETheadingx"/>
      </w:pPr>
      <w:r w:rsidRPr="00B92003">
        <w:t>Ultimate analysis and calorific value</w:t>
      </w:r>
    </w:p>
    <w:p w14:paraId="63143D4D" w14:textId="33E30681" w:rsidR="00CF23CF" w:rsidRPr="00B92003" w:rsidRDefault="00C269A1" w:rsidP="00FA2BED">
      <w:pPr>
        <w:pStyle w:val="CETBodytext"/>
      </w:pPr>
      <w:r w:rsidRPr="00B92003">
        <w:t xml:space="preserve">The technique employed for determining the chemical composition of the organic fractions in MSW is known as ultimate analysis. This analysis is conducted using a Thermo-Scientific FLASH 2000 CHNS/O Organic Elemental Analyzer. The analyzer measures the weight percentages of carbon (C), hydrogen (H), nitrogen (N), and sulfur (S), while the oxygen content is estimated following ASTM D3176 </w:t>
      </w:r>
      <w:r w:rsidR="004C014E">
        <w:t>Standard procedure</w:t>
      </w:r>
      <w:r w:rsidRPr="00B92003">
        <w:t>. The heating value of MSW and legacy waste was determined using a Bomb Calorimeter (LECO, AC 350 LECO model).</w:t>
      </w:r>
    </w:p>
    <w:p w14:paraId="4CA7EC5D" w14:textId="77777777" w:rsidR="00AB44AC" w:rsidRPr="00B92003" w:rsidRDefault="00AB44AC" w:rsidP="006C47C3">
      <w:pPr>
        <w:pStyle w:val="CETheadingx"/>
      </w:pPr>
      <w:r w:rsidRPr="00B92003">
        <w:t>Proximate analysis</w:t>
      </w:r>
    </w:p>
    <w:p w14:paraId="769F1207" w14:textId="2B21139D" w:rsidR="005C19C7" w:rsidRPr="00B92003" w:rsidRDefault="00BA2CC7" w:rsidP="00FA2BED">
      <w:pPr>
        <w:pStyle w:val="CETBodytext"/>
      </w:pPr>
      <w:r w:rsidRPr="00B92003">
        <w:t>The percentage moisture contents were obtained as the weight loss in percentage before and after drying the samples as per ASTM D3173</w:t>
      </w:r>
      <w:r w:rsidR="005C19C7" w:rsidRPr="00B92003">
        <w:t>.</w:t>
      </w:r>
      <w:r w:rsidRPr="00B92003">
        <w:t xml:space="preserve"> The volatile matter content was evaluated using standard method per ASTM D3175. Ash content was determined by placing the samples in an oven and were heated to a temperature of about 750 </w:t>
      </w:r>
      <w:r w:rsidRPr="00B92003">
        <w:sym w:font="Symbol" w:char="F0B0"/>
      </w:r>
      <w:r w:rsidRPr="00B92003">
        <w:t xml:space="preserve">C for 1 h in agreement with ASTM D3174. </w:t>
      </w:r>
      <w:r w:rsidR="005C19C7" w:rsidRPr="00B92003">
        <w:t xml:space="preserve">Fixed carbon is calculated by </w:t>
      </w:r>
      <w:r w:rsidRPr="00B92003">
        <w:t>summing up</w:t>
      </w:r>
      <w:r w:rsidR="005C19C7" w:rsidRPr="00B92003">
        <w:t xml:space="preserve"> % moisture content, % volatile matter and % ash and the total</w:t>
      </w:r>
      <w:r w:rsidRPr="00B92003">
        <w:t xml:space="preserve"> </w:t>
      </w:r>
      <w:r w:rsidR="005C19C7" w:rsidRPr="00B92003">
        <w:t>sum is taken away from 100.</w:t>
      </w:r>
    </w:p>
    <w:p w14:paraId="4C72C0CD" w14:textId="7C5B4F50" w:rsidR="000744BA" w:rsidRPr="00B92003" w:rsidRDefault="00AB44AC" w:rsidP="006C47C3">
      <w:pPr>
        <w:pStyle w:val="CETheadingx"/>
      </w:pPr>
      <w:r w:rsidRPr="00B92003">
        <w:lastRenderedPageBreak/>
        <w:t>Determination of bulk densit</w:t>
      </w:r>
      <w:r w:rsidR="000744BA" w:rsidRPr="00B92003">
        <w:t>y</w:t>
      </w:r>
    </w:p>
    <w:p w14:paraId="733E7E98" w14:textId="7FEFE37D" w:rsidR="00CF23CF" w:rsidRPr="00B92003" w:rsidRDefault="000744BA" w:rsidP="005C19C7">
      <w:pPr>
        <w:pStyle w:val="CETheadingx"/>
        <w:numPr>
          <w:ilvl w:val="0"/>
          <w:numId w:val="0"/>
        </w:numPr>
        <w:rPr>
          <w:i w:val="0"/>
          <w:iCs w:val="0"/>
        </w:rPr>
      </w:pPr>
      <w:r w:rsidRPr="00B92003">
        <w:rPr>
          <w:i w:val="0"/>
          <w:iCs w:val="0"/>
        </w:rPr>
        <w:t>The bulk density of the MSW and legacy waste sample was determined by ASTM D-1895</w:t>
      </w:r>
      <w:r w:rsidR="00A473A1" w:rsidRPr="00B92003">
        <w:rPr>
          <w:i w:val="0"/>
          <w:iCs w:val="0"/>
        </w:rPr>
        <w:t>.</w:t>
      </w:r>
    </w:p>
    <w:p w14:paraId="1927B983" w14:textId="525C7B57" w:rsidR="00BF5A4B" w:rsidRPr="00B92003" w:rsidRDefault="00BF5A4B" w:rsidP="00600535">
      <w:pPr>
        <w:pStyle w:val="CETHeading1"/>
        <w:rPr>
          <w:lang w:val="en-GB"/>
        </w:rPr>
      </w:pPr>
      <w:r w:rsidRPr="00B92003">
        <w:rPr>
          <w:lang w:val="en-GB"/>
        </w:rPr>
        <w:t>Results and Discussion</w:t>
      </w:r>
    </w:p>
    <w:p w14:paraId="56EC09D4" w14:textId="77777777" w:rsidR="00FC5D2A" w:rsidRPr="00B92003" w:rsidRDefault="00FC5D2A" w:rsidP="00FC5D2A">
      <w:pPr>
        <w:pStyle w:val="CETheadingx"/>
      </w:pPr>
      <w:r w:rsidRPr="00B92003">
        <w:t xml:space="preserve">Municipal solid waste analysis </w:t>
      </w:r>
    </w:p>
    <w:p w14:paraId="3841F89C" w14:textId="575E3885" w:rsidR="00FC5D2A" w:rsidRPr="00B92003" w:rsidRDefault="00EF43E6" w:rsidP="00FC5D2A">
      <w:pPr>
        <w:pStyle w:val="CETheadingx"/>
        <w:numPr>
          <w:ilvl w:val="0"/>
          <w:numId w:val="0"/>
        </w:numPr>
        <w:rPr>
          <w:i w:val="0"/>
          <w:iCs w:val="0"/>
        </w:rPr>
      </w:pPr>
      <w:r w:rsidRPr="00B92003">
        <w:rPr>
          <w:i w:val="0"/>
          <w:iCs w:val="0"/>
        </w:rPr>
        <w:t xml:space="preserve">Table </w:t>
      </w:r>
      <w:r w:rsidR="00C03CA4">
        <w:rPr>
          <w:i w:val="0"/>
          <w:iCs w:val="0"/>
        </w:rPr>
        <w:t>1</w:t>
      </w:r>
      <w:r w:rsidRPr="00B92003">
        <w:rPr>
          <w:i w:val="0"/>
          <w:iCs w:val="0"/>
        </w:rPr>
        <w:t xml:space="preserve"> presents the analysis of moisture content in various municipal solid waste categories, including paper, plastics, textiles, food waste, and glass, for characterization purposes. Plastics and glass in municipal solid waste have notably low moisture content due to their hydrophobic nature, stemming from the lower surface tension of their components compared to water. The ash content in the studied waste ranged from 0.20% to 19%, falling within the range reported for paper, textiles, and organic matter by </w:t>
      </w:r>
      <w:r w:rsidR="00686868" w:rsidRPr="00B92003">
        <w:rPr>
          <w:bCs w:val="0"/>
          <w:i w:val="0"/>
          <w:iCs w:val="0"/>
          <w:lang w:val="en-GB"/>
        </w:rPr>
        <w:t>Yufeng et al.</w:t>
      </w:r>
      <w:r w:rsidR="00211269" w:rsidRPr="00B92003">
        <w:rPr>
          <w:bCs w:val="0"/>
          <w:i w:val="0"/>
          <w:iCs w:val="0"/>
          <w:lang w:val="en-GB"/>
        </w:rPr>
        <w:t xml:space="preserve"> (</w:t>
      </w:r>
      <w:r w:rsidR="003F1BBB" w:rsidRPr="00B92003">
        <w:rPr>
          <w:bCs w:val="0"/>
          <w:i w:val="0"/>
          <w:iCs w:val="0"/>
          <w:lang w:val="en-GB"/>
        </w:rPr>
        <w:t>2021</w:t>
      </w:r>
      <w:r w:rsidR="0089083F" w:rsidRPr="00B92003">
        <w:rPr>
          <w:bCs w:val="0"/>
          <w:i w:val="0"/>
          <w:iCs w:val="0"/>
          <w:lang w:val="en-GB"/>
        </w:rPr>
        <w:t>)</w:t>
      </w:r>
      <w:r w:rsidRPr="00B92003">
        <w:rPr>
          <w:i w:val="0"/>
          <w:iCs w:val="0"/>
        </w:rPr>
        <w:t xml:space="preserve">, with the present study showing ash content from 6% to 22%. High ash content is undesirable as it leads to reactor corrosion and affects radiative heat transfer. </w:t>
      </w:r>
      <w:r w:rsidR="007245B7" w:rsidRPr="007245B7">
        <w:rPr>
          <w:i w:val="0"/>
          <w:iCs w:val="0"/>
        </w:rPr>
        <w:t>Additionally, it leads to a decreased rate of heating, which promotes the formation of char but decreases the amount of char produced. In addition, a high ash content hinders the combustion process, resulting in elevated emissions of carbon monoxide (Kaur et al., 2021). Kaur et al. (2021) observed that an increase in ash concentration leads to a reduction in both the calorific value and combustion efficiency of the samples. Hence, MSW is the preferred choice for pyrolysis because of its minimal ash content, which guarantees a significant production of char. The examination of municipal solid waste (MSW) and older waste materials revealed that carbon and oxygen were the primary elements present, although the levels of nitrogen and sulfur were comparatively low. This indicates that the combustion of MSW would result in minimal emissions of nitrogen oxides (NOx) and sulfur oxides (SOx) (Yufeng et al., 2021). The hydrogen content varied from 0.10% for textiles to 11.20% for food waste.</w:t>
      </w:r>
      <w:r w:rsidR="00FC5D2A" w:rsidRPr="00B92003">
        <w:rPr>
          <w:i w:val="0"/>
          <w:iCs w:val="0"/>
        </w:rPr>
        <w:t xml:space="preserve"> </w:t>
      </w:r>
    </w:p>
    <w:p w14:paraId="55EB5668" w14:textId="5D56BA46" w:rsidR="00FC5D2A" w:rsidRPr="00B92003" w:rsidRDefault="00EF43E6" w:rsidP="00FC5D2A">
      <w:pPr>
        <w:pStyle w:val="CETBodytext"/>
      </w:pPr>
      <w:r w:rsidRPr="00B92003">
        <w:t xml:space="preserve">The order of decreasing volatile matter content is as follows: Plastics &gt; Glass &gt; Paper &gt; Textiles &gt; Food waste. Textiles and food waste had volatile matter values exceeding 58%. In contrast, Fixed Carbon (FC) values were lower for food waste and textiles compared to other categories. Carbon and oxygen were the predominant elements in MSW, with food waste and plastics showing the lowest oxygen and carbon and oxygen contents, respectively. </w:t>
      </w:r>
      <w:r w:rsidR="00A60798" w:rsidRPr="00A60798">
        <w:rPr>
          <w:lang w:val="en-GB"/>
        </w:rPr>
        <w:t>These characteristics facilitate efficient pyrolysis and the production of high-quality solid residue char, according to Youn (2010), which may be useful in pyrolysis tests. However, food waste and paper had the highest nitrogen content, suggesting that combustion may result in significant NOx emissions, which is less desirable.</w:t>
      </w:r>
      <w:r w:rsidR="00116826" w:rsidRPr="00116826">
        <w:rPr>
          <w:lang w:val="en-GB"/>
        </w:rPr>
        <w:t xml:space="preserve"> This suggests that technologies like catalytic converters or in-situ adsorbents could help reduce the release of harmful gases like </w:t>
      </w:r>
      <w:proofErr w:type="spellStart"/>
      <w:r w:rsidR="00116826" w:rsidRPr="00116826">
        <w:rPr>
          <w:lang w:val="en-GB"/>
        </w:rPr>
        <w:t>SOx</w:t>
      </w:r>
      <w:proofErr w:type="spellEnd"/>
      <w:r w:rsidR="00116826" w:rsidRPr="00116826">
        <w:rPr>
          <w:lang w:val="en-GB"/>
        </w:rPr>
        <w:t xml:space="preserve"> and NOx.</w:t>
      </w:r>
      <w:r w:rsidR="0003696D" w:rsidRPr="0003696D">
        <w:t xml:space="preserve"> </w:t>
      </w:r>
      <w:r w:rsidR="0003696D">
        <w:t>The bulk density of the different types of waste was between 62.30 kg/m</w:t>
      </w:r>
      <w:r w:rsidR="0003696D" w:rsidRPr="0003696D">
        <w:rPr>
          <w:vertAlign w:val="superscript"/>
        </w:rPr>
        <w:t>3</w:t>
      </w:r>
      <w:r w:rsidR="0003696D">
        <w:t xml:space="preserve"> for plastics and 290 kg/m</w:t>
      </w:r>
      <w:r w:rsidR="0003696D" w:rsidRPr="0003696D">
        <w:rPr>
          <w:vertAlign w:val="superscript"/>
        </w:rPr>
        <w:t>3</w:t>
      </w:r>
      <w:r w:rsidR="0003696D">
        <w:t xml:space="preserve"> for food waste. Municipal wastes' bulk density also varies based on their water content, composition, and distribution patterns.</w:t>
      </w:r>
      <w:r w:rsidR="0003696D">
        <w:t xml:space="preserve"> </w:t>
      </w:r>
      <w:r w:rsidR="0003696D">
        <w:t>Remember, the density of trash varies depending on its manufacturing process and disposal location. Factors such as storage, handling, decomposition, and salvage amount have an impact on density.</w:t>
      </w:r>
    </w:p>
    <w:p w14:paraId="405EB689" w14:textId="37023BF1" w:rsidR="00FC5D2A" w:rsidRPr="00B57B36" w:rsidRDefault="00FC5D2A" w:rsidP="00FC5D2A">
      <w:pPr>
        <w:pStyle w:val="CETheadingx"/>
        <w:numPr>
          <w:ilvl w:val="0"/>
          <w:numId w:val="0"/>
        </w:numPr>
      </w:pPr>
      <w:r w:rsidRPr="00B57B36">
        <w:t xml:space="preserve">Table </w:t>
      </w:r>
      <w:r w:rsidR="00C03CA4">
        <w:t>1</w:t>
      </w:r>
      <w:r w:rsidRPr="00B57B36">
        <w:t xml:space="preserve">: </w:t>
      </w:r>
      <w:r>
        <w:t xml:space="preserve">Details of </w:t>
      </w:r>
      <w:r w:rsidRPr="00FD4558">
        <w:t>municipal solid waste analysis</w:t>
      </w:r>
      <w:r>
        <w:t xml:space="preserve"> </w:t>
      </w:r>
      <w:r>
        <w:rPr>
          <w:rFonts w:cs="Arial"/>
          <w:szCs w:val="18"/>
          <w:lang w:val="en-GB"/>
        </w:rPr>
        <w:t>(Dry basis)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268"/>
        <w:gridCol w:w="825"/>
        <w:gridCol w:w="1302"/>
        <w:gridCol w:w="1139"/>
        <w:gridCol w:w="1465"/>
        <w:gridCol w:w="1465"/>
      </w:tblGrid>
      <w:tr w:rsidR="00FC5D2A" w:rsidRPr="00B57B36" w14:paraId="3C89EF5D" w14:textId="77777777" w:rsidTr="00165B9F">
        <w:trPr>
          <w:trHeight w:val="269"/>
        </w:trPr>
        <w:tc>
          <w:tcPr>
            <w:tcW w:w="2268" w:type="dxa"/>
            <w:tcBorders>
              <w:top w:val="single" w:sz="12" w:space="0" w:color="008000"/>
              <w:bottom w:val="single" w:sz="6" w:space="0" w:color="008000"/>
            </w:tcBorders>
            <w:shd w:val="clear" w:color="auto" w:fill="FFFFFF"/>
          </w:tcPr>
          <w:p w14:paraId="0C8D8F0C" w14:textId="77777777" w:rsidR="00FC5D2A" w:rsidRDefault="00FC5D2A" w:rsidP="00165B9F">
            <w:pPr>
              <w:pStyle w:val="CETBodytext"/>
              <w:rPr>
                <w:lang w:val="en-GB"/>
              </w:rPr>
            </w:pPr>
            <w:r>
              <w:rPr>
                <w:lang w:val="en-GB"/>
              </w:rPr>
              <w:t xml:space="preserve">Analysis </w:t>
            </w:r>
          </w:p>
          <w:p w14:paraId="2DB57AB4" w14:textId="77777777" w:rsidR="00FC5D2A" w:rsidRPr="00B57B36" w:rsidRDefault="00FC5D2A" w:rsidP="00165B9F">
            <w:pPr>
              <w:pStyle w:val="CETBodytext"/>
              <w:rPr>
                <w:lang w:val="en-GB"/>
              </w:rPr>
            </w:pPr>
          </w:p>
        </w:tc>
        <w:tc>
          <w:tcPr>
            <w:tcW w:w="825" w:type="dxa"/>
            <w:tcBorders>
              <w:top w:val="single" w:sz="12" w:space="0" w:color="008000"/>
              <w:bottom w:val="single" w:sz="6" w:space="0" w:color="008000"/>
            </w:tcBorders>
            <w:shd w:val="clear" w:color="auto" w:fill="FFFFFF"/>
          </w:tcPr>
          <w:p w14:paraId="26311FD6" w14:textId="77777777" w:rsidR="00FC5D2A" w:rsidRPr="00B57B36" w:rsidRDefault="00FC5D2A" w:rsidP="00165B9F">
            <w:pPr>
              <w:pStyle w:val="CETBodytext"/>
              <w:rPr>
                <w:lang w:val="en-GB"/>
              </w:rPr>
            </w:pPr>
            <w:r>
              <w:rPr>
                <w:lang w:val="en-GB"/>
              </w:rPr>
              <w:t>Paper</w:t>
            </w:r>
          </w:p>
        </w:tc>
        <w:tc>
          <w:tcPr>
            <w:tcW w:w="1302" w:type="dxa"/>
            <w:tcBorders>
              <w:top w:val="single" w:sz="12" w:space="0" w:color="008000"/>
              <w:bottom w:val="single" w:sz="6" w:space="0" w:color="008000"/>
            </w:tcBorders>
            <w:shd w:val="clear" w:color="auto" w:fill="FFFFFF"/>
          </w:tcPr>
          <w:p w14:paraId="459F236B" w14:textId="77777777" w:rsidR="00FC5D2A" w:rsidRPr="00B57B36" w:rsidRDefault="00FC5D2A" w:rsidP="00165B9F">
            <w:pPr>
              <w:pStyle w:val="CETBodytext"/>
              <w:rPr>
                <w:lang w:val="en-GB"/>
              </w:rPr>
            </w:pPr>
            <w:r>
              <w:rPr>
                <w:lang w:val="en-GB"/>
              </w:rPr>
              <w:t xml:space="preserve">Plastics </w:t>
            </w:r>
          </w:p>
        </w:tc>
        <w:tc>
          <w:tcPr>
            <w:tcW w:w="1139" w:type="dxa"/>
            <w:tcBorders>
              <w:top w:val="single" w:sz="12" w:space="0" w:color="008000"/>
              <w:bottom w:val="single" w:sz="6" w:space="0" w:color="008000"/>
            </w:tcBorders>
            <w:shd w:val="clear" w:color="auto" w:fill="FFFFFF"/>
          </w:tcPr>
          <w:p w14:paraId="051E8F13" w14:textId="77777777" w:rsidR="00FC5D2A" w:rsidRPr="00B57B36" w:rsidRDefault="00FC5D2A" w:rsidP="00165B9F">
            <w:pPr>
              <w:pStyle w:val="CETBodytext"/>
              <w:ind w:right="-1"/>
              <w:rPr>
                <w:rFonts w:cs="Arial"/>
                <w:szCs w:val="18"/>
                <w:lang w:val="en-GB"/>
              </w:rPr>
            </w:pPr>
            <w:r w:rsidRPr="00FD4558">
              <w:rPr>
                <w:rFonts w:cs="Arial"/>
                <w:szCs w:val="18"/>
                <w:lang w:val="en-GB"/>
              </w:rPr>
              <w:t>Textiles</w:t>
            </w:r>
          </w:p>
        </w:tc>
        <w:tc>
          <w:tcPr>
            <w:tcW w:w="1465" w:type="dxa"/>
            <w:tcBorders>
              <w:top w:val="single" w:sz="12" w:space="0" w:color="008000"/>
              <w:bottom w:val="single" w:sz="6" w:space="0" w:color="008000"/>
            </w:tcBorders>
            <w:shd w:val="clear" w:color="auto" w:fill="FFFFFF"/>
          </w:tcPr>
          <w:p w14:paraId="00637F28" w14:textId="77777777" w:rsidR="00FC5D2A" w:rsidRPr="00B57B36" w:rsidRDefault="00FC5D2A" w:rsidP="00165B9F">
            <w:pPr>
              <w:pStyle w:val="CETBodytext"/>
              <w:ind w:right="-1"/>
              <w:rPr>
                <w:rFonts w:cs="Arial"/>
                <w:szCs w:val="18"/>
                <w:lang w:val="en-GB"/>
              </w:rPr>
            </w:pPr>
            <w:r>
              <w:rPr>
                <w:rFonts w:cs="Arial"/>
                <w:szCs w:val="18"/>
                <w:lang w:val="en-GB"/>
              </w:rPr>
              <w:t xml:space="preserve">Food waste </w:t>
            </w:r>
          </w:p>
        </w:tc>
        <w:tc>
          <w:tcPr>
            <w:tcW w:w="1465" w:type="dxa"/>
            <w:tcBorders>
              <w:top w:val="single" w:sz="12" w:space="0" w:color="008000"/>
              <w:bottom w:val="single" w:sz="6" w:space="0" w:color="008000"/>
            </w:tcBorders>
            <w:shd w:val="clear" w:color="auto" w:fill="FFFFFF"/>
          </w:tcPr>
          <w:p w14:paraId="0411DE4D" w14:textId="77777777" w:rsidR="00FC5D2A" w:rsidRDefault="00FC5D2A" w:rsidP="00165B9F">
            <w:pPr>
              <w:pStyle w:val="CETBodytext"/>
              <w:ind w:right="-1"/>
              <w:rPr>
                <w:rFonts w:cs="Arial"/>
                <w:szCs w:val="18"/>
                <w:lang w:val="en-GB"/>
              </w:rPr>
            </w:pPr>
            <w:r>
              <w:rPr>
                <w:rFonts w:cs="Arial"/>
                <w:szCs w:val="18"/>
                <w:lang w:val="en-GB"/>
              </w:rPr>
              <w:t>Glass</w:t>
            </w:r>
          </w:p>
        </w:tc>
      </w:tr>
      <w:tr w:rsidR="00FC5D2A" w:rsidRPr="00B57B36" w14:paraId="52752B2B" w14:textId="77777777" w:rsidTr="00165B9F">
        <w:trPr>
          <w:trHeight w:val="584"/>
        </w:trPr>
        <w:tc>
          <w:tcPr>
            <w:tcW w:w="2268" w:type="dxa"/>
            <w:shd w:val="clear" w:color="auto" w:fill="FFFFFF"/>
          </w:tcPr>
          <w:p w14:paraId="12B09E43" w14:textId="77777777" w:rsidR="00FC5D2A" w:rsidRPr="005F76C3" w:rsidRDefault="00FC5D2A" w:rsidP="00165B9F">
            <w:pPr>
              <w:pStyle w:val="CETBodytext"/>
              <w:rPr>
                <w:b/>
                <w:bCs/>
                <w:lang w:val="en-GB"/>
              </w:rPr>
            </w:pPr>
            <w:r w:rsidRPr="005F76C3">
              <w:rPr>
                <w:b/>
                <w:bCs/>
                <w:lang w:val="en-GB"/>
              </w:rPr>
              <w:t>Proximate analysis</w:t>
            </w:r>
          </w:p>
          <w:p w14:paraId="1CB42B03" w14:textId="77777777" w:rsidR="00FC5D2A" w:rsidRDefault="00FC5D2A" w:rsidP="00165B9F">
            <w:pPr>
              <w:pStyle w:val="CETBodytext"/>
              <w:rPr>
                <w:lang w:val="en-GB"/>
              </w:rPr>
            </w:pPr>
            <w:r>
              <w:rPr>
                <w:lang w:val="en-GB"/>
              </w:rPr>
              <w:t>Density (kg/m</w:t>
            </w:r>
            <w:r w:rsidRPr="00840A57">
              <w:rPr>
                <w:vertAlign w:val="superscript"/>
                <w:lang w:val="en-GB"/>
              </w:rPr>
              <w:t>3</w:t>
            </w:r>
            <w:r>
              <w:rPr>
                <w:lang w:val="en-GB"/>
              </w:rPr>
              <w:t>)</w:t>
            </w:r>
          </w:p>
          <w:p w14:paraId="46E2CE2F" w14:textId="77777777" w:rsidR="00FC5D2A" w:rsidRDefault="00FC5D2A" w:rsidP="00165B9F">
            <w:pPr>
              <w:pStyle w:val="CETBodytext"/>
              <w:rPr>
                <w:lang w:val="en-GB"/>
              </w:rPr>
            </w:pPr>
            <w:r>
              <w:rPr>
                <w:lang w:val="en-GB"/>
              </w:rPr>
              <w:t>Moisture content (wt.%)</w:t>
            </w:r>
          </w:p>
          <w:p w14:paraId="060CAE7B" w14:textId="77777777" w:rsidR="00FC5D2A" w:rsidRDefault="00FC5D2A" w:rsidP="00165B9F">
            <w:pPr>
              <w:pStyle w:val="CETBodytext"/>
              <w:rPr>
                <w:lang w:val="en-GB"/>
              </w:rPr>
            </w:pPr>
            <w:r>
              <w:rPr>
                <w:lang w:val="en-GB"/>
              </w:rPr>
              <w:t>Volatile matter (wt.%)</w:t>
            </w:r>
          </w:p>
          <w:p w14:paraId="2F8E4A26" w14:textId="77777777" w:rsidR="00FC5D2A" w:rsidRDefault="00FC5D2A" w:rsidP="00165B9F">
            <w:pPr>
              <w:pStyle w:val="CETBodytext"/>
              <w:rPr>
                <w:lang w:val="en-GB"/>
              </w:rPr>
            </w:pPr>
            <w:r>
              <w:rPr>
                <w:lang w:val="en-GB"/>
              </w:rPr>
              <w:t>Fixed carbon (wt.%)</w:t>
            </w:r>
          </w:p>
          <w:p w14:paraId="00BF66C1" w14:textId="77777777" w:rsidR="00FC5D2A" w:rsidRDefault="00FC5D2A" w:rsidP="00165B9F">
            <w:pPr>
              <w:pStyle w:val="CETBodytext"/>
              <w:rPr>
                <w:lang w:val="en-GB"/>
              </w:rPr>
            </w:pPr>
            <w:r>
              <w:rPr>
                <w:lang w:val="en-GB"/>
              </w:rPr>
              <w:t>Ash (wt.%)</w:t>
            </w:r>
          </w:p>
          <w:p w14:paraId="49D5B083" w14:textId="77777777" w:rsidR="00FC5D2A" w:rsidRDefault="00FC5D2A" w:rsidP="00165B9F">
            <w:pPr>
              <w:pStyle w:val="CETBodytext"/>
              <w:rPr>
                <w:lang w:val="en-GB"/>
              </w:rPr>
            </w:pPr>
          </w:p>
          <w:p w14:paraId="25E1667D" w14:textId="77777777" w:rsidR="00FC5D2A" w:rsidRPr="005F76C3" w:rsidRDefault="00FC5D2A" w:rsidP="00165B9F">
            <w:pPr>
              <w:pStyle w:val="CETBodytext"/>
              <w:rPr>
                <w:b/>
                <w:bCs/>
                <w:lang w:val="en-GB"/>
              </w:rPr>
            </w:pPr>
            <w:r w:rsidRPr="005F76C3">
              <w:rPr>
                <w:b/>
                <w:bCs/>
                <w:lang w:val="en-GB"/>
              </w:rPr>
              <w:t>Ultimate analysis</w:t>
            </w:r>
          </w:p>
          <w:p w14:paraId="532580A2" w14:textId="77777777" w:rsidR="00FC5D2A" w:rsidRDefault="00FC5D2A" w:rsidP="00165B9F">
            <w:pPr>
              <w:pStyle w:val="CETBodytext"/>
              <w:rPr>
                <w:lang w:val="en-GB"/>
              </w:rPr>
            </w:pPr>
            <w:r>
              <w:rPr>
                <w:lang w:val="en-GB"/>
              </w:rPr>
              <w:t>Carbon (wt.%)</w:t>
            </w:r>
          </w:p>
          <w:p w14:paraId="60C49BAB" w14:textId="77777777" w:rsidR="00FC5D2A" w:rsidRDefault="00FC5D2A" w:rsidP="00165B9F">
            <w:pPr>
              <w:pStyle w:val="CETBodytext"/>
              <w:rPr>
                <w:lang w:val="en-GB"/>
              </w:rPr>
            </w:pPr>
            <w:r>
              <w:rPr>
                <w:lang w:val="en-GB"/>
              </w:rPr>
              <w:t>Hydrogen (wt.%)</w:t>
            </w:r>
          </w:p>
          <w:p w14:paraId="7194E0A2" w14:textId="77777777" w:rsidR="00FC5D2A" w:rsidRDefault="00FC5D2A" w:rsidP="00165B9F">
            <w:pPr>
              <w:pStyle w:val="CETBodytext"/>
              <w:rPr>
                <w:lang w:val="en-GB"/>
              </w:rPr>
            </w:pPr>
            <w:r>
              <w:rPr>
                <w:lang w:val="en-GB"/>
              </w:rPr>
              <w:t>Oxygen (wt.%)</w:t>
            </w:r>
          </w:p>
          <w:p w14:paraId="777AAE2B" w14:textId="77777777" w:rsidR="00FC5D2A" w:rsidRDefault="00FC5D2A" w:rsidP="00165B9F">
            <w:pPr>
              <w:pStyle w:val="CETBodytext"/>
              <w:rPr>
                <w:lang w:val="en-GB"/>
              </w:rPr>
            </w:pPr>
            <w:r>
              <w:rPr>
                <w:lang w:val="en-GB"/>
              </w:rPr>
              <w:t>Nitrogen (wt.%)</w:t>
            </w:r>
          </w:p>
          <w:p w14:paraId="3878A99F" w14:textId="77777777" w:rsidR="00FC5D2A" w:rsidRDefault="00FC5D2A" w:rsidP="00165B9F">
            <w:pPr>
              <w:pStyle w:val="CETBodytext"/>
              <w:rPr>
                <w:lang w:val="en-GB"/>
              </w:rPr>
            </w:pPr>
            <w:r>
              <w:rPr>
                <w:lang w:val="en-GB"/>
              </w:rPr>
              <w:t>Sulphur content (wt.%)</w:t>
            </w:r>
          </w:p>
          <w:p w14:paraId="0810184D" w14:textId="77777777" w:rsidR="00FC5D2A" w:rsidRDefault="00FC5D2A" w:rsidP="00165B9F">
            <w:pPr>
              <w:pStyle w:val="CETBodytext"/>
              <w:rPr>
                <w:lang w:val="en-GB"/>
              </w:rPr>
            </w:pPr>
          </w:p>
          <w:p w14:paraId="6C80E5C9" w14:textId="77777777" w:rsidR="00FC5D2A" w:rsidRPr="00FD4558" w:rsidRDefault="00FC5D2A" w:rsidP="00165B9F">
            <w:pPr>
              <w:pStyle w:val="CETBodytext"/>
              <w:rPr>
                <w:b/>
                <w:bCs/>
                <w:lang w:val="en-GB"/>
              </w:rPr>
            </w:pPr>
            <w:r>
              <w:rPr>
                <w:b/>
                <w:bCs/>
                <w:lang w:val="en-GB"/>
              </w:rPr>
              <w:t>Calorific value</w:t>
            </w:r>
            <w:r w:rsidRPr="00FD4558">
              <w:rPr>
                <w:b/>
                <w:bCs/>
                <w:lang w:val="en-GB"/>
              </w:rPr>
              <w:t xml:space="preserve"> </w:t>
            </w:r>
            <w:r>
              <w:rPr>
                <w:b/>
                <w:bCs/>
                <w:lang w:val="en-GB"/>
              </w:rPr>
              <w:t xml:space="preserve"> (kJ/kg)</w:t>
            </w:r>
          </w:p>
        </w:tc>
        <w:tc>
          <w:tcPr>
            <w:tcW w:w="825" w:type="dxa"/>
            <w:shd w:val="clear" w:color="auto" w:fill="FFFFFF"/>
          </w:tcPr>
          <w:p w14:paraId="27FC497B" w14:textId="77777777" w:rsidR="00FC5D2A" w:rsidRDefault="00FC5D2A" w:rsidP="00165B9F">
            <w:pPr>
              <w:pStyle w:val="CETBodytext"/>
              <w:rPr>
                <w:lang w:val="en-GB"/>
              </w:rPr>
            </w:pPr>
          </w:p>
          <w:p w14:paraId="149BB819" w14:textId="77777777" w:rsidR="00FC5D2A" w:rsidRDefault="00FC5D2A" w:rsidP="00165B9F">
            <w:pPr>
              <w:pStyle w:val="CETBodytext"/>
              <w:rPr>
                <w:lang w:val="en-GB"/>
              </w:rPr>
            </w:pPr>
            <w:r>
              <w:rPr>
                <w:lang w:val="en-GB"/>
              </w:rPr>
              <w:t>80.30</w:t>
            </w:r>
          </w:p>
          <w:p w14:paraId="34F24457" w14:textId="77777777" w:rsidR="00FC5D2A" w:rsidRDefault="00FC5D2A" w:rsidP="00165B9F">
            <w:pPr>
              <w:pStyle w:val="CETBodytext"/>
              <w:rPr>
                <w:lang w:val="en-GB"/>
              </w:rPr>
            </w:pPr>
            <w:r>
              <w:rPr>
                <w:lang w:val="en-GB"/>
              </w:rPr>
              <w:t>5.80</w:t>
            </w:r>
          </w:p>
          <w:p w14:paraId="4D348C5B" w14:textId="77777777" w:rsidR="00FC5D2A" w:rsidRDefault="00FC5D2A" w:rsidP="00165B9F">
            <w:pPr>
              <w:pStyle w:val="CETBodytext"/>
              <w:rPr>
                <w:lang w:val="en-GB"/>
              </w:rPr>
            </w:pPr>
            <w:r>
              <w:rPr>
                <w:lang w:val="en-GB"/>
              </w:rPr>
              <w:t>10.00</w:t>
            </w:r>
          </w:p>
          <w:p w14:paraId="73F95539" w14:textId="77777777" w:rsidR="00FC5D2A" w:rsidRDefault="00FC5D2A" w:rsidP="00165B9F">
            <w:pPr>
              <w:pStyle w:val="CETBodytext"/>
              <w:rPr>
                <w:lang w:val="en-GB"/>
              </w:rPr>
            </w:pPr>
            <w:r>
              <w:rPr>
                <w:lang w:val="en-GB"/>
              </w:rPr>
              <w:t>77.20</w:t>
            </w:r>
          </w:p>
          <w:p w14:paraId="3F476790" w14:textId="77777777" w:rsidR="00FC5D2A" w:rsidRDefault="00FC5D2A" w:rsidP="00165B9F">
            <w:pPr>
              <w:pStyle w:val="CETBodytext"/>
              <w:rPr>
                <w:lang w:val="en-GB"/>
              </w:rPr>
            </w:pPr>
            <w:r>
              <w:rPr>
                <w:lang w:val="en-GB"/>
              </w:rPr>
              <w:t>7.00</w:t>
            </w:r>
          </w:p>
          <w:p w14:paraId="315CE2E5" w14:textId="77777777" w:rsidR="00FC5D2A" w:rsidRDefault="00FC5D2A" w:rsidP="00165B9F">
            <w:pPr>
              <w:pStyle w:val="CETBodytext"/>
              <w:rPr>
                <w:lang w:val="en-GB"/>
              </w:rPr>
            </w:pPr>
          </w:p>
          <w:p w14:paraId="53792E07" w14:textId="77777777" w:rsidR="00FC5D2A" w:rsidRDefault="00FC5D2A" w:rsidP="00165B9F">
            <w:pPr>
              <w:pStyle w:val="CETBodytext"/>
              <w:rPr>
                <w:lang w:val="en-GB"/>
              </w:rPr>
            </w:pPr>
          </w:p>
          <w:p w14:paraId="6AE79D47" w14:textId="77777777" w:rsidR="00FC5D2A" w:rsidRDefault="00FC5D2A" w:rsidP="00165B9F">
            <w:pPr>
              <w:pStyle w:val="CETBodytext"/>
              <w:rPr>
                <w:lang w:val="en-GB"/>
              </w:rPr>
            </w:pPr>
            <w:r>
              <w:rPr>
                <w:lang w:val="en-GB"/>
              </w:rPr>
              <w:t>42.10</w:t>
            </w:r>
          </w:p>
          <w:p w14:paraId="5289ABB8" w14:textId="77777777" w:rsidR="00FC5D2A" w:rsidRDefault="00FC5D2A" w:rsidP="00165B9F">
            <w:pPr>
              <w:pStyle w:val="CETBodytext"/>
              <w:rPr>
                <w:lang w:val="en-GB"/>
              </w:rPr>
            </w:pPr>
            <w:r>
              <w:rPr>
                <w:lang w:val="en-GB"/>
              </w:rPr>
              <w:t>6.00</w:t>
            </w:r>
          </w:p>
          <w:p w14:paraId="068DA6A9" w14:textId="77777777" w:rsidR="00FC5D2A" w:rsidRDefault="00FC5D2A" w:rsidP="00165B9F">
            <w:pPr>
              <w:pStyle w:val="CETBodytext"/>
              <w:rPr>
                <w:lang w:val="en-GB"/>
              </w:rPr>
            </w:pPr>
            <w:r>
              <w:rPr>
                <w:lang w:val="en-GB"/>
              </w:rPr>
              <w:t>51.30</w:t>
            </w:r>
          </w:p>
          <w:p w14:paraId="033F5BB1" w14:textId="77777777" w:rsidR="00FC5D2A" w:rsidRDefault="00FC5D2A" w:rsidP="00165B9F">
            <w:pPr>
              <w:pStyle w:val="CETBodytext"/>
              <w:rPr>
                <w:lang w:val="en-GB"/>
              </w:rPr>
            </w:pPr>
            <w:r>
              <w:rPr>
                <w:lang w:val="en-GB"/>
              </w:rPr>
              <w:t>0.40</w:t>
            </w:r>
          </w:p>
          <w:p w14:paraId="30AD54EB" w14:textId="77777777" w:rsidR="00FC5D2A" w:rsidRDefault="00FC5D2A" w:rsidP="00165B9F">
            <w:pPr>
              <w:pStyle w:val="CETBodytext"/>
              <w:rPr>
                <w:lang w:val="en-GB"/>
              </w:rPr>
            </w:pPr>
            <w:r>
              <w:rPr>
                <w:lang w:val="en-GB"/>
              </w:rPr>
              <w:t>0.20</w:t>
            </w:r>
          </w:p>
          <w:p w14:paraId="049F7705" w14:textId="77777777" w:rsidR="00FC5D2A" w:rsidRDefault="00FC5D2A" w:rsidP="00165B9F">
            <w:pPr>
              <w:pStyle w:val="CETBodytext"/>
              <w:rPr>
                <w:lang w:val="en-GB"/>
              </w:rPr>
            </w:pPr>
          </w:p>
          <w:p w14:paraId="74A5B568" w14:textId="77777777" w:rsidR="00FC5D2A" w:rsidRPr="00B57B36" w:rsidRDefault="00FC5D2A" w:rsidP="00165B9F">
            <w:pPr>
              <w:pStyle w:val="CETBodytext"/>
              <w:rPr>
                <w:lang w:val="en-GB"/>
              </w:rPr>
            </w:pPr>
            <w:r>
              <w:rPr>
                <w:lang w:val="en-GB"/>
              </w:rPr>
              <w:t>16710</w:t>
            </w:r>
          </w:p>
        </w:tc>
        <w:tc>
          <w:tcPr>
            <w:tcW w:w="1302" w:type="dxa"/>
            <w:shd w:val="clear" w:color="auto" w:fill="FFFFFF"/>
          </w:tcPr>
          <w:p w14:paraId="142D58A3" w14:textId="77777777" w:rsidR="00FC5D2A" w:rsidRDefault="00FC5D2A" w:rsidP="00165B9F">
            <w:pPr>
              <w:pStyle w:val="CETBodytext"/>
              <w:rPr>
                <w:lang w:val="en-GB"/>
              </w:rPr>
            </w:pPr>
          </w:p>
          <w:p w14:paraId="2AAE1073" w14:textId="77777777" w:rsidR="00FC5D2A" w:rsidRDefault="00FC5D2A" w:rsidP="00165B9F">
            <w:pPr>
              <w:pStyle w:val="CETBodytext"/>
              <w:rPr>
                <w:lang w:val="en-GB"/>
              </w:rPr>
            </w:pPr>
            <w:r>
              <w:rPr>
                <w:lang w:val="en-GB"/>
              </w:rPr>
              <w:t>62.30</w:t>
            </w:r>
          </w:p>
          <w:p w14:paraId="72B9DE32" w14:textId="77777777" w:rsidR="00FC5D2A" w:rsidRDefault="00FC5D2A" w:rsidP="00165B9F">
            <w:pPr>
              <w:pStyle w:val="CETBodytext"/>
              <w:rPr>
                <w:lang w:val="en-GB"/>
              </w:rPr>
            </w:pPr>
            <w:r>
              <w:rPr>
                <w:lang w:val="en-GB"/>
              </w:rPr>
              <w:t>2.20</w:t>
            </w:r>
          </w:p>
          <w:p w14:paraId="5F8E1CDF" w14:textId="77777777" w:rsidR="00FC5D2A" w:rsidRDefault="00FC5D2A" w:rsidP="00165B9F">
            <w:pPr>
              <w:pStyle w:val="CETBodytext"/>
              <w:rPr>
                <w:lang w:val="en-GB"/>
              </w:rPr>
            </w:pPr>
            <w:r>
              <w:rPr>
                <w:lang w:val="en-GB"/>
              </w:rPr>
              <w:t>0.20</w:t>
            </w:r>
          </w:p>
          <w:p w14:paraId="69F688D3" w14:textId="77777777" w:rsidR="00FC5D2A" w:rsidRDefault="00FC5D2A" w:rsidP="00165B9F">
            <w:pPr>
              <w:pStyle w:val="CETBodytext"/>
              <w:rPr>
                <w:lang w:val="en-GB"/>
              </w:rPr>
            </w:pPr>
            <w:r>
              <w:rPr>
                <w:lang w:val="en-GB"/>
              </w:rPr>
              <w:t>87.60</w:t>
            </w:r>
          </w:p>
          <w:p w14:paraId="31EC037C" w14:textId="77777777" w:rsidR="00FC5D2A" w:rsidRDefault="00FC5D2A" w:rsidP="00165B9F">
            <w:pPr>
              <w:pStyle w:val="CETBodytext"/>
              <w:rPr>
                <w:lang w:val="en-GB"/>
              </w:rPr>
            </w:pPr>
            <w:r>
              <w:rPr>
                <w:lang w:val="en-GB"/>
              </w:rPr>
              <w:t>10.00</w:t>
            </w:r>
          </w:p>
          <w:p w14:paraId="464E770D" w14:textId="77777777" w:rsidR="00FC5D2A" w:rsidRDefault="00FC5D2A" w:rsidP="00165B9F">
            <w:pPr>
              <w:pStyle w:val="CETBodytext"/>
              <w:rPr>
                <w:lang w:val="en-GB"/>
              </w:rPr>
            </w:pPr>
          </w:p>
          <w:p w14:paraId="4B3A00BE" w14:textId="77777777" w:rsidR="00FC5D2A" w:rsidRDefault="00FC5D2A" w:rsidP="00165B9F">
            <w:pPr>
              <w:pStyle w:val="CETBodytext"/>
              <w:rPr>
                <w:lang w:val="en-GB"/>
              </w:rPr>
            </w:pPr>
          </w:p>
          <w:p w14:paraId="0B3B5CC2" w14:textId="77777777" w:rsidR="00FC5D2A" w:rsidRDefault="00FC5D2A" w:rsidP="00165B9F">
            <w:pPr>
              <w:pStyle w:val="CETBodytext"/>
              <w:rPr>
                <w:lang w:val="en-GB"/>
              </w:rPr>
            </w:pPr>
            <w:r>
              <w:rPr>
                <w:lang w:val="en-GB"/>
              </w:rPr>
              <w:t>60.00</w:t>
            </w:r>
          </w:p>
          <w:p w14:paraId="7F6228E2" w14:textId="77777777" w:rsidR="00FC5D2A" w:rsidRDefault="00FC5D2A" w:rsidP="00165B9F">
            <w:pPr>
              <w:pStyle w:val="CETBodytext"/>
              <w:rPr>
                <w:lang w:val="en-GB"/>
              </w:rPr>
            </w:pPr>
            <w:r>
              <w:rPr>
                <w:lang w:val="en-GB"/>
              </w:rPr>
              <w:t>7.10</w:t>
            </w:r>
          </w:p>
          <w:p w14:paraId="73C75EF5" w14:textId="77777777" w:rsidR="00FC5D2A" w:rsidRDefault="00FC5D2A" w:rsidP="00165B9F">
            <w:pPr>
              <w:pStyle w:val="CETBodytext"/>
              <w:rPr>
                <w:lang w:val="en-GB"/>
              </w:rPr>
            </w:pPr>
            <w:r>
              <w:rPr>
                <w:lang w:val="en-GB"/>
              </w:rPr>
              <w:t>32.90</w:t>
            </w:r>
          </w:p>
          <w:p w14:paraId="4292DCC2" w14:textId="77777777" w:rsidR="00FC5D2A" w:rsidRDefault="00FC5D2A" w:rsidP="00165B9F">
            <w:pPr>
              <w:pStyle w:val="CETBodytext"/>
              <w:rPr>
                <w:lang w:val="en-GB"/>
              </w:rPr>
            </w:pPr>
            <w:r>
              <w:rPr>
                <w:lang w:val="en-GB"/>
              </w:rPr>
              <w:t>-</w:t>
            </w:r>
          </w:p>
          <w:p w14:paraId="172BCCC8" w14:textId="77777777" w:rsidR="00FC5D2A" w:rsidRDefault="00FC5D2A" w:rsidP="00165B9F">
            <w:pPr>
              <w:pStyle w:val="CETBodytext"/>
              <w:rPr>
                <w:lang w:val="en-GB"/>
              </w:rPr>
            </w:pPr>
            <w:r>
              <w:rPr>
                <w:lang w:val="en-GB"/>
              </w:rPr>
              <w:t>-</w:t>
            </w:r>
          </w:p>
          <w:p w14:paraId="065BC105" w14:textId="77777777" w:rsidR="00FC5D2A" w:rsidRDefault="00FC5D2A" w:rsidP="00165B9F">
            <w:pPr>
              <w:pStyle w:val="CETBodytext"/>
              <w:rPr>
                <w:lang w:val="en-GB"/>
              </w:rPr>
            </w:pPr>
          </w:p>
          <w:p w14:paraId="09087E50" w14:textId="77777777" w:rsidR="00FC5D2A" w:rsidRPr="00B57B36" w:rsidRDefault="00FC5D2A" w:rsidP="00165B9F">
            <w:pPr>
              <w:pStyle w:val="CETBodytext"/>
              <w:rPr>
                <w:lang w:val="en-GB"/>
              </w:rPr>
            </w:pPr>
            <w:r>
              <w:rPr>
                <w:lang w:val="en-GB"/>
              </w:rPr>
              <w:t>32505</w:t>
            </w:r>
          </w:p>
        </w:tc>
        <w:tc>
          <w:tcPr>
            <w:tcW w:w="1139" w:type="dxa"/>
            <w:shd w:val="clear" w:color="auto" w:fill="FFFFFF"/>
          </w:tcPr>
          <w:p w14:paraId="25E27DF5" w14:textId="77777777" w:rsidR="00FC5D2A" w:rsidRDefault="00FC5D2A" w:rsidP="00165B9F">
            <w:pPr>
              <w:pStyle w:val="CETBodytext"/>
              <w:ind w:right="-1"/>
              <w:rPr>
                <w:rFonts w:cs="Arial"/>
                <w:szCs w:val="18"/>
                <w:lang w:val="en-GB"/>
              </w:rPr>
            </w:pPr>
          </w:p>
          <w:p w14:paraId="7D06F0FF" w14:textId="77777777" w:rsidR="00FC5D2A" w:rsidRDefault="00FC5D2A" w:rsidP="00165B9F">
            <w:pPr>
              <w:pStyle w:val="CETBodytext"/>
              <w:ind w:right="-1"/>
              <w:rPr>
                <w:rFonts w:cs="Arial"/>
                <w:szCs w:val="18"/>
                <w:lang w:val="en-GB"/>
              </w:rPr>
            </w:pPr>
            <w:r>
              <w:rPr>
                <w:rFonts w:cs="Arial"/>
                <w:szCs w:val="18"/>
                <w:lang w:val="en-GB"/>
              </w:rPr>
              <w:t>-</w:t>
            </w:r>
          </w:p>
          <w:p w14:paraId="0E587468" w14:textId="77777777" w:rsidR="00FC5D2A" w:rsidRDefault="00FC5D2A" w:rsidP="00165B9F">
            <w:pPr>
              <w:pStyle w:val="CETBodytext"/>
              <w:ind w:right="-1"/>
              <w:rPr>
                <w:rFonts w:cs="Arial"/>
                <w:szCs w:val="18"/>
                <w:lang w:val="en-GB"/>
              </w:rPr>
            </w:pPr>
            <w:r>
              <w:rPr>
                <w:rFonts w:cs="Arial"/>
                <w:szCs w:val="18"/>
                <w:lang w:val="en-GB"/>
              </w:rPr>
              <w:t>10.00</w:t>
            </w:r>
          </w:p>
          <w:p w14:paraId="7276605E" w14:textId="77777777" w:rsidR="00FC5D2A" w:rsidRDefault="00FC5D2A" w:rsidP="00165B9F">
            <w:pPr>
              <w:pStyle w:val="CETBodytext"/>
              <w:ind w:right="-1"/>
              <w:rPr>
                <w:rFonts w:cs="Arial"/>
                <w:szCs w:val="18"/>
                <w:lang w:val="en-GB"/>
              </w:rPr>
            </w:pPr>
            <w:r>
              <w:rPr>
                <w:rFonts w:cs="Arial"/>
                <w:szCs w:val="18"/>
                <w:lang w:val="en-GB"/>
              </w:rPr>
              <w:t>58.00</w:t>
            </w:r>
          </w:p>
          <w:p w14:paraId="425BE4E5" w14:textId="77777777" w:rsidR="00FC5D2A" w:rsidRDefault="00FC5D2A" w:rsidP="00165B9F">
            <w:pPr>
              <w:pStyle w:val="CETBodytext"/>
              <w:ind w:right="-1"/>
              <w:rPr>
                <w:rFonts w:cs="Arial"/>
                <w:szCs w:val="18"/>
                <w:lang w:val="en-GB"/>
              </w:rPr>
            </w:pPr>
            <w:r>
              <w:rPr>
                <w:rFonts w:cs="Arial"/>
                <w:szCs w:val="18"/>
                <w:lang w:val="en-GB"/>
              </w:rPr>
              <w:t>13.00</w:t>
            </w:r>
          </w:p>
          <w:p w14:paraId="5A68EAA6" w14:textId="77777777" w:rsidR="00FC5D2A" w:rsidRDefault="00FC5D2A" w:rsidP="00165B9F">
            <w:pPr>
              <w:pStyle w:val="CETBodytext"/>
              <w:ind w:right="-1"/>
              <w:rPr>
                <w:rFonts w:cs="Arial"/>
                <w:szCs w:val="18"/>
                <w:lang w:val="en-GB"/>
              </w:rPr>
            </w:pPr>
            <w:r>
              <w:rPr>
                <w:rFonts w:cs="Arial"/>
                <w:szCs w:val="18"/>
                <w:lang w:val="en-GB"/>
              </w:rPr>
              <w:t>19.00</w:t>
            </w:r>
          </w:p>
          <w:p w14:paraId="05FECAC2" w14:textId="77777777" w:rsidR="00FC5D2A" w:rsidRDefault="00FC5D2A" w:rsidP="00165B9F">
            <w:pPr>
              <w:pStyle w:val="CETBodytext"/>
              <w:ind w:right="-1"/>
              <w:rPr>
                <w:rFonts w:cs="Arial"/>
                <w:szCs w:val="18"/>
                <w:lang w:val="en-GB"/>
              </w:rPr>
            </w:pPr>
          </w:p>
          <w:p w14:paraId="1AB52FE6" w14:textId="77777777" w:rsidR="00FC5D2A" w:rsidRDefault="00FC5D2A" w:rsidP="00165B9F">
            <w:pPr>
              <w:pStyle w:val="CETBodytext"/>
              <w:ind w:right="-1"/>
              <w:rPr>
                <w:rFonts w:cs="Arial"/>
                <w:szCs w:val="18"/>
                <w:lang w:val="en-GB"/>
              </w:rPr>
            </w:pPr>
          </w:p>
          <w:p w14:paraId="33FB3F9B" w14:textId="77777777" w:rsidR="00FC5D2A" w:rsidRDefault="00FC5D2A" w:rsidP="00165B9F">
            <w:pPr>
              <w:pStyle w:val="CETBodytext"/>
              <w:ind w:right="-1"/>
              <w:rPr>
                <w:rFonts w:cs="Arial"/>
                <w:szCs w:val="18"/>
                <w:lang w:val="en-GB"/>
              </w:rPr>
            </w:pPr>
            <w:r>
              <w:rPr>
                <w:rFonts w:cs="Arial"/>
                <w:szCs w:val="18"/>
                <w:lang w:val="en-GB"/>
              </w:rPr>
              <w:t>35.00</w:t>
            </w:r>
          </w:p>
          <w:p w14:paraId="48C3E7DD" w14:textId="77777777" w:rsidR="00FC5D2A" w:rsidRDefault="00FC5D2A" w:rsidP="00165B9F">
            <w:pPr>
              <w:pStyle w:val="CETBodytext"/>
              <w:ind w:right="-1"/>
              <w:rPr>
                <w:rFonts w:cs="Arial"/>
                <w:szCs w:val="18"/>
                <w:lang w:val="en-GB"/>
              </w:rPr>
            </w:pPr>
            <w:r>
              <w:rPr>
                <w:rFonts w:cs="Arial"/>
                <w:szCs w:val="18"/>
                <w:lang w:val="en-GB"/>
              </w:rPr>
              <w:t>0.10</w:t>
            </w:r>
          </w:p>
          <w:p w14:paraId="1EA2D8DD" w14:textId="77777777" w:rsidR="00FC5D2A" w:rsidRDefault="00FC5D2A" w:rsidP="00165B9F">
            <w:pPr>
              <w:pStyle w:val="CETBodytext"/>
              <w:ind w:right="-1"/>
              <w:rPr>
                <w:rFonts w:cs="Arial"/>
                <w:szCs w:val="18"/>
                <w:lang w:val="en-GB"/>
              </w:rPr>
            </w:pPr>
            <w:r>
              <w:rPr>
                <w:rFonts w:cs="Arial"/>
                <w:szCs w:val="18"/>
                <w:lang w:val="en-GB"/>
              </w:rPr>
              <w:t>64.70</w:t>
            </w:r>
          </w:p>
          <w:p w14:paraId="68664603" w14:textId="77777777" w:rsidR="00FC5D2A" w:rsidRDefault="00FC5D2A" w:rsidP="00165B9F">
            <w:pPr>
              <w:pStyle w:val="CETBodytext"/>
              <w:ind w:right="-1"/>
              <w:rPr>
                <w:rFonts w:cs="Arial"/>
                <w:szCs w:val="18"/>
                <w:lang w:val="en-GB"/>
              </w:rPr>
            </w:pPr>
            <w:r>
              <w:rPr>
                <w:rFonts w:cs="Arial"/>
                <w:szCs w:val="18"/>
                <w:lang w:val="en-GB"/>
              </w:rPr>
              <w:t>0.10</w:t>
            </w:r>
          </w:p>
          <w:p w14:paraId="3698D5FB" w14:textId="77777777" w:rsidR="00FC5D2A" w:rsidRDefault="00FC5D2A" w:rsidP="00165B9F">
            <w:pPr>
              <w:pStyle w:val="CETBodytext"/>
              <w:ind w:right="-1"/>
              <w:rPr>
                <w:rFonts w:cs="Arial"/>
                <w:szCs w:val="18"/>
                <w:lang w:val="en-GB"/>
              </w:rPr>
            </w:pPr>
            <w:r>
              <w:rPr>
                <w:rFonts w:cs="Arial"/>
                <w:szCs w:val="18"/>
                <w:lang w:val="en-GB"/>
              </w:rPr>
              <w:t>0.08</w:t>
            </w:r>
          </w:p>
          <w:p w14:paraId="2055BF73" w14:textId="77777777" w:rsidR="00FC5D2A" w:rsidRDefault="00FC5D2A" w:rsidP="00165B9F">
            <w:pPr>
              <w:pStyle w:val="CETBodytext"/>
              <w:ind w:right="-1"/>
              <w:rPr>
                <w:rFonts w:cs="Arial"/>
                <w:szCs w:val="18"/>
                <w:lang w:val="en-GB"/>
              </w:rPr>
            </w:pPr>
          </w:p>
          <w:p w14:paraId="149E5A46" w14:textId="77777777" w:rsidR="00FC5D2A" w:rsidRPr="00B57B36" w:rsidRDefault="00FC5D2A" w:rsidP="00165B9F">
            <w:pPr>
              <w:pStyle w:val="CETBodytext"/>
              <w:ind w:right="-1"/>
              <w:rPr>
                <w:rFonts w:cs="Arial"/>
                <w:szCs w:val="18"/>
                <w:lang w:val="en-GB"/>
              </w:rPr>
            </w:pPr>
            <w:r>
              <w:rPr>
                <w:rFonts w:cs="Arial"/>
                <w:szCs w:val="18"/>
                <w:lang w:val="en-GB"/>
              </w:rPr>
              <w:t>17520</w:t>
            </w:r>
          </w:p>
        </w:tc>
        <w:tc>
          <w:tcPr>
            <w:tcW w:w="1465" w:type="dxa"/>
            <w:shd w:val="clear" w:color="auto" w:fill="FFFFFF"/>
          </w:tcPr>
          <w:p w14:paraId="19F9EB73" w14:textId="77777777" w:rsidR="00FC5D2A" w:rsidRDefault="00FC5D2A" w:rsidP="00165B9F">
            <w:pPr>
              <w:pStyle w:val="CETBodytext"/>
              <w:ind w:right="-1"/>
              <w:rPr>
                <w:rFonts w:cs="Arial"/>
                <w:szCs w:val="18"/>
                <w:lang w:val="en-GB"/>
              </w:rPr>
            </w:pPr>
          </w:p>
          <w:p w14:paraId="23CA6136" w14:textId="487B0144" w:rsidR="00FC5D2A" w:rsidRDefault="00FC5D2A" w:rsidP="00165B9F">
            <w:pPr>
              <w:pStyle w:val="CETBodytext"/>
              <w:ind w:right="-1"/>
              <w:rPr>
                <w:rFonts w:cs="Arial"/>
                <w:szCs w:val="18"/>
                <w:lang w:val="en-GB"/>
              </w:rPr>
            </w:pPr>
            <w:r>
              <w:rPr>
                <w:rFonts w:cs="Arial"/>
                <w:szCs w:val="18"/>
                <w:lang w:val="en-GB"/>
              </w:rPr>
              <w:t>290</w:t>
            </w:r>
            <w:r w:rsidR="00D65644">
              <w:rPr>
                <w:rFonts w:cs="Arial"/>
                <w:szCs w:val="18"/>
                <w:lang w:val="en-GB"/>
              </w:rPr>
              <w:t>.00</w:t>
            </w:r>
          </w:p>
          <w:p w14:paraId="26002491" w14:textId="77777777" w:rsidR="00FC5D2A" w:rsidRDefault="00FC5D2A" w:rsidP="00165B9F">
            <w:pPr>
              <w:pStyle w:val="CETBodytext"/>
              <w:ind w:right="-1"/>
              <w:rPr>
                <w:rFonts w:cs="Arial"/>
                <w:szCs w:val="18"/>
                <w:lang w:val="en-GB"/>
              </w:rPr>
            </w:pPr>
            <w:r>
              <w:rPr>
                <w:rFonts w:cs="Arial"/>
                <w:szCs w:val="18"/>
                <w:lang w:val="en-GB"/>
              </w:rPr>
              <w:t>7.00</w:t>
            </w:r>
          </w:p>
          <w:p w14:paraId="6E87A13F" w14:textId="77777777" w:rsidR="00FC5D2A" w:rsidRDefault="00FC5D2A" w:rsidP="00165B9F">
            <w:pPr>
              <w:pStyle w:val="CETBodytext"/>
              <w:ind w:right="-1"/>
              <w:rPr>
                <w:rFonts w:cs="Arial"/>
                <w:szCs w:val="18"/>
                <w:lang w:val="en-GB"/>
              </w:rPr>
            </w:pPr>
            <w:r>
              <w:rPr>
                <w:rFonts w:cs="Arial"/>
                <w:szCs w:val="18"/>
                <w:lang w:val="en-GB"/>
              </w:rPr>
              <w:t>70.00</w:t>
            </w:r>
          </w:p>
          <w:p w14:paraId="6441CE2B" w14:textId="77777777" w:rsidR="00FC5D2A" w:rsidRDefault="00FC5D2A" w:rsidP="00165B9F">
            <w:pPr>
              <w:pStyle w:val="CETBodytext"/>
              <w:ind w:right="-1"/>
              <w:rPr>
                <w:rFonts w:cs="Arial"/>
                <w:szCs w:val="18"/>
                <w:lang w:val="en-GB"/>
              </w:rPr>
            </w:pPr>
            <w:r>
              <w:rPr>
                <w:rFonts w:cs="Arial"/>
                <w:szCs w:val="18"/>
                <w:lang w:val="en-GB"/>
              </w:rPr>
              <w:t>22.80</w:t>
            </w:r>
          </w:p>
          <w:p w14:paraId="4B8F3132" w14:textId="77777777" w:rsidR="00FC5D2A" w:rsidRDefault="00FC5D2A" w:rsidP="00165B9F">
            <w:pPr>
              <w:pStyle w:val="CETBodytext"/>
              <w:ind w:right="-1"/>
              <w:rPr>
                <w:rFonts w:cs="Arial"/>
                <w:szCs w:val="18"/>
                <w:lang w:val="en-GB"/>
              </w:rPr>
            </w:pPr>
            <w:r>
              <w:rPr>
                <w:rFonts w:cs="Arial"/>
                <w:szCs w:val="18"/>
                <w:lang w:val="en-GB"/>
              </w:rPr>
              <w:t>0.20</w:t>
            </w:r>
          </w:p>
          <w:p w14:paraId="4F5F2261" w14:textId="77777777" w:rsidR="00FC5D2A" w:rsidRDefault="00FC5D2A" w:rsidP="00165B9F">
            <w:pPr>
              <w:pStyle w:val="CETBodytext"/>
              <w:ind w:right="-1"/>
              <w:rPr>
                <w:rFonts w:cs="Arial"/>
                <w:szCs w:val="18"/>
                <w:lang w:val="en-GB"/>
              </w:rPr>
            </w:pPr>
          </w:p>
          <w:p w14:paraId="0FB6CD91" w14:textId="77777777" w:rsidR="00FC5D2A" w:rsidRDefault="00FC5D2A" w:rsidP="00165B9F">
            <w:pPr>
              <w:pStyle w:val="CETBodytext"/>
              <w:ind w:right="-1"/>
              <w:rPr>
                <w:rFonts w:cs="Arial"/>
                <w:szCs w:val="18"/>
                <w:lang w:val="en-GB"/>
              </w:rPr>
            </w:pPr>
          </w:p>
          <w:p w14:paraId="72F8DD7C" w14:textId="77777777" w:rsidR="00FC5D2A" w:rsidRDefault="00FC5D2A" w:rsidP="00165B9F">
            <w:pPr>
              <w:pStyle w:val="CETBodytext"/>
              <w:ind w:right="-1"/>
              <w:rPr>
                <w:rFonts w:cs="Arial"/>
                <w:szCs w:val="18"/>
                <w:lang w:val="en-GB"/>
              </w:rPr>
            </w:pPr>
            <w:r>
              <w:rPr>
                <w:rFonts w:cs="Arial"/>
                <w:szCs w:val="18"/>
                <w:lang w:val="en-GB"/>
              </w:rPr>
              <w:t>73.00</w:t>
            </w:r>
          </w:p>
          <w:p w14:paraId="5055C586" w14:textId="77777777" w:rsidR="00FC5D2A" w:rsidRDefault="00FC5D2A" w:rsidP="00165B9F">
            <w:pPr>
              <w:pStyle w:val="CETBodytext"/>
              <w:ind w:right="-1"/>
              <w:rPr>
                <w:rFonts w:cs="Arial"/>
                <w:szCs w:val="18"/>
                <w:lang w:val="en-GB"/>
              </w:rPr>
            </w:pPr>
            <w:r>
              <w:rPr>
                <w:rFonts w:cs="Arial"/>
                <w:szCs w:val="18"/>
                <w:lang w:val="en-GB"/>
              </w:rPr>
              <w:t>11.20</w:t>
            </w:r>
          </w:p>
          <w:p w14:paraId="058779AE" w14:textId="77777777" w:rsidR="00FC5D2A" w:rsidRDefault="00FC5D2A" w:rsidP="00165B9F">
            <w:pPr>
              <w:pStyle w:val="CETBodytext"/>
              <w:ind w:right="-1"/>
              <w:rPr>
                <w:rFonts w:cs="Arial"/>
                <w:szCs w:val="18"/>
                <w:lang w:val="en-GB"/>
              </w:rPr>
            </w:pPr>
            <w:r>
              <w:rPr>
                <w:rFonts w:cs="Arial"/>
                <w:szCs w:val="18"/>
                <w:lang w:val="en-GB"/>
              </w:rPr>
              <w:t>15.40</w:t>
            </w:r>
          </w:p>
          <w:p w14:paraId="3953AD14" w14:textId="77777777" w:rsidR="00FC5D2A" w:rsidRDefault="00FC5D2A" w:rsidP="00165B9F">
            <w:pPr>
              <w:pStyle w:val="CETBodytext"/>
              <w:ind w:right="-1"/>
              <w:rPr>
                <w:rFonts w:cs="Arial"/>
                <w:szCs w:val="18"/>
                <w:lang w:val="en-GB"/>
              </w:rPr>
            </w:pPr>
            <w:r>
              <w:rPr>
                <w:rFonts w:cs="Arial"/>
                <w:szCs w:val="18"/>
                <w:lang w:val="en-GB"/>
              </w:rPr>
              <w:t>0.30</w:t>
            </w:r>
          </w:p>
          <w:p w14:paraId="5A2399D4" w14:textId="77777777" w:rsidR="00FC5D2A" w:rsidRDefault="00FC5D2A" w:rsidP="00165B9F">
            <w:pPr>
              <w:pStyle w:val="CETBodytext"/>
              <w:ind w:right="-1"/>
              <w:rPr>
                <w:rFonts w:cs="Arial"/>
                <w:szCs w:val="18"/>
                <w:lang w:val="en-GB"/>
              </w:rPr>
            </w:pPr>
            <w:r>
              <w:rPr>
                <w:rFonts w:cs="Arial"/>
                <w:szCs w:val="18"/>
                <w:lang w:val="en-GB"/>
              </w:rPr>
              <w:t>0.10</w:t>
            </w:r>
          </w:p>
          <w:p w14:paraId="22D13162" w14:textId="77777777" w:rsidR="00FC5D2A" w:rsidRDefault="00FC5D2A" w:rsidP="00165B9F">
            <w:pPr>
              <w:pStyle w:val="CETBodytext"/>
              <w:ind w:right="-1"/>
              <w:rPr>
                <w:rFonts w:cs="Arial"/>
                <w:szCs w:val="18"/>
                <w:lang w:val="en-GB"/>
              </w:rPr>
            </w:pPr>
          </w:p>
          <w:p w14:paraId="4E604E7F" w14:textId="77777777" w:rsidR="00FC5D2A" w:rsidRPr="00B57B36" w:rsidRDefault="00FC5D2A" w:rsidP="00165B9F">
            <w:pPr>
              <w:pStyle w:val="CETBodytext"/>
              <w:ind w:right="-1"/>
              <w:rPr>
                <w:rFonts w:cs="Arial"/>
                <w:szCs w:val="18"/>
                <w:lang w:val="en-GB"/>
              </w:rPr>
            </w:pPr>
            <w:r>
              <w:rPr>
                <w:rFonts w:cs="Arial"/>
                <w:szCs w:val="18"/>
                <w:lang w:val="en-GB"/>
              </w:rPr>
              <w:t>4650</w:t>
            </w:r>
          </w:p>
        </w:tc>
        <w:tc>
          <w:tcPr>
            <w:tcW w:w="1465" w:type="dxa"/>
            <w:shd w:val="clear" w:color="auto" w:fill="FFFFFF"/>
          </w:tcPr>
          <w:p w14:paraId="5FB04C6E" w14:textId="77777777" w:rsidR="00FC5D2A" w:rsidRDefault="00FC5D2A" w:rsidP="00165B9F">
            <w:pPr>
              <w:pStyle w:val="CETBodytext"/>
              <w:ind w:right="-1"/>
              <w:rPr>
                <w:rFonts w:cs="Arial"/>
                <w:szCs w:val="18"/>
                <w:lang w:val="en-GB"/>
              </w:rPr>
            </w:pPr>
          </w:p>
          <w:p w14:paraId="09710031" w14:textId="77777777" w:rsidR="00FC5D2A" w:rsidRDefault="00FC5D2A" w:rsidP="00165B9F">
            <w:pPr>
              <w:pStyle w:val="CETBodytext"/>
              <w:ind w:right="-1"/>
              <w:rPr>
                <w:rFonts w:cs="Arial"/>
                <w:szCs w:val="18"/>
                <w:lang w:val="en-GB"/>
              </w:rPr>
            </w:pPr>
            <w:r>
              <w:rPr>
                <w:rFonts w:cs="Arial"/>
                <w:szCs w:val="18"/>
                <w:lang w:val="en-GB"/>
              </w:rPr>
              <w:t>190.00</w:t>
            </w:r>
          </w:p>
          <w:p w14:paraId="4F20FE50" w14:textId="77777777" w:rsidR="00FC5D2A" w:rsidRDefault="00FC5D2A" w:rsidP="00165B9F">
            <w:pPr>
              <w:pStyle w:val="CETBodytext"/>
              <w:ind w:right="-1"/>
              <w:rPr>
                <w:rFonts w:cs="Arial"/>
                <w:szCs w:val="18"/>
                <w:lang w:val="en-GB"/>
              </w:rPr>
            </w:pPr>
            <w:r>
              <w:rPr>
                <w:rFonts w:cs="Arial"/>
                <w:szCs w:val="18"/>
                <w:lang w:val="en-GB"/>
              </w:rPr>
              <w:t>2.00</w:t>
            </w:r>
          </w:p>
          <w:p w14:paraId="3FC92AD7" w14:textId="77777777" w:rsidR="00FC5D2A" w:rsidRDefault="00FC5D2A" w:rsidP="00165B9F">
            <w:pPr>
              <w:pStyle w:val="CETBodytext"/>
              <w:ind w:right="-1"/>
              <w:rPr>
                <w:rFonts w:cs="Arial"/>
                <w:szCs w:val="18"/>
                <w:lang w:val="en-GB"/>
              </w:rPr>
            </w:pPr>
            <w:r>
              <w:rPr>
                <w:rFonts w:cs="Arial"/>
                <w:szCs w:val="18"/>
                <w:lang w:val="en-GB"/>
              </w:rPr>
              <w:t>2.00</w:t>
            </w:r>
          </w:p>
          <w:p w14:paraId="237D438A" w14:textId="77777777" w:rsidR="00FC5D2A" w:rsidRDefault="00FC5D2A" w:rsidP="00165B9F">
            <w:pPr>
              <w:pStyle w:val="CETBodytext"/>
              <w:ind w:right="-1"/>
              <w:rPr>
                <w:rFonts w:cs="Arial"/>
                <w:szCs w:val="18"/>
                <w:lang w:val="en-GB"/>
              </w:rPr>
            </w:pPr>
            <w:r>
              <w:rPr>
                <w:rFonts w:cs="Arial"/>
                <w:szCs w:val="18"/>
                <w:lang w:val="en-GB"/>
              </w:rPr>
              <w:t>96.00</w:t>
            </w:r>
          </w:p>
          <w:p w14:paraId="1794B8E9" w14:textId="77777777" w:rsidR="00FC5D2A" w:rsidRDefault="00FC5D2A" w:rsidP="00165B9F">
            <w:pPr>
              <w:pStyle w:val="CETBodytext"/>
              <w:ind w:right="-1"/>
              <w:rPr>
                <w:rFonts w:cs="Arial"/>
                <w:szCs w:val="18"/>
                <w:lang w:val="en-GB"/>
              </w:rPr>
            </w:pPr>
            <w:r>
              <w:rPr>
                <w:rFonts w:cs="Arial"/>
                <w:szCs w:val="18"/>
                <w:lang w:val="en-GB"/>
              </w:rPr>
              <w:t>-</w:t>
            </w:r>
          </w:p>
          <w:p w14:paraId="3F8689D4" w14:textId="77777777" w:rsidR="00FC5D2A" w:rsidRDefault="00FC5D2A" w:rsidP="00165B9F">
            <w:pPr>
              <w:pStyle w:val="CETBodytext"/>
              <w:ind w:right="-1"/>
              <w:rPr>
                <w:rFonts w:cs="Arial"/>
                <w:szCs w:val="18"/>
                <w:lang w:val="en-GB"/>
              </w:rPr>
            </w:pPr>
          </w:p>
          <w:p w14:paraId="276252EC" w14:textId="77777777" w:rsidR="00FC5D2A" w:rsidRDefault="00FC5D2A" w:rsidP="00165B9F">
            <w:pPr>
              <w:pStyle w:val="CETBodytext"/>
              <w:ind w:right="-1"/>
              <w:rPr>
                <w:rFonts w:cs="Arial"/>
                <w:szCs w:val="18"/>
                <w:lang w:val="en-GB"/>
              </w:rPr>
            </w:pPr>
          </w:p>
          <w:p w14:paraId="0213F776" w14:textId="77777777" w:rsidR="00FC5D2A" w:rsidRDefault="00FC5D2A" w:rsidP="00165B9F">
            <w:pPr>
              <w:pStyle w:val="CETBodytext"/>
              <w:ind w:right="-1"/>
              <w:rPr>
                <w:rFonts w:cs="Arial"/>
                <w:szCs w:val="18"/>
                <w:lang w:val="en-GB"/>
              </w:rPr>
            </w:pPr>
            <w:r>
              <w:rPr>
                <w:rFonts w:cs="Arial"/>
                <w:szCs w:val="18"/>
                <w:lang w:val="en-GB"/>
              </w:rPr>
              <w:t>0.00</w:t>
            </w:r>
          </w:p>
          <w:p w14:paraId="53092788" w14:textId="77777777" w:rsidR="00FC5D2A" w:rsidRDefault="00FC5D2A" w:rsidP="00165B9F">
            <w:pPr>
              <w:pStyle w:val="CETBodytext"/>
              <w:ind w:right="-1"/>
              <w:rPr>
                <w:rFonts w:cs="Arial"/>
                <w:szCs w:val="18"/>
                <w:lang w:val="en-GB"/>
              </w:rPr>
            </w:pPr>
            <w:r>
              <w:rPr>
                <w:rFonts w:cs="Arial"/>
                <w:szCs w:val="18"/>
                <w:lang w:val="en-GB"/>
              </w:rPr>
              <w:t>0.00</w:t>
            </w:r>
          </w:p>
          <w:p w14:paraId="213E790F" w14:textId="77777777" w:rsidR="00FC5D2A" w:rsidRDefault="00FC5D2A" w:rsidP="00165B9F">
            <w:pPr>
              <w:pStyle w:val="CETBodytext"/>
              <w:ind w:right="-1"/>
              <w:rPr>
                <w:rFonts w:cs="Arial"/>
                <w:szCs w:val="18"/>
                <w:lang w:val="en-GB"/>
              </w:rPr>
            </w:pPr>
            <w:r>
              <w:rPr>
                <w:rFonts w:cs="Arial"/>
                <w:szCs w:val="18"/>
                <w:lang w:val="en-GB"/>
              </w:rPr>
              <w:t>0.00</w:t>
            </w:r>
          </w:p>
          <w:p w14:paraId="74B6E719" w14:textId="77777777" w:rsidR="00FC5D2A" w:rsidRDefault="00FC5D2A" w:rsidP="00165B9F">
            <w:pPr>
              <w:pStyle w:val="CETBodytext"/>
              <w:ind w:right="-1"/>
              <w:rPr>
                <w:rFonts w:cs="Arial"/>
                <w:szCs w:val="18"/>
                <w:lang w:val="en-GB"/>
              </w:rPr>
            </w:pPr>
            <w:r>
              <w:rPr>
                <w:rFonts w:cs="Arial"/>
                <w:szCs w:val="18"/>
                <w:lang w:val="en-GB"/>
              </w:rPr>
              <w:t>0.00</w:t>
            </w:r>
          </w:p>
          <w:p w14:paraId="27CCA232" w14:textId="77777777" w:rsidR="00FC5D2A" w:rsidRDefault="00FC5D2A" w:rsidP="00165B9F">
            <w:pPr>
              <w:pStyle w:val="CETBodytext"/>
              <w:ind w:right="-1"/>
              <w:rPr>
                <w:rFonts w:cs="Arial"/>
                <w:szCs w:val="18"/>
                <w:lang w:val="en-GB"/>
              </w:rPr>
            </w:pPr>
            <w:r>
              <w:rPr>
                <w:rFonts w:cs="Arial"/>
                <w:szCs w:val="18"/>
                <w:lang w:val="en-GB"/>
              </w:rPr>
              <w:t>0.00</w:t>
            </w:r>
          </w:p>
          <w:p w14:paraId="7077123B" w14:textId="77777777" w:rsidR="00FC5D2A" w:rsidRDefault="00FC5D2A" w:rsidP="00165B9F">
            <w:pPr>
              <w:pStyle w:val="CETBodytext"/>
              <w:ind w:right="-1"/>
              <w:rPr>
                <w:rFonts w:cs="Arial"/>
                <w:szCs w:val="18"/>
                <w:lang w:val="en-GB"/>
              </w:rPr>
            </w:pPr>
          </w:p>
          <w:p w14:paraId="230358DF" w14:textId="77777777" w:rsidR="00FC5D2A" w:rsidRPr="00B57B36" w:rsidRDefault="00FC5D2A" w:rsidP="00165B9F">
            <w:pPr>
              <w:pStyle w:val="CETBodytext"/>
              <w:ind w:right="-1"/>
              <w:rPr>
                <w:rFonts w:cs="Arial"/>
                <w:szCs w:val="18"/>
                <w:lang w:val="en-GB"/>
              </w:rPr>
            </w:pPr>
            <w:r>
              <w:rPr>
                <w:rFonts w:cs="Arial"/>
                <w:szCs w:val="18"/>
                <w:lang w:val="en-GB"/>
              </w:rPr>
              <w:t>0.00</w:t>
            </w:r>
          </w:p>
        </w:tc>
      </w:tr>
      <w:tr w:rsidR="00FC5D2A" w:rsidRPr="00B57B36" w14:paraId="7685BEAC" w14:textId="77777777" w:rsidTr="00165B9F">
        <w:trPr>
          <w:trHeight w:val="269"/>
        </w:trPr>
        <w:tc>
          <w:tcPr>
            <w:tcW w:w="2268" w:type="dxa"/>
            <w:shd w:val="clear" w:color="auto" w:fill="FFFFFF"/>
          </w:tcPr>
          <w:p w14:paraId="7405E763" w14:textId="77777777" w:rsidR="00FC5D2A" w:rsidRPr="00B57B36" w:rsidRDefault="00FC5D2A" w:rsidP="00165B9F">
            <w:pPr>
              <w:pStyle w:val="CETBodytext"/>
              <w:ind w:right="-1"/>
              <w:rPr>
                <w:rFonts w:cs="Arial"/>
                <w:szCs w:val="18"/>
                <w:lang w:val="en-GB"/>
              </w:rPr>
            </w:pPr>
          </w:p>
        </w:tc>
        <w:tc>
          <w:tcPr>
            <w:tcW w:w="825" w:type="dxa"/>
            <w:shd w:val="clear" w:color="auto" w:fill="FFFFFF"/>
          </w:tcPr>
          <w:p w14:paraId="218AA7D8" w14:textId="77777777" w:rsidR="00FC5D2A" w:rsidRPr="00B57B36" w:rsidRDefault="00FC5D2A" w:rsidP="00165B9F">
            <w:pPr>
              <w:pStyle w:val="CETBodytext"/>
              <w:ind w:right="-1"/>
              <w:rPr>
                <w:rFonts w:cs="Arial"/>
                <w:szCs w:val="18"/>
                <w:lang w:val="en-GB"/>
              </w:rPr>
            </w:pPr>
          </w:p>
        </w:tc>
        <w:tc>
          <w:tcPr>
            <w:tcW w:w="1302" w:type="dxa"/>
            <w:shd w:val="clear" w:color="auto" w:fill="FFFFFF"/>
          </w:tcPr>
          <w:p w14:paraId="5F55CC14" w14:textId="77777777" w:rsidR="00FC5D2A" w:rsidRPr="00B57B36" w:rsidRDefault="00FC5D2A" w:rsidP="00165B9F">
            <w:pPr>
              <w:pStyle w:val="CETBodytext"/>
              <w:ind w:right="-1"/>
              <w:rPr>
                <w:rFonts w:cs="Arial"/>
                <w:szCs w:val="18"/>
                <w:lang w:val="en-GB"/>
              </w:rPr>
            </w:pPr>
          </w:p>
        </w:tc>
        <w:tc>
          <w:tcPr>
            <w:tcW w:w="1139" w:type="dxa"/>
            <w:shd w:val="clear" w:color="auto" w:fill="FFFFFF"/>
          </w:tcPr>
          <w:p w14:paraId="79830775" w14:textId="77777777" w:rsidR="00FC5D2A" w:rsidRPr="00B57B36" w:rsidRDefault="00FC5D2A" w:rsidP="00165B9F">
            <w:pPr>
              <w:pStyle w:val="CETBodytext"/>
              <w:ind w:right="-1"/>
              <w:rPr>
                <w:rFonts w:cs="Arial"/>
                <w:szCs w:val="18"/>
                <w:lang w:val="en-GB"/>
              </w:rPr>
            </w:pPr>
          </w:p>
        </w:tc>
        <w:tc>
          <w:tcPr>
            <w:tcW w:w="1465" w:type="dxa"/>
            <w:shd w:val="clear" w:color="auto" w:fill="FFFFFF"/>
          </w:tcPr>
          <w:p w14:paraId="32C21ECC" w14:textId="77777777" w:rsidR="00FC5D2A" w:rsidRPr="00B57B36" w:rsidRDefault="00FC5D2A" w:rsidP="00165B9F">
            <w:pPr>
              <w:pStyle w:val="CETBodytext"/>
              <w:ind w:right="-1"/>
              <w:rPr>
                <w:rFonts w:cs="Arial"/>
                <w:szCs w:val="18"/>
                <w:lang w:val="en-GB"/>
              </w:rPr>
            </w:pPr>
          </w:p>
        </w:tc>
        <w:tc>
          <w:tcPr>
            <w:tcW w:w="1465" w:type="dxa"/>
            <w:shd w:val="clear" w:color="auto" w:fill="FFFFFF"/>
          </w:tcPr>
          <w:p w14:paraId="5C24455C" w14:textId="77777777" w:rsidR="00FC5D2A" w:rsidRPr="00B57B36" w:rsidRDefault="00FC5D2A" w:rsidP="00165B9F">
            <w:pPr>
              <w:pStyle w:val="CETBodytext"/>
              <w:ind w:right="-1"/>
              <w:rPr>
                <w:rFonts w:cs="Arial"/>
                <w:szCs w:val="18"/>
                <w:lang w:val="en-GB"/>
              </w:rPr>
            </w:pPr>
          </w:p>
        </w:tc>
      </w:tr>
    </w:tbl>
    <w:p w14:paraId="03F0CE0A" w14:textId="77777777" w:rsidR="00FC5D2A" w:rsidRDefault="00FC5D2A" w:rsidP="00FC5D2A">
      <w:pPr>
        <w:pStyle w:val="CETBodytext"/>
      </w:pPr>
    </w:p>
    <w:p w14:paraId="12CF1F5B" w14:textId="0D8A9211" w:rsidR="00FC5D2A" w:rsidRPr="00B92003" w:rsidRDefault="00EF43E6" w:rsidP="00FC5D2A">
      <w:pPr>
        <w:pStyle w:val="CETCaption"/>
        <w:rPr>
          <w:i w:val="0"/>
          <w:iCs/>
        </w:rPr>
      </w:pPr>
      <w:r w:rsidRPr="00B92003">
        <w:rPr>
          <w:i w:val="0"/>
          <w:iCs/>
        </w:rPr>
        <w:t>The low sulphur content found in textiles, food waste, and paper is a result of the combustible fraction present in municipal solid waste (MSW)</w:t>
      </w:r>
      <w:r w:rsidR="00DD7AD5">
        <w:rPr>
          <w:i w:val="0"/>
          <w:iCs/>
        </w:rPr>
        <w:t xml:space="preserve">. </w:t>
      </w:r>
      <w:r w:rsidRPr="00B92003">
        <w:rPr>
          <w:i w:val="0"/>
          <w:iCs/>
        </w:rPr>
        <w:t xml:space="preserve">The heating value assessment of the collected samples was </w:t>
      </w:r>
      <w:proofErr w:type="gramStart"/>
      <w:r w:rsidRPr="00B92003">
        <w:rPr>
          <w:i w:val="0"/>
          <w:iCs/>
        </w:rPr>
        <w:t>carried out</w:t>
      </w:r>
      <w:proofErr w:type="gramEnd"/>
      <w:r w:rsidRPr="00B92003">
        <w:rPr>
          <w:i w:val="0"/>
          <w:iCs/>
        </w:rPr>
        <w:t xml:space="preserve"> </w:t>
      </w:r>
      <w:r w:rsidRPr="00B92003">
        <w:rPr>
          <w:i w:val="0"/>
          <w:iCs/>
        </w:rPr>
        <w:lastRenderedPageBreak/>
        <w:t xml:space="preserve">instrumentally, as detailed in Table </w:t>
      </w:r>
      <w:r w:rsidR="00D81E7D">
        <w:rPr>
          <w:i w:val="0"/>
          <w:iCs/>
        </w:rPr>
        <w:t>1</w:t>
      </w:r>
      <w:r w:rsidRPr="00B92003">
        <w:rPr>
          <w:i w:val="0"/>
          <w:iCs/>
        </w:rPr>
        <w:t xml:space="preserve">. The high heating value of plastics, at 32505 kJ/kg, can </w:t>
      </w:r>
      <w:proofErr w:type="gramStart"/>
      <w:r w:rsidRPr="00B92003">
        <w:rPr>
          <w:i w:val="0"/>
          <w:iCs/>
        </w:rPr>
        <w:t>be attributed</w:t>
      </w:r>
      <w:proofErr w:type="gramEnd"/>
      <w:r w:rsidRPr="00B92003">
        <w:rPr>
          <w:i w:val="0"/>
          <w:iCs/>
        </w:rPr>
        <w:t xml:space="preserve"> to its higher carbon content and lower moisture levels. On the other hand, the lower heating value of MSW is due to its heterogeneous composition, which includes elevated levels of moisture and ash. Legacy waste, although not suitable for recycling, shows potential as a feedstock for pyrolysis, thanks to its low moisture content and high heating value compared to MSW as characterized by other studies </w:t>
      </w:r>
      <w:r w:rsidRPr="00B92003">
        <w:rPr>
          <w:i w:val="0"/>
        </w:rPr>
        <w:t>(</w:t>
      </w:r>
      <w:r w:rsidR="00541E6F" w:rsidRPr="00B92003">
        <w:rPr>
          <w:i w:val="0"/>
        </w:rPr>
        <w:t>Young, 2010)</w:t>
      </w:r>
      <w:r w:rsidRPr="00B92003">
        <w:rPr>
          <w:i w:val="0"/>
        </w:rPr>
        <w:t>.</w:t>
      </w:r>
    </w:p>
    <w:p w14:paraId="032F9F3E" w14:textId="64119D5F" w:rsidR="00BF5A4B" w:rsidRPr="00B92003" w:rsidRDefault="00204DFC" w:rsidP="006C47C3">
      <w:pPr>
        <w:pStyle w:val="CETheadingx"/>
      </w:pPr>
      <w:bookmarkStart w:id="1" w:name="_Hlk164260511"/>
      <w:r w:rsidRPr="00B92003">
        <w:t xml:space="preserve">Municipal solid waste characterization </w:t>
      </w:r>
    </w:p>
    <w:p w14:paraId="3E796451" w14:textId="79B9B9CC" w:rsidR="007A11DE" w:rsidRPr="00DE74DE" w:rsidRDefault="00C40108" w:rsidP="00C116F0">
      <w:pPr>
        <w:pStyle w:val="CETBodytext"/>
      </w:pPr>
      <w:r>
        <w:t xml:space="preserve">In 2015, the Office of the Auditor General emphasized the importance of understanding the composition of municipal solid waste, noting its varied characteristics and the need for different management strategies. Figure 1 illustrates the waste composition from Soweto in the Johannesburg municipality, with further details provided in Table </w:t>
      </w:r>
      <w:r w:rsidR="00C03CA4">
        <w:t>2</w:t>
      </w:r>
      <w:r>
        <w:t xml:space="preserve">. For the current study, samples were categorized into nine groups after thorough testing and analysis: </w:t>
      </w:r>
      <w:r w:rsidR="000A45FF" w:rsidRPr="000A45FF">
        <w:t xml:space="preserve">The study categorized waste into nine groups, including greens, food waste, paper, plastics, textiles, glass, C&amp;D, inerts, metals, and other waste. Glass, </w:t>
      </w:r>
      <w:r w:rsidR="00915CC7" w:rsidRPr="00915CC7">
        <w:t xml:space="preserve">Construction and Demolition </w:t>
      </w:r>
      <w:r w:rsidR="00915CC7">
        <w:t>(</w:t>
      </w:r>
      <w:r w:rsidR="000A45FF" w:rsidRPr="000A45FF">
        <w:t>C&amp;D</w:t>
      </w:r>
      <w:r w:rsidR="00915CC7">
        <w:t>)</w:t>
      </w:r>
      <w:r w:rsidR="000A45FF" w:rsidRPr="000A45FF">
        <w:t>, inerts, metals, and other wastes account for 9% of total waste.</w:t>
      </w:r>
      <w:r w:rsidR="000A45FF">
        <w:t xml:space="preserve"> </w:t>
      </w:r>
      <w:r w:rsidRPr="00627784">
        <w:t>Organic waste constitutes the largest fraction of total waste at 52.5%, followed by paper (around 18%), plastics (approximately 13%), and textiles (7%).</w:t>
      </w:r>
      <w:r w:rsidR="000A45FF">
        <w:t xml:space="preserve"> </w:t>
      </w:r>
      <w:r w:rsidR="002B6FE8" w:rsidRPr="002B6FE8">
        <w:rPr>
          <w:lang w:val="en-GB"/>
        </w:rPr>
        <w:t xml:space="preserve">Cultural practices, consumer lifestyles, and economic conditions all have a significant impact on municipal solid waste composition, which affects its reliability and importance for waste management planning. Factors such as sampling location, time of collection, and sample size could affect the reliability and representativeness of the collected samples. Placing </w:t>
      </w:r>
      <w:proofErr w:type="gramStart"/>
      <w:r w:rsidR="002B6FE8" w:rsidRPr="002B6FE8">
        <w:rPr>
          <w:lang w:val="en-GB"/>
        </w:rPr>
        <w:t>several</w:t>
      </w:r>
      <w:proofErr w:type="gramEnd"/>
      <w:r w:rsidR="002B6FE8" w:rsidRPr="002B6FE8">
        <w:rPr>
          <w:lang w:val="en-GB"/>
        </w:rPr>
        <w:t xml:space="preserve"> types of waste, such as food waste, paper, or cardboard, in the same storage container makes recycling difficult due to the high moisture content of food waste.</w:t>
      </w:r>
      <w:r w:rsidR="002B6FE8">
        <w:rPr>
          <w:lang w:val="en-GB"/>
        </w:rPr>
        <w:t xml:space="preserve"> </w:t>
      </w:r>
      <w:r w:rsidR="00357995" w:rsidRPr="00357995">
        <w:rPr>
          <w:lang w:val="en-GB"/>
        </w:rPr>
        <w:t>There are few council vehicles for waste collection and transportation, which are unreliable, leading households to use private trucks for waste disposal at a dumping site for a monthly fee</w:t>
      </w:r>
      <w:r w:rsidR="00DE6B0F">
        <w:rPr>
          <w:lang w:val="en-GB"/>
        </w:rPr>
        <w:t xml:space="preserve"> (</w:t>
      </w:r>
      <w:r w:rsidR="00DE6B0F" w:rsidRPr="006D56D5">
        <w:t>Letshwenyo</w:t>
      </w:r>
      <w:r w:rsidR="00DE6B0F">
        <w:t xml:space="preserve"> </w:t>
      </w:r>
      <w:r w:rsidR="00DE6B0F">
        <w:t xml:space="preserve">and </w:t>
      </w:r>
      <w:r w:rsidR="00DE6B0F" w:rsidRPr="006D56D5">
        <w:t>Kgetseyamore</w:t>
      </w:r>
      <w:r w:rsidR="00DE6B0F">
        <w:t>, 2020</w:t>
      </w:r>
      <w:r w:rsidR="00DE6B0F">
        <w:rPr>
          <w:lang w:val="en-GB"/>
        </w:rPr>
        <w:t>)</w:t>
      </w:r>
      <w:r w:rsidR="00357995" w:rsidRPr="00357995">
        <w:rPr>
          <w:lang w:val="en-GB"/>
        </w:rPr>
        <w:t xml:space="preserve">. </w:t>
      </w:r>
      <w:r w:rsidR="00DE6B0F">
        <w:rPr>
          <w:lang w:val="en-GB"/>
        </w:rPr>
        <w:t>Moreover, p</w:t>
      </w:r>
      <w:r w:rsidR="00357995" w:rsidRPr="00357995">
        <w:rPr>
          <w:lang w:val="en-GB"/>
        </w:rPr>
        <w:t>rivate trucks also collect waste from commercial and industrial areas. The dumping site disposes of waste indiscriminately, except in a small area where soil covers it. Vehicle movement at the dumping site lacks proper control, with no security personnel or council staff present to guide vehicles to unloading sites. Poverty, poor governance, urbanization, population growth, a low standard of living, and low environmental awareness are all associated with the indiscriminate disposal of solid waste. Unintegrated into South Africa's municipal waste management policy and institutional framework, waste pickers primarily engage in informal waste recycling. The informal sector plays a significant role in waste management and recycling in Johannesburg, and this affects the reliability of the municipal solid waste data.</w:t>
      </w:r>
      <w:r w:rsidR="0027662F" w:rsidRPr="0027662F">
        <w:rPr>
          <w:lang w:val="en-GB"/>
        </w:rPr>
        <w:t xml:space="preserve"> </w:t>
      </w:r>
      <w:r w:rsidR="0027662F" w:rsidRPr="0027662F">
        <w:rPr>
          <w:lang w:val="en-GB"/>
        </w:rPr>
        <w:t>Municipal solid waste's environmental impacts include scavenging and indiscriminate dumping, which exposes people to environmental hazards, creates breeding grounds for rodents and flies, and contributes to air pollution and climate change. The wind blows plastic waste into nearby areas, making the environment unattractive and posing health risks to animals and humans. The presence of plastic bags indicates a lack of recycling or reuse practices in the local community.</w:t>
      </w:r>
    </w:p>
    <w:p w14:paraId="520A602D" w14:textId="77777777" w:rsidR="007A11DE" w:rsidRDefault="007A11DE" w:rsidP="007A11DE">
      <w:pPr>
        <w:pStyle w:val="CETBodytext"/>
        <w:rPr>
          <w:lang w:val="en-GB"/>
        </w:rPr>
      </w:pPr>
      <w:r>
        <w:rPr>
          <w:noProof/>
        </w:rPr>
        <w:drawing>
          <wp:inline distT="0" distB="0" distL="0" distR="0" wp14:anchorId="3B3C4A48" wp14:editId="3876BE9E">
            <wp:extent cx="5579745" cy="2591435"/>
            <wp:effectExtent l="0" t="0" r="1905" b="0"/>
            <wp:docPr id="133144456" name="Chart 1">
              <a:extLst xmlns:a="http://schemas.openxmlformats.org/drawingml/2006/main">
                <a:ext uri="{FF2B5EF4-FFF2-40B4-BE49-F238E27FC236}">
                  <a16:creationId xmlns:a16="http://schemas.microsoft.com/office/drawing/2014/main" id="{D21B6588-E404-6881-121C-490F7FC847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1875A3" w14:textId="77777777" w:rsidR="007A11DE" w:rsidRDefault="007A11DE" w:rsidP="007A11DE">
      <w:pPr>
        <w:pStyle w:val="CETBodytext"/>
        <w:rPr>
          <w:lang w:val="en-GB"/>
        </w:rPr>
      </w:pPr>
      <w:r w:rsidRPr="002F423B">
        <w:rPr>
          <w:b/>
          <w:bCs/>
          <w:lang w:val="en-GB"/>
        </w:rPr>
        <w:t>Figure 1:</w:t>
      </w:r>
      <w:r>
        <w:rPr>
          <w:lang w:val="en-GB"/>
        </w:rPr>
        <w:t xml:space="preserve"> Quantities from waste characterization</w:t>
      </w:r>
    </w:p>
    <w:p w14:paraId="01FAA32A" w14:textId="230C3FAF" w:rsidR="00EF27FE" w:rsidRDefault="007A11DE" w:rsidP="00BF5A4B">
      <w:pPr>
        <w:pStyle w:val="CETBodytext"/>
        <w:rPr>
          <w:lang w:val="en-GB"/>
        </w:rPr>
      </w:pPr>
      <w:r>
        <w:rPr>
          <w:lang w:val="en-GB"/>
        </w:rPr>
        <w:t xml:space="preserve"> </w:t>
      </w:r>
    </w:p>
    <w:p w14:paraId="1A753AF1" w14:textId="77777777" w:rsidR="00627784" w:rsidRDefault="00627784">
      <w:pPr>
        <w:tabs>
          <w:tab w:val="clear" w:pos="7100"/>
        </w:tabs>
        <w:spacing w:after="200" w:line="276" w:lineRule="auto"/>
        <w:jc w:val="left"/>
        <w:rPr>
          <w:i/>
        </w:rPr>
      </w:pPr>
      <w:r>
        <w:br w:type="page"/>
      </w:r>
    </w:p>
    <w:p w14:paraId="579F36DB" w14:textId="624D1157" w:rsidR="00EF27FE" w:rsidRPr="00B57B36" w:rsidRDefault="00EF27FE" w:rsidP="00EF27FE">
      <w:pPr>
        <w:pStyle w:val="CETTabletitle"/>
      </w:pPr>
      <w:r w:rsidRPr="00B57B36">
        <w:lastRenderedPageBreak/>
        <w:t xml:space="preserve">Table </w:t>
      </w:r>
      <w:r w:rsidR="00C03CA4">
        <w:t>2</w:t>
      </w:r>
      <w:r w:rsidRPr="00B57B36">
        <w:t xml:space="preserve">: </w:t>
      </w:r>
      <w:r>
        <w:t>Characterization of solid municipal waste</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985"/>
        <w:gridCol w:w="6427"/>
      </w:tblGrid>
      <w:tr w:rsidR="00B85976" w:rsidRPr="00B57B36" w14:paraId="6982C50A" w14:textId="77777777" w:rsidTr="00EB4AA3">
        <w:trPr>
          <w:trHeight w:val="299"/>
        </w:trPr>
        <w:tc>
          <w:tcPr>
            <w:tcW w:w="1985" w:type="dxa"/>
            <w:tcBorders>
              <w:top w:val="single" w:sz="12" w:space="0" w:color="008000"/>
              <w:bottom w:val="single" w:sz="6" w:space="0" w:color="008000"/>
            </w:tcBorders>
            <w:shd w:val="clear" w:color="auto" w:fill="FFFFFF"/>
          </w:tcPr>
          <w:p w14:paraId="12084282" w14:textId="68D9570B" w:rsidR="00B85976" w:rsidRPr="00B57B36" w:rsidRDefault="00B85976" w:rsidP="00165B9F">
            <w:pPr>
              <w:pStyle w:val="CETBodytext"/>
              <w:rPr>
                <w:lang w:val="en-GB"/>
              </w:rPr>
            </w:pPr>
            <w:r>
              <w:rPr>
                <w:lang w:val="en-GB"/>
              </w:rPr>
              <w:t xml:space="preserve">Material </w:t>
            </w:r>
            <w:r w:rsidRPr="00B57B36">
              <w:rPr>
                <w:lang w:val="en-GB"/>
              </w:rPr>
              <w:t xml:space="preserve"> </w:t>
            </w:r>
          </w:p>
        </w:tc>
        <w:tc>
          <w:tcPr>
            <w:tcW w:w="6427" w:type="dxa"/>
            <w:tcBorders>
              <w:top w:val="single" w:sz="12" w:space="0" w:color="008000"/>
              <w:bottom w:val="single" w:sz="6" w:space="0" w:color="008000"/>
            </w:tcBorders>
            <w:shd w:val="clear" w:color="auto" w:fill="FFFFFF"/>
          </w:tcPr>
          <w:p w14:paraId="61EC2B9F" w14:textId="3F9D68B0" w:rsidR="00B85976" w:rsidRPr="00B57B36" w:rsidRDefault="00B85976" w:rsidP="00165B9F">
            <w:pPr>
              <w:pStyle w:val="CETBodytext"/>
              <w:rPr>
                <w:lang w:val="en-GB"/>
              </w:rPr>
            </w:pPr>
            <w:r>
              <w:rPr>
                <w:lang w:val="en-GB"/>
              </w:rPr>
              <w:t>Composition</w:t>
            </w:r>
          </w:p>
        </w:tc>
      </w:tr>
      <w:tr w:rsidR="00B85976" w:rsidRPr="00B57B36" w14:paraId="6F1BD1F1" w14:textId="77777777" w:rsidTr="00EB4AA3">
        <w:trPr>
          <w:trHeight w:val="332"/>
        </w:trPr>
        <w:tc>
          <w:tcPr>
            <w:tcW w:w="1985" w:type="dxa"/>
            <w:shd w:val="clear" w:color="auto" w:fill="FFFFFF"/>
          </w:tcPr>
          <w:p w14:paraId="635D04D7" w14:textId="77777777" w:rsidR="00B85976" w:rsidRDefault="00B85976" w:rsidP="00165B9F">
            <w:pPr>
              <w:pStyle w:val="CETBodytext"/>
              <w:rPr>
                <w:lang w:val="en-GB"/>
              </w:rPr>
            </w:pPr>
            <w:r>
              <w:rPr>
                <w:lang w:val="en-GB"/>
              </w:rPr>
              <w:t>Greens</w:t>
            </w:r>
          </w:p>
          <w:p w14:paraId="3C903CA9" w14:textId="0B7FD51A" w:rsidR="00B85976" w:rsidRDefault="00B85976" w:rsidP="00165B9F">
            <w:pPr>
              <w:pStyle w:val="CETBodytext"/>
              <w:rPr>
                <w:lang w:val="en-GB"/>
              </w:rPr>
            </w:pPr>
            <w:r>
              <w:rPr>
                <w:lang w:val="en-GB"/>
              </w:rPr>
              <w:t>Food waste</w:t>
            </w:r>
          </w:p>
          <w:p w14:paraId="233EE9D4" w14:textId="77777777" w:rsidR="00EB4AA3" w:rsidRDefault="00EB4AA3" w:rsidP="00165B9F">
            <w:pPr>
              <w:pStyle w:val="CETBodytext"/>
              <w:rPr>
                <w:lang w:val="en-GB"/>
              </w:rPr>
            </w:pPr>
          </w:p>
          <w:p w14:paraId="4F9B2CCA" w14:textId="7D0435FB" w:rsidR="00B85976" w:rsidRDefault="00B85976" w:rsidP="00165B9F">
            <w:pPr>
              <w:pStyle w:val="CETBodytext"/>
              <w:rPr>
                <w:lang w:val="en-GB"/>
              </w:rPr>
            </w:pPr>
            <w:r>
              <w:rPr>
                <w:lang w:val="en-GB"/>
              </w:rPr>
              <w:t>Paper</w:t>
            </w:r>
          </w:p>
          <w:p w14:paraId="10959CA4" w14:textId="77777777" w:rsidR="00EB4AA3" w:rsidRDefault="00EB4AA3" w:rsidP="00165B9F">
            <w:pPr>
              <w:pStyle w:val="CETBodytext"/>
              <w:rPr>
                <w:lang w:val="en-GB"/>
              </w:rPr>
            </w:pPr>
          </w:p>
          <w:p w14:paraId="4658B971" w14:textId="77777777" w:rsidR="003D5395" w:rsidRDefault="003D5395" w:rsidP="00165B9F">
            <w:pPr>
              <w:pStyle w:val="CETBodytext"/>
              <w:rPr>
                <w:lang w:val="en-GB"/>
              </w:rPr>
            </w:pPr>
          </w:p>
          <w:p w14:paraId="5395AFE7" w14:textId="3A7A2C88" w:rsidR="00B85976" w:rsidRDefault="00B85976" w:rsidP="00165B9F">
            <w:pPr>
              <w:pStyle w:val="CETBodytext"/>
              <w:rPr>
                <w:lang w:val="en-GB"/>
              </w:rPr>
            </w:pPr>
            <w:r>
              <w:rPr>
                <w:lang w:val="en-GB"/>
              </w:rPr>
              <w:t>Plastics</w:t>
            </w:r>
          </w:p>
          <w:p w14:paraId="2737B92D" w14:textId="77777777" w:rsidR="00EB4AA3" w:rsidRDefault="00EB4AA3" w:rsidP="00165B9F">
            <w:pPr>
              <w:pStyle w:val="CETBodytext"/>
              <w:rPr>
                <w:lang w:val="en-GB"/>
              </w:rPr>
            </w:pPr>
          </w:p>
          <w:p w14:paraId="49ED3799" w14:textId="77777777" w:rsidR="00EB4AA3" w:rsidRDefault="00EB4AA3" w:rsidP="00165B9F">
            <w:pPr>
              <w:pStyle w:val="CETBodytext"/>
              <w:rPr>
                <w:lang w:val="en-GB"/>
              </w:rPr>
            </w:pPr>
          </w:p>
          <w:p w14:paraId="26558053" w14:textId="77777777" w:rsidR="004365E4" w:rsidRDefault="004365E4" w:rsidP="00165B9F">
            <w:pPr>
              <w:pStyle w:val="CETBodytext"/>
              <w:rPr>
                <w:lang w:val="en-GB"/>
              </w:rPr>
            </w:pPr>
          </w:p>
          <w:p w14:paraId="20B88020" w14:textId="528D3D80" w:rsidR="00B85976" w:rsidRDefault="00B85976" w:rsidP="00165B9F">
            <w:pPr>
              <w:pStyle w:val="CETBodytext"/>
              <w:rPr>
                <w:lang w:val="en-GB"/>
              </w:rPr>
            </w:pPr>
            <w:r>
              <w:rPr>
                <w:lang w:val="en-GB"/>
              </w:rPr>
              <w:t>Textiles</w:t>
            </w:r>
          </w:p>
          <w:p w14:paraId="7AE378E4" w14:textId="77777777" w:rsidR="00890B40" w:rsidRDefault="00890B40" w:rsidP="00165B9F">
            <w:pPr>
              <w:pStyle w:val="CETBodytext"/>
              <w:rPr>
                <w:lang w:val="en-GB"/>
              </w:rPr>
            </w:pPr>
          </w:p>
          <w:p w14:paraId="710135D9" w14:textId="46666773" w:rsidR="00B85976" w:rsidRDefault="00B85976" w:rsidP="00165B9F">
            <w:pPr>
              <w:pStyle w:val="CETBodytext"/>
              <w:rPr>
                <w:lang w:val="en-GB"/>
              </w:rPr>
            </w:pPr>
            <w:r>
              <w:rPr>
                <w:lang w:val="en-GB"/>
              </w:rPr>
              <w:t>Glass</w:t>
            </w:r>
          </w:p>
          <w:p w14:paraId="6E1DCDBF" w14:textId="77777777" w:rsidR="00890B40" w:rsidRDefault="00890B40" w:rsidP="00165B9F">
            <w:pPr>
              <w:pStyle w:val="CETBodytext"/>
              <w:rPr>
                <w:lang w:val="en-GB"/>
              </w:rPr>
            </w:pPr>
          </w:p>
          <w:p w14:paraId="74E4C59C" w14:textId="13C5B8DE" w:rsidR="00B85976" w:rsidRDefault="00B85976" w:rsidP="00165B9F">
            <w:pPr>
              <w:pStyle w:val="CETBodytext"/>
              <w:rPr>
                <w:lang w:val="en-GB"/>
              </w:rPr>
            </w:pPr>
            <w:r>
              <w:rPr>
                <w:lang w:val="en-GB"/>
              </w:rPr>
              <w:t xml:space="preserve">C&amp;D and </w:t>
            </w:r>
            <w:proofErr w:type="spellStart"/>
            <w:r>
              <w:rPr>
                <w:lang w:val="en-GB"/>
              </w:rPr>
              <w:t>Inerts</w:t>
            </w:r>
            <w:proofErr w:type="spellEnd"/>
          </w:p>
          <w:p w14:paraId="18D1BD73" w14:textId="2B880D95" w:rsidR="00B85976" w:rsidRDefault="00B85976" w:rsidP="00165B9F">
            <w:pPr>
              <w:pStyle w:val="CETBodytext"/>
              <w:rPr>
                <w:lang w:val="en-GB"/>
              </w:rPr>
            </w:pPr>
            <w:r>
              <w:rPr>
                <w:lang w:val="en-GB"/>
              </w:rPr>
              <w:t>Metals</w:t>
            </w:r>
          </w:p>
          <w:p w14:paraId="5BEA799F" w14:textId="77777777" w:rsidR="00890B40" w:rsidRDefault="00890B40" w:rsidP="00B85976">
            <w:pPr>
              <w:pStyle w:val="CETBodytext"/>
              <w:rPr>
                <w:lang w:val="en-GB"/>
              </w:rPr>
            </w:pPr>
          </w:p>
          <w:p w14:paraId="453D4496" w14:textId="77777777" w:rsidR="003D5395" w:rsidRDefault="003D5395" w:rsidP="00B85976">
            <w:pPr>
              <w:pStyle w:val="CETBodytext"/>
              <w:rPr>
                <w:lang w:val="en-GB"/>
              </w:rPr>
            </w:pPr>
          </w:p>
          <w:p w14:paraId="58CE04FF" w14:textId="3733C5EC" w:rsidR="00B85976" w:rsidRPr="00B57B36" w:rsidRDefault="00B85976" w:rsidP="00B85976">
            <w:pPr>
              <w:pStyle w:val="CETBodytext"/>
              <w:rPr>
                <w:lang w:val="en-GB"/>
              </w:rPr>
            </w:pPr>
            <w:r>
              <w:rPr>
                <w:lang w:val="en-GB"/>
              </w:rPr>
              <w:t>Other waste</w:t>
            </w:r>
          </w:p>
        </w:tc>
        <w:tc>
          <w:tcPr>
            <w:tcW w:w="6427" w:type="dxa"/>
            <w:shd w:val="clear" w:color="auto" w:fill="FFFFFF"/>
          </w:tcPr>
          <w:p w14:paraId="42C9CD66" w14:textId="062643C9" w:rsidR="00B85976" w:rsidRDefault="00B85976" w:rsidP="00165B9F">
            <w:pPr>
              <w:pStyle w:val="CETBodytext"/>
              <w:rPr>
                <w:lang w:val="en-GB"/>
              </w:rPr>
            </w:pPr>
            <w:r>
              <w:rPr>
                <w:lang w:val="en-GB"/>
              </w:rPr>
              <w:t xml:space="preserve">This includes leaves, weeds, cut flowers, trees, branches and grass </w:t>
            </w:r>
            <w:r w:rsidR="00EB4AA3">
              <w:rPr>
                <w:lang w:val="en-GB"/>
              </w:rPr>
              <w:t>cutting.</w:t>
            </w:r>
          </w:p>
          <w:p w14:paraId="64590A72" w14:textId="77777777" w:rsidR="00B85976" w:rsidRDefault="00B85976" w:rsidP="00165B9F">
            <w:pPr>
              <w:pStyle w:val="CETBodytext"/>
              <w:rPr>
                <w:lang w:val="en-GB"/>
              </w:rPr>
            </w:pPr>
            <w:r>
              <w:rPr>
                <w:lang w:val="en-GB"/>
              </w:rPr>
              <w:t xml:space="preserve"> </w:t>
            </w:r>
            <w:r w:rsidR="00EB4AA3">
              <w:rPr>
                <w:lang w:val="en-GB"/>
              </w:rPr>
              <w:t xml:space="preserve">Discarded meat scraps, dairy products, coffee ground, tea bags, eggshells, fruits, vegetables, grains, crisps, bread, rice, </w:t>
            </w:r>
            <w:proofErr w:type="gramStart"/>
            <w:r w:rsidR="00EB4AA3">
              <w:rPr>
                <w:lang w:val="en-GB"/>
              </w:rPr>
              <w:t>etc.</w:t>
            </w:r>
            <w:proofErr w:type="gramEnd"/>
          </w:p>
          <w:p w14:paraId="40D45871" w14:textId="37338F28" w:rsidR="00EB4AA3" w:rsidRDefault="00EB4AA3" w:rsidP="00165B9F">
            <w:pPr>
              <w:pStyle w:val="CETBodytext"/>
              <w:rPr>
                <w:lang w:val="en-GB"/>
              </w:rPr>
            </w:pPr>
            <w:r>
              <w:rPr>
                <w:lang w:val="en-GB"/>
              </w:rPr>
              <w:t>Newspapers, cardboard</w:t>
            </w:r>
            <w:r w:rsidR="0029156F">
              <w:rPr>
                <w:lang w:val="en-GB"/>
              </w:rPr>
              <w:t xml:space="preserve">, </w:t>
            </w:r>
            <w:r>
              <w:rPr>
                <w:lang w:val="en-GB"/>
              </w:rPr>
              <w:t>containers (shipping, moving boxes, computer packaging, cartons), magazines, catalogues, brochures</w:t>
            </w:r>
            <w:r w:rsidR="0029156F">
              <w:rPr>
                <w:lang w:val="en-GB"/>
              </w:rPr>
              <w:t>, office papers, tissue papers.</w:t>
            </w:r>
          </w:p>
          <w:p w14:paraId="13E81A6F" w14:textId="21D0F2BE" w:rsidR="00EB4AA3" w:rsidRDefault="004365E4" w:rsidP="00165B9F">
            <w:pPr>
              <w:pStyle w:val="CETBodytext"/>
              <w:rPr>
                <w:lang w:val="en-GB"/>
              </w:rPr>
            </w:pPr>
            <w:r>
              <w:rPr>
                <w:lang w:val="en-GB"/>
              </w:rPr>
              <w:t>Polyethylene terephthalate, high density p</w:t>
            </w:r>
            <w:r w:rsidRPr="004365E4">
              <w:rPr>
                <w:lang w:val="en-GB"/>
              </w:rPr>
              <w:t>olyethylene</w:t>
            </w:r>
            <w:r>
              <w:rPr>
                <w:lang w:val="en-GB"/>
              </w:rPr>
              <w:t xml:space="preserve">, polyvinyl chloride, low density </w:t>
            </w:r>
            <w:r w:rsidRPr="004365E4">
              <w:rPr>
                <w:lang w:val="en-GB"/>
              </w:rPr>
              <w:t>polyethylene</w:t>
            </w:r>
            <w:r>
              <w:rPr>
                <w:lang w:val="en-GB"/>
              </w:rPr>
              <w:t>, b</w:t>
            </w:r>
            <w:r w:rsidR="00EB4AA3">
              <w:rPr>
                <w:lang w:val="en-GB"/>
              </w:rPr>
              <w:t xml:space="preserve">ottles, containers, </w:t>
            </w:r>
            <w:proofErr w:type="spellStart"/>
            <w:r w:rsidR="00EB4AA3">
              <w:rPr>
                <w:lang w:val="en-GB"/>
              </w:rPr>
              <w:t>punnels</w:t>
            </w:r>
            <w:proofErr w:type="spellEnd"/>
            <w:r w:rsidR="00EB4AA3">
              <w:rPr>
                <w:lang w:val="en-GB"/>
              </w:rPr>
              <w:t xml:space="preserve">, milk jugs, water jugs, detergent bottles, empty motor oil bottles, fluids containers, food containers (yogurt, salad vitamin, </w:t>
            </w:r>
            <w:proofErr w:type="gramStart"/>
            <w:r w:rsidR="00EB4AA3">
              <w:rPr>
                <w:lang w:val="en-GB"/>
              </w:rPr>
              <w:t>etc.</w:t>
            </w:r>
            <w:proofErr w:type="gramEnd"/>
            <w:r w:rsidR="00EB4AA3">
              <w:rPr>
                <w:lang w:val="en-GB"/>
              </w:rPr>
              <w:t>)</w:t>
            </w:r>
            <w:r>
              <w:rPr>
                <w:lang w:val="en-GB"/>
              </w:rPr>
              <w:t xml:space="preserve">, </w:t>
            </w:r>
            <w:r w:rsidR="008A67EB">
              <w:rPr>
                <w:lang w:val="en-GB"/>
              </w:rPr>
              <w:t xml:space="preserve">plastic bags, </w:t>
            </w:r>
            <w:r>
              <w:rPr>
                <w:lang w:val="en-GB"/>
              </w:rPr>
              <w:t>other plastics.</w:t>
            </w:r>
          </w:p>
          <w:p w14:paraId="6F64FFFE" w14:textId="77777777" w:rsidR="00890B40" w:rsidRDefault="00890B40" w:rsidP="00165B9F">
            <w:pPr>
              <w:pStyle w:val="CETBodytext"/>
              <w:rPr>
                <w:lang w:val="en-GB"/>
              </w:rPr>
            </w:pPr>
            <w:r>
              <w:rPr>
                <w:lang w:val="en-GB"/>
              </w:rPr>
              <w:t>Items made from thread, yarn, fabric, cloth, draperies, carpets, cushions, cloth fibres.</w:t>
            </w:r>
          </w:p>
          <w:p w14:paraId="3E4FD403" w14:textId="77777777" w:rsidR="00890B40" w:rsidRDefault="00890B40" w:rsidP="00165B9F">
            <w:pPr>
              <w:pStyle w:val="CETBodytext"/>
              <w:rPr>
                <w:lang w:val="en-GB"/>
              </w:rPr>
            </w:pPr>
            <w:r>
              <w:rPr>
                <w:lang w:val="en-GB"/>
              </w:rPr>
              <w:t xml:space="preserve">Green and amber glass beverage/food containers, liquor bottles, mirrors, light bulbs, window glass, </w:t>
            </w:r>
            <w:proofErr w:type="spellStart"/>
            <w:r>
              <w:rPr>
                <w:lang w:val="en-GB"/>
              </w:rPr>
              <w:t>pyrex</w:t>
            </w:r>
            <w:proofErr w:type="spellEnd"/>
            <w:r>
              <w:rPr>
                <w:lang w:val="en-GB"/>
              </w:rPr>
              <w:t xml:space="preserve">, </w:t>
            </w:r>
            <w:proofErr w:type="spellStart"/>
            <w:r>
              <w:rPr>
                <w:lang w:val="en-GB"/>
              </w:rPr>
              <w:t>corningware</w:t>
            </w:r>
            <w:proofErr w:type="spellEnd"/>
            <w:r>
              <w:rPr>
                <w:lang w:val="en-GB"/>
              </w:rPr>
              <w:t>, crystal, tableware.</w:t>
            </w:r>
          </w:p>
          <w:p w14:paraId="2DA31BFD" w14:textId="5510808A" w:rsidR="0029156F" w:rsidRDefault="0029156F" w:rsidP="00165B9F">
            <w:pPr>
              <w:pStyle w:val="CETBodytext"/>
              <w:rPr>
                <w:lang w:val="en-GB"/>
              </w:rPr>
            </w:pPr>
            <w:r>
              <w:rPr>
                <w:lang w:val="en-GB"/>
              </w:rPr>
              <w:t xml:space="preserve">Sand, fine organics, </w:t>
            </w:r>
            <w:proofErr w:type="gramStart"/>
            <w:r>
              <w:rPr>
                <w:lang w:val="en-GB"/>
              </w:rPr>
              <w:t>ash</w:t>
            </w:r>
            <w:proofErr w:type="gramEnd"/>
          </w:p>
          <w:p w14:paraId="777B9524" w14:textId="5E1CDC86" w:rsidR="00890B40" w:rsidRDefault="00890B40" w:rsidP="00165B9F">
            <w:pPr>
              <w:pStyle w:val="CETBodytext"/>
              <w:rPr>
                <w:lang w:val="en-GB"/>
              </w:rPr>
            </w:pPr>
            <w:r>
              <w:rPr>
                <w:lang w:val="en-GB"/>
              </w:rPr>
              <w:t xml:space="preserve">Tin/steel containers made </w:t>
            </w:r>
            <w:r w:rsidR="00E62883">
              <w:rPr>
                <w:lang w:val="en-GB"/>
              </w:rPr>
              <w:t>of</w:t>
            </w:r>
            <w:r>
              <w:rPr>
                <w:lang w:val="en-GB"/>
              </w:rPr>
              <w:t xml:space="preserve"> steel, bimetal containers, aluminium containers (soda, beer, food containers) ferrous metal, aerosol cans)</w:t>
            </w:r>
            <w:r w:rsidR="0029156F">
              <w:rPr>
                <w:lang w:val="en-GB"/>
              </w:rPr>
              <w:t>, scraps, cans/tins.</w:t>
            </w:r>
          </w:p>
          <w:p w14:paraId="72A287D8" w14:textId="3C8A1BA7" w:rsidR="00890B40" w:rsidRPr="00B57B36" w:rsidRDefault="00890B40" w:rsidP="00165B9F">
            <w:pPr>
              <w:pStyle w:val="CETBodytext"/>
              <w:rPr>
                <w:lang w:val="en-GB"/>
              </w:rPr>
            </w:pPr>
            <w:r>
              <w:rPr>
                <w:lang w:val="en-GB"/>
              </w:rPr>
              <w:t>Includes miscellaneous items that could not be sorted into any categories and includes such as: tyres from trucks, heavy equipment, street sweepings, ash, condoms, rubber, candles, dog faeces, dead bird, soil, cigarette butts, nappies, medications, filters from automobiles and other automobiles parts</w:t>
            </w:r>
            <w:r w:rsidR="0029156F">
              <w:rPr>
                <w:lang w:val="en-GB"/>
              </w:rPr>
              <w:t>, construction waste, batteries, paints</w:t>
            </w:r>
            <w:r>
              <w:rPr>
                <w:lang w:val="en-GB"/>
              </w:rPr>
              <w:t>.</w:t>
            </w:r>
          </w:p>
        </w:tc>
      </w:tr>
      <w:tr w:rsidR="00B85976" w:rsidRPr="00B57B36" w14:paraId="5FD6FCC7" w14:textId="77777777" w:rsidTr="008356CC">
        <w:trPr>
          <w:trHeight w:val="68"/>
        </w:trPr>
        <w:tc>
          <w:tcPr>
            <w:tcW w:w="1985" w:type="dxa"/>
            <w:shd w:val="clear" w:color="auto" w:fill="FFFFFF"/>
          </w:tcPr>
          <w:p w14:paraId="195204B0" w14:textId="77777777" w:rsidR="00B85976" w:rsidRPr="00B57B36" w:rsidRDefault="00B85976" w:rsidP="00165B9F">
            <w:pPr>
              <w:pStyle w:val="CETBodytext"/>
              <w:ind w:right="-1"/>
              <w:rPr>
                <w:rFonts w:cs="Arial"/>
                <w:szCs w:val="18"/>
                <w:lang w:val="en-GB"/>
              </w:rPr>
            </w:pPr>
          </w:p>
        </w:tc>
        <w:tc>
          <w:tcPr>
            <w:tcW w:w="6427" w:type="dxa"/>
            <w:shd w:val="clear" w:color="auto" w:fill="FFFFFF"/>
          </w:tcPr>
          <w:p w14:paraId="7A8A8A68" w14:textId="77777777" w:rsidR="00B85976" w:rsidRPr="00B57B36" w:rsidRDefault="00B85976" w:rsidP="00165B9F">
            <w:pPr>
              <w:pStyle w:val="CETBodytext"/>
              <w:ind w:right="-1"/>
              <w:rPr>
                <w:rFonts w:cs="Arial"/>
                <w:szCs w:val="18"/>
                <w:lang w:val="en-GB"/>
              </w:rPr>
            </w:pPr>
          </w:p>
        </w:tc>
      </w:tr>
    </w:tbl>
    <w:p w14:paraId="792ED018" w14:textId="77777777" w:rsidR="00EF27FE" w:rsidRDefault="00EF27FE" w:rsidP="00BF5A4B">
      <w:pPr>
        <w:pStyle w:val="CETBodytext"/>
        <w:rPr>
          <w:lang w:val="en-GB"/>
        </w:rPr>
      </w:pPr>
    </w:p>
    <w:p w14:paraId="2AA4232D" w14:textId="49F37136" w:rsidR="00C64011" w:rsidRDefault="00237FD8" w:rsidP="00C64011">
      <w:pPr>
        <w:pStyle w:val="CETheadingx"/>
      </w:pPr>
      <w:r>
        <w:t>Ash analysis of combustible categories</w:t>
      </w:r>
      <w:r w:rsidR="00C64011" w:rsidRPr="00204DFC">
        <w:t xml:space="preserve"> </w:t>
      </w:r>
    </w:p>
    <w:bookmarkEnd w:id="1"/>
    <w:p w14:paraId="5D58DD36" w14:textId="4D786419" w:rsidR="00C40108" w:rsidRDefault="00C40108" w:rsidP="00C40108">
      <w:pPr>
        <w:pStyle w:val="CETTabletitle"/>
        <w:jc w:val="both"/>
        <w:rPr>
          <w:i w:val="0"/>
          <w:iCs/>
        </w:rPr>
      </w:pPr>
      <w:r w:rsidRPr="00C40108">
        <w:rPr>
          <w:i w:val="0"/>
          <w:iCs/>
        </w:rPr>
        <w:t xml:space="preserve">In this study, we conducted an ash analysis in a laboratory setting to better understand the challenges associated with this residue in conversion processes. X-ray fluorescence </w:t>
      </w:r>
      <w:proofErr w:type="gramStart"/>
      <w:r w:rsidRPr="00C40108">
        <w:rPr>
          <w:i w:val="0"/>
          <w:iCs/>
        </w:rPr>
        <w:t>was used</w:t>
      </w:r>
      <w:proofErr w:type="gramEnd"/>
      <w:r w:rsidRPr="00C40108">
        <w:rPr>
          <w:i w:val="0"/>
          <w:iCs/>
        </w:rPr>
        <w:t xml:space="preserve"> to </w:t>
      </w:r>
      <w:r w:rsidR="00E62883" w:rsidRPr="00C40108">
        <w:rPr>
          <w:i w:val="0"/>
          <w:iCs/>
        </w:rPr>
        <w:t>analyse</w:t>
      </w:r>
      <w:r w:rsidRPr="00C40108">
        <w:rPr>
          <w:i w:val="0"/>
          <w:iCs/>
        </w:rPr>
        <w:t xml:space="preserve"> the major chemical compositions, which are presented in Table 3 as percentages (</w:t>
      </w:r>
      <w:proofErr w:type="spellStart"/>
      <w:r w:rsidRPr="00C40108">
        <w:rPr>
          <w:i w:val="0"/>
          <w:iCs/>
        </w:rPr>
        <w:t>db</w:t>
      </w:r>
      <w:proofErr w:type="spellEnd"/>
      <w:r w:rsidRPr="00C40108">
        <w:rPr>
          <w:i w:val="0"/>
          <w:iCs/>
        </w:rPr>
        <w:t xml:space="preserve">) for ten oxides. We assumed, following Zeng et al. (2022), that air exposure under suitable heat conditions converted each element in solid fuels to its highest stable oxide form. The results showed significant variability, as indicated by their standard deviations. We found that the ashes of municipal solid waste (MSW) were rich in </w:t>
      </w:r>
      <w:proofErr w:type="spellStart"/>
      <w:r w:rsidRPr="00C40108">
        <w:rPr>
          <w:i w:val="0"/>
          <w:iCs/>
        </w:rPr>
        <w:t>CaO</w:t>
      </w:r>
      <w:proofErr w:type="spellEnd"/>
      <w:r w:rsidRPr="00C40108">
        <w:rPr>
          <w:i w:val="0"/>
          <w:iCs/>
        </w:rPr>
        <w:t xml:space="preserve"> and SiO</w:t>
      </w:r>
      <w:r w:rsidRPr="005D3D83">
        <w:rPr>
          <w:i w:val="0"/>
          <w:iCs/>
          <w:vertAlign w:val="subscript"/>
        </w:rPr>
        <w:t>2</w:t>
      </w:r>
      <w:r w:rsidRPr="00C40108">
        <w:rPr>
          <w:i w:val="0"/>
          <w:iCs/>
        </w:rPr>
        <w:t>, with high values of P2O5 and TiO2 in the plastics category. We strongly linked the levels of SiO</w:t>
      </w:r>
      <w:r w:rsidRPr="005D3D83">
        <w:rPr>
          <w:i w:val="0"/>
          <w:iCs/>
          <w:vertAlign w:val="subscript"/>
        </w:rPr>
        <w:t>2</w:t>
      </w:r>
      <w:r w:rsidRPr="00C40108">
        <w:rPr>
          <w:i w:val="0"/>
          <w:iCs/>
        </w:rPr>
        <w:t>, K</w:t>
      </w:r>
      <w:r w:rsidRPr="005D3D83">
        <w:rPr>
          <w:i w:val="0"/>
          <w:iCs/>
          <w:vertAlign w:val="subscript"/>
        </w:rPr>
        <w:t>2</w:t>
      </w:r>
      <w:r w:rsidRPr="00C40108">
        <w:rPr>
          <w:i w:val="0"/>
          <w:iCs/>
        </w:rPr>
        <w:t>O, and Na</w:t>
      </w:r>
      <w:r w:rsidRPr="005D3D83">
        <w:rPr>
          <w:i w:val="0"/>
          <w:iCs/>
          <w:vertAlign w:val="subscript"/>
        </w:rPr>
        <w:t>2</w:t>
      </w:r>
      <w:r w:rsidRPr="00C40108">
        <w:rPr>
          <w:i w:val="0"/>
          <w:iCs/>
        </w:rPr>
        <w:t xml:space="preserve">O to the formation of fouling on heat exchange surfaces. Plastics, organic matter, and textiles contained sulfur and chlorine, which, when present in the fuel composition, increased the formation of slag deposits on surfaces in steam generators operating at average temperatures. The highly variable chemical composition of MSW ash </w:t>
      </w:r>
      <w:proofErr w:type="gramStart"/>
      <w:r w:rsidRPr="00C40108">
        <w:rPr>
          <w:i w:val="0"/>
          <w:iCs/>
        </w:rPr>
        <w:t>is attributed</w:t>
      </w:r>
      <w:proofErr w:type="gramEnd"/>
      <w:r w:rsidRPr="00C40108">
        <w:rPr>
          <w:i w:val="0"/>
          <w:iCs/>
        </w:rPr>
        <w:t xml:space="preserve"> to the presence of </w:t>
      </w:r>
      <w:r w:rsidR="00E62883" w:rsidRPr="00C40108">
        <w:rPr>
          <w:i w:val="0"/>
          <w:iCs/>
        </w:rPr>
        <w:t>various products</w:t>
      </w:r>
      <w:r w:rsidRPr="00C40108">
        <w:rPr>
          <w:i w:val="0"/>
          <w:iCs/>
        </w:rPr>
        <w:t xml:space="preserve"> in the waste stream. The </w:t>
      </w:r>
      <w:r w:rsidR="00E62883" w:rsidRPr="00C40108">
        <w:rPr>
          <w:i w:val="0"/>
          <w:iCs/>
        </w:rPr>
        <w:t>behaviour</w:t>
      </w:r>
      <w:r w:rsidRPr="00C40108">
        <w:rPr>
          <w:i w:val="0"/>
          <w:iCs/>
        </w:rPr>
        <w:t xml:space="preserve"> and properties of ash constituents depend on the form in which the ash-forming matter is present in the solid fuel, as well as the thermal process conditions (Ma and </w:t>
      </w:r>
      <w:proofErr w:type="spellStart"/>
      <w:r w:rsidRPr="00C40108">
        <w:rPr>
          <w:i w:val="0"/>
          <w:iCs/>
        </w:rPr>
        <w:t>Hipel</w:t>
      </w:r>
      <w:proofErr w:type="spellEnd"/>
      <w:r w:rsidRPr="00C40108">
        <w:rPr>
          <w:i w:val="0"/>
          <w:iCs/>
        </w:rPr>
        <w:t xml:space="preserve">, 2016). The ash constituents </w:t>
      </w:r>
      <w:proofErr w:type="gramStart"/>
      <w:r w:rsidRPr="00C40108">
        <w:rPr>
          <w:i w:val="0"/>
          <w:iCs/>
        </w:rPr>
        <w:t>are listed</w:t>
      </w:r>
      <w:proofErr w:type="gramEnd"/>
      <w:r w:rsidRPr="00C40108">
        <w:rPr>
          <w:i w:val="0"/>
          <w:iCs/>
        </w:rPr>
        <w:t xml:space="preserve"> for each category in decreasing order of content: food waste (</w:t>
      </w:r>
      <w:proofErr w:type="spellStart"/>
      <w:r w:rsidRPr="00C40108">
        <w:rPr>
          <w:i w:val="0"/>
          <w:iCs/>
        </w:rPr>
        <w:t>CaO</w:t>
      </w:r>
      <w:proofErr w:type="spellEnd"/>
      <w:r w:rsidRPr="00C40108">
        <w:rPr>
          <w:i w:val="0"/>
          <w:iCs/>
        </w:rPr>
        <w:t xml:space="preserve"> &gt; SiO</w:t>
      </w:r>
      <w:r w:rsidRPr="00C40108">
        <w:rPr>
          <w:i w:val="0"/>
          <w:iCs/>
          <w:vertAlign w:val="subscript"/>
        </w:rPr>
        <w:t>2</w:t>
      </w:r>
      <w:r w:rsidRPr="00C40108">
        <w:rPr>
          <w:i w:val="0"/>
          <w:iCs/>
        </w:rPr>
        <w:t xml:space="preserve"> &gt; K</w:t>
      </w:r>
      <w:r w:rsidRPr="00C40108">
        <w:rPr>
          <w:i w:val="0"/>
          <w:iCs/>
          <w:vertAlign w:val="subscript"/>
        </w:rPr>
        <w:t>2</w:t>
      </w:r>
      <w:r w:rsidRPr="00C40108">
        <w:rPr>
          <w:i w:val="0"/>
          <w:iCs/>
        </w:rPr>
        <w:t>O &gt; Fe</w:t>
      </w:r>
      <w:r w:rsidRPr="00C40108">
        <w:rPr>
          <w:i w:val="0"/>
          <w:iCs/>
          <w:vertAlign w:val="subscript"/>
        </w:rPr>
        <w:t>2</w:t>
      </w:r>
      <w:r w:rsidRPr="00C40108">
        <w:rPr>
          <w:i w:val="0"/>
          <w:iCs/>
        </w:rPr>
        <w:t>O</w:t>
      </w:r>
      <w:r w:rsidRPr="00C40108">
        <w:rPr>
          <w:i w:val="0"/>
          <w:iCs/>
          <w:vertAlign w:val="subscript"/>
        </w:rPr>
        <w:t>3</w:t>
      </w:r>
      <w:r w:rsidRPr="00C40108">
        <w:rPr>
          <w:i w:val="0"/>
          <w:iCs/>
        </w:rPr>
        <w:t>), paper (</w:t>
      </w:r>
      <w:proofErr w:type="spellStart"/>
      <w:r w:rsidRPr="00C40108">
        <w:rPr>
          <w:i w:val="0"/>
          <w:iCs/>
        </w:rPr>
        <w:t>CaO</w:t>
      </w:r>
      <w:proofErr w:type="spellEnd"/>
      <w:r w:rsidRPr="00C40108">
        <w:rPr>
          <w:i w:val="0"/>
          <w:iCs/>
        </w:rPr>
        <w:t xml:space="preserve"> &gt; SiO</w:t>
      </w:r>
      <w:r w:rsidRPr="00C40108">
        <w:rPr>
          <w:i w:val="0"/>
          <w:iCs/>
          <w:vertAlign w:val="subscript"/>
        </w:rPr>
        <w:t>2</w:t>
      </w:r>
      <w:r w:rsidRPr="00C40108">
        <w:rPr>
          <w:i w:val="0"/>
          <w:iCs/>
        </w:rPr>
        <w:t xml:space="preserve"> &gt; MgO &gt; Na</w:t>
      </w:r>
      <w:r w:rsidRPr="00C40108">
        <w:rPr>
          <w:i w:val="0"/>
          <w:iCs/>
          <w:vertAlign w:val="subscript"/>
        </w:rPr>
        <w:t>2</w:t>
      </w:r>
      <w:r w:rsidRPr="00C40108">
        <w:rPr>
          <w:i w:val="0"/>
          <w:iCs/>
        </w:rPr>
        <w:t>O), plastic (</w:t>
      </w:r>
      <w:proofErr w:type="spellStart"/>
      <w:r w:rsidRPr="00C40108">
        <w:rPr>
          <w:i w:val="0"/>
          <w:iCs/>
        </w:rPr>
        <w:t>CaO</w:t>
      </w:r>
      <w:proofErr w:type="spellEnd"/>
      <w:r w:rsidRPr="00C40108">
        <w:rPr>
          <w:i w:val="0"/>
          <w:iCs/>
        </w:rPr>
        <w:t xml:space="preserve"> &gt; TiO</w:t>
      </w:r>
      <w:r w:rsidRPr="00C40108">
        <w:rPr>
          <w:i w:val="0"/>
          <w:iCs/>
          <w:vertAlign w:val="subscript"/>
        </w:rPr>
        <w:t xml:space="preserve">2 </w:t>
      </w:r>
      <w:r w:rsidRPr="00C40108">
        <w:rPr>
          <w:i w:val="0"/>
          <w:iCs/>
        </w:rPr>
        <w:t>&gt; SiO</w:t>
      </w:r>
      <w:r w:rsidRPr="00C40108">
        <w:rPr>
          <w:i w:val="0"/>
          <w:iCs/>
          <w:vertAlign w:val="subscript"/>
        </w:rPr>
        <w:t>2</w:t>
      </w:r>
      <w:r w:rsidRPr="00C40108">
        <w:rPr>
          <w:i w:val="0"/>
          <w:iCs/>
        </w:rPr>
        <w:t xml:space="preserve"> &gt; P</w:t>
      </w:r>
      <w:r w:rsidRPr="00C40108">
        <w:rPr>
          <w:i w:val="0"/>
          <w:iCs/>
          <w:vertAlign w:val="subscript"/>
        </w:rPr>
        <w:t>2</w:t>
      </w:r>
      <w:r w:rsidRPr="00C40108">
        <w:rPr>
          <w:i w:val="0"/>
          <w:iCs/>
        </w:rPr>
        <w:t>O</w:t>
      </w:r>
      <w:r w:rsidRPr="00C40108">
        <w:rPr>
          <w:i w:val="0"/>
          <w:iCs/>
          <w:vertAlign w:val="subscript"/>
        </w:rPr>
        <w:t>5</w:t>
      </w:r>
      <w:r w:rsidRPr="00C40108">
        <w:rPr>
          <w:i w:val="0"/>
          <w:iCs/>
        </w:rPr>
        <w:t>), and textiles (</w:t>
      </w:r>
      <w:proofErr w:type="spellStart"/>
      <w:r w:rsidRPr="00C40108">
        <w:rPr>
          <w:i w:val="0"/>
          <w:iCs/>
        </w:rPr>
        <w:t>CaO</w:t>
      </w:r>
      <w:proofErr w:type="spellEnd"/>
      <w:r w:rsidRPr="00C40108">
        <w:rPr>
          <w:i w:val="0"/>
          <w:iCs/>
        </w:rPr>
        <w:t xml:space="preserve"> &gt; SiO</w:t>
      </w:r>
      <w:r w:rsidRPr="00C40108">
        <w:rPr>
          <w:i w:val="0"/>
          <w:iCs/>
          <w:vertAlign w:val="subscript"/>
        </w:rPr>
        <w:t>2</w:t>
      </w:r>
      <w:r w:rsidRPr="00C40108">
        <w:rPr>
          <w:i w:val="0"/>
          <w:iCs/>
        </w:rPr>
        <w:t xml:space="preserve"> &gt; Na</w:t>
      </w:r>
      <w:r w:rsidRPr="00C40108">
        <w:rPr>
          <w:i w:val="0"/>
          <w:iCs/>
          <w:vertAlign w:val="subscript"/>
        </w:rPr>
        <w:t>2</w:t>
      </w:r>
      <w:r w:rsidRPr="00C40108">
        <w:rPr>
          <w:i w:val="0"/>
          <w:iCs/>
        </w:rPr>
        <w:t>O &gt; TiO</w:t>
      </w:r>
      <w:r w:rsidRPr="00C40108">
        <w:rPr>
          <w:i w:val="0"/>
          <w:iCs/>
          <w:vertAlign w:val="subscript"/>
        </w:rPr>
        <w:t>2</w:t>
      </w:r>
      <w:r w:rsidRPr="00C40108">
        <w:rPr>
          <w:i w:val="0"/>
          <w:iCs/>
        </w:rPr>
        <w:t xml:space="preserve">). The combustible fraction's ash </w:t>
      </w:r>
      <w:proofErr w:type="gramStart"/>
      <w:r w:rsidRPr="00C40108">
        <w:rPr>
          <w:i w:val="0"/>
          <w:iCs/>
        </w:rPr>
        <w:t>is made</w:t>
      </w:r>
      <w:proofErr w:type="gramEnd"/>
      <w:r w:rsidRPr="00C40108">
        <w:rPr>
          <w:i w:val="0"/>
          <w:iCs/>
        </w:rPr>
        <w:t xml:space="preserve"> up of </w:t>
      </w:r>
      <w:proofErr w:type="spellStart"/>
      <w:r w:rsidRPr="00C40108">
        <w:rPr>
          <w:i w:val="0"/>
          <w:iCs/>
        </w:rPr>
        <w:t>CaO</w:t>
      </w:r>
      <w:proofErr w:type="spellEnd"/>
      <w:r w:rsidRPr="00C40108">
        <w:rPr>
          <w:i w:val="0"/>
          <w:iCs/>
        </w:rPr>
        <w:t>, SiO</w:t>
      </w:r>
      <w:r w:rsidRPr="005D3D83">
        <w:rPr>
          <w:i w:val="0"/>
          <w:iCs/>
          <w:vertAlign w:val="subscript"/>
        </w:rPr>
        <w:t>2</w:t>
      </w:r>
      <w:r w:rsidRPr="00C40108">
        <w:rPr>
          <w:i w:val="0"/>
          <w:iCs/>
        </w:rPr>
        <w:t>, TiO</w:t>
      </w:r>
      <w:r w:rsidRPr="005D3D83">
        <w:rPr>
          <w:i w:val="0"/>
          <w:iCs/>
          <w:vertAlign w:val="subscript"/>
        </w:rPr>
        <w:t>2</w:t>
      </w:r>
      <w:r w:rsidRPr="00C40108">
        <w:rPr>
          <w:i w:val="0"/>
          <w:iCs/>
        </w:rPr>
        <w:t>, and Na</w:t>
      </w:r>
      <w:r w:rsidRPr="005D3D83">
        <w:rPr>
          <w:i w:val="0"/>
          <w:iCs/>
          <w:vertAlign w:val="subscript"/>
        </w:rPr>
        <w:t>2</w:t>
      </w:r>
      <w:r w:rsidRPr="00C40108">
        <w:rPr>
          <w:i w:val="0"/>
          <w:iCs/>
        </w:rPr>
        <w:t xml:space="preserve">O, along with </w:t>
      </w:r>
      <w:r w:rsidR="00E62883" w:rsidRPr="00C40108">
        <w:rPr>
          <w:i w:val="0"/>
          <w:iCs/>
        </w:rPr>
        <w:t>lesser amounts</w:t>
      </w:r>
      <w:r w:rsidRPr="00C40108">
        <w:rPr>
          <w:i w:val="0"/>
          <w:iCs/>
        </w:rPr>
        <w:t xml:space="preserve"> of Fe</w:t>
      </w:r>
      <w:r w:rsidRPr="005D3D83">
        <w:rPr>
          <w:i w:val="0"/>
          <w:iCs/>
          <w:vertAlign w:val="subscript"/>
        </w:rPr>
        <w:t>2</w:t>
      </w:r>
      <w:r w:rsidRPr="00C40108">
        <w:rPr>
          <w:i w:val="0"/>
          <w:iCs/>
        </w:rPr>
        <w:t>O</w:t>
      </w:r>
      <w:r w:rsidRPr="005D3D83">
        <w:rPr>
          <w:i w:val="0"/>
          <w:iCs/>
          <w:vertAlign w:val="subscript"/>
        </w:rPr>
        <w:t>3</w:t>
      </w:r>
      <w:r w:rsidRPr="00C40108">
        <w:rPr>
          <w:i w:val="0"/>
          <w:iCs/>
        </w:rPr>
        <w:t>, P</w:t>
      </w:r>
      <w:r w:rsidRPr="005D3D83">
        <w:rPr>
          <w:i w:val="0"/>
          <w:iCs/>
          <w:vertAlign w:val="subscript"/>
        </w:rPr>
        <w:t>2</w:t>
      </w:r>
      <w:r w:rsidRPr="00C40108">
        <w:rPr>
          <w:i w:val="0"/>
          <w:iCs/>
        </w:rPr>
        <w:t>O</w:t>
      </w:r>
      <w:r w:rsidRPr="005D3D83">
        <w:rPr>
          <w:i w:val="0"/>
          <w:iCs/>
          <w:vertAlign w:val="subscript"/>
        </w:rPr>
        <w:t>5</w:t>
      </w:r>
      <w:r w:rsidRPr="00C40108">
        <w:rPr>
          <w:i w:val="0"/>
          <w:iCs/>
        </w:rPr>
        <w:t>, Cl, and other oxides. Calcium oxide is the major compound detected in both paper and plastic samples, while TiO</w:t>
      </w:r>
      <w:r w:rsidRPr="00C40108">
        <w:rPr>
          <w:i w:val="0"/>
          <w:iCs/>
          <w:vertAlign w:val="subscript"/>
        </w:rPr>
        <w:t>2</w:t>
      </w:r>
      <w:r w:rsidRPr="00C40108">
        <w:rPr>
          <w:i w:val="0"/>
          <w:iCs/>
        </w:rPr>
        <w:t xml:space="preserve"> dominates in textiles. Additionally, SiO</w:t>
      </w:r>
      <w:r w:rsidRPr="00C40108">
        <w:rPr>
          <w:i w:val="0"/>
          <w:iCs/>
          <w:vertAlign w:val="subscript"/>
        </w:rPr>
        <w:t>2</w:t>
      </w:r>
      <w:r w:rsidRPr="00C40108">
        <w:rPr>
          <w:i w:val="0"/>
          <w:iCs/>
        </w:rPr>
        <w:t xml:space="preserve"> and K</w:t>
      </w:r>
      <w:r w:rsidRPr="00C40108">
        <w:rPr>
          <w:i w:val="0"/>
          <w:iCs/>
          <w:vertAlign w:val="subscript"/>
        </w:rPr>
        <w:t>2</w:t>
      </w:r>
      <w:r w:rsidRPr="00C40108">
        <w:rPr>
          <w:i w:val="0"/>
          <w:iCs/>
        </w:rPr>
        <w:t>O can affect the ash fusion temperature of MSW (Young, 2010).</w:t>
      </w:r>
    </w:p>
    <w:p w14:paraId="52E0B73C" w14:textId="1C78B232" w:rsidR="00237FD8" w:rsidRPr="00B57B36" w:rsidRDefault="00237FD8" w:rsidP="00237FD8">
      <w:pPr>
        <w:pStyle w:val="CETTabletitle"/>
      </w:pPr>
      <w:r w:rsidRPr="00B57B36">
        <w:t xml:space="preserve">Table </w:t>
      </w:r>
      <w:r w:rsidR="000B19F9">
        <w:t>3</w:t>
      </w:r>
      <w:r w:rsidRPr="00B57B36">
        <w:t xml:space="preserve">: </w:t>
      </w:r>
      <w:r w:rsidRPr="00237FD8">
        <w:t>Ash analysis [</w:t>
      </w:r>
      <w:proofErr w:type="spellStart"/>
      <w:r w:rsidRPr="00237FD8">
        <w:t>wt</w:t>
      </w:r>
      <w:proofErr w:type="spellEnd"/>
      <w:r w:rsidRPr="00237FD8">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011"/>
        <w:gridCol w:w="20"/>
        <w:gridCol w:w="657"/>
        <w:gridCol w:w="842"/>
        <w:gridCol w:w="701"/>
        <w:gridCol w:w="597"/>
        <w:gridCol w:w="141"/>
        <w:gridCol w:w="709"/>
        <w:gridCol w:w="20"/>
        <w:gridCol w:w="547"/>
        <w:gridCol w:w="709"/>
        <w:gridCol w:w="709"/>
        <w:gridCol w:w="709"/>
        <w:gridCol w:w="709"/>
      </w:tblGrid>
      <w:tr w:rsidR="00FE48AB" w:rsidRPr="00B57B36" w14:paraId="4964A917" w14:textId="04F7AEC9" w:rsidTr="00C0082B">
        <w:trPr>
          <w:trHeight w:val="466"/>
        </w:trPr>
        <w:tc>
          <w:tcPr>
            <w:tcW w:w="1011" w:type="dxa"/>
            <w:tcBorders>
              <w:top w:val="single" w:sz="12" w:space="0" w:color="008000"/>
              <w:bottom w:val="single" w:sz="6" w:space="0" w:color="008000"/>
            </w:tcBorders>
            <w:shd w:val="clear" w:color="auto" w:fill="FFFFFF"/>
          </w:tcPr>
          <w:p w14:paraId="17E9A2CD" w14:textId="77777777" w:rsidR="00FE48AB" w:rsidRDefault="00FE48AB" w:rsidP="00165B9F">
            <w:pPr>
              <w:pStyle w:val="CETBodytext"/>
              <w:rPr>
                <w:lang w:val="en-GB"/>
              </w:rPr>
            </w:pPr>
            <w:r>
              <w:rPr>
                <w:lang w:val="en-GB"/>
              </w:rPr>
              <w:t xml:space="preserve">Category </w:t>
            </w:r>
          </w:p>
          <w:p w14:paraId="11E269B8" w14:textId="0525F59F" w:rsidR="00FE48AB" w:rsidRPr="00B57B36" w:rsidRDefault="00FE48AB" w:rsidP="00165B9F">
            <w:pPr>
              <w:pStyle w:val="CETBodytext"/>
              <w:rPr>
                <w:lang w:val="en-GB"/>
              </w:rPr>
            </w:pPr>
          </w:p>
        </w:tc>
        <w:tc>
          <w:tcPr>
            <w:tcW w:w="20" w:type="dxa"/>
            <w:tcBorders>
              <w:top w:val="single" w:sz="12" w:space="0" w:color="008000"/>
              <w:bottom w:val="single" w:sz="6" w:space="0" w:color="008000"/>
            </w:tcBorders>
            <w:shd w:val="clear" w:color="auto" w:fill="FFFFFF"/>
          </w:tcPr>
          <w:p w14:paraId="38B250FC" w14:textId="77777777" w:rsidR="00FE48AB" w:rsidRPr="00B57B36" w:rsidRDefault="00FE48AB" w:rsidP="00165B9F">
            <w:pPr>
              <w:pStyle w:val="CETBodytext"/>
              <w:rPr>
                <w:lang w:val="en-GB"/>
              </w:rPr>
            </w:pPr>
          </w:p>
        </w:tc>
        <w:tc>
          <w:tcPr>
            <w:tcW w:w="657" w:type="dxa"/>
            <w:tcBorders>
              <w:top w:val="single" w:sz="12" w:space="0" w:color="008000"/>
              <w:bottom w:val="single" w:sz="6" w:space="0" w:color="008000"/>
            </w:tcBorders>
            <w:shd w:val="clear" w:color="auto" w:fill="FFFFFF"/>
          </w:tcPr>
          <w:p w14:paraId="35FE610E" w14:textId="3F1DC05E" w:rsidR="00FE48AB" w:rsidRPr="00B57B36" w:rsidRDefault="00FE48AB" w:rsidP="00165B9F">
            <w:pPr>
              <w:pStyle w:val="CETBodytext"/>
              <w:rPr>
                <w:lang w:val="en-GB"/>
              </w:rPr>
            </w:pPr>
            <w:r>
              <w:rPr>
                <w:lang w:val="en-GB"/>
              </w:rPr>
              <w:t>SiO</w:t>
            </w:r>
            <w:r w:rsidRPr="00C471F0">
              <w:rPr>
                <w:vertAlign w:val="subscript"/>
                <w:lang w:val="en-GB"/>
              </w:rPr>
              <w:t>2</w:t>
            </w:r>
          </w:p>
        </w:tc>
        <w:tc>
          <w:tcPr>
            <w:tcW w:w="842" w:type="dxa"/>
            <w:tcBorders>
              <w:top w:val="single" w:sz="12" w:space="0" w:color="008000"/>
              <w:bottom w:val="single" w:sz="6" w:space="0" w:color="008000"/>
            </w:tcBorders>
            <w:shd w:val="clear" w:color="auto" w:fill="FFFFFF"/>
          </w:tcPr>
          <w:p w14:paraId="7ADE2C2D" w14:textId="4F798305" w:rsidR="00FE48AB" w:rsidRPr="00B57B36" w:rsidRDefault="00FE48AB" w:rsidP="00165B9F">
            <w:pPr>
              <w:pStyle w:val="CETBodytext"/>
              <w:rPr>
                <w:lang w:val="en-GB"/>
              </w:rPr>
            </w:pPr>
            <w:r>
              <w:rPr>
                <w:lang w:val="en-GB"/>
              </w:rPr>
              <w:t>Al</w:t>
            </w:r>
            <w:r w:rsidRPr="00C471F0">
              <w:rPr>
                <w:vertAlign w:val="subscript"/>
                <w:lang w:val="en-GB"/>
              </w:rPr>
              <w:t>2</w:t>
            </w:r>
            <w:r>
              <w:rPr>
                <w:lang w:val="en-GB"/>
              </w:rPr>
              <w:t>O</w:t>
            </w:r>
            <w:r w:rsidRPr="00C471F0">
              <w:rPr>
                <w:vertAlign w:val="subscript"/>
                <w:lang w:val="en-GB"/>
              </w:rPr>
              <w:t>3</w:t>
            </w:r>
          </w:p>
        </w:tc>
        <w:tc>
          <w:tcPr>
            <w:tcW w:w="701" w:type="dxa"/>
            <w:tcBorders>
              <w:top w:val="single" w:sz="12" w:space="0" w:color="008000"/>
              <w:bottom w:val="single" w:sz="6" w:space="0" w:color="008000"/>
            </w:tcBorders>
            <w:shd w:val="clear" w:color="auto" w:fill="FFFFFF"/>
          </w:tcPr>
          <w:p w14:paraId="3851AF3D" w14:textId="43F44F55" w:rsidR="00FE48AB" w:rsidRPr="00B57B36" w:rsidRDefault="00FE48AB" w:rsidP="00165B9F">
            <w:pPr>
              <w:pStyle w:val="CETBodytext"/>
              <w:ind w:right="-1"/>
              <w:rPr>
                <w:rFonts w:cs="Arial"/>
                <w:szCs w:val="18"/>
                <w:lang w:val="en-GB"/>
              </w:rPr>
            </w:pPr>
            <w:r>
              <w:rPr>
                <w:rFonts w:cs="Arial"/>
                <w:szCs w:val="18"/>
                <w:lang w:val="en-GB"/>
              </w:rPr>
              <w:t>TiO</w:t>
            </w:r>
            <w:r w:rsidRPr="00C471F0">
              <w:rPr>
                <w:rFonts w:cs="Arial"/>
                <w:szCs w:val="18"/>
                <w:vertAlign w:val="subscript"/>
                <w:lang w:val="en-GB"/>
              </w:rPr>
              <w:t>2</w:t>
            </w:r>
          </w:p>
        </w:tc>
        <w:tc>
          <w:tcPr>
            <w:tcW w:w="597" w:type="dxa"/>
            <w:tcBorders>
              <w:top w:val="single" w:sz="12" w:space="0" w:color="008000"/>
              <w:bottom w:val="single" w:sz="6" w:space="0" w:color="008000"/>
            </w:tcBorders>
            <w:shd w:val="clear" w:color="auto" w:fill="FFFFFF"/>
          </w:tcPr>
          <w:p w14:paraId="30BC786D" w14:textId="42719193" w:rsidR="00FE48AB" w:rsidRPr="00B57B36" w:rsidRDefault="00FE48AB" w:rsidP="00165B9F">
            <w:pPr>
              <w:pStyle w:val="CETBodytext"/>
              <w:ind w:right="-1"/>
              <w:rPr>
                <w:rFonts w:cs="Arial"/>
                <w:szCs w:val="18"/>
                <w:lang w:val="en-GB"/>
              </w:rPr>
            </w:pPr>
            <w:r>
              <w:rPr>
                <w:rFonts w:cs="Arial"/>
                <w:szCs w:val="18"/>
                <w:lang w:val="en-GB"/>
              </w:rPr>
              <w:t>Fe</w:t>
            </w:r>
            <w:r w:rsidRPr="00C471F0">
              <w:rPr>
                <w:rFonts w:cs="Arial"/>
                <w:szCs w:val="18"/>
                <w:vertAlign w:val="subscript"/>
                <w:lang w:val="en-GB"/>
              </w:rPr>
              <w:t>2</w:t>
            </w:r>
            <w:r>
              <w:rPr>
                <w:rFonts w:cs="Arial"/>
                <w:szCs w:val="18"/>
                <w:lang w:val="en-GB"/>
              </w:rPr>
              <w:t>O</w:t>
            </w:r>
            <w:r w:rsidRPr="00C471F0">
              <w:rPr>
                <w:rFonts w:cs="Arial"/>
                <w:szCs w:val="18"/>
                <w:vertAlign w:val="subscript"/>
                <w:lang w:val="en-GB"/>
              </w:rPr>
              <w:t>3</w:t>
            </w:r>
          </w:p>
        </w:tc>
        <w:tc>
          <w:tcPr>
            <w:tcW w:w="141" w:type="dxa"/>
            <w:tcBorders>
              <w:top w:val="single" w:sz="12" w:space="0" w:color="008000"/>
              <w:bottom w:val="single" w:sz="6" w:space="0" w:color="008000"/>
            </w:tcBorders>
            <w:shd w:val="clear" w:color="auto" w:fill="FFFFFF"/>
          </w:tcPr>
          <w:p w14:paraId="4FAE6765" w14:textId="77777777" w:rsidR="00FE48AB" w:rsidRDefault="00FE48AB" w:rsidP="00165B9F">
            <w:pPr>
              <w:pStyle w:val="CETBodytext"/>
              <w:ind w:right="-1"/>
              <w:rPr>
                <w:rFonts w:cs="Arial"/>
                <w:szCs w:val="18"/>
                <w:lang w:val="en-GB"/>
              </w:rPr>
            </w:pPr>
          </w:p>
        </w:tc>
        <w:tc>
          <w:tcPr>
            <w:tcW w:w="709" w:type="dxa"/>
            <w:tcBorders>
              <w:top w:val="single" w:sz="12" w:space="0" w:color="008000"/>
              <w:bottom w:val="single" w:sz="6" w:space="0" w:color="008000"/>
            </w:tcBorders>
            <w:shd w:val="clear" w:color="auto" w:fill="FFFFFF"/>
          </w:tcPr>
          <w:p w14:paraId="70C171CB" w14:textId="069DB813" w:rsidR="00FE48AB" w:rsidRDefault="00FE48AB" w:rsidP="00165B9F">
            <w:pPr>
              <w:pStyle w:val="CETBodytext"/>
              <w:ind w:right="-1"/>
              <w:rPr>
                <w:rFonts w:cs="Arial"/>
                <w:szCs w:val="18"/>
                <w:lang w:val="en-GB"/>
              </w:rPr>
            </w:pPr>
            <w:r>
              <w:rPr>
                <w:rFonts w:cs="Arial"/>
                <w:szCs w:val="18"/>
                <w:lang w:val="en-GB"/>
              </w:rPr>
              <w:t>Cao</w:t>
            </w:r>
          </w:p>
        </w:tc>
        <w:tc>
          <w:tcPr>
            <w:tcW w:w="20" w:type="dxa"/>
            <w:tcBorders>
              <w:top w:val="single" w:sz="12" w:space="0" w:color="008000"/>
              <w:bottom w:val="single" w:sz="6" w:space="0" w:color="008000"/>
            </w:tcBorders>
            <w:shd w:val="clear" w:color="auto" w:fill="FFFFFF"/>
          </w:tcPr>
          <w:p w14:paraId="48376C5C" w14:textId="77777777" w:rsidR="00FE48AB" w:rsidRDefault="00FE48AB" w:rsidP="00165B9F">
            <w:pPr>
              <w:pStyle w:val="CETBodytext"/>
              <w:ind w:right="-1"/>
              <w:rPr>
                <w:rFonts w:cs="Arial"/>
                <w:szCs w:val="18"/>
                <w:lang w:val="en-GB"/>
              </w:rPr>
            </w:pPr>
          </w:p>
        </w:tc>
        <w:tc>
          <w:tcPr>
            <w:tcW w:w="547" w:type="dxa"/>
            <w:tcBorders>
              <w:top w:val="single" w:sz="12" w:space="0" w:color="008000"/>
              <w:bottom w:val="single" w:sz="6" w:space="0" w:color="008000"/>
            </w:tcBorders>
            <w:shd w:val="clear" w:color="auto" w:fill="FFFFFF"/>
          </w:tcPr>
          <w:p w14:paraId="1144E9C1" w14:textId="5F33F1F7" w:rsidR="00FE48AB" w:rsidRDefault="00FE48AB" w:rsidP="00165B9F">
            <w:pPr>
              <w:pStyle w:val="CETBodytext"/>
              <w:ind w:right="-1"/>
              <w:rPr>
                <w:rFonts w:cs="Arial"/>
                <w:szCs w:val="18"/>
                <w:lang w:val="en-GB"/>
              </w:rPr>
            </w:pPr>
            <w:r>
              <w:rPr>
                <w:rFonts w:cs="Arial"/>
                <w:szCs w:val="18"/>
                <w:lang w:val="en-GB"/>
              </w:rPr>
              <w:t>MgO</w:t>
            </w:r>
          </w:p>
        </w:tc>
        <w:tc>
          <w:tcPr>
            <w:tcW w:w="709" w:type="dxa"/>
            <w:tcBorders>
              <w:top w:val="single" w:sz="12" w:space="0" w:color="008000"/>
              <w:bottom w:val="single" w:sz="6" w:space="0" w:color="008000"/>
            </w:tcBorders>
            <w:shd w:val="clear" w:color="auto" w:fill="FFFFFF"/>
          </w:tcPr>
          <w:p w14:paraId="483EF8D1" w14:textId="105F190B" w:rsidR="00FE48AB" w:rsidRDefault="00FE48AB" w:rsidP="00165B9F">
            <w:pPr>
              <w:pStyle w:val="CETBodytext"/>
              <w:ind w:right="-1"/>
              <w:rPr>
                <w:rFonts w:cs="Arial"/>
                <w:szCs w:val="18"/>
                <w:lang w:val="en-GB"/>
              </w:rPr>
            </w:pPr>
            <w:r>
              <w:rPr>
                <w:rFonts w:cs="Arial"/>
                <w:szCs w:val="18"/>
                <w:lang w:val="en-GB"/>
              </w:rPr>
              <w:t>P</w:t>
            </w:r>
            <w:r w:rsidRPr="00C471F0">
              <w:rPr>
                <w:rFonts w:cs="Arial"/>
                <w:szCs w:val="18"/>
                <w:vertAlign w:val="subscript"/>
                <w:lang w:val="en-GB"/>
              </w:rPr>
              <w:t>2</w:t>
            </w:r>
            <w:r>
              <w:rPr>
                <w:rFonts w:cs="Arial"/>
                <w:szCs w:val="18"/>
                <w:lang w:val="en-GB"/>
              </w:rPr>
              <w:t>O</w:t>
            </w:r>
            <w:r w:rsidRPr="00C471F0">
              <w:rPr>
                <w:rFonts w:cs="Arial"/>
                <w:szCs w:val="18"/>
                <w:vertAlign w:val="subscript"/>
                <w:lang w:val="en-GB"/>
              </w:rPr>
              <w:t>5</w:t>
            </w:r>
          </w:p>
        </w:tc>
        <w:tc>
          <w:tcPr>
            <w:tcW w:w="709" w:type="dxa"/>
            <w:tcBorders>
              <w:top w:val="single" w:sz="12" w:space="0" w:color="008000"/>
              <w:bottom w:val="single" w:sz="6" w:space="0" w:color="008000"/>
            </w:tcBorders>
            <w:shd w:val="clear" w:color="auto" w:fill="FFFFFF"/>
          </w:tcPr>
          <w:p w14:paraId="32DC51DA" w14:textId="45753375" w:rsidR="00FE48AB" w:rsidRDefault="00FE48AB" w:rsidP="00165B9F">
            <w:pPr>
              <w:pStyle w:val="CETBodytext"/>
              <w:ind w:right="-1"/>
              <w:rPr>
                <w:rFonts w:cs="Arial"/>
                <w:szCs w:val="18"/>
                <w:lang w:val="en-GB"/>
              </w:rPr>
            </w:pPr>
            <w:r>
              <w:rPr>
                <w:rFonts w:cs="Arial"/>
                <w:szCs w:val="18"/>
                <w:lang w:val="en-GB"/>
              </w:rPr>
              <w:t>Na</w:t>
            </w:r>
            <w:r w:rsidRPr="00C471F0">
              <w:rPr>
                <w:rFonts w:cs="Arial"/>
                <w:szCs w:val="18"/>
                <w:vertAlign w:val="subscript"/>
                <w:lang w:val="en-GB"/>
              </w:rPr>
              <w:t>2</w:t>
            </w:r>
            <w:r>
              <w:rPr>
                <w:rFonts w:cs="Arial"/>
                <w:szCs w:val="18"/>
                <w:lang w:val="en-GB"/>
              </w:rPr>
              <w:t>O</w:t>
            </w:r>
          </w:p>
        </w:tc>
        <w:tc>
          <w:tcPr>
            <w:tcW w:w="709" w:type="dxa"/>
            <w:tcBorders>
              <w:top w:val="single" w:sz="12" w:space="0" w:color="008000"/>
              <w:bottom w:val="single" w:sz="6" w:space="0" w:color="008000"/>
            </w:tcBorders>
            <w:shd w:val="clear" w:color="auto" w:fill="FFFFFF"/>
          </w:tcPr>
          <w:p w14:paraId="0E7FEB7D" w14:textId="24863AA6" w:rsidR="00FE48AB" w:rsidRDefault="00FE48AB" w:rsidP="00165B9F">
            <w:pPr>
              <w:pStyle w:val="CETBodytext"/>
              <w:ind w:right="-1"/>
              <w:rPr>
                <w:rFonts w:cs="Arial"/>
                <w:szCs w:val="18"/>
                <w:lang w:val="en-GB"/>
              </w:rPr>
            </w:pPr>
            <w:r>
              <w:rPr>
                <w:rFonts w:cs="Arial"/>
                <w:szCs w:val="18"/>
                <w:lang w:val="en-GB"/>
              </w:rPr>
              <w:t>K</w:t>
            </w:r>
            <w:r w:rsidRPr="00FE48AB">
              <w:rPr>
                <w:rFonts w:cs="Arial"/>
                <w:szCs w:val="18"/>
                <w:vertAlign w:val="subscript"/>
                <w:lang w:val="en-GB"/>
              </w:rPr>
              <w:t>2</w:t>
            </w:r>
            <w:r>
              <w:rPr>
                <w:rFonts w:cs="Arial"/>
                <w:szCs w:val="18"/>
                <w:lang w:val="en-GB"/>
              </w:rPr>
              <w:t>O</w:t>
            </w:r>
          </w:p>
        </w:tc>
        <w:tc>
          <w:tcPr>
            <w:tcW w:w="709" w:type="dxa"/>
            <w:tcBorders>
              <w:top w:val="single" w:sz="12" w:space="0" w:color="008000"/>
              <w:bottom w:val="single" w:sz="6" w:space="0" w:color="008000"/>
            </w:tcBorders>
            <w:shd w:val="clear" w:color="auto" w:fill="FFFFFF"/>
          </w:tcPr>
          <w:p w14:paraId="2CF90EDE" w14:textId="513143AB" w:rsidR="00FE48AB" w:rsidRDefault="00FE48AB" w:rsidP="00165B9F">
            <w:pPr>
              <w:pStyle w:val="CETBodytext"/>
              <w:ind w:right="-1"/>
              <w:rPr>
                <w:rFonts w:cs="Arial"/>
                <w:szCs w:val="18"/>
                <w:lang w:val="en-GB"/>
              </w:rPr>
            </w:pPr>
            <w:r>
              <w:rPr>
                <w:rFonts w:cs="Arial"/>
                <w:szCs w:val="18"/>
                <w:lang w:val="en-GB"/>
              </w:rPr>
              <w:t>Cl</w:t>
            </w:r>
          </w:p>
        </w:tc>
      </w:tr>
      <w:tr w:rsidR="00FE48AB" w:rsidRPr="00B57B36" w14:paraId="5E1183A0" w14:textId="69BC16D0" w:rsidTr="00C0082B">
        <w:trPr>
          <w:trHeight w:val="731"/>
        </w:trPr>
        <w:tc>
          <w:tcPr>
            <w:tcW w:w="1011" w:type="dxa"/>
            <w:shd w:val="clear" w:color="auto" w:fill="FFFFFF"/>
          </w:tcPr>
          <w:p w14:paraId="474372CB" w14:textId="77777777" w:rsidR="00FE48AB" w:rsidRDefault="00FE48AB" w:rsidP="00165B9F">
            <w:pPr>
              <w:pStyle w:val="CETBodytext"/>
              <w:rPr>
                <w:lang w:val="en-GB"/>
              </w:rPr>
            </w:pPr>
            <w:r>
              <w:rPr>
                <w:lang w:val="en-GB"/>
              </w:rPr>
              <w:t>Paper</w:t>
            </w:r>
          </w:p>
          <w:p w14:paraId="2185B1E2" w14:textId="77777777" w:rsidR="00FE48AB" w:rsidRDefault="00FE48AB" w:rsidP="00165B9F">
            <w:pPr>
              <w:pStyle w:val="CETBodytext"/>
              <w:rPr>
                <w:lang w:val="en-GB"/>
              </w:rPr>
            </w:pPr>
            <w:r>
              <w:rPr>
                <w:lang w:val="en-GB"/>
              </w:rPr>
              <w:t>Plastics</w:t>
            </w:r>
          </w:p>
          <w:p w14:paraId="35B7B9BD" w14:textId="2F6911B2" w:rsidR="00FE48AB" w:rsidRPr="00B57B36" w:rsidRDefault="00FE48AB" w:rsidP="00165B9F">
            <w:pPr>
              <w:pStyle w:val="CETBodytext"/>
              <w:rPr>
                <w:lang w:val="en-GB"/>
              </w:rPr>
            </w:pPr>
            <w:r>
              <w:rPr>
                <w:lang w:val="en-GB"/>
              </w:rPr>
              <w:t>Textiles</w:t>
            </w:r>
          </w:p>
        </w:tc>
        <w:tc>
          <w:tcPr>
            <w:tcW w:w="20" w:type="dxa"/>
            <w:shd w:val="clear" w:color="auto" w:fill="FFFFFF"/>
          </w:tcPr>
          <w:p w14:paraId="57B28E16" w14:textId="77777777" w:rsidR="00FE48AB" w:rsidRPr="00B57B36" w:rsidRDefault="00FE48AB" w:rsidP="00165B9F">
            <w:pPr>
              <w:pStyle w:val="CETBodytext"/>
              <w:rPr>
                <w:lang w:val="en-GB"/>
              </w:rPr>
            </w:pPr>
          </w:p>
        </w:tc>
        <w:tc>
          <w:tcPr>
            <w:tcW w:w="657" w:type="dxa"/>
            <w:shd w:val="clear" w:color="auto" w:fill="FFFFFF"/>
          </w:tcPr>
          <w:p w14:paraId="395C4526" w14:textId="672775B9" w:rsidR="00FE48AB" w:rsidRDefault="00FE48AB" w:rsidP="00165B9F">
            <w:pPr>
              <w:pStyle w:val="CETBodytext"/>
              <w:rPr>
                <w:lang w:val="en-GB"/>
              </w:rPr>
            </w:pPr>
            <w:r>
              <w:rPr>
                <w:lang w:val="en-GB"/>
              </w:rPr>
              <w:t>17.40</w:t>
            </w:r>
          </w:p>
          <w:p w14:paraId="26A0071E" w14:textId="77777777" w:rsidR="00FE48AB" w:rsidRDefault="00FE48AB" w:rsidP="00165B9F">
            <w:pPr>
              <w:pStyle w:val="CETBodytext"/>
              <w:rPr>
                <w:lang w:val="en-GB"/>
              </w:rPr>
            </w:pPr>
            <w:r>
              <w:rPr>
                <w:lang w:val="en-GB"/>
              </w:rPr>
              <w:t>19.10</w:t>
            </w:r>
          </w:p>
          <w:p w14:paraId="645D4E17" w14:textId="69D91964" w:rsidR="00FE48AB" w:rsidRPr="00B57B36" w:rsidRDefault="00FE48AB" w:rsidP="00165B9F">
            <w:pPr>
              <w:pStyle w:val="CETBodytext"/>
              <w:rPr>
                <w:lang w:val="en-GB"/>
              </w:rPr>
            </w:pPr>
            <w:r>
              <w:rPr>
                <w:lang w:val="en-GB"/>
              </w:rPr>
              <w:t>23.11</w:t>
            </w:r>
          </w:p>
        </w:tc>
        <w:tc>
          <w:tcPr>
            <w:tcW w:w="842" w:type="dxa"/>
            <w:shd w:val="clear" w:color="auto" w:fill="FFFFFF"/>
          </w:tcPr>
          <w:p w14:paraId="34B64310" w14:textId="77777777" w:rsidR="00FE48AB" w:rsidRDefault="00FE48AB" w:rsidP="00165B9F">
            <w:pPr>
              <w:pStyle w:val="CETBodytext"/>
              <w:rPr>
                <w:lang w:val="en-GB"/>
              </w:rPr>
            </w:pPr>
            <w:r>
              <w:rPr>
                <w:lang w:val="en-GB"/>
              </w:rPr>
              <w:t>15.78</w:t>
            </w:r>
          </w:p>
          <w:p w14:paraId="77C9210C" w14:textId="77777777" w:rsidR="00FE48AB" w:rsidRDefault="00FE48AB" w:rsidP="00165B9F">
            <w:pPr>
              <w:pStyle w:val="CETBodytext"/>
              <w:rPr>
                <w:lang w:val="en-GB"/>
              </w:rPr>
            </w:pPr>
            <w:r>
              <w:rPr>
                <w:lang w:val="en-GB"/>
              </w:rPr>
              <w:t>-</w:t>
            </w:r>
          </w:p>
          <w:p w14:paraId="6A89BEAA" w14:textId="7A05B840" w:rsidR="00FE48AB" w:rsidRPr="00B57B36" w:rsidRDefault="00FE48AB" w:rsidP="00165B9F">
            <w:pPr>
              <w:pStyle w:val="CETBodytext"/>
              <w:rPr>
                <w:lang w:val="en-GB"/>
              </w:rPr>
            </w:pPr>
            <w:r>
              <w:rPr>
                <w:lang w:val="en-GB"/>
              </w:rPr>
              <w:t>-</w:t>
            </w:r>
          </w:p>
        </w:tc>
        <w:tc>
          <w:tcPr>
            <w:tcW w:w="701" w:type="dxa"/>
            <w:shd w:val="clear" w:color="auto" w:fill="FFFFFF"/>
          </w:tcPr>
          <w:p w14:paraId="38E02B00" w14:textId="77777777" w:rsidR="00FE48AB" w:rsidRDefault="00FE48AB" w:rsidP="00165B9F">
            <w:pPr>
              <w:pStyle w:val="CETBodytext"/>
              <w:ind w:right="-1"/>
              <w:rPr>
                <w:rFonts w:cs="Arial"/>
                <w:szCs w:val="18"/>
                <w:lang w:val="en-GB"/>
              </w:rPr>
            </w:pPr>
            <w:r>
              <w:rPr>
                <w:rFonts w:cs="Arial"/>
                <w:szCs w:val="18"/>
                <w:lang w:val="en-GB"/>
              </w:rPr>
              <w:t>0.88</w:t>
            </w:r>
          </w:p>
          <w:p w14:paraId="05EC5EA1" w14:textId="77777777" w:rsidR="00FE48AB" w:rsidRDefault="00FE48AB" w:rsidP="00165B9F">
            <w:pPr>
              <w:pStyle w:val="CETBodytext"/>
              <w:ind w:right="-1"/>
              <w:rPr>
                <w:rFonts w:cs="Arial"/>
                <w:szCs w:val="18"/>
                <w:lang w:val="en-GB"/>
              </w:rPr>
            </w:pPr>
            <w:r>
              <w:rPr>
                <w:rFonts w:cs="Arial"/>
                <w:szCs w:val="18"/>
                <w:lang w:val="en-GB"/>
              </w:rPr>
              <w:t>19..98</w:t>
            </w:r>
          </w:p>
          <w:p w14:paraId="416478B1" w14:textId="63F7FAA4" w:rsidR="00FE48AB" w:rsidRPr="00B57B36" w:rsidRDefault="00FE48AB" w:rsidP="00165B9F">
            <w:pPr>
              <w:pStyle w:val="CETBodytext"/>
              <w:ind w:right="-1"/>
              <w:rPr>
                <w:rFonts w:cs="Arial"/>
                <w:szCs w:val="18"/>
                <w:lang w:val="en-GB"/>
              </w:rPr>
            </w:pPr>
            <w:r>
              <w:rPr>
                <w:rFonts w:cs="Arial"/>
                <w:szCs w:val="18"/>
                <w:lang w:val="en-GB"/>
              </w:rPr>
              <w:t>8.34</w:t>
            </w:r>
          </w:p>
        </w:tc>
        <w:tc>
          <w:tcPr>
            <w:tcW w:w="597" w:type="dxa"/>
            <w:shd w:val="clear" w:color="auto" w:fill="FFFFFF"/>
          </w:tcPr>
          <w:p w14:paraId="6DD481F8" w14:textId="77777777" w:rsidR="00FE48AB" w:rsidRDefault="00FE48AB" w:rsidP="00165B9F">
            <w:pPr>
              <w:pStyle w:val="CETBodytext"/>
              <w:ind w:right="-1"/>
              <w:rPr>
                <w:rFonts w:cs="Arial"/>
                <w:szCs w:val="18"/>
                <w:lang w:val="en-GB"/>
              </w:rPr>
            </w:pPr>
            <w:r>
              <w:rPr>
                <w:rFonts w:cs="Arial"/>
                <w:szCs w:val="18"/>
                <w:lang w:val="en-GB"/>
              </w:rPr>
              <w:t>1.80</w:t>
            </w:r>
          </w:p>
          <w:p w14:paraId="3D5D5EBE" w14:textId="77777777" w:rsidR="00FE48AB" w:rsidRDefault="00FE48AB" w:rsidP="00165B9F">
            <w:pPr>
              <w:pStyle w:val="CETBodytext"/>
              <w:ind w:right="-1"/>
              <w:rPr>
                <w:rFonts w:cs="Arial"/>
                <w:szCs w:val="18"/>
                <w:lang w:val="en-GB"/>
              </w:rPr>
            </w:pPr>
            <w:r>
              <w:rPr>
                <w:rFonts w:cs="Arial"/>
                <w:szCs w:val="18"/>
                <w:lang w:val="en-GB"/>
              </w:rPr>
              <w:t>8.03</w:t>
            </w:r>
          </w:p>
          <w:p w14:paraId="4676FE95" w14:textId="7C4D2C73" w:rsidR="00FE48AB" w:rsidRPr="00B57B36" w:rsidRDefault="00FE48AB" w:rsidP="00165B9F">
            <w:pPr>
              <w:pStyle w:val="CETBodytext"/>
              <w:ind w:right="-1"/>
              <w:rPr>
                <w:rFonts w:cs="Arial"/>
                <w:szCs w:val="18"/>
                <w:lang w:val="en-GB"/>
              </w:rPr>
            </w:pPr>
            <w:r>
              <w:rPr>
                <w:rFonts w:cs="Arial"/>
                <w:szCs w:val="18"/>
                <w:lang w:val="en-GB"/>
              </w:rPr>
              <w:t>6.61</w:t>
            </w:r>
          </w:p>
        </w:tc>
        <w:tc>
          <w:tcPr>
            <w:tcW w:w="141" w:type="dxa"/>
            <w:shd w:val="clear" w:color="auto" w:fill="FFFFFF"/>
          </w:tcPr>
          <w:p w14:paraId="6E3B382B" w14:textId="77777777" w:rsidR="00FE48AB" w:rsidRPr="00B57B36" w:rsidRDefault="00FE48AB" w:rsidP="00165B9F">
            <w:pPr>
              <w:pStyle w:val="CETBodytext"/>
              <w:ind w:right="-1"/>
              <w:rPr>
                <w:rFonts w:cs="Arial"/>
                <w:szCs w:val="18"/>
                <w:lang w:val="en-GB"/>
              </w:rPr>
            </w:pPr>
          </w:p>
        </w:tc>
        <w:tc>
          <w:tcPr>
            <w:tcW w:w="709" w:type="dxa"/>
            <w:shd w:val="clear" w:color="auto" w:fill="FFFFFF"/>
          </w:tcPr>
          <w:p w14:paraId="69BC7F9E" w14:textId="77777777" w:rsidR="00FE48AB" w:rsidRDefault="00FE48AB" w:rsidP="00165B9F">
            <w:pPr>
              <w:pStyle w:val="CETBodytext"/>
              <w:ind w:right="-1"/>
              <w:rPr>
                <w:rFonts w:cs="Arial"/>
                <w:szCs w:val="18"/>
                <w:lang w:val="en-GB"/>
              </w:rPr>
            </w:pPr>
            <w:r>
              <w:rPr>
                <w:rFonts w:cs="Arial"/>
                <w:szCs w:val="18"/>
                <w:lang w:val="en-GB"/>
              </w:rPr>
              <w:t>52.32</w:t>
            </w:r>
          </w:p>
          <w:p w14:paraId="6C8415E5" w14:textId="77777777" w:rsidR="00FE48AB" w:rsidRDefault="00FE48AB" w:rsidP="00165B9F">
            <w:pPr>
              <w:pStyle w:val="CETBodytext"/>
              <w:ind w:right="-1"/>
              <w:rPr>
                <w:rFonts w:cs="Arial"/>
                <w:szCs w:val="18"/>
                <w:lang w:val="en-GB"/>
              </w:rPr>
            </w:pPr>
            <w:r>
              <w:rPr>
                <w:rFonts w:cs="Arial"/>
                <w:szCs w:val="18"/>
                <w:lang w:val="en-GB"/>
              </w:rPr>
              <w:t>39.67</w:t>
            </w:r>
          </w:p>
          <w:p w14:paraId="70E6CC4B" w14:textId="78315619" w:rsidR="00FE48AB" w:rsidRPr="00B57B36" w:rsidRDefault="00FE48AB" w:rsidP="00165B9F">
            <w:pPr>
              <w:pStyle w:val="CETBodytext"/>
              <w:ind w:right="-1"/>
              <w:rPr>
                <w:rFonts w:cs="Arial"/>
                <w:szCs w:val="18"/>
                <w:lang w:val="en-GB"/>
              </w:rPr>
            </w:pPr>
            <w:r>
              <w:rPr>
                <w:rFonts w:cs="Arial"/>
                <w:szCs w:val="18"/>
                <w:lang w:val="en-GB"/>
              </w:rPr>
              <w:t>7.83</w:t>
            </w:r>
          </w:p>
        </w:tc>
        <w:tc>
          <w:tcPr>
            <w:tcW w:w="20" w:type="dxa"/>
            <w:shd w:val="clear" w:color="auto" w:fill="FFFFFF"/>
          </w:tcPr>
          <w:p w14:paraId="6138510E" w14:textId="77777777" w:rsidR="00FE48AB" w:rsidRPr="00B57B36" w:rsidRDefault="00FE48AB" w:rsidP="00165B9F">
            <w:pPr>
              <w:pStyle w:val="CETBodytext"/>
              <w:ind w:right="-1"/>
              <w:rPr>
                <w:rFonts w:cs="Arial"/>
                <w:szCs w:val="18"/>
                <w:lang w:val="en-GB"/>
              </w:rPr>
            </w:pPr>
          </w:p>
        </w:tc>
        <w:tc>
          <w:tcPr>
            <w:tcW w:w="547" w:type="dxa"/>
            <w:shd w:val="clear" w:color="auto" w:fill="FFFFFF"/>
          </w:tcPr>
          <w:p w14:paraId="415A2275" w14:textId="77777777" w:rsidR="00FE48AB" w:rsidRDefault="00FE48AB" w:rsidP="00165B9F">
            <w:pPr>
              <w:pStyle w:val="CETBodytext"/>
              <w:ind w:right="-1"/>
              <w:rPr>
                <w:rFonts w:cs="Arial"/>
                <w:szCs w:val="18"/>
                <w:lang w:val="en-GB"/>
              </w:rPr>
            </w:pPr>
            <w:r>
              <w:rPr>
                <w:rFonts w:cs="Arial"/>
                <w:szCs w:val="18"/>
                <w:lang w:val="en-GB"/>
              </w:rPr>
              <w:t>4.10</w:t>
            </w:r>
          </w:p>
          <w:p w14:paraId="1ACCBE2D" w14:textId="77777777" w:rsidR="00FE48AB" w:rsidRDefault="00FE48AB" w:rsidP="00165B9F">
            <w:pPr>
              <w:pStyle w:val="CETBodytext"/>
              <w:ind w:right="-1"/>
              <w:rPr>
                <w:rFonts w:cs="Arial"/>
                <w:szCs w:val="18"/>
                <w:lang w:val="en-GB"/>
              </w:rPr>
            </w:pPr>
            <w:r>
              <w:rPr>
                <w:rFonts w:cs="Arial"/>
                <w:szCs w:val="18"/>
                <w:lang w:val="en-GB"/>
              </w:rPr>
              <w:t>5.32</w:t>
            </w:r>
          </w:p>
          <w:p w14:paraId="488A7102" w14:textId="22748830" w:rsidR="00FE48AB" w:rsidRPr="00B57B36" w:rsidRDefault="00FE48AB" w:rsidP="00165B9F">
            <w:pPr>
              <w:pStyle w:val="CETBodytext"/>
              <w:ind w:right="-1"/>
              <w:rPr>
                <w:rFonts w:cs="Arial"/>
                <w:szCs w:val="18"/>
                <w:lang w:val="en-GB"/>
              </w:rPr>
            </w:pPr>
            <w:r>
              <w:rPr>
                <w:rFonts w:cs="Arial"/>
                <w:szCs w:val="18"/>
                <w:lang w:val="en-GB"/>
              </w:rPr>
              <w:t>7.41</w:t>
            </w:r>
          </w:p>
        </w:tc>
        <w:tc>
          <w:tcPr>
            <w:tcW w:w="709" w:type="dxa"/>
            <w:shd w:val="clear" w:color="auto" w:fill="FFFFFF"/>
          </w:tcPr>
          <w:p w14:paraId="066514B6" w14:textId="77777777" w:rsidR="00FE48AB" w:rsidRDefault="00FE48AB" w:rsidP="00165B9F">
            <w:pPr>
              <w:pStyle w:val="CETBodytext"/>
              <w:ind w:right="-1"/>
              <w:rPr>
                <w:rFonts w:cs="Arial"/>
                <w:szCs w:val="18"/>
                <w:lang w:val="en-GB"/>
              </w:rPr>
            </w:pPr>
            <w:r>
              <w:rPr>
                <w:rFonts w:cs="Arial"/>
                <w:szCs w:val="18"/>
                <w:lang w:val="en-GB"/>
              </w:rPr>
              <w:t>0.01</w:t>
            </w:r>
          </w:p>
          <w:p w14:paraId="61B9A16D" w14:textId="77777777" w:rsidR="00FE48AB" w:rsidRDefault="00FE48AB" w:rsidP="00165B9F">
            <w:pPr>
              <w:pStyle w:val="CETBodytext"/>
              <w:ind w:right="-1"/>
              <w:rPr>
                <w:rFonts w:cs="Arial"/>
                <w:szCs w:val="18"/>
                <w:lang w:val="en-GB"/>
              </w:rPr>
            </w:pPr>
            <w:r>
              <w:rPr>
                <w:rFonts w:cs="Arial"/>
                <w:szCs w:val="18"/>
                <w:lang w:val="en-GB"/>
              </w:rPr>
              <w:t>18.23</w:t>
            </w:r>
          </w:p>
          <w:p w14:paraId="41BF3936" w14:textId="2307FBD7" w:rsidR="00FE48AB" w:rsidRPr="00B57B36" w:rsidRDefault="00FE48AB" w:rsidP="00165B9F">
            <w:pPr>
              <w:pStyle w:val="CETBodytext"/>
              <w:ind w:right="-1"/>
              <w:rPr>
                <w:rFonts w:cs="Arial"/>
                <w:szCs w:val="18"/>
                <w:lang w:val="en-GB"/>
              </w:rPr>
            </w:pPr>
            <w:r>
              <w:rPr>
                <w:rFonts w:cs="Arial"/>
                <w:szCs w:val="18"/>
                <w:lang w:val="en-GB"/>
              </w:rPr>
              <w:t>1.19</w:t>
            </w:r>
          </w:p>
        </w:tc>
        <w:tc>
          <w:tcPr>
            <w:tcW w:w="709" w:type="dxa"/>
            <w:shd w:val="clear" w:color="auto" w:fill="FFFFFF"/>
          </w:tcPr>
          <w:p w14:paraId="64B5E29C" w14:textId="77777777" w:rsidR="00FE48AB" w:rsidRDefault="00FE48AB" w:rsidP="00165B9F">
            <w:pPr>
              <w:pStyle w:val="CETBodytext"/>
              <w:ind w:right="-1"/>
              <w:rPr>
                <w:rFonts w:cs="Arial"/>
                <w:szCs w:val="18"/>
                <w:lang w:val="en-GB"/>
              </w:rPr>
            </w:pPr>
            <w:r>
              <w:rPr>
                <w:rFonts w:cs="Arial"/>
                <w:szCs w:val="18"/>
                <w:lang w:val="en-GB"/>
              </w:rPr>
              <w:t>2.78</w:t>
            </w:r>
          </w:p>
          <w:p w14:paraId="6E6D07E0" w14:textId="77777777" w:rsidR="00FE48AB" w:rsidRDefault="00FE48AB" w:rsidP="00165B9F">
            <w:pPr>
              <w:pStyle w:val="CETBodytext"/>
              <w:ind w:right="-1"/>
              <w:rPr>
                <w:rFonts w:cs="Arial"/>
                <w:szCs w:val="18"/>
                <w:lang w:val="en-GB"/>
              </w:rPr>
            </w:pPr>
            <w:r>
              <w:rPr>
                <w:rFonts w:cs="Arial"/>
                <w:szCs w:val="18"/>
                <w:lang w:val="en-GB"/>
              </w:rPr>
              <w:t>4.66</w:t>
            </w:r>
          </w:p>
          <w:p w14:paraId="6002948C" w14:textId="154896BE" w:rsidR="00FE48AB" w:rsidRPr="00B57B36" w:rsidRDefault="00FE48AB" w:rsidP="00165B9F">
            <w:pPr>
              <w:pStyle w:val="CETBodytext"/>
              <w:ind w:right="-1"/>
              <w:rPr>
                <w:rFonts w:cs="Arial"/>
                <w:szCs w:val="18"/>
                <w:lang w:val="en-GB"/>
              </w:rPr>
            </w:pPr>
            <w:r>
              <w:rPr>
                <w:rFonts w:cs="Arial"/>
                <w:szCs w:val="18"/>
                <w:lang w:val="en-GB"/>
              </w:rPr>
              <w:t>1.28</w:t>
            </w:r>
          </w:p>
        </w:tc>
        <w:tc>
          <w:tcPr>
            <w:tcW w:w="709" w:type="dxa"/>
            <w:shd w:val="clear" w:color="auto" w:fill="FFFFFF"/>
          </w:tcPr>
          <w:p w14:paraId="725E3E36" w14:textId="77777777" w:rsidR="00FE48AB" w:rsidRDefault="00FE48AB" w:rsidP="00165B9F">
            <w:pPr>
              <w:pStyle w:val="CETBodytext"/>
              <w:ind w:right="-1"/>
              <w:rPr>
                <w:rFonts w:cs="Arial"/>
                <w:szCs w:val="18"/>
                <w:lang w:val="en-GB"/>
              </w:rPr>
            </w:pPr>
            <w:r>
              <w:rPr>
                <w:rFonts w:cs="Arial"/>
                <w:szCs w:val="18"/>
                <w:lang w:val="en-GB"/>
              </w:rPr>
              <w:t>1.51</w:t>
            </w:r>
          </w:p>
          <w:p w14:paraId="156028BE" w14:textId="77777777" w:rsidR="00FE48AB" w:rsidRDefault="00FE48AB" w:rsidP="00165B9F">
            <w:pPr>
              <w:pStyle w:val="CETBodytext"/>
              <w:ind w:right="-1"/>
              <w:rPr>
                <w:rFonts w:cs="Arial"/>
                <w:szCs w:val="18"/>
                <w:lang w:val="en-GB"/>
              </w:rPr>
            </w:pPr>
            <w:r>
              <w:rPr>
                <w:rFonts w:cs="Arial"/>
                <w:szCs w:val="18"/>
                <w:lang w:val="en-GB"/>
              </w:rPr>
              <w:t>2.12</w:t>
            </w:r>
          </w:p>
          <w:p w14:paraId="4AB66E4A" w14:textId="143EBC85" w:rsidR="00FE48AB" w:rsidRPr="00B57B36" w:rsidRDefault="00FE48AB" w:rsidP="00165B9F">
            <w:pPr>
              <w:pStyle w:val="CETBodytext"/>
              <w:ind w:right="-1"/>
              <w:rPr>
                <w:rFonts w:cs="Arial"/>
                <w:szCs w:val="18"/>
                <w:lang w:val="en-GB"/>
              </w:rPr>
            </w:pPr>
            <w:r>
              <w:rPr>
                <w:rFonts w:cs="Arial"/>
                <w:szCs w:val="18"/>
                <w:lang w:val="en-GB"/>
              </w:rPr>
              <w:t>4.40</w:t>
            </w:r>
          </w:p>
        </w:tc>
        <w:tc>
          <w:tcPr>
            <w:tcW w:w="709" w:type="dxa"/>
            <w:shd w:val="clear" w:color="auto" w:fill="FFFFFF"/>
          </w:tcPr>
          <w:p w14:paraId="5FA799A6" w14:textId="77777777" w:rsidR="00FE48AB" w:rsidRDefault="00FE48AB" w:rsidP="00165B9F">
            <w:pPr>
              <w:pStyle w:val="CETBodytext"/>
              <w:ind w:right="-1"/>
              <w:rPr>
                <w:rFonts w:cs="Arial"/>
                <w:szCs w:val="18"/>
                <w:lang w:val="en-GB"/>
              </w:rPr>
            </w:pPr>
            <w:r>
              <w:rPr>
                <w:rFonts w:cs="Arial"/>
                <w:szCs w:val="18"/>
                <w:lang w:val="en-GB"/>
              </w:rPr>
              <w:t>0.84</w:t>
            </w:r>
          </w:p>
          <w:p w14:paraId="43CD1C7D" w14:textId="77777777" w:rsidR="00FE48AB" w:rsidRDefault="00FE48AB" w:rsidP="00165B9F">
            <w:pPr>
              <w:pStyle w:val="CETBodytext"/>
              <w:ind w:right="-1"/>
              <w:rPr>
                <w:rFonts w:cs="Arial"/>
                <w:szCs w:val="18"/>
                <w:lang w:val="en-GB"/>
              </w:rPr>
            </w:pPr>
            <w:r>
              <w:rPr>
                <w:rFonts w:cs="Arial"/>
                <w:szCs w:val="18"/>
                <w:lang w:val="en-GB"/>
              </w:rPr>
              <w:t>2.20</w:t>
            </w:r>
          </w:p>
          <w:p w14:paraId="6FC4244B" w14:textId="64CCD894" w:rsidR="00FE48AB" w:rsidRPr="00B57B36" w:rsidRDefault="00FE48AB" w:rsidP="00165B9F">
            <w:pPr>
              <w:pStyle w:val="CETBodytext"/>
              <w:ind w:right="-1"/>
              <w:rPr>
                <w:rFonts w:cs="Arial"/>
                <w:szCs w:val="18"/>
                <w:lang w:val="en-GB"/>
              </w:rPr>
            </w:pPr>
            <w:r>
              <w:rPr>
                <w:rFonts w:cs="Arial"/>
                <w:szCs w:val="18"/>
                <w:lang w:val="en-GB"/>
              </w:rPr>
              <w:t>1.80</w:t>
            </w:r>
          </w:p>
        </w:tc>
      </w:tr>
      <w:tr w:rsidR="00FE48AB" w:rsidRPr="00B57B36" w14:paraId="53D025A3" w14:textId="52B13F51" w:rsidTr="00C0082B">
        <w:trPr>
          <w:trHeight w:val="226"/>
        </w:trPr>
        <w:tc>
          <w:tcPr>
            <w:tcW w:w="1011" w:type="dxa"/>
            <w:shd w:val="clear" w:color="auto" w:fill="FFFFFF"/>
          </w:tcPr>
          <w:p w14:paraId="60F387BC" w14:textId="4E884343" w:rsidR="00FE48AB" w:rsidRPr="00B57B36" w:rsidRDefault="00FE48AB" w:rsidP="00165B9F">
            <w:pPr>
              <w:pStyle w:val="CETBodytext"/>
              <w:ind w:right="-1"/>
              <w:rPr>
                <w:rFonts w:cs="Arial"/>
                <w:szCs w:val="18"/>
                <w:lang w:val="en-GB"/>
              </w:rPr>
            </w:pPr>
          </w:p>
        </w:tc>
        <w:tc>
          <w:tcPr>
            <w:tcW w:w="20" w:type="dxa"/>
            <w:shd w:val="clear" w:color="auto" w:fill="FFFFFF"/>
          </w:tcPr>
          <w:p w14:paraId="767B6171" w14:textId="77777777" w:rsidR="00FE48AB" w:rsidRPr="00B57B36" w:rsidRDefault="00FE48AB" w:rsidP="00165B9F">
            <w:pPr>
              <w:pStyle w:val="CETBodytext"/>
              <w:ind w:right="-1"/>
              <w:rPr>
                <w:rFonts w:cs="Arial"/>
                <w:szCs w:val="18"/>
                <w:lang w:val="en-GB"/>
              </w:rPr>
            </w:pPr>
          </w:p>
        </w:tc>
        <w:tc>
          <w:tcPr>
            <w:tcW w:w="657" w:type="dxa"/>
            <w:shd w:val="clear" w:color="auto" w:fill="FFFFFF"/>
          </w:tcPr>
          <w:p w14:paraId="79AB25BD" w14:textId="7801C1F9" w:rsidR="00FE48AB" w:rsidRPr="00B57B36" w:rsidRDefault="00FE48AB" w:rsidP="00165B9F">
            <w:pPr>
              <w:pStyle w:val="CETBodytext"/>
              <w:ind w:right="-1"/>
              <w:rPr>
                <w:rFonts w:cs="Arial"/>
                <w:szCs w:val="18"/>
                <w:lang w:val="en-GB"/>
              </w:rPr>
            </w:pPr>
          </w:p>
        </w:tc>
        <w:tc>
          <w:tcPr>
            <w:tcW w:w="842" w:type="dxa"/>
            <w:shd w:val="clear" w:color="auto" w:fill="FFFFFF"/>
          </w:tcPr>
          <w:p w14:paraId="35D3B9D3" w14:textId="77777777" w:rsidR="00FE48AB" w:rsidRPr="00B57B36" w:rsidRDefault="00FE48AB" w:rsidP="00165B9F">
            <w:pPr>
              <w:pStyle w:val="CETBodytext"/>
              <w:ind w:right="-1"/>
              <w:rPr>
                <w:rFonts w:cs="Arial"/>
                <w:szCs w:val="18"/>
                <w:lang w:val="en-GB"/>
              </w:rPr>
            </w:pPr>
          </w:p>
        </w:tc>
        <w:tc>
          <w:tcPr>
            <w:tcW w:w="701" w:type="dxa"/>
            <w:shd w:val="clear" w:color="auto" w:fill="FFFFFF"/>
          </w:tcPr>
          <w:p w14:paraId="168C985D" w14:textId="77777777" w:rsidR="00FE48AB" w:rsidRPr="00B57B36" w:rsidRDefault="00FE48AB" w:rsidP="00165B9F">
            <w:pPr>
              <w:pStyle w:val="CETBodytext"/>
              <w:ind w:right="-1"/>
              <w:rPr>
                <w:rFonts w:cs="Arial"/>
                <w:szCs w:val="18"/>
                <w:lang w:val="en-GB"/>
              </w:rPr>
            </w:pPr>
          </w:p>
        </w:tc>
        <w:tc>
          <w:tcPr>
            <w:tcW w:w="597" w:type="dxa"/>
            <w:shd w:val="clear" w:color="auto" w:fill="FFFFFF"/>
          </w:tcPr>
          <w:p w14:paraId="2ABDF0EB" w14:textId="77777777" w:rsidR="00FE48AB" w:rsidRPr="00B57B36" w:rsidRDefault="00FE48AB" w:rsidP="00165B9F">
            <w:pPr>
              <w:pStyle w:val="CETBodytext"/>
              <w:ind w:right="-1"/>
              <w:rPr>
                <w:rFonts w:cs="Arial"/>
                <w:szCs w:val="18"/>
                <w:lang w:val="en-GB"/>
              </w:rPr>
            </w:pPr>
          </w:p>
        </w:tc>
        <w:tc>
          <w:tcPr>
            <w:tcW w:w="141" w:type="dxa"/>
            <w:shd w:val="clear" w:color="auto" w:fill="FFFFFF"/>
          </w:tcPr>
          <w:p w14:paraId="5CD52607" w14:textId="77777777" w:rsidR="00FE48AB" w:rsidRPr="00B57B36" w:rsidRDefault="00FE48AB" w:rsidP="00165B9F">
            <w:pPr>
              <w:pStyle w:val="CETBodytext"/>
              <w:ind w:right="-1"/>
              <w:rPr>
                <w:rFonts w:cs="Arial"/>
                <w:szCs w:val="18"/>
                <w:lang w:val="en-GB"/>
              </w:rPr>
            </w:pPr>
          </w:p>
        </w:tc>
        <w:tc>
          <w:tcPr>
            <w:tcW w:w="709" w:type="dxa"/>
            <w:shd w:val="clear" w:color="auto" w:fill="FFFFFF"/>
          </w:tcPr>
          <w:p w14:paraId="7820B176" w14:textId="77777777" w:rsidR="00FE48AB" w:rsidRPr="00B57B36" w:rsidRDefault="00FE48AB" w:rsidP="00165B9F">
            <w:pPr>
              <w:pStyle w:val="CETBodytext"/>
              <w:ind w:right="-1"/>
              <w:rPr>
                <w:rFonts w:cs="Arial"/>
                <w:szCs w:val="18"/>
                <w:lang w:val="en-GB"/>
              </w:rPr>
            </w:pPr>
          </w:p>
        </w:tc>
        <w:tc>
          <w:tcPr>
            <w:tcW w:w="20" w:type="dxa"/>
            <w:shd w:val="clear" w:color="auto" w:fill="FFFFFF"/>
          </w:tcPr>
          <w:p w14:paraId="1944E153" w14:textId="77777777" w:rsidR="00FE48AB" w:rsidRPr="00B57B36" w:rsidRDefault="00FE48AB" w:rsidP="00165B9F">
            <w:pPr>
              <w:pStyle w:val="CETBodytext"/>
              <w:ind w:right="-1"/>
              <w:rPr>
                <w:rFonts w:cs="Arial"/>
                <w:szCs w:val="18"/>
                <w:lang w:val="en-GB"/>
              </w:rPr>
            </w:pPr>
          </w:p>
        </w:tc>
        <w:tc>
          <w:tcPr>
            <w:tcW w:w="547" w:type="dxa"/>
            <w:shd w:val="clear" w:color="auto" w:fill="FFFFFF"/>
          </w:tcPr>
          <w:p w14:paraId="0284DE89" w14:textId="77777777" w:rsidR="00FE48AB" w:rsidRPr="00B57B36" w:rsidRDefault="00FE48AB" w:rsidP="00165B9F">
            <w:pPr>
              <w:pStyle w:val="CETBodytext"/>
              <w:ind w:right="-1"/>
              <w:rPr>
                <w:rFonts w:cs="Arial"/>
                <w:szCs w:val="18"/>
                <w:lang w:val="en-GB"/>
              </w:rPr>
            </w:pPr>
          </w:p>
        </w:tc>
        <w:tc>
          <w:tcPr>
            <w:tcW w:w="709" w:type="dxa"/>
            <w:shd w:val="clear" w:color="auto" w:fill="FFFFFF"/>
          </w:tcPr>
          <w:p w14:paraId="335BC3DF" w14:textId="77777777" w:rsidR="00FE48AB" w:rsidRPr="00B57B36" w:rsidRDefault="00FE48AB" w:rsidP="00165B9F">
            <w:pPr>
              <w:pStyle w:val="CETBodytext"/>
              <w:ind w:right="-1"/>
              <w:rPr>
                <w:rFonts w:cs="Arial"/>
                <w:szCs w:val="18"/>
                <w:lang w:val="en-GB"/>
              </w:rPr>
            </w:pPr>
          </w:p>
        </w:tc>
        <w:tc>
          <w:tcPr>
            <w:tcW w:w="709" w:type="dxa"/>
            <w:shd w:val="clear" w:color="auto" w:fill="FFFFFF"/>
          </w:tcPr>
          <w:p w14:paraId="6276036C" w14:textId="77777777" w:rsidR="00FE48AB" w:rsidRPr="00B57B36" w:rsidRDefault="00FE48AB" w:rsidP="00165B9F">
            <w:pPr>
              <w:pStyle w:val="CETBodytext"/>
              <w:ind w:right="-1"/>
              <w:rPr>
                <w:rFonts w:cs="Arial"/>
                <w:szCs w:val="18"/>
                <w:lang w:val="en-GB"/>
              </w:rPr>
            </w:pPr>
          </w:p>
        </w:tc>
        <w:tc>
          <w:tcPr>
            <w:tcW w:w="709" w:type="dxa"/>
            <w:shd w:val="clear" w:color="auto" w:fill="FFFFFF"/>
          </w:tcPr>
          <w:p w14:paraId="69382C89" w14:textId="77777777" w:rsidR="00FE48AB" w:rsidRPr="00B57B36" w:rsidRDefault="00FE48AB" w:rsidP="00165B9F">
            <w:pPr>
              <w:pStyle w:val="CETBodytext"/>
              <w:ind w:right="-1"/>
              <w:rPr>
                <w:rFonts w:cs="Arial"/>
                <w:szCs w:val="18"/>
                <w:lang w:val="en-GB"/>
              </w:rPr>
            </w:pPr>
          </w:p>
        </w:tc>
        <w:tc>
          <w:tcPr>
            <w:tcW w:w="709" w:type="dxa"/>
            <w:shd w:val="clear" w:color="auto" w:fill="FFFFFF"/>
          </w:tcPr>
          <w:p w14:paraId="74D6D9D1" w14:textId="77777777" w:rsidR="00FE48AB" w:rsidRPr="00B57B36" w:rsidRDefault="00FE48AB" w:rsidP="00165B9F">
            <w:pPr>
              <w:pStyle w:val="CETBodytext"/>
              <w:ind w:right="-1"/>
              <w:rPr>
                <w:rFonts w:cs="Arial"/>
                <w:szCs w:val="18"/>
                <w:lang w:val="en-GB"/>
              </w:rPr>
            </w:pPr>
          </w:p>
        </w:tc>
      </w:tr>
    </w:tbl>
    <w:p w14:paraId="6348D156" w14:textId="10620331" w:rsidR="00C64011" w:rsidRDefault="00C64011" w:rsidP="006C47C3">
      <w:pPr>
        <w:pStyle w:val="CETheadingx"/>
      </w:pPr>
      <w:r>
        <w:lastRenderedPageBreak/>
        <w:t xml:space="preserve">Waste to energy </w:t>
      </w:r>
      <w:proofErr w:type="gramStart"/>
      <w:r>
        <w:t>technologies</w:t>
      </w:r>
      <w:proofErr w:type="gramEnd"/>
    </w:p>
    <w:p w14:paraId="6701CA88" w14:textId="093C8D91" w:rsidR="004B427A" w:rsidRPr="00B92003" w:rsidRDefault="00504A98" w:rsidP="00E71421">
      <w:pPr>
        <w:pStyle w:val="CETBodytext"/>
        <w:rPr>
          <w:lang w:val="en-GB"/>
        </w:rPr>
      </w:pPr>
      <w:r w:rsidRPr="00504A98">
        <w:rPr>
          <w:lang w:val="en-GB"/>
        </w:rPr>
        <w:t>Waste-to-energy (WTE) technologies employ various methods to convert non-recyclable waste materials into useful heat, electricity, or fuel. These technologies contribute to the decrease in landfill waste, mitigate environmental impacts, and generate sustainable energy. Pyrolysis is a process that involves heat decomposition of organic materials found in municipal solid waste. This process produces biochar as a result (Yufeng et al., 2021). Biological conversion is an alternative method that involves the microbial breakdown of organic materials in an oxygen-free environment. This process results in the production of methane and carbon dioxide, which are the primary constituents of biogas (Kaur et al., 2021). Composting is a method of generating stable waste and manure by means of anaerobic biological degradation. Advantages of this process include producing compost for use as fertilizer and reducing greenhouse gas emissions.</w:t>
      </w:r>
      <w:r>
        <w:rPr>
          <w:lang w:val="en-GB"/>
        </w:rPr>
        <w:t xml:space="preserve"> </w:t>
      </w:r>
      <w:r w:rsidR="00824CF0" w:rsidRPr="00824CF0">
        <w:rPr>
          <w:lang w:val="en-GB"/>
        </w:rPr>
        <w:t>Gasification breaks down carbonaceous matter, such as biomass, into syngas by breaking down municipal solid waste into hydrogen, carbon monoxide, and traces of methane, which can serve as engine fuel (Zeng et al., 2022). Municipalities can also reduce the volume of waste they produce by incinerating it, which in turn reduces the amount of waste in landfills. These technologies can extract energy from waste. Non-recyclable municipal solid waste (MSW), agricultural residues, sewage sludge, and certain industrial wastes. However, the suitability of waste for WTE depends on its composition, moisture content, and calorific value. Proper management and monitoring are necessary to ensure the meeting of environmental and health standards</w:t>
      </w:r>
      <w:r w:rsidR="00C40108" w:rsidRPr="00C40108">
        <w:rPr>
          <w:lang w:val="en-GB"/>
        </w:rPr>
        <w:t>.</w:t>
      </w:r>
    </w:p>
    <w:p w14:paraId="68D26B83" w14:textId="26795E69" w:rsidR="00600535" w:rsidRPr="00B57B36" w:rsidRDefault="00600535" w:rsidP="00600535">
      <w:pPr>
        <w:pStyle w:val="CETHeading1"/>
        <w:rPr>
          <w:lang w:val="en-GB"/>
        </w:rPr>
      </w:pPr>
      <w:r w:rsidRPr="00B57B36">
        <w:rPr>
          <w:lang w:val="en-GB"/>
        </w:rPr>
        <w:t>Conclusions</w:t>
      </w:r>
    </w:p>
    <w:p w14:paraId="52DAFDE0" w14:textId="6A34F6D2" w:rsidR="001D0CFB" w:rsidRDefault="00DB53B8" w:rsidP="00805618">
      <w:pPr>
        <w:pStyle w:val="CETBodytext"/>
        <w:rPr>
          <w:lang w:val="en-GB"/>
        </w:rPr>
      </w:pPr>
      <w:r w:rsidRPr="00DB53B8">
        <w:rPr>
          <w:lang w:val="en-GB"/>
        </w:rPr>
        <w:t xml:space="preserve">This study conducted an analysis of municipal solid waste (MSW) with the aim of utilizing it as a potential source of clean energy. For alternative energy generation feedstock, we used a variety of advanced analytical techniques to determine key parameters related to MSW's suitability, such as proximate and ultimate analysis, as well as ash oxide analysis, for the purpose of alternative energy generation feedstock. Using elemental analysis, we discovered low levels of nitrogen and sulfur compounds. We also investigated factors that influenced the validity of the studied municipal solid waste. Prior to its effective use as an alternative energy source, established processes could reduce MSW's high ash and moisture content, as revealed by proximate analysis. The chemical composition and thermal </w:t>
      </w:r>
      <w:r w:rsidR="00E62883" w:rsidRPr="00DB53B8">
        <w:rPr>
          <w:lang w:val="en-GB"/>
        </w:rPr>
        <w:t>behaviour</w:t>
      </w:r>
      <w:r w:rsidRPr="00DB53B8">
        <w:rPr>
          <w:lang w:val="en-GB"/>
        </w:rPr>
        <w:t xml:space="preserve"> of MSW suggest that existing energy production infrastructure would be adequate for its commercial-scale application. In general, this study offers valuable insights into the characterization of municipal solid waste (MSW) in the Soweto region of South Africa, particularly in relation to waste-to-energy (</w:t>
      </w:r>
      <w:proofErr w:type="spellStart"/>
      <w:r w:rsidRPr="00DB53B8">
        <w:rPr>
          <w:lang w:val="en-GB"/>
        </w:rPr>
        <w:t>WtE</w:t>
      </w:r>
      <w:proofErr w:type="spellEnd"/>
      <w:r w:rsidRPr="00DB53B8">
        <w:rPr>
          <w:lang w:val="en-GB"/>
        </w:rPr>
        <w:t>) plants. Law enforcement agencies and industry experts can use the results as helpful guidance to reduce the risks associated with MSW management and promote sustainable development.</w:t>
      </w:r>
    </w:p>
    <w:p w14:paraId="4F1327F8" w14:textId="77777777" w:rsidR="00600535" w:rsidRPr="00B57B36" w:rsidRDefault="00600535" w:rsidP="00600535">
      <w:pPr>
        <w:pStyle w:val="CETReference"/>
      </w:pPr>
      <w:r w:rsidRPr="00B57B36">
        <w:t>References</w:t>
      </w:r>
    </w:p>
    <w:p w14:paraId="65948C79" w14:textId="77777777" w:rsidR="00030630" w:rsidRDefault="00030630" w:rsidP="00030630">
      <w:pPr>
        <w:pStyle w:val="CETReferencetext"/>
      </w:pPr>
      <w:r w:rsidRPr="00BD0328">
        <w:t>DEA - Department of Environmental Affairs. 2011. A user friendly guide to the National Environmental Management: Waste Act, 2008. South Africa. Tshwane.</w:t>
      </w:r>
    </w:p>
    <w:p w14:paraId="0EDDDBEC" w14:textId="77777777" w:rsidR="00030630" w:rsidRDefault="00030630" w:rsidP="00030630">
      <w:pPr>
        <w:pStyle w:val="CETReferencetext"/>
      </w:pPr>
      <w:r w:rsidRPr="008C3BD5">
        <w:t>Nkosi N, Muzenda E, Zvimba J</w:t>
      </w:r>
      <w:r>
        <w:t xml:space="preserve">, </w:t>
      </w:r>
      <w:r w:rsidRPr="008C3BD5">
        <w:t>Pilusa J</w:t>
      </w:r>
      <w:r>
        <w:t>, 2</w:t>
      </w:r>
      <w:r w:rsidRPr="008C3BD5">
        <w:t>013</w:t>
      </w:r>
      <w:r>
        <w:t>, T</w:t>
      </w:r>
      <w:r w:rsidRPr="008C3BD5">
        <w:t>he current waste generation and management trends in South Africa: A Review. International Conference on Integrated Waste Management and Green Energy Engineering, Johannesburg (South Africa), 15-16 April 2013</w:t>
      </w:r>
      <w:r>
        <w:t>.</w:t>
      </w:r>
    </w:p>
    <w:p w14:paraId="704A97AA" w14:textId="77777777" w:rsidR="00030630" w:rsidRDefault="00030630" w:rsidP="00030630">
      <w:pPr>
        <w:pStyle w:val="CETReferencetext"/>
      </w:pPr>
      <w:r w:rsidRPr="00011EF1">
        <w:t>Kaur</w:t>
      </w:r>
      <w:r>
        <w:t xml:space="preserve"> </w:t>
      </w:r>
      <w:r w:rsidRPr="00011EF1">
        <w:t>R</w:t>
      </w:r>
      <w:r>
        <w:t xml:space="preserve">, </w:t>
      </w:r>
      <w:r w:rsidRPr="00011EF1">
        <w:t>Bharti R</w:t>
      </w:r>
      <w:r>
        <w:t xml:space="preserve">, </w:t>
      </w:r>
      <w:r w:rsidRPr="00011EF1">
        <w:t>Sharma</w:t>
      </w:r>
      <w:r>
        <w:t xml:space="preserve"> R</w:t>
      </w:r>
      <w:r w:rsidRPr="00011EF1">
        <w:t xml:space="preserve">, </w:t>
      </w:r>
      <w:r>
        <w:t xml:space="preserve">2023, </w:t>
      </w:r>
      <w:r w:rsidRPr="00011EF1">
        <w:t>Municipal solid waste as a source of energy, Materials Today: Proceedings</w:t>
      </w:r>
      <w:r>
        <w:t xml:space="preserve"> </w:t>
      </w:r>
      <w:r w:rsidRPr="00534A41">
        <w:t>81</w:t>
      </w:r>
      <w:r>
        <w:t>:</w:t>
      </w:r>
      <w:r w:rsidRPr="00534A41">
        <w:t>904</w:t>
      </w:r>
      <w:r>
        <w:t xml:space="preserve"> </w:t>
      </w:r>
      <w:r w:rsidRPr="00534A41">
        <w:t>-</w:t>
      </w:r>
      <w:r>
        <w:t xml:space="preserve"> </w:t>
      </w:r>
      <w:r w:rsidRPr="00534A41">
        <w:t>915</w:t>
      </w:r>
      <w:r w:rsidRPr="00011EF1">
        <w:t>.</w:t>
      </w:r>
    </w:p>
    <w:p w14:paraId="2025F541" w14:textId="77777777" w:rsidR="00627784" w:rsidRDefault="00627784" w:rsidP="00627784">
      <w:pPr>
        <w:pStyle w:val="CETReferencetext"/>
      </w:pPr>
      <w:proofErr w:type="spellStart"/>
      <w:r w:rsidRPr="006D56D5">
        <w:t>Letshwenyo</w:t>
      </w:r>
      <w:proofErr w:type="spellEnd"/>
      <w:r>
        <w:t xml:space="preserve"> MW, </w:t>
      </w:r>
      <w:proofErr w:type="spellStart"/>
      <w:r w:rsidRPr="006D56D5">
        <w:t>Kgetseyamore</w:t>
      </w:r>
      <w:proofErr w:type="spellEnd"/>
      <w:r>
        <w:t xml:space="preserve"> D, 2020, Generation and composition of municipal solid waste: case study, extension </w:t>
      </w:r>
      <w:proofErr w:type="gramStart"/>
      <w:r>
        <w:t>7</w:t>
      </w:r>
      <w:proofErr w:type="gramEnd"/>
      <w:r>
        <w:t>, Palapye, Botswana. S</w:t>
      </w:r>
      <w:r w:rsidRPr="006D56D5">
        <w:t>N Applied Sciences 2:1665</w:t>
      </w:r>
      <w:r>
        <w:t>.</w:t>
      </w:r>
    </w:p>
    <w:p w14:paraId="78A95807" w14:textId="77777777" w:rsidR="00030630" w:rsidRDefault="00030630" w:rsidP="00030630">
      <w:pPr>
        <w:pStyle w:val="CETReferencetext"/>
      </w:pPr>
      <w:r>
        <w:t xml:space="preserve">Ma J, </w:t>
      </w:r>
      <w:proofErr w:type="spellStart"/>
      <w:r>
        <w:t>Hipel</w:t>
      </w:r>
      <w:proofErr w:type="spellEnd"/>
      <w:r>
        <w:t xml:space="preserve"> KW, 2016, Exploring social dimensions of municipal solid waste management around the globe – A systematic literature review. Waste Management 56: 3-12.</w:t>
      </w:r>
    </w:p>
    <w:p w14:paraId="13A30DBD" w14:textId="77777777" w:rsidR="00030630" w:rsidRDefault="00030630" w:rsidP="00030630">
      <w:pPr>
        <w:pStyle w:val="CETReferencetext"/>
      </w:pPr>
      <w:proofErr w:type="spellStart"/>
      <w:r>
        <w:t>Montanaria</w:t>
      </w:r>
      <w:proofErr w:type="spellEnd"/>
      <w:r>
        <w:t xml:space="preserve"> W, Antonini D, Avella R, Frioni V, </w:t>
      </w:r>
      <w:proofErr w:type="spellStart"/>
      <w:r>
        <w:t>Giffonie</w:t>
      </w:r>
      <w:proofErr w:type="spellEnd"/>
      <w:r>
        <w:t xml:space="preserve"> M, Masi M,  Prifti K, Villano M, </w:t>
      </w:r>
      <w:proofErr w:type="spellStart"/>
      <w:r>
        <w:t>Regattieri</w:t>
      </w:r>
      <w:proofErr w:type="spellEnd"/>
      <w:r>
        <w:t xml:space="preserve"> G, 2023, </w:t>
      </w:r>
      <w:r w:rsidRPr="00EC72CD">
        <w:t>Position Paper: The Sustainability of Plastics</w:t>
      </w:r>
      <w:r>
        <w:t xml:space="preserve">. </w:t>
      </w:r>
      <w:r w:rsidRPr="00CA2B8B">
        <w:t>C</w:t>
      </w:r>
      <w:r>
        <w:t xml:space="preserve">hemical Engineering Transactions 98: 1 – 8. </w:t>
      </w:r>
    </w:p>
    <w:p w14:paraId="06542823" w14:textId="7EFAB736" w:rsidR="00030630" w:rsidRDefault="00030630" w:rsidP="00030630">
      <w:pPr>
        <w:pStyle w:val="CETReferencetext"/>
      </w:pPr>
      <w:r w:rsidRPr="00A01236">
        <w:t>Nagamori</w:t>
      </w:r>
      <w:r>
        <w:t xml:space="preserve"> K</w:t>
      </w:r>
      <w:r w:rsidRPr="00A01236">
        <w:t>, Hirayama</w:t>
      </w:r>
      <w:r>
        <w:t xml:space="preserve"> T</w:t>
      </w:r>
      <w:r w:rsidRPr="00A01236">
        <w:t>, Masui</w:t>
      </w:r>
      <w:r>
        <w:t xml:space="preserve"> T, 2023, Analysis of Future Scenarios toward a Decarbonized Society in Three African Countries. </w:t>
      </w:r>
      <w:r w:rsidRPr="00CA2B8B">
        <w:t>C</w:t>
      </w:r>
      <w:r>
        <w:t>hemical Engineering Transactions 106</w:t>
      </w:r>
      <w:r w:rsidRPr="00821860">
        <w:t xml:space="preserve">, </w:t>
      </w:r>
      <w:r>
        <w:t xml:space="preserve">439 </w:t>
      </w:r>
      <w:r w:rsidRPr="00821860">
        <w:t xml:space="preserve">– </w:t>
      </w:r>
      <w:r>
        <w:t>444</w:t>
      </w:r>
      <w:r w:rsidRPr="00821860">
        <w:t>.</w:t>
      </w:r>
    </w:p>
    <w:p w14:paraId="7C3E6AFD" w14:textId="5794E64E" w:rsidR="002B1123" w:rsidRDefault="002B1123" w:rsidP="002B1123">
      <w:pPr>
        <w:pStyle w:val="CETReferencetext"/>
      </w:pPr>
      <w:r>
        <w:t xml:space="preserve">Young GC, 2010, Municipal Solid Waste and Properties, Municipal solid waste to energy conversion processes. 135 – 154. </w:t>
      </w:r>
    </w:p>
    <w:p w14:paraId="5E2AEE15" w14:textId="77777777" w:rsidR="002B1123" w:rsidRDefault="002B1123" w:rsidP="002B1123">
      <w:pPr>
        <w:pStyle w:val="CETReferencetext"/>
      </w:pPr>
      <w:r w:rsidRPr="006543B7">
        <w:t>Yufeng D., Ju</w:t>
      </w:r>
      <w:r>
        <w:t xml:space="preserve"> T</w:t>
      </w:r>
      <w:r w:rsidRPr="006543B7">
        <w:t>, Meng</w:t>
      </w:r>
      <w:r>
        <w:t xml:space="preserve"> Y</w:t>
      </w:r>
      <w:r w:rsidRPr="006543B7">
        <w:t>, Lan</w:t>
      </w:r>
      <w:r>
        <w:t xml:space="preserve"> T</w:t>
      </w:r>
      <w:r w:rsidRPr="006543B7">
        <w:t>, Han</w:t>
      </w:r>
      <w:r>
        <w:t xml:space="preserve"> S</w:t>
      </w:r>
      <w:r w:rsidRPr="006543B7">
        <w:t xml:space="preserve">, </w:t>
      </w:r>
      <w:r>
        <w:t>J</w:t>
      </w:r>
      <w:r w:rsidRPr="006543B7">
        <w:t xml:space="preserve">iang </w:t>
      </w:r>
      <w:r>
        <w:t xml:space="preserve">J, </w:t>
      </w:r>
      <w:r w:rsidRPr="006543B7">
        <w:t>2021</w:t>
      </w:r>
      <w:r>
        <w:t xml:space="preserve">, </w:t>
      </w:r>
      <w:r w:rsidRPr="006543B7">
        <w:t>A review on municipal solid waste pyrolysis of different composition for gas production. Fuel Processing Technology 224</w:t>
      </w:r>
      <w:r>
        <w:t>:</w:t>
      </w:r>
      <w:r w:rsidRPr="006543B7">
        <w:t>107026.</w:t>
      </w:r>
    </w:p>
    <w:p w14:paraId="1C97A88B" w14:textId="61196DBB" w:rsidR="005B4EB3" w:rsidRDefault="005B4EB3" w:rsidP="0025395B">
      <w:pPr>
        <w:pStyle w:val="CETReferencetext"/>
      </w:pPr>
      <w:r w:rsidRPr="005B4EB3">
        <w:t>Zeng J., Hui Zeng H., Wang Z. (2022) Review on technology of making biofuel from food waste. International Journal of Energy Research</w:t>
      </w:r>
      <w:r>
        <w:t xml:space="preserve"> </w:t>
      </w:r>
      <w:r w:rsidRPr="005B4EB3">
        <w:t>46, 10301-10319.</w:t>
      </w:r>
    </w:p>
    <w:p w14:paraId="76D87F3A" w14:textId="6F26ACDC" w:rsidR="006D56D5" w:rsidRDefault="002B1123" w:rsidP="0025395B">
      <w:pPr>
        <w:pStyle w:val="CETReferencetext"/>
      </w:pPr>
      <w:r w:rsidRPr="00011EF1">
        <w:t>Zeng J., Zeng H</w:t>
      </w:r>
      <w:r>
        <w:t>H</w:t>
      </w:r>
      <w:r w:rsidRPr="00011EF1">
        <w:t>, Wang Z</w:t>
      </w:r>
      <w:r>
        <w:t xml:space="preserve">, </w:t>
      </w:r>
      <w:r w:rsidRPr="00011EF1">
        <w:t>2022</w:t>
      </w:r>
      <w:r>
        <w:t xml:space="preserve">, </w:t>
      </w:r>
      <w:r w:rsidRPr="00011EF1">
        <w:t>Review on technology of making biofuel from food waste. International Journal of Energy Research</w:t>
      </w:r>
      <w:r>
        <w:t xml:space="preserve"> </w:t>
      </w:r>
      <w:r w:rsidRPr="00011EF1">
        <w:t>46</w:t>
      </w:r>
      <w:r>
        <w:t>:</w:t>
      </w:r>
      <w:r w:rsidRPr="00011EF1">
        <w:t>10301-10319</w:t>
      </w:r>
      <w:r w:rsidR="00030630">
        <w:t>.</w:t>
      </w:r>
    </w:p>
    <w:sectPr w:rsidR="006D56D5" w:rsidSect="00EC097C">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BE5EE" w14:textId="77777777" w:rsidR="00EC097C" w:rsidRDefault="00EC097C" w:rsidP="004F5E36">
      <w:r>
        <w:separator/>
      </w:r>
    </w:p>
  </w:endnote>
  <w:endnote w:type="continuationSeparator" w:id="0">
    <w:p w14:paraId="159A613B" w14:textId="77777777" w:rsidR="00EC097C" w:rsidRDefault="00EC097C"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721FB" w14:textId="77777777" w:rsidR="00EC097C" w:rsidRDefault="00EC097C" w:rsidP="004F5E36">
      <w:r>
        <w:separator/>
      </w:r>
    </w:p>
  </w:footnote>
  <w:footnote w:type="continuationSeparator" w:id="0">
    <w:p w14:paraId="092FA0B7" w14:textId="77777777" w:rsidR="00EC097C" w:rsidRDefault="00EC097C"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D1CB1DA"/>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35CA"/>
    <w:rsid w:val="000052FB"/>
    <w:rsid w:val="000117CB"/>
    <w:rsid w:val="00011EF1"/>
    <w:rsid w:val="00017B4B"/>
    <w:rsid w:val="00021D3A"/>
    <w:rsid w:val="00030630"/>
    <w:rsid w:val="0003148D"/>
    <w:rsid w:val="00031EEC"/>
    <w:rsid w:val="0003696D"/>
    <w:rsid w:val="00037C08"/>
    <w:rsid w:val="00051566"/>
    <w:rsid w:val="000550DC"/>
    <w:rsid w:val="000562A9"/>
    <w:rsid w:val="00057755"/>
    <w:rsid w:val="0006103A"/>
    <w:rsid w:val="00062A9A"/>
    <w:rsid w:val="00065058"/>
    <w:rsid w:val="000744BA"/>
    <w:rsid w:val="00081E20"/>
    <w:rsid w:val="00086C39"/>
    <w:rsid w:val="00091B86"/>
    <w:rsid w:val="000A03B2"/>
    <w:rsid w:val="000A45FF"/>
    <w:rsid w:val="000B19F9"/>
    <w:rsid w:val="000D0268"/>
    <w:rsid w:val="000D076C"/>
    <w:rsid w:val="000D13DE"/>
    <w:rsid w:val="000D34BE"/>
    <w:rsid w:val="000D6FBA"/>
    <w:rsid w:val="000E102F"/>
    <w:rsid w:val="000E258B"/>
    <w:rsid w:val="000E2EBC"/>
    <w:rsid w:val="000E36F1"/>
    <w:rsid w:val="000E3A73"/>
    <w:rsid w:val="000E414A"/>
    <w:rsid w:val="000F093C"/>
    <w:rsid w:val="000F787B"/>
    <w:rsid w:val="001136B1"/>
    <w:rsid w:val="00116826"/>
    <w:rsid w:val="0012091F"/>
    <w:rsid w:val="0012325C"/>
    <w:rsid w:val="00124B0B"/>
    <w:rsid w:val="00126BC2"/>
    <w:rsid w:val="001308B6"/>
    <w:rsid w:val="0013121F"/>
    <w:rsid w:val="00131FE6"/>
    <w:rsid w:val="0013263F"/>
    <w:rsid w:val="001331DF"/>
    <w:rsid w:val="00134DE4"/>
    <w:rsid w:val="0014034D"/>
    <w:rsid w:val="00144D16"/>
    <w:rsid w:val="00150305"/>
    <w:rsid w:val="00150E59"/>
    <w:rsid w:val="00152DE3"/>
    <w:rsid w:val="001535B2"/>
    <w:rsid w:val="00156F74"/>
    <w:rsid w:val="00164964"/>
    <w:rsid w:val="00164CF9"/>
    <w:rsid w:val="001667A6"/>
    <w:rsid w:val="001670E5"/>
    <w:rsid w:val="00182290"/>
    <w:rsid w:val="00184AD6"/>
    <w:rsid w:val="001A4AF7"/>
    <w:rsid w:val="001A7F6C"/>
    <w:rsid w:val="001B0349"/>
    <w:rsid w:val="001B1E93"/>
    <w:rsid w:val="001B65C1"/>
    <w:rsid w:val="001C57C7"/>
    <w:rsid w:val="001C644A"/>
    <w:rsid w:val="001C684B"/>
    <w:rsid w:val="001D0038"/>
    <w:rsid w:val="001D0CFB"/>
    <w:rsid w:val="001D21AF"/>
    <w:rsid w:val="001D53FC"/>
    <w:rsid w:val="001D656F"/>
    <w:rsid w:val="001F3C13"/>
    <w:rsid w:val="001F42A5"/>
    <w:rsid w:val="001F7387"/>
    <w:rsid w:val="001F7B9D"/>
    <w:rsid w:val="00201C93"/>
    <w:rsid w:val="00204DFC"/>
    <w:rsid w:val="00211269"/>
    <w:rsid w:val="00220636"/>
    <w:rsid w:val="002224B4"/>
    <w:rsid w:val="002243BD"/>
    <w:rsid w:val="00233CBC"/>
    <w:rsid w:val="00235DA4"/>
    <w:rsid w:val="00237FD8"/>
    <w:rsid w:val="00242793"/>
    <w:rsid w:val="002447EF"/>
    <w:rsid w:val="00251550"/>
    <w:rsid w:val="002537A4"/>
    <w:rsid w:val="0025395B"/>
    <w:rsid w:val="00263B05"/>
    <w:rsid w:val="00264645"/>
    <w:rsid w:val="00271B10"/>
    <w:rsid w:val="0027221A"/>
    <w:rsid w:val="00275B61"/>
    <w:rsid w:val="0027662F"/>
    <w:rsid w:val="0027771C"/>
    <w:rsid w:val="00280FAF"/>
    <w:rsid w:val="0028211C"/>
    <w:rsid w:val="00282656"/>
    <w:rsid w:val="0029156F"/>
    <w:rsid w:val="00291819"/>
    <w:rsid w:val="00296B83"/>
    <w:rsid w:val="002A7437"/>
    <w:rsid w:val="002A772B"/>
    <w:rsid w:val="002B1123"/>
    <w:rsid w:val="002B4015"/>
    <w:rsid w:val="002B6FE8"/>
    <w:rsid w:val="002B78CE"/>
    <w:rsid w:val="002C1BC0"/>
    <w:rsid w:val="002C2FB6"/>
    <w:rsid w:val="002C772F"/>
    <w:rsid w:val="002D06AA"/>
    <w:rsid w:val="002E5FA7"/>
    <w:rsid w:val="002F3309"/>
    <w:rsid w:val="002F423B"/>
    <w:rsid w:val="002F7BDD"/>
    <w:rsid w:val="003008CE"/>
    <w:rsid w:val="003009B7"/>
    <w:rsid w:val="00300E56"/>
    <w:rsid w:val="00301421"/>
    <w:rsid w:val="0030152C"/>
    <w:rsid w:val="003032E9"/>
    <w:rsid w:val="0030469C"/>
    <w:rsid w:val="00321CA6"/>
    <w:rsid w:val="00323763"/>
    <w:rsid w:val="00323C5F"/>
    <w:rsid w:val="00334C09"/>
    <w:rsid w:val="00342B27"/>
    <w:rsid w:val="00357995"/>
    <w:rsid w:val="003618F3"/>
    <w:rsid w:val="003653A1"/>
    <w:rsid w:val="003723D4"/>
    <w:rsid w:val="00376576"/>
    <w:rsid w:val="00381905"/>
    <w:rsid w:val="00384CC8"/>
    <w:rsid w:val="003871FD"/>
    <w:rsid w:val="003978A7"/>
    <w:rsid w:val="003A1E30"/>
    <w:rsid w:val="003A2829"/>
    <w:rsid w:val="003A6FC6"/>
    <w:rsid w:val="003A7D1C"/>
    <w:rsid w:val="003B304B"/>
    <w:rsid w:val="003B3146"/>
    <w:rsid w:val="003C15FB"/>
    <w:rsid w:val="003C5AD9"/>
    <w:rsid w:val="003C6B29"/>
    <w:rsid w:val="003C7415"/>
    <w:rsid w:val="003D1D26"/>
    <w:rsid w:val="003D427E"/>
    <w:rsid w:val="003D5395"/>
    <w:rsid w:val="003F015E"/>
    <w:rsid w:val="003F1BBB"/>
    <w:rsid w:val="00400414"/>
    <w:rsid w:val="0041446B"/>
    <w:rsid w:val="00422133"/>
    <w:rsid w:val="004241FE"/>
    <w:rsid w:val="0042533F"/>
    <w:rsid w:val="00430AD0"/>
    <w:rsid w:val="004365E4"/>
    <w:rsid w:val="00437691"/>
    <w:rsid w:val="0044071E"/>
    <w:rsid w:val="0044329C"/>
    <w:rsid w:val="00450FC7"/>
    <w:rsid w:val="00453E24"/>
    <w:rsid w:val="00454677"/>
    <w:rsid w:val="00457456"/>
    <w:rsid w:val="004577FE"/>
    <w:rsid w:val="00457B9C"/>
    <w:rsid w:val="0046164A"/>
    <w:rsid w:val="00461F22"/>
    <w:rsid w:val="004628D2"/>
    <w:rsid w:val="00462DCD"/>
    <w:rsid w:val="004648AD"/>
    <w:rsid w:val="004703A9"/>
    <w:rsid w:val="004760DE"/>
    <w:rsid w:val="004761E9"/>
    <w:rsid w:val="004763D7"/>
    <w:rsid w:val="00476F16"/>
    <w:rsid w:val="00496443"/>
    <w:rsid w:val="004A004E"/>
    <w:rsid w:val="004A24CF"/>
    <w:rsid w:val="004B427A"/>
    <w:rsid w:val="004C014E"/>
    <w:rsid w:val="004C3D1D"/>
    <w:rsid w:val="004C3D84"/>
    <w:rsid w:val="004C4814"/>
    <w:rsid w:val="004C7913"/>
    <w:rsid w:val="004E4DD6"/>
    <w:rsid w:val="004F5E36"/>
    <w:rsid w:val="004F6881"/>
    <w:rsid w:val="00504A98"/>
    <w:rsid w:val="00507B47"/>
    <w:rsid w:val="00507BEF"/>
    <w:rsid w:val="00507CC9"/>
    <w:rsid w:val="005119A5"/>
    <w:rsid w:val="00516AAC"/>
    <w:rsid w:val="005278B7"/>
    <w:rsid w:val="00532016"/>
    <w:rsid w:val="005346C8"/>
    <w:rsid w:val="00534A41"/>
    <w:rsid w:val="00541E6F"/>
    <w:rsid w:val="00543E7D"/>
    <w:rsid w:val="00547A68"/>
    <w:rsid w:val="00550C3F"/>
    <w:rsid w:val="005531C9"/>
    <w:rsid w:val="00556C6D"/>
    <w:rsid w:val="00565B11"/>
    <w:rsid w:val="00570C43"/>
    <w:rsid w:val="005848DD"/>
    <w:rsid w:val="005B1F0F"/>
    <w:rsid w:val="005B2110"/>
    <w:rsid w:val="005B4EB3"/>
    <w:rsid w:val="005B61E6"/>
    <w:rsid w:val="005C19C7"/>
    <w:rsid w:val="005C77E1"/>
    <w:rsid w:val="005D0135"/>
    <w:rsid w:val="005D3D83"/>
    <w:rsid w:val="005D668A"/>
    <w:rsid w:val="005D6A2F"/>
    <w:rsid w:val="005E1A36"/>
    <w:rsid w:val="005E1A82"/>
    <w:rsid w:val="005E3BCD"/>
    <w:rsid w:val="005E794C"/>
    <w:rsid w:val="005F0A28"/>
    <w:rsid w:val="005F0E5E"/>
    <w:rsid w:val="005F76C3"/>
    <w:rsid w:val="00600535"/>
    <w:rsid w:val="00610CD6"/>
    <w:rsid w:val="00620DEE"/>
    <w:rsid w:val="00621F92"/>
    <w:rsid w:val="0062280A"/>
    <w:rsid w:val="00625639"/>
    <w:rsid w:val="00626C85"/>
    <w:rsid w:val="00627784"/>
    <w:rsid w:val="00627FE8"/>
    <w:rsid w:val="00631B33"/>
    <w:rsid w:val="0064184D"/>
    <w:rsid w:val="006422CC"/>
    <w:rsid w:val="006541ED"/>
    <w:rsid w:val="006543B7"/>
    <w:rsid w:val="00660E3E"/>
    <w:rsid w:val="00662E74"/>
    <w:rsid w:val="00663408"/>
    <w:rsid w:val="0067380E"/>
    <w:rsid w:val="00680C23"/>
    <w:rsid w:val="00680F5C"/>
    <w:rsid w:val="00686868"/>
    <w:rsid w:val="00693766"/>
    <w:rsid w:val="006A23E9"/>
    <w:rsid w:val="006A3281"/>
    <w:rsid w:val="006A71DD"/>
    <w:rsid w:val="006B1A4B"/>
    <w:rsid w:val="006B4888"/>
    <w:rsid w:val="006C117F"/>
    <w:rsid w:val="006C2E45"/>
    <w:rsid w:val="006C359C"/>
    <w:rsid w:val="006C47C3"/>
    <w:rsid w:val="006C5579"/>
    <w:rsid w:val="006D56D5"/>
    <w:rsid w:val="006D6E8B"/>
    <w:rsid w:val="006D7F07"/>
    <w:rsid w:val="006E737D"/>
    <w:rsid w:val="007074D5"/>
    <w:rsid w:val="00713973"/>
    <w:rsid w:val="00720A24"/>
    <w:rsid w:val="007245B7"/>
    <w:rsid w:val="00732386"/>
    <w:rsid w:val="0073514D"/>
    <w:rsid w:val="007447F3"/>
    <w:rsid w:val="00752785"/>
    <w:rsid w:val="00753D3E"/>
    <w:rsid w:val="0075499F"/>
    <w:rsid w:val="00763461"/>
    <w:rsid w:val="007661C8"/>
    <w:rsid w:val="0077098D"/>
    <w:rsid w:val="007723D3"/>
    <w:rsid w:val="00785935"/>
    <w:rsid w:val="00786156"/>
    <w:rsid w:val="0079012B"/>
    <w:rsid w:val="007931FA"/>
    <w:rsid w:val="00797C5E"/>
    <w:rsid w:val="007A11DE"/>
    <w:rsid w:val="007A4303"/>
    <w:rsid w:val="007A4861"/>
    <w:rsid w:val="007A7BBA"/>
    <w:rsid w:val="007B0C50"/>
    <w:rsid w:val="007B48F9"/>
    <w:rsid w:val="007B6C97"/>
    <w:rsid w:val="007C1A43"/>
    <w:rsid w:val="007D0951"/>
    <w:rsid w:val="007D2698"/>
    <w:rsid w:val="0080013E"/>
    <w:rsid w:val="00805618"/>
    <w:rsid w:val="00812DE8"/>
    <w:rsid w:val="00813288"/>
    <w:rsid w:val="008168FC"/>
    <w:rsid w:val="00821860"/>
    <w:rsid w:val="0082252A"/>
    <w:rsid w:val="00824CF0"/>
    <w:rsid w:val="00830996"/>
    <w:rsid w:val="008345F1"/>
    <w:rsid w:val="008356CC"/>
    <w:rsid w:val="00840A57"/>
    <w:rsid w:val="00843EAC"/>
    <w:rsid w:val="00851CC8"/>
    <w:rsid w:val="00865B07"/>
    <w:rsid w:val="008667EA"/>
    <w:rsid w:val="0087637F"/>
    <w:rsid w:val="00880B9B"/>
    <w:rsid w:val="00884E46"/>
    <w:rsid w:val="0089083F"/>
    <w:rsid w:val="00890B40"/>
    <w:rsid w:val="00892AD5"/>
    <w:rsid w:val="008A1512"/>
    <w:rsid w:val="008A317C"/>
    <w:rsid w:val="008A67EB"/>
    <w:rsid w:val="008B7C03"/>
    <w:rsid w:val="008C3BD5"/>
    <w:rsid w:val="008D32B9"/>
    <w:rsid w:val="008D433B"/>
    <w:rsid w:val="008D4A16"/>
    <w:rsid w:val="008D4B0D"/>
    <w:rsid w:val="008D4CD4"/>
    <w:rsid w:val="008E516B"/>
    <w:rsid w:val="008E566E"/>
    <w:rsid w:val="008E6CD8"/>
    <w:rsid w:val="0090161A"/>
    <w:rsid w:val="00901EB6"/>
    <w:rsid w:val="00902EDA"/>
    <w:rsid w:val="00904C62"/>
    <w:rsid w:val="00911C7A"/>
    <w:rsid w:val="00913B38"/>
    <w:rsid w:val="00914F25"/>
    <w:rsid w:val="00915CC7"/>
    <w:rsid w:val="00922BA8"/>
    <w:rsid w:val="00924DAC"/>
    <w:rsid w:val="00927058"/>
    <w:rsid w:val="00932488"/>
    <w:rsid w:val="00942750"/>
    <w:rsid w:val="009450CE"/>
    <w:rsid w:val="009459BB"/>
    <w:rsid w:val="00947179"/>
    <w:rsid w:val="00950ACD"/>
    <w:rsid w:val="0095164B"/>
    <w:rsid w:val="00953D15"/>
    <w:rsid w:val="00954090"/>
    <w:rsid w:val="00954D87"/>
    <w:rsid w:val="00956F3A"/>
    <w:rsid w:val="009573E7"/>
    <w:rsid w:val="0096101C"/>
    <w:rsid w:val="0096178A"/>
    <w:rsid w:val="00961C56"/>
    <w:rsid w:val="00963E05"/>
    <w:rsid w:val="00964A45"/>
    <w:rsid w:val="00967843"/>
    <w:rsid w:val="00967D54"/>
    <w:rsid w:val="009704BF"/>
    <w:rsid w:val="00971028"/>
    <w:rsid w:val="00971191"/>
    <w:rsid w:val="00976E59"/>
    <w:rsid w:val="00993B84"/>
    <w:rsid w:val="00995998"/>
    <w:rsid w:val="00996483"/>
    <w:rsid w:val="00996F5A"/>
    <w:rsid w:val="009A10EF"/>
    <w:rsid w:val="009A5139"/>
    <w:rsid w:val="009A75BF"/>
    <w:rsid w:val="009B041A"/>
    <w:rsid w:val="009C1DCB"/>
    <w:rsid w:val="009C37C3"/>
    <w:rsid w:val="009C7C86"/>
    <w:rsid w:val="009D2FF7"/>
    <w:rsid w:val="009D4E41"/>
    <w:rsid w:val="009D53A0"/>
    <w:rsid w:val="009E3668"/>
    <w:rsid w:val="009E7884"/>
    <w:rsid w:val="009E788A"/>
    <w:rsid w:val="009F0E08"/>
    <w:rsid w:val="00A01236"/>
    <w:rsid w:val="00A07426"/>
    <w:rsid w:val="00A14800"/>
    <w:rsid w:val="00A14E80"/>
    <w:rsid w:val="00A1763D"/>
    <w:rsid w:val="00A17CEC"/>
    <w:rsid w:val="00A20012"/>
    <w:rsid w:val="00A2129A"/>
    <w:rsid w:val="00A21DFD"/>
    <w:rsid w:val="00A27EF0"/>
    <w:rsid w:val="00A42361"/>
    <w:rsid w:val="00A43D5A"/>
    <w:rsid w:val="00A473A1"/>
    <w:rsid w:val="00A5049D"/>
    <w:rsid w:val="00A50B20"/>
    <w:rsid w:val="00A50FF7"/>
    <w:rsid w:val="00A51390"/>
    <w:rsid w:val="00A5436E"/>
    <w:rsid w:val="00A57062"/>
    <w:rsid w:val="00A60798"/>
    <w:rsid w:val="00A60D13"/>
    <w:rsid w:val="00A7223D"/>
    <w:rsid w:val="00A72745"/>
    <w:rsid w:val="00A7530B"/>
    <w:rsid w:val="00A76EFC"/>
    <w:rsid w:val="00A776CC"/>
    <w:rsid w:val="00A87D50"/>
    <w:rsid w:val="00A90B84"/>
    <w:rsid w:val="00A91010"/>
    <w:rsid w:val="00A96F59"/>
    <w:rsid w:val="00A974AB"/>
    <w:rsid w:val="00A97F29"/>
    <w:rsid w:val="00AA702E"/>
    <w:rsid w:val="00AA7D26"/>
    <w:rsid w:val="00AB0964"/>
    <w:rsid w:val="00AB44AC"/>
    <w:rsid w:val="00AB5011"/>
    <w:rsid w:val="00AC28C8"/>
    <w:rsid w:val="00AC7368"/>
    <w:rsid w:val="00AD16B9"/>
    <w:rsid w:val="00AD406E"/>
    <w:rsid w:val="00AE377D"/>
    <w:rsid w:val="00AE4CF6"/>
    <w:rsid w:val="00AF0EBA"/>
    <w:rsid w:val="00B02C8A"/>
    <w:rsid w:val="00B05E27"/>
    <w:rsid w:val="00B15EBF"/>
    <w:rsid w:val="00B17FBD"/>
    <w:rsid w:val="00B23FE2"/>
    <w:rsid w:val="00B25861"/>
    <w:rsid w:val="00B315A6"/>
    <w:rsid w:val="00B31813"/>
    <w:rsid w:val="00B33365"/>
    <w:rsid w:val="00B363E7"/>
    <w:rsid w:val="00B46167"/>
    <w:rsid w:val="00B57B36"/>
    <w:rsid w:val="00B57E6F"/>
    <w:rsid w:val="00B636C7"/>
    <w:rsid w:val="00B66497"/>
    <w:rsid w:val="00B854C2"/>
    <w:rsid w:val="00B85976"/>
    <w:rsid w:val="00B8686D"/>
    <w:rsid w:val="00B92003"/>
    <w:rsid w:val="00B93F69"/>
    <w:rsid w:val="00BA2CC7"/>
    <w:rsid w:val="00BB1DDC"/>
    <w:rsid w:val="00BC30C9"/>
    <w:rsid w:val="00BD0328"/>
    <w:rsid w:val="00BD077D"/>
    <w:rsid w:val="00BE3E58"/>
    <w:rsid w:val="00BE67BA"/>
    <w:rsid w:val="00BF5203"/>
    <w:rsid w:val="00BF5A4B"/>
    <w:rsid w:val="00BF6531"/>
    <w:rsid w:val="00C01616"/>
    <w:rsid w:val="00C0162B"/>
    <w:rsid w:val="00C03CA4"/>
    <w:rsid w:val="00C068ED"/>
    <w:rsid w:val="00C07988"/>
    <w:rsid w:val="00C116F0"/>
    <w:rsid w:val="00C13915"/>
    <w:rsid w:val="00C1582B"/>
    <w:rsid w:val="00C22E0C"/>
    <w:rsid w:val="00C269A1"/>
    <w:rsid w:val="00C27504"/>
    <w:rsid w:val="00C345B1"/>
    <w:rsid w:val="00C36E6D"/>
    <w:rsid w:val="00C37D08"/>
    <w:rsid w:val="00C40108"/>
    <w:rsid w:val="00C40142"/>
    <w:rsid w:val="00C4039A"/>
    <w:rsid w:val="00C4165A"/>
    <w:rsid w:val="00C471F0"/>
    <w:rsid w:val="00C52C3C"/>
    <w:rsid w:val="00C57182"/>
    <w:rsid w:val="00C57863"/>
    <w:rsid w:val="00C64011"/>
    <w:rsid w:val="00C640AF"/>
    <w:rsid w:val="00C655FD"/>
    <w:rsid w:val="00C75407"/>
    <w:rsid w:val="00C81353"/>
    <w:rsid w:val="00C82C5D"/>
    <w:rsid w:val="00C870A8"/>
    <w:rsid w:val="00C94434"/>
    <w:rsid w:val="00CA0D4A"/>
    <w:rsid w:val="00CA0D75"/>
    <w:rsid w:val="00CA1C95"/>
    <w:rsid w:val="00CA2B8B"/>
    <w:rsid w:val="00CA5A9C"/>
    <w:rsid w:val="00CA7809"/>
    <w:rsid w:val="00CC2A03"/>
    <w:rsid w:val="00CC4C20"/>
    <w:rsid w:val="00CD3517"/>
    <w:rsid w:val="00CD5FE2"/>
    <w:rsid w:val="00CE7C68"/>
    <w:rsid w:val="00CF23CF"/>
    <w:rsid w:val="00D02B4C"/>
    <w:rsid w:val="00D040C4"/>
    <w:rsid w:val="00D20AD1"/>
    <w:rsid w:val="00D25043"/>
    <w:rsid w:val="00D33C1B"/>
    <w:rsid w:val="00D46B7E"/>
    <w:rsid w:val="00D57C84"/>
    <w:rsid w:val="00D6057D"/>
    <w:rsid w:val="00D648EC"/>
    <w:rsid w:val="00D65644"/>
    <w:rsid w:val="00D71640"/>
    <w:rsid w:val="00D741A7"/>
    <w:rsid w:val="00D76DA7"/>
    <w:rsid w:val="00D81E7D"/>
    <w:rsid w:val="00D836C5"/>
    <w:rsid w:val="00D84576"/>
    <w:rsid w:val="00DA0073"/>
    <w:rsid w:val="00DA1399"/>
    <w:rsid w:val="00DA24C6"/>
    <w:rsid w:val="00DA4D7B"/>
    <w:rsid w:val="00DB3233"/>
    <w:rsid w:val="00DB53B8"/>
    <w:rsid w:val="00DD271C"/>
    <w:rsid w:val="00DD4E33"/>
    <w:rsid w:val="00DD7AD5"/>
    <w:rsid w:val="00DE264A"/>
    <w:rsid w:val="00DE2CC0"/>
    <w:rsid w:val="00DE6B0F"/>
    <w:rsid w:val="00DE74DE"/>
    <w:rsid w:val="00DF1699"/>
    <w:rsid w:val="00DF5072"/>
    <w:rsid w:val="00E02D18"/>
    <w:rsid w:val="00E041E7"/>
    <w:rsid w:val="00E14804"/>
    <w:rsid w:val="00E23CA1"/>
    <w:rsid w:val="00E30B37"/>
    <w:rsid w:val="00E33DD7"/>
    <w:rsid w:val="00E409A8"/>
    <w:rsid w:val="00E45EAC"/>
    <w:rsid w:val="00E50C12"/>
    <w:rsid w:val="00E62883"/>
    <w:rsid w:val="00E65B91"/>
    <w:rsid w:val="00E6752A"/>
    <w:rsid w:val="00E71421"/>
    <w:rsid w:val="00E7209D"/>
    <w:rsid w:val="00E72EAD"/>
    <w:rsid w:val="00E77223"/>
    <w:rsid w:val="00E8528B"/>
    <w:rsid w:val="00E85B94"/>
    <w:rsid w:val="00E947B2"/>
    <w:rsid w:val="00E978D0"/>
    <w:rsid w:val="00EA2231"/>
    <w:rsid w:val="00EA4613"/>
    <w:rsid w:val="00EA7F91"/>
    <w:rsid w:val="00EB1523"/>
    <w:rsid w:val="00EB4AA3"/>
    <w:rsid w:val="00EC097C"/>
    <w:rsid w:val="00EC0E49"/>
    <w:rsid w:val="00EC101F"/>
    <w:rsid w:val="00EC1D9F"/>
    <w:rsid w:val="00EC5539"/>
    <w:rsid w:val="00EC72CD"/>
    <w:rsid w:val="00EE0131"/>
    <w:rsid w:val="00EE17B0"/>
    <w:rsid w:val="00EF06D9"/>
    <w:rsid w:val="00EF27FE"/>
    <w:rsid w:val="00EF43E6"/>
    <w:rsid w:val="00F121DF"/>
    <w:rsid w:val="00F25293"/>
    <w:rsid w:val="00F26724"/>
    <w:rsid w:val="00F3049E"/>
    <w:rsid w:val="00F30C64"/>
    <w:rsid w:val="00F32BA2"/>
    <w:rsid w:val="00F32CDB"/>
    <w:rsid w:val="00F565FE"/>
    <w:rsid w:val="00F568E7"/>
    <w:rsid w:val="00F63A70"/>
    <w:rsid w:val="00F63D8C"/>
    <w:rsid w:val="00F7534E"/>
    <w:rsid w:val="00F82B9D"/>
    <w:rsid w:val="00F93EDF"/>
    <w:rsid w:val="00FA13AD"/>
    <w:rsid w:val="00FA1802"/>
    <w:rsid w:val="00FA21D0"/>
    <w:rsid w:val="00FA2BED"/>
    <w:rsid w:val="00FA5F5F"/>
    <w:rsid w:val="00FB730C"/>
    <w:rsid w:val="00FC2695"/>
    <w:rsid w:val="00FC3E03"/>
    <w:rsid w:val="00FC3FC1"/>
    <w:rsid w:val="00FC5D2A"/>
    <w:rsid w:val="00FD4558"/>
    <w:rsid w:val="00FE48AB"/>
    <w:rsid w:val="00FE4CD8"/>
    <w:rsid w:val="00FF3D2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6C47C3"/>
    <w:pPr>
      <w:keepNext/>
      <w:numPr>
        <w:ilvl w:val="2"/>
        <w:numId w:val="1"/>
      </w:numPr>
      <w:suppressAutoHyphens/>
      <w:spacing w:before="120" w:after="120" w:line="240" w:lineRule="auto"/>
      <w:jc w:val="both"/>
    </w:pPr>
    <w:rPr>
      <w:rFonts w:ascii="Arial" w:eastAsia="Times New Roman" w:hAnsi="Arial" w:cs="Times New Roman"/>
      <w:bCs/>
      <w:i/>
      <w:iCs/>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6C47C3"/>
    <w:rPr>
      <w:rFonts w:ascii="Arial" w:eastAsia="Times New Roman" w:hAnsi="Arial" w:cs="Times New Roman"/>
      <w:bCs/>
      <w:i/>
      <w:iCs/>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val="0"/>
      <w:bCs/>
      <w:i/>
      <w:iCs/>
      <w:sz w:val="18"/>
      <w:szCs w:val="20"/>
      <w:lang w:val="en-US"/>
    </w:rPr>
  </w:style>
  <w:style w:type="paragraph" w:styleId="ListParagraph">
    <w:name w:val="List Paragraph"/>
    <w:basedOn w:val="Normal"/>
    <w:uiPriority w:val="34"/>
    <w:rsid w:val="00280FAF"/>
    <w:pPr>
      <w:ind w:left="720"/>
      <w:contextualSpacing/>
    </w:pPr>
  </w:style>
  <w:style w:type="character" w:styleId="UnresolvedMention">
    <w:name w:val="Unresolved Mention"/>
    <w:basedOn w:val="DefaultParagraphFont"/>
    <w:uiPriority w:val="99"/>
    <w:semiHidden/>
    <w:unhideWhenUsed/>
    <w:rsid w:val="003D427E"/>
    <w:rPr>
      <w:color w:val="605E5C"/>
      <w:shd w:val="clear" w:color="auto" w:fill="E1DFDD"/>
    </w:rPr>
  </w:style>
  <w:style w:type="character" w:styleId="FollowedHyperlink">
    <w:name w:val="FollowedHyperlink"/>
    <w:basedOn w:val="DefaultParagraphFont"/>
    <w:uiPriority w:val="99"/>
    <w:semiHidden/>
    <w:unhideWhenUsed/>
    <w:rsid w:val="00884E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26880">
      <w:bodyDiv w:val="1"/>
      <w:marLeft w:val="0"/>
      <w:marRight w:val="0"/>
      <w:marTop w:val="0"/>
      <w:marBottom w:val="0"/>
      <w:divBdr>
        <w:top w:val="none" w:sz="0" w:space="0" w:color="auto"/>
        <w:left w:val="none" w:sz="0" w:space="0" w:color="auto"/>
        <w:bottom w:val="none" w:sz="0" w:space="0" w:color="auto"/>
        <w:right w:val="none" w:sz="0" w:space="0" w:color="auto"/>
      </w:divBdr>
    </w:div>
    <w:div w:id="1109397389">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79602">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mailto:makgato2001@yahoo.com" TargetMode="External"/><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Sheet1!$M$3</c:f>
              <c:strCache>
                <c:ptCount val="1"/>
                <c:pt idx="0">
                  <c:v>Quantity</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Sheet1!$L$4:$L$12</c:f>
              <c:strCache>
                <c:ptCount val="9"/>
                <c:pt idx="0">
                  <c:v>Greens</c:v>
                </c:pt>
                <c:pt idx="1">
                  <c:v>Food waste</c:v>
                </c:pt>
                <c:pt idx="2">
                  <c:v>Paper</c:v>
                </c:pt>
                <c:pt idx="3">
                  <c:v>Plastics</c:v>
                </c:pt>
                <c:pt idx="4">
                  <c:v>Textiles</c:v>
                </c:pt>
                <c:pt idx="5">
                  <c:v>Glass</c:v>
                </c:pt>
                <c:pt idx="6">
                  <c:v>C&amp;D and Inerts</c:v>
                </c:pt>
                <c:pt idx="7">
                  <c:v>Metals</c:v>
                </c:pt>
                <c:pt idx="8">
                  <c:v>Other waste</c:v>
                </c:pt>
              </c:strCache>
            </c:strRef>
          </c:cat>
          <c:val>
            <c:numRef>
              <c:f>Sheet1!$M$4:$M$12</c:f>
              <c:numCache>
                <c:formatCode>General</c:formatCode>
                <c:ptCount val="9"/>
                <c:pt idx="0">
                  <c:v>12100</c:v>
                </c:pt>
                <c:pt idx="1">
                  <c:v>9900</c:v>
                </c:pt>
                <c:pt idx="2">
                  <c:v>7575</c:v>
                </c:pt>
                <c:pt idx="3">
                  <c:v>5626</c:v>
                </c:pt>
                <c:pt idx="4">
                  <c:v>2849</c:v>
                </c:pt>
                <c:pt idx="5">
                  <c:v>1347</c:v>
                </c:pt>
                <c:pt idx="6">
                  <c:v>1005</c:v>
                </c:pt>
                <c:pt idx="7">
                  <c:v>793</c:v>
                </c:pt>
                <c:pt idx="8">
                  <c:v>670</c:v>
                </c:pt>
              </c:numCache>
            </c:numRef>
          </c:val>
          <c:extLst>
            <c:ext xmlns:c16="http://schemas.microsoft.com/office/drawing/2014/chart" uri="{C3380CC4-5D6E-409C-BE32-E72D297353CC}">
              <c16:uniqueId val="{00000000-35DE-44A5-B11B-068339009C81}"/>
            </c:ext>
          </c:extLst>
        </c:ser>
        <c:dLbls>
          <c:showLegendKey val="0"/>
          <c:showVal val="0"/>
          <c:showCatName val="0"/>
          <c:showSerName val="0"/>
          <c:showPercent val="0"/>
          <c:showBubbleSize val="0"/>
        </c:dLbls>
        <c:gapWidth val="300"/>
        <c:axId val="811272448"/>
        <c:axId val="508117855"/>
      </c:barChart>
      <c:catAx>
        <c:axId val="8112724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08117855"/>
        <c:crosses val="autoZero"/>
        <c:auto val="1"/>
        <c:lblAlgn val="ctr"/>
        <c:lblOffset val="100"/>
        <c:noMultiLvlLbl val="0"/>
      </c:catAx>
      <c:valAx>
        <c:axId val="508117855"/>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ZA"/>
                  <a:t>Quantity (Kg)</a:t>
                </a:r>
              </a:p>
            </c:rich>
          </c:tx>
          <c:layout>
            <c:manualLayout>
              <c:xMode val="edge"/>
              <c:yMode val="edge"/>
              <c:x val="5.4200542005420054E-3"/>
              <c:y val="0.4404012818966557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11272448"/>
        <c:crosses val="autoZero"/>
        <c:crossBetween val="between"/>
      </c:valAx>
      <c:spPr>
        <a:noFill/>
        <a:ln w="1270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Metadata/LabelInfo.xml><?xml version="1.0" encoding="utf-8"?>
<clbl:labelList xmlns:clbl="http://schemas.microsoft.com/office/2020/mipLabelMetadata">
  <clbl:label id="{ca9a8b8c-3ea3-4799-a43e-5510398e7a3b}" enabled="0" method="" siteId="{ca9a8b8c-3ea3-4799-a43e-5510398e7a3b}" removed="1"/>
</clbl:labelList>
</file>

<file path=docProps/app.xml><?xml version="1.0" encoding="utf-8"?>
<Properties xmlns="http://schemas.openxmlformats.org/officeDocument/2006/extended-properties" xmlns:vt="http://schemas.openxmlformats.org/officeDocument/2006/docPropsVTypes">
  <Template>Normal</Template>
  <TotalTime>162</TotalTime>
  <Pages>6</Pages>
  <Words>3825</Words>
  <Characters>20928</Characters>
  <Application>Microsoft Office Word</Application>
  <DocSecurity>0</DocSecurity>
  <Lines>510</Lines>
  <Paragraphs>255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Makgato, Seshibe</cp:lastModifiedBy>
  <cp:revision>34</cp:revision>
  <cp:lastPrinted>2015-05-12T18:31:00Z</cp:lastPrinted>
  <dcterms:created xsi:type="dcterms:W3CDTF">2024-04-17T13:45:00Z</dcterms:created>
  <dcterms:modified xsi:type="dcterms:W3CDTF">2024-04-17T21:32:00Z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