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4EA43B4" w:rsidR="000A03B2" w:rsidRPr="00B57B36" w:rsidRDefault="00A76EFC" w:rsidP="005D668A">
            <w:pPr>
              <w:tabs>
                <w:tab w:val="left" w:pos="-108"/>
              </w:tabs>
              <w:ind w:left="-108"/>
              <w:rPr>
                <w:rFonts w:cs="Arial"/>
                <w:b/>
                <w:bCs/>
                <w:i/>
                <w:iCs/>
                <w:color w:val="000066"/>
                <w:sz w:val="22"/>
                <w:szCs w:val="22"/>
                <w:lang w:eastAsia="it-IT"/>
              </w:rPr>
            </w:pPr>
            <w:proofErr w:type="gramStart"/>
            <w:r w:rsidRPr="00B57B36">
              <w:rPr>
                <w:rFonts w:cs="Arial"/>
                <w:b/>
                <w:bCs/>
                <w:i/>
                <w:iCs/>
                <w:color w:val="000066"/>
                <w:sz w:val="22"/>
                <w:szCs w:val="22"/>
                <w:lang w:eastAsia="it-IT"/>
              </w:rPr>
              <w:t>VOL. ,</w:t>
            </w:r>
            <w:proofErr w:type="gramEnd"/>
            <w:r w:rsidRPr="00B57B36">
              <w:rPr>
                <w:rFonts w:cs="Arial"/>
                <w:b/>
                <w:bCs/>
                <w:i/>
                <w:iCs/>
                <w:color w:val="000066"/>
                <w:sz w:val="22"/>
                <w:szCs w:val="22"/>
                <w:lang w:eastAsia="it-IT"/>
              </w:rPr>
              <w:t xml:space="preserve"> </w:t>
            </w:r>
            <w:r w:rsidR="00FA5F5F">
              <w:rPr>
                <w:rFonts w:cs="Arial"/>
                <w:b/>
                <w:bCs/>
                <w:i/>
                <w:iCs/>
                <w:color w:val="000066"/>
                <w:sz w:val="22"/>
                <w:szCs w:val="22"/>
                <w:lang w:eastAsia="it-IT"/>
              </w:rPr>
              <w:t>2024</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4B0BB442" w14:textId="3D5FBD20" w:rsidR="00300E56" w:rsidRPr="007931FA" w:rsidRDefault="00300E56" w:rsidP="007931FA">
            <w:pPr>
              <w:ind w:left="-107"/>
              <w:rPr>
                <w:rFonts w:ascii="Times New Roman" w:hAnsi="Times New Roman"/>
                <w:sz w:val="24"/>
                <w:szCs w:val="24"/>
                <w:lang w:val="en-US" w:eastAsia="it-IT"/>
              </w:rPr>
            </w:pPr>
            <w:r w:rsidRPr="00B57B36">
              <w:rPr>
                <w:rFonts w:ascii="Tahoma" w:hAnsi="Tahoma" w:cs="Tahoma"/>
                <w:iCs/>
                <w:color w:val="333333"/>
                <w:sz w:val="14"/>
                <w:szCs w:val="14"/>
                <w:lang w:eastAsia="it-IT"/>
              </w:rPr>
              <w:t xml:space="preserve">Guest Editors: </w:t>
            </w:r>
            <w:r w:rsidR="00FD3E85" w:rsidRPr="008A46E5">
              <w:rPr>
                <w:rFonts w:ascii="Tahoma" w:hAnsi="Tahoma" w:cs="Tahoma"/>
                <w:sz w:val="14"/>
                <w:szCs w:val="14"/>
              </w:rPr>
              <w:t xml:space="preserve">Sauro Pierucci, </w:t>
            </w:r>
            <w:r w:rsidR="00FD3E85" w:rsidRPr="008A46E5">
              <w:rPr>
                <w:rFonts w:ascii="Tahoma" w:hAnsi="Tahoma" w:cs="Tahoma"/>
                <w:sz w:val="14"/>
                <w:szCs w:val="14"/>
                <w:shd w:val="clear" w:color="auto" w:fill="FFFFFF"/>
              </w:rPr>
              <w:t xml:space="preserve">Jiří Jaromír </w:t>
            </w:r>
            <w:proofErr w:type="spellStart"/>
            <w:r w:rsidR="00FD3E85" w:rsidRPr="008A46E5">
              <w:rPr>
                <w:rFonts w:ascii="Tahoma" w:hAnsi="Tahoma" w:cs="Tahoma"/>
                <w:sz w:val="14"/>
                <w:szCs w:val="14"/>
                <w:shd w:val="clear" w:color="auto" w:fill="FFFFFF"/>
              </w:rPr>
              <w:t>Klemeš</w:t>
            </w:r>
            <w:proofErr w:type="spellEnd"/>
          </w:p>
          <w:p w14:paraId="1B0F1814" w14:textId="1ACF9C99" w:rsidR="000A03B2" w:rsidRPr="00B57B36" w:rsidRDefault="00FA5F5F" w:rsidP="005D668A">
            <w:pPr>
              <w:tabs>
                <w:tab w:val="left" w:pos="-108"/>
              </w:tabs>
              <w:spacing w:line="140" w:lineRule="atLeast"/>
              <w:ind w:left="-107"/>
              <w:jc w:val="left"/>
            </w:pPr>
            <w:r>
              <w:rPr>
                <w:rFonts w:ascii="Tahoma" w:hAnsi="Tahoma" w:cs="Tahoma"/>
                <w:iCs/>
                <w:color w:val="333333"/>
                <w:sz w:val="14"/>
                <w:szCs w:val="14"/>
                <w:lang w:eastAsia="it-IT"/>
              </w:rPr>
              <w:t xml:space="preserve">Copyright © 2021,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proofErr w:type="gram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 xml:space="preserve"> .</w:t>
            </w:r>
            <w:proofErr w:type="gramEnd"/>
            <w:r w:rsidR="00904C62" w:rsidRPr="00B57B36">
              <w:rPr>
                <w:rFonts w:ascii="Tahoma" w:hAnsi="Tahoma" w:cs="Tahoma"/>
                <w:iCs/>
                <w:color w:val="333333"/>
                <w:sz w:val="14"/>
                <w:szCs w:val="14"/>
                <w:lang w:eastAsia="it-IT"/>
              </w:rPr>
              <w:t xml:space="preserve"> </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Pr>
                <w:rFonts w:ascii="Tahoma" w:hAnsi="Tahoma" w:cs="Tahoma"/>
                <w:sz w:val="14"/>
                <w:szCs w:val="14"/>
              </w:rPr>
              <w:t>978-88-95608-84-</w:t>
            </w:r>
            <w:proofErr w:type="gramStart"/>
            <w:r w:rsidR="008D32B9">
              <w:rPr>
                <w:rFonts w:ascii="Tahoma" w:hAnsi="Tahoma" w:cs="Tahoma"/>
                <w:sz w:val="14"/>
                <w:szCs w:val="14"/>
              </w:rPr>
              <w:t xml:space="preserve">6 </w:t>
            </w:r>
            <w:r w:rsidR="00300E56" w:rsidRPr="00EF06D9">
              <w:rPr>
                <w:rFonts w:ascii="Tahoma" w:hAnsi="Tahoma" w:cs="Tahoma"/>
                <w:iCs/>
                <w:color w:val="333333"/>
                <w:sz w:val="14"/>
                <w:szCs w:val="14"/>
                <w:lang w:eastAsia="it-IT"/>
              </w:rPr>
              <w:t>;</w:t>
            </w:r>
            <w:proofErr w:type="gramEnd"/>
            <w:r w:rsidR="00300E56" w:rsidRPr="00EF06D9">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 xml:space="preserve">ISSN </w:t>
            </w:r>
            <w:r w:rsidR="00300E56" w:rsidRPr="00B57B36">
              <w:rPr>
                <w:rFonts w:ascii="Tahoma" w:hAnsi="Tahoma" w:cs="Tahoma"/>
                <w:iCs/>
                <w:color w:val="333333"/>
                <w:sz w:val="14"/>
                <w:szCs w:val="14"/>
                <w:lang w:eastAsia="it-IT"/>
              </w:rPr>
              <w:t>2283-9216</w:t>
            </w:r>
          </w:p>
        </w:tc>
      </w:tr>
    </w:tbl>
    <w:p w14:paraId="2E667253" w14:textId="6E0C2C49" w:rsidR="00E978D0" w:rsidRDefault="00284A91" w:rsidP="001D1943">
      <w:pPr>
        <w:pStyle w:val="CETTitle"/>
        <w:spacing w:line="240" w:lineRule="auto"/>
      </w:pPr>
      <w:r w:rsidRPr="00284A91">
        <w:t>Biochar from wastewater treatment plant sludge: Efficiency in the removal of hydrocarbons from contaminated soil</w:t>
      </w:r>
    </w:p>
    <w:p w14:paraId="2B3CA35C" w14:textId="71FB1C73" w:rsidR="00E978D0" w:rsidRPr="00311584" w:rsidRDefault="00E62D39" w:rsidP="00AB5011">
      <w:pPr>
        <w:pStyle w:val="CETAuthors"/>
      </w:pPr>
      <w:r w:rsidRPr="00311584">
        <w:t>María A. Pérez Pérez</w:t>
      </w:r>
      <w:r>
        <w:t xml:space="preserve"> </w:t>
      </w:r>
      <w:r w:rsidRPr="00311584">
        <w:rPr>
          <w:vertAlign w:val="superscript"/>
        </w:rPr>
        <w:t>a</w:t>
      </w:r>
      <w:r w:rsidRPr="00E62D39">
        <w:t xml:space="preserve">, </w:t>
      </w:r>
      <w:r w:rsidR="00284495" w:rsidRPr="00311584">
        <w:t>Julissa A. Diaz Agüero</w:t>
      </w:r>
      <w:r>
        <w:t xml:space="preserve"> </w:t>
      </w:r>
      <w:r w:rsidR="00116503" w:rsidRPr="00311584">
        <w:rPr>
          <w:vertAlign w:val="superscript"/>
        </w:rPr>
        <w:t>a</w:t>
      </w:r>
      <w:r w:rsidR="00284495" w:rsidRPr="00311584">
        <w:t>,</w:t>
      </w:r>
      <w:r>
        <w:t xml:space="preserve"> </w:t>
      </w:r>
      <w:r w:rsidR="00284495" w:rsidRPr="00311584">
        <w:t>Danny Lizarzaburu-Aguinaga</w:t>
      </w:r>
      <w:r>
        <w:t xml:space="preserve"> </w:t>
      </w:r>
      <w:r w:rsidR="00116503" w:rsidRPr="00311584">
        <w:rPr>
          <w:vertAlign w:val="superscript"/>
        </w:rPr>
        <w:t>b</w:t>
      </w:r>
      <w:r w:rsidR="00FE70BB" w:rsidRPr="00311584">
        <w:t>, Elmer Benites-Alfaro</w:t>
      </w:r>
      <w:r>
        <w:t xml:space="preserve"> </w:t>
      </w:r>
      <w:r w:rsidR="00116503" w:rsidRPr="00311584">
        <w:rPr>
          <w:vertAlign w:val="superscript"/>
        </w:rPr>
        <w:t>a*</w:t>
      </w:r>
    </w:p>
    <w:p w14:paraId="5053C5A8" w14:textId="55FA83B2" w:rsidR="00E978D0" w:rsidRPr="00311584" w:rsidRDefault="00E978D0" w:rsidP="00E978D0">
      <w:pPr>
        <w:pStyle w:val="CETAddress"/>
      </w:pPr>
      <w:r w:rsidRPr="00311584">
        <w:rPr>
          <w:vertAlign w:val="superscript"/>
        </w:rPr>
        <w:t xml:space="preserve">a </w:t>
      </w:r>
      <w:r w:rsidR="00265AD9" w:rsidRPr="00311584">
        <w:t>César Vallejo University, Av. Alfredo Mendiola 6232, Los Olivos, Lima – Peru</w:t>
      </w:r>
    </w:p>
    <w:p w14:paraId="38D29194" w14:textId="01DFA4BD" w:rsidR="00E978D0" w:rsidRPr="00187EF8" w:rsidRDefault="00E978D0" w:rsidP="00E978D0">
      <w:pPr>
        <w:pStyle w:val="CETAddress"/>
        <w:rPr>
          <w:lang w:val="es-PE"/>
        </w:rPr>
      </w:pPr>
      <w:r w:rsidRPr="001A30D0">
        <w:rPr>
          <w:vertAlign w:val="superscript"/>
          <w:lang w:val="es-PE"/>
        </w:rPr>
        <w:t xml:space="preserve">b </w:t>
      </w:r>
      <w:r w:rsidR="001A30D0" w:rsidRPr="001A30D0">
        <w:rPr>
          <w:lang w:val="es-PE"/>
        </w:rPr>
        <w:t xml:space="preserve">César Vallejo University, Av. </w:t>
      </w:r>
      <w:r w:rsidR="001A30D0" w:rsidRPr="00187EF8">
        <w:rPr>
          <w:lang w:val="es-PE"/>
        </w:rPr>
        <w:t>Argentina 1795, Callao – Peru</w:t>
      </w:r>
    </w:p>
    <w:p w14:paraId="0127A28D" w14:textId="4369582F" w:rsidR="00E978D0" w:rsidRPr="00311584" w:rsidRDefault="005D5ACE" w:rsidP="00E978D0">
      <w:pPr>
        <w:pStyle w:val="CETemail"/>
        <w:rPr>
          <w:lang w:val="en-US"/>
        </w:rPr>
      </w:pPr>
      <w:r w:rsidRPr="00311584">
        <w:rPr>
          <w:vertAlign w:val="superscript"/>
          <w:lang w:val="en-US"/>
        </w:rPr>
        <w:t>a</w:t>
      </w:r>
      <w:r w:rsidR="00B23A23" w:rsidRPr="00311584">
        <w:rPr>
          <w:lang w:val="en-US"/>
        </w:rPr>
        <w:t>*ebenitesa@ucv.edu.pe</w:t>
      </w:r>
    </w:p>
    <w:p w14:paraId="37A61FCE" w14:textId="6F5E9D7D" w:rsidR="00DA24C6" w:rsidRDefault="00FD1AFB" w:rsidP="003A6232">
      <w:pPr>
        <w:pStyle w:val="CETListbullets"/>
        <w:ind w:left="0" w:firstLine="0"/>
      </w:pPr>
      <w:r w:rsidRPr="00FD1AFB">
        <w:t xml:space="preserve">Biochar is a carbonaceous material produced by pyrolysis of organic matter such as wood, agricultural waste, or, in this case, sewage sludge. Biochar is very porous and has a large surface area, making it very efficient at absorbing and retaining contaminants in soil, including hydrocarbons. The use of sewage sludge as biochar to remove hydrocarbons from the soil can be an interesting practice in environmental management and the remediation of contaminated soils, while at the same time, it is a sustainable solution for the management of these wastes, contributing to reducing environmental pollution. The objective of the research was to determine the efficiency of the reduction of total petroleum hydrocarbons from contaminated soil using </w:t>
      </w:r>
      <w:r w:rsidR="007A40F2">
        <w:t>concentrations</w:t>
      </w:r>
      <w:r w:rsidR="007A40F2" w:rsidRPr="00FD1AFB">
        <w:t xml:space="preserve"> </w:t>
      </w:r>
      <w:r w:rsidR="007A40F2">
        <w:t xml:space="preserve">of </w:t>
      </w:r>
      <w:r w:rsidRPr="00FD1AFB">
        <w:t>5, 10, and 20</w:t>
      </w:r>
      <w:r w:rsidR="00E62D39">
        <w:t xml:space="preserve"> </w:t>
      </w:r>
      <w:r w:rsidRPr="00FD1AFB">
        <w:t>%</w:t>
      </w:r>
      <w:r w:rsidR="007A40F2">
        <w:t xml:space="preserve"> of</w:t>
      </w:r>
      <w:r w:rsidRPr="00FD1AFB">
        <w:t xml:space="preserve"> sewage sludge</w:t>
      </w:r>
      <w:r w:rsidR="007A40F2">
        <w:t xml:space="preserve"> </w:t>
      </w:r>
      <w:r w:rsidR="007A40F2" w:rsidRPr="00FD1AFB">
        <w:t>biochar</w:t>
      </w:r>
      <w:r w:rsidRPr="00FD1AFB">
        <w:t>. The results of hydrocarbon removal from the light fraction were 99.99</w:t>
      </w:r>
      <w:r w:rsidR="00E62D39">
        <w:t xml:space="preserve"> </w:t>
      </w:r>
      <w:r w:rsidRPr="00FD1AFB">
        <w:t>%, the medium fraction 54.59%, and the heavy fraction 54.92</w:t>
      </w:r>
      <w:r w:rsidR="00E62D39">
        <w:t xml:space="preserve"> </w:t>
      </w:r>
      <w:r w:rsidRPr="00FD1AFB">
        <w:t>%, after 45 days; In addition, the physicochemical properties of the soil improved. Therefore, the use of sewage sludge as biochar for the removal of hydrocarbons from the soil is an effective strategy, but it must be carried out with caution and following appropriate practices to ensure environmental safety and the highest remediation efficiency.</w:t>
      </w:r>
    </w:p>
    <w:p w14:paraId="476B2F2E" w14:textId="77777777" w:rsidR="00600535" w:rsidRPr="00B57B36" w:rsidRDefault="00600535" w:rsidP="00600535">
      <w:pPr>
        <w:pStyle w:val="CETHeading1"/>
        <w:rPr>
          <w:lang w:val="en-GB"/>
        </w:rPr>
      </w:pPr>
      <w:r w:rsidRPr="00B57B36">
        <w:rPr>
          <w:lang w:val="en-GB"/>
        </w:rPr>
        <w:t>Introduction</w:t>
      </w:r>
    </w:p>
    <w:p w14:paraId="33590A17" w14:textId="7202C1C8" w:rsidR="00D96735" w:rsidRDefault="00F52498" w:rsidP="00D96735">
      <w:pPr>
        <w:pStyle w:val="CETBodytext"/>
        <w:rPr>
          <w:lang w:val="en-US"/>
        </w:rPr>
      </w:pPr>
      <w:r w:rsidRPr="00B62D30">
        <w:rPr>
          <w:lang w:val="en-US"/>
        </w:rPr>
        <w:t xml:space="preserve">On January 15, 2022, environmental alarms went off in Peru, due to a crude oil spill that occurred on the coast of </w:t>
      </w:r>
      <w:proofErr w:type="spellStart"/>
      <w:r w:rsidRPr="00B62D30">
        <w:rPr>
          <w:lang w:val="en-US"/>
        </w:rPr>
        <w:t>Ventanilla</w:t>
      </w:r>
      <w:proofErr w:type="spellEnd"/>
      <w:r w:rsidR="00311584">
        <w:rPr>
          <w:lang w:val="en-US"/>
        </w:rPr>
        <w:t>.</w:t>
      </w:r>
      <w:r w:rsidRPr="00B62D30">
        <w:rPr>
          <w:lang w:val="en-US"/>
        </w:rPr>
        <w:t xml:space="preserve"> </w:t>
      </w:r>
      <w:r w:rsidR="00311584">
        <w:rPr>
          <w:lang w:val="en-US"/>
        </w:rPr>
        <w:t>N</w:t>
      </w:r>
      <w:r w:rsidRPr="00B62D30">
        <w:rPr>
          <w:lang w:val="en-US"/>
        </w:rPr>
        <w:t>early twelve thousand barrels affected eleven thousand hectares in 97 sites, including 62 beaches and two</w:t>
      </w:r>
      <w:r w:rsidR="00311584" w:rsidRPr="00B62D30">
        <w:rPr>
          <w:lang w:val="en-US"/>
        </w:rPr>
        <w:t xml:space="preserve"> protected</w:t>
      </w:r>
      <w:r w:rsidRPr="00B62D30">
        <w:rPr>
          <w:lang w:val="en-US"/>
        </w:rPr>
        <w:t xml:space="preserve"> natural areas </w:t>
      </w:r>
      <w:r w:rsidR="00143492">
        <w:rPr>
          <w:lang w:val="es-PE"/>
        </w:rPr>
        <w:fldChar w:fldCharType="begin" w:fldLock="1"/>
      </w:r>
      <w:r w:rsidR="00B62D30">
        <w:rPr>
          <w:lang w:val="en-US"/>
        </w:rPr>
        <w:instrText>ADDIN CSL_CITATION {"citationItems":[{"id":"ITEM-1","itemData":{"ISBN":"0001972022","author":[{"dropping-particle":"","family":"Defensoría del Pueblo","given":"","non-dropping-particle":"","parse-names":false,"suffix":""}],"id":"ITEM-1","issued":{"date-parts":[["2023"]]},"number-of-pages":"1-35","publisher":"Defensoría del Pueblo","publisher-place":"Lima, Perú","title":"Derrame de petróleo en Ventanilla: Reporte a un año del desastre ambiental y social en nuestro litoral.","type":"book"},"uris":["http://www.mendeley.com/documents/?uuid=d32c8543-7520-4047-a90d-f3bb85af6684"]}],"mendeley":{"formattedCitation":"(Defensoría del Pueblo, 2023)","manualFormatting":"(Defensoría del Pueblo, 2023), ","plainTextFormattedCitation":"(Defensoría del Pueblo, 2023)","previouslyFormattedCitation":"(Defensoría del Pueblo, 2023)"},"properties":{"noteIndex":0},"schema":"https://github.com/citation-style-language/schema/raw/master/csl-citation.json"}</w:instrText>
      </w:r>
      <w:r w:rsidR="00143492">
        <w:rPr>
          <w:lang w:val="es-PE"/>
        </w:rPr>
        <w:fldChar w:fldCharType="separate"/>
      </w:r>
      <w:r w:rsidR="00143492" w:rsidRPr="00B62D30">
        <w:rPr>
          <w:noProof/>
          <w:lang w:val="en-US"/>
        </w:rPr>
        <w:t>(</w:t>
      </w:r>
      <w:r w:rsidR="00B62D30">
        <w:rPr>
          <w:noProof/>
          <w:lang w:val="en-US"/>
        </w:rPr>
        <w:t>Defensoría del Pueblo</w:t>
      </w:r>
      <w:r w:rsidR="00143492" w:rsidRPr="00B62D30">
        <w:rPr>
          <w:noProof/>
          <w:lang w:val="en-US"/>
        </w:rPr>
        <w:t>, 2023)</w:t>
      </w:r>
      <w:r w:rsidR="00311584">
        <w:rPr>
          <w:noProof/>
          <w:lang w:val="en-US"/>
        </w:rPr>
        <w:t>.</w:t>
      </w:r>
      <w:r w:rsidR="00B62D30">
        <w:rPr>
          <w:noProof/>
          <w:lang w:val="en-US"/>
        </w:rPr>
        <w:t xml:space="preserve"> </w:t>
      </w:r>
      <w:r w:rsidR="00143492">
        <w:rPr>
          <w:lang w:val="es-PE"/>
        </w:rPr>
        <w:fldChar w:fldCharType="end"/>
      </w:r>
      <w:r w:rsidR="006D4975" w:rsidRPr="006D4975">
        <w:t xml:space="preserve"> </w:t>
      </w:r>
      <w:r w:rsidR="006D4975" w:rsidRPr="006D4975">
        <w:rPr>
          <w:lang w:val="en-US"/>
        </w:rPr>
        <w:t>For</w:t>
      </w:r>
      <w:r w:rsidR="00F14CC4">
        <w:rPr>
          <w:lang w:val="en-US"/>
        </w:rPr>
        <w:t xml:space="preserve"> the</w:t>
      </w:r>
      <w:r w:rsidR="006D4975" w:rsidRPr="006D4975">
        <w:rPr>
          <w:lang w:val="en-US"/>
        </w:rPr>
        <w:t xml:space="preserve"> </w:t>
      </w:r>
      <w:r w:rsidR="00F14CC4" w:rsidRPr="00CB1B2B">
        <w:rPr>
          <w:lang w:val="es-PE"/>
        </w:rPr>
        <w:fldChar w:fldCharType="begin" w:fldLock="1"/>
      </w:r>
      <w:r w:rsidR="00F14CC4" w:rsidRPr="00B62D30">
        <w:rPr>
          <w:lang w:val="en-US"/>
        </w:rPr>
        <w:instrText>ADDIN CSL_CITATION {"citationItems":[{"id":"ITEM-1","itemData":{"abstract":"ITOPF’s annual Oil Tanker Spill Statistics publication presents data on accidental spills of oil from tankers. This includes incidents involving both persistent and non-persistent oil from tankers, except those resulting from acts of war. It provides information on oil spills recorded in the last year and an overview of the number and size of oil tanker spills since 1970. Data is held on over 10,000 oil spills from tankers, including combined carriers, FPSOs and barges. This includes the location and cause of the incident, the vessel involved, the type of oil spilt and the amount of oil spilt. Spills are categorised by size, ie small (&lt;7 tonnes or 50 bbls), medium (7-700 tonnes or 50-5,000 bbls) or large (&gt;700 tonnes or 5,000 bbls), although the actual amount spilt is also recorded. Information is gathered from shipping and other specialist publications, as well as from vessel owners, their insurers and ITOPF’s own experience at incidents. Historically, information from published sources related mostly to large spills, often resulting from collisions, groundings, structural damage, fire or explosions. Nevertheless, in recent decades reporting of smaller spills has improved. It should be noted that the estimate of the amount of oil spilt in an incident includes all oil lost to the environment, including that which burnt or remained in a sunken vessel. There is considerable annual variation in both the number of oil spills and the amount lost. While we strive to maintain precise records for all spill information, we cannot guarantee that the information taken from the shipping press and other sources is complete or accurate. The number of incidents and volumes of oil spilt are recorded based on the most up to date info</w:instrText>
      </w:r>
      <w:r w:rsidR="00F14CC4">
        <w:rPr>
          <w:lang w:val="es-PE"/>
        </w:rPr>
        <w:instrText>rmation available. Occasionally, data is received after publication and, in this case, adjust</w:instrText>
      </w:r>
      <w:r w:rsidR="00F14CC4" w:rsidRPr="00B62D30">
        <w:rPr>
          <w:lang w:val="en-US"/>
        </w:rPr>
        <w:instrText>ment to previous entries may be made. Consequently, the figures in the following tables, and any averages derived from them, should be viewed with a degree of caution. It is also important to note that accidental spills from tankers account for only a small percentage of the oil that enters the oceans each year. Pipeline spills, oil industry activities, petroleum usage (including oil spills from non-tankers and ‘run-off’ from roads and other land-based sources), as well as natural seepage, all contribute towards annual inputs. Therefore, ITOPF’s report shows only part of the picture relating to the global input of oil into the marine environment.","author":[{"dropping-particle":"","family":"International Tanker Owners Pollution Federation","given":"","non-dropping-particle":"","parse-names":false,"suffix":""}],"id":"ITEM-1","issued":{"date-parts":[["2023"]]},"page":"20","title":"Oil Tanker Spill Statistics 2022","type":"article"},"uris":["http://www.mendeley.com/documents/?uuid=4a10d47d-37ee-4c3f-977e-daab0874b3f6"]}],"mendeley":{"formattedCitation":"(International Tanker Owners Pollution Federation, 2023)","manualFormatting":"International Tanker Owners Pollution Federation (2023)","plainTextFormattedCitation":"(International Tanker Owners Pollution Federation, 2023)","previouslyFormattedCitation":"(International Tanker Owners Pollution Federation, 2023)"},"properties":{"noteIndex":0},"schema":"https://github.com/citation-style-language/schema/raw/master/csl-citation.json"}</w:instrText>
      </w:r>
      <w:r w:rsidR="00F14CC4" w:rsidRPr="00CB1B2B">
        <w:rPr>
          <w:lang w:val="es-PE"/>
        </w:rPr>
        <w:fldChar w:fldCharType="separate"/>
      </w:r>
      <w:r w:rsidR="00F14CC4" w:rsidRPr="00B62D30">
        <w:rPr>
          <w:noProof/>
          <w:lang w:val="en-US"/>
        </w:rPr>
        <w:t>International Tanker Owners Pollution Federation</w:t>
      </w:r>
      <w:r w:rsidR="00F14CC4">
        <w:rPr>
          <w:noProof/>
          <w:lang w:val="en-US"/>
        </w:rPr>
        <w:t xml:space="preserve"> Limited</w:t>
      </w:r>
      <w:r w:rsidR="00F14CC4" w:rsidRPr="00B62D30">
        <w:rPr>
          <w:noProof/>
          <w:lang w:val="en-US"/>
        </w:rPr>
        <w:t xml:space="preserve"> (2023)</w:t>
      </w:r>
      <w:r w:rsidR="00F14CC4" w:rsidRPr="00CB1B2B">
        <w:rPr>
          <w:lang w:val="es-PE"/>
        </w:rPr>
        <w:fldChar w:fldCharType="end"/>
      </w:r>
      <w:r w:rsidR="006D4975" w:rsidRPr="006D4975">
        <w:rPr>
          <w:lang w:val="en-US"/>
        </w:rPr>
        <w:t>, this spill is classified as medium and contributes to the statistics of oil spills accounts for twenty-six thousand tons in the decade.</w:t>
      </w:r>
      <w:r w:rsidR="006B0294" w:rsidRPr="00B62D30">
        <w:rPr>
          <w:lang w:val="en-US"/>
        </w:rPr>
        <w:t xml:space="preserve"> </w:t>
      </w:r>
      <w:r w:rsidR="00105CD3" w:rsidRPr="00105CD3">
        <w:rPr>
          <w:lang w:val="en-US"/>
        </w:rPr>
        <w:t xml:space="preserve">This accident, like others in the country, generates the need to understand the impacts on different environments as water, soil, and ecosystems affected by the interaction of crude oil in the form of an oily stain that floats on the surface </w:t>
      </w:r>
      <w:r w:rsidR="00105CD3">
        <w:rPr>
          <w:lang w:val="en-US"/>
        </w:rPr>
        <w:t>c</w:t>
      </w:r>
      <w:r w:rsidR="00105CD3" w:rsidRPr="00105CD3">
        <w:rPr>
          <w:lang w:val="en-US"/>
        </w:rPr>
        <w:t>aus</w:t>
      </w:r>
      <w:r w:rsidR="00105CD3">
        <w:rPr>
          <w:lang w:val="en-US"/>
        </w:rPr>
        <w:t>ing</w:t>
      </w:r>
      <w:r w:rsidR="00105CD3" w:rsidRPr="00105CD3">
        <w:rPr>
          <w:lang w:val="en-US"/>
        </w:rPr>
        <w:t xml:space="preserve"> adverse processes on a large scale due to the wind, sea currents, and waves that transport the crude oil at high speed </w:t>
      </w:r>
      <w:r w:rsidR="00F14CC4">
        <w:rPr>
          <w:lang w:val="es-PE"/>
        </w:rPr>
        <w:fldChar w:fldCharType="begin" w:fldLock="1"/>
      </w:r>
      <w:r w:rsidR="00F14CC4" w:rsidRPr="00B62D30">
        <w:rPr>
          <w:lang w:val="en-US"/>
        </w:rPr>
        <w:instrText>ADDIN CSL_CITATION {"citationItems":[{"id":"ITEM-1","itemData":{"DOI":"10.18271/ria.2022.411","ISSN":"23068582","abstract":"The oil spill that occurred on the seacoast of the La Pampilla Refinery has caused an environmental disaster of incalculable dimensions. Reports indicate that the product of the spill is 11,900 barrels of oil and the spread of crude oil is 1,739,000 square meters, which includes 24 contaminated Pacific beaches and 116 square kilometers impacted by the oil, between sea and land. The spilled oil has been displaced by marine currents in a northerly direction, affecting the habitats and biodiversity of the 512 hectares of the Sistema de Islas, Islotes y Puntas Guaneras National Reserve and the 1758.1 hectares of the Ancón Reserved Zone. Nearly 500 species of invertebrates, marine algae, birds and mammals have been directly affected and it is likely that they will not return to the habitats where they resided before the spill, and which have been destroyed by the contamination. The objective of the editorial is to describe the possible environmental effects of the oil spill, which contravenes the “human-environment interaction”, while providing inputs for academic debate so that scientists can propose remediation strategies for the environmental disaster in favor of biodiversity conservation and sustainability. The Revista de Investigaciones Altoandinas is always attentive to everything that may be detrimental to the environment and human health, especially to induce the balance of “interaction between humans and the environment” from different disciplines and institutions of knowledge.","author":[{"dropping-particle":"","family":"Pulido Capurro","given":"Víctor","non-dropping-particle":"","parse-names":false,"suffix":""},{"dropping-particle":"","family":"Escobar-Mamani","given":"Fortunato","non-dropping-particle":"","parse-names":false,"suffix":""},{"dropping-particle":"","family":"Arana Bustamante","given":"César","non-dropping-particle":"","parse-names":false,"suffix":""},{"dropping-particle":"","family":"Olivera Carhuaz","given":"Edith","non-dropping-particle":"","parse-names":false,"suffix":""}],"container-title":"Revista de Investigaciones Altoandinas","id":"ITEM-1","issue":"1","issued":{"date-parts":[["2022"]]},"page":"5-8","title":"Efectos del derrame de petróleo en la Refinería la Pampilla en las costas del litoral marino, Lima (Perú)","type":"article-journal","volume":"24"},"uris":["http://www.mendeley.com/documents/?uuid=23497b5d-17b7-44f2-beb8-702d28031d3a"]}],"mendeley":{"formattedCitation":"(Pulido Capurro et al., 2022)","manualFormatting":"(Pulido Capurro et al., 2022)","plainTextFormattedCitation":"(Pulido Capurro et al., 2022)","previouslyFormattedCitation":"(Pulido Capurro et al., 2022)"},"properties":{"noteIndex":0},"schema":"https://github.com/citation-style-language/schema/raw/master/csl-citation.json"}</w:instrText>
      </w:r>
      <w:r w:rsidR="00F14CC4">
        <w:rPr>
          <w:lang w:val="es-PE"/>
        </w:rPr>
        <w:fldChar w:fldCharType="separate"/>
      </w:r>
      <w:r w:rsidR="00F14CC4" w:rsidRPr="00B62D30">
        <w:rPr>
          <w:noProof/>
          <w:lang w:val="en-US"/>
        </w:rPr>
        <w:t>(Pulido Capurro et al., 2022)</w:t>
      </w:r>
      <w:r w:rsidR="00F14CC4">
        <w:rPr>
          <w:lang w:val="es-PE"/>
        </w:rPr>
        <w:fldChar w:fldCharType="end"/>
      </w:r>
      <w:r w:rsidR="00B5664F" w:rsidRPr="00B62D30">
        <w:rPr>
          <w:lang w:val="en-US"/>
        </w:rPr>
        <w:t xml:space="preserve">. </w:t>
      </w:r>
      <w:r w:rsidR="00D96735" w:rsidRPr="00D96735">
        <w:rPr>
          <w:lang w:val="en-US"/>
        </w:rPr>
        <w:t xml:space="preserve">Low-scale diffusion processes also occur that change or modify the concentration of pollutants, causing effects on organisms (initially: fish, birds, mammals, and plankton) and due to the dispersion of crude oil, for the currents and air, are affect the bivalves, crabs, and anemones from the adjacent rocky areas </w:t>
      </w:r>
      <w:r w:rsidR="00F14CC4">
        <w:rPr>
          <w:lang w:val="es-PE"/>
        </w:rPr>
        <w:fldChar w:fldCharType="begin" w:fldLock="1"/>
      </w:r>
      <w:r w:rsidR="00F14CC4" w:rsidRPr="00B62D30">
        <w:rPr>
          <w:lang w:val="en-US"/>
        </w:rPr>
        <w:instrText>ADDIN CSL_CITATION {"citationItems":[{"id":"ITEM-1","itemData":{"DOI":"10.21142/ss-0301-2022-e044","abstract":"Revista de revisión por pares de ciencia e ingeniería de carácter multidisciplinar centrada en la investigación y el desarrollo de diversos ámbitos relacionados con la sostenibilidad.","author":[{"dropping-particle":"","family":"Aponte","given":"Héctor","non-dropping-particle":"","parse-names":false,"suffix":""},{"dropping-particle":"","family":"Torrejón-Magallanes","given":"Josymar","non-dropping-particle":"","parse-names":false,"suffix":""},{"dropping-particle":"","family":"Pérez","given":"Alexader","non-dropping-particle":"","parse-names":false,"suffix":""}],"container-title":"South Sustainability","id":"ITEM-1","issued":{"date-parts":[["2022"]]},"page":"3","title":"Marea Negra en el Perú: Reflexiones sobre un derrame de petróleo en el Pacífico sudamericano","type":"article-journal","volume":"3"},"uris":["http://www.mendeley.com/documents/?uuid=2482211b-24dc-4773-9446-6ee61b86cad8"]}],"mendeley":{"formattedCitation":"(Aponte et al., 2022)","plainTextFormattedCitation":"(Aponte et al., 2022)","previouslyFormattedCitation":"(Aponte et al., 2022)"},"properties":{"noteIndex":0},"schema":"https://github.com/citation-style-language/schema/raw/master/csl-citation.json"}</w:instrText>
      </w:r>
      <w:r w:rsidR="00F14CC4">
        <w:rPr>
          <w:lang w:val="es-PE"/>
        </w:rPr>
        <w:fldChar w:fldCharType="separate"/>
      </w:r>
      <w:r w:rsidR="00F14CC4" w:rsidRPr="00B62D30">
        <w:rPr>
          <w:noProof/>
          <w:lang w:val="en-US"/>
        </w:rPr>
        <w:t>(Aponte et al., 2022)</w:t>
      </w:r>
      <w:r w:rsidR="00F14CC4">
        <w:rPr>
          <w:lang w:val="es-PE"/>
        </w:rPr>
        <w:fldChar w:fldCharType="end"/>
      </w:r>
      <w:r w:rsidR="00D96735" w:rsidRPr="00D96735">
        <w:rPr>
          <w:lang w:val="en-US"/>
        </w:rPr>
        <w:t>.</w:t>
      </w:r>
    </w:p>
    <w:p w14:paraId="012CCB43" w14:textId="77777777" w:rsidR="009245C9" w:rsidRDefault="009245C9" w:rsidP="00D96735">
      <w:pPr>
        <w:pStyle w:val="CETBodytext"/>
        <w:rPr>
          <w:lang w:val="en-US"/>
        </w:rPr>
      </w:pPr>
    </w:p>
    <w:p w14:paraId="03FA1A3F" w14:textId="76F1654E" w:rsidR="009D5ACC" w:rsidRDefault="006E7AE0" w:rsidP="00D96735">
      <w:pPr>
        <w:pStyle w:val="CETBodytext"/>
        <w:rPr>
          <w:lang w:val="en-US"/>
        </w:rPr>
      </w:pPr>
      <w:r w:rsidRPr="006E7AE0">
        <w:rPr>
          <w:lang w:val="en-US"/>
        </w:rPr>
        <w:t xml:space="preserve">Also, the dynamics of this contaminant presents in soils generate impacts as the reduction of its oxygen exchange capacity, loss of agricultural production </w:t>
      </w:r>
      <w:r w:rsidR="00F14CC4">
        <w:rPr>
          <w:lang w:val="es-PE"/>
        </w:rPr>
        <w:fldChar w:fldCharType="begin" w:fldLock="1"/>
      </w:r>
      <w:r w:rsidR="00F14CC4" w:rsidRPr="00B62D30">
        <w:rPr>
          <w:lang w:val="en-US"/>
        </w:rPr>
        <w:instrText>ADDIN CSL_CITATION {"citationItems":[{"id":"ITEM-1","itemData":{"DOI":"10.3303/CET2294138","ISBN":"9788895608938","ISSN":"22839216","abstract":"Spills of petroleum products resulting from illegal pipeline extraction also affect agricultural areas. These areas must be subject to remediation interventions to bring the concentrations of contaminants below the alarm levels and avoid further damage to the environment and living beings. In these cases, green technologies such as bioremediation and phytoremediation are an excellent approach to reduce impacts on agriculture. This contribution evaluates the effectiveness of combining some green techniques in managing soil contaminated by oil spills. A feasibility test of phytoremediation at a microcosm scale with three plant species (corn, lupine and alfalfa) was conducted, combining the approach with plant growth-promoting rhizobacteria (PGPR). Particular attention was given to the reclamation from polycyclic aromatic hydrocarbons (PAHs). At the end of the experiments, biomass production and PAHs concentration in the soil and plants (roots and aerial parts) were determined. The remediation strategy was aimed at two concurrent objectives: the need to remove the maximum amount of contaminants from the soils affected by oil spills and the restoration of the agricultural activity to be carried out in absolute safety. The results show a decrease in the concentration of hydrocarbons in the soil favored by the presence of tested plants, which manage to grow satisfactorily on the soil under examination, albeit with an inevitable decrease in yield compared to uncontaminated soil. Looking at the concentration of pyrene, which is usually considered as indicator of PAHs contamination, the removal reaches values higher than 50 % in vegetated soils. The addition of the selected PGPR counteract the negative effect of contamination, favoring the growth of plants and allowing the production of fresh biomass comparable to that obtained on the uncontaminated control soil. This results in a further reduction of the contaminant in question up to an additional 20 %. Therefore, the presence of organic contaminants can be concretely reduced in a sustainable and cost-effective way by the joint action of plants and microorganisms that promote the processes of rizodegradation.","author":[{"dropping-particle":"","family":"Grifoni","given":"Martina","non-dropping-particle":"","parse-names":false,"suffix":""},{"dropping-particle":"","family":"Pedron","given":"Francesca","non-dropping-particle":"","parse-names":false,"suffix":""},{"dropping-particle":"","family":"Franchi","given":"Elisabetta","non-dropping-particle":"","parse-names":false,"suffix":""},{"dropping-particle":"","family":"Fusini","given":"Danilo","non-dropping-particle":"","parse-names":false,"suffix":""},{"dropping-particle":"","family":"Reverberi","given":"Andrea P.","non-dropping-particle":"","parse-names":false,"suffix":""},{"dropping-particle":"","family":"Vocciante","given":"Marco","non-dropping-particle":"","parse-names":false,"suffix":""}],"container-title":"Chemical Engineering Transactions","id":"ITEM-1","issue":"April","issued":{"date-parts":[["2022"]]},"page":"829-834","title":"Green Remediation for the Sustainable Management of Oil Spills in Agricultural Areas","type":"article-journal","volume":"94"},"uris":["http://www.mendeley.com/documents/?uuid=eb70bbeb-2594-405f-8f9f-3bb91deaabf4"]}],"mendeley":{"formattedCitation":"(Grifoni et al., 2022)","plainTextFormattedCitation":"(Grifoni et al., 2022)","previouslyFormattedCitation":"(Grifoni et al., 2022)"},"properties":{"noteIndex":0},"schema":"https://github.com/citation-style-language/schema/raw/master/csl-citation.json"}</w:instrText>
      </w:r>
      <w:r w:rsidR="00F14CC4">
        <w:rPr>
          <w:lang w:val="es-PE"/>
        </w:rPr>
        <w:fldChar w:fldCharType="separate"/>
      </w:r>
      <w:r w:rsidR="00F14CC4" w:rsidRPr="00B62D30">
        <w:rPr>
          <w:noProof/>
          <w:lang w:val="en-US"/>
        </w:rPr>
        <w:t>(Grifoni et al., 2022)</w:t>
      </w:r>
      <w:r w:rsidR="00F14CC4">
        <w:rPr>
          <w:lang w:val="es-PE"/>
        </w:rPr>
        <w:fldChar w:fldCharType="end"/>
      </w:r>
      <w:r w:rsidRPr="006E7AE0">
        <w:rPr>
          <w:lang w:val="en-US"/>
        </w:rPr>
        <w:t xml:space="preserve">, low pH levels, and change in the cation exchange capacity and conductivity of the soil, in addition to reduction of the microbial community in the soil </w:t>
      </w:r>
      <w:r w:rsidR="00F14CC4" w:rsidRPr="00DC5412">
        <w:rPr>
          <w:lang w:val="es-PE"/>
        </w:rPr>
        <w:fldChar w:fldCharType="begin" w:fldLock="1"/>
      </w:r>
      <w:r w:rsidR="00F14CC4" w:rsidRPr="00B62D30">
        <w:rPr>
          <w:lang w:val="en-US"/>
        </w:rPr>
        <w:instrText>ADDIN CSL_CITATION {"citationItems":[{"id":"ITEM-1","itemData":{"DOI":"10.17268/manglar.2022.009","ISSN":"18167667","abstract":"An environmental disaster of incalculable dimensions was caused by the oil spill that occurred on Saturday, January 15, 2022, when the unloading pipeline of the Italian tanker Mare Dorium ruptured during its loading and unloading activities in the marine littoral of La Pampilla Refinery. The objective of the study was to make a first approximation of the environmental damage produced 30 days after the oil spill at the La Pampilla Refinery. It has been elaborated based on documentary analysis, information from documents of public agencies and scientific articles from indexed bases. The oil spill has spilled 11,900 barrels that have moved in a northerly direction due to the effect of marine currents, the area of oil expansion is 1,739,000 m2, more than 24 beaches are contaminated, and the area impacted by the oil is 713 ha of sea and 180 ha of coastline, affecting the habitats and biodiversity of the Reserva Nacional Sistema de Islas, Islotes y Puntas Guaneras and the Zona Reservada Ancón. Nearly 500 species of marine algae, invertebrates, birds, and mammals have been affected. The Academy and public agencies should establish lines of research that include the management and conservation of species, to be carried out on the coasts of the Peruvian marine coast, in charge of specialized professionals, as well as provide the logistics and economic resources for the recovery and maintenance of marine biodiversity.","author":[{"dropping-particle":"","family":"Pulido","given":"Víctor","non-dropping-particle":"","parse-names":false,"suffix":""},{"dropping-particle":"","family":"Cruz","given":"José","non-dropping-particle":"","parse-names":false,"suffix":""},{"dropping-particle":"","family":"Arana","given":"César","non-dropping-particle":"","parse-names":false,"suffix":""},{"dropping-particle":"","family":"Olivera","given":"Edith","non-dropping-particle":"","parse-names":false,"suffix":""}],"container-title":"Manglar","id":"ITEM-1","issue":"1","issued":{"date-parts":[["2022"]]},"page":"67-75","title":"Environmental damage to the Peruvian marine littoral caused by the oil spill (January 2022) at the La Pampilla refinery","type":"article-journal","volume":"19"},"uris":["http://www.mendeley.com/documents/?uuid=98232a21-7127-4ced-b22c-ac8c6d7d51ae"]}],"mendeley":{"formattedCitation":"(Pulido et al., 2022)","plainTextFormattedCitation":"(Pulido et al., 2022)","previouslyFormattedCitation":"(Pulido et al., 2022)"},"properties":{"noteIndex":0},"schema":"https://github.com/citation-style-language/schema/raw/master/csl-citation.json"}</w:instrText>
      </w:r>
      <w:r w:rsidR="00F14CC4" w:rsidRPr="00DC5412">
        <w:rPr>
          <w:lang w:val="es-PE"/>
        </w:rPr>
        <w:fldChar w:fldCharType="separate"/>
      </w:r>
      <w:r w:rsidR="00F14CC4" w:rsidRPr="00B62D30">
        <w:rPr>
          <w:noProof/>
          <w:lang w:val="en-US"/>
        </w:rPr>
        <w:t>(Pulido et al., 2022)</w:t>
      </w:r>
      <w:r w:rsidR="00F14CC4" w:rsidRPr="00DC5412">
        <w:rPr>
          <w:lang w:val="es-PE"/>
        </w:rPr>
        <w:fldChar w:fldCharType="end"/>
      </w:r>
      <w:r>
        <w:rPr>
          <w:lang w:val="en-US"/>
        </w:rPr>
        <w:t xml:space="preserve">. </w:t>
      </w:r>
      <w:r w:rsidR="00F811F4" w:rsidRPr="00F811F4">
        <w:rPr>
          <w:lang w:val="en-US"/>
        </w:rPr>
        <w:t xml:space="preserve">All these negative impacts lead us to think the most effective treatments to eliminate hydrocarbons in the environment, which is why arises the need to </w:t>
      </w:r>
      <w:proofErr w:type="spellStart"/>
      <w:r w:rsidR="00F811F4" w:rsidRPr="00F811F4">
        <w:rPr>
          <w:lang w:val="en-US"/>
        </w:rPr>
        <w:t>knoledge</w:t>
      </w:r>
      <w:proofErr w:type="spellEnd"/>
      <w:r w:rsidR="00F811F4" w:rsidRPr="00F811F4">
        <w:rPr>
          <w:lang w:val="en-US"/>
        </w:rPr>
        <w:t xml:space="preserve"> different remediation mechanisms for soils impacted by these hydrocarbons</w:t>
      </w:r>
      <w:r w:rsidR="00F811F4">
        <w:rPr>
          <w:lang w:val="en-US"/>
        </w:rPr>
        <w:t xml:space="preserve">, </w:t>
      </w:r>
      <w:r w:rsidR="00F811F4" w:rsidRPr="00F811F4">
        <w:rPr>
          <w:lang w:val="en-US"/>
        </w:rPr>
        <w:t>among them we have</w:t>
      </w:r>
      <w:r w:rsidR="00F811F4">
        <w:rPr>
          <w:lang w:val="en-US"/>
        </w:rPr>
        <w:t>:</w:t>
      </w:r>
      <w:r w:rsidR="00F811F4" w:rsidRPr="00F811F4">
        <w:rPr>
          <w:lang w:val="en-US"/>
        </w:rPr>
        <w:t xml:space="preserve"> the use of native bacteria </w:t>
      </w:r>
      <w:r w:rsidR="00F14CC4">
        <w:rPr>
          <w:lang w:val="es-PE"/>
        </w:rPr>
        <w:fldChar w:fldCharType="begin" w:fldLock="1"/>
      </w:r>
      <w:r w:rsidR="00F14CC4" w:rsidRPr="00B62D30">
        <w:rPr>
          <w:lang w:val="en-US"/>
        </w:rPr>
        <w:instrText>ADDIN CSL_CITATION {"citationItems":[{"id":"ITEM-1","itemData":{"DOI":"10.3303/CET1649086","ISBN":"9788895608402","ISSN":"22839216","abstract":"In this study, a hydrocarbon-degrading mixed inoculum which is able to use used oil as sole carbon source, was selected from 15 bacterial isolates obtained from automotive service station oil-contaminated soils. Degrading microorganisms were isolated using different oils as sole carbon source and identified by the amplification and sequencing of the 16s rRNA sequences. In addition, the presence of hydrocarbon-degrading genes such as catechol 2,3 dioxygenase (nahH), alkane monooxygenase (alkB), Gram-negative (GN-RHDá) and Gram-positive PAH-Ring Hydroxylating Dioxygenase alpha (GP-RHDá) was analyzed by PCR and the molecular diversity by LSSP-PCR methods. Four (4) out of fifteen (15) isolates corresponding to Stenotrophomonas maltophilia, Pseudomonas aeruginosa and Klebsiella pneumoniae showed significant differences regarding oil/grease removal in liquid culture after 72 hours. Subsequently, a degrading mixed inoculum composed of these isolates was constructed and its degrading potential tested in a two-liter bioreactor containing unsterile liquid oily wastes with 0.8 %</w:instrText>
      </w:r>
      <w:r w:rsidR="00F14CC4">
        <w:rPr>
          <w:lang w:val="es-PE"/>
        </w:rPr>
        <w:instrText xml:space="preserve"> (w/v) Total Petroleum Hydrocarbons (TPHs) concentration for 42 days. The use of the mixed inoculum led to a decrease of 98.4 % Biological Oxygen Demand (BOD), 97.5 % Chemical Oxygen Demand (COD) and 97.2 % TPHs after 40 days. Further scale-up of the process to five liters using 0.2 % (w/v) unsterile oily wastes produced similar results, with a reduction of </w:instrText>
      </w:r>
      <w:r w:rsidR="00F14CC4" w:rsidRPr="00F14CC4">
        <w:rPr>
          <w:lang w:val="en-US"/>
        </w:rPr>
        <w:instrText>85 % BOD, 39 % COD and 87 % TPHs after 38 days. The degrading mixed microbial inoculum presented high potential for the treatment of impacted soils at automotive service stations and sites polluted with oily wastes due to its elevated growth at high hydrocarbon concentrations and its capacity to utilize oils as energy source.","author":[{"dropping-particle":"","family":"Zafra","given":"German","non-dropping-particle":"","parse-names":false,"suffix":""},{"dropping-particle":"","family":"Regino","given":"Ronald","non-dropping-particle":"","parse-names":false,"suffix":""},{"dropping-particle":"","family":"Agualimpia","given":"Bayron","non-dropping-particle":"","parse-names":false,"suffix":""},{"dropping-particle":"","family":"Aguilar","given":"Fabiola","non-dropping-particle":"","parse-names":false,"suffix":""}],"container-title":"Chemical Engineering Transactions","id":"ITEM-1","issued":{"date-parts":[["2016"]]},"page":"511-516","title":"Molecular characterization and evaluation of oil-degrading native bacteria isolated from automotive service station oilcontaminated soils","type":"article-journal","volume":"49"},"uris":["http://www.mendeley.com/documents/?uuid=0be7c17e-621b-4696-8535-00f697b3d61a"]}],"mendeley":{"formattedCitation":"(Zafra et al., 2016)","plainTextFormattedCitation":"(Zafra et al., 2016)","previouslyFormattedCitation":"(Zafra et al., 2016)"},"properties":{"noteIndex":0},"schema":"https://github.com/citation-style-language/schema/raw/master/csl-citation.json"}</w:instrText>
      </w:r>
      <w:r w:rsidR="00F14CC4">
        <w:rPr>
          <w:lang w:val="es-PE"/>
        </w:rPr>
        <w:fldChar w:fldCharType="separate"/>
      </w:r>
      <w:r w:rsidR="00F14CC4" w:rsidRPr="00F14CC4">
        <w:rPr>
          <w:noProof/>
          <w:lang w:val="en-US"/>
        </w:rPr>
        <w:t>(Zafra et al., 2016)</w:t>
      </w:r>
      <w:r w:rsidR="00F14CC4">
        <w:rPr>
          <w:lang w:val="es-PE"/>
        </w:rPr>
        <w:fldChar w:fldCharType="end"/>
      </w:r>
      <w:r w:rsidR="00F811F4" w:rsidRPr="00F811F4">
        <w:rPr>
          <w:lang w:val="en-US"/>
        </w:rPr>
        <w:t xml:space="preserve">, phytoremediation </w:t>
      </w:r>
      <w:r w:rsidR="00F14CC4">
        <w:rPr>
          <w:lang w:val="es-PE"/>
        </w:rPr>
        <w:fldChar w:fldCharType="begin" w:fldLock="1"/>
      </w:r>
      <w:r w:rsidR="00F14CC4" w:rsidRPr="00F14CC4">
        <w:rPr>
          <w:lang w:val="en-US"/>
        </w:rPr>
        <w:instrText>ADDIN CSL_CITATION {"citationItems":[{"id":"ITEM-1","itemData":{"DOI":"10.3303/CET2292093","ISBN":"9788895608907","ISSN":"22839216","abstract":"Phytoremediation is a technique that uses various types of plants to remove, treat, translate, or destroy pollutants from soil and water. We used Sorghum vulgare to remediate soils contaminated by hydrocarbons, Chrysopogon zizanioides to treat landfill leachates, and Lemna minor to remove nickel from mining water. The phytoremediation process was performed using hydroponic crops for water and planters for soils. The soil samples were contaminated with diesel (10%). Phytoremediation process using Sorghum vulgare was performed for 30 days in planters. Soil with the same concentration of diesel without plants was used as a control (natural attenuation). The efficiency of diesel removal was 92% while natural attenuation reached a removal rate of 49%. A sample of leachate from a landfill in Cartagena (Colombia) was submitted to the remediation process using hydroponic crops of Chrysopogon zizanioides for 10 days. The metal uptake of cadmium was up to 98.4% nickel 98.7% and lead 98%. Additionally, synthetic water prepared with nickel (10%) was remediated through a hydroponic crop of Lemna minor for 10 days. This plant reached a removal efficiency of nickel of 68%. All above suggests that phytoremediation is a suitable technique to clean waters and soils.","author":[{"dropping-particle":"","family":"Benítez","given":"Lesly Patricia Tejeda","non-dropping-particle":"","parse-names":false,"suffix":""},{"dropping-particle":"","family":"Miranda","given":"Liset Mallarino","non-dropping-particle":"","parse-names":false,"suffix":""},{"dropping-particle":"","family":"Castro","given":"Carlos Alfredo Castellon","non-dropping-particle":"","parse-names":false,"suffix":""}],"container-title":"Chemical Engineering Transactions","id":"ITEM-1","issue":"April","issued":{"date-parts":[["2022"]]},"page":"553-558","title":"Phytoremediation to Remove Pollutants from Water, Leachates and Soils","type":"article-journal","volume":"92"},"uris":["http://www.mendeley.com/documents/?uuid=c4121053-6c00-448a-b39d-5d120e275a2c"]}],"mendeley":{"formattedCitation":"(Benítez et al., 2022)","plainTextFormattedCitation":"(Benítez et al., 2022)","previouslyFormattedCitation":"(Benítez et al., 2022)"},"properties":{"noteIndex":0},"schema":"https://github.com/citation-style-language/schema/raw/master/csl-citation.json"}</w:instrText>
      </w:r>
      <w:r w:rsidR="00F14CC4">
        <w:rPr>
          <w:lang w:val="es-PE"/>
        </w:rPr>
        <w:fldChar w:fldCharType="separate"/>
      </w:r>
      <w:r w:rsidR="00F14CC4" w:rsidRPr="00F14CC4">
        <w:rPr>
          <w:noProof/>
          <w:lang w:val="en-US"/>
        </w:rPr>
        <w:t>(Benítez et al., 2022)</w:t>
      </w:r>
      <w:r w:rsidR="00F14CC4">
        <w:rPr>
          <w:lang w:val="es-PE"/>
        </w:rPr>
        <w:fldChar w:fldCharType="end"/>
      </w:r>
      <w:r w:rsidR="00F811F4" w:rsidRPr="00F811F4">
        <w:rPr>
          <w:lang w:val="en-US"/>
        </w:rPr>
        <w:t xml:space="preserve">, the use of bio-sludge </w:t>
      </w:r>
      <w:r w:rsidR="00F14CC4">
        <w:rPr>
          <w:lang w:val="es-PE"/>
        </w:rPr>
        <w:fldChar w:fldCharType="begin" w:fldLock="1"/>
      </w:r>
      <w:r w:rsidR="00F14CC4" w:rsidRPr="00F14CC4">
        <w:rPr>
          <w:lang w:val="en-US"/>
        </w:rPr>
        <w:instrText>ADDIN CSL_CITATION {"citationItems":[{"id":"ITEM-1","itemData":{"DOI":"10.3303/CET2079066","ISBN":"9788895608778","ISSN":"22839216","abstract":"The biological treatment with bio-slurry reactors has been effectively considered as a remediation technology for the removal of organic pollutants from soils or sediments, characterized mainly by sandy and clayey fractions. In this context, the treatment of marine sediments contaminated by hydrocarbons, through a remediation technique, represent a topic of particular interest for the scientific community. In this work, bioslurry technology has been studied for the treatment of marine contaminated sediments with a Total Petroleum Hydrocarbons (TPH) content of 888.57 mg kg-1. The experimental campaign was divided into three phases, for a period of about 75 days. TPH removal efficiency was evaluated in two reactors, operating in parallel and in batch mode. In the first phase, reactors had the same characteristics and operating conditions while, in the second phase, the erythromycin antibiotic was added into one of the two reactors. Surprisingly, the addition of erythromycin improved the TPH removal efficiencies and reduced treatment times. Finally, the third phase was characterized by the substitution of the liquid phase, present in the reactors, with saline water, in order to deepen the study on the removal and transfer mechanisms typical of the bio-slurry systems.","author":[{"dropping-particle":"","family":"Lumia","given":"Lucia","non-dropping-particle":"","parse-names":false,"suffix":""},{"dropping-particle":"","family":"Rabbeni","given":"Graziella","non-dropping-particle":"","parse-names":false,"suffix":""},{"dropping-particle":"","family":"Giustra","given":"Maria G.","non-dropping-particle":"","parse-names":false,"suffix":""},{"dropping-particle":"","family":"Giumento","given":"Salvatore","non-dropping-particle":"","parse-names":false,"suffix":""},{"dropping-particle":"","family":"Gallo","given":"Giuseppe","non-dropping-particle":"","parse-names":false,"suffix":""},{"dropping-particle":"","family":"Bella","given":"Gaetano","non-dropping-particle":"Di","parse-names":false,"suffix":""}],"container-title":"Chemical Engineering Transactions","id":"ITEM-1","issue":"September 2019","issued":{"date-parts":[["2020"]]},"page":"391-396","title":"Treatment of contaminated sediments by bio-slurry reactors: Study on the effect of erythromycin antibiotic","type":"article-journal","volume":"79"},"uris":["http://www.mendeley.com/documents/?uuid=9465db85-b625-4180-8403-fb7c9ebf4daa"]}],"mendeley":{"formattedCitation":"(Lumia et al., 2020)","manualFormatting":"(Lumia et al., 2020) ","plainTextFormattedCitation":"(Lumia et al., 2020)","previouslyFormattedCitation":"(Lumia et al., 2020)"},"properties":{"noteIndex":0},"schema":"https://github.com/citation-style-language/schema/raw/master/csl-citation.json"}</w:instrText>
      </w:r>
      <w:r w:rsidR="00F14CC4">
        <w:rPr>
          <w:lang w:val="es-PE"/>
        </w:rPr>
        <w:fldChar w:fldCharType="separate"/>
      </w:r>
      <w:r w:rsidR="00F14CC4" w:rsidRPr="00F14CC4">
        <w:rPr>
          <w:noProof/>
          <w:lang w:val="en-US"/>
        </w:rPr>
        <w:t xml:space="preserve">(Lumia et al., 2020) </w:t>
      </w:r>
      <w:r w:rsidR="00F14CC4">
        <w:rPr>
          <w:lang w:val="es-PE"/>
        </w:rPr>
        <w:fldChar w:fldCharType="end"/>
      </w:r>
      <w:r w:rsidR="00F811F4" w:rsidRPr="00F811F4">
        <w:rPr>
          <w:lang w:val="en-US"/>
        </w:rPr>
        <w:t xml:space="preserve">and the use of biochar </w:t>
      </w:r>
      <w:r w:rsidR="00F14CC4">
        <w:rPr>
          <w:lang w:val="es-PE"/>
        </w:rPr>
        <w:fldChar w:fldCharType="begin" w:fldLock="1"/>
      </w:r>
      <w:r w:rsidR="00F14CC4" w:rsidRPr="00F14CC4">
        <w:rPr>
          <w:lang w:val="en-US"/>
        </w:rPr>
        <w:instrText>ADDIN CSL_CITATION {"citationItems":[{"id":"ITEM-1","itemData":{"DOI":"10.1016/j.jes.2023.04.008","ISSN":"18787320","abstract":"Petroleum contamination is considered as a major risk to the health of humans and environment. Biochars as low-cost and eco-friendly carbon materials, have been widely used for the removal of petroleum hydrocarbon in the environment. The purpose of this paper is to review the performance, mechanisms, and potential environmental toxicity of biochar, modified biochar and its integration use with other materials in petroleum contaminated soil and water. Specifically, the use of biochar in oil-contaminated water and soil as well as the factors that could influence the removal ability of biochar were systematically evaluated. In addition, the modification and integrated use of biochar for improving the removal efficiency were summarized from the aspects of sorption, biodegradation, chemical degradation, and reusability. Moreover, the functional impacts and associated ecotoxicity of pristine and modified biochars in various environments were demonstrated. Finally, some shortcoming of current approaches, and future research needs were provided for the future direction and challenges of modified biochar research. Overall, this paper gain insight into biochar application in petroleum remediation from the perspectives of performance enhancement and environmental sustainability.","author":[{"dropping-particle":"","family</w:instrText>
      </w:r>
      <w:r w:rsidR="00F14CC4" w:rsidRPr="00B62D30">
        <w:rPr>
          <w:lang w:val="en-US"/>
        </w:rPr>
        <w:instrText>":"Wei","given":"Zhuo","non-dropping-particle":"","parse-names":false,"suffix":""},{"dropping-particle":"","family":"Wei","given":"Yi","non-dropping-particle":"","parse-names":false,"suffix":""},{"dropping-particle":"","family":"Liu","given":"Yang","non-dropping-particle":"","parse-names":false,"suffix":""},{"dropping-particle":"","family":"Niu","given":"Shuai","non-dropping-particle":"","parse-names":false,"suffix":""},{"dropping-particle":"","family":"Xu","given":"Yaxi","non-dropping-particle":"","parse-names":false,"suffix":""},{"dropping-particle":"","family":"Park","given":"Jong Hwan","non-dropping-particle":"","parse-names":false,"suffix":""},{"dropping-particle":"","family":"Wang","given":"Jim J.","non-dropping-particle":"","parse-names":false,"suffix":""}],"container-title":"Journal of Environmental Sciences (China)","id":"ITEM-1","issued":{"date-parts":[["2024"]]},"page":"350-372","publisher":"Elsevier B.V.","title":"Biochar-based materials as remediation strategy in petroleum hydrocarbon-contaminated soil and water: Performances, mechanisms, and environmental impact","type":"article-journal","volume":"138"},"uris":["http://www.mendeley.com/documents/?uuid=8696171f-94a4-4bad-b9a4-31d6c14ad02b"]}],"mendeley":{"formattedCitation":"(Wei et al., 2024)","plainTextFormattedCitation":"(Wei et al., 2024)","previouslyFormattedCitation":"(Wei et al., 2024)"},"properties":{"noteIndex":0},"schema":"https://github.com/citation-style-language/schema/raw/master/csl-citation.json"}</w:instrText>
      </w:r>
      <w:r w:rsidR="00F14CC4">
        <w:rPr>
          <w:lang w:val="es-PE"/>
        </w:rPr>
        <w:fldChar w:fldCharType="separate"/>
      </w:r>
      <w:r w:rsidR="00F14CC4" w:rsidRPr="00B62D30">
        <w:rPr>
          <w:noProof/>
          <w:lang w:val="en-US"/>
        </w:rPr>
        <w:t>(Wei et al., 2024)</w:t>
      </w:r>
      <w:r w:rsidR="00F14CC4">
        <w:rPr>
          <w:lang w:val="es-PE"/>
        </w:rPr>
        <w:fldChar w:fldCharType="end"/>
      </w:r>
      <w:r w:rsidR="00F811F4">
        <w:rPr>
          <w:lang w:val="en-US"/>
        </w:rPr>
        <w:t xml:space="preserve">. </w:t>
      </w:r>
      <w:r w:rsidR="00F811F4" w:rsidRPr="00F811F4">
        <w:rPr>
          <w:lang w:val="en-US"/>
        </w:rPr>
        <w:t>The last one has been continuously used for the elimination of hydrocarbons in the environment due to its ability to be green and its economic convenience</w:t>
      </w:r>
      <w:r w:rsidR="00F811F4">
        <w:rPr>
          <w:lang w:val="en-US"/>
        </w:rPr>
        <w:t xml:space="preserve"> when was</w:t>
      </w:r>
      <w:r w:rsidR="00891548" w:rsidRPr="00B62D30">
        <w:rPr>
          <w:lang w:val="en-US"/>
        </w:rPr>
        <w:t xml:space="preserve"> trying to solve the problem: What is the hydrocarbon reduction capacity using </w:t>
      </w:r>
      <w:r w:rsidR="00001F22" w:rsidRPr="00B62D30">
        <w:rPr>
          <w:lang w:val="en-US"/>
        </w:rPr>
        <w:t xml:space="preserve">biochar in Contaminated </w:t>
      </w:r>
      <w:r w:rsidR="009D5ACC" w:rsidRPr="00B62D30">
        <w:rPr>
          <w:lang w:val="en-US"/>
        </w:rPr>
        <w:t>floors?</w:t>
      </w:r>
      <w:r w:rsidR="009D5ACC">
        <w:rPr>
          <w:lang w:val="en-US"/>
        </w:rPr>
        <w:t xml:space="preserve"> </w:t>
      </w:r>
    </w:p>
    <w:p w14:paraId="431E9B36" w14:textId="44501476" w:rsidR="00C403C9" w:rsidRPr="00B62D30" w:rsidRDefault="00001F22" w:rsidP="00D96735">
      <w:pPr>
        <w:pStyle w:val="CETBodytext"/>
        <w:rPr>
          <w:lang w:val="en-US"/>
        </w:rPr>
      </w:pPr>
      <w:r w:rsidRPr="00B62D30">
        <w:rPr>
          <w:lang w:val="en-US"/>
        </w:rPr>
        <w:lastRenderedPageBreak/>
        <w:t xml:space="preserve">The </w:t>
      </w:r>
      <w:r w:rsidR="00DD132F" w:rsidRPr="00B62D30">
        <w:rPr>
          <w:lang w:val="en-US"/>
        </w:rPr>
        <w:t>objective of the study was</w:t>
      </w:r>
      <w:r w:rsidR="00192D91" w:rsidRPr="00B62D30">
        <w:rPr>
          <w:lang w:val="en-US"/>
        </w:rPr>
        <w:t xml:space="preserve"> determine the efficiency of reduction of total petroleum hydrocarbons in contaminated soils using 5, 10 and 20</w:t>
      </w:r>
      <w:r w:rsidR="00E62D39">
        <w:rPr>
          <w:lang w:val="en-US"/>
        </w:rPr>
        <w:t xml:space="preserve"> </w:t>
      </w:r>
      <w:r w:rsidR="00192D91" w:rsidRPr="00B62D30">
        <w:rPr>
          <w:lang w:val="en-US"/>
        </w:rPr>
        <w:t xml:space="preserve">% of biochar </w:t>
      </w:r>
      <w:r w:rsidR="00AC3FE9" w:rsidRPr="00B62D30">
        <w:rPr>
          <w:lang w:val="en-US"/>
        </w:rPr>
        <w:t xml:space="preserve">from sludge from a wastewater treatment plant (WWTP), this will be necessary to determine the concentration initial and final of the light, medium and heavy fractions of hydrocarbons </w:t>
      </w:r>
      <w:r w:rsidR="00060FCC">
        <w:rPr>
          <w:lang w:val="es-PE"/>
        </w:rPr>
        <w:fldChar w:fldCharType="begin" w:fldLock="1"/>
      </w:r>
      <w:r w:rsidR="00A30DC0">
        <w:rPr>
          <w:lang w:val="en-US"/>
        </w:rPr>
        <w:instrText>ADDIN CSL_CITATION {"citationItems":[{"id":"ITEM-1","itemData":{"ISBN":"9780778576914","abstract":"\"February 2009.\" [Vol. 1] Main report -- [Vol. 2] Technical appendices / Axiom Environmental; prepared for Alberta Environment and Canadian Association of Petroleum Producers.","author":[{"dropping-particle":"","family":"MINAM","given":"","non-dropping-particle":"","parse-names":false,"suffix":""}],"container-title":"El Peruano","id":"ITEM-1","issued":{"date-parts":[["2017"]]},"page":"1-4","title":"Decreto Supremo Nº 011-2017-MINAM","type":"article-journal"},"uris":["http://www.mendeley.com/documents/?uuid=d9fa3747-089a-413e-88a2-34e8f95ffd48"]}],"mendeley":{"formattedCitation":"(MINAM, 2017)","manualFormatting":"(MINAM, 2017) ","plainTextFormattedCitation":"(MINAM, 2017)","previouslyFormattedCitation":"(MINAM, 2017)"},"properties":{"noteIndex":0},"schema":"https://github.com/citation-style-language/schema/raw/master/csl-citation.json"}</w:instrText>
      </w:r>
      <w:r w:rsidR="00060FCC">
        <w:rPr>
          <w:lang w:val="es-PE"/>
        </w:rPr>
        <w:fldChar w:fldCharType="separate"/>
      </w:r>
      <w:r w:rsidR="00060FCC" w:rsidRPr="00B62D30">
        <w:rPr>
          <w:noProof/>
          <w:lang w:val="en-US"/>
        </w:rPr>
        <w:t xml:space="preserve">(MINAM, 2017) </w:t>
      </w:r>
      <w:r w:rsidR="00060FCC">
        <w:rPr>
          <w:lang w:val="es-PE"/>
        </w:rPr>
        <w:fldChar w:fldCharType="end"/>
      </w:r>
      <w:r w:rsidR="002C544E" w:rsidRPr="00B62D30">
        <w:rPr>
          <w:lang w:val="en-US"/>
        </w:rPr>
        <w:t xml:space="preserve">and determine if the physicochemical properties of the soil contaminated by hydrocarbons improved with the treatment with </w:t>
      </w:r>
      <w:r w:rsidR="004D5D61" w:rsidRPr="00B62D30">
        <w:rPr>
          <w:lang w:val="en-US"/>
        </w:rPr>
        <w:t>biochar</w:t>
      </w:r>
      <w:r w:rsidR="00EE65C2" w:rsidRPr="00B62D30">
        <w:rPr>
          <w:lang w:val="en-US"/>
        </w:rPr>
        <w:t>.</w:t>
      </w:r>
    </w:p>
    <w:p w14:paraId="4BAEE94F" w14:textId="3DB9F116" w:rsidR="003811BF" w:rsidRDefault="00BA04C7" w:rsidP="00600535">
      <w:pPr>
        <w:pStyle w:val="CETHeading1"/>
        <w:tabs>
          <w:tab w:val="right" w:pos="7100"/>
        </w:tabs>
        <w:jc w:val="both"/>
        <w:rPr>
          <w:lang w:val="en-GB"/>
        </w:rPr>
      </w:pPr>
      <w:r>
        <w:rPr>
          <w:lang w:val="en-GB"/>
        </w:rPr>
        <w:t>Methodology</w:t>
      </w:r>
    </w:p>
    <w:p w14:paraId="55ADC327" w14:textId="16767B37" w:rsidR="00DD62E5" w:rsidRDefault="00EA005B" w:rsidP="00757D86">
      <w:pPr>
        <w:pStyle w:val="CETBodytext"/>
        <w:rPr>
          <w:lang w:val="en-US"/>
        </w:rPr>
      </w:pPr>
      <w:r w:rsidRPr="00B62D30">
        <w:rPr>
          <w:lang w:val="en-US"/>
        </w:rPr>
        <w:t xml:space="preserve">The research proposes a methodology that is developed in 5 stages: Production of </w:t>
      </w:r>
      <w:r w:rsidR="00DE4657" w:rsidRPr="00B62D30">
        <w:rPr>
          <w:lang w:val="en-US"/>
        </w:rPr>
        <w:t>biochar from waste sludge from a wastewater treatment plant, extraction of soil samples, remediation of samples contaminated by hydrocarbons, analysis, interpretation</w:t>
      </w:r>
      <w:r w:rsidR="00B62D30">
        <w:rPr>
          <w:lang w:val="en-US"/>
        </w:rPr>
        <w:t>,</w:t>
      </w:r>
      <w:r w:rsidR="00DE4657" w:rsidRPr="00B62D30">
        <w:rPr>
          <w:lang w:val="en-US"/>
        </w:rPr>
        <w:t xml:space="preserve"> and data processing extracted from the soil samples (see figure 1).</w:t>
      </w:r>
    </w:p>
    <w:p w14:paraId="289FA376" w14:textId="78048A18" w:rsidR="00187EF8" w:rsidRDefault="009245C9" w:rsidP="00757D86">
      <w:pPr>
        <w:pStyle w:val="CETBodytext"/>
        <w:rPr>
          <w:lang w:val="en-US"/>
        </w:rPr>
      </w:pPr>
      <w:r>
        <w:rPr>
          <w:noProof/>
          <w:lang w:val="en-US"/>
        </w:rPr>
        <w:drawing>
          <wp:anchor distT="0" distB="0" distL="114300" distR="114300" simplePos="0" relativeHeight="251658240" behindDoc="0" locked="0" layoutInCell="1" allowOverlap="1" wp14:anchorId="6D9AC8DC" wp14:editId="3F47BCA3">
            <wp:simplePos x="0" y="0"/>
            <wp:positionH relativeFrom="column">
              <wp:posOffset>1028700</wp:posOffset>
            </wp:positionH>
            <wp:positionV relativeFrom="paragraph">
              <wp:posOffset>144145</wp:posOffset>
            </wp:positionV>
            <wp:extent cx="3406140" cy="2743200"/>
            <wp:effectExtent l="19050" t="0" r="22860" b="19050"/>
            <wp:wrapTopAndBottom/>
            <wp:docPr id="197353841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5A9BFA3E" w14:textId="7EA76CC4" w:rsidR="00187EF8" w:rsidRDefault="00187EF8" w:rsidP="003779F6">
      <w:pPr>
        <w:pStyle w:val="CETBodytext"/>
        <w:rPr>
          <w:lang w:val="en-US"/>
        </w:rPr>
      </w:pPr>
    </w:p>
    <w:p w14:paraId="43D2D527" w14:textId="6979E90E" w:rsidR="00100840" w:rsidRDefault="006469D8" w:rsidP="009245C9">
      <w:pPr>
        <w:pStyle w:val="CETCaption"/>
        <w:spacing w:before="0" w:after="0"/>
        <w:jc w:val="center"/>
      </w:pPr>
      <w:r w:rsidRPr="00B57B36">
        <w:t>Figure 1: Experimental procedure diagram.</w:t>
      </w:r>
    </w:p>
    <w:p w14:paraId="7449C472" w14:textId="77777777" w:rsidR="00D96735" w:rsidRDefault="00D96735" w:rsidP="003779F6">
      <w:pPr>
        <w:pStyle w:val="CETCaption"/>
        <w:spacing w:before="0" w:after="0"/>
      </w:pPr>
    </w:p>
    <w:p w14:paraId="04963A06" w14:textId="03E173E4" w:rsidR="00600535" w:rsidRDefault="00341F6C" w:rsidP="0006457D">
      <w:pPr>
        <w:pStyle w:val="CETheadingx"/>
      </w:pPr>
      <w:r w:rsidRPr="00DC1DA1">
        <w:t xml:space="preserve"> </w:t>
      </w:r>
      <w:r w:rsidR="00DC1DA1" w:rsidRPr="00DC1DA1">
        <w:t>Production of Biochar (Sewage sludge)</w:t>
      </w:r>
    </w:p>
    <w:tbl>
      <w:tblPr>
        <w:tblStyle w:val="Tablaconcuadrcula"/>
        <w:tblpPr w:leftFromText="180" w:rightFromText="180" w:vertAnchor="text" w:horzAnchor="margin" w:tblpXSpec="right" w:tblpY="1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tblGrid>
      <w:tr w:rsidR="00341F6C" w14:paraId="0610D49B" w14:textId="77777777" w:rsidTr="00642B48">
        <w:trPr>
          <w:trHeight w:val="3071"/>
        </w:trPr>
        <w:tc>
          <w:tcPr>
            <w:tcW w:w="2689" w:type="dxa"/>
          </w:tcPr>
          <w:p w14:paraId="7E470828" w14:textId="77777777" w:rsidR="00341F6C" w:rsidRDefault="00341F6C" w:rsidP="00341F6C">
            <w:pPr>
              <w:pStyle w:val="CETBodytext"/>
              <w:rPr>
                <w:lang w:val="en-US"/>
              </w:rPr>
            </w:pPr>
            <w:r w:rsidRPr="006269F7">
              <w:rPr>
                <w:noProof/>
                <w:lang w:val="en-US"/>
              </w:rPr>
              <w:drawing>
                <wp:inline distT="0" distB="0" distL="0" distR="0" wp14:anchorId="75DB3617" wp14:editId="75B70B16">
                  <wp:extent cx="1562100" cy="1932688"/>
                  <wp:effectExtent l="0" t="0" r="0" b="0"/>
                  <wp:docPr id="687725432" name="Imagen 1" descr="Imagen que contiene exterior, edificio, pasto, c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25432" name="Imagen 1" descr="Imagen que contiene exterior, edificio, pasto, coche&#10;&#10;Descripción generada automáticamente"/>
                          <pic:cNvPicPr/>
                        </pic:nvPicPr>
                        <pic:blipFill>
                          <a:blip r:embed="rId15"/>
                          <a:stretch>
                            <a:fillRect/>
                          </a:stretch>
                        </pic:blipFill>
                        <pic:spPr>
                          <a:xfrm>
                            <a:off x="0" y="0"/>
                            <a:ext cx="1570171" cy="1942674"/>
                          </a:xfrm>
                          <a:prstGeom prst="rect">
                            <a:avLst/>
                          </a:prstGeom>
                        </pic:spPr>
                      </pic:pic>
                    </a:graphicData>
                  </a:graphic>
                </wp:inline>
              </w:drawing>
            </w:r>
          </w:p>
        </w:tc>
      </w:tr>
      <w:tr w:rsidR="00341F6C" w:rsidRPr="00341F6C" w14:paraId="272948D1" w14:textId="77777777" w:rsidTr="00642B48">
        <w:trPr>
          <w:trHeight w:val="228"/>
        </w:trPr>
        <w:tc>
          <w:tcPr>
            <w:tcW w:w="2689" w:type="dxa"/>
          </w:tcPr>
          <w:p w14:paraId="4EB8EB57" w14:textId="77777777" w:rsidR="00341F6C" w:rsidRPr="00341F6C" w:rsidRDefault="00341F6C" w:rsidP="00341F6C">
            <w:pPr>
              <w:pStyle w:val="CETBodytext"/>
              <w:rPr>
                <w:i/>
                <w:iCs/>
                <w:lang w:val="en-US"/>
              </w:rPr>
            </w:pPr>
            <w:r w:rsidRPr="00341F6C">
              <w:rPr>
                <w:i/>
                <w:iCs/>
                <w:lang w:val="en-US"/>
              </w:rPr>
              <w:t>Figure 2: Pyrolysis oven heated with its chimney</w:t>
            </w:r>
          </w:p>
        </w:tc>
      </w:tr>
    </w:tbl>
    <w:p w14:paraId="28822877" w14:textId="42363F2E" w:rsidR="003253BC" w:rsidRDefault="003253BC" w:rsidP="003253BC">
      <w:pPr>
        <w:pStyle w:val="CETBodytext"/>
        <w:rPr>
          <w:lang w:val="en-US"/>
        </w:rPr>
      </w:pPr>
      <w:r w:rsidRPr="003253BC">
        <w:rPr>
          <w:lang w:val="en-US"/>
        </w:rPr>
        <w:t>50 kg were extracted from the last stage of the sludge drying process from the wastewater treatment plant located in the district of Santa Rosa, Ancón, Lima</w:t>
      </w:r>
      <w:r w:rsidR="00B811FC">
        <w:rPr>
          <w:lang w:val="en-US"/>
        </w:rPr>
        <w:t>.</w:t>
      </w:r>
      <w:r w:rsidRPr="003253BC">
        <w:rPr>
          <w:lang w:val="en-US"/>
        </w:rPr>
        <w:t xml:space="preserve"> This material was dispersed on a polyethylene surface at </w:t>
      </w:r>
      <w:r w:rsidR="00BB7577">
        <w:rPr>
          <w:lang w:val="en-US"/>
        </w:rPr>
        <w:t>ambient</w:t>
      </w:r>
      <w:r w:rsidRPr="003253BC">
        <w:rPr>
          <w:lang w:val="en-US"/>
        </w:rPr>
        <w:t xml:space="preserve"> temperature for seven days to ensure complete drying. Subsequently, the biochar was prepared by pyrolysis using an oven adapting a 1</w:t>
      </w:r>
      <w:r w:rsidR="00BB7577">
        <w:rPr>
          <w:lang w:val="en-US"/>
        </w:rPr>
        <w:t>.0</w:t>
      </w:r>
      <w:r w:rsidRPr="003253BC">
        <w:rPr>
          <w:lang w:val="en-US"/>
        </w:rPr>
        <w:t xml:space="preserve"> m</w:t>
      </w:r>
      <w:r w:rsidRPr="00BB7577">
        <w:rPr>
          <w:vertAlign w:val="superscript"/>
          <w:lang w:val="en-US"/>
        </w:rPr>
        <w:t>3</w:t>
      </w:r>
      <w:r w:rsidRPr="003253BC">
        <w:rPr>
          <w:lang w:val="en-US"/>
        </w:rPr>
        <w:t xml:space="preserve"> metal cylinder, with holes in the lower part and an airtight lid in the upper part (</w:t>
      </w:r>
      <w:proofErr w:type="spellStart"/>
      <w:r w:rsidRPr="003253BC">
        <w:rPr>
          <w:lang w:val="en-US"/>
        </w:rPr>
        <w:t>Condeña</w:t>
      </w:r>
      <w:proofErr w:type="spellEnd"/>
      <w:r w:rsidRPr="003253BC">
        <w:rPr>
          <w:lang w:val="en-US"/>
        </w:rPr>
        <w:t xml:space="preserve">, 2017, pp. 66-70), this oven was designed in such a way that limits the incoming oxygen </w:t>
      </w:r>
      <w:r w:rsidR="00DF154B">
        <w:rPr>
          <w:lang w:val="en-US"/>
        </w:rPr>
        <w:t>to</w:t>
      </w:r>
      <w:r w:rsidRPr="003253BC">
        <w:rPr>
          <w:lang w:val="en-US"/>
        </w:rPr>
        <w:t xml:space="preserve"> generate the greatest amount of biochar.</w:t>
      </w:r>
    </w:p>
    <w:p w14:paraId="4949A02C" w14:textId="77777777" w:rsidR="00642B48" w:rsidRDefault="00642B48" w:rsidP="003253BC">
      <w:pPr>
        <w:pStyle w:val="CETBodytext"/>
        <w:rPr>
          <w:lang w:val="en-US"/>
        </w:rPr>
      </w:pPr>
    </w:p>
    <w:p w14:paraId="24571A26" w14:textId="52CFB911" w:rsidR="003253BC" w:rsidRDefault="003253BC" w:rsidP="003253BC">
      <w:pPr>
        <w:pStyle w:val="CETBodytext"/>
        <w:rPr>
          <w:lang w:val="en-US"/>
        </w:rPr>
      </w:pPr>
      <w:r w:rsidRPr="003253BC">
        <w:rPr>
          <w:lang w:val="en-US"/>
        </w:rPr>
        <w:t xml:space="preserve">Then the residual sludge was poured into the oven and dry </w:t>
      </w:r>
      <w:r w:rsidRPr="00DC19E1">
        <w:rPr>
          <w:i/>
          <w:iCs/>
          <w:lang w:val="en-US"/>
        </w:rPr>
        <w:t>Inga feuilleei</w:t>
      </w:r>
      <w:r w:rsidRPr="003253BC">
        <w:rPr>
          <w:lang w:val="en-US"/>
        </w:rPr>
        <w:t xml:space="preserve"> (</w:t>
      </w:r>
      <w:proofErr w:type="spellStart"/>
      <w:r w:rsidRPr="003253BC">
        <w:rPr>
          <w:lang w:val="en-US"/>
        </w:rPr>
        <w:t>pacay</w:t>
      </w:r>
      <w:proofErr w:type="spellEnd"/>
      <w:r w:rsidRPr="003253BC">
        <w:rPr>
          <w:lang w:val="en-US"/>
        </w:rPr>
        <w:t xml:space="preserve">) leaves were used as fuel. </w:t>
      </w:r>
      <w:r w:rsidR="002D4A67" w:rsidRPr="002D4A67">
        <w:rPr>
          <w:lang w:val="en-US"/>
        </w:rPr>
        <w:t>After 60 minutes, the temperature was measured with a digital pyrometer and was showing a reading of 305 ºC to confirm the background temperature was the same</w:t>
      </w:r>
      <w:r w:rsidRPr="003253BC">
        <w:rPr>
          <w:lang w:val="en-US"/>
        </w:rPr>
        <w:t>, the water jet technique was used</w:t>
      </w:r>
      <w:r w:rsidR="00776C22">
        <w:rPr>
          <w:lang w:val="en-US"/>
        </w:rPr>
        <w:t xml:space="preserve"> </w:t>
      </w:r>
      <w:r w:rsidR="00776C22">
        <w:rPr>
          <w:lang w:val="en-US"/>
        </w:rPr>
        <w:fldChar w:fldCharType="begin" w:fldLock="1"/>
      </w:r>
      <w:r w:rsidR="001B00F6">
        <w:rPr>
          <w:lang w:val="en-US"/>
        </w:rPr>
        <w:instrText>ADDIN CSL_CITATION {"citationItems":[{"id":"ITEM-1","itemData":{"DOI":"10.3303/CET2292027","ISBN":"9788895608907","author":[{"dropping-particle":"","family":"Quisquiche Morales","given":"Deily","non-dropping-particle":"","parse-names":false,"suffix":""},{"dropping-particle":"","family":"Lizarzaburu Aguinaga","given":"Danny Alonso","non-dropping-particle":"","parse-names":false,"suffix":""},{"dropping-particle":"","family":"Castañeda","given":"Carlos","non-dropping-particle":"","parse-names":false,"suffix":""},{"dropping-particle":"","family":"Benites-alfaro","given":"Elmer","non-dropping-particle":"","parse-names":false,"suffix":""}],"container-title":"CHEMICAL ENGINEERING TRANSACTIONS","id":"ITEM-1","issue":"March","issued":{"date-parts":[["2022"]]},"page":"157-162","title":"Solid Biofuel Spheres for the use of Residual Biomass from Polylepis ( Quenual ) in Rural Areas","type":"article-journal","volume":"92"},"uris":["http://www.mendeley.com/documents/?uuid=683ac59a-7710-4053-9cdd-e0231131a71a"]}],"mendeley":{"formattedCitation":"(Quisquiche Morales et al., 2022)","manualFormatting":"(Morales et al., 2022)","plainTextFormattedCitation":"(Quisquiche Morales et al., 2022)","previouslyFormattedCitation":"(Quisquiche Morales et al., 2022)"},"properties":{"noteIndex":0},"schema":"https://github.com/citation-style-language/schema/raw/master/csl-citation.json"}</w:instrText>
      </w:r>
      <w:r w:rsidR="00776C22">
        <w:rPr>
          <w:lang w:val="en-US"/>
        </w:rPr>
        <w:fldChar w:fldCharType="separate"/>
      </w:r>
      <w:r w:rsidR="00776C22" w:rsidRPr="00776C22">
        <w:rPr>
          <w:noProof/>
          <w:lang w:val="en-US"/>
        </w:rPr>
        <w:t>(Morales et al., 2022)</w:t>
      </w:r>
      <w:r w:rsidR="00776C22">
        <w:rPr>
          <w:lang w:val="en-US"/>
        </w:rPr>
        <w:fldChar w:fldCharType="end"/>
      </w:r>
      <w:r w:rsidRPr="003253BC">
        <w:rPr>
          <w:lang w:val="en-US"/>
        </w:rPr>
        <w:t xml:space="preserve">. </w:t>
      </w:r>
      <w:r w:rsidR="00733902" w:rsidRPr="00733902">
        <w:rPr>
          <w:lang w:val="en-US"/>
        </w:rPr>
        <w:t>When the indicated temperature was reached, the cylinder was fitted into a 50 cm diameter hole and 15 cm deep, sealing around the oven with mud to prevent gas exchange (Figure 2).</w:t>
      </w:r>
    </w:p>
    <w:p w14:paraId="1C66A101" w14:textId="77777777" w:rsidR="00642B48" w:rsidRDefault="00642B48" w:rsidP="003253BC">
      <w:pPr>
        <w:pStyle w:val="CETBodytext"/>
        <w:rPr>
          <w:lang w:val="en-US"/>
        </w:rPr>
      </w:pPr>
    </w:p>
    <w:p w14:paraId="2BB11199" w14:textId="35AE9DB3" w:rsidR="005522FC" w:rsidRDefault="00733902" w:rsidP="003253BC">
      <w:pPr>
        <w:pStyle w:val="CETBodytext"/>
        <w:rPr>
          <w:lang w:val="en-US"/>
        </w:rPr>
      </w:pPr>
      <w:r w:rsidRPr="00733902">
        <w:rPr>
          <w:lang w:val="en-US"/>
        </w:rPr>
        <w:t>Finally, after 4 hours of cooking, the lid was removed and allowed to cool for 60 minutes, and then the sludge size was decreased by crushing and sieving with a #30 mesh stainless steel strainer.</w:t>
      </w:r>
    </w:p>
    <w:p w14:paraId="109056DF" w14:textId="77777777" w:rsidR="00733902" w:rsidRDefault="00733902" w:rsidP="003253BC">
      <w:pPr>
        <w:pStyle w:val="CETBodytext"/>
        <w:rPr>
          <w:lang w:val="en-US"/>
        </w:rPr>
      </w:pPr>
    </w:p>
    <w:p w14:paraId="1F96CA21" w14:textId="2490E110" w:rsidR="00600535" w:rsidRPr="00B57B36" w:rsidRDefault="00F878A0" w:rsidP="0006457D">
      <w:pPr>
        <w:pStyle w:val="CETheadingx"/>
      </w:pPr>
      <w:r w:rsidRPr="00F878A0">
        <w:lastRenderedPageBreak/>
        <w:t>Soil sampling</w:t>
      </w:r>
    </w:p>
    <w:p w14:paraId="17C5905A" w14:textId="478608A9" w:rsidR="00843C8E" w:rsidRDefault="00843C8E" w:rsidP="00843C8E">
      <w:pPr>
        <w:pStyle w:val="CETBodytext"/>
        <w:rPr>
          <w:lang w:val="en-US"/>
        </w:rPr>
      </w:pPr>
      <w:r w:rsidRPr="00843C8E">
        <w:rPr>
          <w:lang w:val="en-US"/>
        </w:rPr>
        <w:t>The sample of soil contaminated with hydrocarbons was taken from an industrial area of 1000 m</w:t>
      </w:r>
      <w:r w:rsidRPr="00DD0846">
        <w:rPr>
          <w:vertAlign w:val="superscript"/>
          <w:lang w:val="en-US"/>
        </w:rPr>
        <w:t>2</w:t>
      </w:r>
      <w:r w:rsidRPr="00843C8E">
        <w:rPr>
          <w:lang w:val="en-US"/>
        </w:rPr>
        <w:t xml:space="preserve"> that is located at kilometer 14.8 of the Huachipa district. The composite sampling technique was used following the guide for soil sampling of the Ministry of the Environment </w:t>
      </w:r>
      <w:r w:rsidR="001B00F6">
        <w:rPr>
          <w:lang w:val="en-US"/>
        </w:rPr>
        <w:fldChar w:fldCharType="begin" w:fldLock="1"/>
      </w:r>
      <w:r w:rsidR="00BC34D1">
        <w:rPr>
          <w:lang w:val="en-US"/>
        </w:rPr>
        <w:instrText>ADDIN CSL_CITATION {"citationItems":[{"id":"ITEM-1","itemData":{"author":[{"dropping-particle":"","family":"MINAM","given":"Ministerio del Ambiente","non-dropping-particle":"","parse-names":false,"suffix":""}],"id":"ITEM-1","issued":{"date-parts":[["2014"]]},"number-of-pages":"91","title":"R. M. Nº 085-2014-MINAM. Guia para el Muestreo de Suelos y Guia para la Elaboracion de Planes de Descontaminacion de Suelos.","type":"report","volume":"2"},"uris":["http://www.mendeley.com/documents/?uuid=99b9ccef-183c-4458-8915-0cbc98339709"]}],"mendeley":{"formattedCitation":"(MINAM, 2014)","plainTextFormattedCitation":"(MINAM, 2014)","previouslyFormattedCitation":"(MINAM, 2014)"},"properties":{"noteIndex":0},"schema":"https://github.com/citation-style-language/schema/raw/master/csl-citation.json"}</w:instrText>
      </w:r>
      <w:r w:rsidR="001B00F6">
        <w:rPr>
          <w:lang w:val="en-US"/>
        </w:rPr>
        <w:fldChar w:fldCharType="separate"/>
      </w:r>
      <w:r w:rsidR="001B00F6" w:rsidRPr="001B00F6">
        <w:rPr>
          <w:noProof/>
          <w:lang w:val="en-US"/>
        </w:rPr>
        <w:t>(MINAM, 2014)</w:t>
      </w:r>
      <w:r w:rsidR="001B00F6">
        <w:rPr>
          <w:lang w:val="en-US"/>
        </w:rPr>
        <w:fldChar w:fldCharType="end"/>
      </w:r>
      <w:r w:rsidRPr="00843C8E">
        <w:rPr>
          <w:lang w:val="en-US"/>
        </w:rPr>
        <w:t xml:space="preserve">, 25 extraction points were determined, duly referenced with their UTM coordinates, </w:t>
      </w:r>
      <w:r w:rsidR="00E94B94">
        <w:rPr>
          <w:lang w:val="en-US"/>
        </w:rPr>
        <w:t xml:space="preserve">and </w:t>
      </w:r>
      <w:r w:rsidRPr="00843C8E">
        <w:rPr>
          <w:lang w:val="en-US"/>
        </w:rPr>
        <w:t xml:space="preserve">the soil extraction was carried out through a “V”-shaped hole 10 cm deep (figure 3). </w:t>
      </w:r>
      <w:r w:rsidR="005759BD" w:rsidRPr="005759BD">
        <w:rPr>
          <w:lang w:val="en-US"/>
        </w:rPr>
        <w:t xml:space="preserve">All the collected samples were placed on a plastic surface on the ground </w:t>
      </w:r>
      <w:r w:rsidR="005759BD">
        <w:rPr>
          <w:lang w:val="en-US"/>
        </w:rPr>
        <w:t>in order to</w:t>
      </w:r>
      <w:r w:rsidR="005759BD" w:rsidRPr="005759BD">
        <w:rPr>
          <w:lang w:val="en-US"/>
        </w:rPr>
        <w:t xml:space="preserve"> </w:t>
      </w:r>
      <w:r w:rsidR="005759BD">
        <w:rPr>
          <w:lang w:val="en-US"/>
        </w:rPr>
        <w:t>homogenize</w:t>
      </w:r>
      <w:r w:rsidR="005759BD" w:rsidRPr="005759BD">
        <w:rPr>
          <w:lang w:val="en-US"/>
        </w:rPr>
        <w:t xml:space="preserve"> </w:t>
      </w:r>
      <w:r w:rsidR="005759BD">
        <w:rPr>
          <w:lang w:val="en-US"/>
        </w:rPr>
        <w:t xml:space="preserve">it </w:t>
      </w:r>
      <w:r w:rsidR="005759BD" w:rsidRPr="005759BD">
        <w:rPr>
          <w:lang w:val="en-US"/>
        </w:rPr>
        <w:t xml:space="preserve">and then it was obtained a </w:t>
      </w:r>
      <w:r w:rsidR="005759BD">
        <w:rPr>
          <w:lang w:val="en-US"/>
        </w:rPr>
        <w:t xml:space="preserve">unique </w:t>
      </w:r>
      <w:r w:rsidR="005759BD" w:rsidRPr="005759BD">
        <w:rPr>
          <w:lang w:val="en-US"/>
        </w:rPr>
        <w:t>representative sample of 20 kg that was used for the soil remediation process (figure 4).</w:t>
      </w:r>
    </w:p>
    <w:p w14:paraId="19659507" w14:textId="77777777" w:rsidR="00843C8E" w:rsidRPr="00843C8E" w:rsidRDefault="00843C8E" w:rsidP="00843C8E">
      <w:pPr>
        <w:pStyle w:val="CETBodytext"/>
        <w:rPr>
          <w:lang w:val="en-US"/>
        </w:rPr>
      </w:pPr>
    </w:p>
    <w:p w14:paraId="1F351C31" w14:textId="33CEFC47" w:rsidR="006D5344" w:rsidRDefault="00843C8E" w:rsidP="00843C8E">
      <w:pPr>
        <w:pStyle w:val="CETBodytext"/>
        <w:rPr>
          <w:lang w:val="en-US"/>
        </w:rPr>
      </w:pPr>
      <w:r w:rsidRPr="00843C8E">
        <w:rPr>
          <w:lang w:val="en-US"/>
        </w:rPr>
        <w:t xml:space="preserve">One kilogram of </w:t>
      </w:r>
      <w:r w:rsidR="00E94B94">
        <w:rPr>
          <w:lang w:val="en-US"/>
        </w:rPr>
        <w:t xml:space="preserve">the </w:t>
      </w:r>
      <w:r w:rsidRPr="00843C8E">
        <w:rPr>
          <w:lang w:val="en-US"/>
        </w:rPr>
        <w:t>sample was used as a “control sample”. All other samples were coded and transported following the protocol and chain of custody in a cooler at 4 ºC for the analysis of total hydrocarbon concentration, texture, cation exchange capacity (CEC), pH, organic matter (OM), nitrogen (N) and phosphorus</w:t>
      </w:r>
      <w:r w:rsidR="006C3D92">
        <w:rPr>
          <w:lang w:val="en-US"/>
        </w:rPr>
        <w:t xml:space="preserve"> </w:t>
      </w:r>
      <w:r w:rsidRPr="00843C8E">
        <w:rPr>
          <w:lang w:val="en-US"/>
        </w:rPr>
        <w:t>(P).</w:t>
      </w:r>
    </w:p>
    <w:p w14:paraId="79E3FA57" w14:textId="77777777" w:rsidR="00BB7001" w:rsidRPr="00D211BA" w:rsidRDefault="00BB7001" w:rsidP="00843C8E">
      <w:pPr>
        <w:pStyle w:val="CETBodytext"/>
        <w:rPr>
          <w:sz w:val="10"/>
          <w:szCs w:val="10"/>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4516"/>
      </w:tblGrid>
      <w:tr w:rsidR="00974DC3" w:rsidRPr="00CB1B2B" w14:paraId="75C38C24" w14:textId="77777777" w:rsidTr="003064AB">
        <w:tc>
          <w:tcPr>
            <w:tcW w:w="4271" w:type="dxa"/>
          </w:tcPr>
          <w:p w14:paraId="6DC0B5D5" w14:textId="77777777" w:rsidR="00012991" w:rsidRDefault="00B352F3" w:rsidP="000E60B2">
            <w:pPr>
              <w:pStyle w:val="CETBodytext"/>
              <w:rPr>
                <w:lang w:val="es-PE"/>
              </w:rPr>
            </w:pPr>
            <w:r w:rsidRPr="00B352F3">
              <w:rPr>
                <w:noProof/>
                <w:lang w:val="es-PE"/>
              </w:rPr>
              <w:drawing>
                <wp:inline distT="0" distB="0" distL="0" distR="0" wp14:anchorId="4B013D1C" wp14:editId="51B37106">
                  <wp:extent cx="2403764" cy="1738987"/>
                  <wp:effectExtent l="0" t="0" r="0" b="0"/>
                  <wp:docPr id="1768354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54877" name=""/>
                          <pic:cNvPicPr/>
                        </pic:nvPicPr>
                        <pic:blipFill rotWithShape="1">
                          <a:blip r:embed="rId16"/>
                          <a:srcRect l="20081" t="15580" r="15061"/>
                          <a:stretch/>
                        </pic:blipFill>
                        <pic:spPr bwMode="auto">
                          <a:xfrm>
                            <a:off x="0" y="0"/>
                            <a:ext cx="2443864" cy="1767997"/>
                          </a:xfrm>
                          <a:prstGeom prst="rect">
                            <a:avLst/>
                          </a:prstGeom>
                          <a:ln>
                            <a:noFill/>
                          </a:ln>
                          <a:extLst>
                            <a:ext uri="{53640926-AAD7-44D8-BBD7-CCE9431645EC}">
                              <a14:shadowObscured xmlns:a14="http://schemas.microsoft.com/office/drawing/2010/main"/>
                            </a:ext>
                          </a:extLst>
                        </pic:spPr>
                      </pic:pic>
                    </a:graphicData>
                  </a:graphic>
                </wp:inline>
              </w:drawing>
            </w:r>
          </w:p>
          <w:p w14:paraId="1EA20F91" w14:textId="2BB1611B" w:rsidR="00974DC3" w:rsidRPr="00B62D30" w:rsidRDefault="00AE6136" w:rsidP="000E60B2">
            <w:pPr>
              <w:pStyle w:val="CETBodytext"/>
              <w:rPr>
                <w:lang w:val="en-US"/>
              </w:rPr>
            </w:pPr>
            <w:r w:rsidRPr="00B42A46">
              <w:rPr>
                <w:rStyle w:val="CETCaptionCarattere"/>
              </w:rPr>
              <w:t xml:space="preserve">Figure </w:t>
            </w:r>
            <w:r w:rsidR="008A7C78">
              <w:rPr>
                <w:rStyle w:val="CETCaptionCarattere"/>
              </w:rPr>
              <w:t>3</w:t>
            </w:r>
            <w:r w:rsidRPr="00B42A46">
              <w:rPr>
                <w:rStyle w:val="CETCaptionCarattere"/>
              </w:rPr>
              <w:t>: Sampling of contaminated soil</w:t>
            </w:r>
            <w:r w:rsidRPr="00B62D30">
              <w:rPr>
                <w:lang w:val="en-US"/>
              </w:rPr>
              <w:t>.</w:t>
            </w:r>
          </w:p>
        </w:tc>
        <w:tc>
          <w:tcPr>
            <w:tcW w:w="4516" w:type="dxa"/>
          </w:tcPr>
          <w:p w14:paraId="37509C66" w14:textId="77777777" w:rsidR="00012991" w:rsidRDefault="0078160C" w:rsidP="000E60B2">
            <w:pPr>
              <w:pStyle w:val="CETBodytext"/>
              <w:rPr>
                <w:lang w:val="es-PE"/>
              </w:rPr>
            </w:pPr>
            <w:r w:rsidRPr="0078160C">
              <w:rPr>
                <w:noProof/>
                <w:lang w:val="es-PE"/>
              </w:rPr>
              <w:drawing>
                <wp:inline distT="0" distB="0" distL="0" distR="0" wp14:anchorId="1AF42E3C" wp14:editId="563ED3B3">
                  <wp:extent cx="2466109" cy="1746460"/>
                  <wp:effectExtent l="0" t="0" r="0" b="6350"/>
                  <wp:docPr id="380481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81958" name=""/>
                          <pic:cNvPicPr/>
                        </pic:nvPicPr>
                        <pic:blipFill rotWithShape="1">
                          <a:blip r:embed="rId17"/>
                          <a:srcRect t="3869"/>
                          <a:stretch/>
                        </pic:blipFill>
                        <pic:spPr bwMode="auto">
                          <a:xfrm>
                            <a:off x="0" y="0"/>
                            <a:ext cx="2494053" cy="1766249"/>
                          </a:xfrm>
                          <a:prstGeom prst="rect">
                            <a:avLst/>
                          </a:prstGeom>
                          <a:ln>
                            <a:noFill/>
                          </a:ln>
                          <a:extLst>
                            <a:ext uri="{53640926-AAD7-44D8-BBD7-CCE9431645EC}">
                              <a14:shadowObscured xmlns:a14="http://schemas.microsoft.com/office/drawing/2010/main"/>
                            </a:ext>
                          </a:extLst>
                        </pic:spPr>
                      </pic:pic>
                    </a:graphicData>
                  </a:graphic>
                </wp:inline>
              </w:drawing>
            </w:r>
          </w:p>
          <w:p w14:paraId="4A3BDE14" w14:textId="10D91222" w:rsidR="00B57B55" w:rsidRPr="00B62D30" w:rsidRDefault="00B57B55" w:rsidP="000E60B2">
            <w:pPr>
              <w:pStyle w:val="CETBodytext"/>
              <w:rPr>
                <w:lang w:val="en-US"/>
              </w:rPr>
            </w:pPr>
            <w:r w:rsidRPr="00B42A46">
              <w:rPr>
                <w:rStyle w:val="CETCaptionCarattere"/>
              </w:rPr>
              <w:t xml:space="preserve">Figure </w:t>
            </w:r>
            <w:r w:rsidR="008A7C78">
              <w:rPr>
                <w:rStyle w:val="CETCaptionCarattere"/>
              </w:rPr>
              <w:t>4</w:t>
            </w:r>
            <w:r w:rsidRPr="00B42A46">
              <w:rPr>
                <w:rStyle w:val="CETCaptionCarattere"/>
              </w:rPr>
              <w:t>: Homogenization of soil samples</w:t>
            </w:r>
            <w:r w:rsidRPr="00B62D30">
              <w:rPr>
                <w:lang w:val="en-US"/>
              </w:rPr>
              <w:t>.</w:t>
            </w:r>
          </w:p>
        </w:tc>
      </w:tr>
      <w:tr w:rsidR="00277362" w:rsidRPr="00CB1B2B" w14:paraId="0A184525" w14:textId="77777777" w:rsidTr="003064AB">
        <w:tc>
          <w:tcPr>
            <w:tcW w:w="4271" w:type="dxa"/>
          </w:tcPr>
          <w:p w14:paraId="1347A1E2" w14:textId="77777777" w:rsidR="00277362" w:rsidRPr="00311584" w:rsidRDefault="00277362" w:rsidP="000E60B2">
            <w:pPr>
              <w:pStyle w:val="CETBodytext"/>
              <w:rPr>
                <w:noProof/>
                <w:lang w:val="en-US"/>
              </w:rPr>
            </w:pPr>
          </w:p>
        </w:tc>
        <w:tc>
          <w:tcPr>
            <w:tcW w:w="4516" w:type="dxa"/>
          </w:tcPr>
          <w:p w14:paraId="3E1A1805" w14:textId="77777777" w:rsidR="00277362" w:rsidRPr="00311584" w:rsidRDefault="00277362" w:rsidP="000E60B2">
            <w:pPr>
              <w:pStyle w:val="CETBodytext"/>
              <w:rPr>
                <w:noProof/>
                <w:lang w:val="en-US"/>
              </w:rPr>
            </w:pPr>
          </w:p>
        </w:tc>
      </w:tr>
    </w:tbl>
    <w:p w14:paraId="7382C781" w14:textId="4DAA2B38" w:rsidR="00600535" w:rsidRPr="002C1779" w:rsidRDefault="003064AB" w:rsidP="0006457D">
      <w:pPr>
        <w:pStyle w:val="CETheadingx"/>
      </w:pPr>
      <w:r w:rsidRPr="002C1779">
        <w:t>Soil remediation process</w:t>
      </w:r>
    </w:p>
    <w:p w14:paraId="7B2CA322" w14:textId="13D380F8" w:rsidR="003064AB" w:rsidRDefault="00D211BA" w:rsidP="003064AB">
      <w:pPr>
        <w:pStyle w:val="CETBodytext"/>
        <w:rPr>
          <w:lang w:val="en-US"/>
        </w:rPr>
      </w:pPr>
      <w:r>
        <w:rPr>
          <w:lang w:val="en-US"/>
        </w:rPr>
        <w:t>Ten</w:t>
      </w:r>
      <w:r w:rsidRPr="00D211BA">
        <w:rPr>
          <w:lang w:val="en-US"/>
        </w:rPr>
        <w:t xml:space="preserve"> buckets of 3 kg capacity were used for the treatment, each one contain 2 kg of soil contaminated with hydrocarbons: Previously, the soil was sieved with a N</w:t>
      </w:r>
      <w:r w:rsidRPr="00D211BA">
        <w:rPr>
          <w:u w:val="single"/>
          <w:vertAlign w:val="superscript"/>
          <w:lang w:val="en-US"/>
        </w:rPr>
        <w:t>o</w:t>
      </w:r>
      <w:r w:rsidRPr="00D211BA">
        <w:rPr>
          <w:lang w:val="en-US"/>
        </w:rPr>
        <w:t xml:space="preserve"> 10 mesh (2 mm ASTM 8”) to eliminate impurities (glass, concrete, plastic, etc.). The test consisted of adding three doses of biochar: 5% (100 gr), 10% (200 gr), and 20% (400 gr) to the contaminated soil. The experiment was carried out in triplicate for each dose, and one container served as a control, that is, without adding biochar </w:t>
      </w:r>
      <w:r w:rsidR="00F14CC4">
        <w:rPr>
          <w:lang w:val="es-PE"/>
        </w:rPr>
        <w:fldChar w:fldCharType="begin" w:fldLock="1"/>
      </w:r>
      <w:r w:rsidR="00F14CC4" w:rsidRPr="00B62D30">
        <w:rPr>
          <w:lang w:val="en-US"/>
        </w:rPr>
        <w:instrText xml:space="preserve">ADDIN CSL_CITATION {"citationItems":[{"id":"ITEM-1","itemData":{"DOI":"10.1016/j.envpol.2023.121417","ISSN":"18736424","PMID":"36921655","abstract":"Remediation of residually contaminated soils remains a widespread problem. Biochar can immobilize polycyclic aromatic hydrocarbons (PAH). However, studies on its ability to immobilize PAH and N, S, and O substituted PAH (hetero-PAH) in real soils, and benchmarking with commercial activated carbon are missing. Here, we compared the ability of pristine biochar (BC), steam-activated biochar (SABC), and commercial activated carbon (AC) to immobilize PAH and hetero-PAH. The three carbons were tested on soils from four different contaminated sites in Austria. Different amendment rates (w/w) of the carbons were investigated (BC: 1.0, 2.5, and 5%; SABC: 0.5, 1.0, and 2.0%; AC: 1%) in batch experiments to cover meaningful ranges in relation to their performance. SABC performed better than AC, removing at least 80% PAH with the lowest application rate of 0.5%, and achieving a complete removal at an application rate of 1.0%. BC performed slightly worse but still acceptable in residually contaminated soils (40 and 100% removal at 1 and 5% amendment, respectively). The ability of BC and SABC to immobilize PAH decreased as the PAH-molar volume increased. PAH with three or more rings were preferentially removed by AC compared to SABC or BC. This can be explained by the difference in pore size distribution of the carbons which could limit the accessibility of PAH and hetero-PAH to reach sorption sites for </w:instrText>
      </w:r>
      <w:r w:rsidR="00F14CC4">
        <w:rPr>
          <w:lang w:val="es-PE"/>
        </w:rPr>
        <w:instrText>π</w:instrText>
      </w:r>
      <w:r w:rsidR="00F14CC4" w:rsidRPr="00B62D30">
        <w:rPr>
          <w:lang w:val="en-US"/>
        </w:rPr>
        <w:instrText xml:space="preserve">- </w:instrText>
      </w:r>
      <w:r w:rsidR="00F14CC4">
        <w:rPr>
          <w:lang w:val="es-PE"/>
        </w:rPr>
        <w:instrText>π</w:instrText>
      </w:r>
      <w:r w:rsidR="00F14CC4" w:rsidRPr="00B62D30">
        <w:rPr>
          <w:lang w:val="en-US"/>
        </w:rPr>
        <w:instrText xml:space="preserve"> electron donor-acceptor interactions, which drive PAH and hetero-PAH sorption to carbons. Column percolation tests confirmed the results obtained in batch tests, indicating, that decisions for soil remediation can be derived from simpler batch experiments. In soil samples with 1% BC, a reduction of over 90% in the total concentration of PAH in the leached water was observed. Overall, BC and SABC were demonstrated to be valid substitutes for AC for stabilizing residually contaminated soils.","author":[{"dropping-particle":"","family":"Carlini","given":"Carlotta","non-dropping-particle":"","parse-names":false,"suffix":""},{"dropping-particle":"","family":"Chaudhuri","given":"Sampriti","non-dropping-particle":"","parse-names":false,"suffix":""},{"dropping-particle":"","family":"Mann","given":"Oliver","non-dropping-particle":"","parse-names":false,"suffix":""},{"dropping-particle":"","family":"Tomsik","given":"Daniel","non-dropping-particle":"","parse-names":false,"suffix":""},{"dropping-particle":"","family":"Hüffer","given":"Thorsten","non-dropping-particle":"","parse-names":false,"suffix":""},{"dropping-particle":"","family":"Greggio","given":"Nicolas","non-dropping-particle":"","parse-names":false,"suffix":""},{"dropping-particle":"","family":"Marazza","given":"Diego","non-dropping-particle":"","parse-names":false,"suffix":""},{"dropping-particle":"","family":"Hofmann","given":"Thilo","non-dropping-particle":"","parse-names":false,"suffix":""},{"dropping-particle":"","family":"Sigmund","given":"Gabriel","non-dropping-particle":"","parse-names":false,"suffix":""}],"container-title":"Environmental Pollution","id":"ITEM-1","issue":"December 2022","issued":{"date-parts":[["2023"]]},"page":"121417","publisher":"Elsevier Ltd","title":"Benchmarking biochar with activated carbon for immobilizing leachable PAH and heterocyclic PAH in contaminated soils","type":"article-journal","volume":"325"},"uris":["http://www.mendeley.com/documents/?uuid=6eab0100-1d2d-4fe1-83a7-f566f43ba534"]}],"mendeley":{"formattedCitation":"(Carlini et al., 2023)","plainTextFormattedCitation":"(Carlini et al., 2023)","previouslyFormattedCitation":"(Carlini et al., 2023)"},"properties":{"noteIndex":0},"schema":"https://github.com/citation-style-language/schema/raw/master/csl-citation.json"}</w:instrText>
      </w:r>
      <w:r w:rsidR="00F14CC4">
        <w:rPr>
          <w:lang w:val="es-PE"/>
        </w:rPr>
        <w:fldChar w:fldCharType="separate"/>
      </w:r>
      <w:r w:rsidR="00F14CC4" w:rsidRPr="00B62D30">
        <w:rPr>
          <w:noProof/>
          <w:lang w:val="en-US"/>
        </w:rPr>
        <w:t>(Carlini et al., 2023)</w:t>
      </w:r>
      <w:r w:rsidR="00F14CC4">
        <w:rPr>
          <w:lang w:val="es-PE"/>
        </w:rPr>
        <w:fldChar w:fldCharType="end"/>
      </w:r>
      <w:r w:rsidRPr="00D211BA">
        <w:rPr>
          <w:lang w:val="en-US"/>
        </w:rPr>
        <w:t>, the experimental units were placed in a cool and dry place for 45 days</w:t>
      </w:r>
      <w:r w:rsidR="00A902A8" w:rsidRPr="00B62D30">
        <w:rPr>
          <w:lang w:val="en-US"/>
        </w:rPr>
        <w:t>.</w:t>
      </w:r>
    </w:p>
    <w:p w14:paraId="639E1A32" w14:textId="77777777" w:rsidR="00D211BA" w:rsidRDefault="00D211BA" w:rsidP="003064AB">
      <w:pPr>
        <w:pStyle w:val="CETBodytext"/>
        <w:rPr>
          <w:lang w:val="en-US"/>
        </w:rPr>
      </w:pPr>
    </w:p>
    <w:p w14:paraId="7C901728" w14:textId="54117CE4" w:rsidR="00D67FEC" w:rsidRPr="001E2002" w:rsidRDefault="00B8049D" w:rsidP="0006457D">
      <w:pPr>
        <w:pStyle w:val="CETheadingx"/>
      </w:pPr>
      <w:r w:rsidRPr="00B8049D">
        <w:t>Sample Analysis</w:t>
      </w:r>
    </w:p>
    <w:p w14:paraId="03DAEC48" w14:textId="5A4B2F26" w:rsidR="00E931F0" w:rsidRDefault="00662192" w:rsidP="001D21D7">
      <w:pPr>
        <w:pStyle w:val="CETListbullets"/>
        <w:ind w:left="0" w:firstLine="0"/>
        <w:rPr>
          <w:iCs/>
          <w:lang w:val="en-US"/>
        </w:rPr>
      </w:pPr>
      <w:r w:rsidRPr="00662192">
        <w:rPr>
          <w:iCs/>
          <w:lang w:val="en-US"/>
        </w:rPr>
        <w:t xml:space="preserve">Initially, it was carried out an analysis of the hydrocarbon concentration of the control unit and then it was made the analysis of the experimental units (09 units) at 20 and 45 days after the addition of the WWTP biochar. The concentration of hydrocarbons and also the physicochemical parameters were determined. To find the efficiency of reducing the hydrocarbon concentration was used the equation </w:t>
      </w:r>
      <w:r>
        <w:rPr>
          <w:iCs/>
          <w:lang w:val="en-US"/>
        </w:rPr>
        <w:t>(</w:t>
      </w:r>
      <w:r w:rsidRPr="00662192">
        <w:rPr>
          <w:iCs/>
          <w:lang w:val="en-US"/>
        </w:rPr>
        <w:t>1</w:t>
      </w:r>
      <w:r>
        <w:rPr>
          <w:iCs/>
          <w:lang w:val="en-US"/>
        </w:rPr>
        <w:t>)</w:t>
      </w:r>
      <w:r w:rsidR="0079028B" w:rsidRPr="00B62D30">
        <w:rPr>
          <w:iCs/>
          <w:lang w:val="en-US"/>
        </w:rPr>
        <w:t>.</w:t>
      </w:r>
    </w:p>
    <w:p w14:paraId="482A4001" w14:textId="77777777" w:rsidR="008D590F" w:rsidRDefault="008D590F" w:rsidP="001D21D7">
      <w:pPr>
        <w:pStyle w:val="CETListbullets"/>
        <w:ind w:left="0" w:firstLine="0"/>
        <w:rPr>
          <w:iCs/>
          <w:lang w:val="en-US"/>
        </w:rPr>
      </w:pPr>
    </w:p>
    <w:tbl>
      <w:tblPr>
        <w:tblStyle w:val="Tablaconcuadrcula"/>
        <w:tblW w:w="8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850"/>
      </w:tblGrid>
      <w:tr w:rsidR="008D590F" w14:paraId="34E30CDD" w14:textId="77777777" w:rsidTr="008D590F">
        <w:trPr>
          <w:trHeight w:val="496"/>
        </w:trPr>
        <w:tc>
          <w:tcPr>
            <w:tcW w:w="7371" w:type="dxa"/>
            <w:vAlign w:val="center"/>
          </w:tcPr>
          <w:p w14:paraId="09B410DA" w14:textId="6B5F8523" w:rsidR="008D590F" w:rsidRPr="008D590F" w:rsidRDefault="008D590F" w:rsidP="00E73572">
            <w:pPr>
              <w:pStyle w:val="CETBodytext"/>
              <w:rPr>
                <w:iCs/>
                <w:lang w:val="en-US"/>
              </w:rPr>
            </w:pPr>
            <m:oMathPara>
              <m:oMathParaPr>
                <m:jc m:val="left"/>
              </m:oMathParaPr>
              <m:oMath>
                <m:r>
                  <w:rPr>
                    <w:rFonts w:ascii="Cambria Math" w:hAnsi="Cambria Math" w:cs="Arial"/>
                    <w:sz w:val="16"/>
                    <w:szCs w:val="18"/>
                  </w:rPr>
                  <m:t xml:space="preserve">Reduction efficiency [hydrocarbons]= </m:t>
                </m:r>
                <m:f>
                  <m:fPr>
                    <m:ctrlPr>
                      <w:rPr>
                        <w:rFonts w:ascii="Cambria Math" w:hAnsi="Cambria Math" w:cs="Arial"/>
                        <w:sz w:val="16"/>
                        <w:szCs w:val="18"/>
                        <w:lang w:val="es-PE"/>
                      </w:rPr>
                    </m:ctrlPr>
                  </m:fPr>
                  <m:num>
                    <m:sSub>
                      <m:sSubPr>
                        <m:ctrlPr>
                          <w:rPr>
                            <w:rFonts w:ascii="Cambria Math" w:hAnsi="Cambria Math" w:cs="Arial"/>
                            <w:sz w:val="16"/>
                            <w:szCs w:val="18"/>
                            <w:lang w:val="es-PE"/>
                          </w:rPr>
                        </m:ctrlPr>
                      </m:sSubPr>
                      <m:e>
                        <m:d>
                          <m:dPr>
                            <m:begChr m:val="["/>
                            <m:endChr m:val="]"/>
                            <m:ctrlPr>
                              <w:rPr>
                                <w:rFonts w:ascii="Cambria Math" w:hAnsi="Cambria Math" w:cs="Arial"/>
                                <w:sz w:val="16"/>
                                <w:szCs w:val="18"/>
                                <w:lang w:val="es-PE"/>
                              </w:rPr>
                            </m:ctrlPr>
                          </m:dPr>
                          <m:e>
                            <m:r>
                              <w:rPr>
                                <w:rFonts w:ascii="Cambria Math" w:hAnsi="Cambria Math" w:cs="Arial"/>
                                <w:sz w:val="16"/>
                                <w:szCs w:val="18"/>
                              </w:rPr>
                              <m:t>hidrocarbons</m:t>
                            </m:r>
                          </m:e>
                        </m:d>
                      </m:e>
                      <m:sub>
                        <m:r>
                          <w:rPr>
                            <w:rFonts w:ascii="Cambria Math" w:hAnsi="Cambria Math" w:cs="Arial"/>
                            <w:sz w:val="16"/>
                            <w:szCs w:val="18"/>
                          </w:rPr>
                          <m:t>Initial</m:t>
                        </m:r>
                      </m:sub>
                    </m:sSub>
                    <m:r>
                      <w:rPr>
                        <w:rFonts w:ascii="Cambria Math" w:hAnsi="Cambria Math" w:cs="Arial"/>
                        <w:sz w:val="16"/>
                        <w:szCs w:val="18"/>
                      </w:rPr>
                      <m:t>-</m:t>
                    </m:r>
                    <m:sSub>
                      <m:sSubPr>
                        <m:ctrlPr>
                          <w:rPr>
                            <w:rFonts w:ascii="Cambria Math" w:hAnsi="Cambria Math" w:cs="Arial"/>
                            <w:sz w:val="16"/>
                            <w:szCs w:val="18"/>
                            <w:lang w:val="es-PE"/>
                          </w:rPr>
                        </m:ctrlPr>
                      </m:sSubPr>
                      <m:e>
                        <m:d>
                          <m:dPr>
                            <m:begChr m:val="["/>
                            <m:endChr m:val="]"/>
                            <m:ctrlPr>
                              <w:rPr>
                                <w:rFonts w:ascii="Cambria Math" w:hAnsi="Cambria Math" w:cs="Arial"/>
                                <w:sz w:val="16"/>
                                <w:szCs w:val="18"/>
                                <w:lang w:val="es-PE"/>
                              </w:rPr>
                            </m:ctrlPr>
                          </m:dPr>
                          <m:e>
                            <m:r>
                              <w:rPr>
                                <w:rFonts w:ascii="Cambria Math" w:hAnsi="Cambria Math" w:cs="Arial"/>
                                <w:sz w:val="16"/>
                                <w:szCs w:val="18"/>
                              </w:rPr>
                              <m:t>hidrocarbons</m:t>
                            </m:r>
                          </m:e>
                        </m:d>
                      </m:e>
                      <m:sub>
                        <m:r>
                          <w:rPr>
                            <w:rFonts w:ascii="Cambria Math" w:hAnsi="Cambria Math" w:cs="Arial"/>
                            <w:sz w:val="16"/>
                            <w:szCs w:val="18"/>
                          </w:rPr>
                          <m:t>Final</m:t>
                        </m:r>
                      </m:sub>
                    </m:sSub>
                  </m:num>
                  <m:den>
                    <m:sSub>
                      <m:sSubPr>
                        <m:ctrlPr>
                          <w:rPr>
                            <w:rFonts w:ascii="Cambria Math" w:hAnsi="Cambria Math" w:cs="Arial"/>
                            <w:sz w:val="16"/>
                            <w:szCs w:val="18"/>
                            <w:lang w:val="es-PE"/>
                          </w:rPr>
                        </m:ctrlPr>
                      </m:sSubPr>
                      <m:e>
                        <m:d>
                          <m:dPr>
                            <m:begChr m:val="["/>
                            <m:endChr m:val="]"/>
                            <m:ctrlPr>
                              <w:rPr>
                                <w:rFonts w:ascii="Cambria Math" w:hAnsi="Cambria Math" w:cs="Arial"/>
                                <w:sz w:val="16"/>
                                <w:szCs w:val="18"/>
                                <w:lang w:val="es-PE"/>
                              </w:rPr>
                            </m:ctrlPr>
                          </m:dPr>
                          <m:e>
                            <m:r>
                              <w:rPr>
                                <w:rFonts w:ascii="Cambria Math" w:hAnsi="Cambria Math" w:cs="Arial"/>
                                <w:sz w:val="16"/>
                                <w:szCs w:val="18"/>
                              </w:rPr>
                              <m:t>hidrocarbons</m:t>
                            </m:r>
                          </m:e>
                        </m:d>
                      </m:e>
                      <m:sub>
                        <m:r>
                          <w:rPr>
                            <w:rFonts w:ascii="Cambria Math" w:hAnsi="Cambria Math" w:cs="Arial"/>
                            <w:sz w:val="16"/>
                            <w:szCs w:val="18"/>
                          </w:rPr>
                          <m:t>Initial</m:t>
                        </m:r>
                      </m:sub>
                    </m:sSub>
                  </m:den>
                </m:f>
                <m:r>
                  <w:rPr>
                    <w:rFonts w:ascii="Cambria Math" w:hAnsi="Cambria Math" w:cs="Arial"/>
                    <w:sz w:val="20"/>
                    <w:szCs w:val="22"/>
                    <w:lang w:val="en-US"/>
                  </w:rPr>
                  <m:t xml:space="preserve"> </m:t>
                </m:r>
                <m:r>
                  <w:rPr>
                    <w:rFonts w:ascii="Cambria Math" w:hAnsi="Cambria Math" w:cs="Arial"/>
                    <w:sz w:val="20"/>
                    <w:szCs w:val="22"/>
                    <w:lang w:val="es-PE"/>
                  </w:rPr>
                  <m:t>x</m:t>
                </m:r>
                <m:r>
                  <w:rPr>
                    <w:rFonts w:ascii="Cambria Math" w:hAnsi="Cambria Math" w:cs="Arial"/>
                    <w:sz w:val="20"/>
                    <w:szCs w:val="22"/>
                    <w:lang w:val="en-US"/>
                  </w:rPr>
                  <m:t xml:space="preserve"> 10</m:t>
                </m:r>
                <m:r>
                  <w:rPr>
                    <w:rFonts w:ascii="Cambria Math" w:hAnsi="Cambria Math" w:cs="Arial"/>
                    <w:sz w:val="20"/>
                    <w:szCs w:val="22"/>
                    <w:lang w:val="en-US"/>
                  </w:rPr>
                  <m:t>0</m:t>
                </m:r>
              </m:oMath>
            </m:oMathPara>
          </w:p>
        </w:tc>
        <w:tc>
          <w:tcPr>
            <w:tcW w:w="850" w:type="dxa"/>
            <w:vAlign w:val="center"/>
          </w:tcPr>
          <w:p w14:paraId="5BF72F6B" w14:textId="77908B62" w:rsidR="008D590F" w:rsidRDefault="008D590F" w:rsidP="00E73572">
            <w:pPr>
              <w:pStyle w:val="CETBodytext"/>
              <w:rPr>
                <w:iCs/>
                <w:lang w:val="en-US"/>
              </w:rPr>
            </w:pPr>
            <w:r w:rsidRPr="00B62D30">
              <w:rPr>
                <w:iCs/>
                <w:lang w:val="en-US"/>
              </w:rPr>
              <w:t>(1)</w:t>
            </w:r>
          </w:p>
        </w:tc>
      </w:tr>
    </w:tbl>
    <w:p w14:paraId="760BE566" w14:textId="15B38C47" w:rsidR="00DB2FFA" w:rsidRDefault="00410CB4" w:rsidP="008D590F">
      <w:pPr>
        <w:pStyle w:val="CETheadingx"/>
      </w:pPr>
      <w:r w:rsidRPr="00410CB4">
        <w:t>Data processing</w:t>
      </w:r>
    </w:p>
    <w:p w14:paraId="623B8265" w14:textId="449E97E0" w:rsidR="003F41AB" w:rsidRPr="00B62D30" w:rsidRDefault="00662192" w:rsidP="00410CB4">
      <w:pPr>
        <w:pStyle w:val="CETBodytext"/>
        <w:rPr>
          <w:lang w:val="en-US"/>
        </w:rPr>
      </w:pPr>
      <w:r w:rsidRPr="00662192">
        <w:rPr>
          <w:lang w:val="en-US"/>
        </w:rPr>
        <w:t>Data processing consisted of an office work in which data were collected through registration forms, then the data were interpreted and coded (Table 1) to generate the results. The results are detailed in point 3, which will allow analyzing the efficiency of reducing the concentration of hydrocarbons in the samples and the improvement in the physicochemical parameters in the contaminated soils before and after treatment.</w:t>
      </w:r>
    </w:p>
    <w:p w14:paraId="19AA3C37" w14:textId="61D7E91E" w:rsidR="00FA3143" w:rsidRPr="00B62D30" w:rsidRDefault="00FA3143" w:rsidP="00FA3143">
      <w:pPr>
        <w:pStyle w:val="CETTabletitle"/>
        <w:rPr>
          <w:lang w:val="en-US"/>
        </w:rPr>
      </w:pPr>
      <w:r w:rsidRPr="00B62D30">
        <w:rPr>
          <w:lang w:val="en-US"/>
        </w:rPr>
        <w:t>Table 1: Coding of samples according to treatment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1559"/>
        <w:gridCol w:w="1559"/>
        <w:gridCol w:w="1560"/>
      </w:tblGrid>
      <w:tr w:rsidR="00FA3143" w:rsidRPr="00B57B36" w14:paraId="6933461E" w14:textId="77777777" w:rsidTr="00FA3143">
        <w:tc>
          <w:tcPr>
            <w:tcW w:w="1418" w:type="dxa"/>
            <w:tcBorders>
              <w:top w:val="single" w:sz="12" w:space="0" w:color="008000"/>
              <w:bottom w:val="single" w:sz="6" w:space="0" w:color="008000"/>
            </w:tcBorders>
            <w:shd w:val="clear" w:color="auto" w:fill="FFFFFF"/>
          </w:tcPr>
          <w:p w14:paraId="32D4BBCF" w14:textId="435EE611" w:rsidR="00FA3143" w:rsidRPr="00B57B36" w:rsidRDefault="00FA3143" w:rsidP="00B85018">
            <w:pPr>
              <w:pStyle w:val="CETBodytext"/>
              <w:rPr>
                <w:lang w:val="en-GB"/>
              </w:rPr>
            </w:pPr>
            <w:r w:rsidRPr="00B57B36">
              <w:rPr>
                <w:lang w:val="en-GB"/>
              </w:rPr>
              <w:t xml:space="preserve"> </w:t>
            </w:r>
            <w:r>
              <w:rPr>
                <w:lang w:val="en-GB"/>
              </w:rPr>
              <w:t>Treatment</w:t>
            </w:r>
          </w:p>
        </w:tc>
        <w:tc>
          <w:tcPr>
            <w:tcW w:w="1559" w:type="dxa"/>
            <w:tcBorders>
              <w:top w:val="single" w:sz="12" w:space="0" w:color="008000"/>
              <w:bottom w:val="single" w:sz="6" w:space="0" w:color="008000"/>
            </w:tcBorders>
            <w:shd w:val="clear" w:color="auto" w:fill="FFFFFF"/>
          </w:tcPr>
          <w:p w14:paraId="2635C606" w14:textId="1170FC3D" w:rsidR="00FA3143" w:rsidRPr="00B57B36" w:rsidRDefault="00FA3143" w:rsidP="00B85018">
            <w:pPr>
              <w:pStyle w:val="CETBodytext"/>
              <w:rPr>
                <w:lang w:val="en-GB"/>
              </w:rPr>
            </w:pPr>
            <w:r>
              <w:rPr>
                <w:lang w:val="en-GB"/>
              </w:rPr>
              <w:t>Fraction light</w:t>
            </w:r>
          </w:p>
        </w:tc>
        <w:tc>
          <w:tcPr>
            <w:tcW w:w="1559" w:type="dxa"/>
            <w:tcBorders>
              <w:top w:val="single" w:sz="12" w:space="0" w:color="008000"/>
              <w:bottom w:val="single" w:sz="6" w:space="0" w:color="008000"/>
            </w:tcBorders>
            <w:shd w:val="clear" w:color="auto" w:fill="FFFFFF"/>
          </w:tcPr>
          <w:p w14:paraId="77FA9524" w14:textId="3B94AF05" w:rsidR="00FA3143" w:rsidRPr="00B57B36" w:rsidRDefault="00FA3143" w:rsidP="00B85018">
            <w:pPr>
              <w:pStyle w:val="CETBodytext"/>
              <w:rPr>
                <w:lang w:val="en-GB"/>
              </w:rPr>
            </w:pPr>
            <w:r>
              <w:rPr>
                <w:lang w:val="en-GB"/>
              </w:rPr>
              <w:t>Middle Fraction</w:t>
            </w:r>
          </w:p>
        </w:tc>
        <w:tc>
          <w:tcPr>
            <w:tcW w:w="1560" w:type="dxa"/>
            <w:tcBorders>
              <w:top w:val="single" w:sz="12" w:space="0" w:color="008000"/>
              <w:bottom w:val="single" w:sz="6" w:space="0" w:color="008000"/>
            </w:tcBorders>
            <w:shd w:val="clear" w:color="auto" w:fill="FFFFFF"/>
          </w:tcPr>
          <w:p w14:paraId="6338726C" w14:textId="637A41FF" w:rsidR="00FA3143" w:rsidRPr="00B57B36" w:rsidRDefault="00FA3143" w:rsidP="00B85018">
            <w:pPr>
              <w:pStyle w:val="CETBodytext"/>
              <w:ind w:right="-1"/>
              <w:rPr>
                <w:rFonts w:cs="Arial"/>
                <w:szCs w:val="18"/>
                <w:lang w:val="en-GB"/>
              </w:rPr>
            </w:pPr>
            <w:r>
              <w:rPr>
                <w:rFonts w:cs="Arial"/>
                <w:szCs w:val="18"/>
                <w:lang w:val="en-GB"/>
              </w:rPr>
              <w:t>Fraction Heavy</w:t>
            </w:r>
          </w:p>
        </w:tc>
      </w:tr>
      <w:tr w:rsidR="00FA3143" w:rsidRPr="00B57B36" w14:paraId="4AE17120" w14:textId="77777777" w:rsidTr="00FA3143">
        <w:tc>
          <w:tcPr>
            <w:tcW w:w="1418" w:type="dxa"/>
            <w:shd w:val="clear" w:color="auto" w:fill="FFFFFF"/>
          </w:tcPr>
          <w:p w14:paraId="6F15E90D" w14:textId="545F66D0" w:rsidR="00FA3143" w:rsidRPr="00B57B36" w:rsidRDefault="008C5D7A" w:rsidP="00FA3143">
            <w:pPr>
              <w:pStyle w:val="CETBodytext"/>
              <w:rPr>
                <w:lang w:val="en-GB"/>
              </w:rPr>
            </w:pPr>
            <w:r>
              <w:rPr>
                <w:lang w:val="en-GB"/>
              </w:rPr>
              <w:t xml:space="preserve">  </w:t>
            </w:r>
            <w:r w:rsidR="00FA3143">
              <w:rPr>
                <w:lang w:val="en-GB"/>
              </w:rPr>
              <w:t>5% Biochar</w:t>
            </w:r>
          </w:p>
        </w:tc>
        <w:tc>
          <w:tcPr>
            <w:tcW w:w="1559" w:type="dxa"/>
            <w:shd w:val="clear" w:color="auto" w:fill="FFFFFF"/>
          </w:tcPr>
          <w:p w14:paraId="369A971A" w14:textId="1814FDAB" w:rsidR="00FA3143" w:rsidRPr="00B57B36" w:rsidRDefault="00FA3143" w:rsidP="00FA3143">
            <w:pPr>
              <w:pStyle w:val="CETBodytext"/>
              <w:jc w:val="center"/>
              <w:rPr>
                <w:lang w:val="en-GB"/>
              </w:rPr>
            </w:pPr>
            <w:r>
              <w:rPr>
                <w:lang w:val="en-GB"/>
              </w:rPr>
              <w:t>FLSB05</w:t>
            </w:r>
          </w:p>
        </w:tc>
        <w:tc>
          <w:tcPr>
            <w:tcW w:w="1559" w:type="dxa"/>
            <w:shd w:val="clear" w:color="auto" w:fill="FFFFFF"/>
          </w:tcPr>
          <w:p w14:paraId="63A39231" w14:textId="249DEAF3" w:rsidR="00FA3143" w:rsidRPr="00B57B36" w:rsidRDefault="00FA3143" w:rsidP="00FA3143">
            <w:pPr>
              <w:pStyle w:val="CETBodytext"/>
              <w:jc w:val="center"/>
              <w:rPr>
                <w:lang w:val="en-GB"/>
              </w:rPr>
            </w:pPr>
            <w:r>
              <w:rPr>
                <w:lang w:val="en-GB"/>
              </w:rPr>
              <w:t>FMSB05</w:t>
            </w:r>
          </w:p>
        </w:tc>
        <w:tc>
          <w:tcPr>
            <w:tcW w:w="1560" w:type="dxa"/>
            <w:shd w:val="clear" w:color="auto" w:fill="FFFFFF"/>
          </w:tcPr>
          <w:p w14:paraId="152C4229" w14:textId="3FA863F0" w:rsidR="00FA3143" w:rsidRPr="00B57B36" w:rsidRDefault="00FA3143" w:rsidP="00FA3143">
            <w:pPr>
              <w:pStyle w:val="CETBodytext"/>
              <w:ind w:right="-1"/>
              <w:jc w:val="center"/>
              <w:rPr>
                <w:rFonts w:cs="Arial"/>
                <w:szCs w:val="18"/>
                <w:lang w:val="en-GB"/>
              </w:rPr>
            </w:pPr>
            <w:r>
              <w:rPr>
                <w:lang w:val="en-GB"/>
              </w:rPr>
              <w:t>FPSB05</w:t>
            </w:r>
          </w:p>
        </w:tc>
      </w:tr>
      <w:tr w:rsidR="00FA3143" w:rsidRPr="00B57B36" w14:paraId="2F00E8FB" w14:textId="77777777" w:rsidTr="00FA3143">
        <w:tc>
          <w:tcPr>
            <w:tcW w:w="1418" w:type="dxa"/>
            <w:shd w:val="clear" w:color="auto" w:fill="FFFFFF"/>
          </w:tcPr>
          <w:p w14:paraId="31450D26" w14:textId="244CCFCE" w:rsidR="00FA3143" w:rsidRDefault="00FA3143" w:rsidP="00FA3143">
            <w:pPr>
              <w:pStyle w:val="CETBodytext"/>
              <w:rPr>
                <w:lang w:val="en-GB"/>
              </w:rPr>
            </w:pPr>
            <w:r>
              <w:rPr>
                <w:lang w:val="en-GB"/>
              </w:rPr>
              <w:t>10% Biochar</w:t>
            </w:r>
          </w:p>
        </w:tc>
        <w:tc>
          <w:tcPr>
            <w:tcW w:w="1559" w:type="dxa"/>
            <w:shd w:val="clear" w:color="auto" w:fill="FFFFFF"/>
          </w:tcPr>
          <w:p w14:paraId="41163E0D" w14:textId="33F6B870" w:rsidR="00FA3143" w:rsidRPr="00B57B36" w:rsidRDefault="00FA3143" w:rsidP="00FA3143">
            <w:pPr>
              <w:pStyle w:val="CETBodytext"/>
              <w:jc w:val="center"/>
              <w:rPr>
                <w:lang w:val="en-GB"/>
              </w:rPr>
            </w:pPr>
            <w:r w:rsidRPr="007666FE">
              <w:rPr>
                <w:lang w:val="en-GB"/>
              </w:rPr>
              <w:t>FLSB10</w:t>
            </w:r>
          </w:p>
        </w:tc>
        <w:tc>
          <w:tcPr>
            <w:tcW w:w="1559" w:type="dxa"/>
            <w:shd w:val="clear" w:color="auto" w:fill="FFFFFF"/>
          </w:tcPr>
          <w:p w14:paraId="0D574AFF" w14:textId="7F99A3D2" w:rsidR="00FA3143" w:rsidRPr="00B57B36" w:rsidRDefault="00FA3143" w:rsidP="00FA3143">
            <w:pPr>
              <w:pStyle w:val="CETBodytext"/>
              <w:jc w:val="center"/>
              <w:rPr>
                <w:lang w:val="en-GB"/>
              </w:rPr>
            </w:pPr>
            <w:r w:rsidRPr="00510D5D">
              <w:rPr>
                <w:lang w:val="en-GB"/>
              </w:rPr>
              <w:t>FMSB10</w:t>
            </w:r>
          </w:p>
        </w:tc>
        <w:tc>
          <w:tcPr>
            <w:tcW w:w="1560" w:type="dxa"/>
            <w:shd w:val="clear" w:color="auto" w:fill="FFFFFF"/>
          </w:tcPr>
          <w:p w14:paraId="68E4DD0B" w14:textId="63A98B63" w:rsidR="00FA3143" w:rsidRPr="00B57B36" w:rsidRDefault="00FA3143" w:rsidP="00FA3143">
            <w:pPr>
              <w:pStyle w:val="CETBodytext"/>
              <w:ind w:right="-1"/>
              <w:jc w:val="center"/>
              <w:rPr>
                <w:rFonts w:cs="Arial"/>
                <w:szCs w:val="18"/>
                <w:lang w:val="en-GB"/>
              </w:rPr>
            </w:pPr>
            <w:r w:rsidRPr="00510D5D">
              <w:rPr>
                <w:lang w:val="en-GB"/>
              </w:rPr>
              <w:t>FPSB10</w:t>
            </w:r>
          </w:p>
        </w:tc>
      </w:tr>
      <w:tr w:rsidR="00FA3143" w:rsidRPr="00B57B36" w14:paraId="70C4BEF9" w14:textId="77777777" w:rsidTr="00FA3143">
        <w:tc>
          <w:tcPr>
            <w:tcW w:w="1418" w:type="dxa"/>
            <w:shd w:val="clear" w:color="auto" w:fill="FFFFFF"/>
          </w:tcPr>
          <w:p w14:paraId="45BDC772" w14:textId="31CCD499" w:rsidR="00FA3143" w:rsidRPr="00B57B36" w:rsidRDefault="00FA3143" w:rsidP="00FA3143">
            <w:pPr>
              <w:pStyle w:val="CETBodytext"/>
              <w:ind w:right="-1"/>
              <w:rPr>
                <w:rFonts w:cs="Arial"/>
                <w:szCs w:val="18"/>
                <w:lang w:val="en-GB"/>
              </w:rPr>
            </w:pPr>
            <w:r>
              <w:rPr>
                <w:lang w:val="en-GB"/>
              </w:rPr>
              <w:t>20% Biochar</w:t>
            </w:r>
          </w:p>
        </w:tc>
        <w:tc>
          <w:tcPr>
            <w:tcW w:w="1559" w:type="dxa"/>
            <w:shd w:val="clear" w:color="auto" w:fill="FFFFFF"/>
          </w:tcPr>
          <w:p w14:paraId="1C992CB2" w14:textId="14432CF2" w:rsidR="00FA3143" w:rsidRPr="00B57B36" w:rsidRDefault="00FA3143" w:rsidP="00FA3143">
            <w:pPr>
              <w:pStyle w:val="CETBodytext"/>
              <w:ind w:right="-1"/>
              <w:jc w:val="center"/>
              <w:rPr>
                <w:rFonts w:cs="Arial"/>
                <w:szCs w:val="18"/>
                <w:lang w:val="en-GB"/>
              </w:rPr>
            </w:pPr>
            <w:r w:rsidRPr="007666FE">
              <w:rPr>
                <w:lang w:val="en-GB"/>
              </w:rPr>
              <w:t>FLSB20</w:t>
            </w:r>
          </w:p>
        </w:tc>
        <w:tc>
          <w:tcPr>
            <w:tcW w:w="1559" w:type="dxa"/>
            <w:shd w:val="clear" w:color="auto" w:fill="FFFFFF"/>
          </w:tcPr>
          <w:p w14:paraId="3B5458B2" w14:textId="4D1251E7" w:rsidR="00FA3143" w:rsidRPr="00B57B36" w:rsidRDefault="00FA3143" w:rsidP="00FA3143">
            <w:pPr>
              <w:pStyle w:val="CETBodytext"/>
              <w:ind w:right="-1"/>
              <w:jc w:val="center"/>
              <w:rPr>
                <w:rFonts w:cs="Arial"/>
                <w:szCs w:val="18"/>
                <w:lang w:val="en-GB"/>
              </w:rPr>
            </w:pPr>
            <w:r w:rsidRPr="00510D5D">
              <w:rPr>
                <w:lang w:val="en-GB"/>
              </w:rPr>
              <w:t>FMSB20</w:t>
            </w:r>
          </w:p>
        </w:tc>
        <w:tc>
          <w:tcPr>
            <w:tcW w:w="1560" w:type="dxa"/>
            <w:shd w:val="clear" w:color="auto" w:fill="FFFFFF"/>
          </w:tcPr>
          <w:p w14:paraId="2DDB68B3" w14:textId="329513A1" w:rsidR="00FA3143" w:rsidRPr="00B57B36" w:rsidRDefault="00FA3143" w:rsidP="00FA3143">
            <w:pPr>
              <w:pStyle w:val="CETBodytext"/>
              <w:ind w:right="-1"/>
              <w:jc w:val="center"/>
              <w:rPr>
                <w:rFonts w:cs="Arial"/>
                <w:szCs w:val="18"/>
                <w:lang w:val="en-GB"/>
              </w:rPr>
            </w:pPr>
            <w:r w:rsidRPr="00510D5D">
              <w:rPr>
                <w:lang w:val="en-GB"/>
              </w:rPr>
              <w:t>FPSB20</w:t>
            </w:r>
          </w:p>
        </w:tc>
      </w:tr>
    </w:tbl>
    <w:p w14:paraId="70F4EDFA" w14:textId="5F6004E5" w:rsidR="00FD5F8D" w:rsidRPr="00FD5F8D" w:rsidRDefault="003F41AB" w:rsidP="00FD5F8D">
      <w:pPr>
        <w:pStyle w:val="CETHeading1"/>
        <w:tabs>
          <w:tab w:val="right" w:pos="7100"/>
        </w:tabs>
        <w:jc w:val="both"/>
      </w:pPr>
      <w:r w:rsidRPr="00492425">
        <w:lastRenderedPageBreak/>
        <w:t>Results</w:t>
      </w:r>
    </w:p>
    <w:p w14:paraId="53B88E23" w14:textId="0B543DFA" w:rsidR="0015330F" w:rsidRDefault="00CF3A79" w:rsidP="006F5BE5">
      <w:pPr>
        <w:pStyle w:val="CETBodytext"/>
        <w:rPr>
          <w:lang w:val="en-US"/>
        </w:rPr>
      </w:pPr>
      <w:r w:rsidRPr="00CF3A79">
        <w:rPr>
          <w:lang w:val="en-US"/>
        </w:rPr>
        <w:t xml:space="preserve">The research also seeks incorporate the use of the biochar in the concept of circular economy. It is because using a common waste, such as sewage sludge from wastewater plants, to generate it. Then are added to soils contaminated with hydrocarbons to evaluate its use as an effective soil treatment alternative </w:t>
      </w:r>
      <w:r w:rsidR="00F14CC4">
        <w:rPr>
          <w:lang w:val="es-PE"/>
        </w:rPr>
        <w:fldChar w:fldCharType="begin" w:fldLock="1"/>
      </w:r>
      <w:r w:rsidR="00F14CC4" w:rsidRPr="00B62D30">
        <w:rPr>
          <w:lang w:val="en-US"/>
        </w:rPr>
        <w:instrText>ADDIN CSL_CITATION {"citationItems":[{"id":"ITEM-1","itemData":{"DOI":"10.3390/ijerph19148290","ISSN":"16604601","abstract":"This work developed an environmentally-friendly soil remediation method based on BC and g-C3N4, and demonstrated the technical feasibility of remediating petroleum-contaminated soil with biochar/graphite carbon nitride (BC/g-C3N4 ). The synthesis of BC/g-C3N4 composites was used for the removal of TPH in soil via adsorption and photocatalysis. BC, g-C3N4, and BC/g-C3N4 have been characterized by scanning electron microscopy (SEM), Brunauer–Emmett–Teller surface area analyzer (BET), FT-IR, and X-ray diffraction (XRD). BC/g-C3N4 facilitates the degradation due to reducing recombination and better electron-hole pair separation. BC, g-C3N4, and BC/g-C3N4 were tested for their adsorption and photocatalytic degradation capacities. Excellent and promising results are brought out by an apparent synergism between adsorption and photocatalysis. The optimum doping ratio of 1:3 between BC and g-C3N4 was determined by single-factor experiments. The removal rate of total petroleum hydrocarbons (TPH) by BC/g-C3N4 reached 54.5% by adding BC/g-C3N4 at a dosing rate of 0.08 g/g in a neutral soil with 10% moisture content, which was 2.12 and 1.95 times of BC and g-C3N4, respectively. The removal process of TPH by BC/g-C3N4 conformed to the pseudo-second-order kinetic model. In addition, the removal rates of different petroleum components in soil were analyzed in terms of gas chromatography–mass spectrometry (GC-MS), and the removal rates of nC13-nC35 were above 90% with the contaminated soil treated by BC/g-C3N4 . The radical scavenger experiments indicated that superoxide radical played the major role in the photocatalytic degradation of TPH. This work definitely demonstrates that the BC/g-C3N4 composites have great potential for application in the remediation of organic pollutant contaminated soil.","author":[{"dropping-particle":"","family":"Lin","given":"Hongyang","non-dropping-particle":"","parse-names":false,"suffix":""},{"dropping-particle":"","family":"Yang","given":"Yang","non-dropping-particle":"","parse-names":false,"suffix":""},{"dropping-particle":"","family":"Shang","given":"Zhenxiao","non-dropping-particle":"","parse-names":false,"suffix":""},{"dropping-particle":"","family":"Li","given":"Qiuhong","non-dropping-particle":"","parse-names":false,"suffix":""},{"dropping-particle":"","family":"Niu","given":"Xiaoyin","non-dropping-particle":"","parse-names":false,"suffix":""},{"dropping-particle":"","family":"Ma","given":"Yanfei","non-dropping-particle":"","parse-names":false,"suffix":""},{"dropping-particle":"","family":"Liu","given":"Aiju","non-d</w:instrText>
      </w:r>
      <w:r w:rsidR="00F14CC4" w:rsidRPr="00A30DC0">
        <w:rPr>
          <w:lang w:val="en-US"/>
        </w:rPr>
        <w:instrText>ropping-particle":"","parse-names":false,"suffix":""}],"container-title":"International Journal of Environmental Research and Public Health","id":"ITEM-1","issue":"14","issued":{"date-parts":[["2022"]]},"title":"Study on the Enhanced Remediation of Petroleum-Contaminated Soil by Biochar/g-C3N4 Composites","type":"article-journal","volume":"19"},"uris":["http://www.mendeley.com/documents/?uuid=7928c039-c463-4e18-b03e-d7026877f087"]}],"mendeley":{"formattedCitation":"(Lin et al., 2022)","plainTextFormattedCitation":"(Lin et al., 2022)","previouslyFormattedCitation":"(Lin et al., 2022)"},"properties":{"noteIndex":0},"schema":"https://github.com/citation-style-language/schema/raw/master/csl-citation.json"}</w:instrText>
      </w:r>
      <w:r w:rsidR="00F14CC4">
        <w:rPr>
          <w:lang w:val="es-PE"/>
        </w:rPr>
        <w:fldChar w:fldCharType="separate"/>
      </w:r>
      <w:r w:rsidR="00F14CC4" w:rsidRPr="00A30DC0">
        <w:rPr>
          <w:noProof/>
          <w:lang w:val="en-US"/>
        </w:rPr>
        <w:t>(Lin et al., 2022)</w:t>
      </w:r>
      <w:r w:rsidR="00F14CC4">
        <w:rPr>
          <w:lang w:val="es-PE"/>
        </w:rPr>
        <w:fldChar w:fldCharType="end"/>
      </w:r>
      <w:r w:rsidRPr="00CF3A79">
        <w:rPr>
          <w:lang w:val="en-US"/>
        </w:rPr>
        <w:t>. The results are shown below.</w:t>
      </w:r>
    </w:p>
    <w:p w14:paraId="4E64A09A" w14:textId="77777777" w:rsidR="00CF3A79" w:rsidRDefault="00CF3A79" w:rsidP="006F5BE5">
      <w:pPr>
        <w:pStyle w:val="CETBodytext"/>
        <w:rPr>
          <w:lang w:val="en-US"/>
        </w:rPr>
      </w:pPr>
    </w:p>
    <w:p w14:paraId="147EB505" w14:textId="3AA8609D" w:rsidR="009416D0" w:rsidRPr="00B62D30" w:rsidRDefault="009416D0" w:rsidP="009416D0">
      <w:pPr>
        <w:pStyle w:val="CETheadingx"/>
        <w:rPr>
          <w:lang w:val="en-US"/>
        </w:rPr>
      </w:pPr>
      <w:r w:rsidRPr="00B62D30">
        <w:rPr>
          <w:lang w:val="en-US"/>
        </w:rPr>
        <w:t>Initial and final concentration of the light, medium</w:t>
      </w:r>
      <w:r w:rsidR="00A30DC0">
        <w:rPr>
          <w:lang w:val="en-US"/>
        </w:rPr>
        <w:t>,</w:t>
      </w:r>
      <w:r w:rsidRPr="00B62D30">
        <w:rPr>
          <w:lang w:val="en-US"/>
        </w:rPr>
        <w:t xml:space="preserve"> and heavy fractions of hydrocarbons in comparison </w:t>
      </w:r>
      <w:r w:rsidR="00A30DC0">
        <w:rPr>
          <w:lang w:val="en-US"/>
        </w:rPr>
        <w:t>to</w:t>
      </w:r>
      <w:r w:rsidRPr="00B62D30">
        <w:rPr>
          <w:lang w:val="en-US"/>
        </w:rPr>
        <w:t xml:space="preserve"> the ECA</w:t>
      </w:r>
    </w:p>
    <w:p w14:paraId="17EDD19E" w14:textId="37F3596C" w:rsidR="00787C97" w:rsidRPr="00B62D30" w:rsidRDefault="006F015F" w:rsidP="00787C97">
      <w:pPr>
        <w:pStyle w:val="CETBodytext"/>
        <w:rPr>
          <w:lang w:val="en-US"/>
        </w:rPr>
      </w:pPr>
      <w:r w:rsidRPr="006F015F">
        <w:rPr>
          <w:lang w:val="en-US"/>
        </w:rPr>
        <w:t>The efficiency of the treatment using a proportion of 5, 10 and 20</w:t>
      </w:r>
      <w:r w:rsidR="00495D76">
        <w:rPr>
          <w:lang w:val="en-US"/>
        </w:rPr>
        <w:t xml:space="preserve"> </w:t>
      </w:r>
      <w:r w:rsidRPr="006F015F">
        <w:rPr>
          <w:lang w:val="en-US"/>
        </w:rPr>
        <w:t xml:space="preserve">% of biochar in soils contaminated with hydrocarbons is presented in Table 1. The results shown that after 45 days of treatment, the light fraction is reduced to 2.48, 1.03 and 0.08 mg/kg. It is also determined that for the other hydrocarbon fractions (medium and heavy) are a decrease, although not very significant. Additionally, it was possible to verify that after 45 days, the three treatments show a reduction below the standards of the Peruvian environmental standard. The same table also shows the initial concentration of hydrocarbons in the soil, along with the results obtained for each treatment and compares them with the environmental quality standard of the soil in Peru </w:t>
      </w:r>
      <w:r w:rsidR="00F14CC4">
        <w:rPr>
          <w:lang w:val="es-PE"/>
        </w:rPr>
        <w:fldChar w:fldCharType="begin" w:fldLock="1"/>
      </w:r>
      <w:r w:rsidR="00F14CC4" w:rsidRPr="00B62D30">
        <w:rPr>
          <w:lang w:val="en-US"/>
        </w:rPr>
        <w:instrText>ADDIN CSL_CITATION {"citationItems":[{"id":"ITEM-1","itemData":{"ISBN":"9780778576914","abstract":"\"February 2009.\" [Vol. 1] Main report -- [Vol. 2] Technical appendices / Axiom Environmental; prepared for Alberta Environment and Canadian Association of Petroleum Producers.","author":[{"dropping-particle":"","family":"MINAM","given":"","non-dropping-particle":"","parse-names":false,"suffix":""}],"container-title":"El Peruano","id":"ITEM-1","issued":{"date-parts":[["2017"]]},"page":"1-4","title":"Decreto Supremo Nº 011-2017-MINAM","type":"article-journal"},"uris":["http://www.mendeley.com/documents/?uuid=d9fa3747-089a-413e-88a2-34e8f95ffd48"]}],"mendeley":{"formattedCitation":"(MINAM, 2017)","plainTextFormattedCitation":"(MINAM, 2017)","previouslyFormattedCitation":"(MINAM, 2017)"},"properties":{"noteIndex":0},"schema":"https://github.com/citation-style-language/schema/raw/master/csl-citation.json"}</w:instrText>
      </w:r>
      <w:r w:rsidR="00F14CC4">
        <w:rPr>
          <w:lang w:val="es-PE"/>
        </w:rPr>
        <w:fldChar w:fldCharType="separate"/>
      </w:r>
      <w:r w:rsidR="00F14CC4" w:rsidRPr="00B62D30">
        <w:rPr>
          <w:noProof/>
          <w:lang w:val="en-US"/>
        </w:rPr>
        <w:t>(MINAM, 2017)</w:t>
      </w:r>
      <w:r w:rsidR="00F14CC4">
        <w:rPr>
          <w:lang w:val="es-PE"/>
        </w:rPr>
        <w:fldChar w:fldCharType="end"/>
      </w:r>
      <w:r w:rsidRPr="006F015F">
        <w:rPr>
          <w:lang w:val="en-US"/>
        </w:rPr>
        <w:t>.</w:t>
      </w:r>
    </w:p>
    <w:p w14:paraId="4F25CCAB" w14:textId="5F6D49CD" w:rsidR="0037418D" w:rsidRPr="00B62D30" w:rsidRDefault="0037418D" w:rsidP="0037418D">
      <w:pPr>
        <w:pStyle w:val="CETTabletitle"/>
        <w:rPr>
          <w:lang w:val="en-US"/>
        </w:rPr>
      </w:pPr>
      <w:r w:rsidRPr="00B62D30">
        <w:rPr>
          <w:lang w:val="en-US"/>
        </w:rPr>
        <w:t xml:space="preserve">Table 1: Concentration of hydrocarbons in the soil 20 and 45 days after starting the </w:t>
      </w:r>
      <w:r w:rsidR="00787C97" w:rsidRPr="00B62D30">
        <w:rPr>
          <w:lang w:val="en-US"/>
        </w:rPr>
        <w:t>biochar treatment</w:t>
      </w:r>
    </w:p>
    <w:tbl>
      <w:tblPr>
        <w:tblW w:w="867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60"/>
        <w:gridCol w:w="708"/>
        <w:gridCol w:w="1134"/>
        <w:gridCol w:w="841"/>
        <w:gridCol w:w="1064"/>
        <w:gridCol w:w="1064"/>
        <w:gridCol w:w="1067"/>
        <w:gridCol w:w="1232"/>
      </w:tblGrid>
      <w:tr w:rsidR="006D0748" w:rsidRPr="00CB1B2B" w14:paraId="69335EE3" w14:textId="77777777" w:rsidTr="005B63C7">
        <w:trPr>
          <w:trHeight w:val="584"/>
        </w:trPr>
        <w:tc>
          <w:tcPr>
            <w:tcW w:w="1560" w:type="dxa"/>
            <w:tcBorders>
              <w:top w:val="single" w:sz="12" w:space="0" w:color="008000"/>
              <w:bottom w:val="single" w:sz="6" w:space="0" w:color="008000"/>
            </w:tcBorders>
            <w:shd w:val="clear" w:color="auto" w:fill="FFFFFF"/>
          </w:tcPr>
          <w:p w14:paraId="78298A45" w14:textId="77777777" w:rsidR="0037418D" w:rsidRPr="00495D76" w:rsidRDefault="0037418D" w:rsidP="00042FFC">
            <w:pPr>
              <w:pStyle w:val="CETBodytext"/>
              <w:jc w:val="center"/>
              <w:rPr>
                <w:lang w:val="en-GB"/>
              </w:rPr>
            </w:pPr>
            <w:r w:rsidRPr="00495D76">
              <w:rPr>
                <w:lang w:val="en-GB"/>
              </w:rPr>
              <w:t>Fraction of Hydrocarbons</w:t>
            </w:r>
          </w:p>
        </w:tc>
        <w:tc>
          <w:tcPr>
            <w:tcW w:w="708" w:type="dxa"/>
            <w:tcBorders>
              <w:top w:val="single" w:sz="12" w:space="0" w:color="008000"/>
              <w:bottom w:val="single" w:sz="6" w:space="0" w:color="008000"/>
            </w:tcBorders>
            <w:shd w:val="clear" w:color="auto" w:fill="FFFFFF"/>
          </w:tcPr>
          <w:p w14:paraId="6CAA6436" w14:textId="77777777" w:rsidR="0037418D" w:rsidRPr="008E31A7" w:rsidRDefault="0037418D" w:rsidP="00042FFC">
            <w:pPr>
              <w:pStyle w:val="CETBodytext"/>
              <w:jc w:val="center"/>
              <w:rPr>
                <w:lang w:val="en-GB"/>
              </w:rPr>
            </w:pPr>
            <w:r w:rsidRPr="008E31A7">
              <w:t>ECA Soil (mg/kg)</w:t>
            </w:r>
          </w:p>
        </w:tc>
        <w:tc>
          <w:tcPr>
            <w:tcW w:w="1134" w:type="dxa"/>
            <w:tcBorders>
              <w:top w:val="single" w:sz="12" w:space="0" w:color="008000"/>
              <w:bottom w:val="single" w:sz="6" w:space="0" w:color="008000"/>
            </w:tcBorders>
            <w:shd w:val="clear" w:color="auto" w:fill="FFFFFF"/>
          </w:tcPr>
          <w:p w14:paraId="5FD3623A" w14:textId="0237A67A" w:rsidR="0037418D" w:rsidRPr="005578D6" w:rsidRDefault="00FD5F8D" w:rsidP="00042FFC">
            <w:pPr>
              <w:pStyle w:val="CETBodytext"/>
              <w:jc w:val="center"/>
              <w:rPr>
                <w:lang w:val="en-GB"/>
              </w:rPr>
            </w:pPr>
            <w:r w:rsidRPr="005578D6">
              <w:t>Treatment code</w:t>
            </w:r>
          </w:p>
        </w:tc>
        <w:tc>
          <w:tcPr>
            <w:tcW w:w="841" w:type="dxa"/>
            <w:tcBorders>
              <w:top w:val="single" w:sz="12" w:space="0" w:color="008000"/>
              <w:bottom w:val="single" w:sz="6" w:space="0" w:color="008000"/>
            </w:tcBorders>
            <w:shd w:val="clear" w:color="auto" w:fill="FFFFFF"/>
          </w:tcPr>
          <w:p w14:paraId="4B6C3997" w14:textId="77777777" w:rsidR="0037418D" w:rsidRPr="005578D6" w:rsidRDefault="0037418D" w:rsidP="00042FFC">
            <w:pPr>
              <w:pStyle w:val="CETBodytext"/>
              <w:ind w:right="-1"/>
              <w:jc w:val="center"/>
              <w:rPr>
                <w:rFonts w:cs="Arial"/>
                <w:szCs w:val="18"/>
                <w:lang w:val="en-GB"/>
              </w:rPr>
            </w:pPr>
            <w:r w:rsidRPr="005578D6">
              <w:t>sample (mg/kg)</w:t>
            </w:r>
          </w:p>
        </w:tc>
        <w:tc>
          <w:tcPr>
            <w:tcW w:w="1064" w:type="dxa"/>
            <w:tcBorders>
              <w:top w:val="single" w:sz="12" w:space="0" w:color="008000"/>
              <w:bottom w:val="single" w:sz="6" w:space="0" w:color="008000"/>
            </w:tcBorders>
            <w:shd w:val="clear" w:color="auto" w:fill="FFFFFF"/>
          </w:tcPr>
          <w:p w14:paraId="11EA2CA0" w14:textId="77777777" w:rsidR="0037418D" w:rsidRPr="00B62D30" w:rsidRDefault="0037418D" w:rsidP="00042FFC">
            <w:pPr>
              <w:pStyle w:val="CETBodytext"/>
              <w:ind w:right="-1"/>
              <w:jc w:val="center"/>
              <w:rPr>
                <w:lang w:val="en-US"/>
              </w:rPr>
            </w:pPr>
            <w:r w:rsidRPr="00B62D30">
              <w:rPr>
                <w:lang w:val="en-US"/>
              </w:rPr>
              <w:t>Sample after 20 days (mg/kg)</w:t>
            </w:r>
          </w:p>
        </w:tc>
        <w:tc>
          <w:tcPr>
            <w:tcW w:w="1064" w:type="dxa"/>
            <w:tcBorders>
              <w:top w:val="single" w:sz="12" w:space="0" w:color="008000"/>
              <w:bottom w:val="single" w:sz="6" w:space="0" w:color="008000"/>
            </w:tcBorders>
            <w:shd w:val="clear" w:color="auto" w:fill="FFFFFF"/>
          </w:tcPr>
          <w:p w14:paraId="5FBEB6A3" w14:textId="77777777" w:rsidR="0037418D" w:rsidRPr="00B62D30" w:rsidRDefault="0037418D" w:rsidP="00042FFC">
            <w:pPr>
              <w:pStyle w:val="CETBodytext"/>
              <w:ind w:right="-1"/>
              <w:jc w:val="center"/>
              <w:rPr>
                <w:lang w:val="en-US"/>
              </w:rPr>
            </w:pPr>
            <w:r w:rsidRPr="00B62D30">
              <w:rPr>
                <w:lang w:val="en-US"/>
              </w:rPr>
              <w:t>Sample at 45 days (mg/kg)</w:t>
            </w:r>
          </w:p>
        </w:tc>
        <w:tc>
          <w:tcPr>
            <w:tcW w:w="1067" w:type="dxa"/>
            <w:tcBorders>
              <w:top w:val="single" w:sz="12" w:space="0" w:color="008000"/>
              <w:bottom w:val="single" w:sz="6" w:space="0" w:color="008000"/>
            </w:tcBorders>
            <w:shd w:val="clear" w:color="auto" w:fill="FFFFFF"/>
          </w:tcPr>
          <w:p w14:paraId="3271741E" w14:textId="77777777" w:rsidR="0037418D" w:rsidRPr="005578D6" w:rsidRDefault="0037418D" w:rsidP="00042FFC">
            <w:pPr>
              <w:pStyle w:val="CETBodytext"/>
              <w:ind w:right="-1"/>
              <w:jc w:val="center"/>
              <w:rPr>
                <w:lang w:val="en-GB"/>
              </w:rPr>
            </w:pPr>
            <w:r w:rsidRPr="005578D6">
              <w:t>Total reduction</w:t>
            </w:r>
          </w:p>
        </w:tc>
        <w:tc>
          <w:tcPr>
            <w:tcW w:w="1232" w:type="dxa"/>
            <w:tcBorders>
              <w:top w:val="single" w:sz="12" w:space="0" w:color="008000"/>
              <w:bottom w:val="single" w:sz="6" w:space="0" w:color="008000"/>
            </w:tcBorders>
            <w:shd w:val="clear" w:color="auto" w:fill="FFFFFF"/>
          </w:tcPr>
          <w:p w14:paraId="458061C3" w14:textId="77777777" w:rsidR="0037418D" w:rsidRPr="005578D6" w:rsidRDefault="0037418D" w:rsidP="00042FFC">
            <w:pPr>
              <w:pStyle w:val="CETBodytext"/>
              <w:ind w:right="-1"/>
              <w:jc w:val="center"/>
              <w:rPr>
                <w:rFonts w:cs="Arial"/>
                <w:szCs w:val="18"/>
                <w:lang w:val="es-PE"/>
              </w:rPr>
            </w:pPr>
            <w:r w:rsidRPr="005578D6">
              <w:rPr>
                <w:rFonts w:cs="Arial"/>
                <w:szCs w:val="18"/>
                <w:lang w:val="es-PE"/>
              </w:rPr>
              <w:t xml:space="preserve">% </w:t>
            </w:r>
            <w:r w:rsidRPr="00495D76">
              <w:rPr>
                <w:rFonts w:cs="Arial"/>
                <w:szCs w:val="18"/>
                <w:lang w:val="en-GB"/>
              </w:rPr>
              <w:t>Efficiency in hydrocarbon reduction</w:t>
            </w:r>
          </w:p>
        </w:tc>
      </w:tr>
      <w:tr w:rsidR="006D0748" w:rsidRPr="008027CE" w14:paraId="6D025FE1" w14:textId="77777777" w:rsidTr="005B63C7">
        <w:trPr>
          <w:trHeight w:val="249"/>
        </w:trPr>
        <w:tc>
          <w:tcPr>
            <w:tcW w:w="1560" w:type="dxa"/>
            <w:vMerge w:val="restart"/>
            <w:shd w:val="clear" w:color="auto" w:fill="FFFFFF"/>
          </w:tcPr>
          <w:p w14:paraId="72CC1DA0" w14:textId="77777777" w:rsidR="0037418D" w:rsidRPr="00495D76" w:rsidRDefault="0037418D" w:rsidP="00042FFC">
            <w:pPr>
              <w:pStyle w:val="CETBodytext"/>
              <w:jc w:val="center"/>
              <w:rPr>
                <w:lang w:val="en-US"/>
              </w:rPr>
            </w:pPr>
            <w:r w:rsidRPr="00495D76">
              <w:rPr>
                <w:lang w:val="en-US"/>
              </w:rPr>
              <w:t>Light fraction of hydrocarbons (C6-C10)</w:t>
            </w:r>
          </w:p>
        </w:tc>
        <w:tc>
          <w:tcPr>
            <w:tcW w:w="708" w:type="dxa"/>
            <w:vMerge w:val="restart"/>
            <w:shd w:val="clear" w:color="auto" w:fill="FFFFFF"/>
            <w:vAlign w:val="center"/>
          </w:tcPr>
          <w:p w14:paraId="1B998A4C" w14:textId="77777777" w:rsidR="0037418D" w:rsidRPr="008027CE" w:rsidRDefault="0037418D" w:rsidP="00042FFC">
            <w:pPr>
              <w:pStyle w:val="CETBodytext"/>
              <w:jc w:val="center"/>
              <w:rPr>
                <w:lang w:val="es-PE"/>
              </w:rPr>
            </w:pPr>
            <w:r>
              <w:rPr>
                <w:lang w:val="es-PE"/>
              </w:rPr>
              <w:t>500</w:t>
            </w:r>
          </w:p>
        </w:tc>
        <w:tc>
          <w:tcPr>
            <w:tcW w:w="1134" w:type="dxa"/>
            <w:shd w:val="clear" w:color="auto" w:fill="FFFFFF"/>
            <w:vAlign w:val="center"/>
          </w:tcPr>
          <w:p w14:paraId="6C5B5328" w14:textId="19D4BC79" w:rsidR="0037418D" w:rsidRPr="005578D6" w:rsidRDefault="0037418D" w:rsidP="00042FFC">
            <w:pPr>
              <w:pStyle w:val="CETBodytext"/>
              <w:jc w:val="center"/>
              <w:rPr>
                <w:lang w:val="es-PE"/>
              </w:rPr>
            </w:pPr>
            <w:r w:rsidRPr="005578D6">
              <w:rPr>
                <w:rFonts w:ascii="Calibri" w:hAnsi="Calibri" w:cs="Calibri"/>
                <w:color w:val="000000"/>
                <w:sz w:val="22"/>
                <w:szCs w:val="22"/>
              </w:rPr>
              <w:t>FLSB05</w:t>
            </w:r>
          </w:p>
        </w:tc>
        <w:tc>
          <w:tcPr>
            <w:tcW w:w="841" w:type="dxa"/>
            <w:vMerge w:val="restart"/>
            <w:shd w:val="clear" w:color="auto" w:fill="FFFFFF"/>
            <w:vAlign w:val="center"/>
          </w:tcPr>
          <w:p w14:paraId="069225AA" w14:textId="77777777" w:rsidR="0037418D" w:rsidRPr="005578D6" w:rsidRDefault="0037418D" w:rsidP="00042FFC">
            <w:pPr>
              <w:pStyle w:val="CETBodytext"/>
              <w:ind w:right="-1"/>
              <w:jc w:val="center"/>
              <w:rPr>
                <w:rFonts w:cs="Arial"/>
                <w:szCs w:val="18"/>
                <w:lang w:val="es-PE"/>
              </w:rPr>
            </w:pPr>
            <w:r w:rsidRPr="005578D6">
              <w:rPr>
                <w:rFonts w:cs="Arial"/>
                <w:szCs w:val="18"/>
                <w:lang w:val="es-PE"/>
              </w:rPr>
              <w:t>795.01</w:t>
            </w:r>
          </w:p>
        </w:tc>
        <w:tc>
          <w:tcPr>
            <w:tcW w:w="1064" w:type="dxa"/>
            <w:shd w:val="clear" w:color="auto" w:fill="FFFFFF"/>
            <w:vAlign w:val="center"/>
          </w:tcPr>
          <w:p w14:paraId="2FBB8F40"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272.8</w:t>
            </w:r>
          </w:p>
        </w:tc>
        <w:tc>
          <w:tcPr>
            <w:tcW w:w="1064" w:type="dxa"/>
            <w:shd w:val="clear" w:color="auto" w:fill="FFFFFF"/>
            <w:vAlign w:val="center"/>
          </w:tcPr>
          <w:p w14:paraId="49734F55"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2.48</w:t>
            </w:r>
          </w:p>
        </w:tc>
        <w:tc>
          <w:tcPr>
            <w:tcW w:w="1067" w:type="dxa"/>
            <w:shd w:val="clear" w:color="auto" w:fill="FFFFFF"/>
            <w:vAlign w:val="center"/>
          </w:tcPr>
          <w:p w14:paraId="67B75BD9"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792.53</w:t>
            </w:r>
          </w:p>
        </w:tc>
        <w:tc>
          <w:tcPr>
            <w:tcW w:w="1232" w:type="dxa"/>
            <w:shd w:val="clear" w:color="auto" w:fill="FFFFFF"/>
            <w:vAlign w:val="center"/>
          </w:tcPr>
          <w:p w14:paraId="004B8A39"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99.69%</w:t>
            </w:r>
          </w:p>
        </w:tc>
      </w:tr>
      <w:tr w:rsidR="006D0748" w:rsidRPr="008027CE" w14:paraId="49FAB2F5" w14:textId="77777777" w:rsidTr="005B63C7">
        <w:trPr>
          <w:trHeight w:val="123"/>
        </w:trPr>
        <w:tc>
          <w:tcPr>
            <w:tcW w:w="1560" w:type="dxa"/>
            <w:vMerge/>
            <w:shd w:val="clear" w:color="auto" w:fill="FFFFFF"/>
          </w:tcPr>
          <w:p w14:paraId="0F253D45" w14:textId="77777777" w:rsidR="0037418D" w:rsidRPr="00495D76" w:rsidRDefault="0037418D" w:rsidP="00042FFC">
            <w:pPr>
              <w:pStyle w:val="CETBodytext"/>
              <w:rPr>
                <w:lang w:val="es-PE"/>
              </w:rPr>
            </w:pPr>
          </w:p>
        </w:tc>
        <w:tc>
          <w:tcPr>
            <w:tcW w:w="708" w:type="dxa"/>
            <w:vMerge/>
            <w:shd w:val="clear" w:color="auto" w:fill="FFFFFF"/>
            <w:vAlign w:val="center"/>
          </w:tcPr>
          <w:p w14:paraId="22AC2B9A" w14:textId="77777777" w:rsidR="0037418D" w:rsidRPr="008027CE" w:rsidRDefault="0037418D" w:rsidP="00042FFC">
            <w:pPr>
              <w:pStyle w:val="CETBodytext"/>
              <w:rPr>
                <w:lang w:val="es-PE"/>
              </w:rPr>
            </w:pPr>
          </w:p>
        </w:tc>
        <w:tc>
          <w:tcPr>
            <w:tcW w:w="1134" w:type="dxa"/>
            <w:shd w:val="clear" w:color="auto" w:fill="FFFFFF"/>
            <w:vAlign w:val="center"/>
          </w:tcPr>
          <w:p w14:paraId="42117AE0" w14:textId="33031F4E" w:rsidR="0037418D" w:rsidRPr="005578D6" w:rsidRDefault="0037418D" w:rsidP="00042FFC">
            <w:pPr>
              <w:pStyle w:val="CETBodytext"/>
              <w:jc w:val="center"/>
              <w:rPr>
                <w:lang w:val="es-PE"/>
              </w:rPr>
            </w:pPr>
            <w:r w:rsidRPr="005578D6">
              <w:rPr>
                <w:rFonts w:ascii="Calibri" w:hAnsi="Calibri" w:cs="Calibri"/>
                <w:color w:val="000000"/>
                <w:sz w:val="22"/>
                <w:szCs w:val="22"/>
              </w:rPr>
              <w:t>FLSB10</w:t>
            </w:r>
          </w:p>
        </w:tc>
        <w:tc>
          <w:tcPr>
            <w:tcW w:w="841" w:type="dxa"/>
            <w:vMerge/>
            <w:shd w:val="clear" w:color="auto" w:fill="FFFFFF"/>
          </w:tcPr>
          <w:p w14:paraId="33A3CB9A" w14:textId="77777777" w:rsidR="0037418D" w:rsidRPr="005578D6" w:rsidRDefault="0037418D" w:rsidP="00042FFC">
            <w:pPr>
              <w:pStyle w:val="CETBodytext"/>
              <w:ind w:right="-1"/>
              <w:jc w:val="center"/>
              <w:rPr>
                <w:rFonts w:cs="Arial"/>
                <w:szCs w:val="18"/>
                <w:lang w:val="es-PE"/>
              </w:rPr>
            </w:pPr>
          </w:p>
        </w:tc>
        <w:tc>
          <w:tcPr>
            <w:tcW w:w="1064" w:type="dxa"/>
            <w:shd w:val="clear" w:color="auto" w:fill="FFFFFF"/>
            <w:vAlign w:val="center"/>
          </w:tcPr>
          <w:p w14:paraId="2DC69FD3"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206.53</w:t>
            </w:r>
          </w:p>
        </w:tc>
        <w:tc>
          <w:tcPr>
            <w:tcW w:w="1064" w:type="dxa"/>
            <w:shd w:val="clear" w:color="auto" w:fill="FFFFFF"/>
            <w:vAlign w:val="center"/>
          </w:tcPr>
          <w:p w14:paraId="37EE2311"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1.03</w:t>
            </w:r>
          </w:p>
        </w:tc>
        <w:tc>
          <w:tcPr>
            <w:tcW w:w="1067" w:type="dxa"/>
            <w:shd w:val="clear" w:color="auto" w:fill="FFFFFF"/>
            <w:vAlign w:val="center"/>
          </w:tcPr>
          <w:p w14:paraId="45C40C9B"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793.98</w:t>
            </w:r>
          </w:p>
        </w:tc>
        <w:tc>
          <w:tcPr>
            <w:tcW w:w="1232" w:type="dxa"/>
            <w:shd w:val="clear" w:color="auto" w:fill="FFFFFF"/>
            <w:vAlign w:val="center"/>
          </w:tcPr>
          <w:p w14:paraId="0D247073"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99.87%</w:t>
            </w:r>
          </w:p>
        </w:tc>
      </w:tr>
      <w:tr w:rsidR="006D0748" w:rsidRPr="008027CE" w14:paraId="3466D773" w14:textId="77777777" w:rsidTr="005B63C7">
        <w:trPr>
          <w:trHeight w:val="123"/>
        </w:trPr>
        <w:tc>
          <w:tcPr>
            <w:tcW w:w="1560" w:type="dxa"/>
            <w:vMerge/>
            <w:shd w:val="clear" w:color="auto" w:fill="FFFFFF"/>
          </w:tcPr>
          <w:p w14:paraId="31B05046" w14:textId="77777777" w:rsidR="0037418D" w:rsidRPr="00495D76" w:rsidRDefault="0037418D" w:rsidP="00042FFC">
            <w:pPr>
              <w:pStyle w:val="CETBodytext"/>
              <w:ind w:right="-1"/>
              <w:rPr>
                <w:rFonts w:cs="Arial"/>
                <w:szCs w:val="18"/>
                <w:lang w:val="es-PE"/>
              </w:rPr>
            </w:pPr>
          </w:p>
        </w:tc>
        <w:tc>
          <w:tcPr>
            <w:tcW w:w="708" w:type="dxa"/>
            <w:vMerge/>
            <w:shd w:val="clear" w:color="auto" w:fill="FFFFFF"/>
            <w:vAlign w:val="center"/>
          </w:tcPr>
          <w:p w14:paraId="54045D27" w14:textId="77777777" w:rsidR="0037418D" w:rsidRPr="008027CE" w:rsidRDefault="0037418D" w:rsidP="00042FFC">
            <w:pPr>
              <w:pStyle w:val="CETBodytext"/>
              <w:ind w:right="-1"/>
              <w:rPr>
                <w:rFonts w:cs="Arial"/>
                <w:szCs w:val="18"/>
                <w:lang w:val="es-PE"/>
              </w:rPr>
            </w:pPr>
          </w:p>
        </w:tc>
        <w:tc>
          <w:tcPr>
            <w:tcW w:w="1134" w:type="dxa"/>
            <w:shd w:val="clear" w:color="auto" w:fill="FFFFFF"/>
            <w:vAlign w:val="center"/>
          </w:tcPr>
          <w:p w14:paraId="46768532" w14:textId="0291EB78"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FLSB20</w:t>
            </w:r>
          </w:p>
        </w:tc>
        <w:tc>
          <w:tcPr>
            <w:tcW w:w="841" w:type="dxa"/>
            <w:vMerge/>
            <w:shd w:val="clear" w:color="auto" w:fill="FFFFFF"/>
          </w:tcPr>
          <w:p w14:paraId="4BE0BBCF" w14:textId="77777777" w:rsidR="0037418D" w:rsidRPr="005578D6" w:rsidRDefault="0037418D" w:rsidP="00042FFC">
            <w:pPr>
              <w:pStyle w:val="CETBodytext"/>
              <w:ind w:right="-1"/>
              <w:jc w:val="center"/>
              <w:rPr>
                <w:rFonts w:cs="Arial"/>
                <w:szCs w:val="18"/>
                <w:lang w:val="es-PE"/>
              </w:rPr>
            </w:pPr>
          </w:p>
        </w:tc>
        <w:tc>
          <w:tcPr>
            <w:tcW w:w="1064" w:type="dxa"/>
            <w:shd w:val="clear" w:color="auto" w:fill="FFFFFF"/>
            <w:vAlign w:val="center"/>
          </w:tcPr>
          <w:p w14:paraId="0791DC94"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158.87</w:t>
            </w:r>
          </w:p>
        </w:tc>
        <w:tc>
          <w:tcPr>
            <w:tcW w:w="1064" w:type="dxa"/>
            <w:shd w:val="clear" w:color="auto" w:fill="FFFFFF"/>
            <w:vAlign w:val="center"/>
          </w:tcPr>
          <w:p w14:paraId="01C7CE38"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0.08</w:t>
            </w:r>
          </w:p>
        </w:tc>
        <w:tc>
          <w:tcPr>
            <w:tcW w:w="1067" w:type="dxa"/>
            <w:shd w:val="clear" w:color="auto" w:fill="FFFFFF"/>
            <w:vAlign w:val="center"/>
          </w:tcPr>
          <w:p w14:paraId="693EF383"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794.93</w:t>
            </w:r>
          </w:p>
        </w:tc>
        <w:tc>
          <w:tcPr>
            <w:tcW w:w="1232" w:type="dxa"/>
            <w:shd w:val="clear" w:color="auto" w:fill="FFFFFF"/>
            <w:vAlign w:val="center"/>
          </w:tcPr>
          <w:p w14:paraId="2F10D923" w14:textId="77777777" w:rsidR="0037418D" w:rsidRPr="005578D6" w:rsidRDefault="0037418D" w:rsidP="00042FFC">
            <w:pPr>
              <w:pStyle w:val="CETBodytext"/>
              <w:ind w:right="-1"/>
              <w:jc w:val="center"/>
              <w:rPr>
                <w:rFonts w:cs="Arial"/>
                <w:color w:val="FF0000"/>
                <w:szCs w:val="18"/>
                <w:lang w:val="es-PE"/>
              </w:rPr>
            </w:pPr>
            <w:r w:rsidRPr="005578D6">
              <w:rPr>
                <w:rFonts w:ascii="Calibri" w:hAnsi="Calibri" w:cs="Calibri"/>
                <w:color w:val="FF0000"/>
                <w:sz w:val="22"/>
                <w:szCs w:val="22"/>
              </w:rPr>
              <w:t>99.99%</w:t>
            </w:r>
          </w:p>
        </w:tc>
      </w:tr>
      <w:tr w:rsidR="006D0748" w:rsidRPr="00FD5638" w14:paraId="100A530C" w14:textId="77777777" w:rsidTr="005B63C7">
        <w:trPr>
          <w:trHeight w:val="249"/>
        </w:trPr>
        <w:tc>
          <w:tcPr>
            <w:tcW w:w="1560" w:type="dxa"/>
            <w:vMerge w:val="restart"/>
            <w:shd w:val="clear" w:color="auto" w:fill="FFFFFF"/>
          </w:tcPr>
          <w:p w14:paraId="68643868" w14:textId="5C601FAF" w:rsidR="0037418D" w:rsidRPr="00495D76" w:rsidRDefault="00CE596F" w:rsidP="00042FFC">
            <w:pPr>
              <w:pStyle w:val="CETBodytext"/>
              <w:ind w:right="-1"/>
              <w:jc w:val="center"/>
              <w:rPr>
                <w:rFonts w:cs="Arial"/>
                <w:szCs w:val="18"/>
                <w:lang w:val="en-US"/>
              </w:rPr>
            </w:pPr>
            <w:r w:rsidRPr="00495D76">
              <w:rPr>
                <w:rFonts w:cs="Arial"/>
                <w:szCs w:val="18"/>
                <w:lang w:val="en-US"/>
              </w:rPr>
              <w:t xml:space="preserve">Medium </w:t>
            </w:r>
            <w:r w:rsidR="0037418D" w:rsidRPr="00495D76">
              <w:rPr>
                <w:rFonts w:cs="Arial"/>
                <w:szCs w:val="18"/>
                <w:lang w:val="en-US"/>
              </w:rPr>
              <w:t>fraction of hydrocarbons (&gt;C10-C28)</w:t>
            </w:r>
          </w:p>
        </w:tc>
        <w:tc>
          <w:tcPr>
            <w:tcW w:w="708" w:type="dxa"/>
            <w:vMerge w:val="restart"/>
            <w:shd w:val="clear" w:color="auto" w:fill="FFFFFF"/>
            <w:vAlign w:val="center"/>
          </w:tcPr>
          <w:p w14:paraId="67D4E19E" w14:textId="77777777" w:rsidR="0037418D" w:rsidRPr="00FD5638" w:rsidRDefault="0037418D" w:rsidP="00042FFC">
            <w:pPr>
              <w:pStyle w:val="CETBodytext"/>
              <w:ind w:right="-1"/>
              <w:jc w:val="center"/>
              <w:rPr>
                <w:rFonts w:cs="Arial"/>
                <w:szCs w:val="18"/>
                <w:lang w:val="es-PE"/>
              </w:rPr>
            </w:pPr>
            <w:r>
              <w:rPr>
                <w:rFonts w:cs="Arial"/>
                <w:szCs w:val="18"/>
                <w:lang w:val="es-PE"/>
              </w:rPr>
              <w:t>5000</w:t>
            </w:r>
          </w:p>
        </w:tc>
        <w:tc>
          <w:tcPr>
            <w:tcW w:w="1134" w:type="dxa"/>
            <w:shd w:val="clear" w:color="auto" w:fill="FFFFFF"/>
            <w:vAlign w:val="center"/>
          </w:tcPr>
          <w:p w14:paraId="6CE0638E" w14:textId="60BB0A95"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FMSB05</w:t>
            </w:r>
          </w:p>
        </w:tc>
        <w:tc>
          <w:tcPr>
            <w:tcW w:w="841" w:type="dxa"/>
            <w:vMerge w:val="restart"/>
            <w:shd w:val="clear" w:color="auto" w:fill="FFFFFF"/>
            <w:vAlign w:val="center"/>
          </w:tcPr>
          <w:p w14:paraId="775833C5" w14:textId="77777777" w:rsidR="0037418D" w:rsidRPr="005578D6" w:rsidRDefault="0037418D" w:rsidP="00042FFC">
            <w:pPr>
              <w:pStyle w:val="CETBodytext"/>
              <w:ind w:right="-1"/>
              <w:jc w:val="center"/>
              <w:rPr>
                <w:rFonts w:cs="Arial"/>
                <w:szCs w:val="18"/>
                <w:lang w:val="es-PE"/>
              </w:rPr>
            </w:pPr>
            <w:r w:rsidRPr="005578D6">
              <w:rPr>
                <w:rFonts w:cs="Arial"/>
                <w:szCs w:val="18"/>
                <w:lang w:val="es-PE"/>
              </w:rPr>
              <w:t>7096.00</w:t>
            </w:r>
          </w:p>
        </w:tc>
        <w:tc>
          <w:tcPr>
            <w:tcW w:w="1064" w:type="dxa"/>
            <w:shd w:val="clear" w:color="auto" w:fill="FFFFFF"/>
            <w:vAlign w:val="center"/>
          </w:tcPr>
          <w:p w14:paraId="0DC71012"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5582.11</w:t>
            </w:r>
          </w:p>
        </w:tc>
        <w:tc>
          <w:tcPr>
            <w:tcW w:w="1064" w:type="dxa"/>
            <w:shd w:val="clear" w:color="auto" w:fill="FFFFFF"/>
            <w:vAlign w:val="center"/>
          </w:tcPr>
          <w:p w14:paraId="28C02DA0"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4624.57</w:t>
            </w:r>
          </w:p>
        </w:tc>
        <w:tc>
          <w:tcPr>
            <w:tcW w:w="1067" w:type="dxa"/>
            <w:shd w:val="clear" w:color="auto" w:fill="FFFFFF"/>
            <w:vAlign w:val="center"/>
          </w:tcPr>
          <w:p w14:paraId="6FA3179B"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2471.43</w:t>
            </w:r>
          </w:p>
        </w:tc>
        <w:tc>
          <w:tcPr>
            <w:tcW w:w="1232" w:type="dxa"/>
            <w:shd w:val="clear" w:color="auto" w:fill="FFFFFF"/>
            <w:vAlign w:val="center"/>
          </w:tcPr>
          <w:p w14:paraId="5ECD9642"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34.83%</w:t>
            </w:r>
          </w:p>
        </w:tc>
      </w:tr>
      <w:tr w:rsidR="006D0748" w:rsidRPr="00FD5638" w14:paraId="759AFD41" w14:textId="77777777" w:rsidTr="005B63C7">
        <w:trPr>
          <w:trHeight w:val="123"/>
        </w:trPr>
        <w:tc>
          <w:tcPr>
            <w:tcW w:w="1560" w:type="dxa"/>
            <w:vMerge/>
            <w:shd w:val="clear" w:color="auto" w:fill="FFFFFF"/>
          </w:tcPr>
          <w:p w14:paraId="7720AA81" w14:textId="77777777" w:rsidR="0037418D" w:rsidRPr="00495D76" w:rsidRDefault="0037418D" w:rsidP="00042FFC">
            <w:pPr>
              <w:pStyle w:val="CETBodytext"/>
              <w:ind w:right="-1"/>
              <w:rPr>
                <w:rFonts w:cs="Arial"/>
                <w:szCs w:val="18"/>
                <w:lang w:val="es-PE"/>
              </w:rPr>
            </w:pPr>
          </w:p>
        </w:tc>
        <w:tc>
          <w:tcPr>
            <w:tcW w:w="708" w:type="dxa"/>
            <w:vMerge/>
            <w:shd w:val="clear" w:color="auto" w:fill="FFFFFF"/>
            <w:vAlign w:val="center"/>
          </w:tcPr>
          <w:p w14:paraId="3B3A0B14" w14:textId="77777777" w:rsidR="0037418D" w:rsidRPr="00FD5638" w:rsidRDefault="0037418D" w:rsidP="00042FFC">
            <w:pPr>
              <w:pStyle w:val="CETBodytext"/>
              <w:ind w:right="-1"/>
              <w:rPr>
                <w:rFonts w:cs="Arial"/>
                <w:szCs w:val="18"/>
                <w:lang w:val="es-PE"/>
              </w:rPr>
            </w:pPr>
          </w:p>
        </w:tc>
        <w:tc>
          <w:tcPr>
            <w:tcW w:w="1134" w:type="dxa"/>
            <w:shd w:val="clear" w:color="auto" w:fill="FFFFFF"/>
            <w:vAlign w:val="center"/>
          </w:tcPr>
          <w:p w14:paraId="3CC7CD9D" w14:textId="5534B9A4"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FMSB10</w:t>
            </w:r>
          </w:p>
        </w:tc>
        <w:tc>
          <w:tcPr>
            <w:tcW w:w="841" w:type="dxa"/>
            <w:vMerge/>
            <w:shd w:val="clear" w:color="auto" w:fill="FFFFFF"/>
            <w:vAlign w:val="center"/>
          </w:tcPr>
          <w:p w14:paraId="5827E796" w14:textId="77777777" w:rsidR="0037418D" w:rsidRPr="005578D6" w:rsidRDefault="0037418D" w:rsidP="00042FFC">
            <w:pPr>
              <w:pStyle w:val="CETBodytext"/>
              <w:ind w:right="-1"/>
              <w:jc w:val="center"/>
              <w:rPr>
                <w:rFonts w:cs="Arial"/>
                <w:szCs w:val="18"/>
                <w:lang w:val="es-PE"/>
              </w:rPr>
            </w:pPr>
          </w:p>
        </w:tc>
        <w:tc>
          <w:tcPr>
            <w:tcW w:w="1064" w:type="dxa"/>
            <w:shd w:val="clear" w:color="auto" w:fill="FFFFFF"/>
            <w:vAlign w:val="center"/>
          </w:tcPr>
          <w:p w14:paraId="0DEC4062"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4862.03</w:t>
            </w:r>
          </w:p>
        </w:tc>
        <w:tc>
          <w:tcPr>
            <w:tcW w:w="1064" w:type="dxa"/>
            <w:shd w:val="clear" w:color="auto" w:fill="FFFFFF"/>
            <w:vAlign w:val="center"/>
          </w:tcPr>
          <w:p w14:paraId="3B6EAFBE"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4023.77</w:t>
            </w:r>
          </w:p>
        </w:tc>
        <w:tc>
          <w:tcPr>
            <w:tcW w:w="1067" w:type="dxa"/>
            <w:shd w:val="clear" w:color="auto" w:fill="FFFFFF"/>
            <w:vAlign w:val="center"/>
          </w:tcPr>
          <w:p w14:paraId="2058D215"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3072.23</w:t>
            </w:r>
          </w:p>
        </w:tc>
        <w:tc>
          <w:tcPr>
            <w:tcW w:w="1232" w:type="dxa"/>
            <w:shd w:val="clear" w:color="auto" w:fill="FFFFFF"/>
            <w:vAlign w:val="center"/>
          </w:tcPr>
          <w:p w14:paraId="0A80431A"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43.30%</w:t>
            </w:r>
          </w:p>
        </w:tc>
      </w:tr>
      <w:tr w:rsidR="006D0748" w:rsidRPr="00FD5638" w14:paraId="5431C788" w14:textId="77777777" w:rsidTr="005B63C7">
        <w:trPr>
          <w:trHeight w:val="123"/>
        </w:trPr>
        <w:tc>
          <w:tcPr>
            <w:tcW w:w="1560" w:type="dxa"/>
            <w:vMerge/>
            <w:shd w:val="clear" w:color="auto" w:fill="FFFFFF"/>
          </w:tcPr>
          <w:p w14:paraId="55F2AB63" w14:textId="77777777" w:rsidR="0037418D" w:rsidRPr="00495D76" w:rsidRDefault="0037418D" w:rsidP="00042FFC">
            <w:pPr>
              <w:pStyle w:val="CETBodytext"/>
              <w:ind w:right="-1"/>
              <w:rPr>
                <w:rFonts w:cs="Arial"/>
                <w:szCs w:val="18"/>
                <w:lang w:val="es-PE"/>
              </w:rPr>
            </w:pPr>
          </w:p>
        </w:tc>
        <w:tc>
          <w:tcPr>
            <w:tcW w:w="708" w:type="dxa"/>
            <w:vMerge/>
            <w:shd w:val="clear" w:color="auto" w:fill="FFFFFF"/>
            <w:vAlign w:val="center"/>
          </w:tcPr>
          <w:p w14:paraId="59A5C9B5" w14:textId="77777777" w:rsidR="0037418D" w:rsidRPr="00FD5638" w:rsidRDefault="0037418D" w:rsidP="00042FFC">
            <w:pPr>
              <w:pStyle w:val="CETBodytext"/>
              <w:ind w:right="-1"/>
              <w:rPr>
                <w:rFonts w:cs="Arial"/>
                <w:szCs w:val="18"/>
                <w:lang w:val="es-PE"/>
              </w:rPr>
            </w:pPr>
          </w:p>
        </w:tc>
        <w:tc>
          <w:tcPr>
            <w:tcW w:w="1134" w:type="dxa"/>
            <w:shd w:val="clear" w:color="auto" w:fill="FFFFFF"/>
            <w:vAlign w:val="center"/>
          </w:tcPr>
          <w:p w14:paraId="48380F4D"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FMSB20</w:t>
            </w:r>
          </w:p>
        </w:tc>
        <w:tc>
          <w:tcPr>
            <w:tcW w:w="841" w:type="dxa"/>
            <w:vMerge/>
            <w:shd w:val="clear" w:color="auto" w:fill="FFFFFF"/>
            <w:vAlign w:val="center"/>
          </w:tcPr>
          <w:p w14:paraId="29AFE20D" w14:textId="77777777" w:rsidR="0037418D" w:rsidRPr="005578D6" w:rsidRDefault="0037418D" w:rsidP="00042FFC">
            <w:pPr>
              <w:pStyle w:val="CETBodytext"/>
              <w:ind w:right="-1"/>
              <w:jc w:val="center"/>
              <w:rPr>
                <w:rFonts w:cs="Arial"/>
                <w:szCs w:val="18"/>
                <w:lang w:val="es-PE"/>
              </w:rPr>
            </w:pPr>
          </w:p>
        </w:tc>
        <w:tc>
          <w:tcPr>
            <w:tcW w:w="1064" w:type="dxa"/>
            <w:shd w:val="clear" w:color="auto" w:fill="FFFFFF"/>
            <w:vAlign w:val="center"/>
          </w:tcPr>
          <w:p w14:paraId="5B7FE7D6"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4027.57</w:t>
            </w:r>
          </w:p>
        </w:tc>
        <w:tc>
          <w:tcPr>
            <w:tcW w:w="1064" w:type="dxa"/>
            <w:shd w:val="clear" w:color="auto" w:fill="FFFFFF"/>
            <w:vAlign w:val="center"/>
          </w:tcPr>
          <w:p w14:paraId="54EDD1C9"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3222.40</w:t>
            </w:r>
          </w:p>
        </w:tc>
        <w:tc>
          <w:tcPr>
            <w:tcW w:w="1067" w:type="dxa"/>
            <w:shd w:val="clear" w:color="auto" w:fill="FFFFFF"/>
            <w:vAlign w:val="center"/>
          </w:tcPr>
          <w:p w14:paraId="4295EC14"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3873.60</w:t>
            </w:r>
          </w:p>
        </w:tc>
        <w:tc>
          <w:tcPr>
            <w:tcW w:w="1232" w:type="dxa"/>
            <w:shd w:val="clear" w:color="auto" w:fill="FFFFFF"/>
            <w:vAlign w:val="center"/>
          </w:tcPr>
          <w:p w14:paraId="0C8E8FDD"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FF0000"/>
                <w:sz w:val="22"/>
                <w:szCs w:val="22"/>
              </w:rPr>
              <w:t>54.59%</w:t>
            </w:r>
          </w:p>
        </w:tc>
      </w:tr>
      <w:tr w:rsidR="006D0748" w:rsidRPr="00FD5638" w14:paraId="77A4BD7A" w14:textId="77777777" w:rsidTr="005B63C7">
        <w:trPr>
          <w:trHeight w:val="249"/>
        </w:trPr>
        <w:tc>
          <w:tcPr>
            <w:tcW w:w="1560" w:type="dxa"/>
            <w:vMerge w:val="restart"/>
            <w:shd w:val="clear" w:color="auto" w:fill="FFFFFF"/>
          </w:tcPr>
          <w:p w14:paraId="14C099BB" w14:textId="77777777" w:rsidR="0037418D" w:rsidRPr="00495D76" w:rsidRDefault="0037418D" w:rsidP="00042FFC">
            <w:pPr>
              <w:pStyle w:val="CETBodytext"/>
              <w:ind w:right="-1"/>
              <w:jc w:val="center"/>
              <w:rPr>
                <w:rFonts w:cs="Arial"/>
                <w:szCs w:val="18"/>
                <w:lang w:val="en-US"/>
              </w:rPr>
            </w:pPr>
            <w:r w:rsidRPr="00495D76">
              <w:rPr>
                <w:rFonts w:cs="Arial"/>
                <w:szCs w:val="18"/>
                <w:lang w:val="en-US"/>
              </w:rPr>
              <w:t>Heavy fraction of hydrocarbons (&gt;C28-C40)</w:t>
            </w:r>
          </w:p>
        </w:tc>
        <w:tc>
          <w:tcPr>
            <w:tcW w:w="708" w:type="dxa"/>
            <w:vMerge w:val="restart"/>
            <w:shd w:val="clear" w:color="auto" w:fill="FFFFFF"/>
            <w:vAlign w:val="center"/>
          </w:tcPr>
          <w:p w14:paraId="3BD64EEF" w14:textId="77777777" w:rsidR="0037418D" w:rsidRPr="00FD5638" w:rsidRDefault="0037418D" w:rsidP="00042FFC">
            <w:pPr>
              <w:pStyle w:val="CETBodytext"/>
              <w:ind w:right="-1"/>
              <w:jc w:val="center"/>
              <w:rPr>
                <w:rFonts w:cs="Arial"/>
                <w:szCs w:val="18"/>
                <w:lang w:val="es-PE"/>
              </w:rPr>
            </w:pPr>
            <w:r>
              <w:rPr>
                <w:rFonts w:cs="Arial"/>
                <w:szCs w:val="18"/>
                <w:lang w:val="es-PE"/>
              </w:rPr>
              <w:t>6000</w:t>
            </w:r>
          </w:p>
        </w:tc>
        <w:tc>
          <w:tcPr>
            <w:tcW w:w="1134" w:type="dxa"/>
            <w:shd w:val="clear" w:color="auto" w:fill="FFFFFF"/>
            <w:vAlign w:val="center"/>
          </w:tcPr>
          <w:p w14:paraId="279F02EA"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FPSB05</w:t>
            </w:r>
          </w:p>
        </w:tc>
        <w:tc>
          <w:tcPr>
            <w:tcW w:w="841" w:type="dxa"/>
            <w:vMerge w:val="restart"/>
            <w:shd w:val="clear" w:color="auto" w:fill="FFFFFF"/>
            <w:vAlign w:val="center"/>
          </w:tcPr>
          <w:p w14:paraId="1A3F878D" w14:textId="77777777" w:rsidR="0037418D" w:rsidRPr="005578D6" w:rsidRDefault="0037418D" w:rsidP="00042FFC">
            <w:pPr>
              <w:pStyle w:val="CETBodytext"/>
              <w:ind w:right="-1"/>
              <w:jc w:val="center"/>
              <w:rPr>
                <w:rFonts w:cs="Arial"/>
                <w:szCs w:val="18"/>
                <w:lang w:val="es-PE"/>
              </w:rPr>
            </w:pPr>
            <w:r w:rsidRPr="005578D6">
              <w:rPr>
                <w:rFonts w:cs="Arial"/>
                <w:szCs w:val="18"/>
                <w:lang w:val="es-PE"/>
              </w:rPr>
              <w:t>8980.00</w:t>
            </w:r>
          </w:p>
        </w:tc>
        <w:tc>
          <w:tcPr>
            <w:tcW w:w="1064" w:type="dxa"/>
            <w:shd w:val="clear" w:color="auto" w:fill="FFFFFF"/>
            <w:vAlign w:val="center"/>
          </w:tcPr>
          <w:p w14:paraId="123FFD13"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7280.70</w:t>
            </w:r>
          </w:p>
        </w:tc>
        <w:tc>
          <w:tcPr>
            <w:tcW w:w="1064" w:type="dxa"/>
            <w:shd w:val="clear" w:color="auto" w:fill="FFFFFF"/>
            <w:vAlign w:val="center"/>
          </w:tcPr>
          <w:p w14:paraId="3BDC7501"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6841.47</w:t>
            </w:r>
          </w:p>
        </w:tc>
        <w:tc>
          <w:tcPr>
            <w:tcW w:w="1067" w:type="dxa"/>
            <w:shd w:val="clear" w:color="auto" w:fill="FFFFFF"/>
            <w:vAlign w:val="center"/>
          </w:tcPr>
          <w:p w14:paraId="13817C8F"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2138.53</w:t>
            </w:r>
          </w:p>
        </w:tc>
        <w:tc>
          <w:tcPr>
            <w:tcW w:w="1232" w:type="dxa"/>
            <w:shd w:val="clear" w:color="auto" w:fill="FFFFFF"/>
            <w:vAlign w:val="center"/>
          </w:tcPr>
          <w:p w14:paraId="69944194"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23.81%</w:t>
            </w:r>
          </w:p>
        </w:tc>
      </w:tr>
      <w:tr w:rsidR="006D0748" w:rsidRPr="00FD5638" w14:paraId="7C54440A" w14:textId="77777777" w:rsidTr="005B63C7">
        <w:trPr>
          <w:trHeight w:val="123"/>
        </w:trPr>
        <w:tc>
          <w:tcPr>
            <w:tcW w:w="1560" w:type="dxa"/>
            <w:vMerge/>
            <w:shd w:val="clear" w:color="auto" w:fill="FFFFFF"/>
          </w:tcPr>
          <w:p w14:paraId="0605F50C" w14:textId="77777777" w:rsidR="0037418D" w:rsidRPr="00FD5638" w:rsidRDefault="0037418D" w:rsidP="00042FFC">
            <w:pPr>
              <w:pStyle w:val="CETBodytext"/>
              <w:ind w:right="-1"/>
              <w:rPr>
                <w:rFonts w:cs="Arial"/>
                <w:szCs w:val="18"/>
                <w:lang w:val="es-PE"/>
              </w:rPr>
            </w:pPr>
          </w:p>
        </w:tc>
        <w:tc>
          <w:tcPr>
            <w:tcW w:w="708" w:type="dxa"/>
            <w:vMerge/>
            <w:shd w:val="clear" w:color="auto" w:fill="FFFFFF"/>
          </w:tcPr>
          <w:p w14:paraId="2D968D6D" w14:textId="77777777" w:rsidR="0037418D" w:rsidRPr="00FD5638" w:rsidRDefault="0037418D" w:rsidP="00042FFC">
            <w:pPr>
              <w:pStyle w:val="CETBodytext"/>
              <w:ind w:right="-1"/>
              <w:rPr>
                <w:rFonts w:cs="Arial"/>
                <w:szCs w:val="18"/>
                <w:lang w:val="es-PE"/>
              </w:rPr>
            </w:pPr>
          </w:p>
        </w:tc>
        <w:tc>
          <w:tcPr>
            <w:tcW w:w="1134" w:type="dxa"/>
            <w:shd w:val="clear" w:color="auto" w:fill="FFFFFF"/>
            <w:vAlign w:val="center"/>
          </w:tcPr>
          <w:p w14:paraId="03BC4DB1"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FPSB10</w:t>
            </w:r>
          </w:p>
        </w:tc>
        <w:tc>
          <w:tcPr>
            <w:tcW w:w="841" w:type="dxa"/>
            <w:vMerge/>
            <w:shd w:val="clear" w:color="auto" w:fill="FFFFFF"/>
            <w:vAlign w:val="center"/>
          </w:tcPr>
          <w:p w14:paraId="69FD3087" w14:textId="77777777" w:rsidR="0037418D" w:rsidRPr="005578D6" w:rsidRDefault="0037418D" w:rsidP="00042FFC">
            <w:pPr>
              <w:pStyle w:val="CETBodytext"/>
              <w:ind w:right="-1"/>
              <w:jc w:val="center"/>
              <w:rPr>
                <w:rFonts w:cs="Arial"/>
                <w:szCs w:val="18"/>
                <w:lang w:val="es-PE"/>
              </w:rPr>
            </w:pPr>
          </w:p>
        </w:tc>
        <w:tc>
          <w:tcPr>
            <w:tcW w:w="1064" w:type="dxa"/>
            <w:shd w:val="clear" w:color="auto" w:fill="FFFFFF"/>
            <w:vAlign w:val="center"/>
          </w:tcPr>
          <w:p w14:paraId="313B91D9"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6685.17</w:t>
            </w:r>
          </w:p>
        </w:tc>
        <w:tc>
          <w:tcPr>
            <w:tcW w:w="1064" w:type="dxa"/>
            <w:shd w:val="clear" w:color="auto" w:fill="FFFFFF"/>
            <w:vAlign w:val="center"/>
          </w:tcPr>
          <w:p w14:paraId="5556ED66"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5412.33</w:t>
            </w:r>
          </w:p>
        </w:tc>
        <w:tc>
          <w:tcPr>
            <w:tcW w:w="1067" w:type="dxa"/>
            <w:shd w:val="clear" w:color="auto" w:fill="FFFFFF"/>
            <w:vAlign w:val="center"/>
          </w:tcPr>
          <w:p w14:paraId="02DE4B68"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3567.67</w:t>
            </w:r>
          </w:p>
        </w:tc>
        <w:tc>
          <w:tcPr>
            <w:tcW w:w="1232" w:type="dxa"/>
            <w:shd w:val="clear" w:color="auto" w:fill="FFFFFF"/>
            <w:vAlign w:val="center"/>
          </w:tcPr>
          <w:p w14:paraId="24FF9718"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39.73%</w:t>
            </w:r>
          </w:p>
        </w:tc>
      </w:tr>
      <w:tr w:rsidR="006D0748" w:rsidRPr="00FD5638" w14:paraId="3A7D02CB" w14:textId="77777777" w:rsidTr="005B63C7">
        <w:trPr>
          <w:trHeight w:val="123"/>
        </w:trPr>
        <w:tc>
          <w:tcPr>
            <w:tcW w:w="1560" w:type="dxa"/>
            <w:vMerge/>
            <w:shd w:val="clear" w:color="auto" w:fill="FFFFFF"/>
          </w:tcPr>
          <w:p w14:paraId="47C3400C" w14:textId="77777777" w:rsidR="0037418D" w:rsidRPr="00FD5638" w:rsidRDefault="0037418D" w:rsidP="00042FFC">
            <w:pPr>
              <w:pStyle w:val="CETBodytext"/>
              <w:ind w:right="-1"/>
              <w:rPr>
                <w:rFonts w:cs="Arial"/>
                <w:szCs w:val="18"/>
                <w:lang w:val="es-PE"/>
              </w:rPr>
            </w:pPr>
          </w:p>
        </w:tc>
        <w:tc>
          <w:tcPr>
            <w:tcW w:w="708" w:type="dxa"/>
            <w:vMerge/>
            <w:shd w:val="clear" w:color="auto" w:fill="FFFFFF"/>
          </w:tcPr>
          <w:p w14:paraId="287CF57C" w14:textId="77777777" w:rsidR="0037418D" w:rsidRPr="00FD5638" w:rsidRDefault="0037418D" w:rsidP="00042FFC">
            <w:pPr>
              <w:pStyle w:val="CETBodytext"/>
              <w:ind w:right="-1"/>
              <w:rPr>
                <w:rFonts w:cs="Arial"/>
                <w:szCs w:val="18"/>
                <w:lang w:val="es-PE"/>
              </w:rPr>
            </w:pPr>
          </w:p>
        </w:tc>
        <w:tc>
          <w:tcPr>
            <w:tcW w:w="1134" w:type="dxa"/>
            <w:shd w:val="clear" w:color="auto" w:fill="FFFFFF"/>
            <w:vAlign w:val="center"/>
          </w:tcPr>
          <w:p w14:paraId="5CE269D1"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FPSB20</w:t>
            </w:r>
          </w:p>
        </w:tc>
        <w:tc>
          <w:tcPr>
            <w:tcW w:w="841" w:type="dxa"/>
            <w:vMerge/>
            <w:shd w:val="clear" w:color="auto" w:fill="FFFFFF"/>
            <w:vAlign w:val="center"/>
          </w:tcPr>
          <w:p w14:paraId="7502539C" w14:textId="77777777" w:rsidR="0037418D" w:rsidRPr="005578D6" w:rsidRDefault="0037418D" w:rsidP="00042FFC">
            <w:pPr>
              <w:pStyle w:val="CETBodytext"/>
              <w:ind w:right="-1"/>
              <w:jc w:val="center"/>
              <w:rPr>
                <w:rFonts w:cs="Arial"/>
                <w:szCs w:val="18"/>
                <w:lang w:val="es-PE"/>
              </w:rPr>
            </w:pPr>
          </w:p>
        </w:tc>
        <w:tc>
          <w:tcPr>
            <w:tcW w:w="1064" w:type="dxa"/>
            <w:shd w:val="clear" w:color="auto" w:fill="FFFFFF"/>
            <w:vAlign w:val="center"/>
          </w:tcPr>
          <w:p w14:paraId="754E7BF5"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5847.00</w:t>
            </w:r>
          </w:p>
        </w:tc>
        <w:tc>
          <w:tcPr>
            <w:tcW w:w="1064" w:type="dxa"/>
            <w:shd w:val="clear" w:color="auto" w:fill="FFFFFF"/>
            <w:vAlign w:val="center"/>
          </w:tcPr>
          <w:p w14:paraId="5EF6629C"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4048.33</w:t>
            </w:r>
          </w:p>
        </w:tc>
        <w:tc>
          <w:tcPr>
            <w:tcW w:w="1067" w:type="dxa"/>
            <w:shd w:val="clear" w:color="auto" w:fill="FFFFFF"/>
            <w:vAlign w:val="center"/>
          </w:tcPr>
          <w:p w14:paraId="2D31D736"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000000"/>
                <w:sz w:val="22"/>
                <w:szCs w:val="22"/>
              </w:rPr>
              <w:t>4931.67</w:t>
            </w:r>
          </w:p>
        </w:tc>
        <w:tc>
          <w:tcPr>
            <w:tcW w:w="1232" w:type="dxa"/>
            <w:shd w:val="clear" w:color="auto" w:fill="FFFFFF"/>
            <w:vAlign w:val="center"/>
          </w:tcPr>
          <w:p w14:paraId="6C19F29B" w14:textId="77777777" w:rsidR="0037418D" w:rsidRPr="005578D6" w:rsidRDefault="0037418D" w:rsidP="00042FFC">
            <w:pPr>
              <w:pStyle w:val="CETBodytext"/>
              <w:ind w:right="-1"/>
              <w:jc w:val="center"/>
              <w:rPr>
                <w:rFonts w:cs="Arial"/>
                <w:szCs w:val="18"/>
                <w:lang w:val="es-PE"/>
              </w:rPr>
            </w:pPr>
            <w:r w:rsidRPr="005578D6">
              <w:rPr>
                <w:rFonts w:ascii="Calibri" w:hAnsi="Calibri" w:cs="Calibri"/>
                <w:color w:val="FF0000"/>
                <w:sz w:val="22"/>
                <w:szCs w:val="22"/>
              </w:rPr>
              <w:t>54.92%</w:t>
            </w:r>
          </w:p>
        </w:tc>
      </w:tr>
    </w:tbl>
    <w:p w14:paraId="58A597D8" w14:textId="4216DB2E" w:rsidR="00F249A0" w:rsidRDefault="00897C50" w:rsidP="00F249A0">
      <w:pPr>
        <w:pStyle w:val="CETheadingx"/>
        <w:numPr>
          <w:ilvl w:val="0"/>
          <w:numId w:val="0"/>
        </w:numPr>
        <w:rPr>
          <w:b w:val="0"/>
          <w:lang w:val="en-US"/>
        </w:rPr>
      </w:pPr>
      <w:r w:rsidRPr="00897C50">
        <w:rPr>
          <w:b w:val="0"/>
          <w:lang w:val="en-US"/>
        </w:rPr>
        <w:t>From the table it can be identified that in the case of the light fraction of hydrocarbons the result is 99</w:t>
      </w:r>
      <w:r w:rsidR="00E62D39">
        <w:rPr>
          <w:b w:val="0"/>
          <w:lang w:val="en-US"/>
        </w:rPr>
        <w:t xml:space="preserve"> </w:t>
      </w:r>
      <w:r w:rsidRPr="00897C50">
        <w:rPr>
          <w:b w:val="0"/>
          <w:lang w:val="en-US"/>
        </w:rPr>
        <w:t>% regardless of the treatment. Furthermore, for the medium fraction and the heavy fraction of hydrocarbons, the treatment with 20%</w:t>
      </w:r>
      <w:r w:rsidR="00E62D39">
        <w:rPr>
          <w:b w:val="0"/>
          <w:lang w:val="en-US"/>
        </w:rPr>
        <w:t xml:space="preserve"> </w:t>
      </w:r>
      <w:r w:rsidRPr="00897C50">
        <w:rPr>
          <w:b w:val="0"/>
          <w:lang w:val="en-US"/>
        </w:rPr>
        <w:t>bioc</w:t>
      </w:r>
      <w:r w:rsidR="000A0D44">
        <w:rPr>
          <w:b w:val="0"/>
          <w:lang w:val="en-US"/>
        </w:rPr>
        <w:t>har</w:t>
      </w:r>
      <w:r w:rsidRPr="00897C50">
        <w:rPr>
          <w:b w:val="0"/>
          <w:lang w:val="en-US"/>
        </w:rPr>
        <w:t xml:space="preserve"> is above 50</w:t>
      </w:r>
      <w:r w:rsidR="00E62D39">
        <w:rPr>
          <w:b w:val="0"/>
          <w:lang w:val="en-US"/>
        </w:rPr>
        <w:t xml:space="preserve"> </w:t>
      </w:r>
      <w:r w:rsidRPr="00897C50">
        <w:rPr>
          <w:b w:val="0"/>
          <w:lang w:val="en-US"/>
        </w:rPr>
        <w:t>%.</w:t>
      </w:r>
    </w:p>
    <w:p w14:paraId="179F1C8D" w14:textId="77777777" w:rsidR="00B811FC" w:rsidRPr="00B811FC" w:rsidRDefault="00B811FC" w:rsidP="00B811FC">
      <w:pPr>
        <w:pStyle w:val="CETBodytext"/>
        <w:rPr>
          <w:lang w:val="en-US"/>
        </w:rPr>
      </w:pPr>
    </w:p>
    <w:p w14:paraId="6A0FC3B9" w14:textId="15C8EFD6" w:rsidR="009416D0" w:rsidRPr="00B62D30" w:rsidRDefault="009416D0" w:rsidP="009416D0">
      <w:pPr>
        <w:pStyle w:val="CETheadingx"/>
        <w:rPr>
          <w:lang w:val="en-US"/>
        </w:rPr>
      </w:pPr>
      <w:r w:rsidRPr="00B62D30">
        <w:rPr>
          <w:lang w:val="en-US"/>
        </w:rPr>
        <w:t>Efficiency of reduction of hydrocarbon fractions in contaminated soils using various doses of biochar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13540D" w14:paraId="2700DFBA" w14:textId="77777777" w:rsidTr="00AC3E4A">
        <w:tc>
          <w:tcPr>
            <w:tcW w:w="7655" w:type="dxa"/>
          </w:tcPr>
          <w:p w14:paraId="2D6F6421" w14:textId="77777777" w:rsidR="0013540D" w:rsidRDefault="0013540D" w:rsidP="00B811FC">
            <w:pPr>
              <w:pStyle w:val="CETBodytext"/>
              <w:jc w:val="center"/>
              <w:rPr>
                <w:lang w:val="en-US"/>
              </w:rPr>
            </w:pPr>
            <w:r>
              <w:rPr>
                <w:noProof/>
                <w:lang w:val="en-US"/>
              </w:rPr>
              <w:drawing>
                <wp:inline distT="0" distB="0" distL="0" distR="0" wp14:anchorId="38D6D545" wp14:editId="080128ED">
                  <wp:extent cx="3796146" cy="2288457"/>
                  <wp:effectExtent l="0" t="0" r="0" b="0"/>
                  <wp:docPr id="135933823"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3823" name="Imagen 2" descr="Gráfico, Gráfico de barras&#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8081" cy="2313737"/>
                          </a:xfrm>
                          <a:prstGeom prst="rect">
                            <a:avLst/>
                          </a:prstGeom>
                          <a:noFill/>
                        </pic:spPr>
                      </pic:pic>
                    </a:graphicData>
                  </a:graphic>
                </wp:inline>
              </w:drawing>
            </w:r>
          </w:p>
          <w:p w14:paraId="2290C5CC" w14:textId="77777777" w:rsidR="00B811FC" w:rsidRPr="00B811FC" w:rsidRDefault="00B811FC" w:rsidP="007E7D42">
            <w:pPr>
              <w:pStyle w:val="CETBodytext"/>
              <w:rPr>
                <w:sz w:val="10"/>
                <w:szCs w:val="10"/>
                <w:lang w:val="en-US"/>
              </w:rPr>
            </w:pPr>
          </w:p>
        </w:tc>
      </w:tr>
      <w:tr w:rsidR="0013540D" w14:paraId="29623D4F" w14:textId="77777777" w:rsidTr="00AC3E4A">
        <w:tc>
          <w:tcPr>
            <w:tcW w:w="7655" w:type="dxa"/>
          </w:tcPr>
          <w:p w14:paraId="6793BA62" w14:textId="77777777" w:rsidR="0013540D" w:rsidRDefault="0013540D" w:rsidP="00AC3E4A">
            <w:pPr>
              <w:pStyle w:val="CETBodytext"/>
              <w:tabs>
                <w:tab w:val="clear" w:pos="7100"/>
              </w:tabs>
              <w:rPr>
                <w:lang w:val="en-US"/>
              </w:rPr>
            </w:pPr>
            <w:r w:rsidRPr="00B42A46">
              <w:rPr>
                <w:rStyle w:val="CETCaptionCarattere"/>
              </w:rPr>
              <w:t xml:space="preserve">Figure </w:t>
            </w:r>
            <w:r>
              <w:rPr>
                <w:rStyle w:val="CETCaptionCarattere"/>
              </w:rPr>
              <w:t>5</w:t>
            </w:r>
            <w:r w:rsidRPr="00B42A46">
              <w:rPr>
                <w:rStyle w:val="CETCaptionCarattere"/>
              </w:rPr>
              <w:t xml:space="preserve">: </w:t>
            </w:r>
            <w:r w:rsidRPr="003D40A1">
              <w:rPr>
                <w:rStyle w:val="CETCaptionCarattere"/>
              </w:rPr>
              <w:t>Percentage of efficiency according to treatment for each type of hydrocarbon fraction</w:t>
            </w:r>
            <w:r w:rsidRPr="00B62D30">
              <w:rPr>
                <w:lang w:val="en-US"/>
              </w:rPr>
              <w:t>.</w:t>
            </w:r>
          </w:p>
        </w:tc>
      </w:tr>
    </w:tbl>
    <w:p w14:paraId="7A9C3262" w14:textId="5F4D78A9" w:rsidR="00E62D39" w:rsidRDefault="00E62D39" w:rsidP="00E62D39">
      <w:pPr>
        <w:pStyle w:val="CETBodytext"/>
        <w:rPr>
          <w:lang w:val="en-US"/>
        </w:rPr>
      </w:pPr>
      <w:r w:rsidRPr="00443DFA">
        <w:rPr>
          <w:lang w:val="en-US"/>
        </w:rPr>
        <w:lastRenderedPageBreak/>
        <w:t>Figure 5 shows the percentage reduction in the concentration of the light, medium and heavy fractions of hydrocarbons in the soil samples during 45 days of treatment. It is confirmed that the light fraction reduces up to 99.99</w:t>
      </w:r>
      <w:r>
        <w:rPr>
          <w:lang w:val="en-US"/>
        </w:rPr>
        <w:t xml:space="preserve"> </w:t>
      </w:r>
      <w:r w:rsidRPr="00443DFA">
        <w:rPr>
          <w:lang w:val="en-US"/>
        </w:rPr>
        <w:t xml:space="preserve">% of its concentration and the heavy fraction is the one that obtains the least reduction. This is because biochar contributes to improving soil porosity, reducing apparent density and evapotranspiration; Since the light fraction is less dense, the efficiency is greater </w:t>
      </w:r>
      <w:r>
        <w:rPr>
          <w:lang w:val="es-PE"/>
        </w:rPr>
        <w:fldChar w:fldCharType="begin" w:fldLock="1"/>
      </w:r>
      <w:r>
        <w:rPr>
          <w:lang w:val="en-US"/>
        </w:rPr>
        <w:instrText>ADDIN CSL_CITATION {"citationItems":[{"id":"ITEM-1","itemData":{"DOI":"10.1016/j.agee.2015.03.015","ISSN":"01678809","abstract":"Soil microbial communities are responsive to biochar amendments. As the residence time of biochar in soil is expected to be hundreds to thousands of years, the changes in microbial community structure and functions could persist for a long period of time. Given that biochar is being applied as a soil amendment in many parts of the world, the long-term consequences for soil microbial communities need to be considered. The objective of this review is to document how biochar creates new habitats and changes the soil environment for microorganisms, which may lead to changes in microbial abundance, community structure and activities. Our meta-analysis revealed that slow pyrolyzed biochars produced from various feedstocks at temperatures from 300. °C to 600. °C consistently increased some physico-chemical properties (i.e., pH, cation exchange capacity and aggregation) and microbial parameters (i.e., abundance and community structure of microorganisms) in a vast number of soils during short (≤90. days) laboratory incubations and longer (1-3. years) field studies. The biochar-mediated changes in soil physico-chemical and biological properties appeared to be a function of soil texture and biochar type based on its feedstock and production temperature, which determines key biochar characteristics such as surface area, porosity and pH. Biochars derived from manure or crop residue feedstocks tend to promote microbial abundance more than wood-derived biochars. Biochars derived from wood and other lignocellulosic-rich feedstocks tend to exhibit beneficial effects on soil microbial abundance later (≥60. days) than biochars from manure or crop residue feedstocks. Coarse textured soils tend to have less aggregation, lower microbial biomass and lower enzyme activities when amended with slow pyrolyzed biochars produced at high temperatures (&gt;600. °C), but these biochars did not affect the physico-chemical and biological properties of clayey soils. Further research is needed to evaluate the magnitude of biochar influence on soil microbial abundance and activities considering (1) the biochar particle size, surface area, porosity, nutrient content and pH, and (2) the soil organic matter (SOM) content and microbial abundance of the soil matrix. Once the microbial activities in the biochar-soil system are understood, they can be manipulated through organic and inorganic fertilizer applications to sustain or improve agricultural crop production.","author":[{"dropping-particle":"","family":"Gul","given":"Shamim","non-dropping-particle":"","parse-names":false,"suffix":""},{"dropping-particle":"","family":"Whalen","given":"Joann K.","non-dropping-particle":"","parse-names":false,"suffix":""},{"dropping-particle":"","family":"Thomas","given":"Ben W.","non-dropping-particle":"","parse-names":false,"suffix":""},{"dropping-particle":"","family":"Sachdeva","given":"Vanita","non-dropping-particle":"","parse-names":false,"suffix":""},{"dropping-particle":"","family":"Deng","given":"Hongyuan","non-dropping-particle":"","parse-names":false,"suffix":""}],"container-title":"Agriculture, Ecosystems and Environment","id":"ITEM-1","issued":{"date-parts":[["2015"]]},"page":"46-59","publisher":"Elsevier B.V.","title":"Physico-chemical properties and microbial responses in biochar-amended soils: Mechanisms and future directions","type":"article-journal","volume":"206"},"uris":["http://www.mendeley.com/documents/?uuid=3c30e380-e0a1-4c66-af1f-b1478dd5824d"]}],"mendeley":{"formattedCitation":"(Gul et al., 2015)","plainTextFormattedCitation":"(Gul et al., 2015)","previouslyFormattedCitation":"(Gul et al., 2015)"},"properties":{"noteIndex":0},"schema":"https://github.com/citation-style-language/schema/raw/master/csl-citation.json"}</w:instrText>
      </w:r>
      <w:r>
        <w:rPr>
          <w:lang w:val="es-PE"/>
        </w:rPr>
        <w:fldChar w:fldCharType="separate"/>
      </w:r>
      <w:r w:rsidRPr="00953905">
        <w:rPr>
          <w:noProof/>
          <w:lang w:val="en-US"/>
        </w:rPr>
        <w:t>(Gul et al., 2015)</w:t>
      </w:r>
      <w:r>
        <w:rPr>
          <w:lang w:val="es-PE"/>
        </w:rPr>
        <w:fldChar w:fldCharType="end"/>
      </w:r>
      <w:r w:rsidRPr="00443DFA">
        <w:rPr>
          <w:lang w:val="en-US"/>
        </w:rPr>
        <w:t>. Furthermore, biochar efficiently facilitates the elimination of polycyclic aromatic hydrocarbons (PAHs), stating once again that the porous structure of biochar is essential for absorption</w:t>
      </w:r>
      <w:r>
        <w:rPr>
          <w:lang w:val="en-US"/>
        </w:rPr>
        <w:t xml:space="preserve"> </w:t>
      </w:r>
      <w:r>
        <w:rPr>
          <w:lang w:val="en-US"/>
        </w:rPr>
        <w:fldChar w:fldCharType="begin" w:fldLock="1"/>
      </w:r>
      <w:r>
        <w:rPr>
          <w:lang w:val="en-US"/>
        </w:rPr>
        <w:instrText>ADDIN CSL_CITATION {"citationItems":[{"id":"ITEM-1","itemData":{"DOI":"10.3390/molecules26216628","ISSN":"14203049","PMID":"34771037","abstract":"Currently, a serious threat for living organisms and human life in particular, is water contamination with persistent organic and inorganic pollutants. To date, several techniques have been adopted to remove/treat organics and toxic contaminants. Adsorption is one of the most effective and economical methods for this purpose. Generally, porous materials are considered as appropri-ate adsorbents for water purification. Conventional adsorbents such as activated carbons have a limited possibility of surface modification (texture and functionality), and their adsorption capacity is difficult to control. Therefore, despite the significant progress achieved in the development of the systems for water remediation, there is still a need for novel adsorptive materials with tunable functional characteristics. This review addresses the new trends in the development of new adsorbent materials. Herein, modern carbon-based materials, such as graphene, oxidized carbon, carbon nano-tubes, biomass-derived carbonaceous matrices—biochars as well as their composites with metal-organic frameworks (MOFs) and MOF-derived highly-ordered carbons are considered as advanced adsorbents for removal of hazardous organics from drinking water, process water, and leachate. The review is focused on the preparation and modification of these next-generation carbon-based adsorbents and analysis of their adsorption performance including possible adsorption mecha-nisms. Simultaneously, some weak points of modern carbon-based adsorbents are analyzed as well as the routes to conquer them. For instance, for removal of large quantities of pollutants, the combination of adsorption and other methods, like sedimentation may be recommended. A number of efficient strategies for further enhancing the adsorption performance of the carbon-based adsor-bents, in particular, integrating approaches and further rational functionalization, including com-posing these adsorbents (of two or even three types) can be recommended. The cost reduction and efficient regeneration must also be in the focus of future research endeavors. The targeted optimization of the discussed carbon-based adsorbents associated with detailed studies of the adsorption process, especially, for multicomponent adsorbate solution, will pave a bright avenue for efficient water remediation.","author":[{"dropping-particle":"","family":"Isaeva","given":"Vera I.","non-dropping-particle":"","parse-names":false,"suffix":""},{"dropping-particle":"","family":"Vedenyapina","given":"Marina D.","non-dropping-particle":"","parse-names":false,"suffix":""},{"dropping-particle":"","family":"Kurmysheva","given":"Alexandra Yu","non-dropping-particle":"","parse-names":false,"suffix":""},{"dropping-particle":"","family":"Weichgrebe","given":"Dirk","non-dropping-particle":"","parse-names":false,"suffix":""},{"dropping-particle":"","family":"Nair","given":"Rahul Ramesh","non-dropping-particle":"","parse-names":false,"suffix":""},{"dropping-particle":"","family":"Nguyen","given":"Ngoc Phuong Thanh","non-dropping-particle":"","parse-names":false,"suffix":""},{"dropping-particle":"","family":"Kustov","given":"Leonid M.","non-dropping-particle":"","parse-names":false,"suffix":""}],"container-title":"Molecules","id":"ITEM-1","issue":"21","issued":{"date-parts":[["2021"]]},"page":"1-95","title":"Modern carbon–based materials for adsorptive removal of organic and inorganic pollutants from water and wastewater","type":"article-journal","volume":"26"},"uris":["http://www.mendeley.com/documents/?uuid=8f08e55c-b699-4b5d-9ee3-82f0de10b560"]}],"mendeley":{"formattedCitation":"(Isaeva et al., 2021)","plainTextFormattedCitation":"(Isaeva et al., 2021)","previouslyFormattedCitation":"(Isaeva et al., 2021)"},"properties":{"noteIndex":0},"schema":"https://github.com/citation-style-language/schema/raw/master/csl-citation.json"}</w:instrText>
      </w:r>
      <w:r>
        <w:rPr>
          <w:lang w:val="en-US"/>
        </w:rPr>
        <w:fldChar w:fldCharType="separate"/>
      </w:r>
      <w:r w:rsidRPr="00BC34D1">
        <w:rPr>
          <w:noProof/>
          <w:lang w:val="en-US"/>
        </w:rPr>
        <w:t>(Isaeva et al., 2021)</w:t>
      </w:r>
      <w:r>
        <w:rPr>
          <w:lang w:val="en-US"/>
        </w:rPr>
        <w:fldChar w:fldCharType="end"/>
      </w:r>
      <w:r w:rsidRPr="00443DFA">
        <w:rPr>
          <w:lang w:val="en-US"/>
        </w:rPr>
        <w:t>.</w:t>
      </w:r>
    </w:p>
    <w:p w14:paraId="5D5170E6" w14:textId="6ADB5015" w:rsidR="00772E72" w:rsidRPr="00B62D30" w:rsidRDefault="00772E72" w:rsidP="00772E72">
      <w:pPr>
        <w:pStyle w:val="CETheadingx"/>
        <w:rPr>
          <w:lang w:val="en-US"/>
        </w:rPr>
      </w:pPr>
      <w:r w:rsidRPr="00B62D30">
        <w:rPr>
          <w:lang w:val="en-US"/>
        </w:rPr>
        <w:t>Physicochemical properties of contaminated soil after treatment with biochar</w:t>
      </w:r>
    </w:p>
    <w:p w14:paraId="18651DF2" w14:textId="308E5486" w:rsidR="00772E72" w:rsidRDefault="00772E72" w:rsidP="00772E72">
      <w:pPr>
        <w:pStyle w:val="CETBodytext"/>
        <w:rPr>
          <w:lang w:val="en-US"/>
        </w:rPr>
      </w:pPr>
      <w:r w:rsidRPr="00B62D30">
        <w:rPr>
          <w:lang w:val="en-US"/>
        </w:rPr>
        <w:t>Table 2 shows the changes that each treatment (5</w:t>
      </w:r>
      <w:r w:rsidR="00E62D39">
        <w:rPr>
          <w:lang w:val="en-US"/>
        </w:rPr>
        <w:t xml:space="preserve"> </w:t>
      </w:r>
      <w:r w:rsidRPr="00B62D30">
        <w:rPr>
          <w:lang w:val="en-US"/>
        </w:rPr>
        <w:t>%, 10</w:t>
      </w:r>
      <w:r w:rsidR="00E62D39">
        <w:rPr>
          <w:lang w:val="en-US"/>
        </w:rPr>
        <w:t xml:space="preserve"> </w:t>
      </w:r>
      <w:r w:rsidRPr="00B62D30">
        <w:rPr>
          <w:lang w:val="en-US"/>
        </w:rPr>
        <w:t>%</w:t>
      </w:r>
      <w:r>
        <w:rPr>
          <w:lang w:val="en-US"/>
        </w:rPr>
        <w:t>,</w:t>
      </w:r>
      <w:r w:rsidRPr="00B62D30">
        <w:rPr>
          <w:lang w:val="en-US"/>
        </w:rPr>
        <w:t xml:space="preserve"> and 20</w:t>
      </w:r>
      <w:r w:rsidR="00E62D39">
        <w:rPr>
          <w:lang w:val="en-US"/>
        </w:rPr>
        <w:t xml:space="preserve"> </w:t>
      </w:r>
      <w:r w:rsidRPr="00B62D30">
        <w:rPr>
          <w:lang w:val="en-US"/>
        </w:rPr>
        <w:t>%) exerts on the physicochemical parameters after 20 and 45 days of homogenizing the soil contaminated with biochar.</w:t>
      </w:r>
    </w:p>
    <w:p w14:paraId="715539CD" w14:textId="7A3A8016" w:rsidR="00E83690" w:rsidRPr="00B62D30" w:rsidRDefault="00E83690" w:rsidP="00E83690">
      <w:pPr>
        <w:pStyle w:val="CETTabletitle"/>
        <w:rPr>
          <w:lang w:val="en-US"/>
        </w:rPr>
      </w:pPr>
      <w:r w:rsidRPr="00B62D30">
        <w:rPr>
          <w:lang w:val="en-US"/>
        </w:rPr>
        <w:t>Table 2: Physicochemical parameters of the soil before and after treatment at 20 and 45 days.</w:t>
      </w:r>
    </w:p>
    <w:tbl>
      <w:tblPr>
        <w:tblW w:w="8892"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96"/>
        <w:gridCol w:w="930"/>
        <w:gridCol w:w="1042"/>
        <w:gridCol w:w="1043"/>
        <w:gridCol w:w="1016"/>
        <w:gridCol w:w="1017"/>
        <w:gridCol w:w="1016"/>
        <w:gridCol w:w="1016"/>
        <w:gridCol w:w="1016"/>
      </w:tblGrid>
      <w:tr w:rsidR="00FF09F1" w:rsidRPr="00CB1B2B" w14:paraId="09FE8713" w14:textId="77777777" w:rsidTr="000A0D44">
        <w:trPr>
          <w:trHeight w:val="274"/>
          <w:jc w:val="center"/>
        </w:trPr>
        <w:tc>
          <w:tcPr>
            <w:tcW w:w="1726" w:type="dxa"/>
            <w:gridSpan w:val="2"/>
            <w:vMerge w:val="restart"/>
            <w:tcBorders>
              <w:top w:val="single" w:sz="12" w:space="0" w:color="008000"/>
            </w:tcBorders>
            <w:shd w:val="clear" w:color="auto" w:fill="FFFFFF"/>
            <w:vAlign w:val="center"/>
          </w:tcPr>
          <w:p w14:paraId="6D974F7A" w14:textId="58F49764" w:rsidR="00FF09F1" w:rsidRPr="00DF1ADB" w:rsidRDefault="00FF09F1" w:rsidP="00073758">
            <w:pPr>
              <w:pStyle w:val="CETBodytext"/>
              <w:jc w:val="center"/>
              <w:rPr>
                <w:lang w:val="en-GB"/>
              </w:rPr>
            </w:pPr>
            <w:r w:rsidRPr="00DF1ADB">
              <w:rPr>
                <w:lang w:val="en-GB"/>
              </w:rPr>
              <w:t>Parameters physicochemical</w:t>
            </w:r>
          </w:p>
        </w:tc>
        <w:tc>
          <w:tcPr>
            <w:tcW w:w="1042" w:type="dxa"/>
            <w:vMerge w:val="restart"/>
            <w:tcBorders>
              <w:top w:val="single" w:sz="12" w:space="0" w:color="008000"/>
            </w:tcBorders>
            <w:shd w:val="clear" w:color="auto" w:fill="FFFFFF"/>
            <w:vAlign w:val="center"/>
          </w:tcPr>
          <w:p w14:paraId="60D0EBA3" w14:textId="73DD3835" w:rsidR="00FF09F1" w:rsidRPr="00DF1ADB" w:rsidRDefault="00FF09F1" w:rsidP="00073758">
            <w:pPr>
              <w:pStyle w:val="CETBodytext"/>
              <w:jc w:val="center"/>
              <w:rPr>
                <w:lang w:val="en-GB"/>
              </w:rPr>
            </w:pPr>
            <w:r w:rsidRPr="00DF1ADB">
              <w:rPr>
                <w:lang w:val="en-GB"/>
              </w:rPr>
              <w:t>Sample Control</w:t>
            </w:r>
          </w:p>
        </w:tc>
        <w:tc>
          <w:tcPr>
            <w:tcW w:w="3076" w:type="dxa"/>
            <w:gridSpan w:val="3"/>
            <w:tcBorders>
              <w:top w:val="single" w:sz="12" w:space="0" w:color="008000"/>
              <w:bottom w:val="single" w:sz="4" w:space="0" w:color="008000"/>
            </w:tcBorders>
            <w:shd w:val="clear" w:color="auto" w:fill="FFFFFF"/>
            <w:vAlign w:val="center"/>
          </w:tcPr>
          <w:p w14:paraId="5A8C5E03" w14:textId="4FA8462E" w:rsidR="00FF09F1" w:rsidRPr="00772E72" w:rsidRDefault="00FF09F1" w:rsidP="00073758">
            <w:pPr>
              <w:pStyle w:val="CETBodytext"/>
              <w:ind w:right="-1"/>
              <w:jc w:val="center"/>
              <w:rPr>
                <w:rFonts w:cs="Arial"/>
                <w:szCs w:val="18"/>
                <w:lang w:val="en-US"/>
              </w:rPr>
            </w:pPr>
            <w:r w:rsidRPr="00772E72">
              <w:rPr>
                <w:lang w:val="en-US"/>
              </w:rPr>
              <w:t>Treatment results after 20 days</w:t>
            </w:r>
          </w:p>
        </w:tc>
        <w:tc>
          <w:tcPr>
            <w:tcW w:w="3048" w:type="dxa"/>
            <w:gridSpan w:val="3"/>
            <w:tcBorders>
              <w:top w:val="single" w:sz="12" w:space="0" w:color="008000"/>
              <w:bottom w:val="single" w:sz="4" w:space="0" w:color="008000"/>
            </w:tcBorders>
            <w:shd w:val="clear" w:color="auto" w:fill="FFFFFF"/>
            <w:vAlign w:val="center"/>
          </w:tcPr>
          <w:p w14:paraId="4948D41F" w14:textId="6EEF0FFD" w:rsidR="00FF09F1" w:rsidRPr="00772E72" w:rsidRDefault="00FF09F1" w:rsidP="00073758">
            <w:pPr>
              <w:pStyle w:val="CETBodytext"/>
              <w:ind w:right="-1"/>
              <w:jc w:val="center"/>
              <w:rPr>
                <w:rFonts w:cs="Arial"/>
                <w:szCs w:val="18"/>
                <w:lang w:val="en-US"/>
              </w:rPr>
            </w:pPr>
            <w:r w:rsidRPr="00772E72">
              <w:rPr>
                <w:lang w:val="en-US"/>
              </w:rPr>
              <w:t>Treatment results after 45 days</w:t>
            </w:r>
          </w:p>
        </w:tc>
      </w:tr>
      <w:tr w:rsidR="00DF1ADB" w:rsidRPr="00073758" w14:paraId="17DB6AD8" w14:textId="77777777" w:rsidTr="000A0D44">
        <w:trPr>
          <w:trHeight w:val="180"/>
          <w:jc w:val="center"/>
        </w:trPr>
        <w:tc>
          <w:tcPr>
            <w:tcW w:w="1726" w:type="dxa"/>
            <w:gridSpan w:val="2"/>
            <w:vMerge/>
            <w:tcBorders>
              <w:bottom w:val="single" w:sz="6" w:space="0" w:color="008000"/>
            </w:tcBorders>
            <w:shd w:val="clear" w:color="auto" w:fill="FFFFFF"/>
            <w:vAlign w:val="center"/>
          </w:tcPr>
          <w:p w14:paraId="047D1C29" w14:textId="77777777" w:rsidR="00DF1ADB" w:rsidRPr="00772E72" w:rsidRDefault="00DF1ADB" w:rsidP="00DF1ADB">
            <w:pPr>
              <w:pStyle w:val="CETBodytext"/>
              <w:rPr>
                <w:lang w:val="en-US"/>
              </w:rPr>
            </w:pPr>
          </w:p>
        </w:tc>
        <w:tc>
          <w:tcPr>
            <w:tcW w:w="1042" w:type="dxa"/>
            <w:vMerge/>
            <w:tcBorders>
              <w:bottom w:val="single" w:sz="6" w:space="0" w:color="008000"/>
            </w:tcBorders>
            <w:shd w:val="clear" w:color="auto" w:fill="FFFFFF"/>
            <w:vAlign w:val="center"/>
          </w:tcPr>
          <w:p w14:paraId="4EAE08F1" w14:textId="77777777" w:rsidR="00DF1ADB" w:rsidRPr="00772E72" w:rsidRDefault="00DF1ADB" w:rsidP="00DF1ADB">
            <w:pPr>
              <w:pStyle w:val="CETBodytext"/>
              <w:rPr>
                <w:lang w:val="en-US"/>
              </w:rPr>
            </w:pPr>
          </w:p>
        </w:tc>
        <w:tc>
          <w:tcPr>
            <w:tcW w:w="1043" w:type="dxa"/>
            <w:tcBorders>
              <w:top w:val="single" w:sz="4" w:space="0" w:color="008000"/>
              <w:bottom w:val="single" w:sz="4" w:space="0" w:color="008000"/>
            </w:tcBorders>
            <w:shd w:val="clear" w:color="auto" w:fill="FFFFFF"/>
            <w:vAlign w:val="center"/>
          </w:tcPr>
          <w:p w14:paraId="0599DA4C" w14:textId="02284055" w:rsidR="00DF1ADB" w:rsidRPr="00772E72" w:rsidRDefault="00DF1ADB" w:rsidP="00DF1ADB">
            <w:pPr>
              <w:pStyle w:val="CETBodytext"/>
              <w:jc w:val="center"/>
              <w:rPr>
                <w:lang w:val="en-US"/>
              </w:rPr>
            </w:pPr>
            <w:r w:rsidRPr="005578D6">
              <w:rPr>
                <w:rFonts w:ascii="Calibri" w:hAnsi="Calibri" w:cs="Calibri"/>
                <w:color w:val="000000"/>
                <w:sz w:val="22"/>
                <w:szCs w:val="22"/>
              </w:rPr>
              <w:t>SB05</w:t>
            </w:r>
          </w:p>
        </w:tc>
        <w:tc>
          <w:tcPr>
            <w:tcW w:w="1016" w:type="dxa"/>
            <w:tcBorders>
              <w:top w:val="single" w:sz="4" w:space="0" w:color="008000"/>
              <w:bottom w:val="single" w:sz="4" w:space="0" w:color="008000"/>
            </w:tcBorders>
            <w:shd w:val="clear" w:color="auto" w:fill="FFFFFF"/>
            <w:vAlign w:val="center"/>
          </w:tcPr>
          <w:p w14:paraId="7A5859CA" w14:textId="5D389D2C" w:rsidR="00DF1ADB" w:rsidRPr="00772E72" w:rsidRDefault="00DF1ADB" w:rsidP="00DF1ADB">
            <w:pPr>
              <w:pStyle w:val="CETBodytext"/>
              <w:ind w:right="-1"/>
              <w:jc w:val="center"/>
              <w:rPr>
                <w:rFonts w:cs="Arial"/>
                <w:szCs w:val="18"/>
                <w:lang w:val="en-US"/>
              </w:rPr>
            </w:pPr>
            <w:r w:rsidRPr="00DF1ADB">
              <w:rPr>
                <w:rFonts w:ascii="Calibri" w:hAnsi="Calibri" w:cs="Calibri"/>
                <w:color w:val="000000"/>
                <w:sz w:val="22"/>
                <w:szCs w:val="22"/>
              </w:rPr>
              <w:t>SB10</w:t>
            </w:r>
          </w:p>
        </w:tc>
        <w:tc>
          <w:tcPr>
            <w:tcW w:w="1017" w:type="dxa"/>
            <w:tcBorders>
              <w:top w:val="single" w:sz="4" w:space="0" w:color="008000"/>
              <w:bottom w:val="single" w:sz="4" w:space="0" w:color="008000"/>
            </w:tcBorders>
            <w:shd w:val="clear" w:color="auto" w:fill="FFFFFF"/>
            <w:vAlign w:val="center"/>
          </w:tcPr>
          <w:p w14:paraId="1BC5A493" w14:textId="5FF285D7" w:rsidR="00DF1ADB" w:rsidRPr="00772E72" w:rsidRDefault="00DF1ADB" w:rsidP="00DF1ADB">
            <w:pPr>
              <w:pStyle w:val="CETBodytext"/>
              <w:ind w:right="-1"/>
              <w:jc w:val="center"/>
              <w:rPr>
                <w:rFonts w:cs="Arial"/>
                <w:szCs w:val="18"/>
                <w:lang w:val="en-US"/>
              </w:rPr>
            </w:pPr>
            <w:r w:rsidRPr="00DF1ADB">
              <w:rPr>
                <w:rFonts w:ascii="Calibri" w:hAnsi="Calibri" w:cs="Calibri"/>
                <w:color w:val="000000"/>
                <w:sz w:val="22"/>
                <w:szCs w:val="22"/>
              </w:rPr>
              <w:t>SB20</w:t>
            </w:r>
          </w:p>
        </w:tc>
        <w:tc>
          <w:tcPr>
            <w:tcW w:w="1016" w:type="dxa"/>
            <w:tcBorders>
              <w:top w:val="single" w:sz="4" w:space="0" w:color="008000"/>
              <w:bottom w:val="single" w:sz="4" w:space="0" w:color="008000"/>
            </w:tcBorders>
            <w:shd w:val="clear" w:color="auto" w:fill="FFFFFF"/>
            <w:vAlign w:val="center"/>
          </w:tcPr>
          <w:p w14:paraId="04232CAC" w14:textId="76056650" w:rsidR="00DF1ADB" w:rsidRPr="00772E72" w:rsidRDefault="00DF1ADB" w:rsidP="00DF1ADB">
            <w:pPr>
              <w:pStyle w:val="CETBodytext"/>
              <w:ind w:right="-1"/>
              <w:jc w:val="center"/>
              <w:rPr>
                <w:rFonts w:cs="Arial"/>
                <w:szCs w:val="18"/>
                <w:lang w:val="en-US"/>
              </w:rPr>
            </w:pPr>
            <w:r w:rsidRPr="00DF1ADB">
              <w:rPr>
                <w:rFonts w:ascii="Calibri" w:hAnsi="Calibri" w:cs="Calibri"/>
                <w:color w:val="000000"/>
                <w:sz w:val="22"/>
                <w:szCs w:val="22"/>
              </w:rPr>
              <w:t>SB05</w:t>
            </w:r>
          </w:p>
        </w:tc>
        <w:tc>
          <w:tcPr>
            <w:tcW w:w="1016" w:type="dxa"/>
            <w:tcBorders>
              <w:top w:val="single" w:sz="4" w:space="0" w:color="008000"/>
              <w:bottom w:val="single" w:sz="6" w:space="0" w:color="008000"/>
            </w:tcBorders>
            <w:shd w:val="clear" w:color="auto" w:fill="FFFFFF"/>
            <w:vAlign w:val="center"/>
          </w:tcPr>
          <w:p w14:paraId="3D6FAC6C" w14:textId="483309C4" w:rsidR="00DF1ADB" w:rsidRPr="00772E72" w:rsidRDefault="00DF1ADB" w:rsidP="00DF1ADB">
            <w:pPr>
              <w:pStyle w:val="CETBodytext"/>
              <w:ind w:right="-1"/>
              <w:jc w:val="center"/>
              <w:rPr>
                <w:rFonts w:cs="Arial"/>
                <w:szCs w:val="18"/>
                <w:lang w:val="en-US"/>
              </w:rPr>
            </w:pPr>
            <w:r w:rsidRPr="00DF1ADB">
              <w:rPr>
                <w:rFonts w:ascii="Calibri" w:hAnsi="Calibri" w:cs="Calibri"/>
                <w:color w:val="000000"/>
                <w:sz w:val="22"/>
                <w:szCs w:val="22"/>
              </w:rPr>
              <w:t>SB10</w:t>
            </w:r>
          </w:p>
        </w:tc>
        <w:tc>
          <w:tcPr>
            <w:tcW w:w="1016" w:type="dxa"/>
            <w:tcBorders>
              <w:top w:val="single" w:sz="4" w:space="0" w:color="008000"/>
              <w:bottom w:val="single" w:sz="6" w:space="0" w:color="008000"/>
            </w:tcBorders>
            <w:shd w:val="clear" w:color="auto" w:fill="FFFFFF"/>
            <w:vAlign w:val="center"/>
          </w:tcPr>
          <w:p w14:paraId="2A79A5D3" w14:textId="690A8409" w:rsidR="00DF1ADB" w:rsidRPr="00772E72" w:rsidRDefault="00DF1ADB" w:rsidP="00DF1ADB">
            <w:pPr>
              <w:pStyle w:val="CETBodytext"/>
              <w:ind w:right="-1"/>
              <w:jc w:val="center"/>
              <w:rPr>
                <w:rFonts w:cs="Arial"/>
                <w:szCs w:val="18"/>
                <w:lang w:val="en-US"/>
              </w:rPr>
            </w:pPr>
            <w:r w:rsidRPr="00DF1ADB">
              <w:rPr>
                <w:rFonts w:ascii="Calibri" w:hAnsi="Calibri" w:cs="Calibri"/>
                <w:color w:val="000000"/>
                <w:sz w:val="22"/>
                <w:szCs w:val="22"/>
              </w:rPr>
              <w:t>SB20</w:t>
            </w:r>
          </w:p>
        </w:tc>
      </w:tr>
      <w:tr w:rsidR="00EF1935" w:rsidRPr="00B57B36" w14:paraId="4000BE0C" w14:textId="77777777" w:rsidTr="000A0D44">
        <w:trPr>
          <w:trHeight w:val="288"/>
          <w:jc w:val="center"/>
        </w:trPr>
        <w:tc>
          <w:tcPr>
            <w:tcW w:w="1726" w:type="dxa"/>
            <w:gridSpan w:val="2"/>
            <w:shd w:val="clear" w:color="auto" w:fill="FFFFFF"/>
            <w:vAlign w:val="center"/>
          </w:tcPr>
          <w:p w14:paraId="0490A744" w14:textId="10187E51" w:rsidR="00EF1935" w:rsidRPr="00B57B36" w:rsidRDefault="00EF1935" w:rsidP="0039732C">
            <w:pPr>
              <w:pStyle w:val="CETBodytext"/>
              <w:jc w:val="center"/>
              <w:rPr>
                <w:lang w:val="en-GB"/>
              </w:rPr>
            </w:pPr>
            <w:r w:rsidRPr="00464A46">
              <w:t>Organic material (%)</w:t>
            </w:r>
          </w:p>
        </w:tc>
        <w:tc>
          <w:tcPr>
            <w:tcW w:w="1042" w:type="dxa"/>
            <w:shd w:val="clear" w:color="auto" w:fill="FFFFFF"/>
            <w:vAlign w:val="center"/>
          </w:tcPr>
          <w:p w14:paraId="3C6D9A7E" w14:textId="1F012257" w:rsidR="00EF1935" w:rsidRPr="00B57B36" w:rsidRDefault="00BE2B88" w:rsidP="00001E32">
            <w:pPr>
              <w:pStyle w:val="CETBodytext"/>
              <w:jc w:val="center"/>
              <w:rPr>
                <w:lang w:val="en-GB"/>
              </w:rPr>
            </w:pPr>
            <w:r>
              <w:rPr>
                <w:lang w:val="en-GB"/>
              </w:rPr>
              <w:t>2.36</w:t>
            </w:r>
          </w:p>
        </w:tc>
        <w:tc>
          <w:tcPr>
            <w:tcW w:w="1043" w:type="dxa"/>
            <w:tcBorders>
              <w:top w:val="single" w:sz="4" w:space="0" w:color="008000"/>
              <w:bottom w:val="nil"/>
            </w:tcBorders>
            <w:shd w:val="clear" w:color="auto" w:fill="FFFFFF"/>
            <w:vAlign w:val="center"/>
          </w:tcPr>
          <w:p w14:paraId="53CCB5DB" w14:textId="428F578A" w:rsidR="00EF1935" w:rsidRPr="00B57B36" w:rsidRDefault="00CB07BE" w:rsidP="00001E32">
            <w:pPr>
              <w:pStyle w:val="CETBodytext"/>
              <w:jc w:val="center"/>
              <w:rPr>
                <w:lang w:val="en-GB"/>
              </w:rPr>
            </w:pPr>
            <w:r>
              <w:rPr>
                <w:lang w:val="en-GB"/>
              </w:rPr>
              <w:t>3.90</w:t>
            </w:r>
          </w:p>
        </w:tc>
        <w:tc>
          <w:tcPr>
            <w:tcW w:w="1016" w:type="dxa"/>
            <w:tcBorders>
              <w:top w:val="single" w:sz="4" w:space="0" w:color="008000"/>
              <w:bottom w:val="nil"/>
            </w:tcBorders>
            <w:shd w:val="clear" w:color="auto" w:fill="FFFFFF"/>
            <w:vAlign w:val="center"/>
          </w:tcPr>
          <w:p w14:paraId="6F69637B" w14:textId="0B506B77" w:rsidR="00EF1935" w:rsidRPr="00B57B36" w:rsidRDefault="00EC0956" w:rsidP="00001E32">
            <w:pPr>
              <w:pStyle w:val="CETBodytext"/>
              <w:ind w:right="-1"/>
              <w:jc w:val="center"/>
              <w:rPr>
                <w:rFonts w:cs="Arial"/>
                <w:szCs w:val="18"/>
                <w:lang w:val="en-GB"/>
              </w:rPr>
            </w:pPr>
            <w:r>
              <w:rPr>
                <w:rFonts w:cs="Arial"/>
                <w:szCs w:val="18"/>
                <w:lang w:val="en-GB"/>
              </w:rPr>
              <w:t>4.19</w:t>
            </w:r>
          </w:p>
        </w:tc>
        <w:tc>
          <w:tcPr>
            <w:tcW w:w="1017" w:type="dxa"/>
            <w:tcBorders>
              <w:top w:val="single" w:sz="4" w:space="0" w:color="008000"/>
              <w:bottom w:val="nil"/>
            </w:tcBorders>
            <w:shd w:val="clear" w:color="auto" w:fill="FFFFFF"/>
            <w:vAlign w:val="center"/>
          </w:tcPr>
          <w:p w14:paraId="1BA52316" w14:textId="31DB0A65" w:rsidR="00EF1935" w:rsidRPr="00B57B36" w:rsidRDefault="00E629E5" w:rsidP="00001E32">
            <w:pPr>
              <w:pStyle w:val="CETBodytext"/>
              <w:ind w:right="-1"/>
              <w:jc w:val="center"/>
              <w:rPr>
                <w:rFonts w:cs="Arial"/>
                <w:szCs w:val="18"/>
                <w:lang w:val="en-GB"/>
              </w:rPr>
            </w:pPr>
            <w:r>
              <w:rPr>
                <w:rFonts w:cs="Arial"/>
                <w:szCs w:val="18"/>
                <w:lang w:val="en-GB"/>
              </w:rPr>
              <w:t>4.74</w:t>
            </w:r>
          </w:p>
        </w:tc>
        <w:tc>
          <w:tcPr>
            <w:tcW w:w="1016" w:type="dxa"/>
            <w:tcBorders>
              <w:top w:val="single" w:sz="4" w:space="0" w:color="008000"/>
              <w:bottom w:val="nil"/>
            </w:tcBorders>
            <w:shd w:val="clear" w:color="auto" w:fill="FFFFFF"/>
            <w:vAlign w:val="center"/>
          </w:tcPr>
          <w:p w14:paraId="73F108C6" w14:textId="0BAC9B86" w:rsidR="00EF1935" w:rsidRPr="00B57B36" w:rsidRDefault="005B64BB" w:rsidP="00001E32">
            <w:pPr>
              <w:pStyle w:val="CETBodytext"/>
              <w:ind w:right="-1"/>
              <w:jc w:val="center"/>
              <w:rPr>
                <w:rFonts w:cs="Arial"/>
                <w:szCs w:val="18"/>
                <w:lang w:val="en-GB"/>
              </w:rPr>
            </w:pPr>
            <w:r>
              <w:rPr>
                <w:rFonts w:cs="Arial"/>
                <w:szCs w:val="18"/>
                <w:lang w:val="en-GB"/>
              </w:rPr>
              <w:t>3.99</w:t>
            </w:r>
          </w:p>
        </w:tc>
        <w:tc>
          <w:tcPr>
            <w:tcW w:w="1016" w:type="dxa"/>
            <w:shd w:val="clear" w:color="auto" w:fill="FFFFFF"/>
            <w:vAlign w:val="center"/>
          </w:tcPr>
          <w:p w14:paraId="72F70B7C" w14:textId="1091F97A" w:rsidR="00EF1935" w:rsidRPr="00B57B36" w:rsidRDefault="00BB31C8" w:rsidP="00001E32">
            <w:pPr>
              <w:pStyle w:val="CETBodytext"/>
              <w:ind w:right="-1"/>
              <w:jc w:val="center"/>
              <w:rPr>
                <w:rFonts w:cs="Arial"/>
                <w:szCs w:val="18"/>
                <w:lang w:val="en-GB"/>
              </w:rPr>
            </w:pPr>
            <w:r>
              <w:rPr>
                <w:rFonts w:cs="Arial"/>
                <w:szCs w:val="18"/>
                <w:lang w:val="en-GB"/>
              </w:rPr>
              <w:t>4.64</w:t>
            </w:r>
          </w:p>
        </w:tc>
        <w:tc>
          <w:tcPr>
            <w:tcW w:w="1016" w:type="dxa"/>
            <w:shd w:val="clear" w:color="auto" w:fill="FFFFFF"/>
            <w:vAlign w:val="center"/>
          </w:tcPr>
          <w:p w14:paraId="391A461E" w14:textId="3C708EAE" w:rsidR="00EF1935" w:rsidRPr="00B57B36" w:rsidRDefault="00D71DB7" w:rsidP="00001E32">
            <w:pPr>
              <w:pStyle w:val="CETBodytext"/>
              <w:ind w:right="-1"/>
              <w:jc w:val="center"/>
              <w:rPr>
                <w:rFonts w:cs="Arial"/>
                <w:szCs w:val="18"/>
                <w:lang w:val="en-GB"/>
              </w:rPr>
            </w:pPr>
            <w:r>
              <w:rPr>
                <w:rFonts w:cs="Arial"/>
                <w:szCs w:val="18"/>
                <w:lang w:val="en-GB"/>
              </w:rPr>
              <w:t>5.10</w:t>
            </w:r>
          </w:p>
        </w:tc>
      </w:tr>
      <w:tr w:rsidR="00EF1935" w:rsidRPr="00B57B36" w14:paraId="2106D9AE" w14:textId="77777777" w:rsidTr="000A0D44">
        <w:trPr>
          <w:trHeight w:val="288"/>
          <w:jc w:val="center"/>
        </w:trPr>
        <w:tc>
          <w:tcPr>
            <w:tcW w:w="1726" w:type="dxa"/>
            <w:gridSpan w:val="2"/>
            <w:shd w:val="clear" w:color="auto" w:fill="FFFFFF"/>
            <w:vAlign w:val="center"/>
          </w:tcPr>
          <w:p w14:paraId="0C67EF32" w14:textId="16B2A7B2" w:rsidR="00EF1935" w:rsidRPr="00B57B36" w:rsidRDefault="00EF1935" w:rsidP="0039732C">
            <w:pPr>
              <w:pStyle w:val="CETBodytext"/>
              <w:jc w:val="center"/>
              <w:rPr>
                <w:lang w:val="en-GB"/>
              </w:rPr>
            </w:pPr>
            <w:r w:rsidRPr="00464A46">
              <w:t>pH (1-14)</w:t>
            </w:r>
          </w:p>
        </w:tc>
        <w:tc>
          <w:tcPr>
            <w:tcW w:w="1042" w:type="dxa"/>
            <w:shd w:val="clear" w:color="auto" w:fill="FFFFFF"/>
            <w:vAlign w:val="center"/>
          </w:tcPr>
          <w:p w14:paraId="0A500F6F" w14:textId="4247853E" w:rsidR="00EF1935" w:rsidRPr="00B57B36" w:rsidRDefault="00BE2B88" w:rsidP="00001E32">
            <w:pPr>
              <w:pStyle w:val="CETBodytext"/>
              <w:jc w:val="center"/>
              <w:rPr>
                <w:lang w:val="en-GB"/>
              </w:rPr>
            </w:pPr>
            <w:r>
              <w:rPr>
                <w:lang w:val="en-GB"/>
              </w:rPr>
              <w:t>5.40</w:t>
            </w:r>
          </w:p>
        </w:tc>
        <w:tc>
          <w:tcPr>
            <w:tcW w:w="1043" w:type="dxa"/>
            <w:tcBorders>
              <w:top w:val="nil"/>
              <w:bottom w:val="nil"/>
            </w:tcBorders>
            <w:shd w:val="clear" w:color="auto" w:fill="FFFFFF"/>
            <w:vAlign w:val="center"/>
          </w:tcPr>
          <w:p w14:paraId="3C6CC6A1" w14:textId="2C301B11" w:rsidR="00EF1935" w:rsidRPr="00B57B36" w:rsidRDefault="00CB07BE" w:rsidP="00001E32">
            <w:pPr>
              <w:pStyle w:val="CETBodytext"/>
              <w:jc w:val="center"/>
              <w:rPr>
                <w:lang w:val="en-GB"/>
              </w:rPr>
            </w:pPr>
            <w:r>
              <w:rPr>
                <w:lang w:val="en-GB"/>
              </w:rPr>
              <w:t>6.73</w:t>
            </w:r>
          </w:p>
        </w:tc>
        <w:tc>
          <w:tcPr>
            <w:tcW w:w="1016" w:type="dxa"/>
            <w:tcBorders>
              <w:top w:val="nil"/>
              <w:bottom w:val="nil"/>
            </w:tcBorders>
            <w:shd w:val="clear" w:color="auto" w:fill="FFFFFF"/>
            <w:vAlign w:val="center"/>
          </w:tcPr>
          <w:p w14:paraId="340CD5E5" w14:textId="003EFC00" w:rsidR="00EF1935" w:rsidRPr="00B57B36" w:rsidRDefault="00EC0956" w:rsidP="00001E32">
            <w:pPr>
              <w:pStyle w:val="CETBodytext"/>
              <w:ind w:right="-1"/>
              <w:jc w:val="center"/>
              <w:rPr>
                <w:rFonts w:cs="Arial"/>
                <w:szCs w:val="18"/>
                <w:lang w:val="en-GB"/>
              </w:rPr>
            </w:pPr>
            <w:r>
              <w:rPr>
                <w:rFonts w:cs="Arial"/>
                <w:szCs w:val="18"/>
                <w:lang w:val="en-GB"/>
              </w:rPr>
              <w:t>6.80</w:t>
            </w:r>
          </w:p>
        </w:tc>
        <w:tc>
          <w:tcPr>
            <w:tcW w:w="1017" w:type="dxa"/>
            <w:tcBorders>
              <w:top w:val="nil"/>
              <w:bottom w:val="nil"/>
            </w:tcBorders>
            <w:shd w:val="clear" w:color="auto" w:fill="FFFFFF"/>
            <w:vAlign w:val="center"/>
          </w:tcPr>
          <w:p w14:paraId="6B769000" w14:textId="60109DEA" w:rsidR="00EF1935" w:rsidRPr="00B57B36" w:rsidRDefault="00E629E5" w:rsidP="00001E32">
            <w:pPr>
              <w:pStyle w:val="CETBodytext"/>
              <w:ind w:right="-1"/>
              <w:jc w:val="center"/>
              <w:rPr>
                <w:rFonts w:cs="Arial"/>
                <w:szCs w:val="18"/>
                <w:lang w:val="en-GB"/>
              </w:rPr>
            </w:pPr>
            <w:r>
              <w:rPr>
                <w:rFonts w:cs="Arial"/>
                <w:szCs w:val="18"/>
                <w:lang w:val="en-GB"/>
              </w:rPr>
              <w:t>6.73</w:t>
            </w:r>
          </w:p>
        </w:tc>
        <w:tc>
          <w:tcPr>
            <w:tcW w:w="1016" w:type="dxa"/>
            <w:tcBorders>
              <w:top w:val="nil"/>
              <w:bottom w:val="nil"/>
            </w:tcBorders>
            <w:shd w:val="clear" w:color="auto" w:fill="FFFFFF"/>
            <w:vAlign w:val="center"/>
          </w:tcPr>
          <w:p w14:paraId="3E7F39B9" w14:textId="277A66C2" w:rsidR="00EF1935" w:rsidRPr="00B57B36" w:rsidRDefault="005B64BB" w:rsidP="00001E32">
            <w:pPr>
              <w:pStyle w:val="CETBodytext"/>
              <w:ind w:right="-1"/>
              <w:jc w:val="center"/>
              <w:rPr>
                <w:rFonts w:cs="Arial"/>
                <w:szCs w:val="18"/>
                <w:lang w:val="en-GB"/>
              </w:rPr>
            </w:pPr>
            <w:r>
              <w:rPr>
                <w:rFonts w:cs="Arial"/>
                <w:szCs w:val="18"/>
                <w:lang w:val="en-GB"/>
              </w:rPr>
              <w:t>6.80</w:t>
            </w:r>
          </w:p>
        </w:tc>
        <w:tc>
          <w:tcPr>
            <w:tcW w:w="1016" w:type="dxa"/>
            <w:shd w:val="clear" w:color="auto" w:fill="FFFFFF"/>
            <w:vAlign w:val="center"/>
          </w:tcPr>
          <w:p w14:paraId="31D65370" w14:textId="1B8AE5C0" w:rsidR="00EF1935" w:rsidRPr="00B57B36" w:rsidRDefault="00BB31C8" w:rsidP="00001E32">
            <w:pPr>
              <w:pStyle w:val="CETBodytext"/>
              <w:ind w:right="-1"/>
              <w:jc w:val="center"/>
              <w:rPr>
                <w:rFonts w:cs="Arial"/>
                <w:szCs w:val="18"/>
                <w:lang w:val="en-GB"/>
              </w:rPr>
            </w:pPr>
            <w:r>
              <w:rPr>
                <w:rFonts w:cs="Arial"/>
                <w:szCs w:val="18"/>
                <w:lang w:val="en-GB"/>
              </w:rPr>
              <w:t>7.03</w:t>
            </w:r>
          </w:p>
        </w:tc>
        <w:tc>
          <w:tcPr>
            <w:tcW w:w="1016" w:type="dxa"/>
            <w:shd w:val="clear" w:color="auto" w:fill="FFFFFF"/>
            <w:vAlign w:val="center"/>
          </w:tcPr>
          <w:p w14:paraId="064BB261" w14:textId="3FCC753B" w:rsidR="00EF1935" w:rsidRPr="00B57B36" w:rsidRDefault="00D71DB7" w:rsidP="00001E32">
            <w:pPr>
              <w:pStyle w:val="CETBodytext"/>
              <w:ind w:right="-1"/>
              <w:jc w:val="center"/>
              <w:rPr>
                <w:rFonts w:cs="Arial"/>
                <w:szCs w:val="18"/>
                <w:lang w:val="en-GB"/>
              </w:rPr>
            </w:pPr>
            <w:r>
              <w:rPr>
                <w:rFonts w:cs="Arial"/>
                <w:szCs w:val="18"/>
                <w:lang w:val="en-GB"/>
              </w:rPr>
              <w:t>7.17</w:t>
            </w:r>
          </w:p>
        </w:tc>
      </w:tr>
      <w:tr w:rsidR="00EF1935" w:rsidRPr="00B57B36" w14:paraId="264D9726" w14:textId="77777777" w:rsidTr="000A0D44">
        <w:trPr>
          <w:trHeight w:val="274"/>
          <w:jc w:val="center"/>
        </w:trPr>
        <w:tc>
          <w:tcPr>
            <w:tcW w:w="1726" w:type="dxa"/>
            <w:gridSpan w:val="2"/>
            <w:shd w:val="clear" w:color="auto" w:fill="FFFFFF"/>
            <w:vAlign w:val="center"/>
          </w:tcPr>
          <w:p w14:paraId="5495CB19" w14:textId="5ED808F7" w:rsidR="00EF1935" w:rsidRPr="00B57B36" w:rsidRDefault="00EF1935" w:rsidP="0039732C">
            <w:pPr>
              <w:pStyle w:val="CETBodytext"/>
              <w:jc w:val="center"/>
              <w:rPr>
                <w:lang w:val="en-GB"/>
              </w:rPr>
            </w:pPr>
            <w:r w:rsidRPr="00464A46">
              <w:t>Nitrogen (mg/kg)</w:t>
            </w:r>
          </w:p>
        </w:tc>
        <w:tc>
          <w:tcPr>
            <w:tcW w:w="1042" w:type="dxa"/>
            <w:shd w:val="clear" w:color="auto" w:fill="FFFFFF"/>
            <w:vAlign w:val="center"/>
          </w:tcPr>
          <w:p w14:paraId="119D4FC2" w14:textId="65CBEDE6" w:rsidR="00EF1935" w:rsidRPr="00B57B36" w:rsidRDefault="00001E32" w:rsidP="00001E32">
            <w:pPr>
              <w:pStyle w:val="CETBodytext"/>
              <w:jc w:val="center"/>
              <w:rPr>
                <w:lang w:val="en-GB"/>
              </w:rPr>
            </w:pPr>
            <w:r>
              <w:rPr>
                <w:lang w:val="en-GB"/>
              </w:rPr>
              <w:t>53.60</w:t>
            </w:r>
          </w:p>
        </w:tc>
        <w:tc>
          <w:tcPr>
            <w:tcW w:w="1043" w:type="dxa"/>
            <w:tcBorders>
              <w:top w:val="nil"/>
              <w:bottom w:val="nil"/>
            </w:tcBorders>
            <w:shd w:val="clear" w:color="auto" w:fill="FFFFFF"/>
            <w:vAlign w:val="center"/>
          </w:tcPr>
          <w:p w14:paraId="5B097880" w14:textId="58938FB3" w:rsidR="00EF1935" w:rsidRPr="00B57B36" w:rsidRDefault="00CB07BE" w:rsidP="00001E32">
            <w:pPr>
              <w:pStyle w:val="CETBodytext"/>
              <w:jc w:val="center"/>
              <w:rPr>
                <w:lang w:val="en-GB"/>
              </w:rPr>
            </w:pPr>
            <w:r>
              <w:rPr>
                <w:lang w:val="en-GB"/>
              </w:rPr>
              <w:t>68.93</w:t>
            </w:r>
          </w:p>
        </w:tc>
        <w:tc>
          <w:tcPr>
            <w:tcW w:w="1016" w:type="dxa"/>
            <w:tcBorders>
              <w:top w:val="nil"/>
              <w:bottom w:val="nil"/>
            </w:tcBorders>
            <w:shd w:val="clear" w:color="auto" w:fill="FFFFFF"/>
            <w:vAlign w:val="center"/>
          </w:tcPr>
          <w:p w14:paraId="1560BB17" w14:textId="5BF13B46" w:rsidR="00EF1935" w:rsidRPr="00B57B36" w:rsidRDefault="00EC0956" w:rsidP="00001E32">
            <w:pPr>
              <w:pStyle w:val="CETBodytext"/>
              <w:ind w:right="-1"/>
              <w:jc w:val="center"/>
              <w:rPr>
                <w:rFonts w:cs="Arial"/>
                <w:szCs w:val="18"/>
                <w:lang w:val="en-GB"/>
              </w:rPr>
            </w:pPr>
            <w:r>
              <w:rPr>
                <w:rFonts w:cs="Arial"/>
                <w:szCs w:val="18"/>
                <w:lang w:val="en-GB"/>
              </w:rPr>
              <w:t>70.87</w:t>
            </w:r>
          </w:p>
        </w:tc>
        <w:tc>
          <w:tcPr>
            <w:tcW w:w="1017" w:type="dxa"/>
            <w:tcBorders>
              <w:top w:val="nil"/>
              <w:bottom w:val="nil"/>
            </w:tcBorders>
            <w:shd w:val="clear" w:color="auto" w:fill="FFFFFF"/>
            <w:vAlign w:val="center"/>
          </w:tcPr>
          <w:p w14:paraId="3AF62D1C" w14:textId="0A3259DE" w:rsidR="00EF1935" w:rsidRPr="00B57B36" w:rsidRDefault="00E629E5" w:rsidP="00001E32">
            <w:pPr>
              <w:pStyle w:val="CETBodytext"/>
              <w:ind w:right="-1"/>
              <w:jc w:val="center"/>
              <w:rPr>
                <w:rFonts w:cs="Arial"/>
                <w:szCs w:val="18"/>
                <w:lang w:val="en-GB"/>
              </w:rPr>
            </w:pPr>
            <w:r>
              <w:rPr>
                <w:rFonts w:cs="Arial"/>
                <w:szCs w:val="18"/>
                <w:lang w:val="en-GB"/>
              </w:rPr>
              <w:t>72.60</w:t>
            </w:r>
          </w:p>
        </w:tc>
        <w:tc>
          <w:tcPr>
            <w:tcW w:w="1016" w:type="dxa"/>
            <w:tcBorders>
              <w:top w:val="nil"/>
              <w:bottom w:val="nil"/>
            </w:tcBorders>
            <w:shd w:val="clear" w:color="auto" w:fill="FFFFFF"/>
            <w:vAlign w:val="center"/>
          </w:tcPr>
          <w:p w14:paraId="112D5727" w14:textId="2D440B42" w:rsidR="00EF1935" w:rsidRPr="00B57B36" w:rsidRDefault="005B64BB" w:rsidP="00001E32">
            <w:pPr>
              <w:pStyle w:val="CETBodytext"/>
              <w:ind w:right="-1"/>
              <w:jc w:val="center"/>
              <w:rPr>
                <w:rFonts w:cs="Arial"/>
                <w:szCs w:val="18"/>
                <w:lang w:val="en-GB"/>
              </w:rPr>
            </w:pPr>
            <w:r>
              <w:rPr>
                <w:rFonts w:cs="Arial"/>
                <w:szCs w:val="18"/>
                <w:lang w:val="en-GB"/>
              </w:rPr>
              <w:t>70.07</w:t>
            </w:r>
          </w:p>
        </w:tc>
        <w:tc>
          <w:tcPr>
            <w:tcW w:w="1016" w:type="dxa"/>
            <w:shd w:val="clear" w:color="auto" w:fill="FFFFFF"/>
            <w:vAlign w:val="center"/>
          </w:tcPr>
          <w:p w14:paraId="13752DB1" w14:textId="40B93D92" w:rsidR="00EF1935" w:rsidRPr="00B57B36" w:rsidRDefault="00BB31C8" w:rsidP="00001E32">
            <w:pPr>
              <w:pStyle w:val="CETBodytext"/>
              <w:ind w:right="-1"/>
              <w:jc w:val="center"/>
              <w:rPr>
                <w:rFonts w:cs="Arial"/>
                <w:szCs w:val="18"/>
                <w:lang w:val="en-GB"/>
              </w:rPr>
            </w:pPr>
            <w:r>
              <w:rPr>
                <w:rFonts w:cs="Arial"/>
                <w:szCs w:val="18"/>
                <w:lang w:val="en-GB"/>
              </w:rPr>
              <w:t>72.17</w:t>
            </w:r>
          </w:p>
        </w:tc>
        <w:tc>
          <w:tcPr>
            <w:tcW w:w="1016" w:type="dxa"/>
            <w:shd w:val="clear" w:color="auto" w:fill="FFFFFF"/>
            <w:vAlign w:val="center"/>
          </w:tcPr>
          <w:p w14:paraId="11668D76" w14:textId="5DAD3AB3" w:rsidR="00EF1935" w:rsidRPr="00B57B36" w:rsidRDefault="00D71DB7" w:rsidP="00001E32">
            <w:pPr>
              <w:pStyle w:val="CETBodytext"/>
              <w:ind w:right="-1"/>
              <w:jc w:val="center"/>
              <w:rPr>
                <w:rFonts w:cs="Arial"/>
                <w:szCs w:val="18"/>
                <w:lang w:val="en-GB"/>
              </w:rPr>
            </w:pPr>
            <w:r>
              <w:rPr>
                <w:rFonts w:cs="Arial"/>
                <w:szCs w:val="18"/>
                <w:lang w:val="en-GB"/>
              </w:rPr>
              <w:t>73.90</w:t>
            </w:r>
          </w:p>
        </w:tc>
      </w:tr>
      <w:tr w:rsidR="00EF1935" w:rsidRPr="00B57B36" w14:paraId="7FD11EB2" w14:textId="77777777" w:rsidTr="000A0D44">
        <w:trPr>
          <w:trHeight w:val="288"/>
          <w:jc w:val="center"/>
        </w:trPr>
        <w:tc>
          <w:tcPr>
            <w:tcW w:w="1726" w:type="dxa"/>
            <w:gridSpan w:val="2"/>
            <w:shd w:val="clear" w:color="auto" w:fill="FFFFFF"/>
            <w:vAlign w:val="center"/>
          </w:tcPr>
          <w:p w14:paraId="293E82E5" w14:textId="20DCD981" w:rsidR="00EF1935" w:rsidRPr="00B57B36" w:rsidRDefault="00EF1935" w:rsidP="0039732C">
            <w:pPr>
              <w:pStyle w:val="CETBodytext"/>
              <w:jc w:val="center"/>
              <w:rPr>
                <w:lang w:val="en-GB"/>
              </w:rPr>
            </w:pPr>
            <w:r w:rsidRPr="00464A46">
              <w:t>Phosphorus (mg/kg)</w:t>
            </w:r>
          </w:p>
        </w:tc>
        <w:tc>
          <w:tcPr>
            <w:tcW w:w="1042" w:type="dxa"/>
            <w:shd w:val="clear" w:color="auto" w:fill="FFFFFF"/>
            <w:vAlign w:val="center"/>
          </w:tcPr>
          <w:p w14:paraId="5E306182" w14:textId="68C7A8D1" w:rsidR="00EF1935" w:rsidRPr="00B57B36" w:rsidRDefault="00001E32" w:rsidP="00001E32">
            <w:pPr>
              <w:pStyle w:val="CETBodytext"/>
              <w:jc w:val="center"/>
              <w:rPr>
                <w:lang w:val="en-GB"/>
              </w:rPr>
            </w:pPr>
            <w:r>
              <w:rPr>
                <w:lang w:val="en-GB"/>
              </w:rPr>
              <w:t>105.30</w:t>
            </w:r>
          </w:p>
        </w:tc>
        <w:tc>
          <w:tcPr>
            <w:tcW w:w="1043" w:type="dxa"/>
            <w:tcBorders>
              <w:top w:val="nil"/>
              <w:bottom w:val="nil"/>
            </w:tcBorders>
            <w:shd w:val="clear" w:color="auto" w:fill="FFFFFF"/>
            <w:vAlign w:val="center"/>
          </w:tcPr>
          <w:p w14:paraId="01199BA9" w14:textId="64AE4627" w:rsidR="00EF1935" w:rsidRPr="00B57B36" w:rsidRDefault="00B55935" w:rsidP="00001E32">
            <w:pPr>
              <w:pStyle w:val="CETBodytext"/>
              <w:jc w:val="center"/>
              <w:rPr>
                <w:lang w:val="en-GB"/>
              </w:rPr>
            </w:pPr>
            <w:r>
              <w:rPr>
                <w:lang w:val="en-GB"/>
              </w:rPr>
              <w:t>199.67</w:t>
            </w:r>
          </w:p>
        </w:tc>
        <w:tc>
          <w:tcPr>
            <w:tcW w:w="1016" w:type="dxa"/>
            <w:tcBorders>
              <w:top w:val="nil"/>
              <w:bottom w:val="nil"/>
            </w:tcBorders>
            <w:shd w:val="clear" w:color="auto" w:fill="FFFFFF"/>
            <w:vAlign w:val="center"/>
          </w:tcPr>
          <w:p w14:paraId="4E75574B" w14:textId="3E34A8AD" w:rsidR="00EF1935" w:rsidRPr="00B57B36" w:rsidRDefault="00EC0956" w:rsidP="00001E32">
            <w:pPr>
              <w:pStyle w:val="CETBodytext"/>
              <w:ind w:right="-1"/>
              <w:jc w:val="center"/>
              <w:rPr>
                <w:rFonts w:cs="Arial"/>
                <w:szCs w:val="18"/>
                <w:lang w:val="en-GB"/>
              </w:rPr>
            </w:pPr>
            <w:r>
              <w:rPr>
                <w:rFonts w:cs="Arial"/>
                <w:szCs w:val="18"/>
                <w:lang w:val="en-GB"/>
              </w:rPr>
              <w:t>201.07</w:t>
            </w:r>
          </w:p>
        </w:tc>
        <w:tc>
          <w:tcPr>
            <w:tcW w:w="1017" w:type="dxa"/>
            <w:tcBorders>
              <w:top w:val="nil"/>
              <w:bottom w:val="nil"/>
            </w:tcBorders>
            <w:shd w:val="clear" w:color="auto" w:fill="FFFFFF"/>
            <w:vAlign w:val="center"/>
          </w:tcPr>
          <w:p w14:paraId="06A2BB3B" w14:textId="243C3B41" w:rsidR="00EF1935" w:rsidRPr="00B57B36" w:rsidRDefault="00E629E5" w:rsidP="00001E32">
            <w:pPr>
              <w:pStyle w:val="CETBodytext"/>
              <w:ind w:right="-1"/>
              <w:jc w:val="center"/>
              <w:rPr>
                <w:rFonts w:cs="Arial"/>
                <w:szCs w:val="18"/>
                <w:lang w:val="en-GB"/>
              </w:rPr>
            </w:pPr>
            <w:r>
              <w:rPr>
                <w:rFonts w:cs="Arial"/>
                <w:szCs w:val="18"/>
                <w:lang w:val="en-GB"/>
              </w:rPr>
              <w:t>203.80</w:t>
            </w:r>
          </w:p>
        </w:tc>
        <w:tc>
          <w:tcPr>
            <w:tcW w:w="1016" w:type="dxa"/>
            <w:tcBorders>
              <w:top w:val="nil"/>
              <w:bottom w:val="nil"/>
            </w:tcBorders>
            <w:shd w:val="clear" w:color="auto" w:fill="FFFFFF"/>
            <w:vAlign w:val="center"/>
          </w:tcPr>
          <w:p w14:paraId="2BF5835A" w14:textId="47AEA831" w:rsidR="00EF1935" w:rsidRPr="00B57B36" w:rsidRDefault="005B64BB" w:rsidP="00001E32">
            <w:pPr>
              <w:pStyle w:val="CETBodytext"/>
              <w:ind w:right="-1"/>
              <w:jc w:val="center"/>
              <w:rPr>
                <w:rFonts w:cs="Arial"/>
                <w:szCs w:val="18"/>
                <w:lang w:val="en-GB"/>
              </w:rPr>
            </w:pPr>
            <w:r>
              <w:rPr>
                <w:rFonts w:cs="Arial"/>
                <w:szCs w:val="18"/>
                <w:lang w:val="en-GB"/>
              </w:rPr>
              <w:t>201.80</w:t>
            </w:r>
          </w:p>
        </w:tc>
        <w:tc>
          <w:tcPr>
            <w:tcW w:w="1016" w:type="dxa"/>
            <w:shd w:val="clear" w:color="auto" w:fill="FFFFFF"/>
            <w:vAlign w:val="center"/>
          </w:tcPr>
          <w:p w14:paraId="04BCE106" w14:textId="0777FF45" w:rsidR="00EF1935" w:rsidRPr="00B57B36" w:rsidRDefault="00BB31C8" w:rsidP="00001E32">
            <w:pPr>
              <w:pStyle w:val="CETBodytext"/>
              <w:ind w:right="-1"/>
              <w:jc w:val="center"/>
              <w:rPr>
                <w:rFonts w:cs="Arial"/>
                <w:szCs w:val="18"/>
                <w:lang w:val="en-GB"/>
              </w:rPr>
            </w:pPr>
            <w:r>
              <w:rPr>
                <w:rFonts w:cs="Arial"/>
                <w:szCs w:val="18"/>
                <w:lang w:val="en-GB"/>
              </w:rPr>
              <w:t>205.03</w:t>
            </w:r>
          </w:p>
        </w:tc>
        <w:tc>
          <w:tcPr>
            <w:tcW w:w="1016" w:type="dxa"/>
            <w:shd w:val="clear" w:color="auto" w:fill="FFFFFF"/>
            <w:vAlign w:val="center"/>
          </w:tcPr>
          <w:p w14:paraId="5D11680A" w14:textId="5B56CF64" w:rsidR="00EF1935" w:rsidRPr="00B57B36" w:rsidRDefault="00D71DB7" w:rsidP="00001E32">
            <w:pPr>
              <w:pStyle w:val="CETBodytext"/>
              <w:ind w:right="-1"/>
              <w:jc w:val="center"/>
              <w:rPr>
                <w:rFonts w:cs="Arial"/>
                <w:szCs w:val="18"/>
                <w:lang w:val="en-GB"/>
              </w:rPr>
            </w:pPr>
            <w:r>
              <w:rPr>
                <w:rFonts w:cs="Arial"/>
                <w:szCs w:val="18"/>
                <w:lang w:val="en-GB"/>
              </w:rPr>
              <w:t>207.90</w:t>
            </w:r>
          </w:p>
        </w:tc>
      </w:tr>
      <w:tr w:rsidR="00EF1935" w:rsidRPr="00B57B36" w14:paraId="3B81E41F" w14:textId="77777777" w:rsidTr="000A0D44">
        <w:trPr>
          <w:trHeight w:val="288"/>
          <w:jc w:val="center"/>
        </w:trPr>
        <w:tc>
          <w:tcPr>
            <w:tcW w:w="1726" w:type="dxa"/>
            <w:gridSpan w:val="2"/>
            <w:shd w:val="clear" w:color="auto" w:fill="FFFFFF"/>
            <w:vAlign w:val="center"/>
          </w:tcPr>
          <w:p w14:paraId="6C724817" w14:textId="04AF7753" w:rsidR="00EF1935" w:rsidRPr="00B57B36" w:rsidRDefault="00EF1935" w:rsidP="0039732C">
            <w:pPr>
              <w:pStyle w:val="CETBodytext"/>
              <w:jc w:val="center"/>
              <w:rPr>
                <w:lang w:val="en-GB"/>
              </w:rPr>
            </w:pPr>
            <w:r w:rsidRPr="00464A46">
              <w:t>CIC (</w:t>
            </w:r>
            <w:proofErr w:type="spellStart"/>
            <w:r w:rsidRPr="00464A46">
              <w:t>meq</w:t>
            </w:r>
            <w:proofErr w:type="spellEnd"/>
            <w:r w:rsidRPr="00464A46">
              <w:t xml:space="preserve"> /100gr)</w:t>
            </w:r>
          </w:p>
        </w:tc>
        <w:tc>
          <w:tcPr>
            <w:tcW w:w="1042" w:type="dxa"/>
            <w:shd w:val="clear" w:color="auto" w:fill="FFFFFF"/>
            <w:vAlign w:val="center"/>
          </w:tcPr>
          <w:p w14:paraId="774499A8" w14:textId="5151CA3F" w:rsidR="00EF1935" w:rsidRPr="00B57B36" w:rsidRDefault="00E757DA" w:rsidP="00001E32">
            <w:pPr>
              <w:pStyle w:val="CETBodytext"/>
              <w:jc w:val="center"/>
              <w:rPr>
                <w:lang w:val="en-GB"/>
              </w:rPr>
            </w:pPr>
            <w:r>
              <w:rPr>
                <w:lang w:val="en-GB"/>
              </w:rPr>
              <w:t>29.50</w:t>
            </w:r>
          </w:p>
        </w:tc>
        <w:tc>
          <w:tcPr>
            <w:tcW w:w="1043" w:type="dxa"/>
            <w:tcBorders>
              <w:top w:val="nil"/>
              <w:bottom w:val="nil"/>
            </w:tcBorders>
            <w:shd w:val="clear" w:color="auto" w:fill="FFFFFF"/>
            <w:vAlign w:val="center"/>
          </w:tcPr>
          <w:p w14:paraId="1DC7B340" w14:textId="7367988E" w:rsidR="00EF1935" w:rsidRPr="00B57B36" w:rsidRDefault="00B55935" w:rsidP="00001E32">
            <w:pPr>
              <w:pStyle w:val="CETBodytext"/>
              <w:jc w:val="center"/>
              <w:rPr>
                <w:lang w:val="en-GB"/>
              </w:rPr>
            </w:pPr>
            <w:r>
              <w:rPr>
                <w:lang w:val="en-GB"/>
              </w:rPr>
              <w:t>45.90</w:t>
            </w:r>
          </w:p>
        </w:tc>
        <w:tc>
          <w:tcPr>
            <w:tcW w:w="1016" w:type="dxa"/>
            <w:tcBorders>
              <w:top w:val="nil"/>
              <w:bottom w:val="nil"/>
            </w:tcBorders>
            <w:shd w:val="clear" w:color="auto" w:fill="FFFFFF"/>
            <w:vAlign w:val="center"/>
          </w:tcPr>
          <w:p w14:paraId="11346369" w14:textId="3C239B54" w:rsidR="00EF1935" w:rsidRPr="00B57B36" w:rsidRDefault="00EC0956" w:rsidP="00001E32">
            <w:pPr>
              <w:pStyle w:val="CETBodytext"/>
              <w:ind w:right="-1"/>
              <w:jc w:val="center"/>
              <w:rPr>
                <w:rFonts w:cs="Arial"/>
                <w:szCs w:val="18"/>
                <w:lang w:val="en-GB"/>
              </w:rPr>
            </w:pPr>
            <w:r>
              <w:rPr>
                <w:rFonts w:cs="Arial"/>
                <w:szCs w:val="18"/>
                <w:lang w:val="en-GB"/>
              </w:rPr>
              <w:t>47.20</w:t>
            </w:r>
          </w:p>
        </w:tc>
        <w:tc>
          <w:tcPr>
            <w:tcW w:w="1017" w:type="dxa"/>
            <w:tcBorders>
              <w:top w:val="nil"/>
              <w:bottom w:val="nil"/>
            </w:tcBorders>
            <w:shd w:val="clear" w:color="auto" w:fill="FFFFFF"/>
            <w:vAlign w:val="center"/>
          </w:tcPr>
          <w:p w14:paraId="21D67FB9" w14:textId="0E65E342" w:rsidR="00EF1935" w:rsidRPr="00B57B36" w:rsidRDefault="00F15928" w:rsidP="00001E32">
            <w:pPr>
              <w:pStyle w:val="CETBodytext"/>
              <w:ind w:right="-1"/>
              <w:jc w:val="center"/>
              <w:rPr>
                <w:rFonts w:cs="Arial"/>
                <w:szCs w:val="18"/>
                <w:lang w:val="en-GB"/>
              </w:rPr>
            </w:pPr>
            <w:r>
              <w:rPr>
                <w:rFonts w:cs="Arial"/>
                <w:szCs w:val="18"/>
                <w:lang w:val="en-GB"/>
              </w:rPr>
              <w:t>46.40</w:t>
            </w:r>
          </w:p>
        </w:tc>
        <w:tc>
          <w:tcPr>
            <w:tcW w:w="1016" w:type="dxa"/>
            <w:tcBorders>
              <w:top w:val="nil"/>
              <w:bottom w:val="nil"/>
            </w:tcBorders>
            <w:shd w:val="clear" w:color="auto" w:fill="FFFFFF"/>
            <w:vAlign w:val="center"/>
          </w:tcPr>
          <w:p w14:paraId="3CEEA81C" w14:textId="0CAE6A5D" w:rsidR="00EF1935" w:rsidRPr="00B57B36" w:rsidRDefault="00B8276D" w:rsidP="00001E32">
            <w:pPr>
              <w:pStyle w:val="CETBodytext"/>
              <w:ind w:right="-1"/>
              <w:jc w:val="center"/>
              <w:rPr>
                <w:rFonts w:cs="Arial"/>
                <w:szCs w:val="18"/>
                <w:lang w:val="en-GB"/>
              </w:rPr>
            </w:pPr>
            <w:r>
              <w:rPr>
                <w:rFonts w:cs="Arial"/>
                <w:szCs w:val="18"/>
                <w:lang w:val="en-GB"/>
              </w:rPr>
              <w:t>46.63</w:t>
            </w:r>
          </w:p>
        </w:tc>
        <w:tc>
          <w:tcPr>
            <w:tcW w:w="1016" w:type="dxa"/>
            <w:shd w:val="clear" w:color="auto" w:fill="FFFFFF"/>
            <w:vAlign w:val="center"/>
          </w:tcPr>
          <w:p w14:paraId="2AB41416" w14:textId="7D5B87F9" w:rsidR="00EF1935" w:rsidRPr="00B57B36" w:rsidRDefault="00D71DB7" w:rsidP="00001E32">
            <w:pPr>
              <w:pStyle w:val="CETBodytext"/>
              <w:ind w:right="-1"/>
              <w:jc w:val="center"/>
              <w:rPr>
                <w:rFonts w:cs="Arial"/>
                <w:szCs w:val="18"/>
                <w:lang w:val="en-GB"/>
              </w:rPr>
            </w:pPr>
            <w:r>
              <w:rPr>
                <w:rFonts w:cs="Arial"/>
                <w:szCs w:val="18"/>
                <w:lang w:val="en-GB"/>
              </w:rPr>
              <w:t>52.07</w:t>
            </w:r>
          </w:p>
        </w:tc>
        <w:tc>
          <w:tcPr>
            <w:tcW w:w="1016" w:type="dxa"/>
            <w:shd w:val="clear" w:color="auto" w:fill="FFFFFF"/>
            <w:vAlign w:val="center"/>
          </w:tcPr>
          <w:p w14:paraId="597368A2" w14:textId="15937587" w:rsidR="00EF1935" w:rsidRPr="00B57B36" w:rsidRDefault="00D71DB7" w:rsidP="00001E32">
            <w:pPr>
              <w:pStyle w:val="CETBodytext"/>
              <w:ind w:right="-1"/>
              <w:jc w:val="center"/>
              <w:rPr>
                <w:rFonts w:cs="Arial"/>
                <w:szCs w:val="18"/>
                <w:lang w:val="en-GB"/>
              </w:rPr>
            </w:pPr>
            <w:r>
              <w:rPr>
                <w:rFonts w:cs="Arial"/>
                <w:szCs w:val="18"/>
                <w:lang w:val="en-GB"/>
              </w:rPr>
              <w:t>52.60</w:t>
            </w:r>
          </w:p>
        </w:tc>
      </w:tr>
      <w:tr w:rsidR="008D62EE" w:rsidRPr="00B57B36" w14:paraId="23851F96" w14:textId="77777777" w:rsidTr="000A0D44">
        <w:trPr>
          <w:trHeight w:val="288"/>
          <w:jc w:val="center"/>
        </w:trPr>
        <w:tc>
          <w:tcPr>
            <w:tcW w:w="796" w:type="dxa"/>
            <w:vMerge w:val="restart"/>
            <w:shd w:val="clear" w:color="auto" w:fill="FFFFFF"/>
            <w:vAlign w:val="center"/>
          </w:tcPr>
          <w:p w14:paraId="6B26101A" w14:textId="7DAF3805" w:rsidR="008D62EE" w:rsidRPr="00B57B36" w:rsidRDefault="008D62EE" w:rsidP="0039732C">
            <w:pPr>
              <w:pStyle w:val="CETBodytext"/>
              <w:jc w:val="center"/>
              <w:rPr>
                <w:lang w:val="en-GB"/>
              </w:rPr>
            </w:pPr>
            <w:r>
              <w:rPr>
                <w:lang w:val="en-GB"/>
              </w:rPr>
              <w:t>Texture</w:t>
            </w:r>
          </w:p>
        </w:tc>
        <w:tc>
          <w:tcPr>
            <w:tcW w:w="930" w:type="dxa"/>
            <w:shd w:val="clear" w:color="auto" w:fill="FFFFFF"/>
            <w:vAlign w:val="center"/>
          </w:tcPr>
          <w:p w14:paraId="24F17D7A" w14:textId="6B85C814" w:rsidR="008D62EE" w:rsidRPr="00B57B36" w:rsidRDefault="008D62EE" w:rsidP="0039732C">
            <w:pPr>
              <w:pStyle w:val="CETBodytext"/>
              <w:jc w:val="center"/>
              <w:rPr>
                <w:lang w:val="en-GB"/>
              </w:rPr>
            </w:pPr>
            <w:r>
              <w:rPr>
                <w:lang w:val="en-GB"/>
              </w:rPr>
              <w:t>Sand</w:t>
            </w:r>
          </w:p>
        </w:tc>
        <w:tc>
          <w:tcPr>
            <w:tcW w:w="1042" w:type="dxa"/>
            <w:shd w:val="clear" w:color="auto" w:fill="FFFFFF"/>
            <w:vAlign w:val="center"/>
          </w:tcPr>
          <w:p w14:paraId="5F6781CB" w14:textId="03E9C756" w:rsidR="008D62EE" w:rsidRPr="00B57B36" w:rsidRDefault="00E757DA" w:rsidP="00001E32">
            <w:pPr>
              <w:pStyle w:val="CETBodytext"/>
              <w:jc w:val="center"/>
              <w:rPr>
                <w:lang w:val="en-GB"/>
              </w:rPr>
            </w:pPr>
            <w:r>
              <w:rPr>
                <w:lang w:val="en-GB"/>
              </w:rPr>
              <w:t>93.00</w:t>
            </w:r>
          </w:p>
        </w:tc>
        <w:tc>
          <w:tcPr>
            <w:tcW w:w="1043" w:type="dxa"/>
            <w:tcBorders>
              <w:top w:val="nil"/>
              <w:bottom w:val="nil"/>
            </w:tcBorders>
            <w:shd w:val="clear" w:color="auto" w:fill="FFFFFF"/>
            <w:vAlign w:val="center"/>
          </w:tcPr>
          <w:p w14:paraId="20EB25BC" w14:textId="1A111AD9" w:rsidR="008D62EE" w:rsidRPr="00B57B36" w:rsidRDefault="00B55935" w:rsidP="00001E32">
            <w:pPr>
              <w:pStyle w:val="CETBodytext"/>
              <w:jc w:val="center"/>
              <w:rPr>
                <w:lang w:val="en-GB"/>
              </w:rPr>
            </w:pPr>
            <w:r>
              <w:rPr>
                <w:lang w:val="en-GB"/>
              </w:rPr>
              <w:t>89.00</w:t>
            </w:r>
          </w:p>
        </w:tc>
        <w:tc>
          <w:tcPr>
            <w:tcW w:w="1016" w:type="dxa"/>
            <w:tcBorders>
              <w:top w:val="nil"/>
              <w:bottom w:val="nil"/>
            </w:tcBorders>
            <w:shd w:val="clear" w:color="auto" w:fill="FFFFFF"/>
            <w:vAlign w:val="center"/>
          </w:tcPr>
          <w:p w14:paraId="781360BB" w14:textId="1C95DAC2" w:rsidR="008D62EE" w:rsidRPr="00B57B36" w:rsidRDefault="00E629E5" w:rsidP="00001E32">
            <w:pPr>
              <w:pStyle w:val="CETBodytext"/>
              <w:ind w:right="-1"/>
              <w:jc w:val="center"/>
              <w:rPr>
                <w:rFonts w:cs="Arial"/>
                <w:szCs w:val="18"/>
                <w:lang w:val="en-GB"/>
              </w:rPr>
            </w:pPr>
            <w:r>
              <w:rPr>
                <w:rFonts w:cs="Arial"/>
                <w:szCs w:val="18"/>
                <w:lang w:val="en-GB"/>
              </w:rPr>
              <w:t>84.67</w:t>
            </w:r>
          </w:p>
        </w:tc>
        <w:tc>
          <w:tcPr>
            <w:tcW w:w="1017" w:type="dxa"/>
            <w:tcBorders>
              <w:top w:val="nil"/>
              <w:bottom w:val="nil"/>
            </w:tcBorders>
            <w:shd w:val="clear" w:color="auto" w:fill="FFFFFF"/>
            <w:vAlign w:val="center"/>
          </w:tcPr>
          <w:p w14:paraId="1A72D20F" w14:textId="1A5895A4" w:rsidR="008D62EE" w:rsidRPr="00B57B36" w:rsidRDefault="005B64BB" w:rsidP="00001E32">
            <w:pPr>
              <w:pStyle w:val="CETBodytext"/>
              <w:ind w:right="-1"/>
              <w:jc w:val="center"/>
              <w:rPr>
                <w:rFonts w:cs="Arial"/>
                <w:szCs w:val="18"/>
                <w:lang w:val="en-GB"/>
              </w:rPr>
            </w:pPr>
            <w:r>
              <w:rPr>
                <w:rFonts w:cs="Arial"/>
                <w:szCs w:val="18"/>
                <w:lang w:val="en-GB"/>
              </w:rPr>
              <w:t>80.00</w:t>
            </w:r>
          </w:p>
        </w:tc>
        <w:tc>
          <w:tcPr>
            <w:tcW w:w="1016" w:type="dxa"/>
            <w:tcBorders>
              <w:top w:val="nil"/>
              <w:bottom w:val="nil"/>
            </w:tcBorders>
            <w:shd w:val="clear" w:color="auto" w:fill="FFFFFF"/>
            <w:vAlign w:val="center"/>
          </w:tcPr>
          <w:p w14:paraId="41F1411F" w14:textId="12AEC319" w:rsidR="008D62EE" w:rsidRPr="00B57B36" w:rsidRDefault="00B8276D" w:rsidP="00001E32">
            <w:pPr>
              <w:pStyle w:val="CETBodytext"/>
              <w:ind w:right="-1"/>
              <w:jc w:val="center"/>
              <w:rPr>
                <w:rFonts w:cs="Arial"/>
                <w:szCs w:val="18"/>
                <w:lang w:val="en-GB"/>
              </w:rPr>
            </w:pPr>
            <w:r>
              <w:rPr>
                <w:rFonts w:cs="Arial"/>
                <w:szCs w:val="18"/>
                <w:lang w:val="en-GB"/>
              </w:rPr>
              <w:t>88.73</w:t>
            </w:r>
          </w:p>
        </w:tc>
        <w:tc>
          <w:tcPr>
            <w:tcW w:w="1016" w:type="dxa"/>
            <w:shd w:val="clear" w:color="auto" w:fill="FFFFFF"/>
            <w:vAlign w:val="center"/>
          </w:tcPr>
          <w:p w14:paraId="5F5C1A87" w14:textId="1A2C102D" w:rsidR="008D62EE" w:rsidRPr="00B57B36" w:rsidRDefault="00D71DB7" w:rsidP="00001E32">
            <w:pPr>
              <w:pStyle w:val="CETBodytext"/>
              <w:ind w:right="-1"/>
              <w:jc w:val="center"/>
              <w:rPr>
                <w:rFonts w:cs="Arial"/>
                <w:szCs w:val="18"/>
                <w:lang w:val="en-GB"/>
              </w:rPr>
            </w:pPr>
            <w:r>
              <w:rPr>
                <w:rFonts w:cs="Arial"/>
                <w:szCs w:val="18"/>
                <w:lang w:val="en-GB"/>
              </w:rPr>
              <w:t>83.45</w:t>
            </w:r>
          </w:p>
        </w:tc>
        <w:tc>
          <w:tcPr>
            <w:tcW w:w="1016" w:type="dxa"/>
            <w:shd w:val="clear" w:color="auto" w:fill="FFFFFF"/>
            <w:vAlign w:val="center"/>
          </w:tcPr>
          <w:p w14:paraId="6B7285D5" w14:textId="0931E74B" w:rsidR="008D62EE" w:rsidRPr="00B57B36" w:rsidRDefault="00F869A7" w:rsidP="00001E32">
            <w:pPr>
              <w:pStyle w:val="CETBodytext"/>
              <w:ind w:right="-1"/>
              <w:jc w:val="center"/>
              <w:rPr>
                <w:rFonts w:cs="Arial"/>
                <w:szCs w:val="18"/>
                <w:lang w:val="en-GB"/>
              </w:rPr>
            </w:pPr>
            <w:r>
              <w:rPr>
                <w:rFonts w:cs="Arial"/>
                <w:szCs w:val="18"/>
                <w:lang w:val="en-GB"/>
              </w:rPr>
              <w:t>79.92</w:t>
            </w:r>
          </w:p>
        </w:tc>
      </w:tr>
      <w:tr w:rsidR="008D62EE" w:rsidRPr="00B57B36" w14:paraId="44FA9A16" w14:textId="77777777" w:rsidTr="000A0D44">
        <w:trPr>
          <w:trHeight w:val="180"/>
          <w:jc w:val="center"/>
        </w:trPr>
        <w:tc>
          <w:tcPr>
            <w:tcW w:w="796" w:type="dxa"/>
            <w:vMerge/>
            <w:shd w:val="clear" w:color="auto" w:fill="FFFFFF"/>
            <w:vAlign w:val="center"/>
          </w:tcPr>
          <w:p w14:paraId="14558857" w14:textId="77777777" w:rsidR="008D62EE" w:rsidRPr="00B57B36" w:rsidRDefault="008D62EE" w:rsidP="0039732C">
            <w:pPr>
              <w:pStyle w:val="CETBodytext"/>
              <w:jc w:val="center"/>
              <w:rPr>
                <w:lang w:val="en-GB"/>
              </w:rPr>
            </w:pPr>
          </w:p>
        </w:tc>
        <w:tc>
          <w:tcPr>
            <w:tcW w:w="930" w:type="dxa"/>
            <w:shd w:val="clear" w:color="auto" w:fill="FFFFFF"/>
            <w:vAlign w:val="center"/>
          </w:tcPr>
          <w:p w14:paraId="3D721BE7" w14:textId="75E3F65B" w:rsidR="008D62EE" w:rsidRPr="00B57B36" w:rsidRDefault="008D62EE" w:rsidP="0039732C">
            <w:pPr>
              <w:pStyle w:val="CETBodytext"/>
              <w:jc w:val="center"/>
              <w:rPr>
                <w:lang w:val="en-GB"/>
              </w:rPr>
            </w:pPr>
            <w:r>
              <w:rPr>
                <w:lang w:val="en-GB"/>
              </w:rPr>
              <w:t>Silt</w:t>
            </w:r>
          </w:p>
        </w:tc>
        <w:tc>
          <w:tcPr>
            <w:tcW w:w="1042" w:type="dxa"/>
            <w:shd w:val="clear" w:color="auto" w:fill="FFFFFF"/>
            <w:vAlign w:val="center"/>
          </w:tcPr>
          <w:p w14:paraId="5DA5543E" w14:textId="25F459A2" w:rsidR="008D62EE" w:rsidRPr="00B57B36" w:rsidRDefault="00E757DA" w:rsidP="00001E32">
            <w:pPr>
              <w:pStyle w:val="CETBodytext"/>
              <w:jc w:val="center"/>
              <w:rPr>
                <w:lang w:val="en-GB"/>
              </w:rPr>
            </w:pPr>
            <w:r>
              <w:rPr>
                <w:lang w:val="en-GB"/>
              </w:rPr>
              <w:t>4.00</w:t>
            </w:r>
          </w:p>
        </w:tc>
        <w:tc>
          <w:tcPr>
            <w:tcW w:w="1043" w:type="dxa"/>
            <w:tcBorders>
              <w:top w:val="nil"/>
            </w:tcBorders>
            <w:shd w:val="clear" w:color="auto" w:fill="FFFFFF"/>
            <w:vAlign w:val="center"/>
          </w:tcPr>
          <w:p w14:paraId="2A9DBADF" w14:textId="2DE5E5F7" w:rsidR="008D62EE" w:rsidRPr="00B57B36" w:rsidRDefault="00B55935" w:rsidP="00001E32">
            <w:pPr>
              <w:pStyle w:val="CETBodytext"/>
              <w:jc w:val="center"/>
              <w:rPr>
                <w:lang w:val="en-GB"/>
              </w:rPr>
            </w:pPr>
            <w:r>
              <w:rPr>
                <w:lang w:val="en-GB"/>
              </w:rPr>
              <w:t>8.67</w:t>
            </w:r>
          </w:p>
        </w:tc>
        <w:tc>
          <w:tcPr>
            <w:tcW w:w="1016" w:type="dxa"/>
            <w:tcBorders>
              <w:top w:val="nil"/>
            </w:tcBorders>
            <w:shd w:val="clear" w:color="auto" w:fill="FFFFFF"/>
            <w:vAlign w:val="center"/>
          </w:tcPr>
          <w:p w14:paraId="0016C985" w14:textId="3BA1DCB0" w:rsidR="008D62EE" w:rsidRPr="00B57B36" w:rsidRDefault="00E629E5" w:rsidP="00001E32">
            <w:pPr>
              <w:pStyle w:val="CETBodytext"/>
              <w:ind w:right="-1"/>
              <w:jc w:val="center"/>
              <w:rPr>
                <w:rFonts w:cs="Arial"/>
                <w:szCs w:val="18"/>
                <w:lang w:val="en-GB"/>
              </w:rPr>
            </w:pPr>
            <w:r>
              <w:rPr>
                <w:rFonts w:cs="Arial"/>
                <w:szCs w:val="18"/>
                <w:lang w:val="en-GB"/>
              </w:rPr>
              <w:t>11.67</w:t>
            </w:r>
          </w:p>
        </w:tc>
        <w:tc>
          <w:tcPr>
            <w:tcW w:w="1017" w:type="dxa"/>
            <w:tcBorders>
              <w:top w:val="nil"/>
            </w:tcBorders>
            <w:shd w:val="clear" w:color="auto" w:fill="FFFFFF"/>
            <w:vAlign w:val="center"/>
          </w:tcPr>
          <w:p w14:paraId="053D91E4" w14:textId="1653AB4C" w:rsidR="008D62EE" w:rsidRPr="00B57B36" w:rsidRDefault="005B64BB" w:rsidP="00001E32">
            <w:pPr>
              <w:pStyle w:val="CETBodytext"/>
              <w:ind w:right="-1"/>
              <w:jc w:val="center"/>
              <w:rPr>
                <w:rFonts w:cs="Arial"/>
                <w:szCs w:val="18"/>
                <w:lang w:val="en-GB"/>
              </w:rPr>
            </w:pPr>
            <w:r>
              <w:rPr>
                <w:rFonts w:cs="Arial"/>
                <w:szCs w:val="18"/>
                <w:lang w:val="en-GB"/>
              </w:rPr>
              <w:t>16.00</w:t>
            </w:r>
          </w:p>
        </w:tc>
        <w:tc>
          <w:tcPr>
            <w:tcW w:w="1016" w:type="dxa"/>
            <w:tcBorders>
              <w:top w:val="nil"/>
            </w:tcBorders>
            <w:shd w:val="clear" w:color="auto" w:fill="FFFFFF"/>
            <w:vAlign w:val="center"/>
          </w:tcPr>
          <w:p w14:paraId="26128F81" w14:textId="179AE782" w:rsidR="008D62EE" w:rsidRPr="00B57B36" w:rsidRDefault="00B8276D" w:rsidP="00001E32">
            <w:pPr>
              <w:pStyle w:val="CETBodytext"/>
              <w:ind w:right="-1"/>
              <w:jc w:val="center"/>
              <w:rPr>
                <w:rFonts w:cs="Arial"/>
                <w:szCs w:val="18"/>
                <w:lang w:val="en-GB"/>
              </w:rPr>
            </w:pPr>
            <w:r>
              <w:rPr>
                <w:rFonts w:cs="Arial"/>
                <w:szCs w:val="18"/>
                <w:lang w:val="en-GB"/>
              </w:rPr>
              <w:t>8.69</w:t>
            </w:r>
          </w:p>
        </w:tc>
        <w:tc>
          <w:tcPr>
            <w:tcW w:w="1016" w:type="dxa"/>
            <w:shd w:val="clear" w:color="auto" w:fill="FFFFFF"/>
            <w:vAlign w:val="center"/>
          </w:tcPr>
          <w:p w14:paraId="3118076C" w14:textId="730FB55E" w:rsidR="008D62EE" w:rsidRPr="00B57B36" w:rsidRDefault="00D71DB7" w:rsidP="00001E32">
            <w:pPr>
              <w:pStyle w:val="CETBodytext"/>
              <w:ind w:right="-1"/>
              <w:jc w:val="center"/>
              <w:rPr>
                <w:rFonts w:cs="Arial"/>
                <w:szCs w:val="18"/>
                <w:lang w:val="en-GB"/>
              </w:rPr>
            </w:pPr>
            <w:r>
              <w:rPr>
                <w:rFonts w:cs="Arial"/>
                <w:szCs w:val="18"/>
                <w:lang w:val="en-GB"/>
              </w:rPr>
              <w:t>11.90</w:t>
            </w:r>
          </w:p>
        </w:tc>
        <w:tc>
          <w:tcPr>
            <w:tcW w:w="1016" w:type="dxa"/>
            <w:shd w:val="clear" w:color="auto" w:fill="FFFFFF"/>
            <w:vAlign w:val="center"/>
          </w:tcPr>
          <w:p w14:paraId="01E18D69" w14:textId="3B96551E" w:rsidR="008D62EE" w:rsidRPr="00B57B36" w:rsidRDefault="00F869A7" w:rsidP="00001E32">
            <w:pPr>
              <w:pStyle w:val="CETBodytext"/>
              <w:ind w:right="-1"/>
              <w:jc w:val="center"/>
              <w:rPr>
                <w:rFonts w:cs="Arial"/>
                <w:szCs w:val="18"/>
                <w:lang w:val="en-GB"/>
              </w:rPr>
            </w:pPr>
            <w:r>
              <w:rPr>
                <w:rFonts w:cs="Arial"/>
                <w:szCs w:val="18"/>
                <w:lang w:val="en-GB"/>
              </w:rPr>
              <w:t>16.50</w:t>
            </w:r>
          </w:p>
        </w:tc>
      </w:tr>
      <w:tr w:rsidR="008D62EE" w:rsidRPr="00B57B36" w14:paraId="27763EFD" w14:textId="77777777" w:rsidTr="000A0D44">
        <w:trPr>
          <w:trHeight w:val="180"/>
          <w:jc w:val="center"/>
        </w:trPr>
        <w:tc>
          <w:tcPr>
            <w:tcW w:w="796" w:type="dxa"/>
            <w:vMerge/>
            <w:shd w:val="clear" w:color="auto" w:fill="FFFFFF"/>
            <w:vAlign w:val="center"/>
          </w:tcPr>
          <w:p w14:paraId="7C237EFC" w14:textId="77777777" w:rsidR="008D62EE" w:rsidRPr="00B57B36" w:rsidRDefault="008D62EE" w:rsidP="0039732C">
            <w:pPr>
              <w:pStyle w:val="CETBodytext"/>
              <w:ind w:right="-1"/>
              <w:jc w:val="center"/>
              <w:rPr>
                <w:rFonts w:cs="Arial"/>
                <w:szCs w:val="18"/>
                <w:lang w:val="en-GB"/>
              </w:rPr>
            </w:pPr>
          </w:p>
        </w:tc>
        <w:tc>
          <w:tcPr>
            <w:tcW w:w="930" w:type="dxa"/>
            <w:shd w:val="clear" w:color="auto" w:fill="FFFFFF"/>
            <w:vAlign w:val="center"/>
          </w:tcPr>
          <w:p w14:paraId="7787A155" w14:textId="57DEAF5B" w:rsidR="008D62EE" w:rsidRPr="00B57B36" w:rsidRDefault="0039732C" w:rsidP="0039732C">
            <w:pPr>
              <w:pStyle w:val="CETBodytext"/>
              <w:ind w:right="-1"/>
              <w:jc w:val="center"/>
              <w:rPr>
                <w:rFonts w:cs="Arial"/>
                <w:szCs w:val="18"/>
                <w:lang w:val="en-GB"/>
              </w:rPr>
            </w:pPr>
            <w:r>
              <w:rPr>
                <w:rFonts w:cs="Arial"/>
                <w:szCs w:val="18"/>
                <w:lang w:val="en-GB"/>
              </w:rPr>
              <w:t>Clay</w:t>
            </w:r>
          </w:p>
        </w:tc>
        <w:tc>
          <w:tcPr>
            <w:tcW w:w="1042" w:type="dxa"/>
            <w:shd w:val="clear" w:color="auto" w:fill="FFFFFF"/>
            <w:vAlign w:val="center"/>
          </w:tcPr>
          <w:p w14:paraId="294524F4" w14:textId="4874FC93" w:rsidR="008D62EE" w:rsidRPr="00B57B36" w:rsidRDefault="00E757DA" w:rsidP="00001E32">
            <w:pPr>
              <w:pStyle w:val="CETBodytext"/>
              <w:ind w:right="-1"/>
              <w:jc w:val="center"/>
              <w:rPr>
                <w:rFonts w:cs="Arial"/>
                <w:szCs w:val="18"/>
                <w:lang w:val="en-GB"/>
              </w:rPr>
            </w:pPr>
            <w:r>
              <w:rPr>
                <w:rFonts w:cs="Arial"/>
                <w:szCs w:val="18"/>
                <w:lang w:val="en-GB"/>
              </w:rPr>
              <w:t>2.00</w:t>
            </w:r>
          </w:p>
        </w:tc>
        <w:tc>
          <w:tcPr>
            <w:tcW w:w="1043" w:type="dxa"/>
            <w:shd w:val="clear" w:color="auto" w:fill="FFFFFF"/>
            <w:vAlign w:val="center"/>
          </w:tcPr>
          <w:p w14:paraId="5CA76DD8" w14:textId="45863346" w:rsidR="008D62EE" w:rsidRPr="00B57B36" w:rsidRDefault="00B55935" w:rsidP="00001E32">
            <w:pPr>
              <w:pStyle w:val="CETBodytext"/>
              <w:ind w:right="-1"/>
              <w:jc w:val="center"/>
              <w:rPr>
                <w:rFonts w:cs="Arial"/>
                <w:szCs w:val="18"/>
                <w:lang w:val="en-GB"/>
              </w:rPr>
            </w:pPr>
            <w:r>
              <w:rPr>
                <w:rFonts w:cs="Arial"/>
                <w:szCs w:val="18"/>
                <w:lang w:val="en-GB"/>
              </w:rPr>
              <w:t>2.33</w:t>
            </w:r>
          </w:p>
        </w:tc>
        <w:tc>
          <w:tcPr>
            <w:tcW w:w="1016" w:type="dxa"/>
            <w:shd w:val="clear" w:color="auto" w:fill="FFFFFF"/>
            <w:vAlign w:val="center"/>
          </w:tcPr>
          <w:p w14:paraId="1E2DE311" w14:textId="5A983217" w:rsidR="008D62EE" w:rsidRPr="00B57B36" w:rsidRDefault="00E629E5" w:rsidP="00001E32">
            <w:pPr>
              <w:pStyle w:val="CETBodytext"/>
              <w:ind w:right="-1"/>
              <w:jc w:val="center"/>
              <w:rPr>
                <w:rFonts w:cs="Arial"/>
                <w:szCs w:val="18"/>
                <w:lang w:val="en-GB"/>
              </w:rPr>
            </w:pPr>
            <w:r>
              <w:rPr>
                <w:rFonts w:cs="Arial"/>
                <w:szCs w:val="18"/>
                <w:lang w:val="en-GB"/>
              </w:rPr>
              <w:t>3.67</w:t>
            </w:r>
          </w:p>
        </w:tc>
        <w:tc>
          <w:tcPr>
            <w:tcW w:w="1017" w:type="dxa"/>
            <w:shd w:val="clear" w:color="auto" w:fill="FFFFFF"/>
            <w:vAlign w:val="center"/>
          </w:tcPr>
          <w:p w14:paraId="00FF54DF" w14:textId="4C1B9666" w:rsidR="008D62EE" w:rsidRPr="00B57B36" w:rsidRDefault="005B64BB" w:rsidP="00001E32">
            <w:pPr>
              <w:pStyle w:val="CETBodytext"/>
              <w:ind w:right="-1"/>
              <w:jc w:val="center"/>
              <w:rPr>
                <w:rFonts w:cs="Arial"/>
                <w:szCs w:val="18"/>
                <w:lang w:val="en-GB"/>
              </w:rPr>
            </w:pPr>
            <w:r>
              <w:rPr>
                <w:rFonts w:cs="Arial"/>
                <w:szCs w:val="18"/>
                <w:lang w:val="en-GB"/>
              </w:rPr>
              <w:t>3.33</w:t>
            </w:r>
          </w:p>
        </w:tc>
        <w:tc>
          <w:tcPr>
            <w:tcW w:w="1016" w:type="dxa"/>
            <w:shd w:val="clear" w:color="auto" w:fill="FFFFFF"/>
            <w:vAlign w:val="center"/>
          </w:tcPr>
          <w:p w14:paraId="4B3AD63F" w14:textId="2E50F086" w:rsidR="008D62EE" w:rsidRPr="00B57B36" w:rsidRDefault="00B8276D" w:rsidP="00001E32">
            <w:pPr>
              <w:pStyle w:val="CETBodytext"/>
              <w:ind w:right="-1"/>
              <w:jc w:val="center"/>
              <w:rPr>
                <w:rFonts w:cs="Arial"/>
                <w:szCs w:val="18"/>
                <w:lang w:val="en-GB"/>
              </w:rPr>
            </w:pPr>
            <w:r>
              <w:rPr>
                <w:rFonts w:cs="Arial"/>
                <w:szCs w:val="18"/>
                <w:lang w:val="en-GB"/>
              </w:rPr>
              <w:t>2.45</w:t>
            </w:r>
          </w:p>
        </w:tc>
        <w:tc>
          <w:tcPr>
            <w:tcW w:w="1016" w:type="dxa"/>
            <w:shd w:val="clear" w:color="auto" w:fill="FFFFFF"/>
            <w:vAlign w:val="center"/>
          </w:tcPr>
          <w:p w14:paraId="6251B52F" w14:textId="188367B4" w:rsidR="008D62EE" w:rsidRPr="00B57B36" w:rsidRDefault="00D71DB7" w:rsidP="00001E32">
            <w:pPr>
              <w:pStyle w:val="CETBodytext"/>
              <w:ind w:right="-1"/>
              <w:jc w:val="center"/>
              <w:rPr>
                <w:rFonts w:cs="Arial"/>
                <w:szCs w:val="18"/>
                <w:lang w:val="en-GB"/>
              </w:rPr>
            </w:pPr>
            <w:r>
              <w:rPr>
                <w:rFonts w:cs="Arial"/>
                <w:szCs w:val="18"/>
                <w:lang w:val="en-GB"/>
              </w:rPr>
              <w:t>3.85</w:t>
            </w:r>
          </w:p>
        </w:tc>
        <w:tc>
          <w:tcPr>
            <w:tcW w:w="1016" w:type="dxa"/>
            <w:shd w:val="clear" w:color="auto" w:fill="FFFFFF"/>
            <w:vAlign w:val="center"/>
          </w:tcPr>
          <w:p w14:paraId="616CD6B8" w14:textId="49C6D6DF" w:rsidR="008D62EE" w:rsidRPr="00B57B36" w:rsidRDefault="00F869A7" w:rsidP="00001E32">
            <w:pPr>
              <w:pStyle w:val="CETBodytext"/>
              <w:ind w:right="-1"/>
              <w:jc w:val="center"/>
              <w:rPr>
                <w:rFonts w:cs="Arial"/>
                <w:szCs w:val="18"/>
                <w:lang w:val="en-GB"/>
              </w:rPr>
            </w:pPr>
            <w:r>
              <w:rPr>
                <w:rFonts w:cs="Arial"/>
                <w:szCs w:val="18"/>
                <w:lang w:val="en-GB"/>
              </w:rPr>
              <w:t>3.79</w:t>
            </w:r>
          </w:p>
        </w:tc>
      </w:tr>
    </w:tbl>
    <w:p w14:paraId="509C9228" w14:textId="644B25F9" w:rsidR="009A5EE1" w:rsidRPr="00B62D30" w:rsidRDefault="004B3F94" w:rsidP="004B3F94">
      <w:pPr>
        <w:pStyle w:val="CETBodytext"/>
        <w:rPr>
          <w:highlight w:val="yellow"/>
          <w:lang w:val="en-US"/>
        </w:rPr>
      </w:pPr>
      <w:r w:rsidRPr="00B62D30">
        <w:rPr>
          <w:lang w:val="en-US"/>
        </w:rPr>
        <w:t xml:space="preserve">Note: SB05= Soil with </w:t>
      </w:r>
      <w:r w:rsidR="00FA3143" w:rsidRPr="00B62D30">
        <w:rPr>
          <w:lang w:val="en-US"/>
        </w:rPr>
        <w:t>5</w:t>
      </w:r>
      <w:r w:rsidR="000A0D44">
        <w:rPr>
          <w:lang w:val="en-US"/>
        </w:rPr>
        <w:t xml:space="preserve"> </w:t>
      </w:r>
      <w:r w:rsidR="00FA3143" w:rsidRPr="00B62D30">
        <w:rPr>
          <w:lang w:val="en-US"/>
        </w:rPr>
        <w:t xml:space="preserve">% Biochar, SB10= Soil </w:t>
      </w:r>
      <w:r w:rsidR="005578D6" w:rsidRPr="00B62D30">
        <w:rPr>
          <w:lang w:val="en-US"/>
        </w:rPr>
        <w:t>with 10</w:t>
      </w:r>
      <w:r w:rsidR="000A0D44">
        <w:rPr>
          <w:lang w:val="en-US"/>
        </w:rPr>
        <w:t xml:space="preserve"> </w:t>
      </w:r>
      <w:r w:rsidR="005578D6" w:rsidRPr="00B62D30">
        <w:rPr>
          <w:lang w:val="en-US"/>
        </w:rPr>
        <w:t>% Biochar</w:t>
      </w:r>
      <w:r w:rsidR="00A30DC0">
        <w:rPr>
          <w:lang w:val="en-US"/>
        </w:rPr>
        <w:t>,</w:t>
      </w:r>
      <w:r w:rsidR="005578D6" w:rsidRPr="00B62D30">
        <w:rPr>
          <w:lang w:val="en-US"/>
        </w:rPr>
        <w:t xml:space="preserve"> and SB20= Soil with 20</w:t>
      </w:r>
      <w:r w:rsidR="000A0D44">
        <w:rPr>
          <w:lang w:val="en-US"/>
        </w:rPr>
        <w:t xml:space="preserve"> </w:t>
      </w:r>
      <w:r w:rsidR="005578D6" w:rsidRPr="00B62D30">
        <w:rPr>
          <w:lang w:val="en-US"/>
        </w:rPr>
        <w:t>% Biochar</w:t>
      </w:r>
    </w:p>
    <w:p w14:paraId="305F01CD" w14:textId="77777777" w:rsidR="00415019" w:rsidRPr="00B62D30" w:rsidRDefault="00415019" w:rsidP="00C45C87">
      <w:pPr>
        <w:pStyle w:val="CETBodytext"/>
        <w:rPr>
          <w:lang w:val="en-US"/>
        </w:rPr>
      </w:pPr>
    </w:p>
    <w:p w14:paraId="4966449F" w14:textId="0EFD37C7" w:rsidR="002A0C99" w:rsidRPr="00311584" w:rsidRDefault="006D0748" w:rsidP="00C45C87">
      <w:pPr>
        <w:pStyle w:val="CETBodytext"/>
        <w:rPr>
          <w:lang w:val="en-US"/>
        </w:rPr>
      </w:pPr>
      <w:r w:rsidRPr="00B62D30">
        <w:rPr>
          <w:lang w:val="en-US"/>
        </w:rPr>
        <w:t xml:space="preserve">It is established that the greatest change occurred in the treatment with </w:t>
      </w:r>
      <w:r w:rsidR="000365EC" w:rsidRPr="00B62D30">
        <w:rPr>
          <w:lang w:val="en-US"/>
        </w:rPr>
        <w:t xml:space="preserve">20% biochar in 45 days. In the case of organic matter, it increased progressively due to the porous characteristic of </w:t>
      </w:r>
      <w:r w:rsidR="00F85BCC" w:rsidRPr="00B62D30">
        <w:rPr>
          <w:lang w:val="en-US"/>
        </w:rPr>
        <w:t>biochar</w:t>
      </w:r>
      <w:r w:rsidR="004231D1" w:rsidRPr="00B62D30">
        <w:rPr>
          <w:lang w:val="en-US"/>
        </w:rPr>
        <w:t xml:space="preserve">, with the proliferation of microbiota present in the soil. The increase in pH until reaching 7.17, greater nitrogen and phosphorus fixation up to 73.90 and 207.90 mg/kg respectively was due to </w:t>
      </w:r>
      <w:r w:rsidR="00BE6360" w:rsidRPr="00B62D30">
        <w:rPr>
          <w:lang w:val="en-US"/>
        </w:rPr>
        <w:t>biochar</w:t>
      </w:r>
      <w:r w:rsidR="00F05AA7" w:rsidRPr="00B62D30">
        <w:rPr>
          <w:lang w:val="en-US"/>
        </w:rPr>
        <w:t xml:space="preserve"> </w:t>
      </w:r>
      <w:r w:rsidR="00F05AA7">
        <w:rPr>
          <w:lang w:val="es-PE"/>
        </w:rPr>
        <w:fldChar w:fldCharType="begin" w:fldLock="1"/>
      </w:r>
      <w:r w:rsidR="00F05AA7" w:rsidRPr="00B62D30">
        <w:rPr>
          <w:lang w:val="en-US"/>
        </w:rPr>
        <w:instrText>ADDIN CSL_CITATION {"citationItems":[{"id":"ITEM-1","itemData":{"DOI":"10.3390/molecules26185584","ISSN":"14203049","PMID":"34577054","abstract":"In a time when climate change increases desertification and drought globally, novel and effective solutions are required in order to continue food production for the world’s increasing population. Synthetic fertilizers have been long used to improve the productivity of agricultural soils, part of which leaches into the environment and emits greenhouse gasses (GHG). Some fundamental challenges within agricultural practices include the improvement of water retention and microbiota in soils, as well as boosting the efficiency of fertilizers. Biochar is a nutrient rich material produced from biomass, gaining attention for soil amendment purposes, improving crop yields as well as for carbon sequestration. This study summarizes the potential benefits of biochar applications, placing emphasis on its application in the agricultural sector. It seems biochar used for soil amendment improves nutrient density of soils, water holding capacity, reduces fertilizer requirements, enhances soil microbiota, and increases crop yields. Additionally, biochar usage has many environmental benefits, economic benefits, and a potential role to play in carbon credit systems. Biochar (also known as biocarbon) may hold the answer to these fundamental requirements.","author":[{"dropping-particle":"","family":"Allohverdi","given":"Tara","non-dropping-particle":"","parse-names":false,"suffix":""},{"dropping-particle":"","family":"Mohanty","given":"Amar Kumar","non-dropping-particle":"","parse-names":false,"suffix":""},{"dropping-particle":"","family":"Roy","given":"Poritosh","non-dropping-particle":"","parse-names":false,"suffix":""},{"dropping-particle":"","family":"Misra","given":"Manjusri","non-dropping-particle":"","parse-names":false,"suffix":""}],"container-title":"Molecules","id":"ITEM-1","issue":"18","issued":{"date-parts":[["2021"]]},"title":"A review on current status of biochar uses in agriculture","type":"article-journal","volume":"26"},"uris":["http://www.mendeley.com/documents/?uuid=22eb42b7-c14f-413b-b211-6a0e041913c9"]}],"mendeley":{"formattedCitation":"(Allohverdi et al., 2021)","plainTextFormattedCitation":"(Allohverdi et al., 2021)","previouslyFormattedCitation":"(Allohverdi et al., 2021)"},"properties":{"noteIndex":0},"schema":"https://github.com/citation-style-language/schema/raw/master/csl-citation.json"}</w:instrText>
      </w:r>
      <w:r w:rsidR="00F05AA7">
        <w:rPr>
          <w:lang w:val="es-PE"/>
        </w:rPr>
        <w:fldChar w:fldCharType="separate"/>
      </w:r>
      <w:r w:rsidR="00F05AA7" w:rsidRPr="00B62D30">
        <w:rPr>
          <w:noProof/>
          <w:lang w:val="en-US"/>
        </w:rPr>
        <w:t>(Allohverdi et al., 2021)</w:t>
      </w:r>
      <w:r w:rsidR="00F05AA7">
        <w:rPr>
          <w:lang w:val="es-PE"/>
        </w:rPr>
        <w:fldChar w:fldCharType="end"/>
      </w:r>
      <w:r w:rsidR="00BE6360" w:rsidRPr="00B62D30">
        <w:rPr>
          <w:lang w:val="en-US"/>
        </w:rPr>
        <w:t xml:space="preserve">, the cation exchange capacity also shows a continuous increase until reaching 52.60 </w:t>
      </w:r>
      <w:proofErr w:type="spellStart"/>
      <w:r w:rsidR="009B1FDD" w:rsidRPr="00B62D30">
        <w:rPr>
          <w:lang w:val="en-US"/>
        </w:rPr>
        <w:t>meq</w:t>
      </w:r>
      <w:proofErr w:type="spellEnd"/>
      <w:r w:rsidR="009B1FDD" w:rsidRPr="00B62D30">
        <w:rPr>
          <w:lang w:val="en-US"/>
        </w:rPr>
        <w:t xml:space="preserve"> </w:t>
      </w:r>
      <w:r w:rsidR="00D26D29" w:rsidRPr="00B62D30">
        <w:rPr>
          <w:lang w:val="en-US"/>
        </w:rPr>
        <w:t>/100 g. All these values demonstrate that the soil is healthy and fertile</w:t>
      </w:r>
      <w:r w:rsidR="00A30DC0">
        <w:rPr>
          <w:lang w:val="en-US"/>
        </w:rPr>
        <w:t xml:space="preserve"> </w:t>
      </w:r>
      <w:r w:rsidR="00A30DC0">
        <w:rPr>
          <w:lang w:val="en-US"/>
        </w:rPr>
        <w:fldChar w:fldCharType="begin" w:fldLock="1"/>
      </w:r>
      <w:r w:rsidR="00657588">
        <w:rPr>
          <w:lang w:val="en-US"/>
        </w:rPr>
        <w:instrText>ADDIN CSL_CITATION {"citationItems":[{"id":"ITEM-1","itemData":{"author":[{"dropping-particle":"","family":"Freitez","given":"Norbelis","non-dropping-particle":"","parse-names":false,"suffix":""},{"dropping-particle":"","family":"Villanueva","given":"Samuel","non-dropping-particle":"","parse-names":false,"suffix":""}],"container-title":"Revista ciencia en revolución","id":"ITEM-1","issued":{"date-parts":[["2019"]]},"page":"97-100","title":"Dissemination article: Biocarbon, an alternative to contaminated soils","type":"article-journal","volume":"5"},"uris":["http://www.mendeley.com/documents/?uuid=3d557a8b-1215-4dc5-bbed-3726dd342412"]}],"mendeley":{"formattedCitation":"(Freitez &amp; Villanueva, 2019)","plainTextFormattedCitation":"(Freitez &amp; Villanueva, 2019)","previouslyFormattedCitation":"(Freitez &amp; Villanueva, 2019)"},"properties":{"noteIndex":0},"schema":"https://github.com/citation-style-language/schema/raw/master/csl-citation.json"}</w:instrText>
      </w:r>
      <w:r w:rsidR="00A30DC0">
        <w:rPr>
          <w:lang w:val="en-US"/>
        </w:rPr>
        <w:fldChar w:fldCharType="separate"/>
      </w:r>
      <w:r w:rsidR="00A30DC0" w:rsidRPr="00A30DC0">
        <w:rPr>
          <w:noProof/>
          <w:lang w:val="en-US"/>
        </w:rPr>
        <w:t>(Freitez &amp; Villanueva, 2019)</w:t>
      </w:r>
      <w:r w:rsidR="00A30DC0">
        <w:rPr>
          <w:lang w:val="en-US"/>
        </w:rPr>
        <w:fldChar w:fldCharType="end"/>
      </w:r>
      <w:r w:rsidR="00731AD9" w:rsidRPr="00B62D30">
        <w:rPr>
          <w:lang w:val="en-US"/>
        </w:rPr>
        <w:t xml:space="preserve">; Therefore, the incorporation of </w:t>
      </w:r>
      <w:r w:rsidR="00C45C87" w:rsidRPr="00B62D30">
        <w:rPr>
          <w:lang w:val="en-US"/>
        </w:rPr>
        <w:t>biochar into the soil can generate changes in physical and chemical properties (</w:t>
      </w:r>
      <w:r w:rsidR="00C45C87" w:rsidRPr="00B62D30">
        <w:rPr>
          <w:noProof/>
          <w:lang w:val="en-US"/>
        </w:rPr>
        <w:t xml:space="preserve">Puentes </w:t>
      </w:r>
      <w:r w:rsidR="00772E72">
        <w:rPr>
          <w:noProof/>
          <w:lang w:val="en-US"/>
        </w:rPr>
        <w:t>&amp;</w:t>
      </w:r>
      <w:r w:rsidR="00C45C87" w:rsidRPr="00B62D30">
        <w:rPr>
          <w:noProof/>
          <w:lang w:val="en-US"/>
        </w:rPr>
        <w:t xml:space="preserve"> Rodríguez, 2021)</w:t>
      </w:r>
      <w:r w:rsidR="00C45C87" w:rsidRPr="00B62D30">
        <w:rPr>
          <w:lang w:val="en-US"/>
        </w:rPr>
        <w:t xml:space="preserve">. Finally, the texture varies with a decrease in </w:t>
      </w:r>
      <w:r w:rsidR="001C5259" w:rsidRPr="00B62D30">
        <w:rPr>
          <w:lang w:val="en-US"/>
        </w:rPr>
        <w:t>sandiness and an increase in silt; However, more studies are still required to help conclude the benefits of biochar.</w:t>
      </w:r>
      <w:r w:rsidR="00B00D8E" w:rsidRPr="00B62D30">
        <w:rPr>
          <w:lang w:val="en-US"/>
        </w:rPr>
        <w:t xml:space="preserve"> </w:t>
      </w:r>
      <w:r w:rsidR="00685166">
        <w:rPr>
          <w:lang w:val="es-PE"/>
        </w:rPr>
        <w:fldChar w:fldCharType="begin" w:fldLock="1"/>
      </w:r>
      <w:r w:rsidR="00B56D08">
        <w:rPr>
          <w:lang w:val="en-US"/>
        </w:rPr>
        <w:instrText>ADDIN CSL_CITATION {"citationItems":[{"id":"ITEM-1","itemData":{"DOI":"10.57188/manglar.2023.012","ISBN":"0000000313049","ISSN":"18167667","abstract":"The indiscriminate use of chemicals has motivated this research. The objective was to compare the effects on the development of plant succession under microorganism and biochar management in sandy loam and clay loam textured soils. The research was carried out in two plots: plot one with sandy loam textured soil and plot two with clay loam textured soil. Three treatments and a control were established, 20 plants were selected for each one, the control (T0): 8 kg of silicon oxide at 75% + 1 l of biochar enriched with Trichoderma spp, treatment 1 (T1): 8 kg of 75% silicon oxide + 56 ml of Paecilomyces spp, treatment 2 (T2): 8 kg of 75% silicon oxide + 102 ml of Paecilomyces spp; and Treatment 3 (T3): 56 g of arbuscular Mycorrhiza. The highest value in plant height presented plot one (P1) with 3.22 m (T1), plant stem diameter presented P1 with 1.04 m (T1) and corm diameter in plot two with 1.18 m (T2). The results revealed that the treatments have a positive effect on the growth of the plants.","author":[{"dropping-particle":"","family":"Reyes Pallazhco","given":"Joseph Mark","non-dropping-particle":"","parse-names":false,"suffix":""},{"dropping-particle":"","family":"Leon Cabrera","given":"Paul","non-dropping-particle":"","parse-names":false,"suffix":""},{"dropping-particle":"","family":"Barrezueta Unda","given":"Salomon","non-dropping-particle":"","parse-names":false,"suffix":""}],"container-title":"Manglar","id":"ITEM-1","issue":"2","issued":{"date-parts":[["2023"]]},"page":"109-115","title":"Respuesta del cultivo de banano a diferentes proporciones de microorganismos y biochar en dos texturas de suelo","type":"article-journal","volume":"20"},"uris":["http://www.mendeley.com/documents/?uuid=0ea94c40-3876-41a7-b371-c35df4d91bf3"]}],"mendeley":{"formattedCitation":"(Reyes Pallazhco et al., 2023)","manualFormatting":"(Reyes Pallazhco et al., 2023). ","plainTextFormattedCitation":"(Reyes Pallazhco et al., 2023)","previouslyFormattedCitation":"(Reyes Pallazhco et al., 2023)"},"properties":{"noteIndex":0},"schema":"https://github.com/citation-style-language/schema/raw/master/csl-citation.json"}</w:instrText>
      </w:r>
      <w:r w:rsidR="00685166">
        <w:rPr>
          <w:lang w:val="es-PE"/>
        </w:rPr>
        <w:fldChar w:fldCharType="separate"/>
      </w:r>
      <w:r w:rsidR="00685166" w:rsidRPr="00311584">
        <w:rPr>
          <w:noProof/>
          <w:lang w:val="en-US"/>
        </w:rPr>
        <w:t>(Reyes Pallazhco et al., 2023)</w:t>
      </w:r>
      <w:r w:rsidR="00B56D08" w:rsidRPr="00311584">
        <w:rPr>
          <w:noProof/>
          <w:lang w:val="en-US"/>
        </w:rPr>
        <w:t>.</w:t>
      </w:r>
      <w:r w:rsidR="00685166" w:rsidRPr="00311584">
        <w:rPr>
          <w:noProof/>
          <w:lang w:val="en-US"/>
        </w:rPr>
        <w:t xml:space="preserve"> </w:t>
      </w:r>
      <w:r w:rsidR="00685166">
        <w:rPr>
          <w:lang w:val="es-PE"/>
        </w:rPr>
        <w:fldChar w:fldCharType="end"/>
      </w:r>
    </w:p>
    <w:p w14:paraId="2DB3F673" w14:textId="77777777" w:rsidR="007B4222" w:rsidRPr="00311584" w:rsidRDefault="007B4222" w:rsidP="00C45C87">
      <w:pPr>
        <w:pStyle w:val="CETBodytext"/>
        <w:rPr>
          <w:lang w:val="en-US"/>
        </w:rPr>
      </w:pPr>
    </w:p>
    <w:p w14:paraId="322EE7B2" w14:textId="735ED4A9" w:rsidR="007B4222" w:rsidRPr="009A4FBF" w:rsidRDefault="009A4FBF" w:rsidP="00C45C87">
      <w:pPr>
        <w:pStyle w:val="CETBodytext"/>
        <w:rPr>
          <w:lang w:val="en-US"/>
        </w:rPr>
      </w:pPr>
      <w:r w:rsidRPr="009A4FBF">
        <w:rPr>
          <w:lang w:val="en-US"/>
        </w:rPr>
        <w:t>Bioc</w:t>
      </w:r>
      <w:r w:rsidR="000A0D44">
        <w:rPr>
          <w:lang w:val="en-US"/>
        </w:rPr>
        <w:t>har</w:t>
      </w:r>
      <w:r w:rsidRPr="009A4FBF">
        <w:rPr>
          <w:lang w:val="en-US"/>
        </w:rPr>
        <w:t xml:space="preserve"> turns out to have an advantage due to its molecular structure and physical architecture when applied to soil, the high pyrolysis temperature allows generating a very effective bioc</w:t>
      </w:r>
      <w:r w:rsidR="000A0D44">
        <w:rPr>
          <w:lang w:val="en-US"/>
        </w:rPr>
        <w:t>har</w:t>
      </w:r>
      <w:r w:rsidRPr="009A4FBF">
        <w:rPr>
          <w:lang w:val="en-US"/>
        </w:rPr>
        <w:t xml:space="preserve"> for the absorption of organic contaminants by increasing the surface area, hydrophobicity and microporosity</w:t>
      </w:r>
      <w:r w:rsidR="00DA6F19">
        <w:rPr>
          <w:lang w:val="en-US"/>
        </w:rPr>
        <w:t xml:space="preserve"> </w:t>
      </w:r>
      <w:r w:rsidR="007A2C09">
        <w:rPr>
          <w:lang w:val="en-US"/>
        </w:rPr>
        <w:fldChar w:fldCharType="begin" w:fldLock="1"/>
      </w:r>
      <w:r w:rsidR="00DA6F19">
        <w:rPr>
          <w:lang w:val="en-US"/>
        </w:rPr>
        <w:instrText>ADDIN CSL_CITATION {"citationItems":[{"id":"ITEM-1","itemData":{"DOI":"10.1007/s42773-022-00146-1","ISBN":"0123456789","ISSN":"25247867","abstract":"Biochar shows significant potential to serve as a globally applicable material to remediate water and soil owing to the extensive availability of feedstocks and conducive physio-chemical surface characteristics. This review aims to highlight biochar production technologies, characteristics of biochar, and the latest advancements in immobilizing and eliminating heavy metal ions and organic pollutants in soil and water. Pyrolysis temperature, heat transfer rate, residence time, and type of feedstock are critical influential parameters. Biochar’s efficacy in managing contaminants relies on the pore size distribution, surface groups, and ion-exchange capacity. The molecular composition and physical architecture of biochar may be crucial when practically applied to water and soil. In general, biochar produced at relatively high pyrolysis temperatures can effectively manage organic pollutants via increasing surface area, hydrophobicity and microporosity. Biochar generated at lower temperatures is deemed to be more suitable for removing polar organic and inorganic pollutants through oxygen-containing functional groups, precipitation and electrostatic attraction. This review also presents the existing obstacles and future research direction related to biochar-based materials in immobilizing organic contaminants and heavy metal ions in effluents and soil. Graphical Abstract: [Figure not available: see fulltext.].","author":[{"dropping-particle":"","family":"Qiu","given":"Muqing","non-dropping-particle":"","parse-names":false,"suffix":""},{"dropping-particle":"","family":"Liu","given":"Lijie","non-dropping-particle":"","parse-names":false,"suffix":""},{"dropping-particle":"","family":"Ling","given":"Qian","non-dropping-particle":"","parse-names":false,"suffix":""},{"dropping-particle":"","family":"Cai","given":"Yawen","non-dropping-particle":"","parse-names":false,"suffix":""},{"dropping-particle":"","family":"Yu","given":"Shujun","non-dropping-particle":"","parse-names":false,"suffix":""},{"dropping-particle":"","family":"Wang","given":"Shuqin","non-dropping-particle":"","parse-names":false,"suffix":""},{"dropping-particle":"","family":"Fu","given":"Dong","non-dropping-particle":"","parse-names":false,"suffix":""},{"dropping-particle":"","family":"Hu","given":"Baowei","non-dropping-particle":"","parse-names":false,"suffix":""},{"dropping-particle":"","family":"Wang","given":"Xiangke","non-dropping-particle":"","parse-names":false,"suffix":""}],"container-title":"Biochar","id":"ITEM-1","issue":"1","issued":{"date-parts":[["2022"]]},"page":"1-25","publisher":"Springer Singapore","title":"Biochar for the removal of contaminants from soil and water: a review","type":"article-journal","volume":"4"},"uris":["http://www.mendeley.com/documents/?uuid=40aef335-c1d8-4761-9ab5-a89c87ea91a4"]}],"mendeley":{"formattedCitation":"(Qiu et al., 2022)","plainTextFormattedCitation":"(Qiu et al., 2022)","previouslyFormattedCitation":"(Qiu et al., 2022)"},"properties":{"noteIndex":0},"schema":"https://github.com/citation-style-language/schema/raw/master/csl-citation.json"}</w:instrText>
      </w:r>
      <w:r w:rsidR="007A2C09">
        <w:rPr>
          <w:lang w:val="en-US"/>
        </w:rPr>
        <w:fldChar w:fldCharType="separate"/>
      </w:r>
      <w:r w:rsidR="007A2C09" w:rsidRPr="007A2C09">
        <w:rPr>
          <w:noProof/>
          <w:lang w:val="en-US"/>
        </w:rPr>
        <w:t>(Qiu et al., 2022)</w:t>
      </w:r>
      <w:r w:rsidR="007A2C09">
        <w:rPr>
          <w:lang w:val="en-US"/>
        </w:rPr>
        <w:fldChar w:fldCharType="end"/>
      </w:r>
      <w:r w:rsidRPr="009A4FBF">
        <w:rPr>
          <w:lang w:val="en-US"/>
        </w:rPr>
        <w:t>.</w:t>
      </w:r>
    </w:p>
    <w:p w14:paraId="68D26B83" w14:textId="77777777" w:rsidR="00600535" w:rsidRPr="00B57B36" w:rsidRDefault="00600535" w:rsidP="00600535">
      <w:pPr>
        <w:pStyle w:val="CETHeading1"/>
        <w:rPr>
          <w:lang w:val="en-GB"/>
        </w:rPr>
      </w:pPr>
      <w:r w:rsidRPr="00B57B36">
        <w:rPr>
          <w:lang w:val="en-GB"/>
        </w:rPr>
        <w:t>Conclusions</w:t>
      </w:r>
    </w:p>
    <w:p w14:paraId="6B736956" w14:textId="0CE1956E" w:rsidR="00600535" w:rsidRPr="00B62D30" w:rsidRDefault="00584119" w:rsidP="00600535">
      <w:pPr>
        <w:pStyle w:val="CETBodytext"/>
        <w:rPr>
          <w:lang w:val="en-US"/>
        </w:rPr>
      </w:pPr>
      <w:r w:rsidRPr="00584119">
        <w:rPr>
          <w:lang w:val="en-US"/>
        </w:rPr>
        <w:t>The biochar obtained from the residual sludge can reduce, significantly, the hydrocarbon concentration by 99.99% in the light fraction (C6-C10), 54.59</w:t>
      </w:r>
      <w:r w:rsidR="000A0D44">
        <w:rPr>
          <w:lang w:val="en-US"/>
        </w:rPr>
        <w:t xml:space="preserve"> </w:t>
      </w:r>
      <w:r w:rsidRPr="00584119">
        <w:rPr>
          <w:lang w:val="en-US"/>
        </w:rPr>
        <w:t>% in the medium fraction (&gt; C10 – C28), and 54.92</w:t>
      </w:r>
      <w:r w:rsidR="000A0D44">
        <w:rPr>
          <w:lang w:val="en-US"/>
        </w:rPr>
        <w:t xml:space="preserve"> </w:t>
      </w:r>
      <w:r w:rsidRPr="00584119">
        <w:rPr>
          <w:lang w:val="en-US"/>
        </w:rPr>
        <w:t>% in the heavy fraction (&gt; C 28 – C40), obtaining great efficiency that allows compliance with soil environmental quality standards. Likewise, it improves the physicochemical properties, such as the impact of the presence of biochar by giving it porosity, increasing the percentage of organic matter, and stabilizing the pH around 7.17. In addition, increase nitrogen, phosphorus, and cation exchange. Therefore, the use of biochar obtained under the concept of circular economy constitutes an environmentally sustainable method for treating soils contaminated by hydrocarbons</w:t>
      </w:r>
      <w:r w:rsidR="006D0748" w:rsidRPr="00B62D30">
        <w:rPr>
          <w:lang w:val="en-US"/>
        </w:rPr>
        <w:t>.</w:t>
      </w:r>
    </w:p>
    <w:p w14:paraId="459D05E6" w14:textId="77777777" w:rsidR="00600535" w:rsidRPr="00CB1B2B" w:rsidRDefault="00600535" w:rsidP="00600535">
      <w:pPr>
        <w:pStyle w:val="CETAcknowledgementstitle"/>
        <w:rPr>
          <w:lang w:val="en-US"/>
        </w:rPr>
      </w:pPr>
      <w:r w:rsidRPr="00CB1B2B">
        <w:rPr>
          <w:lang w:val="en-US"/>
        </w:rPr>
        <w:t>Acknowledgments</w:t>
      </w:r>
    </w:p>
    <w:p w14:paraId="33F8138F" w14:textId="2DFE026A" w:rsidR="00600535" w:rsidRPr="00B57B36" w:rsidRDefault="00B56D08" w:rsidP="00600535">
      <w:pPr>
        <w:pStyle w:val="CETBodytext"/>
        <w:rPr>
          <w:lang w:val="en-GB"/>
        </w:rPr>
      </w:pPr>
      <w:r w:rsidRPr="008507A7">
        <w:rPr>
          <w:lang w:val="en-GB"/>
        </w:rPr>
        <w:t>The authors</w:t>
      </w:r>
      <w:r>
        <w:rPr>
          <w:lang w:val="en-GB"/>
        </w:rPr>
        <w:t xml:space="preserve"> and </w:t>
      </w:r>
      <w:r w:rsidR="000A0D44">
        <w:rPr>
          <w:lang w:val="en-GB"/>
        </w:rPr>
        <w:t xml:space="preserve">the </w:t>
      </w:r>
      <w:r>
        <w:rPr>
          <w:lang w:val="en-GB"/>
        </w:rPr>
        <w:t>GIGATRE</w:t>
      </w:r>
      <w:r w:rsidRPr="008507A7">
        <w:rPr>
          <w:lang w:val="en-GB"/>
        </w:rPr>
        <w:t xml:space="preserve"> thank </w:t>
      </w:r>
      <w:r>
        <w:rPr>
          <w:lang w:val="en-GB"/>
        </w:rPr>
        <w:t>“</w:t>
      </w:r>
      <w:r w:rsidRPr="008507A7">
        <w:rPr>
          <w:lang w:val="en-GB"/>
        </w:rPr>
        <w:t>Investiga UCV</w:t>
      </w:r>
      <w:r>
        <w:rPr>
          <w:lang w:val="en-GB"/>
        </w:rPr>
        <w:t>”</w:t>
      </w:r>
      <w:r w:rsidRPr="008507A7">
        <w:rPr>
          <w:lang w:val="en-GB"/>
        </w:rPr>
        <w:t xml:space="preserve"> of the César Vallejo University for the financial support for the publication of this research.</w:t>
      </w:r>
    </w:p>
    <w:p w14:paraId="6F4A64C5" w14:textId="77777777" w:rsidR="00B811FC" w:rsidRDefault="00B811FC" w:rsidP="00600535">
      <w:pPr>
        <w:pStyle w:val="CETReference"/>
        <w:rPr>
          <w:lang w:val="en-US"/>
        </w:rPr>
      </w:pPr>
    </w:p>
    <w:p w14:paraId="4F1327F8" w14:textId="100A1EC0" w:rsidR="00600535" w:rsidRDefault="00600535" w:rsidP="00600535">
      <w:pPr>
        <w:pStyle w:val="CETReference"/>
        <w:rPr>
          <w:lang w:val="en-US"/>
        </w:rPr>
      </w:pPr>
      <w:r w:rsidRPr="00B62D30">
        <w:rPr>
          <w:lang w:val="en-US"/>
        </w:rPr>
        <w:lastRenderedPageBreak/>
        <w:t>References</w:t>
      </w:r>
    </w:p>
    <w:p w14:paraId="1875E522" w14:textId="77777777" w:rsidR="00B5661E" w:rsidRPr="00843C8E" w:rsidRDefault="00B5661E" w:rsidP="00B5661E">
      <w:pPr>
        <w:widowControl w:val="0"/>
        <w:autoSpaceDE w:val="0"/>
        <w:autoSpaceDN w:val="0"/>
        <w:adjustRightInd w:val="0"/>
        <w:spacing w:line="240" w:lineRule="auto"/>
        <w:ind w:left="480" w:hanging="480"/>
        <w:rPr>
          <w:rFonts w:cs="Arial"/>
          <w:noProof/>
          <w:lang w:val="en-US"/>
        </w:rPr>
      </w:pPr>
      <w:r w:rsidRPr="00B74243">
        <w:rPr>
          <w:rFonts w:cs="Arial"/>
          <w:noProof/>
        </w:rPr>
        <w:t xml:space="preserve">Allohverdi T., Mohanty A., Roy P., and Misra M., 2021, A review on current status of biochar uses in agriculture. </w:t>
      </w:r>
      <w:r w:rsidRPr="00843C8E">
        <w:rPr>
          <w:rFonts w:cs="Arial"/>
          <w:noProof/>
          <w:lang w:val="en-US"/>
        </w:rPr>
        <w:t xml:space="preserve">Molecules, 26(18). &lt;doi.org/10.3390/molecules26185584&gt; </w:t>
      </w:r>
      <w:r w:rsidRPr="00843C8E">
        <w:rPr>
          <w:lang w:val="en-US"/>
        </w:rPr>
        <w:t>accessed 11.01.2024.</w:t>
      </w:r>
      <w:r w:rsidRPr="00843C8E">
        <w:rPr>
          <w:rFonts w:cs="Arial"/>
          <w:noProof/>
          <w:lang w:val="en-US"/>
        </w:rPr>
        <w:t xml:space="preserve"> </w:t>
      </w:r>
    </w:p>
    <w:p w14:paraId="7DE417DF"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B74243">
        <w:rPr>
          <w:rFonts w:cs="Arial"/>
          <w:noProof/>
          <w:lang w:val="en-US"/>
        </w:rPr>
        <w:t xml:space="preserve">Aponte H., Torrejón-Magallanes J., and Pérez A., 2022, Black Tide in Peru: Comments on an oil spill in the South American Pacific. </w:t>
      </w:r>
      <w:r w:rsidRPr="00B74243">
        <w:rPr>
          <w:rFonts w:cs="Arial"/>
          <w:noProof/>
        </w:rPr>
        <w:t xml:space="preserve">South Sustainability, 3, 3. &lt;doi.org/10.21142/ss-0301-2022-e044˃ </w:t>
      </w:r>
      <w:r w:rsidRPr="00B74243">
        <w:t>accessed 06.01.2024.</w:t>
      </w:r>
    </w:p>
    <w:p w14:paraId="3274D401"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B74243">
        <w:rPr>
          <w:rFonts w:cs="Arial"/>
          <w:noProof/>
        </w:rPr>
        <w:t xml:space="preserve">Benítez L., Miranda L., and Castro., C., 2022, Phytoremediation to Remove Pollutants from Water, Leachates and Soils. Chemical Engineering Transactions, 92(April), 553–558. &lt;doi.org/10.3303/CET2292093&gt; </w:t>
      </w:r>
      <w:r w:rsidRPr="00B74243">
        <w:t>accessed 07.01.2024.</w:t>
      </w:r>
    </w:p>
    <w:p w14:paraId="46F5E5EE" w14:textId="77777777" w:rsidR="00B5661E" w:rsidRPr="00843C8E" w:rsidRDefault="00B5661E" w:rsidP="00B5661E">
      <w:pPr>
        <w:widowControl w:val="0"/>
        <w:autoSpaceDE w:val="0"/>
        <w:autoSpaceDN w:val="0"/>
        <w:adjustRightInd w:val="0"/>
        <w:spacing w:line="240" w:lineRule="auto"/>
        <w:ind w:left="480" w:hanging="480"/>
        <w:rPr>
          <w:rFonts w:cs="Arial"/>
          <w:noProof/>
          <w:lang w:val="en-US"/>
        </w:rPr>
      </w:pPr>
      <w:r w:rsidRPr="00B74243">
        <w:rPr>
          <w:rFonts w:cs="Arial"/>
          <w:noProof/>
        </w:rPr>
        <w:t xml:space="preserve">Carlini C., Chaudhuri S., Mann O., Tomsik D., Hüffer T., Greggio N., Marazza D., Hofmann T., and Sigmund G.,  2023, Benchmarking biochar with activated carbon for immobilizing leachable PAH and heterocyclic PAH in contaminated soils. </w:t>
      </w:r>
      <w:r w:rsidRPr="00843C8E">
        <w:rPr>
          <w:rFonts w:cs="Arial"/>
          <w:noProof/>
          <w:lang w:val="en-US"/>
        </w:rPr>
        <w:t xml:space="preserve">Environmental Pollution, 325(December 2022), 121417. &lt;doi.org/10.1016/j.envpol.2023.121417˃ </w:t>
      </w:r>
      <w:r w:rsidRPr="00843C8E">
        <w:rPr>
          <w:lang w:val="en-US"/>
        </w:rPr>
        <w:t>accessed 09.01.2024.</w:t>
      </w:r>
    </w:p>
    <w:p w14:paraId="6282C4CF" w14:textId="77777777" w:rsidR="00B5661E" w:rsidRPr="00B74243" w:rsidRDefault="00B5661E" w:rsidP="00B5661E">
      <w:pPr>
        <w:widowControl w:val="0"/>
        <w:autoSpaceDE w:val="0"/>
        <w:autoSpaceDN w:val="0"/>
        <w:adjustRightInd w:val="0"/>
        <w:spacing w:line="240" w:lineRule="auto"/>
        <w:ind w:left="480" w:hanging="480"/>
        <w:rPr>
          <w:rFonts w:cs="Arial"/>
          <w:noProof/>
          <w:lang w:val="en-US"/>
        </w:rPr>
      </w:pPr>
      <w:r w:rsidRPr="00B74243">
        <w:rPr>
          <w:rFonts w:cs="Arial"/>
          <w:noProof/>
          <w:lang w:val="en-US"/>
        </w:rPr>
        <w:t>Condeña Naventa, E., 2017, Recovery of soil contaminated with lead through the use of biochar from sugarcane bagasse in the Chota Park of the AA.HH Ramón Castilla – Callao 2017, Bachelor's Thesis, Universidad César Vallejo, Lima, Perú.</w:t>
      </w:r>
    </w:p>
    <w:p w14:paraId="4DC521E0" w14:textId="77777777" w:rsidR="00B5661E" w:rsidRPr="0003580D" w:rsidRDefault="00B5661E" w:rsidP="00B5661E">
      <w:pPr>
        <w:widowControl w:val="0"/>
        <w:autoSpaceDE w:val="0"/>
        <w:autoSpaceDN w:val="0"/>
        <w:adjustRightInd w:val="0"/>
        <w:spacing w:line="240" w:lineRule="auto"/>
        <w:ind w:left="480" w:hanging="480"/>
        <w:rPr>
          <w:rFonts w:cs="Arial"/>
          <w:noProof/>
          <w:lang w:val="en-US"/>
        </w:rPr>
      </w:pPr>
      <w:r w:rsidRPr="0003580D">
        <w:rPr>
          <w:rFonts w:cs="Arial"/>
          <w:noProof/>
          <w:lang w:val="en-US"/>
        </w:rPr>
        <w:t>Defensoría del Pueblo, 2023, Oil spill in Ventanilla: One year report on the environmental and social disaster on our coast</w:t>
      </w:r>
      <w:r>
        <w:rPr>
          <w:rFonts w:cs="Arial"/>
          <w:noProof/>
          <w:lang w:val="en-US"/>
        </w:rPr>
        <w:t xml:space="preserve"> (</w:t>
      </w:r>
      <w:r w:rsidRPr="0002692C">
        <w:rPr>
          <w:rFonts w:cs="Arial"/>
          <w:noProof/>
          <w:lang w:val="en-US"/>
        </w:rPr>
        <w:t>Spanish</w:t>
      </w:r>
      <w:r>
        <w:rPr>
          <w:rFonts w:cs="Arial"/>
          <w:noProof/>
          <w:lang w:val="en-US"/>
        </w:rPr>
        <w:t>)</w:t>
      </w:r>
      <w:r w:rsidRPr="0003580D">
        <w:rPr>
          <w:rFonts w:cs="Arial"/>
          <w:noProof/>
          <w:lang w:val="en-US"/>
        </w:rPr>
        <w:t>.</w:t>
      </w:r>
    </w:p>
    <w:p w14:paraId="1EB15EB3"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307DED">
        <w:rPr>
          <w:rFonts w:cs="Arial"/>
          <w:noProof/>
          <w:lang w:val="en-US"/>
        </w:rPr>
        <w:t xml:space="preserve">Freitez N., and Villanueva S., 2019, </w:t>
      </w:r>
      <w:r w:rsidRPr="00B74243">
        <w:rPr>
          <w:rFonts w:cs="Arial"/>
          <w:noProof/>
        </w:rPr>
        <w:t xml:space="preserve">Dissemination article: Biocarbon, an alternative to contaminated soils. </w:t>
      </w:r>
      <w:r w:rsidRPr="00FA433A">
        <w:rPr>
          <w:rFonts w:cs="Arial"/>
          <w:noProof/>
        </w:rPr>
        <w:t>Science in Revolution Magazine, 5, 97–100</w:t>
      </w:r>
      <w:r>
        <w:rPr>
          <w:rFonts w:cs="Arial"/>
          <w:noProof/>
        </w:rPr>
        <w:t xml:space="preserve"> </w:t>
      </w:r>
      <w:r>
        <w:rPr>
          <w:rFonts w:cs="Arial"/>
          <w:noProof/>
          <w:lang w:val="en-US"/>
        </w:rPr>
        <w:t>(</w:t>
      </w:r>
      <w:r w:rsidRPr="0002692C">
        <w:rPr>
          <w:rFonts w:cs="Arial"/>
          <w:noProof/>
          <w:lang w:val="en-US"/>
        </w:rPr>
        <w:t>Spanish</w:t>
      </w:r>
      <w:r>
        <w:rPr>
          <w:rFonts w:cs="Arial"/>
          <w:noProof/>
          <w:lang w:val="en-US"/>
        </w:rPr>
        <w:t>)</w:t>
      </w:r>
      <w:r w:rsidRPr="00B74243">
        <w:rPr>
          <w:rFonts w:cs="Arial"/>
          <w:noProof/>
        </w:rPr>
        <w:t>.</w:t>
      </w:r>
    </w:p>
    <w:p w14:paraId="158AC814"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B74243">
        <w:rPr>
          <w:rFonts w:cs="Arial"/>
          <w:noProof/>
        </w:rPr>
        <w:t xml:space="preserve">Grifoni M., Pedron F., Franchi E., Fusini D., Reverberi A., </w:t>
      </w:r>
      <w:r>
        <w:rPr>
          <w:rFonts w:cs="Arial"/>
          <w:noProof/>
        </w:rPr>
        <w:t>and</w:t>
      </w:r>
      <w:r w:rsidRPr="00B74243">
        <w:rPr>
          <w:rFonts w:cs="Arial"/>
          <w:noProof/>
        </w:rPr>
        <w:t xml:space="preserve"> Vocciante M., 2022, Green Remediation for the Sustainable Management of Oil Spills in Agricultural Areas. Chemical Engineering Transactions, 94(April), 829–834. &lt;doi.org/10.3303/CET2294138&gt; </w:t>
      </w:r>
      <w:r w:rsidRPr="00B74243">
        <w:t>accessed 07.01.2024.</w:t>
      </w:r>
    </w:p>
    <w:p w14:paraId="082A72F2"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B74243">
        <w:rPr>
          <w:rFonts w:cs="Arial"/>
          <w:noProof/>
        </w:rPr>
        <w:t xml:space="preserve">Gul S., Whalen J. K., Thomas B. W., Sachdeva V., </w:t>
      </w:r>
      <w:r>
        <w:rPr>
          <w:rFonts w:cs="Arial"/>
          <w:noProof/>
        </w:rPr>
        <w:t>and</w:t>
      </w:r>
      <w:r w:rsidRPr="00B74243">
        <w:rPr>
          <w:rFonts w:cs="Arial"/>
          <w:noProof/>
        </w:rPr>
        <w:t xml:space="preserve"> Deng H., 2015, Physico-chemical properties and microbial responses in biochar-amended soils: Mechanisms and future directions. Agriculture, Ecosystems and Environment, 206, 46–59. &lt;doi.org/10.1016/j.agee.2015.03.015˃ </w:t>
      </w:r>
      <w:r w:rsidRPr="00B74243">
        <w:t>accessed 11.01.2024.</w:t>
      </w:r>
    </w:p>
    <w:p w14:paraId="5F8872EC"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B74243">
        <w:rPr>
          <w:rFonts w:cs="Arial"/>
          <w:noProof/>
        </w:rPr>
        <w:t xml:space="preserve">International Tanker Owners Pollution Federation., 2023, Oil Tanker Spill Statistics 2022 (p. 20). </w:t>
      </w:r>
    </w:p>
    <w:p w14:paraId="10ADACBE" w14:textId="77777777" w:rsidR="00B5661E" w:rsidRDefault="00B5661E" w:rsidP="00B5661E">
      <w:pPr>
        <w:widowControl w:val="0"/>
        <w:autoSpaceDE w:val="0"/>
        <w:autoSpaceDN w:val="0"/>
        <w:adjustRightInd w:val="0"/>
        <w:spacing w:line="240" w:lineRule="auto"/>
        <w:ind w:left="480" w:hanging="480"/>
        <w:rPr>
          <w:rFonts w:cs="Arial"/>
          <w:noProof/>
        </w:rPr>
      </w:pPr>
      <w:r w:rsidRPr="00DA6F19">
        <w:rPr>
          <w:rFonts w:cs="Arial"/>
          <w:noProof/>
        </w:rPr>
        <w:t>Isaeva</w:t>
      </w:r>
      <w:r>
        <w:rPr>
          <w:rFonts w:cs="Arial"/>
          <w:noProof/>
        </w:rPr>
        <w:t xml:space="preserve"> </w:t>
      </w:r>
      <w:r w:rsidRPr="00DA6F19">
        <w:rPr>
          <w:rFonts w:cs="Arial"/>
          <w:noProof/>
        </w:rPr>
        <w:t>V. I., Vedenyapina</w:t>
      </w:r>
      <w:r>
        <w:rPr>
          <w:rFonts w:cs="Arial"/>
          <w:noProof/>
        </w:rPr>
        <w:t xml:space="preserve"> </w:t>
      </w:r>
      <w:r w:rsidRPr="00DA6F19">
        <w:rPr>
          <w:rFonts w:cs="Arial"/>
          <w:noProof/>
        </w:rPr>
        <w:t>M. D., Kurmysheva</w:t>
      </w:r>
      <w:r>
        <w:rPr>
          <w:rFonts w:cs="Arial"/>
          <w:noProof/>
        </w:rPr>
        <w:t xml:space="preserve"> </w:t>
      </w:r>
      <w:r w:rsidRPr="00DA6F19">
        <w:rPr>
          <w:rFonts w:cs="Arial"/>
          <w:noProof/>
        </w:rPr>
        <w:t>A. Y., Weichgrebe</w:t>
      </w:r>
      <w:r>
        <w:rPr>
          <w:rFonts w:cs="Arial"/>
          <w:noProof/>
        </w:rPr>
        <w:t xml:space="preserve"> </w:t>
      </w:r>
      <w:r w:rsidRPr="00DA6F19">
        <w:rPr>
          <w:rFonts w:cs="Arial"/>
          <w:noProof/>
        </w:rPr>
        <w:t>D., Nair</w:t>
      </w:r>
      <w:r>
        <w:rPr>
          <w:rFonts w:cs="Arial"/>
          <w:noProof/>
        </w:rPr>
        <w:t xml:space="preserve"> </w:t>
      </w:r>
      <w:r w:rsidRPr="00DA6F19">
        <w:rPr>
          <w:rFonts w:cs="Arial"/>
          <w:noProof/>
        </w:rPr>
        <w:t>R. R., Nguyen</w:t>
      </w:r>
      <w:r>
        <w:rPr>
          <w:rFonts w:cs="Arial"/>
          <w:noProof/>
        </w:rPr>
        <w:t xml:space="preserve"> </w:t>
      </w:r>
      <w:r w:rsidRPr="00DA6F19">
        <w:rPr>
          <w:rFonts w:cs="Arial"/>
          <w:noProof/>
        </w:rPr>
        <w:t xml:space="preserve">N. P. T., </w:t>
      </w:r>
      <w:r>
        <w:rPr>
          <w:rFonts w:cs="Arial"/>
          <w:noProof/>
        </w:rPr>
        <w:t xml:space="preserve">and </w:t>
      </w:r>
      <w:r w:rsidRPr="00DA6F19">
        <w:rPr>
          <w:rFonts w:cs="Arial"/>
          <w:noProof/>
        </w:rPr>
        <w:t>Kustov</w:t>
      </w:r>
      <w:r>
        <w:rPr>
          <w:rFonts w:cs="Arial"/>
          <w:noProof/>
        </w:rPr>
        <w:t xml:space="preserve"> </w:t>
      </w:r>
      <w:r w:rsidRPr="00DA6F19">
        <w:rPr>
          <w:rFonts w:cs="Arial"/>
          <w:noProof/>
        </w:rPr>
        <w:t>L. M.</w:t>
      </w:r>
      <w:r>
        <w:rPr>
          <w:rFonts w:cs="Arial"/>
          <w:noProof/>
        </w:rPr>
        <w:t xml:space="preserve">, </w:t>
      </w:r>
      <w:r w:rsidRPr="00DA6F19">
        <w:rPr>
          <w:rFonts w:cs="Arial"/>
          <w:noProof/>
        </w:rPr>
        <w:t>2021</w:t>
      </w:r>
      <w:r>
        <w:rPr>
          <w:rFonts w:cs="Arial"/>
          <w:noProof/>
        </w:rPr>
        <w:t xml:space="preserve">, </w:t>
      </w:r>
      <w:r w:rsidRPr="00DA6F19">
        <w:rPr>
          <w:rFonts w:cs="Arial"/>
          <w:noProof/>
        </w:rPr>
        <w:t xml:space="preserve">Modern carbon–based materials for adsorptive removal of organic and inorganic pollutants from water and wastewater. </w:t>
      </w:r>
      <w:r w:rsidRPr="00DA6F19">
        <w:rPr>
          <w:rFonts w:cs="Arial"/>
          <w:i/>
          <w:iCs/>
          <w:noProof/>
        </w:rPr>
        <w:t>Molecules</w:t>
      </w:r>
      <w:r w:rsidRPr="00DA6F19">
        <w:rPr>
          <w:rFonts w:cs="Arial"/>
          <w:noProof/>
        </w:rPr>
        <w:t xml:space="preserve">, </w:t>
      </w:r>
      <w:r w:rsidRPr="00DA6F19">
        <w:rPr>
          <w:rFonts w:cs="Arial"/>
          <w:i/>
          <w:iCs/>
          <w:noProof/>
        </w:rPr>
        <w:t>26</w:t>
      </w:r>
      <w:r w:rsidRPr="00DA6F19">
        <w:rPr>
          <w:rFonts w:cs="Arial"/>
          <w:noProof/>
        </w:rPr>
        <w:t xml:space="preserve">(21), 1–95. </w:t>
      </w:r>
      <w:r>
        <w:rPr>
          <w:rFonts w:cs="Arial"/>
          <w:noProof/>
        </w:rPr>
        <w:t>&lt;</w:t>
      </w:r>
      <w:r w:rsidRPr="00DA6F19">
        <w:rPr>
          <w:rFonts w:cs="Arial"/>
          <w:noProof/>
        </w:rPr>
        <w:t>doi.org/10.3390/molecules26216628</w:t>
      </w:r>
      <w:r>
        <w:rPr>
          <w:rFonts w:cs="Arial"/>
          <w:noProof/>
        </w:rPr>
        <w:sym w:font="Symbol" w:char="F03E"/>
      </w:r>
      <w:r>
        <w:rPr>
          <w:rFonts w:cs="Arial"/>
          <w:noProof/>
        </w:rPr>
        <w:t xml:space="preserve"> </w:t>
      </w:r>
      <w:r w:rsidRPr="00B74243">
        <w:t>accessed 0</w:t>
      </w:r>
      <w:r>
        <w:t>4</w:t>
      </w:r>
      <w:r w:rsidRPr="00B74243">
        <w:t>.0</w:t>
      </w:r>
      <w:r>
        <w:t>3</w:t>
      </w:r>
      <w:r w:rsidRPr="00B74243">
        <w:t>.2024.</w:t>
      </w:r>
    </w:p>
    <w:p w14:paraId="71C8A2CD"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B74243">
        <w:rPr>
          <w:rFonts w:cs="Arial"/>
          <w:noProof/>
        </w:rPr>
        <w:t xml:space="preserve">Lin H., Yang Y., Shang Z., Li Q., Niu X., Ma Y., </w:t>
      </w:r>
      <w:r>
        <w:rPr>
          <w:rFonts w:cs="Arial"/>
          <w:noProof/>
        </w:rPr>
        <w:t xml:space="preserve">and </w:t>
      </w:r>
      <w:r w:rsidRPr="00B74243">
        <w:rPr>
          <w:rFonts w:cs="Arial"/>
          <w:noProof/>
        </w:rPr>
        <w:t xml:space="preserve">Liu A., 2022, Study on the Enhanced Remediation of Petroleum-Contaminated Soil by Biochar/g-C3N4 Composites. International Journal of Environmental Research and Public Health, 19(14). &lt;doi.org/10.3390/ijerph19148290˃ </w:t>
      </w:r>
      <w:r w:rsidRPr="00B74243">
        <w:t>accessed 09.01.2024.</w:t>
      </w:r>
    </w:p>
    <w:p w14:paraId="391A9200"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B74243">
        <w:rPr>
          <w:rFonts w:cs="Arial"/>
          <w:noProof/>
        </w:rPr>
        <w:t xml:space="preserve">Lumia L., Rabbeni G., Giustra M., Giumento S., Gallo G., </w:t>
      </w:r>
      <w:r>
        <w:rPr>
          <w:rFonts w:cs="Arial"/>
          <w:noProof/>
        </w:rPr>
        <w:t xml:space="preserve">and </w:t>
      </w:r>
      <w:r w:rsidRPr="00B74243">
        <w:rPr>
          <w:rFonts w:cs="Arial"/>
          <w:noProof/>
        </w:rPr>
        <w:t xml:space="preserve">Di Bella G., 2020, Treatment of contaminated sediments by bio-slurry reactors: Study on the effect of erythromycin antibiotic. Chemical Engineering Transactions, 79(September 2019), 391–396. &lt;doi.org/10.3303/CET2079066&gt; </w:t>
      </w:r>
      <w:r w:rsidRPr="00B74243">
        <w:t>accessed 07.01.2024.</w:t>
      </w:r>
    </w:p>
    <w:p w14:paraId="4B5FE9D5" w14:textId="77777777" w:rsidR="00B5661E" w:rsidRPr="00D035C7" w:rsidRDefault="00B5661E" w:rsidP="00B5661E">
      <w:pPr>
        <w:widowControl w:val="0"/>
        <w:autoSpaceDE w:val="0"/>
        <w:autoSpaceDN w:val="0"/>
        <w:adjustRightInd w:val="0"/>
        <w:spacing w:line="240" w:lineRule="auto"/>
        <w:ind w:left="480" w:hanging="480"/>
        <w:rPr>
          <w:rFonts w:cs="Arial"/>
          <w:noProof/>
          <w:lang w:val="en-US"/>
        </w:rPr>
      </w:pPr>
      <w:r w:rsidRPr="00D035C7">
        <w:rPr>
          <w:rFonts w:cs="Arial"/>
          <w:noProof/>
          <w:lang w:val="en-US"/>
        </w:rPr>
        <w:t>MINAM. (2017). Supreme Decree No 011-2017-MINAM. The Peruvian, 1–4</w:t>
      </w:r>
      <w:r>
        <w:rPr>
          <w:rFonts w:cs="Arial"/>
          <w:noProof/>
          <w:lang w:val="en-US"/>
        </w:rPr>
        <w:t xml:space="preserve"> (Spanish)</w:t>
      </w:r>
      <w:r w:rsidRPr="00D035C7">
        <w:rPr>
          <w:rFonts w:cs="Arial"/>
          <w:noProof/>
          <w:lang w:val="en-US"/>
        </w:rPr>
        <w:t>.</w:t>
      </w:r>
    </w:p>
    <w:p w14:paraId="399A766F" w14:textId="77777777" w:rsidR="00B5661E" w:rsidRPr="00333A30" w:rsidRDefault="00B5661E" w:rsidP="00B5661E">
      <w:pPr>
        <w:widowControl w:val="0"/>
        <w:autoSpaceDE w:val="0"/>
        <w:autoSpaceDN w:val="0"/>
        <w:adjustRightInd w:val="0"/>
        <w:spacing w:line="240" w:lineRule="auto"/>
        <w:ind w:left="480" w:hanging="480"/>
        <w:rPr>
          <w:rFonts w:cs="Arial"/>
          <w:noProof/>
          <w:lang w:val="en-US"/>
        </w:rPr>
      </w:pPr>
      <w:r w:rsidRPr="00C70D9D">
        <w:rPr>
          <w:rFonts w:cs="Arial"/>
          <w:noProof/>
          <w:lang w:val="en-US"/>
        </w:rPr>
        <w:t>MINAM, (2014). R. M. No 085-2014-MINAM. Guide for Soil Sampling and Guide for the Preparation of Soil Decontamination Plans</w:t>
      </w:r>
      <w:r>
        <w:rPr>
          <w:rFonts w:cs="Arial"/>
          <w:noProof/>
          <w:lang w:val="en-US"/>
        </w:rPr>
        <w:t xml:space="preserve">, </w:t>
      </w:r>
      <w:r w:rsidRPr="00333A30">
        <w:rPr>
          <w:rFonts w:cs="Arial"/>
          <w:noProof/>
          <w:lang w:val="en-US"/>
        </w:rPr>
        <w:t>Vol. 2</w:t>
      </w:r>
      <w:r>
        <w:rPr>
          <w:rFonts w:cs="Arial"/>
          <w:noProof/>
          <w:lang w:val="en-US"/>
        </w:rPr>
        <w:t>, (Spanish)</w:t>
      </w:r>
      <w:r w:rsidRPr="00333A30">
        <w:rPr>
          <w:rFonts w:cs="Arial"/>
          <w:noProof/>
          <w:lang w:val="en-US"/>
        </w:rPr>
        <w:t>.</w:t>
      </w:r>
    </w:p>
    <w:p w14:paraId="75BE42EF" w14:textId="77777777" w:rsidR="00B5661E" w:rsidRPr="00BF3113" w:rsidRDefault="00B5661E" w:rsidP="00B5661E">
      <w:pPr>
        <w:widowControl w:val="0"/>
        <w:autoSpaceDE w:val="0"/>
        <w:autoSpaceDN w:val="0"/>
        <w:adjustRightInd w:val="0"/>
        <w:spacing w:line="240" w:lineRule="auto"/>
        <w:ind w:left="480" w:hanging="480"/>
        <w:rPr>
          <w:rFonts w:cs="Arial"/>
          <w:noProof/>
          <w:lang w:val="en-US"/>
        </w:rPr>
      </w:pPr>
      <w:r w:rsidRPr="00BF3113">
        <w:rPr>
          <w:rFonts w:cs="Arial"/>
          <w:color w:val="000000"/>
          <w:szCs w:val="18"/>
          <w:lang w:val="en-US"/>
        </w:rPr>
        <w:t xml:space="preserve">Pulido Capurro V, Escobar-Mamani F, Arana Bustamante C, and Olivera </w:t>
      </w:r>
      <w:proofErr w:type="spellStart"/>
      <w:r w:rsidRPr="00BF3113">
        <w:rPr>
          <w:rFonts w:cs="Arial"/>
          <w:color w:val="000000"/>
          <w:szCs w:val="18"/>
          <w:lang w:val="en-US"/>
        </w:rPr>
        <w:t>Carhuaz</w:t>
      </w:r>
      <w:proofErr w:type="spellEnd"/>
      <w:r w:rsidRPr="00BF3113">
        <w:rPr>
          <w:rFonts w:cs="Arial"/>
          <w:color w:val="000000"/>
          <w:szCs w:val="18"/>
          <w:lang w:val="en-US"/>
        </w:rPr>
        <w:t xml:space="preserve">, E, 2022, </w:t>
      </w:r>
      <w:r w:rsidRPr="00930051">
        <w:rPr>
          <w:rFonts w:cs="Arial"/>
          <w:color w:val="000000"/>
          <w:szCs w:val="18"/>
          <w:lang w:val="en-US"/>
        </w:rPr>
        <w:t xml:space="preserve">Effects of the oil spill at the La </w:t>
      </w:r>
      <w:proofErr w:type="spellStart"/>
      <w:r w:rsidRPr="00930051">
        <w:rPr>
          <w:rFonts w:cs="Arial"/>
          <w:color w:val="000000"/>
          <w:szCs w:val="18"/>
          <w:lang w:val="en-US"/>
        </w:rPr>
        <w:t>Pampilla</w:t>
      </w:r>
      <w:proofErr w:type="spellEnd"/>
      <w:r w:rsidRPr="00930051">
        <w:rPr>
          <w:rFonts w:cs="Arial"/>
          <w:color w:val="000000"/>
          <w:szCs w:val="18"/>
          <w:lang w:val="en-US"/>
        </w:rPr>
        <w:t xml:space="preserve"> Refinery on the coast of the marine coast, Lima (Peru). </w:t>
      </w:r>
      <w:r>
        <w:rPr>
          <w:rFonts w:cs="Arial"/>
          <w:color w:val="000000"/>
          <w:szCs w:val="18"/>
          <w:lang w:val="en-US"/>
        </w:rPr>
        <w:t xml:space="preserve">Magazine of </w:t>
      </w:r>
      <w:r w:rsidRPr="00BF3113">
        <w:rPr>
          <w:rFonts w:cs="Arial"/>
          <w:color w:val="000000"/>
          <w:szCs w:val="18"/>
          <w:lang w:val="en-US"/>
        </w:rPr>
        <w:t xml:space="preserve">Investigations Altoandinas, 24(1), 5-8. </w:t>
      </w:r>
      <w:proofErr w:type="spellStart"/>
      <w:r w:rsidRPr="00BF3113">
        <w:rPr>
          <w:rFonts w:cs="Arial"/>
          <w:color w:val="000000"/>
          <w:szCs w:val="18"/>
          <w:lang w:val="en-US"/>
        </w:rPr>
        <w:t>Epub</w:t>
      </w:r>
      <w:proofErr w:type="spellEnd"/>
      <w:r w:rsidRPr="00BF3113">
        <w:rPr>
          <w:rFonts w:cs="Arial"/>
          <w:color w:val="000000"/>
          <w:szCs w:val="18"/>
          <w:lang w:val="en-US"/>
        </w:rPr>
        <w:t xml:space="preserve"> February 21, 2022, </w:t>
      </w:r>
      <w:r w:rsidRPr="00BF3113">
        <w:rPr>
          <w:rFonts w:cs="Arial"/>
          <w:noProof/>
          <w:lang w:val="en-US"/>
        </w:rPr>
        <w:t xml:space="preserve">&lt;doi.org/10.18271/ria.2022.411˃ </w:t>
      </w:r>
      <w:r w:rsidRPr="00BF3113">
        <w:rPr>
          <w:lang w:val="en-US"/>
        </w:rPr>
        <w:t>accessed 06.01.2024.</w:t>
      </w:r>
    </w:p>
    <w:p w14:paraId="1F1AB706" w14:textId="77777777" w:rsidR="00B5661E" w:rsidRPr="00B74243" w:rsidRDefault="00B5661E" w:rsidP="00B5661E">
      <w:pPr>
        <w:widowControl w:val="0"/>
        <w:autoSpaceDE w:val="0"/>
        <w:autoSpaceDN w:val="0"/>
        <w:adjustRightInd w:val="0"/>
        <w:spacing w:line="240" w:lineRule="auto"/>
        <w:ind w:left="482" w:hanging="482"/>
        <w:rPr>
          <w:rFonts w:cs="Arial"/>
          <w:noProof/>
        </w:rPr>
      </w:pPr>
      <w:r w:rsidRPr="00B74243">
        <w:rPr>
          <w:rFonts w:cs="Arial"/>
          <w:noProof/>
        </w:rPr>
        <w:t xml:space="preserve">Pulido V., Cruz J., Arana C., </w:t>
      </w:r>
      <w:r>
        <w:rPr>
          <w:rFonts w:cs="Arial"/>
          <w:noProof/>
        </w:rPr>
        <w:t xml:space="preserve">and </w:t>
      </w:r>
      <w:r w:rsidRPr="00B74243">
        <w:rPr>
          <w:rFonts w:cs="Arial"/>
          <w:noProof/>
        </w:rPr>
        <w:t xml:space="preserve">Olivera E., 2022, Environmental damage to the Peruvian marine littoral caused by the oil spill (January 2022) at the La Pampilla refinery. Manglar, 19(1), 67–75. &lt;doi.org/10.17268/manglar.2022.009&gt; </w:t>
      </w:r>
      <w:r w:rsidRPr="00B74243">
        <w:t>accessed 06.01.2024</w:t>
      </w:r>
      <w:r>
        <w:t xml:space="preserve"> (Spanish).</w:t>
      </w:r>
    </w:p>
    <w:p w14:paraId="5EEC1FBE" w14:textId="77777777" w:rsidR="00B5661E" w:rsidRPr="00DA6F19" w:rsidRDefault="00B5661E" w:rsidP="00B5661E">
      <w:pPr>
        <w:widowControl w:val="0"/>
        <w:autoSpaceDE w:val="0"/>
        <w:autoSpaceDN w:val="0"/>
        <w:adjustRightInd w:val="0"/>
        <w:spacing w:line="240" w:lineRule="auto"/>
        <w:ind w:left="482" w:hanging="482"/>
        <w:rPr>
          <w:rFonts w:cs="Arial"/>
          <w:noProof/>
        </w:rPr>
      </w:pPr>
      <w:r w:rsidRPr="00DA6F19">
        <w:rPr>
          <w:rFonts w:cs="Arial"/>
          <w:noProof/>
        </w:rPr>
        <w:t>Qiu</w:t>
      </w:r>
      <w:r>
        <w:rPr>
          <w:rFonts w:cs="Arial"/>
          <w:noProof/>
        </w:rPr>
        <w:t xml:space="preserve"> </w:t>
      </w:r>
      <w:r w:rsidRPr="00DA6F19">
        <w:rPr>
          <w:rFonts w:cs="Arial"/>
          <w:noProof/>
        </w:rPr>
        <w:t>M., Liu</w:t>
      </w:r>
      <w:r>
        <w:rPr>
          <w:rFonts w:cs="Arial"/>
          <w:noProof/>
        </w:rPr>
        <w:t xml:space="preserve"> </w:t>
      </w:r>
      <w:r w:rsidRPr="00DA6F19">
        <w:rPr>
          <w:rFonts w:cs="Arial"/>
          <w:noProof/>
        </w:rPr>
        <w:t>L., Ling</w:t>
      </w:r>
      <w:r>
        <w:rPr>
          <w:rFonts w:cs="Arial"/>
          <w:noProof/>
        </w:rPr>
        <w:t xml:space="preserve"> </w:t>
      </w:r>
      <w:r w:rsidRPr="00DA6F19">
        <w:rPr>
          <w:rFonts w:cs="Arial"/>
          <w:noProof/>
        </w:rPr>
        <w:t>Q., Cai</w:t>
      </w:r>
      <w:r>
        <w:rPr>
          <w:rFonts w:cs="Arial"/>
          <w:noProof/>
        </w:rPr>
        <w:t xml:space="preserve"> </w:t>
      </w:r>
      <w:r w:rsidRPr="00DA6F19">
        <w:rPr>
          <w:rFonts w:cs="Arial"/>
          <w:noProof/>
        </w:rPr>
        <w:t>Y., Yu</w:t>
      </w:r>
      <w:r>
        <w:rPr>
          <w:rFonts w:cs="Arial"/>
          <w:noProof/>
        </w:rPr>
        <w:t xml:space="preserve"> </w:t>
      </w:r>
      <w:r w:rsidRPr="00DA6F19">
        <w:rPr>
          <w:rFonts w:cs="Arial"/>
          <w:noProof/>
        </w:rPr>
        <w:t>S., Wang</w:t>
      </w:r>
      <w:r>
        <w:rPr>
          <w:rFonts w:cs="Arial"/>
          <w:noProof/>
        </w:rPr>
        <w:t xml:space="preserve"> </w:t>
      </w:r>
      <w:r w:rsidRPr="00DA6F19">
        <w:rPr>
          <w:rFonts w:cs="Arial"/>
          <w:noProof/>
        </w:rPr>
        <w:t>S., Fu</w:t>
      </w:r>
      <w:r>
        <w:rPr>
          <w:rFonts w:cs="Arial"/>
          <w:noProof/>
        </w:rPr>
        <w:t xml:space="preserve"> </w:t>
      </w:r>
      <w:r w:rsidRPr="00DA6F19">
        <w:rPr>
          <w:rFonts w:cs="Arial"/>
          <w:noProof/>
        </w:rPr>
        <w:t>D., Hu</w:t>
      </w:r>
      <w:r>
        <w:rPr>
          <w:rFonts w:cs="Arial"/>
          <w:noProof/>
        </w:rPr>
        <w:t xml:space="preserve"> </w:t>
      </w:r>
      <w:r w:rsidRPr="00DA6F19">
        <w:rPr>
          <w:rFonts w:cs="Arial"/>
          <w:noProof/>
        </w:rPr>
        <w:t xml:space="preserve">B., </w:t>
      </w:r>
      <w:r>
        <w:rPr>
          <w:rFonts w:cs="Arial"/>
          <w:noProof/>
        </w:rPr>
        <w:t xml:space="preserve">and </w:t>
      </w:r>
      <w:r w:rsidRPr="00DA6F19">
        <w:rPr>
          <w:rFonts w:cs="Arial"/>
          <w:noProof/>
        </w:rPr>
        <w:t>Wang</w:t>
      </w:r>
      <w:r>
        <w:rPr>
          <w:rFonts w:cs="Arial"/>
          <w:noProof/>
        </w:rPr>
        <w:t xml:space="preserve"> </w:t>
      </w:r>
      <w:r w:rsidRPr="00DA6F19">
        <w:rPr>
          <w:rFonts w:cs="Arial"/>
          <w:noProof/>
        </w:rPr>
        <w:t>X.</w:t>
      </w:r>
      <w:r>
        <w:rPr>
          <w:rFonts w:cs="Arial"/>
          <w:noProof/>
        </w:rPr>
        <w:t xml:space="preserve">, </w:t>
      </w:r>
      <w:r w:rsidRPr="00DA6F19">
        <w:rPr>
          <w:rFonts w:cs="Arial"/>
          <w:noProof/>
        </w:rPr>
        <w:t>2022</w:t>
      </w:r>
      <w:r>
        <w:rPr>
          <w:rFonts w:cs="Arial"/>
          <w:noProof/>
        </w:rPr>
        <w:t xml:space="preserve">, </w:t>
      </w:r>
      <w:r w:rsidRPr="00DA6F19">
        <w:rPr>
          <w:rFonts w:cs="Arial"/>
          <w:noProof/>
        </w:rPr>
        <w:t xml:space="preserve">Biochar for the removal of contaminants from soil and water: a review. </w:t>
      </w:r>
      <w:r w:rsidRPr="00DA6F19">
        <w:rPr>
          <w:rFonts w:cs="Arial"/>
          <w:i/>
          <w:iCs/>
          <w:noProof/>
        </w:rPr>
        <w:t>Biochar</w:t>
      </w:r>
      <w:r w:rsidRPr="00DA6F19">
        <w:rPr>
          <w:rFonts w:cs="Arial"/>
          <w:noProof/>
        </w:rPr>
        <w:t xml:space="preserve">, </w:t>
      </w:r>
      <w:r w:rsidRPr="00DA6F19">
        <w:rPr>
          <w:rFonts w:cs="Arial"/>
          <w:i/>
          <w:iCs/>
          <w:noProof/>
        </w:rPr>
        <w:t>4</w:t>
      </w:r>
      <w:r w:rsidRPr="00DA6F19">
        <w:rPr>
          <w:rFonts w:cs="Arial"/>
          <w:noProof/>
        </w:rPr>
        <w:t>(1), 1–25.</w:t>
      </w:r>
      <w:r>
        <w:rPr>
          <w:rFonts w:cs="Arial"/>
          <w:noProof/>
        </w:rPr>
        <w:t xml:space="preserve"> &lt;</w:t>
      </w:r>
      <w:r w:rsidRPr="00DA6F19">
        <w:rPr>
          <w:rFonts w:cs="Arial"/>
          <w:noProof/>
        </w:rPr>
        <w:t>doi.org/10.1007/s42773-022-00146-1</w:t>
      </w:r>
      <w:r>
        <w:rPr>
          <w:rFonts w:cs="Arial"/>
          <w:noProof/>
        </w:rPr>
        <w:t xml:space="preserve">˃ </w:t>
      </w:r>
      <w:r w:rsidRPr="00B74243">
        <w:t xml:space="preserve">accessed </w:t>
      </w:r>
      <w:r>
        <w:t>09</w:t>
      </w:r>
      <w:r w:rsidRPr="00B74243">
        <w:t>.0</w:t>
      </w:r>
      <w:r>
        <w:t>3</w:t>
      </w:r>
      <w:r w:rsidRPr="00B74243">
        <w:t>.2024.</w:t>
      </w:r>
      <w:r>
        <w:rPr>
          <w:rFonts w:cs="Arial"/>
          <w:noProof/>
        </w:rPr>
        <w:t xml:space="preserve"> </w:t>
      </w:r>
    </w:p>
    <w:p w14:paraId="238AAF91" w14:textId="77777777" w:rsidR="00B5661E" w:rsidRPr="00843C8E" w:rsidRDefault="00B5661E" w:rsidP="00B5661E">
      <w:pPr>
        <w:widowControl w:val="0"/>
        <w:autoSpaceDE w:val="0"/>
        <w:autoSpaceDN w:val="0"/>
        <w:adjustRightInd w:val="0"/>
        <w:spacing w:line="240" w:lineRule="auto"/>
        <w:ind w:left="482" w:hanging="482"/>
        <w:rPr>
          <w:rFonts w:cs="Arial"/>
          <w:noProof/>
          <w:lang w:val="en-US"/>
        </w:rPr>
      </w:pPr>
      <w:r w:rsidRPr="00B74243">
        <w:rPr>
          <w:rFonts w:cs="Arial"/>
          <w:noProof/>
        </w:rPr>
        <w:t xml:space="preserve">Quisquiche Morales D., Lizarzaburu Aguinaga D., Castañeda C., </w:t>
      </w:r>
      <w:r>
        <w:rPr>
          <w:rFonts w:cs="Arial"/>
          <w:noProof/>
        </w:rPr>
        <w:t>and</w:t>
      </w:r>
      <w:r w:rsidRPr="00B74243">
        <w:rPr>
          <w:rFonts w:cs="Arial"/>
          <w:noProof/>
        </w:rPr>
        <w:t xml:space="preserve"> Benites-Alfaro E., 2022, Solid Biofuel Spheres for the use of Residual Biomass from Polylepis (Quenual) in Rural Areas. </w:t>
      </w:r>
      <w:r w:rsidRPr="00843C8E">
        <w:rPr>
          <w:rFonts w:cs="Arial"/>
          <w:noProof/>
          <w:lang w:val="en-US"/>
        </w:rPr>
        <w:t xml:space="preserve">Chemical Engineering Transactions, 92(March), 157–162. &lt;doi.org/10.3303/CET2292027˃ </w:t>
      </w:r>
      <w:r w:rsidRPr="00843C8E">
        <w:rPr>
          <w:lang w:val="en-US"/>
        </w:rPr>
        <w:t>accessed 09.01.2024.</w:t>
      </w:r>
    </w:p>
    <w:p w14:paraId="1A7E049A"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27051D">
        <w:rPr>
          <w:rFonts w:cs="Arial"/>
          <w:noProof/>
          <w:lang w:val="en-US"/>
        </w:rPr>
        <w:t xml:space="preserve">Reyes Pallazhco J. M., Leon Cabrera P., and Barrezueta Unda S., 2023, Banana crop response to different proportions of microorganisms and biochar in two soil textures. </w:t>
      </w:r>
      <w:r w:rsidRPr="00B74243">
        <w:rPr>
          <w:rFonts w:cs="Arial"/>
          <w:noProof/>
        </w:rPr>
        <w:t>Manglar, 20(2), 109–115. &lt;doi.org/10.57188/manglar.2023.012&gt;</w:t>
      </w:r>
      <w:r w:rsidRPr="00B74243">
        <w:t xml:space="preserve"> accessed 10.01.2024</w:t>
      </w:r>
      <w:r>
        <w:t xml:space="preserve"> (Spanish)</w:t>
      </w:r>
      <w:r w:rsidRPr="00B74243">
        <w:t>.</w:t>
      </w:r>
      <w:r w:rsidRPr="00B74243">
        <w:rPr>
          <w:rFonts w:cs="Arial"/>
          <w:noProof/>
        </w:rPr>
        <w:t xml:space="preserve"> </w:t>
      </w:r>
    </w:p>
    <w:p w14:paraId="6F8340E3" w14:textId="77777777" w:rsidR="00B5661E" w:rsidRPr="00B74243" w:rsidRDefault="00B5661E" w:rsidP="00B5661E">
      <w:pPr>
        <w:widowControl w:val="0"/>
        <w:autoSpaceDE w:val="0"/>
        <w:autoSpaceDN w:val="0"/>
        <w:adjustRightInd w:val="0"/>
        <w:spacing w:line="240" w:lineRule="auto"/>
        <w:ind w:left="480" w:hanging="480"/>
        <w:rPr>
          <w:rFonts w:cs="Arial"/>
          <w:noProof/>
        </w:rPr>
      </w:pPr>
      <w:r w:rsidRPr="00B74243">
        <w:rPr>
          <w:rFonts w:cs="Arial"/>
          <w:noProof/>
        </w:rPr>
        <w:t xml:space="preserve">Wei Z., Wei Y., Liu Y., Niu S., Xu Y., Park J. H., </w:t>
      </w:r>
      <w:r>
        <w:rPr>
          <w:rFonts w:cs="Arial"/>
          <w:noProof/>
        </w:rPr>
        <w:t xml:space="preserve">and </w:t>
      </w:r>
      <w:r w:rsidRPr="00B74243">
        <w:rPr>
          <w:rFonts w:cs="Arial"/>
          <w:noProof/>
        </w:rPr>
        <w:t>Wang J., 2024, Biochar-based materials as remediation strategy in petroleum hydrocarbon-contaminated soil and water: Performances, mechanisms, and environmental impact. Journal of Environmental Sciences (China), 138, 350–372. &lt;doi.org/10.1016/j.jes.2023.04.008˃</w:t>
      </w:r>
      <w:r w:rsidRPr="00B74243">
        <w:t xml:space="preserve"> accessed 07.01.2024.</w:t>
      </w:r>
    </w:p>
    <w:p w14:paraId="3F9CE543" w14:textId="2FE6B361" w:rsidR="00DA6F19" w:rsidRDefault="00B5661E" w:rsidP="00B5661E">
      <w:pPr>
        <w:pStyle w:val="CETReferencetext"/>
        <w:rPr>
          <w:lang w:val="en-US"/>
        </w:rPr>
      </w:pPr>
      <w:r w:rsidRPr="00B74243">
        <w:rPr>
          <w:rFonts w:cs="Arial"/>
          <w:noProof/>
        </w:rPr>
        <w:t xml:space="preserve">Zafra G., Regino R., Agualimpia B., </w:t>
      </w:r>
      <w:r>
        <w:rPr>
          <w:rFonts w:cs="Arial"/>
          <w:noProof/>
        </w:rPr>
        <w:t xml:space="preserve">and </w:t>
      </w:r>
      <w:r w:rsidRPr="00B74243">
        <w:rPr>
          <w:rFonts w:cs="Arial"/>
          <w:noProof/>
        </w:rPr>
        <w:t>Aguilar F., 2016, Molecular characterization and evaluation of oil-degrading native bacteria isolated from automotive service station oilcontaminated soils. Chemical Engineering Transactions, 49, 511–516. &lt;doi.org/10.3303/CET1649086&gt;</w:t>
      </w:r>
      <w:r w:rsidRPr="00B74243">
        <w:t xml:space="preserve"> accessed 07.01.2024.</w:t>
      </w:r>
    </w:p>
    <w:p w14:paraId="270B53CC" w14:textId="77777777" w:rsidR="00BC34D1" w:rsidRDefault="00BC34D1" w:rsidP="00600535">
      <w:pPr>
        <w:pStyle w:val="CETReference"/>
        <w:rPr>
          <w:lang w:val="en-US"/>
        </w:rPr>
      </w:pPr>
    </w:p>
    <w:sectPr w:rsidR="00BC34D1" w:rsidSect="007C634A">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58D90" w14:textId="77777777" w:rsidR="007C634A" w:rsidRDefault="007C634A" w:rsidP="004F5E36">
      <w:r>
        <w:separator/>
      </w:r>
    </w:p>
  </w:endnote>
  <w:endnote w:type="continuationSeparator" w:id="0">
    <w:p w14:paraId="656838BC" w14:textId="77777777" w:rsidR="007C634A" w:rsidRDefault="007C634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BC162" w14:textId="77777777" w:rsidR="007C634A" w:rsidRDefault="007C634A" w:rsidP="004F5E36">
      <w:r>
        <w:separator/>
      </w:r>
    </w:p>
  </w:footnote>
  <w:footnote w:type="continuationSeparator" w:id="0">
    <w:p w14:paraId="34B91E4D" w14:textId="77777777" w:rsidR="007C634A" w:rsidRDefault="007C634A"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D01EA16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lang w:val="es-PE"/>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F762EE"/>
    <w:multiLevelType w:val="hybridMultilevel"/>
    <w:tmpl w:val="35B0FCDC"/>
    <w:lvl w:ilvl="0" w:tplc="280A0001">
      <w:start w:val="3"/>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2813838">
    <w:abstractNumId w:val="10"/>
  </w:num>
  <w:num w:numId="2" w16cid:durableId="1995405711">
    <w:abstractNumId w:val="8"/>
  </w:num>
  <w:num w:numId="3" w16cid:durableId="1992178245">
    <w:abstractNumId w:val="3"/>
  </w:num>
  <w:num w:numId="4" w16cid:durableId="1018431540">
    <w:abstractNumId w:val="2"/>
  </w:num>
  <w:num w:numId="5" w16cid:durableId="1414547234">
    <w:abstractNumId w:val="1"/>
  </w:num>
  <w:num w:numId="6" w16cid:durableId="458063680">
    <w:abstractNumId w:val="0"/>
  </w:num>
  <w:num w:numId="7" w16cid:durableId="1274436022">
    <w:abstractNumId w:val="9"/>
  </w:num>
  <w:num w:numId="8" w16cid:durableId="1007249814">
    <w:abstractNumId w:val="7"/>
  </w:num>
  <w:num w:numId="9" w16cid:durableId="460153841">
    <w:abstractNumId w:val="6"/>
  </w:num>
  <w:num w:numId="10" w16cid:durableId="604314860">
    <w:abstractNumId w:val="5"/>
  </w:num>
  <w:num w:numId="11" w16cid:durableId="422147306">
    <w:abstractNumId w:val="4"/>
  </w:num>
  <w:num w:numId="12" w16cid:durableId="1048604624">
    <w:abstractNumId w:val="17"/>
  </w:num>
  <w:num w:numId="13" w16cid:durableId="719549095">
    <w:abstractNumId w:val="12"/>
  </w:num>
  <w:num w:numId="14" w16cid:durableId="354307649">
    <w:abstractNumId w:val="18"/>
  </w:num>
  <w:num w:numId="15" w16cid:durableId="86197530">
    <w:abstractNumId w:val="20"/>
  </w:num>
  <w:num w:numId="16" w16cid:durableId="85804631">
    <w:abstractNumId w:val="19"/>
  </w:num>
  <w:num w:numId="17" w16cid:durableId="1639142472">
    <w:abstractNumId w:val="11"/>
  </w:num>
  <w:num w:numId="18" w16cid:durableId="2085909358">
    <w:abstractNumId w:val="12"/>
    <w:lvlOverride w:ilvl="0">
      <w:startOverride w:val="1"/>
    </w:lvlOverride>
  </w:num>
  <w:num w:numId="19" w16cid:durableId="1599829865">
    <w:abstractNumId w:val="16"/>
  </w:num>
  <w:num w:numId="20" w16cid:durableId="384331924">
    <w:abstractNumId w:val="15"/>
  </w:num>
  <w:num w:numId="21" w16cid:durableId="1419136684">
    <w:abstractNumId w:val="14"/>
  </w:num>
  <w:num w:numId="22" w16cid:durableId="1696033888">
    <w:abstractNumId w:val="10"/>
  </w:num>
  <w:num w:numId="23" w16cid:durableId="511408519">
    <w:abstractNumId w:val="10"/>
  </w:num>
  <w:num w:numId="24" w16cid:durableId="1746802751">
    <w:abstractNumId w:val="10"/>
  </w:num>
  <w:num w:numId="25" w16cid:durableId="265312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E32"/>
    <w:rsid w:val="00001F22"/>
    <w:rsid w:val="000027C0"/>
    <w:rsid w:val="00002E8E"/>
    <w:rsid w:val="000052FB"/>
    <w:rsid w:val="000067C4"/>
    <w:rsid w:val="000068B3"/>
    <w:rsid w:val="0001097F"/>
    <w:rsid w:val="000117CB"/>
    <w:rsid w:val="00012991"/>
    <w:rsid w:val="00012BAC"/>
    <w:rsid w:val="000139AA"/>
    <w:rsid w:val="00014D03"/>
    <w:rsid w:val="00015B83"/>
    <w:rsid w:val="00017A00"/>
    <w:rsid w:val="000207E5"/>
    <w:rsid w:val="000219E1"/>
    <w:rsid w:val="0002692C"/>
    <w:rsid w:val="00030FAF"/>
    <w:rsid w:val="0003148D"/>
    <w:rsid w:val="0003580D"/>
    <w:rsid w:val="00035B88"/>
    <w:rsid w:val="000365EC"/>
    <w:rsid w:val="00042A9E"/>
    <w:rsid w:val="00044844"/>
    <w:rsid w:val="00046CBE"/>
    <w:rsid w:val="00051566"/>
    <w:rsid w:val="00057ABB"/>
    <w:rsid w:val="00060FCC"/>
    <w:rsid w:val="00062A9A"/>
    <w:rsid w:val="0006457D"/>
    <w:rsid w:val="00065058"/>
    <w:rsid w:val="00065346"/>
    <w:rsid w:val="0006572D"/>
    <w:rsid w:val="00065C79"/>
    <w:rsid w:val="00065FBD"/>
    <w:rsid w:val="00073758"/>
    <w:rsid w:val="00073B7C"/>
    <w:rsid w:val="00082C51"/>
    <w:rsid w:val="00083A7F"/>
    <w:rsid w:val="00083C29"/>
    <w:rsid w:val="00086C39"/>
    <w:rsid w:val="0009227E"/>
    <w:rsid w:val="0009269A"/>
    <w:rsid w:val="000A03B2"/>
    <w:rsid w:val="000A0D44"/>
    <w:rsid w:val="000A342B"/>
    <w:rsid w:val="000B2201"/>
    <w:rsid w:val="000B23BE"/>
    <w:rsid w:val="000B281B"/>
    <w:rsid w:val="000B6E16"/>
    <w:rsid w:val="000B7AE3"/>
    <w:rsid w:val="000C47DB"/>
    <w:rsid w:val="000C53AB"/>
    <w:rsid w:val="000C6783"/>
    <w:rsid w:val="000C7DE3"/>
    <w:rsid w:val="000D0268"/>
    <w:rsid w:val="000D1B1C"/>
    <w:rsid w:val="000D34BE"/>
    <w:rsid w:val="000E102F"/>
    <w:rsid w:val="000E1E2D"/>
    <w:rsid w:val="000E343B"/>
    <w:rsid w:val="000E36F1"/>
    <w:rsid w:val="000E3A73"/>
    <w:rsid w:val="000E414A"/>
    <w:rsid w:val="000E4391"/>
    <w:rsid w:val="000E4C53"/>
    <w:rsid w:val="000E5690"/>
    <w:rsid w:val="000E60B2"/>
    <w:rsid w:val="000E65D0"/>
    <w:rsid w:val="000F04D5"/>
    <w:rsid w:val="000F093C"/>
    <w:rsid w:val="000F147D"/>
    <w:rsid w:val="000F2E7D"/>
    <w:rsid w:val="000F6C00"/>
    <w:rsid w:val="000F787B"/>
    <w:rsid w:val="00100840"/>
    <w:rsid w:val="00101E5F"/>
    <w:rsid w:val="00101EF3"/>
    <w:rsid w:val="00105CD3"/>
    <w:rsid w:val="00110755"/>
    <w:rsid w:val="00114B2E"/>
    <w:rsid w:val="0011502E"/>
    <w:rsid w:val="00115DA2"/>
    <w:rsid w:val="00116503"/>
    <w:rsid w:val="0011718D"/>
    <w:rsid w:val="0012091F"/>
    <w:rsid w:val="0012161C"/>
    <w:rsid w:val="00122A4A"/>
    <w:rsid w:val="00123D9A"/>
    <w:rsid w:val="00125CA8"/>
    <w:rsid w:val="00126BC2"/>
    <w:rsid w:val="00127AD9"/>
    <w:rsid w:val="001308B6"/>
    <w:rsid w:val="0013121F"/>
    <w:rsid w:val="00131FE6"/>
    <w:rsid w:val="0013263F"/>
    <w:rsid w:val="00132F67"/>
    <w:rsid w:val="0013375A"/>
    <w:rsid w:val="00134DE4"/>
    <w:rsid w:val="0013540D"/>
    <w:rsid w:val="00136D41"/>
    <w:rsid w:val="00137A38"/>
    <w:rsid w:val="0014034D"/>
    <w:rsid w:val="001408F0"/>
    <w:rsid w:val="001421E1"/>
    <w:rsid w:val="00143492"/>
    <w:rsid w:val="00144662"/>
    <w:rsid w:val="00150E1F"/>
    <w:rsid w:val="00150E59"/>
    <w:rsid w:val="00151B0A"/>
    <w:rsid w:val="00152DE3"/>
    <w:rsid w:val="001531EA"/>
    <w:rsid w:val="0015330F"/>
    <w:rsid w:val="001553F0"/>
    <w:rsid w:val="00155A17"/>
    <w:rsid w:val="00160067"/>
    <w:rsid w:val="00164CF9"/>
    <w:rsid w:val="001652C3"/>
    <w:rsid w:val="001667A6"/>
    <w:rsid w:val="00166884"/>
    <w:rsid w:val="001679A3"/>
    <w:rsid w:val="001715BE"/>
    <w:rsid w:val="0017651C"/>
    <w:rsid w:val="00180875"/>
    <w:rsid w:val="0018237D"/>
    <w:rsid w:val="001825AA"/>
    <w:rsid w:val="00182BAB"/>
    <w:rsid w:val="00184AD6"/>
    <w:rsid w:val="001869B5"/>
    <w:rsid w:val="00187EF8"/>
    <w:rsid w:val="001911B6"/>
    <w:rsid w:val="001929D1"/>
    <w:rsid w:val="00192D91"/>
    <w:rsid w:val="00194046"/>
    <w:rsid w:val="0019693E"/>
    <w:rsid w:val="001A0768"/>
    <w:rsid w:val="001A30D0"/>
    <w:rsid w:val="001A4AF7"/>
    <w:rsid w:val="001A50B6"/>
    <w:rsid w:val="001A7F6C"/>
    <w:rsid w:val="001B00F6"/>
    <w:rsid w:val="001B0349"/>
    <w:rsid w:val="001B2744"/>
    <w:rsid w:val="001B38C1"/>
    <w:rsid w:val="001B5B85"/>
    <w:rsid w:val="001B65C1"/>
    <w:rsid w:val="001C3A07"/>
    <w:rsid w:val="001C5259"/>
    <w:rsid w:val="001C684B"/>
    <w:rsid w:val="001D02DF"/>
    <w:rsid w:val="001D1943"/>
    <w:rsid w:val="001D21D7"/>
    <w:rsid w:val="001D2C49"/>
    <w:rsid w:val="001D53FC"/>
    <w:rsid w:val="001E2002"/>
    <w:rsid w:val="001E5B26"/>
    <w:rsid w:val="001E5FC2"/>
    <w:rsid w:val="001F14FF"/>
    <w:rsid w:val="001F42A5"/>
    <w:rsid w:val="001F7B9D"/>
    <w:rsid w:val="00200E05"/>
    <w:rsid w:val="00203D77"/>
    <w:rsid w:val="00206DA1"/>
    <w:rsid w:val="002144AB"/>
    <w:rsid w:val="002161B3"/>
    <w:rsid w:val="002168DC"/>
    <w:rsid w:val="00217360"/>
    <w:rsid w:val="002224B4"/>
    <w:rsid w:val="00225380"/>
    <w:rsid w:val="00225C26"/>
    <w:rsid w:val="00227602"/>
    <w:rsid w:val="00236DB8"/>
    <w:rsid w:val="00242E2D"/>
    <w:rsid w:val="002447EF"/>
    <w:rsid w:val="00250918"/>
    <w:rsid w:val="00251550"/>
    <w:rsid w:val="00254AFD"/>
    <w:rsid w:val="002559AD"/>
    <w:rsid w:val="00256D64"/>
    <w:rsid w:val="00261075"/>
    <w:rsid w:val="00263B05"/>
    <w:rsid w:val="00265344"/>
    <w:rsid w:val="00265AD9"/>
    <w:rsid w:val="002666D6"/>
    <w:rsid w:val="0027030F"/>
    <w:rsid w:val="0027051D"/>
    <w:rsid w:val="0027221A"/>
    <w:rsid w:val="00275A90"/>
    <w:rsid w:val="00275A94"/>
    <w:rsid w:val="00275B61"/>
    <w:rsid w:val="00277362"/>
    <w:rsid w:val="002807EB"/>
    <w:rsid w:val="00282656"/>
    <w:rsid w:val="00282883"/>
    <w:rsid w:val="00284495"/>
    <w:rsid w:val="00284A91"/>
    <w:rsid w:val="00284C4C"/>
    <w:rsid w:val="00285514"/>
    <w:rsid w:val="00286C83"/>
    <w:rsid w:val="00287669"/>
    <w:rsid w:val="00293A83"/>
    <w:rsid w:val="00295209"/>
    <w:rsid w:val="0029589F"/>
    <w:rsid w:val="00296B83"/>
    <w:rsid w:val="002A06BD"/>
    <w:rsid w:val="002A0C99"/>
    <w:rsid w:val="002B2029"/>
    <w:rsid w:val="002B3A21"/>
    <w:rsid w:val="002B58B9"/>
    <w:rsid w:val="002B73EF"/>
    <w:rsid w:val="002B78CE"/>
    <w:rsid w:val="002C05D1"/>
    <w:rsid w:val="002C1779"/>
    <w:rsid w:val="002C2FB6"/>
    <w:rsid w:val="002C544E"/>
    <w:rsid w:val="002D29E2"/>
    <w:rsid w:val="002D2CF6"/>
    <w:rsid w:val="002D492D"/>
    <w:rsid w:val="002D4A67"/>
    <w:rsid w:val="002D640E"/>
    <w:rsid w:val="002D761E"/>
    <w:rsid w:val="002E0756"/>
    <w:rsid w:val="002E4502"/>
    <w:rsid w:val="002E465F"/>
    <w:rsid w:val="002E50B6"/>
    <w:rsid w:val="002E7604"/>
    <w:rsid w:val="002E7A24"/>
    <w:rsid w:val="002E7E25"/>
    <w:rsid w:val="002F3309"/>
    <w:rsid w:val="002F54F4"/>
    <w:rsid w:val="003009B7"/>
    <w:rsid w:val="00300E56"/>
    <w:rsid w:val="00301AB4"/>
    <w:rsid w:val="0030469C"/>
    <w:rsid w:val="00305CBA"/>
    <w:rsid w:val="003064AB"/>
    <w:rsid w:val="00307168"/>
    <w:rsid w:val="00307DED"/>
    <w:rsid w:val="003107D9"/>
    <w:rsid w:val="0031084A"/>
    <w:rsid w:val="00311584"/>
    <w:rsid w:val="0031249B"/>
    <w:rsid w:val="00314942"/>
    <w:rsid w:val="00314C53"/>
    <w:rsid w:val="003201DF"/>
    <w:rsid w:val="0032197A"/>
    <w:rsid w:val="00321CA6"/>
    <w:rsid w:val="00322AD1"/>
    <w:rsid w:val="00323059"/>
    <w:rsid w:val="00323763"/>
    <w:rsid w:val="003248AF"/>
    <w:rsid w:val="003253BC"/>
    <w:rsid w:val="0032546B"/>
    <w:rsid w:val="00333A30"/>
    <w:rsid w:val="00334C09"/>
    <w:rsid w:val="00335B7B"/>
    <w:rsid w:val="00335BF9"/>
    <w:rsid w:val="00340547"/>
    <w:rsid w:val="00341DFD"/>
    <w:rsid w:val="00341F6C"/>
    <w:rsid w:val="003427F3"/>
    <w:rsid w:val="00342E11"/>
    <w:rsid w:val="00343C8F"/>
    <w:rsid w:val="003537CD"/>
    <w:rsid w:val="003552DF"/>
    <w:rsid w:val="00355DB1"/>
    <w:rsid w:val="003560FB"/>
    <w:rsid w:val="00356A1D"/>
    <w:rsid w:val="003723D4"/>
    <w:rsid w:val="0037418D"/>
    <w:rsid w:val="00374904"/>
    <w:rsid w:val="00377832"/>
    <w:rsid w:val="003779F6"/>
    <w:rsid w:val="003810A7"/>
    <w:rsid w:val="003811BF"/>
    <w:rsid w:val="003815E8"/>
    <w:rsid w:val="0038185C"/>
    <w:rsid w:val="00381905"/>
    <w:rsid w:val="00382BAF"/>
    <w:rsid w:val="00384CC8"/>
    <w:rsid w:val="003856D8"/>
    <w:rsid w:val="0038574B"/>
    <w:rsid w:val="003871FD"/>
    <w:rsid w:val="0038752A"/>
    <w:rsid w:val="0038773C"/>
    <w:rsid w:val="0039136D"/>
    <w:rsid w:val="00395407"/>
    <w:rsid w:val="0039732C"/>
    <w:rsid w:val="003A061A"/>
    <w:rsid w:val="003A07EA"/>
    <w:rsid w:val="003A0B06"/>
    <w:rsid w:val="003A1132"/>
    <w:rsid w:val="003A1E30"/>
    <w:rsid w:val="003A2E45"/>
    <w:rsid w:val="003A4596"/>
    <w:rsid w:val="003A5D97"/>
    <w:rsid w:val="003A6232"/>
    <w:rsid w:val="003A7D1C"/>
    <w:rsid w:val="003B304B"/>
    <w:rsid w:val="003B3146"/>
    <w:rsid w:val="003B43DD"/>
    <w:rsid w:val="003B62BA"/>
    <w:rsid w:val="003B65DC"/>
    <w:rsid w:val="003B7CB9"/>
    <w:rsid w:val="003C207B"/>
    <w:rsid w:val="003C2B91"/>
    <w:rsid w:val="003C2CFA"/>
    <w:rsid w:val="003C2FEE"/>
    <w:rsid w:val="003C3A35"/>
    <w:rsid w:val="003C4C58"/>
    <w:rsid w:val="003C5617"/>
    <w:rsid w:val="003D40A1"/>
    <w:rsid w:val="003E0063"/>
    <w:rsid w:val="003E3921"/>
    <w:rsid w:val="003E4D97"/>
    <w:rsid w:val="003F015E"/>
    <w:rsid w:val="003F1BC6"/>
    <w:rsid w:val="003F339B"/>
    <w:rsid w:val="003F41AB"/>
    <w:rsid w:val="003F6420"/>
    <w:rsid w:val="00400414"/>
    <w:rsid w:val="004036C5"/>
    <w:rsid w:val="0040385D"/>
    <w:rsid w:val="00405963"/>
    <w:rsid w:val="00406E53"/>
    <w:rsid w:val="00410CB4"/>
    <w:rsid w:val="00413CE5"/>
    <w:rsid w:val="0041409E"/>
    <w:rsid w:val="0041446B"/>
    <w:rsid w:val="00415019"/>
    <w:rsid w:val="00415571"/>
    <w:rsid w:val="00417094"/>
    <w:rsid w:val="0042024B"/>
    <w:rsid w:val="004231D1"/>
    <w:rsid w:val="004234E0"/>
    <w:rsid w:val="00430C20"/>
    <w:rsid w:val="00431DE8"/>
    <w:rsid w:val="0043505D"/>
    <w:rsid w:val="00437BA4"/>
    <w:rsid w:val="0044328B"/>
    <w:rsid w:val="0044329C"/>
    <w:rsid w:val="00443DFA"/>
    <w:rsid w:val="00444491"/>
    <w:rsid w:val="00446570"/>
    <w:rsid w:val="00450B4D"/>
    <w:rsid w:val="004512D7"/>
    <w:rsid w:val="0045312C"/>
    <w:rsid w:val="00455642"/>
    <w:rsid w:val="0045579F"/>
    <w:rsid w:val="0045684C"/>
    <w:rsid w:val="00457016"/>
    <w:rsid w:val="004577FE"/>
    <w:rsid w:val="00457B9C"/>
    <w:rsid w:val="004602BF"/>
    <w:rsid w:val="0046164A"/>
    <w:rsid w:val="00461CAD"/>
    <w:rsid w:val="004628D2"/>
    <w:rsid w:val="00462DCD"/>
    <w:rsid w:val="004648AD"/>
    <w:rsid w:val="00465916"/>
    <w:rsid w:val="0047025A"/>
    <w:rsid w:val="004703A9"/>
    <w:rsid w:val="00470D1A"/>
    <w:rsid w:val="004736F5"/>
    <w:rsid w:val="004760DE"/>
    <w:rsid w:val="004763D7"/>
    <w:rsid w:val="0048205D"/>
    <w:rsid w:val="004835E5"/>
    <w:rsid w:val="00490440"/>
    <w:rsid w:val="00492425"/>
    <w:rsid w:val="00494980"/>
    <w:rsid w:val="00495D76"/>
    <w:rsid w:val="00496E0A"/>
    <w:rsid w:val="004979DE"/>
    <w:rsid w:val="004A004E"/>
    <w:rsid w:val="004A1F88"/>
    <w:rsid w:val="004A24CF"/>
    <w:rsid w:val="004A348B"/>
    <w:rsid w:val="004A6ADE"/>
    <w:rsid w:val="004B3F94"/>
    <w:rsid w:val="004B7261"/>
    <w:rsid w:val="004B7419"/>
    <w:rsid w:val="004C01F5"/>
    <w:rsid w:val="004C2D45"/>
    <w:rsid w:val="004C376F"/>
    <w:rsid w:val="004C3D1D"/>
    <w:rsid w:val="004C48A8"/>
    <w:rsid w:val="004C6146"/>
    <w:rsid w:val="004C7913"/>
    <w:rsid w:val="004D2C73"/>
    <w:rsid w:val="004D5D61"/>
    <w:rsid w:val="004D6C5B"/>
    <w:rsid w:val="004E13BA"/>
    <w:rsid w:val="004E3A4E"/>
    <w:rsid w:val="004E4AE1"/>
    <w:rsid w:val="004E4C55"/>
    <w:rsid w:val="004E4DD6"/>
    <w:rsid w:val="004F080E"/>
    <w:rsid w:val="004F5E36"/>
    <w:rsid w:val="004F73A9"/>
    <w:rsid w:val="004F78A4"/>
    <w:rsid w:val="005009EE"/>
    <w:rsid w:val="00500B25"/>
    <w:rsid w:val="005030FE"/>
    <w:rsid w:val="00505318"/>
    <w:rsid w:val="005060CC"/>
    <w:rsid w:val="00506284"/>
    <w:rsid w:val="00507B47"/>
    <w:rsid w:val="00507BEF"/>
    <w:rsid w:val="00507CC9"/>
    <w:rsid w:val="00510DFA"/>
    <w:rsid w:val="005119A5"/>
    <w:rsid w:val="005123E3"/>
    <w:rsid w:val="005278B7"/>
    <w:rsid w:val="00531A73"/>
    <w:rsid w:val="00532016"/>
    <w:rsid w:val="005346C8"/>
    <w:rsid w:val="00535E5E"/>
    <w:rsid w:val="005413CC"/>
    <w:rsid w:val="00541DAD"/>
    <w:rsid w:val="00543E7D"/>
    <w:rsid w:val="00547A68"/>
    <w:rsid w:val="00547C7B"/>
    <w:rsid w:val="00551CF1"/>
    <w:rsid w:val="00552019"/>
    <w:rsid w:val="005522FC"/>
    <w:rsid w:val="005531C9"/>
    <w:rsid w:val="0055376D"/>
    <w:rsid w:val="00556FA0"/>
    <w:rsid w:val="005578D6"/>
    <w:rsid w:val="00557CB8"/>
    <w:rsid w:val="00560B0F"/>
    <w:rsid w:val="00570C43"/>
    <w:rsid w:val="005759BD"/>
    <w:rsid w:val="00584119"/>
    <w:rsid w:val="005843E9"/>
    <w:rsid w:val="0058465D"/>
    <w:rsid w:val="00584A81"/>
    <w:rsid w:val="00587B0E"/>
    <w:rsid w:val="00587EAB"/>
    <w:rsid w:val="005922B4"/>
    <w:rsid w:val="005A1671"/>
    <w:rsid w:val="005A53F6"/>
    <w:rsid w:val="005A7539"/>
    <w:rsid w:val="005B1B89"/>
    <w:rsid w:val="005B2110"/>
    <w:rsid w:val="005B36C2"/>
    <w:rsid w:val="005B61E6"/>
    <w:rsid w:val="005B63C7"/>
    <w:rsid w:val="005B64BB"/>
    <w:rsid w:val="005B7269"/>
    <w:rsid w:val="005C67FD"/>
    <w:rsid w:val="005C77E1"/>
    <w:rsid w:val="005D11E7"/>
    <w:rsid w:val="005D1664"/>
    <w:rsid w:val="005D29EA"/>
    <w:rsid w:val="005D361D"/>
    <w:rsid w:val="005D4327"/>
    <w:rsid w:val="005D5ACE"/>
    <w:rsid w:val="005D5D99"/>
    <w:rsid w:val="005D668A"/>
    <w:rsid w:val="005D6A2F"/>
    <w:rsid w:val="005D7A58"/>
    <w:rsid w:val="005E108F"/>
    <w:rsid w:val="005E1A82"/>
    <w:rsid w:val="005E794C"/>
    <w:rsid w:val="005F06D1"/>
    <w:rsid w:val="005F0A28"/>
    <w:rsid w:val="005F0E5E"/>
    <w:rsid w:val="005F1418"/>
    <w:rsid w:val="005F38D6"/>
    <w:rsid w:val="005F39F0"/>
    <w:rsid w:val="005F532B"/>
    <w:rsid w:val="005F64FB"/>
    <w:rsid w:val="00600086"/>
    <w:rsid w:val="00600535"/>
    <w:rsid w:val="00603E44"/>
    <w:rsid w:val="00604916"/>
    <w:rsid w:val="00610AE6"/>
    <w:rsid w:val="00610CD6"/>
    <w:rsid w:val="00610DEB"/>
    <w:rsid w:val="00612918"/>
    <w:rsid w:val="00613ED7"/>
    <w:rsid w:val="0061458E"/>
    <w:rsid w:val="00616CC8"/>
    <w:rsid w:val="00617DFA"/>
    <w:rsid w:val="00620DEE"/>
    <w:rsid w:val="00621F92"/>
    <w:rsid w:val="006226E8"/>
    <w:rsid w:val="0062280A"/>
    <w:rsid w:val="00622B00"/>
    <w:rsid w:val="006243EE"/>
    <w:rsid w:val="00624DFF"/>
    <w:rsid w:val="00624E65"/>
    <w:rsid w:val="00625639"/>
    <w:rsid w:val="006269F7"/>
    <w:rsid w:val="00631B33"/>
    <w:rsid w:val="00632FBD"/>
    <w:rsid w:val="00637F47"/>
    <w:rsid w:val="0064114D"/>
    <w:rsid w:val="0064184D"/>
    <w:rsid w:val="006422CC"/>
    <w:rsid w:val="0064277D"/>
    <w:rsid w:val="00642B48"/>
    <w:rsid w:val="006469D8"/>
    <w:rsid w:val="00652A48"/>
    <w:rsid w:val="00653114"/>
    <w:rsid w:val="00655109"/>
    <w:rsid w:val="00656E79"/>
    <w:rsid w:val="00657588"/>
    <w:rsid w:val="00660E3E"/>
    <w:rsid w:val="00662192"/>
    <w:rsid w:val="00662E74"/>
    <w:rsid w:val="00663A8E"/>
    <w:rsid w:val="00670652"/>
    <w:rsid w:val="006707F7"/>
    <w:rsid w:val="00670826"/>
    <w:rsid w:val="00670D02"/>
    <w:rsid w:val="00672290"/>
    <w:rsid w:val="00674349"/>
    <w:rsid w:val="006752D9"/>
    <w:rsid w:val="00680C23"/>
    <w:rsid w:val="00685166"/>
    <w:rsid w:val="00685716"/>
    <w:rsid w:val="00693766"/>
    <w:rsid w:val="006A06B9"/>
    <w:rsid w:val="006A08C3"/>
    <w:rsid w:val="006A1BF5"/>
    <w:rsid w:val="006A1F8B"/>
    <w:rsid w:val="006A3281"/>
    <w:rsid w:val="006A58AF"/>
    <w:rsid w:val="006B0294"/>
    <w:rsid w:val="006B0352"/>
    <w:rsid w:val="006B0FEE"/>
    <w:rsid w:val="006B3ABE"/>
    <w:rsid w:val="006B4888"/>
    <w:rsid w:val="006C2E45"/>
    <w:rsid w:val="006C359C"/>
    <w:rsid w:val="006C3D92"/>
    <w:rsid w:val="006C5579"/>
    <w:rsid w:val="006C59A1"/>
    <w:rsid w:val="006C764A"/>
    <w:rsid w:val="006D0748"/>
    <w:rsid w:val="006D3AA4"/>
    <w:rsid w:val="006D4975"/>
    <w:rsid w:val="006D5344"/>
    <w:rsid w:val="006D61F4"/>
    <w:rsid w:val="006D6E8B"/>
    <w:rsid w:val="006E02EA"/>
    <w:rsid w:val="006E050C"/>
    <w:rsid w:val="006E31D6"/>
    <w:rsid w:val="006E35B3"/>
    <w:rsid w:val="006E6E98"/>
    <w:rsid w:val="006E737D"/>
    <w:rsid w:val="006E7AE0"/>
    <w:rsid w:val="006E7B76"/>
    <w:rsid w:val="006F0145"/>
    <w:rsid w:val="006F015F"/>
    <w:rsid w:val="006F04C3"/>
    <w:rsid w:val="006F4741"/>
    <w:rsid w:val="006F599D"/>
    <w:rsid w:val="006F5BE5"/>
    <w:rsid w:val="006F5F62"/>
    <w:rsid w:val="007035E6"/>
    <w:rsid w:val="007120AA"/>
    <w:rsid w:val="00712F44"/>
    <w:rsid w:val="00713036"/>
    <w:rsid w:val="00720A24"/>
    <w:rsid w:val="00721E44"/>
    <w:rsid w:val="00722F62"/>
    <w:rsid w:val="00731419"/>
    <w:rsid w:val="00731AD9"/>
    <w:rsid w:val="00732386"/>
    <w:rsid w:val="00732ABB"/>
    <w:rsid w:val="00733880"/>
    <w:rsid w:val="00733902"/>
    <w:rsid w:val="0073514D"/>
    <w:rsid w:val="007373F9"/>
    <w:rsid w:val="007447F3"/>
    <w:rsid w:val="0074740E"/>
    <w:rsid w:val="00751014"/>
    <w:rsid w:val="007516BF"/>
    <w:rsid w:val="0075499F"/>
    <w:rsid w:val="007572DE"/>
    <w:rsid w:val="00757D86"/>
    <w:rsid w:val="007618BA"/>
    <w:rsid w:val="0076455C"/>
    <w:rsid w:val="007659B0"/>
    <w:rsid w:val="007661C8"/>
    <w:rsid w:val="0076667E"/>
    <w:rsid w:val="0077098D"/>
    <w:rsid w:val="00772E72"/>
    <w:rsid w:val="00776C22"/>
    <w:rsid w:val="007802F6"/>
    <w:rsid w:val="0078160C"/>
    <w:rsid w:val="007828F9"/>
    <w:rsid w:val="00787C97"/>
    <w:rsid w:val="0079028B"/>
    <w:rsid w:val="007931FA"/>
    <w:rsid w:val="00793E26"/>
    <w:rsid w:val="00796C09"/>
    <w:rsid w:val="0079792E"/>
    <w:rsid w:val="007A02A5"/>
    <w:rsid w:val="007A11FF"/>
    <w:rsid w:val="007A2C09"/>
    <w:rsid w:val="007A40F2"/>
    <w:rsid w:val="007A4861"/>
    <w:rsid w:val="007A5170"/>
    <w:rsid w:val="007A56F0"/>
    <w:rsid w:val="007A7BBA"/>
    <w:rsid w:val="007B01C7"/>
    <w:rsid w:val="007B082B"/>
    <w:rsid w:val="007B0C50"/>
    <w:rsid w:val="007B4222"/>
    <w:rsid w:val="007C05C7"/>
    <w:rsid w:val="007C09BE"/>
    <w:rsid w:val="007C1A43"/>
    <w:rsid w:val="007C1F3A"/>
    <w:rsid w:val="007C3993"/>
    <w:rsid w:val="007C5C94"/>
    <w:rsid w:val="007C6053"/>
    <w:rsid w:val="007C634A"/>
    <w:rsid w:val="007D043D"/>
    <w:rsid w:val="007D13BE"/>
    <w:rsid w:val="007D1D46"/>
    <w:rsid w:val="007E71FB"/>
    <w:rsid w:val="007F0B57"/>
    <w:rsid w:val="007F2934"/>
    <w:rsid w:val="0080013E"/>
    <w:rsid w:val="00801C14"/>
    <w:rsid w:val="008027CE"/>
    <w:rsid w:val="008027F5"/>
    <w:rsid w:val="0080308B"/>
    <w:rsid w:val="00807615"/>
    <w:rsid w:val="0081051C"/>
    <w:rsid w:val="00811497"/>
    <w:rsid w:val="00813288"/>
    <w:rsid w:val="0081597E"/>
    <w:rsid w:val="00815D7F"/>
    <w:rsid w:val="008166D2"/>
    <w:rsid w:val="008168FC"/>
    <w:rsid w:val="0081742D"/>
    <w:rsid w:val="00821029"/>
    <w:rsid w:val="00822D2F"/>
    <w:rsid w:val="00825707"/>
    <w:rsid w:val="008261E0"/>
    <w:rsid w:val="00830996"/>
    <w:rsid w:val="0083331D"/>
    <w:rsid w:val="008345F1"/>
    <w:rsid w:val="0083582A"/>
    <w:rsid w:val="00842609"/>
    <w:rsid w:val="00843C8E"/>
    <w:rsid w:val="00845F2F"/>
    <w:rsid w:val="00850064"/>
    <w:rsid w:val="008507A7"/>
    <w:rsid w:val="00850987"/>
    <w:rsid w:val="00850A0E"/>
    <w:rsid w:val="0085125D"/>
    <w:rsid w:val="008521FF"/>
    <w:rsid w:val="00853D5B"/>
    <w:rsid w:val="00856B42"/>
    <w:rsid w:val="00861A62"/>
    <w:rsid w:val="008635D6"/>
    <w:rsid w:val="00865B07"/>
    <w:rsid w:val="008667EA"/>
    <w:rsid w:val="008732B5"/>
    <w:rsid w:val="00874784"/>
    <w:rsid w:val="0087637F"/>
    <w:rsid w:val="00881C5C"/>
    <w:rsid w:val="00885BA2"/>
    <w:rsid w:val="00887BF1"/>
    <w:rsid w:val="00891548"/>
    <w:rsid w:val="00891FB4"/>
    <w:rsid w:val="00892AD5"/>
    <w:rsid w:val="00896337"/>
    <w:rsid w:val="008975A9"/>
    <w:rsid w:val="00897C50"/>
    <w:rsid w:val="008A1512"/>
    <w:rsid w:val="008A46E5"/>
    <w:rsid w:val="008A47C7"/>
    <w:rsid w:val="008A5E15"/>
    <w:rsid w:val="008A6B9E"/>
    <w:rsid w:val="008A7C78"/>
    <w:rsid w:val="008B01E8"/>
    <w:rsid w:val="008B0B6A"/>
    <w:rsid w:val="008B4CEA"/>
    <w:rsid w:val="008C092F"/>
    <w:rsid w:val="008C1684"/>
    <w:rsid w:val="008C5D7A"/>
    <w:rsid w:val="008C6F1C"/>
    <w:rsid w:val="008D155F"/>
    <w:rsid w:val="008D304D"/>
    <w:rsid w:val="008D32B9"/>
    <w:rsid w:val="008D433B"/>
    <w:rsid w:val="008D51E5"/>
    <w:rsid w:val="008D590F"/>
    <w:rsid w:val="008D5A6F"/>
    <w:rsid w:val="008D62EE"/>
    <w:rsid w:val="008E198E"/>
    <w:rsid w:val="008E309B"/>
    <w:rsid w:val="008E31A7"/>
    <w:rsid w:val="008E3ED8"/>
    <w:rsid w:val="008E566E"/>
    <w:rsid w:val="008E7507"/>
    <w:rsid w:val="008F2202"/>
    <w:rsid w:val="008F5B15"/>
    <w:rsid w:val="008F78CD"/>
    <w:rsid w:val="0090161A"/>
    <w:rsid w:val="00901EB6"/>
    <w:rsid w:val="00902646"/>
    <w:rsid w:val="009028D3"/>
    <w:rsid w:val="00904C62"/>
    <w:rsid w:val="00906B7F"/>
    <w:rsid w:val="00910FFE"/>
    <w:rsid w:val="00913C7D"/>
    <w:rsid w:val="009146CB"/>
    <w:rsid w:val="009204B4"/>
    <w:rsid w:val="00921D8E"/>
    <w:rsid w:val="00922BA8"/>
    <w:rsid w:val="00922BD1"/>
    <w:rsid w:val="00923750"/>
    <w:rsid w:val="009245C9"/>
    <w:rsid w:val="00924DAC"/>
    <w:rsid w:val="00925D1D"/>
    <w:rsid w:val="00927058"/>
    <w:rsid w:val="0092748A"/>
    <w:rsid w:val="00930051"/>
    <w:rsid w:val="00934269"/>
    <w:rsid w:val="009369BD"/>
    <w:rsid w:val="009416D0"/>
    <w:rsid w:val="00942750"/>
    <w:rsid w:val="009450CE"/>
    <w:rsid w:val="00946775"/>
    <w:rsid w:val="00947179"/>
    <w:rsid w:val="009476AD"/>
    <w:rsid w:val="00947BB0"/>
    <w:rsid w:val="00951194"/>
    <w:rsid w:val="0095164B"/>
    <w:rsid w:val="00953905"/>
    <w:rsid w:val="00954090"/>
    <w:rsid w:val="009573E7"/>
    <w:rsid w:val="00963E05"/>
    <w:rsid w:val="00964F32"/>
    <w:rsid w:val="00967843"/>
    <w:rsid w:val="00967D54"/>
    <w:rsid w:val="00971028"/>
    <w:rsid w:val="009729B9"/>
    <w:rsid w:val="00974DC3"/>
    <w:rsid w:val="00984874"/>
    <w:rsid w:val="00984A21"/>
    <w:rsid w:val="00987F54"/>
    <w:rsid w:val="009902D6"/>
    <w:rsid w:val="009929B5"/>
    <w:rsid w:val="00996483"/>
    <w:rsid w:val="00996EA2"/>
    <w:rsid w:val="00996F5A"/>
    <w:rsid w:val="009A0540"/>
    <w:rsid w:val="009A48F9"/>
    <w:rsid w:val="009A4FBF"/>
    <w:rsid w:val="009A5EE1"/>
    <w:rsid w:val="009A7474"/>
    <w:rsid w:val="009A76C7"/>
    <w:rsid w:val="009B041A"/>
    <w:rsid w:val="009B090A"/>
    <w:rsid w:val="009B1FDD"/>
    <w:rsid w:val="009B2CBA"/>
    <w:rsid w:val="009C0565"/>
    <w:rsid w:val="009C14D3"/>
    <w:rsid w:val="009C189C"/>
    <w:rsid w:val="009C37C3"/>
    <w:rsid w:val="009C6BDB"/>
    <w:rsid w:val="009C7C86"/>
    <w:rsid w:val="009D0F2D"/>
    <w:rsid w:val="009D2FF7"/>
    <w:rsid w:val="009D5ACC"/>
    <w:rsid w:val="009E045A"/>
    <w:rsid w:val="009E7884"/>
    <w:rsid w:val="009E788A"/>
    <w:rsid w:val="009F0E08"/>
    <w:rsid w:val="009F3426"/>
    <w:rsid w:val="009F5044"/>
    <w:rsid w:val="009F64E2"/>
    <w:rsid w:val="009F7B06"/>
    <w:rsid w:val="00A00DD5"/>
    <w:rsid w:val="00A01C6B"/>
    <w:rsid w:val="00A01F3C"/>
    <w:rsid w:val="00A0372C"/>
    <w:rsid w:val="00A06027"/>
    <w:rsid w:val="00A11EE8"/>
    <w:rsid w:val="00A12CA5"/>
    <w:rsid w:val="00A14323"/>
    <w:rsid w:val="00A1763D"/>
    <w:rsid w:val="00A17CEC"/>
    <w:rsid w:val="00A24DCE"/>
    <w:rsid w:val="00A271C4"/>
    <w:rsid w:val="00A27EF0"/>
    <w:rsid w:val="00A30DC0"/>
    <w:rsid w:val="00A30E19"/>
    <w:rsid w:val="00A3612E"/>
    <w:rsid w:val="00A4235D"/>
    <w:rsid w:val="00A42361"/>
    <w:rsid w:val="00A42D85"/>
    <w:rsid w:val="00A438C5"/>
    <w:rsid w:val="00A45ECD"/>
    <w:rsid w:val="00A4796B"/>
    <w:rsid w:val="00A47DEC"/>
    <w:rsid w:val="00A50499"/>
    <w:rsid w:val="00A50B20"/>
    <w:rsid w:val="00A51390"/>
    <w:rsid w:val="00A52EED"/>
    <w:rsid w:val="00A56425"/>
    <w:rsid w:val="00A576EB"/>
    <w:rsid w:val="00A60D13"/>
    <w:rsid w:val="00A6130D"/>
    <w:rsid w:val="00A61D6A"/>
    <w:rsid w:val="00A62635"/>
    <w:rsid w:val="00A6329A"/>
    <w:rsid w:val="00A66D92"/>
    <w:rsid w:val="00A71A97"/>
    <w:rsid w:val="00A72745"/>
    <w:rsid w:val="00A74EFD"/>
    <w:rsid w:val="00A75E5E"/>
    <w:rsid w:val="00A76EFC"/>
    <w:rsid w:val="00A80B36"/>
    <w:rsid w:val="00A8135D"/>
    <w:rsid w:val="00A81755"/>
    <w:rsid w:val="00A82DF5"/>
    <w:rsid w:val="00A84018"/>
    <w:rsid w:val="00A8482D"/>
    <w:rsid w:val="00A86855"/>
    <w:rsid w:val="00A86BCD"/>
    <w:rsid w:val="00A87794"/>
    <w:rsid w:val="00A902A8"/>
    <w:rsid w:val="00A91010"/>
    <w:rsid w:val="00A91A21"/>
    <w:rsid w:val="00A92304"/>
    <w:rsid w:val="00A948B5"/>
    <w:rsid w:val="00A95235"/>
    <w:rsid w:val="00A955C8"/>
    <w:rsid w:val="00A95C57"/>
    <w:rsid w:val="00A97F29"/>
    <w:rsid w:val="00AA0216"/>
    <w:rsid w:val="00AA702E"/>
    <w:rsid w:val="00AB0964"/>
    <w:rsid w:val="00AB366E"/>
    <w:rsid w:val="00AB5011"/>
    <w:rsid w:val="00AB504D"/>
    <w:rsid w:val="00AB6B3C"/>
    <w:rsid w:val="00AB6DA2"/>
    <w:rsid w:val="00AC3AE7"/>
    <w:rsid w:val="00AC3E4A"/>
    <w:rsid w:val="00AC3FE9"/>
    <w:rsid w:val="00AC7368"/>
    <w:rsid w:val="00AD16B9"/>
    <w:rsid w:val="00AD3E97"/>
    <w:rsid w:val="00AD6666"/>
    <w:rsid w:val="00AD7D05"/>
    <w:rsid w:val="00AE2A69"/>
    <w:rsid w:val="00AE377D"/>
    <w:rsid w:val="00AE518C"/>
    <w:rsid w:val="00AE6136"/>
    <w:rsid w:val="00AE6EE0"/>
    <w:rsid w:val="00AE7AEE"/>
    <w:rsid w:val="00AF0EBA"/>
    <w:rsid w:val="00AF11AE"/>
    <w:rsid w:val="00AF1E52"/>
    <w:rsid w:val="00AF2203"/>
    <w:rsid w:val="00AF370B"/>
    <w:rsid w:val="00AF59DA"/>
    <w:rsid w:val="00B00004"/>
    <w:rsid w:val="00B003EA"/>
    <w:rsid w:val="00B00C10"/>
    <w:rsid w:val="00B00D8E"/>
    <w:rsid w:val="00B02C8A"/>
    <w:rsid w:val="00B04B68"/>
    <w:rsid w:val="00B05098"/>
    <w:rsid w:val="00B0626A"/>
    <w:rsid w:val="00B0676A"/>
    <w:rsid w:val="00B133A5"/>
    <w:rsid w:val="00B142CF"/>
    <w:rsid w:val="00B17B04"/>
    <w:rsid w:val="00B17FBD"/>
    <w:rsid w:val="00B23A23"/>
    <w:rsid w:val="00B25DDE"/>
    <w:rsid w:val="00B30CAC"/>
    <w:rsid w:val="00B315A6"/>
    <w:rsid w:val="00B31813"/>
    <w:rsid w:val="00B323A5"/>
    <w:rsid w:val="00B327EC"/>
    <w:rsid w:val="00B33365"/>
    <w:rsid w:val="00B352F3"/>
    <w:rsid w:val="00B36693"/>
    <w:rsid w:val="00B411CB"/>
    <w:rsid w:val="00B42A46"/>
    <w:rsid w:val="00B43425"/>
    <w:rsid w:val="00B47D0B"/>
    <w:rsid w:val="00B55935"/>
    <w:rsid w:val="00B56261"/>
    <w:rsid w:val="00B5661E"/>
    <w:rsid w:val="00B5664F"/>
    <w:rsid w:val="00B569E8"/>
    <w:rsid w:val="00B56D08"/>
    <w:rsid w:val="00B57B36"/>
    <w:rsid w:val="00B57B55"/>
    <w:rsid w:val="00B62D30"/>
    <w:rsid w:val="00B642C8"/>
    <w:rsid w:val="00B646B5"/>
    <w:rsid w:val="00B64FD3"/>
    <w:rsid w:val="00B6525A"/>
    <w:rsid w:val="00B65513"/>
    <w:rsid w:val="00B67457"/>
    <w:rsid w:val="00B71AC4"/>
    <w:rsid w:val="00B726CF"/>
    <w:rsid w:val="00B74243"/>
    <w:rsid w:val="00B76073"/>
    <w:rsid w:val="00B8049D"/>
    <w:rsid w:val="00B80D3F"/>
    <w:rsid w:val="00B811FC"/>
    <w:rsid w:val="00B826EA"/>
    <w:rsid w:val="00B8276D"/>
    <w:rsid w:val="00B83EC2"/>
    <w:rsid w:val="00B8414E"/>
    <w:rsid w:val="00B8579A"/>
    <w:rsid w:val="00B8686D"/>
    <w:rsid w:val="00B90EAA"/>
    <w:rsid w:val="00B910C7"/>
    <w:rsid w:val="00B910FC"/>
    <w:rsid w:val="00B947B9"/>
    <w:rsid w:val="00B9624C"/>
    <w:rsid w:val="00B96882"/>
    <w:rsid w:val="00BA04C7"/>
    <w:rsid w:val="00BA42D9"/>
    <w:rsid w:val="00BA4905"/>
    <w:rsid w:val="00BB1DDC"/>
    <w:rsid w:val="00BB31C8"/>
    <w:rsid w:val="00BB4B4F"/>
    <w:rsid w:val="00BB7001"/>
    <w:rsid w:val="00BB7577"/>
    <w:rsid w:val="00BC131E"/>
    <w:rsid w:val="00BC214D"/>
    <w:rsid w:val="00BC30C9"/>
    <w:rsid w:val="00BC3139"/>
    <w:rsid w:val="00BC34D1"/>
    <w:rsid w:val="00BC5484"/>
    <w:rsid w:val="00BC6133"/>
    <w:rsid w:val="00BD3D43"/>
    <w:rsid w:val="00BD4619"/>
    <w:rsid w:val="00BD50FE"/>
    <w:rsid w:val="00BD7C41"/>
    <w:rsid w:val="00BE0F8A"/>
    <w:rsid w:val="00BE2B88"/>
    <w:rsid w:val="00BE3E58"/>
    <w:rsid w:val="00BE6360"/>
    <w:rsid w:val="00BE6FDB"/>
    <w:rsid w:val="00BF036F"/>
    <w:rsid w:val="00BF23FA"/>
    <w:rsid w:val="00BF2419"/>
    <w:rsid w:val="00BF3113"/>
    <w:rsid w:val="00BF3C5B"/>
    <w:rsid w:val="00BF59A1"/>
    <w:rsid w:val="00C01616"/>
    <w:rsid w:val="00C0162B"/>
    <w:rsid w:val="00C068ED"/>
    <w:rsid w:val="00C06CEC"/>
    <w:rsid w:val="00C10D9E"/>
    <w:rsid w:val="00C126E4"/>
    <w:rsid w:val="00C16091"/>
    <w:rsid w:val="00C24AC7"/>
    <w:rsid w:val="00C26118"/>
    <w:rsid w:val="00C3023D"/>
    <w:rsid w:val="00C320A1"/>
    <w:rsid w:val="00C3346C"/>
    <w:rsid w:val="00C33D14"/>
    <w:rsid w:val="00C345B1"/>
    <w:rsid w:val="00C367FE"/>
    <w:rsid w:val="00C371D9"/>
    <w:rsid w:val="00C40142"/>
    <w:rsid w:val="00C403C9"/>
    <w:rsid w:val="00C426A3"/>
    <w:rsid w:val="00C43B14"/>
    <w:rsid w:val="00C45C87"/>
    <w:rsid w:val="00C47EDF"/>
    <w:rsid w:val="00C50626"/>
    <w:rsid w:val="00C525F0"/>
    <w:rsid w:val="00C57182"/>
    <w:rsid w:val="00C57863"/>
    <w:rsid w:val="00C57A4B"/>
    <w:rsid w:val="00C61F2F"/>
    <w:rsid w:val="00C636F6"/>
    <w:rsid w:val="00C63F4B"/>
    <w:rsid w:val="00C655FD"/>
    <w:rsid w:val="00C70D9D"/>
    <w:rsid w:val="00C7258B"/>
    <w:rsid w:val="00C72CE2"/>
    <w:rsid w:val="00C75407"/>
    <w:rsid w:val="00C75FFE"/>
    <w:rsid w:val="00C77D1B"/>
    <w:rsid w:val="00C812F5"/>
    <w:rsid w:val="00C815F2"/>
    <w:rsid w:val="00C81C95"/>
    <w:rsid w:val="00C83474"/>
    <w:rsid w:val="00C870A8"/>
    <w:rsid w:val="00C936D1"/>
    <w:rsid w:val="00C94434"/>
    <w:rsid w:val="00C95B9A"/>
    <w:rsid w:val="00C95F92"/>
    <w:rsid w:val="00CA0D75"/>
    <w:rsid w:val="00CA1C95"/>
    <w:rsid w:val="00CA2DF4"/>
    <w:rsid w:val="00CA4E0E"/>
    <w:rsid w:val="00CA5A9C"/>
    <w:rsid w:val="00CA6826"/>
    <w:rsid w:val="00CB07BE"/>
    <w:rsid w:val="00CB1B2B"/>
    <w:rsid w:val="00CB51C6"/>
    <w:rsid w:val="00CC060B"/>
    <w:rsid w:val="00CC2E57"/>
    <w:rsid w:val="00CC466F"/>
    <w:rsid w:val="00CC4C20"/>
    <w:rsid w:val="00CC774E"/>
    <w:rsid w:val="00CD06F6"/>
    <w:rsid w:val="00CD0F70"/>
    <w:rsid w:val="00CD3517"/>
    <w:rsid w:val="00CD3E46"/>
    <w:rsid w:val="00CD5FE2"/>
    <w:rsid w:val="00CD65BC"/>
    <w:rsid w:val="00CE4F50"/>
    <w:rsid w:val="00CE596F"/>
    <w:rsid w:val="00CE5C1D"/>
    <w:rsid w:val="00CE6603"/>
    <w:rsid w:val="00CE7C68"/>
    <w:rsid w:val="00CF2361"/>
    <w:rsid w:val="00CF240A"/>
    <w:rsid w:val="00CF2CFE"/>
    <w:rsid w:val="00CF3A5C"/>
    <w:rsid w:val="00CF3A79"/>
    <w:rsid w:val="00D02B4C"/>
    <w:rsid w:val="00D035C7"/>
    <w:rsid w:val="00D040C4"/>
    <w:rsid w:val="00D07462"/>
    <w:rsid w:val="00D16576"/>
    <w:rsid w:val="00D1717E"/>
    <w:rsid w:val="00D17A53"/>
    <w:rsid w:val="00D211BA"/>
    <w:rsid w:val="00D22920"/>
    <w:rsid w:val="00D23005"/>
    <w:rsid w:val="00D23D4C"/>
    <w:rsid w:val="00D26D29"/>
    <w:rsid w:val="00D30A1F"/>
    <w:rsid w:val="00D31674"/>
    <w:rsid w:val="00D4529F"/>
    <w:rsid w:val="00D50CF9"/>
    <w:rsid w:val="00D51DB2"/>
    <w:rsid w:val="00D54084"/>
    <w:rsid w:val="00D55077"/>
    <w:rsid w:val="00D57C84"/>
    <w:rsid w:val="00D6057D"/>
    <w:rsid w:val="00D61D59"/>
    <w:rsid w:val="00D64074"/>
    <w:rsid w:val="00D67FEC"/>
    <w:rsid w:val="00D71DB7"/>
    <w:rsid w:val="00D8221E"/>
    <w:rsid w:val="00D836C5"/>
    <w:rsid w:val="00D837A2"/>
    <w:rsid w:val="00D83FE1"/>
    <w:rsid w:val="00D84576"/>
    <w:rsid w:val="00D856AD"/>
    <w:rsid w:val="00D85809"/>
    <w:rsid w:val="00D86191"/>
    <w:rsid w:val="00D92016"/>
    <w:rsid w:val="00D964DA"/>
    <w:rsid w:val="00D96735"/>
    <w:rsid w:val="00D97088"/>
    <w:rsid w:val="00DA0F94"/>
    <w:rsid w:val="00DA1399"/>
    <w:rsid w:val="00DA24C6"/>
    <w:rsid w:val="00DA2E1F"/>
    <w:rsid w:val="00DA33F6"/>
    <w:rsid w:val="00DA4D7B"/>
    <w:rsid w:val="00DA6F19"/>
    <w:rsid w:val="00DB26E7"/>
    <w:rsid w:val="00DB2FFA"/>
    <w:rsid w:val="00DB3FD5"/>
    <w:rsid w:val="00DB6400"/>
    <w:rsid w:val="00DC19E1"/>
    <w:rsid w:val="00DC1DA1"/>
    <w:rsid w:val="00DC3417"/>
    <w:rsid w:val="00DC484F"/>
    <w:rsid w:val="00DC52D8"/>
    <w:rsid w:val="00DC5412"/>
    <w:rsid w:val="00DD0846"/>
    <w:rsid w:val="00DD132F"/>
    <w:rsid w:val="00DD3A29"/>
    <w:rsid w:val="00DD45D9"/>
    <w:rsid w:val="00DD49DA"/>
    <w:rsid w:val="00DD62E5"/>
    <w:rsid w:val="00DE264A"/>
    <w:rsid w:val="00DE4657"/>
    <w:rsid w:val="00DE5330"/>
    <w:rsid w:val="00DF020E"/>
    <w:rsid w:val="00DF154B"/>
    <w:rsid w:val="00DF1ADB"/>
    <w:rsid w:val="00DF5072"/>
    <w:rsid w:val="00E00042"/>
    <w:rsid w:val="00E02D18"/>
    <w:rsid w:val="00E041E7"/>
    <w:rsid w:val="00E0534A"/>
    <w:rsid w:val="00E164F8"/>
    <w:rsid w:val="00E176EE"/>
    <w:rsid w:val="00E23CA1"/>
    <w:rsid w:val="00E2421E"/>
    <w:rsid w:val="00E24904"/>
    <w:rsid w:val="00E25C40"/>
    <w:rsid w:val="00E27445"/>
    <w:rsid w:val="00E338E9"/>
    <w:rsid w:val="00E35662"/>
    <w:rsid w:val="00E36B94"/>
    <w:rsid w:val="00E378A9"/>
    <w:rsid w:val="00E409A8"/>
    <w:rsid w:val="00E41CEF"/>
    <w:rsid w:val="00E4694B"/>
    <w:rsid w:val="00E50C12"/>
    <w:rsid w:val="00E510E6"/>
    <w:rsid w:val="00E541D7"/>
    <w:rsid w:val="00E571E3"/>
    <w:rsid w:val="00E579AE"/>
    <w:rsid w:val="00E57D31"/>
    <w:rsid w:val="00E61B36"/>
    <w:rsid w:val="00E61EC9"/>
    <w:rsid w:val="00E629E5"/>
    <w:rsid w:val="00E62D39"/>
    <w:rsid w:val="00E65B91"/>
    <w:rsid w:val="00E7209D"/>
    <w:rsid w:val="00E72D5E"/>
    <w:rsid w:val="00E73572"/>
    <w:rsid w:val="00E74F6A"/>
    <w:rsid w:val="00E757DA"/>
    <w:rsid w:val="00E77223"/>
    <w:rsid w:val="00E83690"/>
    <w:rsid w:val="00E83FA9"/>
    <w:rsid w:val="00E84E63"/>
    <w:rsid w:val="00E8528B"/>
    <w:rsid w:val="00E85B94"/>
    <w:rsid w:val="00E86D9E"/>
    <w:rsid w:val="00E931F0"/>
    <w:rsid w:val="00E94B94"/>
    <w:rsid w:val="00E94FAD"/>
    <w:rsid w:val="00E978D0"/>
    <w:rsid w:val="00E97CBC"/>
    <w:rsid w:val="00EA005B"/>
    <w:rsid w:val="00EA2648"/>
    <w:rsid w:val="00EA3300"/>
    <w:rsid w:val="00EA419F"/>
    <w:rsid w:val="00EA4613"/>
    <w:rsid w:val="00EA5F6A"/>
    <w:rsid w:val="00EA6974"/>
    <w:rsid w:val="00EA721F"/>
    <w:rsid w:val="00EA7B78"/>
    <w:rsid w:val="00EA7F91"/>
    <w:rsid w:val="00EB1523"/>
    <w:rsid w:val="00EB3647"/>
    <w:rsid w:val="00EC0956"/>
    <w:rsid w:val="00EC0E49"/>
    <w:rsid w:val="00EC0FF7"/>
    <w:rsid w:val="00EC101F"/>
    <w:rsid w:val="00EC1D9F"/>
    <w:rsid w:val="00EC1F9B"/>
    <w:rsid w:val="00EC32D2"/>
    <w:rsid w:val="00EC365D"/>
    <w:rsid w:val="00EC3B18"/>
    <w:rsid w:val="00EC3EBA"/>
    <w:rsid w:val="00EC5B45"/>
    <w:rsid w:val="00EC5F57"/>
    <w:rsid w:val="00EC7C85"/>
    <w:rsid w:val="00ED3CA1"/>
    <w:rsid w:val="00ED58CF"/>
    <w:rsid w:val="00ED7AE1"/>
    <w:rsid w:val="00EE0131"/>
    <w:rsid w:val="00EE17B0"/>
    <w:rsid w:val="00EE50F8"/>
    <w:rsid w:val="00EE65C2"/>
    <w:rsid w:val="00EE7CA0"/>
    <w:rsid w:val="00EF06D9"/>
    <w:rsid w:val="00EF1935"/>
    <w:rsid w:val="00EF5E02"/>
    <w:rsid w:val="00F0079F"/>
    <w:rsid w:val="00F00FCC"/>
    <w:rsid w:val="00F01198"/>
    <w:rsid w:val="00F01663"/>
    <w:rsid w:val="00F05AA7"/>
    <w:rsid w:val="00F14CC4"/>
    <w:rsid w:val="00F15347"/>
    <w:rsid w:val="00F15928"/>
    <w:rsid w:val="00F17658"/>
    <w:rsid w:val="00F22482"/>
    <w:rsid w:val="00F249A0"/>
    <w:rsid w:val="00F30C64"/>
    <w:rsid w:val="00F32CDB"/>
    <w:rsid w:val="00F33FC6"/>
    <w:rsid w:val="00F3633D"/>
    <w:rsid w:val="00F37B1D"/>
    <w:rsid w:val="00F46E4D"/>
    <w:rsid w:val="00F50ED8"/>
    <w:rsid w:val="00F51C03"/>
    <w:rsid w:val="00F52498"/>
    <w:rsid w:val="00F53D27"/>
    <w:rsid w:val="00F565FE"/>
    <w:rsid w:val="00F56B74"/>
    <w:rsid w:val="00F60238"/>
    <w:rsid w:val="00F608C1"/>
    <w:rsid w:val="00F60B8D"/>
    <w:rsid w:val="00F63A70"/>
    <w:rsid w:val="00F65BBB"/>
    <w:rsid w:val="00F72A09"/>
    <w:rsid w:val="00F811F4"/>
    <w:rsid w:val="00F82E0A"/>
    <w:rsid w:val="00F84C19"/>
    <w:rsid w:val="00F85BCC"/>
    <w:rsid w:val="00F869A7"/>
    <w:rsid w:val="00F878A0"/>
    <w:rsid w:val="00F878AC"/>
    <w:rsid w:val="00F91E0C"/>
    <w:rsid w:val="00F921CD"/>
    <w:rsid w:val="00F92E81"/>
    <w:rsid w:val="00F976EB"/>
    <w:rsid w:val="00FA21D0"/>
    <w:rsid w:val="00FA3143"/>
    <w:rsid w:val="00FA433A"/>
    <w:rsid w:val="00FA43E2"/>
    <w:rsid w:val="00FA4653"/>
    <w:rsid w:val="00FA5F5F"/>
    <w:rsid w:val="00FA7CE2"/>
    <w:rsid w:val="00FB5BE0"/>
    <w:rsid w:val="00FB675C"/>
    <w:rsid w:val="00FB730C"/>
    <w:rsid w:val="00FC0D88"/>
    <w:rsid w:val="00FC2695"/>
    <w:rsid w:val="00FC3E03"/>
    <w:rsid w:val="00FC3FC1"/>
    <w:rsid w:val="00FD1AFB"/>
    <w:rsid w:val="00FD3E85"/>
    <w:rsid w:val="00FD5638"/>
    <w:rsid w:val="00FD5F8D"/>
    <w:rsid w:val="00FD7128"/>
    <w:rsid w:val="00FD71EB"/>
    <w:rsid w:val="00FE70BB"/>
    <w:rsid w:val="00FE7D55"/>
    <w:rsid w:val="00FF09F1"/>
    <w:rsid w:val="00FF0B1C"/>
    <w:rsid w:val="00FF4EB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FFC97833-9DB3-470D-A2B9-C8196727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rPr>
  </w:style>
  <w:style w:type="paragraph" w:styleId="Ttulo1">
    <w:name w:val="heading 1"/>
    <w:basedOn w:val="CETHeading1"/>
    <w:next w:val="Normal"/>
    <w:link w:val="Ttulo1Car"/>
    <w:uiPriority w:val="9"/>
    <w:rsid w:val="004F5E36"/>
    <w:pPr>
      <w:tabs>
        <w:tab w:val="right" w:pos="7100"/>
      </w:tabs>
      <w:jc w:val="both"/>
      <w:outlineLvl w:val="0"/>
    </w:p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rPr>
  </w:style>
  <w:style w:type="character" w:customStyle="1" w:styleId="CETAuthorsCarattere">
    <w:name w:val="CET Authors Carattere"/>
    <w:link w:val="CETAuthors"/>
    <w:rsid w:val="009E788A"/>
    <w:rPr>
      <w:rFonts w:ascii="Arial" w:eastAsia="Times New Roman" w:hAnsi="Arial" w:cs="Times New Roman"/>
      <w:noProof/>
      <w:sz w:val="24"/>
      <w:szCs w:val="20"/>
      <w:lang w:val="en"/>
    </w:rPr>
  </w:style>
  <w:style w:type="character" w:customStyle="1" w:styleId="CETTitleCarattere">
    <w:name w:val="CET Title Carattere"/>
    <w:link w:val="CETTitle"/>
    <w:rsid w:val="00FB730C"/>
    <w:rPr>
      <w:rFonts w:ascii="Arial" w:eastAsia="Times New Roman" w:hAnsi="Arial" w:cs="Times New Roman"/>
      <w:sz w:val="32"/>
      <w:szCs w:val="20"/>
      <w:lang w:val="en"/>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rPr>
  </w:style>
  <w:style w:type="paragraph" w:customStyle="1" w:styleId="CETheadingx">
    <w:name w:val="CET headingx"/>
    <w:next w:val="CETBodytext"/>
    <w:link w:val="CETheadingxCarattere"/>
    <w:autoRedefine/>
    <w:qFormat/>
    <w:rsid w:val="0006457D"/>
    <w:pPr>
      <w:keepNext/>
      <w:numPr>
        <w:ilvl w:val="2"/>
        <w:numId w:val="1"/>
      </w:numPr>
      <w:suppressAutoHyphens/>
      <w:spacing w:before="120" w:after="120" w:line="240" w:lineRule="auto"/>
      <w:jc w:val="both"/>
    </w:pPr>
    <w:rPr>
      <w:rFonts w:ascii="Arial" w:eastAsia="Times New Roman" w:hAnsi="Arial" w:cs="Times New Roman"/>
      <w:b/>
      <w:sz w:val="18"/>
      <w:szCs w:val="20"/>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rPr>
  </w:style>
  <w:style w:type="character" w:customStyle="1" w:styleId="CETheadingxCarattere">
    <w:name w:val="CET headingx Carattere"/>
    <w:link w:val="CETheadingx"/>
    <w:rsid w:val="0006457D"/>
    <w:rPr>
      <w:rFonts w:ascii="Arial" w:eastAsia="Times New Roman" w:hAnsi="Arial" w:cs="Times New Roman"/>
      <w:b/>
      <w:sz w:val="18"/>
      <w:szCs w:val="20"/>
      <w:lang w:val="en"/>
    </w:rPr>
  </w:style>
  <w:style w:type="character" w:customStyle="1" w:styleId="CETCaptionCarattere">
    <w:name w:val="CET Caption Carattere"/>
    <w:link w:val="CETCaption"/>
    <w:rsid w:val="009E788A"/>
    <w:rPr>
      <w:rFonts w:ascii="Arial" w:eastAsia="Times New Roman" w:hAnsi="Arial" w:cs="Times New Roman"/>
      <w:i/>
      <w:sz w:val="18"/>
      <w:szCs w:val="20"/>
      <w:lang w:val="en"/>
    </w:rPr>
  </w:style>
  <w:style w:type="paragraph" w:customStyle="1" w:styleId="CETBodytextItalic">
    <w:name w:val="CET Body text (Italic)"/>
    <w:basedOn w:val="CETBodytext"/>
    <w:qFormat/>
    <w:rsid w:val="004F5E36"/>
    <w:rPr>
      <w:i/>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rPr>
  </w:style>
  <w:style w:type="paragraph" w:customStyle="1" w:styleId="CETEquation">
    <w:name w:val="CET Equation"/>
    <w:basedOn w:val="CETBodytext"/>
    <w:next w:val="CETBodytext"/>
    <w:qFormat/>
    <w:rsid w:val="00600535"/>
    <w:pPr>
      <w:spacing w:before="120" w:after="120"/>
      <w:jc w:val="left"/>
    </w:p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
    </w:rPr>
  </w:style>
  <w:style w:type="character" w:styleId="Textodelmarcadordeposicin">
    <w:name w:val="Placeholder Text"/>
    <w:basedOn w:val="Fuentedeprrafopredeter"/>
    <w:uiPriority w:val="99"/>
    <w:semiHidden/>
    <w:rsid w:val="008E19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72284">
      <w:bodyDiv w:val="1"/>
      <w:marLeft w:val="0"/>
      <w:marRight w:val="0"/>
      <w:marTop w:val="0"/>
      <w:marBottom w:val="0"/>
      <w:divBdr>
        <w:top w:val="none" w:sz="0" w:space="0" w:color="auto"/>
        <w:left w:val="none" w:sz="0" w:space="0" w:color="auto"/>
        <w:bottom w:val="none" w:sz="0" w:space="0" w:color="auto"/>
        <w:right w:val="none" w:sz="0" w:space="0" w:color="auto"/>
      </w:divBdr>
    </w:div>
    <w:div w:id="595871769">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40896">
      <w:bodyDiv w:val="1"/>
      <w:marLeft w:val="0"/>
      <w:marRight w:val="0"/>
      <w:marTop w:val="0"/>
      <w:marBottom w:val="0"/>
      <w:divBdr>
        <w:top w:val="none" w:sz="0" w:space="0" w:color="auto"/>
        <w:left w:val="none" w:sz="0" w:space="0" w:color="auto"/>
        <w:bottom w:val="none" w:sz="0" w:space="0" w:color="auto"/>
        <w:right w:val="none" w:sz="0" w:space="0" w:color="auto"/>
      </w:divBdr>
    </w:div>
    <w:div w:id="1748265224">
      <w:bodyDiv w:val="1"/>
      <w:marLeft w:val="0"/>
      <w:marRight w:val="0"/>
      <w:marTop w:val="0"/>
      <w:marBottom w:val="0"/>
      <w:divBdr>
        <w:top w:val="none" w:sz="0" w:space="0" w:color="auto"/>
        <w:left w:val="none" w:sz="0" w:space="0" w:color="auto"/>
        <w:bottom w:val="none" w:sz="0" w:space="0" w:color="auto"/>
        <w:right w:val="none" w:sz="0" w:space="0" w:color="auto"/>
      </w:divBdr>
    </w:div>
    <w:div w:id="2054767476">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C6A862-7845-42C1-B7CA-9E68B5C59036}" type="doc">
      <dgm:prSet loTypeId="urn:microsoft.com/office/officeart/2005/8/layout/vProcess5" loCatId="process" qsTypeId="urn:microsoft.com/office/officeart/2005/8/quickstyle/simple1" qsCatId="simple" csTypeId="urn:microsoft.com/office/officeart/2005/8/colors/accent3_1" csCatId="accent3" phldr="1"/>
      <dgm:spPr/>
      <dgm:t>
        <a:bodyPr/>
        <a:lstStyle/>
        <a:p>
          <a:endParaRPr lang="en-US"/>
        </a:p>
      </dgm:t>
    </dgm:pt>
    <dgm:pt modelId="{0A8CA030-0CDE-409F-80C1-A125B46465F7}">
      <dgm:prSet phldrT="[Texto]" custT="1"/>
      <dgm:spPr/>
      <dgm:t>
        <a:bodyPr/>
        <a:lstStyle/>
        <a:p>
          <a:pPr algn="l"/>
          <a:r>
            <a:rPr lang="en-US" sz="900">
              <a:latin typeface="Arial" panose="020B0604020202020204" pitchFamily="34" charset="0"/>
              <a:cs typeface="Arial" panose="020B0604020202020204" pitchFamily="34" charset="0"/>
            </a:rPr>
            <a:t>Stage 1: Productión of Biochar (Sewage Sludge)</a:t>
          </a:r>
        </a:p>
      </dgm:t>
    </dgm:pt>
    <dgm:pt modelId="{0FDF19CD-F626-4A5A-94CD-2D16FFA41627}" type="parTrans" cxnId="{3E86B621-5487-4710-9EE1-92AE37ABDC57}">
      <dgm:prSet/>
      <dgm:spPr/>
      <dgm:t>
        <a:bodyPr/>
        <a:lstStyle/>
        <a:p>
          <a:pPr algn="l"/>
          <a:endParaRPr lang="en-US">
            <a:latin typeface="Arial" panose="020B0604020202020204" pitchFamily="34" charset="0"/>
            <a:cs typeface="Arial" panose="020B0604020202020204" pitchFamily="34" charset="0"/>
          </a:endParaRPr>
        </a:p>
      </dgm:t>
    </dgm:pt>
    <dgm:pt modelId="{93D24710-5908-4C5D-A575-482961CA237A}" type="sibTrans" cxnId="{3E86B621-5487-4710-9EE1-92AE37ABDC57}">
      <dgm:prSet/>
      <dgm:spPr/>
      <dgm:t>
        <a:bodyPr/>
        <a:lstStyle/>
        <a:p>
          <a:pPr algn="l"/>
          <a:endParaRPr lang="en-US">
            <a:latin typeface="Arial" panose="020B0604020202020204" pitchFamily="34" charset="0"/>
            <a:cs typeface="Arial" panose="020B0604020202020204" pitchFamily="34" charset="0"/>
          </a:endParaRPr>
        </a:p>
      </dgm:t>
    </dgm:pt>
    <dgm:pt modelId="{3B8CDB8A-8BB3-4842-B793-48398519F550}">
      <dgm:prSet phldrT="[Texto]" custT="1"/>
      <dgm:spPr/>
      <dgm:t>
        <a:bodyPr/>
        <a:lstStyle/>
        <a:p>
          <a:pPr algn="l"/>
          <a:r>
            <a:rPr lang="en-US" sz="900">
              <a:latin typeface="Arial" panose="020B0604020202020204" pitchFamily="34" charset="0"/>
              <a:cs typeface="Arial" panose="020B0604020202020204" pitchFamily="34" charset="0"/>
            </a:rPr>
            <a:t>Stage 2: Soil Sampling</a:t>
          </a:r>
        </a:p>
      </dgm:t>
    </dgm:pt>
    <dgm:pt modelId="{32D6FA32-2DD1-41E1-8563-8648E0D39067}" type="parTrans" cxnId="{2D0017F7-F72E-47CE-B2EA-0735694C5BCB}">
      <dgm:prSet/>
      <dgm:spPr/>
      <dgm:t>
        <a:bodyPr/>
        <a:lstStyle/>
        <a:p>
          <a:pPr algn="l"/>
          <a:endParaRPr lang="en-US">
            <a:latin typeface="Arial" panose="020B0604020202020204" pitchFamily="34" charset="0"/>
            <a:cs typeface="Arial" panose="020B0604020202020204" pitchFamily="34" charset="0"/>
          </a:endParaRPr>
        </a:p>
      </dgm:t>
    </dgm:pt>
    <dgm:pt modelId="{3D698E26-2520-4C8A-9993-AFEA350E594E}" type="sibTrans" cxnId="{2D0017F7-F72E-47CE-B2EA-0735694C5BCB}">
      <dgm:prSet/>
      <dgm:spPr/>
      <dgm:t>
        <a:bodyPr/>
        <a:lstStyle/>
        <a:p>
          <a:pPr algn="l"/>
          <a:endParaRPr lang="en-US">
            <a:latin typeface="Arial" panose="020B0604020202020204" pitchFamily="34" charset="0"/>
            <a:cs typeface="Arial" panose="020B0604020202020204" pitchFamily="34" charset="0"/>
          </a:endParaRPr>
        </a:p>
      </dgm:t>
    </dgm:pt>
    <dgm:pt modelId="{F34F8C53-E58B-4A93-ACCA-6CA714489841}">
      <dgm:prSet phldrT="[Texto]" custT="1"/>
      <dgm:spPr/>
      <dgm:t>
        <a:bodyPr/>
        <a:lstStyle/>
        <a:p>
          <a:pPr algn="l"/>
          <a:r>
            <a:rPr lang="en-US" sz="900">
              <a:latin typeface="Arial" panose="020B0604020202020204" pitchFamily="34" charset="0"/>
              <a:cs typeface="Arial" panose="020B0604020202020204" pitchFamily="34" charset="0"/>
            </a:rPr>
            <a:t>Stage 3: Soil Remediation Process</a:t>
          </a:r>
        </a:p>
      </dgm:t>
    </dgm:pt>
    <dgm:pt modelId="{074B330C-3530-4D5E-90C2-C2217F036F13}" type="parTrans" cxnId="{D351C2C1-BDCC-4466-9453-4B0C3EB3B56E}">
      <dgm:prSet/>
      <dgm:spPr/>
      <dgm:t>
        <a:bodyPr/>
        <a:lstStyle/>
        <a:p>
          <a:pPr algn="l"/>
          <a:endParaRPr lang="en-US">
            <a:latin typeface="Arial" panose="020B0604020202020204" pitchFamily="34" charset="0"/>
            <a:cs typeface="Arial" panose="020B0604020202020204" pitchFamily="34" charset="0"/>
          </a:endParaRPr>
        </a:p>
      </dgm:t>
    </dgm:pt>
    <dgm:pt modelId="{08231364-9F25-46B8-92AD-9AE0462A7221}" type="sibTrans" cxnId="{D351C2C1-BDCC-4466-9453-4B0C3EB3B56E}">
      <dgm:prSet/>
      <dgm:spPr/>
      <dgm:t>
        <a:bodyPr/>
        <a:lstStyle/>
        <a:p>
          <a:pPr algn="l"/>
          <a:endParaRPr lang="en-US">
            <a:latin typeface="Arial" panose="020B0604020202020204" pitchFamily="34" charset="0"/>
            <a:cs typeface="Arial" panose="020B0604020202020204" pitchFamily="34" charset="0"/>
          </a:endParaRPr>
        </a:p>
      </dgm:t>
    </dgm:pt>
    <dgm:pt modelId="{0DFA6BC1-DA3D-4730-B619-BBFAABB3C18B}">
      <dgm:prSet phldrT="[Texto]" custT="1"/>
      <dgm:spPr/>
      <dgm:t>
        <a:bodyPr/>
        <a:lstStyle/>
        <a:p>
          <a:pPr algn="l"/>
          <a:r>
            <a:rPr lang="en-US" sz="900">
              <a:latin typeface="Arial" panose="020B0604020202020204" pitchFamily="34" charset="0"/>
              <a:cs typeface="Arial" panose="020B0604020202020204" pitchFamily="34" charset="0"/>
            </a:rPr>
            <a:t>Stage 4: Sample Analysis</a:t>
          </a:r>
        </a:p>
      </dgm:t>
    </dgm:pt>
    <dgm:pt modelId="{724B4CC9-9657-4717-865C-ECA41C10A21E}" type="parTrans" cxnId="{6F7BCD08-D1F5-4FAE-84C0-56E1735D4BD8}">
      <dgm:prSet/>
      <dgm:spPr/>
      <dgm:t>
        <a:bodyPr/>
        <a:lstStyle/>
        <a:p>
          <a:pPr algn="l"/>
          <a:endParaRPr lang="en-US">
            <a:latin typeface="Arial" panose="020B0604020202020204" pitchFamily="34" charset="0"/>
            <a:cs typeface="Arial" panose="020B0604020202020204" pitchFamily="34" charset="0"/>
          </a:endParaRPr>
        </a:p>
      </dgm:t>
    </dgm:pt>
    <dgm:pt modelId="{E5B6A954-7C46-482B-B793-EE98D98F31E1}" type="sibTrans" cxnId="{6F7BCD08-D1F5-4FAE-84C0-56E1735D4BD8}">
      <dgm:prSet/>
      <dgm:spPr/>
      <dgm:t>
        <a:bodyPr/>
        <a:lstStyle/>
        <a:p>
          <a:pPr algn="l"/>
          <a:endParaRPr lang="en-US">
            <a:latin typeface="Arial" panose="020B0604020202020204" pitchFamily="34" charset="0"/>
            <a:cs typeface="Arial" panose="020B0604020202020204" pitchFamily="34" charset="0"/>
          </a:endParaRPr>
        </a:p>
      </dgm:t>
    </dgm:pt>
    <dgm:pt modelId="{6E820AFF-37F4-488C-A14C-B8BD6D23285F}">
      <dgm:prSet phldrT="[Texto]" custT="1"/>
      <dgm:spPr/>
      <dgm:t>
        <a:bodyPr/>
        <a:lstStyle/>
        <a:p>
          <a:pPr algn="l"/>
          <a:r>
            <a:rPr lang="en-US" sz="900">
              <a:latin typeface="Arial" panose="020B0604020202020204" pitchFamily="34" charset="0"/>
              <a:cs typeface="Arial" panose="020B0604020202020204" pitchFamily="34" charset="0"/>
            </a:rPr>
            <a:t>Stage 5: Data Processing</a:t>
          </a:r>
        </a:p>
      </dgm:t>
    </dgm:pt>
    <dgm:pt modelId="{69F9DC74-FD62-4FF7-8C92-2F2670C9155D}" type="parTrans" cxnId="{547FC79B-F834-4E7F-AC76-F5BC37692755}">
      <dgm:prSet/>
      <dgm:spPr/>
      <dgm:t>
        <a:bodyPr/>
        <a:lstStyle/>
        <a:p>
          <a:pPr algn="l"/>
          <a:endParaRPr lang="en-US">
            <a:latin typeface="Arial" panose="020B0604020202020204" pitchFamily="34" charset="0"/>
            <a:cs typeface="Arial" panose="020B0604020202020204" pitchFamily="34" charset="0"/>
          </a:endParaRPr>
        </a:p>
      </dgm:t>
    </dgm:pt>
    <dgm:pt modelId="{23848B5F-4CD4-473C-95DC-20FA3F9E7EBA}" type="sibTrans" cxnId="{547FC79B-F834-4E7F-AC76-F5BC37692755}">
      <dgm:prSet/>
      <dgm:spPr/>
      <dgm:t>
        <a:bodyPr/>
        <a:lstStyle/>
        <a:p>
          <a:pPr algn="l"/>
          <a:endParaRPr lang="en-US">
            <a:latin typeface="Arial" panose="020B0604020202020204" pitchFamily="34" charset="0"/>
            <a:cs typeface="Arial" panose="020B0604020202020204" pitchFamily="34" charset="0"/>
          </a:endParaRPr>
        </a:p>
      </dgm:t>
    </dgm:pt>
    <dgm:pt modelId="{E69940EB-A695-4102-9DB8-78DFF2688617}" type="pres">
      <dgm:prSet presAssocID="{74C6A862-7845-42C1-B7CA-9E68B5C59036}" presName="outerComposite" presStyleCnt="0">
        <dgm:presLayoutVars>
          <dgm:chMax val="5"/>
          <dgm:dir/>
          <dgm:resizeHandles val="exact"/>
        </dgm:presLayoutVars>
      </dgm:prSet>
      <dgm:spPr/>
    </dgm:pt>
    <dgm:pt modelId="{2B3EE4A2-5F96-4CC8-813C-5C2F52832568}" type="pres">
      <dgm:prSet presAssocID="{74C6A862-7845-42C1-B7CA-9E68B5C59036}" presName="dummyMaxCanvas" presStyleCnt="0">
        <dgm:presLayoutVars/>
      </dgm:prSet>
      <dgm:spPr/>
    </dgm:pt>
    <dgm:pt modelId="{A91FB626-A944-4E6E-ABEF-D5DD315C2782}" type="pres">
      <dgm:prSet presAssocID="{74C6A862-7845-42C1-B7CA-9E68B5C59036}" presName="FiveNodes_1" presStyleLbl="node1" presStyleIdx="0" presStyleCnt="5">
        <dgm:presLayoutVars>
          <dgm:bulletEnabled val="1"/>
        </dgm:presLayoutVars>
      </dgm:prSet>
      <dgm:spPr/>
    </dgm:pt>
    <dgm:pt modelId="{17007D06-FB2F-4275-BAA0-8A223CC579E9}" type="pres">
      <dgm:prSet presAssocID="{74C6A862-7845-42C1-B7CA-9E68B5C59036}" presName="FiveNodes_2" presStyleLbl="node1" presStyleIdx="1" presStyleCnt="5">
        <dgm:presLayoutVars>
          <dgm:bulletEnabled val="1"/>
        </dgm:presLayoutVars>
      </dgm:prSet>
      <dgm:spPr/>
    </dgm:pt>
    <dgm:pt modelId="{68696DF0-6D03-482D-B5B1-94657925D7F9}" type="pres">
      <dgm:prSet presAssocID="{74C6A862-7845-42C1-B7CA-9E68B5C59036}" presName="FiveNodes_3" presStyleLbl="node1" presStyleIdx="2" presStyleCnt="5">
        <dgm:presLayoutVars>
          <dgm:bulletEnabled val="1"/>
        </dgm:presLayoutVars>
      </dgm:prSet>
      <dgm:spPr/>
    </dgm:pt>
    <dgm:pt modelId="{0C8F0F73-B0CD-4D1F-91CC-F3F5CDF20CEB}" type="pres">
      <dgm:prSet presAssocID="{74C6A862-7845-42C1-B7CA-9E68B5C59036}" presName="FiveNodes_4" presStyleLbl="node1" presStyleIdx="3" presStyleCnt="5">
        <dgm:presLayoutVars>
          <dgm:bulletEnabled val="1"/>
        </dgm:presLayoutVars>
      </dgm:prSet>
      <dgm:spPr/>
    </dgm:pt>
    <dgm:pt modelId="{1F9F1106-5004-4A81-8F75-F50DA4D52005}" type="pres">
      <dgm:prSet presAssocID="{74C6A862-7845-42C1-B7CA-9E68B5C59036}" presName="FiveNodes_5" presStyleLbl="node1" presStyleIdx="4" presStyleCnt="5">
        <dgm:presLayoutVars>
          <dgm:bulletEnabled val="1"/>
        </dgm:presLayoutVars>
      </dgm:prSet>
      <dgm:spPr/>
    </dgm:pt>
    <dgm:pt modelId="{B51D251B-BFEC-4180-A5CD-E4C87FE6111C}" type="pres">
      <dgm:prSet presAssocID="{74C6A862-7845-42C1-B7CA-9E68B5C59036}" presName="FiveConn_1-2" presStyleLbl="fgAccFollowNode1" presStyleIdx="0" presStyleCnt="4">
        <dgm:presLayoutVars>
          <dgm:bulletEnabled val="1"/>
        </dgm:presLayoutVars>
      </dgm:prSet>
      <dgm:spPr/>
    </dgm:pt>
    <dgm:pt modelId="{699ABFB4-EB23-427D-8D28-AF42D94E82F1}" type="pres">
      <dgm:prSet presAssocID="{74C6A862-7845-42C1-B7CA-9E68B5C59036}" presName="FiveConn_2-3" presStyleLbl="fgAccFollowNode1" presStyleIdx="1" presStyleCnt="4">
        <dgm:presLayoutVars>
          <dgm:bulletEnabled val="1"/>
        </dgm:presLayoutVars>
      </dgm:prSet>
      <dgm:spPr/>
    </dgm:pt>
    <dgm:pt modelId="{8474E8C3-68DD-4C00-8E41-3D3A52BBA357}" type="pres">
      <dgm:prSet presAssocID="{74C6A862-7845-42C1-B7CA-9E68B5C59036}" presName="FiveConn_3-4" presStyleLbl="fgAccFollowNode1" presStyleIdx="2" presStyleCnt="4">
        <dgm:presLayoutVars>
          <dgm:bulletEnabled val="1"/>
        </dgm:presLayoutVars>
      </dgm:prSet>
      <dgm:spPr/>
    </dgm:pt>
    <dgm:pt modelId="{A2BC5B48-9594-47FD-B928-ED587773A523}" type="pres">
      <dgm:prSet presAssocID="{74C6A862-7845-42C1-B7CA-9E68B5C59036}" presName="FiveConn_4-5" presStyleLbl="fgAccFollowNode1" presStyleIdx="3" presStyleCnt="4">
        <dgm:presLayoutVars>
          <dgm:bulletEnabled val="1"/>
        </dgm:presLayoutVars>
      </dgm:prSet>
      <dgm:spPr/>
    </dgm:pt>
    <dgm:pt modelId="{A22EC9A4-0240-4FFA-B4D7-DF32C77934AE}" type="pres">
      <dgm:prSet presAssocID="{74C6A862-7845-42C1-B7CA-9E68B5C59036}" presName="FiveNodes_1_text" presStyleLbl="node1" presStyleIdx="4" presStyleCnt="5">
        <dgm:presLayoutVars>
          <dgm:bulletEnabled val="1"/>
        </dgm:presLayoutVars>
      </dgm:prSet>
      <dgm:spPr/>
    </dgm:pt>
    <dgm:pt modelId="{0BE841CD-87EE-4CF5-A05F-509585172875}" type="pres">
      <dgm:prSet presAssocID="{74C6A862-7845-42C1-B7CA-9E68B5C59036}" presName="FiveNodes_2_text" presStyleLbl="node1" presStyleIdx="4" presStyleCnt="5">
        <dgm:presLayoutVars>
          <dgm:bulletEnabled val="1"/>
        </dgm:presLayoutVars>
      </dgm:prSet>
      <dgm:spPr/>
    </dgm:pt>
    <dgm:pt modelId="{2BBDEC2D-E8CD-4108-812A-9F1CEECFA2D6}" type="pres">
      <dgm:prSet presAssocID="{74C6A862-7845-42C1-B7CA-9E68B5C59036}" presName="FiveNodes_3_text" presStyleLbl="node1" presStyleIdx="4" presStyleCnt="5">
        <dgm:presLayoutVars>
          <dgm:bulletEnabled val="1"/>
        </dgm:presLayoutVars>
      </dgm:prSet>
      <dgm:spPr/>
    </dgm:pt>
    <dgm:pt modelId="{CD838417-7269-4599-A30C-BE3BED3322AB}" type="pres">
      <dgm:prSet presAssocID="{74C6A862-7845-42C1-B7CA-9E68B5C59036}" presName="FiveNodes_4_text" presStyleLbl="node1" presStyleIdx="4" presStyleCnt="5">
        <dgm:presLayoutVars>
          <dgm:bulletEnabled val="1"/>
        </dgm:presLayoutVars>
      </dgm:prSet>
      <dgm:spPr/>
    </dgm:pt>
    <dgm:pt modelId="{A9FDBA9F-57B3-4B32-B9D2-4FA94AEBE3EB}" type="pres">
      <dgm:prSet presAssocID="{74C6A862-7845-42C1-B7CA-9E68B5C59036}" presName="FiveNodes_5_text" presStyleLbl="node1" presStyleIdx="4" presStyleCnt="5">
        <dgm:presLayoutVars>
          <dgm:bulletEnabled val="1"/>
        </dgm:presLayoutVars>
      </dgm:prSet>
      <dgm:spPr/>
    </dgm:pt>
  </dgm:ptLst>
  <dgm:cxnLst>
    <dgm:cxn modelId="{66AAF204-5AC8-413F-AE8A-D2932BED02A3}" type="presOf" srcId="{0DFA6BC1-DA3D-4730-B619-BBFAABB3C18B}" destId="{CD838417-7269-4599-A30C-BE3BED3322AB}" srcOrd="1" destOrd="0" presId="urn:microsoft.com/office/officeart/2005/8/layout/vProcess5"/>
    <dgm:cxn modelId="{6F7BCD08-D1F5-4FAE-84C0-56E1735D4BD8}" srcId="{74C6A862-7845-42C1-B7CA-9E68B5C59036}" destId="{0DFA6BC1-DA3D-4730-B619-BBFAABB3C18B}" srcOrd="3" destOrd="0" parTransId="{724B4CC9-9657-4717-865C-ECA41C10A21E}" sibTransId="{E5B6A954-7C46-482B-B793-EE98D98F31E1}"/>
    <dgm:cxn modelId="{425BD510-7B24-485E-A29E-E671C541159F}" type="presOf" srcId="{93D24710-5908-4C5D-A575-482961CA237A}" destId="{B51D251B-BFEC-4180-A5CD-E4C87FE6111C}" srcOrd="0" destOrd="0" presId="urn:microsoft.com/office/officeart/2005/8/layout/vProcess5"/>
    <dgm:cxn modelId="{3E86B621-5487-4710-9EE1-92AE37ABDC57}" srcId="{74C6A862-7845-42C1-B7CA-9E68B5C59036}" destId="{0A8CA030-0CDE-409F-80C1-A125B46465F7}" srcOrd="0" destOrd="0" parTransId="{0FDF19CD-F626-4A5A-94CD-2D16FFA41627}" sibTransId="{93D24710-5908-4C5D-A575-482961CA237A}"/>
    <dgm:cxn modelId="{85F0F65D-BA58-47CA-BBB3-2FC27A74621F}" type="presOf" srcId="{0A8CA030-0CDE-409F-80C1-A125B46465F7}" destId="{A22EC9A4-0240-4FFA-B4D7-DF32C77934AE}" srcOrd="1" destOrd="0" presId="urn:microsoft.com/office/officeart/2005/8/layout/vProcess5"/>
    <dgm:cxn modelId="{74EE9D72-55FB-414F-B3A6-2A3C7895FE4B}" type="presOf" srcId="{08231364-9F25-46B8-92AD-9AE0462A7221}" destId="{8474E8C3-68DD-4C00-8E41-3D3A52BBA357}" srcOrd="0" destOrd="0" presId="urn:microsoft.com/office/officeart/2005/8/layout/vProcess5"/>
    <dgm:cxn modelId="{C88DD586-385E-407A-9883-3C6B61A4AF48}" type="presOf" srcId="{3B8CDB8A-8BB3-4842-B793-48398519F550}" destId="{0BE841CD-87EE-4CF5-A05F-509585172875}" srcOrd="1" destOrd="0" presId="urn:microsoft.com/office/officeart/2005/8/layout/vProcess5"/>
    <dgm:cxn modelId="{FAAEC487-735B-42B4-A76C-8AF27836C9E1}" type="presOf" srcId="{F34F8C53-E58B-4A93-ACCA-6CA714489841}" destId="{68696DF0-6D03-482D-B5B1-94657925D7F9}" srcOrd="0" destOrd="0" presId="urn:microsoft.com/office/officeart/2005/8/layout/vProcess5"/>
    <dgm:cxn modelId="{2EBD2696-0823-4E14-B2F5-B3EB0697F28B}" type="presOf" srcId="{6E820AFF-37F4-488C-A14C-B8BD6D23285F}" destId="{1F9F1106-5004-4A81-8F75-F50DA4D52005}" srcOrd="0" destOrd="0" presId="urn:microsoft.com/office/officeart/2005/8/layout/vProcess5"/>
    <dgm:cxn modelId="{86D91899-D5E4-491B-96D0-742796763E9E}" type="presOf" srcId="{E5B6A954-7C46-482B-B793-EE98D98F31E1}" destId="{A2BC5B48-9594-47FD-B928-ED587773A523}" srcOrd="0" destOrd="0" presId="urn:microsoft.com/office/officeart/2005/8/layout/vProcess5"/>
    <dgm:cxn modelId="{547FC79B-F834-4E7F-AC76-F5BC37692755}" srcId="{74C6A862-7845-42C1-B7CA-9E68B5C59036}" destId="{6E820AFF-37F4-488C-A14C-B8BD6D23285F}" srcOrd="4" destOrd="0" parTransId="{69F9DC74-FD62-4FF7-8C92-2F2670C9155D}" sibTransId="{23848B5F-4CD4-473C-95DC-20FA3F9E7EBA}"/>
    <dgm:cxn modelId="{ACDDABA5-DA10-446E-BC72-F5F7141D9D2F}" type="presOf" srcId="{0DFA6BC1-DA3D-4730-B619-BBFAABB3C18B}" destId="{0C8F0F73-B0CD-4D1F-91CC-F3F5CDF20CEB}" srcOrd="0" destOrd="0" presId="urn:microsoft.com/office/officeart/2005/8/layout/vProcess5"/>
    <dgm:cxn modelId="{BB49DDA7-070D-4852-9739-297825576FD0}" type="presOf" srcId="{0A8CA030-0CDE-409F-80C1-A125B46465F7}" destId="{A91FB626-A944-4E6E-ABEF-D5DD315C2782}" srcOrd="0" destOrd="0" presId="urn:microsoft.com/office/officeart/2005/8/layout/vProcess5"/>
    <dgm:cxn modelId="{D351C2C1-BDCC-4466-9453-4B0C3EB3B56E}" srcId="{74C6A862-7845-42C1-B7CA-9E68B5C59036}" destId="{F34F8C53-E58B-4A93-ACCA-6CA714489841}" srcOrd="2" destOrd="0" parTransId="{074B330C-3530-4D5E-90C2-C2217F036F13}" sibTransId="{08231364-9F25-46B8-92AD-9AE0462A7221}"/>
    <dgm:cxn modelId="{CC87C8CF-3BCE-4230-8E79-0092567B5F0A}" type="presOf" srcId="{F34F8C53-E58B-4A93-ACCA-6CA714489841}" destId="{2BBDEC2D-E8CD-4108-812A-9F1CEECFA2D6}" srcOrd="1" destOrd="0" presId="urn:microsoft.com/office/officeart/2005/8/layout/vProcess5"/>
    <dgm:cxn modelId="{9EAE99DB-D3E2-49EF-AE7E-C5911163C871}" type="presOf" srcId="{74C6A862-7845-42C1-B7CA-9E68B5C59036}" destId="{E69940EB-A695-4102-9DB8-78DFF2688617}" srcOrd="0" destOrd="0" presId="urn:microsoft.com/office/officeart/2005/8/layout/vProcess5"/>
    <dgm:cxn modelId="{D655AFDF-8BAC-4314-A572-70C445EB4EE7}" type="presOf" srcId="{3B8CDB8A-8BB3-4842-B793-48398519F550}" destId="{17007D06-FB2F-4275-BAA0-8A223CC579E9}" srcOrd="0" destOrd="0" presId="urn:microsoft.com/office/officeart/2005/8/layout/vProcess5"/>
    <dgm:cxn modelId="{1AB383E4-EF29-4718-BCA2-0C60D8E422C3}" type="presOf" srcId="{6E820AFF-37F4-488C-A14C-B8BD6D23285F}" destId="{A9FDBA9F-57B3-4B32-B9D2-4FA94AEBE3EB}" srcOrd="1" destOrd="0" presId="urn:microsoft.com/office/officeart/2005/8/layout/vProcess5"/>
    <dgm:cxn modelId="{367692F5-4CDE-45D4-9986-C302ED064E6F}" type="presOf" srcId="{3D698E26-2520-4C8A-9993-AFEA350E594E}" destId="{699ABFB4-EB23-427D-8D28-AF42D94E82F1}" srcOrd="0" destOrd="0" presId="urn:microsoft.com/office/officeart/2005/8/layout/vProcess5"/>
    <dgm:cxn modelId="{2D0017F7-F72E-47CE-B2EA-0735694C5BCB}" srcId="{74C6A862-7845-42C1-B7CA-9E68B5C59036}" destId="{3B8CDB8A-8BB3-4842-B793-48398519F550}" srcOrd="1" destOrd="0" parTransId="{32D6FA32-2DD1-41E1-8563-8648E0D39067}" sibTransId="{3D698E26-2520-4C8A-9993-AFEA350E594E}"/>
    <dgm:cxn modelId="{2B9F145C-0813-48B6-A1F0-17F5BCC157D7}" type="presParOf" srcId="{E69940EB-A695-4102-9DB8-78DFF2688617}" destId="{2B3EE4A2-5F96-4CC8-813C-5C2F52832568}" srcOrd="0" destOrd="0" presId="urn:microsoft.com/office/officeart/2005/8/layout/vProcess5"/>
    <dgm:cxn modelId="{AE8AC988-86B3-4741-8B6A-635147200141}" type="presParOf" srcId="{E69940EB-A695-4102-9DB8-78DFF2688617}" destId="{A91FB626-A944-4E6E-ABEF-D5DD315C2782}" srcOrd="1" destOrd="0" presId="urn:microsoft.com/office/officeart/2005/8/layout/vProcess5"/>
    <dgm:cxn modelId="{5B30B178-C1EC-4990-BE55-CC8667468463}" type="presParOf" srcId="{E69940EB-A695-4102-9DB8-78DFF2688617}" destId="{17007D06-FB2F-4275-BAA0-8A223CC579E9}" srcOrd="2" destOrd="0" presId="urn:microsoft.com/office/officeart/2005/8/layout/vProcess5"/>
    <dgm:cxn modelId="{3B3EA3FF-A866-47AB-B41B-90B4978261BD}" type="presParOf" srcId="{E69940EB-A695-4102-9DB8-78DFF2688617}" destId="{68696DF0-6D03-482D-B5B1-94657925D7F9}" srcOrd="3" destOrd="0" presId="urn:microsoft.com/office/officeart/2005/8/layout/vProcess5"/>
    <dgm:cxn modelId="{34A7BA70-F44A-4D86-AC68-0DA5B4518372}" type="presParOf" srcId="{E69940EB-A695-4102-9DB8-78DFF2688617}" destId="{0C8F0F73-B0CD-4D1F-91CC-F3F5CDF20CEB}" srcOrd="4" destOrd="0" presId="urn:microsoft.com/office/officeart/2005/8/layout/vProcess5"/>
    <dgm:cxn modelId="{3D72A178-8253-4ED7-A1B2-B8FE0509522E}" type="presParOf" srcId="{E69940EB-A695-4102-9DB8-78DFF2688617}" destId="{1F9F1106-5004-4A81-8F75-F50DA4D52005}" srcOrd="5" destOrd="0" presId="urn:microsoft.com/office/officeart/2005/8/layout/vProcess5"/>
    <dgm:cxn modelId="{3F4C5450-2D7A-4B29-9527-3CAADCCA4922}" type="presParOf" srcId="{E69940EB-A695-4102-9DB8-78DFF2688617}" destId="{B51D251B-BFEC-4180-A5CD-E4C87FE6111C}" srcOrd="6" destOrd="0" presId="urn:microsoft.com/office/officeart/2005/8/layout/vProcess5"/>
    <dgm:cxn modelId="{B7825447-FFAB-4AE9-A6A4-2E1C5362CC9A}" type="presParOf" srcId="{E69940EB-A695-4102-9DB8-78DFF2688617}" destId="{699ABFB4-EB23-427D-8D28-AF42D94E82F1}" srcOrd="7" destOrd="0" presId="urn:microsoft.com/office/officeart/2005/8/layout/vProcess5"/>
    <dgm:cxn modelId="{B4015EB0-AF40-4AA7-A0C1-F9BEF100662F}" type="presParOf" srcId="{E69940EB-A695-4102-9DB8-78DFF2688617}" destId="{8474E8C3-68DD-4C00-8E41-3D3A52BBA357}" srcOrd="8" destOrd="0" presId="urn:microsoft.com/office/officeart/2005/8/layout/vProcess5"/>
    <dgm:cxn modelId="{EC0E01C6-8B72-4B5B-820E-100A8C6844D8}" type="presParOf" srcId="{E69940EB-A695-4102-9DB8-78DFF2688617}" destId="{A2BC5B48-9594-47FD-B928-ED587773A523}" srcOrd="9" destOrd="0" presId="urn:microsoft.com/office/officeart/2005/8/layout/vProcess5"/>
    <dgm:cxn modelId="{E07A4642-BB19-400F-9647-C006E11A1E40}" type="presParOf" srcId="{E69940EB-A695-4102-9DB8-78DFF2688617}" destId="{A22EC9A4-0240-4FFA-B4D7-DF32C77934AE}" srcOrd="10" destOrd="0" presId="urn:microsoft.com/office/officeart/2005/8/layout/vProcess5"/>
    <dgm:cxn modelId="{606F0413-2BB0-492B-817F-11FA92391C9D}" type="presParOf" srcId="{E69940EB-A695-4102-9DB8-78DFF2688617}" destId="{0BE841CD-87EE-4CF5-A05F-509585172875}" srcOrd="11" destOrd="0" presId="urn:microsoft.com/office/officeart/2005/8/layout/vProcess5"/>
    <dgm:cxn modelId="{5FB6858D-6BD4-43AF-BFE7-62594E218715}" type="presParOf" srcId="{E69940EB-A695-4102-9DB8-78DFF2688617}" destId="{2BBDEC2D-E8CD-4108-812A-9F1CEECFA2D6}" srcOrd="12" destOrd="0" presId="urn:microsoft.com/office/officeart/2005/8/layout/vProcess5"/>
    <dgm:cxn modelId="{3DD06963-5B1E-49B7-95F1-92BF4B2FA8FA}" type="presParOf" srcId="{E69940EB-A695-4102-9DB8-78DFF2688617}" destId="{CD838417-7269-4599-A30C-BE3BED3322AB}" srcOrd="13" destOrd="0" presId="urn:microsoft.com/office/officeart/2005/8/layout/vProcess5"/>
    <dgm:cxn modelId="{A513481B-4E3A-470A-B837-C0779A4E94B7}" type="presParOf" srcId="{E69940EB-A695-4102-9DB8-78DFF2688617}" destId="{A9FDBA9F-57B3-4B32-B9D2-4FA94AEBE3EB}" srcOrd="14" destOrd="0" presId="urn:microsoft.com/office/officeart/2005/8/layout/v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1FB626-A944-4E6E-ABEF-D5DD315C2782}">
      <dsp:nvSpPr>
        <dsp:cNvPr id="0" name=""/>
        <dsp:cNvSpPr/>
      </dsp:nvSpPr>
      <dsp:spPr>
        <a:xfrm>
          <a:off x="0" y="0"/>
          <a:ext cx="2622727" cy="493776"/>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Stage 1: Productión of Biochar (Sewage Sludge)</a:t>
          </a:r>
        </a:p>
      </dsp:txBody>
      <dsp:txXfrm>
        <a:off x="14462" y="14462"/>
        <a:ext cx="2032133" cy="464852"/>
      </dsp:txXfrm>
    </dsp:sp>
    <dsp:sp modelId="{17007D06-FB2F-4275-BAA0-8A223CC579E9}">
      <dsp:nvSpPr>
        <dsp:cNvPr id="0" name=""/>
        <dsp:cNvSpPr/>
      </dsp:nvSpPr>
      <dsp:spPr>
        <a:xfrm>
          <a:off x="195853" y="562356"/>
          <a:ext cx="2622727" cy="493776"/>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Stage 2: Soil Sampling</a:t>
          </a:r>
        </a:p>
      </dsp:txBody>
      <dsp:txXfrm>
        <a:off x="210315" y="576818"/>
        <a:ext cx="2076996" cy="464852"/>
      </dsp:txXfrm>
    </dsp:sp>
    <dsp:sp modelId="{68696DF0-6D03-482D-B5B1-94657925D7F9}">
      <dsp:nvSpPr>
        <dsp:cNvPr id="0" name=""/>
        <dsp:cNvSpPr/>
      </dsp:nvSpPr>
      <dsp:spPr>
        <a:xfrm>
          <a:off x="391706" y="1124712"/>
          <a:ext cx="2622727" cy="493776"/>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Stage 3: Soil Remediation Process</a:t>
          </a:r>
        </a:p>
      </dsp:txBody>
      <dsp:txXfrm>
        <a:off x="406168" y="1139174"/>
        <a:ext cx="2076996" cy="464852"/>
      </dsp:txXfrm>
    </dsp:sp>
    <dsp:sp modelId="{0C8F0F73-B0CD-4D1F-91CC-F3F5CDF20CEB}">
      <dsp:nvSpPr>
        <dsp:cNvPr id="0" name=""/>
        <dsp:cNvSpPr/>
      </dsp:nvSpPr>
      <dsp:spPr>
        <a:xfrm>
          <a:off x="587559" y="1687068"/>
          <a:ext cx="2622727" cy="493776"/>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Stage 4: Sample Analysis</a:t>
          </a:r>
        </a:p>
      </dsp:txBody>
      <dsp:txXfrm>
        <a:off x="602021" y="1701530"/>
        <a:ext cx="2076996" cy="464852"/>
      </dsp:txXfrm>
    </dsp:sp>
    <dsp:sp modelId="{1F9F1106-5004-4A81-8F75-F50DA4D52005}">
      <dsp:nvSpPr>
        <dsp:cNvPr id="0" name=""/>
        <dsp:cNvSpPr/>
      </dsp:nvSpPr>
      <dsp:spPr>
        <a:xfrm>
          <a:off x="783412" y="2249424"/>
          <a:ext cx="2622727" cy="493776"/>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Stage 5: Data Processing</a:t>
          </a:r>
        </a:p>
      </dsp:txBody>
      <dsp:txXfrm>
        <a:off x="797874" y="2263886"/>
        <a:ext cx="2076996" cy="464852"/>
      </dsp:txXfrm>
    </dsp:sp>
    <dsp:sp modelId="{B51D251B-BFEC-4180-A5CD-E4C87FE6111C}">
      <dsp:nvSpPr>
        <dsp:cNvPr id="0" name=""/>
        <dsp:cNvSpPr/>
      </dsp:nvSpPr>
      <dsp:spPr>
        <a:xfrm>
          <a:off x="2301773" y="360730"/>
          <a:ext cx="320954" cy="320954"/>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666750">
            <a:lnSpc>
              <a:spcPct val="90000"/>
            </a:lnSpc>
            <a:spcBef>
              <a:spcPct val="0"/>
            </a:spcBef>
            <a:spcAft>
              <a:spcPct val="35000"/>
            </a:spcAft>
            <a:buNone/>
          </a:pPr>
          <a:endParaRPr lang="en-US" sz="1500" kern="1200">
            <a:latin typeface="Arial" panose="020B0604020202020204" pitchFamily="34" charset="0"/>
            <a:cs typeface="Arial" panose="020B0604020202020204" pitchFamily="34" charset="0"/>
          </a:endParaRPr>
        </a:p>
      </dsp:txBody>
      <dsp:txXfrm>
        <a:off x="2373988" y="360730"/>
        <a:ext cx="176524" cy="241518"/>
      </dsp:txXfrm>
    </dsp:sp>
    <dsp:sp modelId="{699ABFB4-EB23-427D-8D28-AF42D94E82F1}">
      <dsp:nvSpPr>
        <dsp:cNvPr id="0" name=""/>
        <dsp:cNvSpPr/>
      </dsp:nvSpPr>
      <dsp:spPr>
        <a:xfrm>
          <a:off x="2497626" y="923086"/>
          <a:ext cx="320954" cy="320954"/>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666750">
            <a:lnSpc>
              <a:spcPct val="90000"/>
            </a:lnSpc>
            <a:spcBef>
              <a:spcPct val="0"/>
            </a:spcBef>
            <a:spcAft>
              <a:spcPct val="35000"/>
            </a:spcAft>
            <a:buNone/>
          </a:pPr>
          <a:endParaRPr lang="en-US" sz="1500" kern="1200">
            <a:latin typeface="Arial" panose="020B0604020202020204" pitchFamily="34" charset="0"/>
            <a:cs typeface="Arial" panose="020B0604020202020204" pitchFamily="34" charset="0"/>
          </a:endParaRPr>
        </a:p>
      </dsp:txBody>
      <dsp:txXfrm>
        <a:off x="2569841" y="923086"/>
        <a:ext cx="176524" cy="241518"/>
      </dsp:txXfrm>
    </dsp:sp>
    <dsp:sp modelId="{8474E8C3-68DD-4C00-8E41-3D3A52BBA357}">
      <dsp:nvSpPr>
        <dsp:cNvPr id="0" name=""/>
        <dsp:cNvSpPr/>
      </dsp:nvSpPr>
      <dsp:spPr>
        <a:xfrm>
          <a:off x="2693479" y="1477213"/>
          <a:ext cx="320954" cy="320954"/>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666750">
            <a:lnSpc>
              <a:spcPct val="90000"/>
            </a:lnSpc>
            <a:spcBef>
              <a:spcPct val="0"/>
            </a:spcBef>
            <a:spcAft>
              <a:spcPct val="35000"/>
            </a:spcAft>
            <a:buNone/>
          </a:pPr>
          <a:endParaRPr lang="en-US" sz="1500" kern="1200">
            <a:latin typeface="Arial" panose="020B0604020202020204" pitchFamily="34" charset="0"/>
            <a:cs typeface="Arial" panose="020B0604020202020204" pitchFamily="34" charset="0"/>
          </a:endParaRPr>
        </a:p>
      </dsp:txBody>
      <dsp:txXfrm>
        <a:off x="2765694" y="1477213"/>
        <a:ext cx="176524" cy="241518"/>
      </dsp:txXfrm>
    </dsp:sp>
    <dsp:sp modelId="{A2BC5B48-9594-47FD-B928-ED587773A523}">
      <dsp:nvSpPr>
        <dsp:cNvPr id="0" name=""/>
        <dsp:cNvSpPr/>
      </dsp:nvSpPr>
      <dsp:spPr>
        <a:xfrm>
          <a:off x="2889332" y="2045055"/>
          <a:ext cx="320954" cy="320954"/>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666750">
            <a:lnSpc>
              <a:spcPct val="90000"/>
            </a:lnSpc>
            <a:spcBef>
              <a:spcPct val="0"/>
            </a:spcBef>
            <a:spcAft>
              <a:spcPct val="35000"/>
            </a:spcAft>
            <a:buNone/>
          </a:pPr>
          <a:endParaRPr lang="en-US" sz="1500" kern="1200">
            <a:latin typeface="Arial" panose="020B0604020202020204" pitchFamily="34" charset="0"/>
            <a:cs typeface="Arial" panose="020B0604020202020204" pitchFamily="34" charset="0"/>
          </a:endParaRPr>
        </a:p>
      </dsp:txBody>
      <dsp:txXfrm>
        <a:off x="2961547" y="2045055"/>
        <a:ext cx="176524" cy="24151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36CC-2D6B-4815-AD6E-F32C5EFF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11677</Words>
  <Characters>64227</Characters>
  <Application>Microsoft Office Word</Application>
  <DocSecurity>0</DocSecurity>
  <Lines>535</Lines>
  <Paragraphs>151</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75753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Elmer</cp:lastModifiedBy>
  <cp:revision>6</cp:revision>
  <cp:lastPrinted>2015-05-12T18:31:00Z</cp:lastPrinted>
  <dcterms:created xsi:type="dcterms:W3CDTF">2024-03-27T04:45:00Z</dcterms:created>
  <dcterms:modified xsi:type="dcterms:W3CDTF">2024-03-28T16:28:00Z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373126340dd469f58d56b7f3780510112ffb796c1ba9df95974e3bcf2fa8dcb6</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http://csl.mendeley.com/styles/585916951/iso690-author-date-es</vt:lpwstr>
  </property>
  <property fmtid="{D5CDD505-2E9C-101B-9397-08002B2CF9AE}" pid="18" name="Mendeley Recent Style Name 6_1">
    <vt:lpwstr>ISO-690 (author-date, Español) - Danny Alonso Lizarzaburu Aguinaga</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61f0b6cd-5922-3bfb-b0eb-32c792f8a075</vt:lpwstr>
  </property>
  <property fmtid="{D5CDD505-2E9C-101B-9397-08002B2CF9AE}" pid="27" name="Mendeley Citation Style_1">
    <vt:lpwstr>http://www.zotero.org/styles/apa</vt:lpwstr>
  </property>
</Properties>
</file>