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0B10DF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35631C">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1C859D4" w:rsidR="00AA7D26" w:rsidRPr="00B731E2" w:rsidRDefault="00AA7D26" w:rsidP="00AA7D26">
            <w:pPr>
              <w:ind w:left="-107"/>
              <w:outlineLvl w:val="2"/>
              <w:rPr>
                <w:rFonts w:ascii="Tahoma" w:hAnsi="Tahoma" w:cs="Tahoma"/>
                <w:bCs/>
                <w:color w:val="000000"/>
                <w:sz w:val="14"/>
                <w:szCs w:val="14"/>
                <w:lang w:val="it-IT" w:eastAsia="it-IT"/>
              </w:rPr>
            </w:pPr>
            <w:r w:rsidRPr="00B731E2">
              <w:rPr>
                <w:rFonts w:ascii="Tahoma" w:hAnsi="Tahoma" w:cs="Tahoma"/>
                <w:iCs/>
                <w:color w:val="333333"/>
                <w:sz w:val="14"/>
                <w:szCs w:val="14"/>
                <w:lang w:val="it-IT" w:eastAsia="it-IT"/>
              </w:rPr>
              <w:t xml:space="preserve">Guest </w:t>
            </w:r>
            <w:proofErr w:type="spellStart"/>
            <w:r w:rsidRPr="00B731E2">
              <w:rPr>
                <w:rFonts w:ascii="Tahoma" w:hAnsi="Tahoma" w:cs="Tahoma"/>
                <w:iCs/>
                <w:color w:val="333333"/>
                <w:sz w:val="14"/>
                <w:szCs w:val="14"/>
                <w:lang w:val="it-IT" w:eastAsia="it-IT"/>
              </w:rPr>
              <w:t>Editors</w:t>
            </w:r>
            <w:proofErr w:type="spellEnd"/>
            <w:r w:rsidRPr="00B731E2">
              <w:rPr>
                <w:rFonts w:ascii="Tahoma" w:hAnsi="Tahoma" w:cs="Tahoma"/>
                <w:iCs/>
                <w:color w:val="333333"/>
                <w:sz w:val="14"/>
                <w:szCs w:val="14"/>
                <w:lang w:val="it-IT" w:eastAsia="it-IT"/>
              </w:rPr>
              <w:t>:</w:t>
            </w:r>
            <w:r w:rsidRPr="00B731E2">
              <w:rPr>
                <w:rFonts w:ascii="Tahoma" w:hAnsi="Tahoma" w:cs="Tahoma"/>
                <w:color w:val="000000"/>
                <w:sz w:val="14"/>
                <w:szCs w:val="14"/>
                <w:shd w:val="clear" w:color="auto" w:fill="FFFFFF"/>
                <w:lang w:val="it-IT"/>
              </w:rPr>
              <w:t xml:space="preserve"> </w:t>
            </w:r>
            <w:r w:rsidR="00965794" w:rsidRPr="00B731E2">
              <w:rPr>
                <w:rFonts w:ascii="Tahoma" w:hAnsi="Tahoma" w:cs="Tahoma"/>
                <w:color w:val="000000"/>
                <w:sz w:val="14"/>
                <w:szCs w:val="14"/>
                <w:shd w:val="clear" w:color="auto" w:fill="FFFFFF"/>
                <w:lang w:val="it-IT"/>
              </w:rPr>
              <w:t xml:space="preserve">Leonardo </w:t>
            </w:r>
            <w:proofErr w:type="spellStart"/>
            <w:r w:rsidR="00965794" w:rsidRPr="00B731E2">
              <w:rPr>
                <w:rFonts w:ascii="Tahoma" w:hAnsi="Tahoma" w:cs="Tahoma"/>
                <w:color w:val="000000"/>
                <w:sz w:val="14"/>
                <w:szCs w:val="14"/>
                <w:shd w:val="clear" w:color="auto" w:fill="FFFFFF"/>
                <w:lang w:val="it-IT"/>
              </w:rPr>
              <w:t>Tognotti</w:t>
            </w:r>
            <w:proofErr w:type="spellEnd"/>
            <w:r w:rsidR="00965794" w:rsidRPr="00B731E2">
              <w:rPr>
                <w:rFonts w:ascii="Tahoma" w:hAnsi="Tahoma" w:cs="Tahoma"/>
                <w:color w:val="000000"/>
                <w:sz w:val="14"/>
                <w:szCs w:val="14"/>
                <w:shd w:val="clear" w:color="auto" w:fill="FFFFFF"/>
                <w:lang w:val="it-IT"/>
              </w:rPr>
              <w:t xml:space="preserve">, </w:t>
            </w:r>
            <w:r w:rsidR="00965794" w:rsidRPr="00B731E2">
              <w:rPr>
                <w:rFonts w:ascii="Tahoma" w:hAnsi="Tahoma" w:cs="Tahoma"/>
                <w:color w:val="000000"/>
                <w:sz w:val="14"/>
                <w:szCs w:val="14"/>
                <w:lang w:val="it-IT"/>
              </w:rPr>
              <w:t xml:space="preserve">Rubens </w:t>
            </w:r>
            <w:proofErr w:type="spellStart"/>
            <w:r w:rsidR="00965794" w:rsidRPr="00B731E2">
              <w:rPr>
                <w:rFonts w:ascii="Tahoma" w:hAnsi="Tahoma" w:cs="Tahoma"/>
                <w:color w:val="000000"/>
                <w:sz w:val="14"/>
                <w:szCs w:val="14"/>
                <w:lang w:val="it-IT"/>
              </w:rPr>
              <w:t>Maciel</w:t>
            </w:r>
            <w:proofErr w:type="spellEnd"/>
            <w:r w:rsidR="00965794" w:rsidRPr="00B731E2">
              <w:rPr>
                <w:rFonts w:ascii="Tahoma" w:hAnsi="Tahoma" w:cs="Tahoma"/>
                <w:color w:val="000000"/>
                <w:sz w:val="14"/>
                <w:szCs w:val="14"/>
                <w:lang w:val="it-IT"/>
              </w:rPr>
              <w:t xml:space="preserve"> </w:t>
            </w:r>
            <w:proofErr w:type="spellStart"/>
            <w:r w:rsidR="00965794" w:rsidRPr="00B731E2">
              <w:rPr>
                <w:rFonts w:ascii="Tahoma" w:hAnsi="Tahoma" w:cs="Tahoma"/>
                <w:color w:val="000000"/>
                <w:sz w:val="14"/>
                <w:szCs w:val="14"/>
                <w:lang w:val="it-IT"/>
              </w:rPr>
              <w:t>Filho</w:t>
            </w:r>
            <w:proofErr w:type="spellEnd"/>
            <w:r w:rsidR="00965794" w:rsidRPr="00B731E2">
              <w:rPr>
                <w:rFonts w:ascii="Tahoma" w:hAnsi="Tahoma" w:cs="Tahoma"/>
                <w:color w:val="000000"/>
                <w:sz w:val="14"/>
                <w:szCs w:val="14"/>
                <w:shd w:val="clear" w:color="auto" w:fill="FFFFFF"/>
                <w:lang w:val="it-IT"/>
              </w:rPr>
              <w:t xml:space="preserve">, </w:t>
            </w:r>
            <w:proofErr w:type="spellStart"/>
            <w:r w:rsidR="00965794" w:rsidRPr="00B731E2">
              <w:rPr>
                <w:rFonts w:ascii="Tahoma" w:hAnsi="Tahoma" w:cs="Tahoma"/>
                <w:color w:val="000000"/>
                <w:sz w:val="14"/>
                <w:szCs w:val="14"/>
                <w:lang w:val="it-IT"/>
              </w:rPr>
              <w:t>Viatcheslav</w:t>
            </w:r>
            <w:proofErr w:type="spellEnd"/>
            <w:r w:rsidR="00965794" w:rsidRPr="00B731E2">
              <w:rPr>
                <w:rFonts w:ascii="Tahoma" w:hAnsi="Tahoma" w:cs="Tahoma"/>
                <w:color w:val="000000"/>
                <w:sz w:val="14"/>
                <w:szCs w:val="14"/>
                <w:lang w:val="it-IT"/>
              </w:rPr>
              <w:t xml:space="preserve"> </w:t>
            </w:r>
            <w:proofErr w:type="spellStart"/>
            <w:r w:rsidR="00965794" w:rsidRPr="00B731E2">
              <w:rPr>
                <w:rFonts w:ascii="Tahoma" w:hAnsi="Tahoma" w:cs="Tahoma"/>
                <w:color w:val="000000"/>
                <w:sz w:val="14"/>
                <w:szCs w:val="14"/>
                <w:lang w:val="it-IT"/>
              </w:rPr>
              <w:t>Kafarov</w:t>
            </w:r>
            <w:proofErr w:type="spellEnd"/>
          </w:p>
          <w:p w14:paraId="1B0F1814" w14:textId="4DBFD365" w:rsidR="000A03B2" w:rsidRPr="00B57B36" w:rsidRDefault="00263EF4" w:rsidP="00AA7D26">
            <w:pPr>
              <w:tabs>
                <w:tab w:val="left" w:pos="-108"/>
              </w:tabs>
              <w:spacing w:line="140" w:lineRule="atLeast"/>
              <w:ind w:left="-107"/>
              <w:jc w:val="left"/>
            </w:pPr>
            <w:r>
              <w:rPr>
                <w:rFonts w:ascii="Tahoma" w:hAnsi="Tahoma" w:cs="Tahoma"/>
                <w:iCs/>
                <w:color w:val="333333"/>
                <w:sz w:val="14"/>
                <w:szCs w:val="14"/>
                <w:lang w:eastAsia="it-IT"/>
              </w:rPr>
              <w:t>Copyright © 2024</w:t>
            </w:r>
            <w:r w:rsidR="00AA7D26" w:rsidRPr="00B57B36">
              <w:rPr>
                <w:rFonts w:ascii="Tahoma" w:hAnsi="Tahoma" w:cs="Tahoma"/>
                <w:iCs/>
                <w:color w:val="333333"/>
                <w:sz w:val="14"/>
                <w:szCs w:val="14"/>
                <w:lang w:eastAsia="it-IT"/>
              </w:rPr>
              <w:t xml:space="preserve">, AIDIC </w:t>
            </w:r>
            <w:proofErr w:type="spellStart"/>
            <w:r w:rsidR="00AA7D26" w:rsidRPr="00B57B36">
              <w:rPr>
                <w:rFonts w:ascii="Tahoma" w:hAnsi="Tahoma" w:cs="Tahoma"/>
                <w:iCs/>
                <w:color w:val="333333"/>
                <w:sz w:val="14"/>
                <w:szCs w:val="14"/>
                <w:lang w:eastAsia="it-IT"/>
              </w:rPr>
              <w:t>Servizi</w:t>
            </w:r>
            <w:proofErr w:type="spellEnd"/>
            <w:r w:rsidR="00AA7D26" w:rsidRPr="00B57B36">
              <w:rPr>
                <w:rFonts w:ascii="Tahoma" w:hAnsi="Tahoma" w:cs="Tahoma"/>
                <w:iCs/>
                <w:color w:val="333333"/>
                <w:sz w:val="14"/>
                <w:szCs w:val="14"/>
                <w:lang w:eastAsia="it-IT"/>
              </w:rPr>
              <w:t xml:space="preserve"> </w:t>
            </w:r>
            <w:proofErr w:type="spellStart"/>
            <w:r w:rsidR="00AA7D26" w:rsidRPr="00B57B36">
              <w:rPr>
                <w:rFonts w:ascii="Tahoma" w:hAnsi="Tahoma" w:cs="Tahoma"/>
                <w:iCs/>
                <w:color w:val="333333"/>
                <w:sz w:val="14"/>
                <w:szCs w:val="14"/>
                <w:lang w:eastAsia="it-IT"/>
              </w:rPr>
              <w:t>S.r.l</w:t>
            </w:r>
            <w:proofErr w:type="spellEnd"/>
            <w:r w:rsidR="00AA7D26" w:rsidRPr="00B57B36">
              <w:rPr>
                <w:rFonts w:ascii="Tahoma" w:hAnsi="Tahoma" w:cs="Tahoma"/>
                <w:iCs/>
                <w:color w:val="333333"/>
                <w:sz w:val="14"/>
                <w:szCs w:val="14"/>
                <w:lang w:eastAsia="it-IT"/>
              </w:rPr>
              <w:t>.</w:t>
            </w:r>
            <w:r w:rsidR="00AA7D26" w:rsidRPr="00B57B36">
              <w:rPr>
                <w:rFonts w:ascii="Tahoma" w:hAnsi="Tahoma" w:cs="Tahoma"/>
                <w:iCs/>
                <w:color w:val="333333"/>
                <w:sz w:val="14"/>
                <w:szCs w:val="14"/>
                <w:lang w:eastAsia="it-IT"/>
              </w:rPr>
              <w:br/>
            </w:r>
            <w:r w:rsidR="00AA7D26" w:rsidRPr="00B57B36">
              <w:rPr>
                <w:rFonts w:ascii="Tahoma" w:hAnsi="Tahoma" w:cs="Tahoma"/>
                <w:b/>
                <w:iCs/>
                <w:color w:val="000000"/>
                <w:sz w:val="14"/>
                <w:szCs w:val="14"/>
                <w:lang w:eastAsia="it-IT"/>
              </w:rPr>
              <w:t>ISBN</w:t>
            </w:r>
            <w:r w:rsidR="00AA7D26" w:rsidRPr="00B57B36">
              <w:rPr>
                <w:rFonts w:ascii="Tahoma" w:hAnsi="Tahoma" w:cs="Tahoma"/>
                <w:iCs/>
                <w:color w:val="000000"/>
                <w:sz w:val="14"/>
                <w:szCs w:val="14"/>
                <w:lang w:eastAsia="it-IT"/>
              </w:rPr>
              <w:t xml:space="preserve"> </w:t>
            </w:r>
            <w:r w:rsidR="00965794" w:rsidRPr="000562A9">
              <w:rPr>
                <w:rFonts w:ascii="Tahoma" w:hAnsi="Tahoma" w:cs="Tahoma"/>
                <w:sz w:val="14"/>
                <w:szCs w:val="14"/>
              </w:rPr>
              <w:t>97</w:t>
            </w:r>
            <w:r w:rsidR="00965794">
              <w:rPr>
                <w:rFonts w:ascii="Tahoma" w:hAnsi="Tahoma" w:cs="Tahoma"/>
                <w:sz w:val="14"/>
                <w:szCs w:val="14"/>
              </w:rPr>
              <w:t>9</w:t>
            </w:r>
            <w:r w:rsidR="00965794" w:rsidRPr="000562A9">
              <w:rPr>
                <w:rFonts w:ascii="Tahoma" w:hAnsi="Tahoma" w:cs="Tahoma"/>
                <w:sz w:val="14"/>
                <w:szCs w:val="14"/>
              </w:rPr>
              <w:t>-</w:t>
            </w:r>
            <w:r w:rsidR="00965794">
              <w:rPr>
                <w:rFonts w:ascii="Tahoma" w:hAnsi="Tahoma" w:cs="Tahoma"/>
                <w:sz w:val="14"/>
                <w:szCs w:val="14"/>
              </w:rPr>
              <w:t>12</w:t>
            </w:r>
            <w:r w:rsidR="00965794" w:rsidRPr="000562A9">
              <w:rPr>
                <w:rFonts w:ascii="Tahoma" w:hAnsi="Tahoma" w:cs="Tahoma"/>
                <w:sz w:val="14"/>
                <w:szCs w:val="14"/>
              </w:rPr>
              <w:t>-</w:t>
            </w:r>
            <w:r w:rsidR="00965794">
              <w:rPr>
                <w:rFonts w:ascii="Tahoma" w:hAnsi="Tahoma" w:cs="Tahoma"/>
                <w:sz w:val="14"/>
                <w:szCs w:val="14"/>
              </w:rPr>
              <w:t>81206-09-0</w:t>
            </w:r>
            <w:r w:rsidR="00AA7D26" w:rsidRPr="00EF06D9">
              <w:rPr>
                <w:rFonts w:ascii="Tahoma" w:hAnsi="Tahoma" w:cs="Tahoma"/>
                <w:iCs/>
                <w:color w:val="333333"/>
                <w:sz w:val="14"/>
                <w:szCs w:val="14"/>
                <w:lang w:eastAsia="it-IT"/>
              </w:rPr>
              <w:t>;</w:t>
            </w:r>
            <w:r w:rsidR="00AA7D26" w:rsidRPr="00B57B36">
              <w:rPr>
                <w:rFonts w:ascii="Tahoma" w:hAnsi="Tahoma" w:cs="Tahoma"/>
                <w:iCs/>
                <w:color w:val="333333"/>
                <w:sz w:val="14"/>
                <w:szCs w:val="14"/>
                <w:lang w:eastAsia="it-IT"/>
              </w:rPr>
              <w:t xml:space="preserve"> </w:t>
            </w:r>
            <w:r w:rsidR="00AA7D26" w:rsidRPr="00B57B36">
              <w:rPr>
                <w:rFonts w:ascii="Tahoma" w:hAnsi="Tahoma" w:cs="Tahoma"/>
                <w:b/>
                <w:iCs/>
                <w:color w:val="333333"/>
                <w:sz w:val="14"/>
                <w:szCs w:val="14"/>
                <w:lang w:eastAsia="it-IT"/>
              </w:rPr>
              <w:t>ISSN</w:t>
            </w:r>
            <w:r w:rsidR="00AA7D26" w:rsidRPr="00B57B36">
              <w:rPr>
                <w:rFonts w:ascii="Tahoma" w:hAnsi="Tahoma" w:cs="Tahoma"/>
                <w:iCs/>
                <w:color w:val="333333"/>
                <w:sz w:val="14"/>
                <w:szCs w:val="14"/>
                <w:lang w:eastAsia="it-IT"/>
              </w:rPr>
              <w:t xml:space="preserve"> 2283-9216</w:t>
            </w:r>
          </w:p>
        </w:tc>
      </w:tr>
    </w:tbl>
    <w:p w14:paraId="74299CC3" w14:textId="77777777" w:rsidR="00046D90" w:rsidRDefault="00046D90" w:rsidP="00B57E6F">
      <w:pPr>
        <w:pStyle w:val="CETAuthors"/>
        <w:rPr>
          <w:noProof w:val="0"/>
          <w:sz w:val="32"/>
        </w:rPr>
      </w:pPr>
    </w:p>
    <w:p w14:paraId="7B6FE44A" w14:textId="77777777" w:rsidR="00046D90" w:rsidRDefault="00046D90" w:rsidP="00B57E6F">
      <w:pPr>
        <w:pStyle w:val="CETAuthors"/>
        <w:rPr>
          <w:noProof w:val="0"/>
          <w:sz w:val="32"/>
        </w:rPr>
      </w:pPr>
      <w:r w:rsidRPr="00046D90">
        <w:rPr>
          <w:noProof w:val="0"/>
          <w:sz w:val="32"/>
        </w:rPr>
        <w:t xml:space="preserve">Synergistic Effects towards </w:t>
      </w:r>
      <w:proofErr w:type="spellStart"/>
      <w:r w:rsidRPr="00046D90">
        <w:rPr>
          <w:noProof w:val="0"/>
          <w:sz w:val="32"/>
        </w:rPr>
        <w:t>Hydrochar</w:t>
      </w:r>
      <w:proofErr w:type="spellEnd"/>
      <w:r w:rsidRPr="00046D90">
        <w:rPr>
          <w:noProof w:val="0"/>
          <w:sz w:val="32"/>
        </w:rPr>
        <w:t xml:space="preserve"> Recovery during Hydrothermal Carbonization of </w:t>
      </w:r>
      <w:proofErr w:type="spellStart"/>
      <w:r w:rsidRPr="00046D90">
        <w:rPr>
          <w:noProof w:val="0"/>
          <w:sz w:val="32"/>
        </w:rPr>
        <w:t>Ferula</w:t>
      </w:r>
      <w:proofErr w:type="spellEnd"/>
      <w:r w:rsidRPr="00046D90">
        <w:rPr>
          <w:noProof w:val="0"/>
          <w:sz w:val="32"/>
        </w:rPr>
        <w:t xml:space="preserve"> </w:t>
      </w:r>
      <w:proofErr w:type="spellStart"/>
      <w:r w:rsidRPr="00046D90">
        <w:rPr>
          <w:noProof w:val="0"/>
          <w:sz w:val="32"/>
        </w:rPr>
        <w:t>Communis</w:t>
      </w:r>
      <w:proofErr w:type="spellEnd"/>
      <w:r w:rsidRPr="00046D90">
        <w:rPr>
          <w:noProof w:val="0"/>
          <w:sz w:val="32"/>
        </w:rPr>
        <w:t xml:space="preserve"> with Process Water Recirculation</w:t>
      </w:r>
    </w:p>
    <w:p w14:paraId="0488FED2" w14:textId="1BE0A174" w:rsidR="00B57E6F" w:rsidRPr="00B731E2" w:rsidRDefault="00046D90" w:rsidP="00B57E6F">
      <w:pPr>
        <w:pStyle w:val="CETAuthors"/>
        <w:rPr>
          <w:lang w:val="it-IT"/>
        </w:rPr>
      </w:pPr>
      <w:r w:rsidRPr="00B731E2">
        <w:rPr>
          <w:lang w:val="it-IT"/>
        </w:rPr>
        <w:t>Antonio Picone</w:t>
      </w:r>
      <w:r w:rsidR="00B57E6F" w:rsidRPr="00B731E2">
        <w:rPr>
          <w:lang w:val="it-IT"/>
        </w:rPr>
        <w:t>,</w:t>
      </w:r>
      <w:r w:rsidR="008C62E0" w:rsidRPr="00B731E2">
        <w:rPr>
          <w:lang w:val="it-IT"/>
        </w:rPr>
        <w:t xml:space="preserve"> </w:t>
      </w:r>
      <w:r w:rsidR="0078076B" w:rsidRPr="00B731E2">
        <w:rPr>
          <w:lang w:val="it-IT"/>
        </w:rPr>
        <w:t xml:space="preserve">Maurizio Volpe*, </w:t>
      </w:r>
      <w:r w:rsidRPr="00B731E2">
        <w:rPr>
          <w:lang w:val="it-IT"/>
        </w:rPr>
        <w:t xml:space="preserve">Antonio Messineo </w:t>
      </w:r>
    </w:p>
    <w:p w14:paraId="73F1267A" w14:textId="4CF0CABA" w:rsidR="00B57E6F" w:rsidRDefault="00146DDC" w:rsidP="0023365D">
      <w:pPr>
        <w:pStyle w:val="CETemail"/>
        <w:spacing w:after="0"/>
      </w:pPr>
      <w:r>
        <w:t>Department</w:t>
      </w:r>
      <w:r w:rsidRPr="00046D90">
        <w:t xml:space="preserve"> </w:t>
      </w:r>
      <w:r w:rsidR="00046D90" w:rsidRPr="00046D90">
        <w:t>of Engineering and Architecture, University of Enna Kore, Cittad</w:t>
      </w:r>
      <w:r w:rsidR="00046D90">
        <w:t xml:space="preserve">ella Universitaria, 94100 Enna, </w:t>
      </w:r>
      <w:r w:rsidR="00046D90" w:rsidRPr="00046D90">
        <w:t>Italy</w:t>
      </w:r>
      <w:r w:rsidR="00046D90">
        <w:t xml:space="preserve"> </w:t>
      </w:r>
      <w:r w:rsidR="0023365D" w:rsidRPr="006E6BB6">
        <w:t>maurizio.volpe@unikore.it</w:t>
      </w:r>
    </w:p>
    <w:p w14:paraId="35ECC8AE" w14:textId="77777777" w:rsidR="007A73DA" w:rsidRPr="0023365D" w:rsidRDefault="007A73DA" w:rsidP="0023365D">
      <w:pPr>
        <w:pStyle w:val="CETBodytext"/>
        <w:rPr>
          <w:lang w:val="en-GB"/>
        </w:rPr>
      </w:pPr>
    </w:p>
    <w:p w14:paraId="2C358FF9" w14:textId="55A7F299" w:rsidR="00AE55B6" w:rsidRPr="00AE55B6" w:rsidRDefault="00AE55B6" w:rsidP="00AE55B6">
      <w:pPr>
        <w:pStyle w:val="CETBodytext"/>
      </w:pPr>
      <w:bookmarkStart w:id="0" w:name="_Hlk495475023"/>
      <w:r w:rsidRPr="00AE55B6">
        <w:rPr>
          <w:lang w:val="en-GB"/>
        </w:rPr>
        <w:t>Recirculation of process water (PW) from hydrothermal carbonization (HTC) has reve</w:t>
      </w:r>
      <w:r w:rsidR="00D6438F">
        <w:rPr>
          <w:lang w:val="en-GB"/>
        </w:rPr>
        <w:t>a</w:t>
      </w:r>
      <w:r w:rsidRPr="00AE55B6">
        <w:rPr>
          <w:lang w:val="en-GB"/>
        </w:rPr>
        <w:t xml:space="preserve">led as an effective strategy </w:t>
      </w:r>
      <w:r w:rsidR="00BA3A03">
        <w:rPr>
          <w:lang w:val="en-GB"/>
        </w:rPr>
        <w:t>for</w:t>
      </w:r>
      <w:r w:rsidRPr="00AE55B6">
        <w:rPr>
          <w:lang w:val="en-GB"/>
        </w:rPr>
        <w:t xml:space="preserve"> the residual aqueous phase </w:t>
      </w:r>
      <w:proofErr w:type="spellStart"/>
      <w:r w:rsidR="00BA3A03">
        <w:rPr>
          <w:lang w:val="en-GB"/>
        </w:rPr>
        <w:t>valorization</w:t>
      </w:r>
      <w:proofErr w:type="spellEnd"/>
      <w:r w:rsidR="00BA3A03">
        <w:rPr>
          <w:lang w:val="en-GB"/>
        </w:rPr>
        <w:t xml:space="preserve"> </w:t>
      </w:r>
      <w:r w:rsidRPr="00AE55B6">
        <w:rPr>
          <w:lang w:val="en-GB"/>
        </w:rPr>
        <w:t xml:space="preserve">in order to make the process energetically more efficient while reducing its environmental footprint. The effects of temperature, solid load and consecutive conversion phases on PW recirculation were assessed by using </w:t>
      </w:r>
      <w:proofErr w:type="spellStart"/>
      <w:r w:rsidRPr="00AE55B6">
        <w:rPr>
          <w:lang w:val="en-GB"/>
        </w:rPr>
        <w:t>Ferula</w:t>
      </w:r>
      <w:proofErr w:type="spellEnd"/>
      <w:r w:rsidRPr="00AE55B6">
        <w:rPr>
          <w:lang w:val="en-GB"/>
        </w:rPr>
        <w:t xml:space="preserve"> </w:t>
      </w:r>
      <w:proofErr w:type="spellStart"/>
      <w:r w:rsidRPr="00AE55B6">
        <w:rPr>
          <w:lang w:val="en-GB"/>
        </w:rPr>
        <w:t>Communis</w:t>
      </w:r>
      <w:proofErr w:type="spellEnd"/>
      <w:r w:rsidRPr="00AE55B6">
        <w:rPr>
          <w:lang w:val="en-GB"/>
        </w:rPr>
        <w:t xml:space="preserve"> plant residues as feedstock in HTC experiments. Recirculation of solvent promoted strong synergistic interactions between biomass and PW aimed at </w:t>
      </w:r>
      <w:r w:rsidR="00386679">
        <w:rPr>
          <w:lang w:val="en-GB"/>
        </w:rPr>
        <w:t>increasing</w:t>
      </w:r>
      <w:r w:rsidR="00386679" w:rsidRPr="00AE55B6">
        <w:rPr>
          <w:lang w:val="en-GB"/>
        </w:rPr>
        <w:t xml:space="preserve"> </w:t>
      </w:r>
      <w:proofErr w:type="spellStart"/>
      <w:r w:rsidRPr="00AE55B6">
        <w:rPr>
          <w:lang w:val="en-GB"/>
        </w:rPr>
        <w:t>hydrochar</w:t>
      </w:r>
      <w:proofErr w:type="spellEnd"/>
      <w:r w:rsidRPr="00AE55B6">
        <w:rPr>
          <w:lang w:val="en-GB"/>
        </w:rPr>
        <w:t xml:space="preserve"> mass recovery. </w:t>
      </w:r>
      <w:proofErr w:type="spellStart"/>
      <w:r w:rsidRPr="00AE55B6">
        <w:rPr>
          <w:lang w:val="en-GB"/>
        </w:rPr>
        <w:t>Hydrochar</w:t>
      </w:r>
      <w:proofErr w:type="spellEnd"/>
      <w:r w:rsidRPr="00AE55B6">
        <w:rPr>
          <w:lang w:val="en-GB"/>
        </w:rPr>
        <w:t xml:space="preserve"> yield increased by 4-12 </w:t>
      </w:r>
      <w:proofErr w:type="spellStart"/>
      <w:r w:rsidRPr="00AE55B6">
        <w:rPr>
          <w:lang w:val="en-GB"/>
        </w:rPr>
        <w:t>wt</w:t>
      </w:r>
      <w:proofErr w:type="spellEnd"/>
      <w:r w:rsidRPr="00AE55B6">
        <w:rPr>
          <w:lang w:val="en-GB"/>
        </w:rPr>
        <w:t xml:space="preserve">% </w:t>
      </w:r>
      <w:r w:rsidR="004D1D19">
        <w:rPr>
          <w:lang w:val="en-GB"/>
        </w:rPr>
        <w:t>on a dry basis</w:t>
      </w:r>
      <w:r w:rsidR="00FC5A00">
        <w:rPr>
          <w:lang w:val="en-GB"/>
        </w:rPr>
        <w:t xml:space="preserve"> (</w:t>
      </w:r>
      <w:proofErr w:type="spellStart"/>
      <w:r w:rsidR="00FC5A00">
        <w:rPr>
          <w:lang w:val="en-GB"/>
        </w:rPr>
        <w:t>d.b</w:t>
      </w:r>
      <w:proofErr w:type="spellEnd"/>
      <w:r w:rsidR="00FC5A00">
        <w:rPr>
          <w:lang w:val="en-GB"/>
        </w:rPr>
        <w:t>.)</w:t>
      </w:r>
      <w:r w:rsidRPr="00AE55B6">
        <w:rPr>
          <w:lang w:val="en-GB"/>
        </w:rPr>
        <w:t xml:space="preserve"> a</w:t>
      </w:r>
      <w:r w:rsidR="0095641C">
        <w:rPr>
          <w:lang w:val="en-GB"/>
        </w:rPr>
        <w:t>ccording to reaction conditions</w:t>
      </w:r>
      <w:r w:rsidR="00386679">
        <w:rPr>
          <w:lang w:val="en-GB"/>
        </w:rPr>
        <w:t>. B</w:t>
      </w:r>
      <w:r w:rsidR="00BA3A03">
        <w:rPr>
          <w:lang w:val="en-GB"/>
        </w:rPr>
        <w:t xml:space="preserve">iomass </w:t>
      </w:r>
      <w:r w:rsidR="00386679">
        <w:rPr>
          <w:lang w:val="en-GB"/>
        </w:rPr>
        <w:t>degradation</w:t>
      </w:r>
      <w:r w:rsidR="00386679">
        <w:rPr>
          <w:lang w:val="en-GB"/>
        </w:rPr>
        <w:t xml:space="preserve"> </w:t>
      </w:r>
      <w:r w:rsidR="00BA3A03">
        <w:rPr>
          <w:lang w:val="en-GB"/>
        </w:rPr>
        <w:t xml:space="preserve">was </w:t>
      </w:r>
      <w:proofErr w:type="spellStart"/>
      <w:r w:rsidR="00BA3A03">
        <w:rPr>
          <w:lang w:val="en-GB"/>
        </w:rPr>
        <w:t>catalyzed</w:t>
      </w:r>
      <w:proofErr w:type="spellEnd"/>
      <w:r w:rsidR="00BA3A03">
        <w:rPr>
          <w:lang w:val="en-GB"/>
        </w:rPr>
        <w:t xml:space="preserve"> </w:t>
      </w:r>
      <w:r w:rsidR="00386679">
        <w:rPr>
          <w:lang w:val="en-GB"/>
        </w:rPr>
        <w:t>by the</w:t>
      </w:r>
      <w:r w:rsidR="00BA3A03">
        <w:rPr>
          <w:lang w:val="en-GB"/>
        </w:rPr>
        <w:t xml:space="preserve"> reactive </w:t>
      </w:r>
      <w:r w:rsidR="00386679">
        <w:rPr>
          <w:lang w:val="en-GB"/>
        </w:rPr>
        <w:t xml:space="preserve">intermediates </w:t>
      </w:r>
      <w:r w:rsidR="00BA3A03">
        <w:rPr>
          <w:lang w:val="en-GB"/>
        </w:rPr>
        <w:t>dissolved in</w:t>
      </w:r>
      <w:r w:rsidR="00386679">
        <w:rPr>
          <w:lang w:val="en-GB"/>
        </w:rPr>
        <w:t xml:space="preserve"> the</w:t>
      </w:r>
      <w:r w:rsidR="00BA3A03">
        <w:rPr>
          <w:lang w:val="en-GB"/>
        </w:rPr>
        <w:t xml:space="preserve"> PW.</w:t>
      </w:r>
      <w:r w:rsidR="009F77C1">
        <w:rPr>
          <w:lang w:val="en-GB"/>
        </w:rPr>
        <w:t xml:space="preserve"> The energy balance </w:t>
      </w:r>
      <w:r w:rsidR="00386679">
        <w:rPr>
          <w:lang w:val="en-GB"/>
        </w:rPr>
        <w:t>results</w:t>
      </w:r>
      <w:r w:rsidR="00386679">
        <w:rPr>
          <w:lang w:val="en-GB"/>
        </w:rPr>
        <w:t xml:space="preserve"> </w:t>
      </w:r>
      <w:r w:rsidR="009F77C1">
        <w:rPr>
          <w:lang w:val="en-GB"/>
        </w:rPr>
        <w:t>show</w:t>
      </w:r>
      <w:r w:rsidR="00386679">
        <w:rPr>
          <w:lang w:val="en-GB"/>
        </w:rPr>
        <w:t>ed</w:t>
      </w:r>
      <w:r w:rsidR="009F77C1">
        <w:rPr>
          <w:lang w:val="en-GB"/>
        </w:rPr>
        <w:t xml:space="preserve"> that </w:t>
      </w:r>
      <w:r w:rsidR="009F77C1" w:rsidRPr="009F77C1">
        <w:rPr>
          <w:lang w:val="en-GB"/>
        </w:rPr>
        <w:t xml:space="preserve">the energy recovery </w:t>
      </w:r>
      <w:r w:rsidR="00FC5A00">
        <w:rPr>
          <w:lang w:val="en-GB"/>
        </w:rPr>
        <w:t>almost doubled</w:t>
      </w:r>
      <w:r w:rsidR="009F77C1" w:rsidRPr="009F77C1">
        <w:rPr>
          <w:lang w:val="en-GB"/>
        </w:rPr>
        <w:t xml:space="preserve"> by recycling PW </w:t>
      </w:r>
      <w:r w:rsidR="00386679">
        <w:rPr>
          <w:lang w:val="en-GB"/>
        </w:rPr>
        <w:t xml:space="preserve">when </w:t>
      </w:r>
      <w:r w:rsidR="009F77C1" w:rsidRPr="009F77C1">
        <w:rPr>
          <w:lang w:val="en-GB"/>
        </w:rPr>
        <w:t>compared to</w:t>
      </w:r>
      <w:r w:rsidR="00386679">
        <w:rPr>
          <w:lang w:val="en-GB"/>
        </w:rPr>
        <w:t xml:space="preserve"> the experiments carried out using only</w:t>
      </w:r>
      <w:r w:rsidR="009F77C1" w:rsidRPr="009F77C1">
        <w:rPr>
          <w:lang w:val="en-GB"/>
        </w:rPr>
        <w:t xml:space="preserve"> deionized water as HTC solvent.</w:t>
      </w:r>
    </w:p>
    <w:bookmarkEnd w:id="0"/>
    <w:p w14:paraId="476B2F2E" w14:textId="77777777" w:rsidR="00600535" w:rsidRPr="00B57B36" w:rsidRDefault="00600535" w:rsidP="00600535">
      <w:pPr>
        <w:pStyle w:val="CETHeading1"/>
        <w:rPr>
          <w:lang w:val="en-GB"/>
        </w:rPr>
      </w:pPr>
      <w:r w:rsidRPr="00B57B36">
        <w:rPr>
          <w:lang w:val="en-GB"/>
        </w:rPr>
        <w:t>Introduction</w:t>
      </w:r>
    </w:p>
    <w:p w14:paraId="46CDCA50" w14:textId="13252644" w:rsidR="00485985" w:rsidRPr="00B57B36" w:rsidRDefault="007D2731" w:rsidP="00B20467">
      <w:pPr>
        <w:pStyle w:val="CETListbullets"/>
        <w:ind w:left="0" w:firstLine="0"/>
      </w:pPr>
      <w:r w:rsidRPr="007D2731">
        <w:t xml:space="preserve">Hydrothermal carbonization (HTC) has proven to be an effective thermochemical technology for the conversion of residual wet biomasses into </w:t>
      </w:r>
      <w:proofErr w:type="spellStart"/>
      <w:r w:rsidRPr="007D2731">
        <w:t>enegy</w:t>
      </w:r>
      <w:proofErr w:type="spellEnd"/>
      <w:r w:rsidRPr="007D2731">
        <w:t xml:space="preserve">-dense biofuels </w:t>
      </w:r>
      <w:r w:rsidR="00D1100F">
        <w:t xml:space="preserve"> </w:t>
      </w:r>
      <w:r w:rsidR="00285559">
        <w:fldChar w:fldCharType="begin" w:fldLock="1"/>
      </w:r>
      <w:r w:rsidR="00814EC6">
        <w:instrText>ADDIN CSL_CITATION {"citationItems":[{"id":"ITEM-1","itemData":{"DOI":"10.3303/CET1865008","ISBN":"9788895608624","ISSN":"22839216","abstract":"HydroThermal Carbonization (HTC) is a thermochemical process capable of converting wet biomass into a carbon-enriched solid, commonly referred to as hydrochar. Hydrochar finds application as bio-fuel, soil improver and for the production of carbon-advanced materials. In recent years, interest in HTC technology has grown significantly, in terms of both scientific research and industrial development. The HTC process consists of several reactions occurring both in series and in parallel: hydrolysis, dehydration, decarboxylation, condensation, aromatization, and others. Some reactions are known to be exothermic, while others are endothermic. Knowing the enthalpy of the “whole” HTC reaction would be beneficial in terms of both process design and energy calculations, in particular to evaluate the process heat duty. Unfortunately, such kind of information is barely available in the literature: some data have been obtained at the “micro-scale” using differential scanning calorimetry (DSC), with the limits of using a few milligrams of (usually heterogeneous) biomass per trial, while punctual data at larger scale are actually missing. In order to fill this gap, we designed and constructed in-house a 2 L batch reactor equipped with four thermocouples - placed at different heights inside the reactor - and capable to withstand pressures up to 140 bar and temperatures up to 300 °C. The reactor, controlled in temperature, is heated by four electrical resistances (1 kW each) and thermally insulated. An electric power meter allows monitoring and recording the electrical consumption during HTC trials. Thermal trials were performed with the bench-scale reactor fed with only water to provide a baseline for calculations. HTC trials were then performed using biomasses, namely organic fraction of municipal solid waste and agave pulp. At the different HTC operating conditions investigated (residence time: 3 h; reactor filling degree: 67 %; temperatures: 180, 220, and 250 °C; dry biomass to water ratio: 0.10 and 0.15), our data testify that the “whole” HTC reaction is exothermic, and the heat released by the reaction increases with temperature. The design of such a reactor and the data obtained so far encourage an in-depth analysis of the enthalpy of the HTC reaction for different biomasses and at various operating conditions.","author":[{"dropping-particle":"","family":"Merzari","given":"Fabio","non-dropping-particle":"","parse-names":false,"suffix":""},{"dropping-particle":"","family":"Lucian","given":"Michela","non-dropping-particle":"","parse-names":false,"suffix":""},{"dropping-particle":"","family":"Volpe","given":"Maurizio","non-dropping-particle":"","parse-names":false,"suffix":""},{"dropping-particle":"","family":"Andreottola","given":"Gianni","non-dropping-particle":"","parse-names":false,"suffix":""},{"dropping-particle":"","family":"Fiori","given":"Luca","non-dropping-particle":"","parse-names":false,"suffix":""}],"container-title":"Chemical Engineering Transactions","id":"ITEM-1","issued":{"date-parts":[["2018"]]},"page":"43-48","title":"Hydrothermal carbonization of biomass: Design of a bench-Scale reactor for evaluating the heat of reaction","type":"article-journal","volume":"65"},"uris":["http://www.mendeley.com/documents/?uuid=c3b01122-0bdb-4cc1-91aa-84ff262c89dd"]},{"id":"ITEM-2","itemData":{"DOI":"10.3303/CET2398020","ISBN":"9788895608976","author":[{"dropping-particle":"","family":"Codignole","given":"Fabio","non-dropping-particle":"","parse-names":false,"suffix":""},{"dropping-particle":"","family":"Volpe","given":"Maurizio","non-dropping-particle":"","parse-names":false,"suffix":""},{"dropping-particle":"","family":"Chiaruzzi","given":"Christian","non-dropping-particle":"","parse-names":false,"suffix":""},{"dropping-particle":"","family":"Picone","given":"Antonio","non-dropping-particle":"","parse-names":false,"suffix":""},{"dropping-particle":"","family":"Messineo","given":"Antonio","non-dropping-particle":"","parse-names":false,"suffix":""}],"id":"ITEM-2","issue":"October 2022","issued":{"date-parts":[["2023"]]},"page":"117-122","title":"Bio-Crude and Bio-Char Production via Hydrothermal Carbonization of Spontaneously Grown Ricinus Communis","type":"article-journal","volume":"98"},"uris":["http://www.mendeley.com/documents/?uuid=5dbc8a44-1f09-4077-8013-8252acbe16fd"]}],"mendeley":{"formattedCitation":"(Codignole et al., 2023; Merzari et al., 2018)","plainTextFormattedCitation":"(Codignole et al., 2023; Merzari et al., 2018)","previouslyFormattedCitation":"(Codignole et al., 2023; Merzari et al., 2018)"},"properties":{"noteIndex":0},"schema":"https://github.com/citation-style-language/schema/raw/master/csl-citation.json"}</w:instrText>
      </w:r>
      <w:r w:rsidR="00285559">
        <w:fldChar w:fldCharType="separate"/>
      </w:r>
      <w:r w:rsidR="00285559" w:rsidRPr="00285559">
        <w:rPr>
          <w:noProof/>
        </w:rPr>
        <w:t xml:space="preserve">(Codignole et al., 2023; </w:t>
      </w:r>
      <w:r w:rsidR="00CF7536">
        <w:rPr>
          <w:noProof/>
        </w:rPr>
        <w:t>Messineo et al., 2012</w:t>
      </w:r>
      <w:r w:rsidR="00285559" w:rsidRPr="00285559">
        <w:rPr>
          <w:noProof/>
        </w:rPr>
        <w:t>)</w:t>
      </w:r>
      <w:r w:rsidR="00285559">
        <w:fldChar w:fldCharType="end"/>
      </w:r>
      <w:r w:rsidR="00B20467">
        <w:t xml:space="preserve">. </w:t>
      </w:r>
      <w:r w:rsidRPr="007D2731">
        <w:t>When the feedstock is treated by HTC, a considerable amou</w:t>
      </w:r>
      <w:r w:rsidR="00386679">
        <w:t>n</w:t>
      </w:r>
      <w:r w:rsidRPr="007D2731">
        <w:t xml:space="preserve">t of extra water is commonly required to obtain a biomass to solvent mass ratio (B/W) of 0.1-0.2, needed to reach a correct environment for the hydrothermal conversion. Water in subcritical conditions has the ability to </w:t>
      </w:r>
      <w:proofErr w:type="spellStart"/>
      <w:r w:rsidRPr="007D2731">
        <w:t>catalyze</w:t>
      </w:r>
      <w:proofErr w:type="spellEnd"/>
      <w:r w:rsidRPr="007D2731">
        <w:t xml:space="preserve"> </w:t>
      </w:r>
      <w:r w:rsidR="00DF2067">
        <w:t xml:space="preserve">the </w:t>
      </w:r>
      <w:r w:rsidRPr="007D2731">
        <w:t xml:space="preserve">biomass decomposition, </w:t>
      </w:r>
      <w:r w:rsidR="00386679">
        <w:t>producing</w:t>
      </w:r>
      <w:r w:rsidRPr="007D2731">
        <w:t xml:space="preserve"> a solid phase product, known as </w:t>
      </w:r>
      <w:proofErr w:type="spellStart"/>
      <w:r w:rsidRPr="007D2731">
        <w:t>hydrochar</w:t>
      </w:r>
      <w:proofErr w:type="spellEnd"/>
      <w:r w:rsidRPr="007D2731">
        <w:t>, and high</w:t>
      </w:r>
      <w:r w:rsidR="00386679">
        <w:t>ly</w:t>
      </w:r>
      <w:r w:rsidRPr="007D2731">
        <w:t xml:space="preserve"> reactive organic compounds concentrated in the exhausted </w:t>
      </w:r>
      <w:r w:rsidR="00386679">
        <w:t>process water</w:t>
      </w:r>
      <w:r w:rsidRPr="007D2731">
        <w:t>. The HTC  liquid by-product is commonly referred as process water (PW)</w:t>
      </w:r>
      <w:r>
        <w:t xml:space="preserve"> </w:t>
      </w:r>
      <w:r w:rsidR="001916A1">
        <w:fldChar w:fldCharType="begin" w:fldLock="1"/>
      </w:r>
      <w:r w:rsidR="00E6735C">
        <w:instrText>ADDIN CSL_CITATION {"citationItems":[{"id":"ITEM-1","itemData":{"DOI":"10.3390/asi4010019","ISSN":"25715577","abstract":"Hydrothermal carbonization (HTC) is a promising thermochemical pre-treatment to convert waste biomass into solid biofuels. However, the process yields large amounts of organic process water (PW), which must be properly disposed of or reused. In this study, the PW produced from the hydrothermal carbonization of lemon peel waste (LP) was recycled into HTC process of LP with the aim of maximize energy recovery from the aqueous phase while saving water resources and mitigating the overall environmental impact of the process. The effects of HTC temperature on the properties of solid and liquid products were investigated during PW recirculation. Experiments were carried out at three different operating temperatures (180, 220, 250◦ C), fixed residence times of 60 min, and solid to liquid load of 20 wt%, on a dry basis. Hydrochars were characterized in terms of proximate analysis and higher heating values while liquid phases were analyzed in terms of pH and total organic carbon content (TOC). PW recirculation led to a solid mass yield increase and the effect was more pronounced at lower HTC temperature. The increase of solid mass yield, after recirculation steps (maximum increase of about 6% at 180◦ C), also led to a significant energy yield enhancement. Results showed that PW recirculation is a viable strategy for a reduction of water consumption and further carbon recovery; moreover preliminary results encourage for an in-depth analysis of the effects of the PW recirculation for different biomasses and at various operating conditions.","author":[{"dropping-particle":"","family":"Picone","given":"Antonio","non-dropping-particle":"","parse-names":false,"suffix":""},{"dropping-particle":"","family":"Volpe","given":"Maurizio","non-dropping-particle":"","parse-names":false,"suffix":""},{"dropping-particle":"","family":"Giustra","given":"Maria Gabriella","non-dropping-particle":"","parse-names":false,"suffix":""},{"dropping-particle":"Di","family":"Bella","given":"Gaetano","non-dropping-particle":"","parse-names":false,"suffix":""},{"dropping-particle":"","family":"Messineo","given":"Antonio","non-dropping-particle":"","parse-names":false,"suffix":""}],"container-title":"Applied System Innovation","id":"ITEM-1","issue":"1","issued":{"date-parts":[["2021"]]},"title":"Hydrothermal carbonization of lemon peel waste: Preliminary results on the effects of temperature during process water recirculation","type":"article-journal","volume":"4"},"uris":["http://www.mendeley.com/documents/?uuid=7e7089f4-ee88-4bd4-ba64-b116432641c5"]}],"mendeley":{"formattedCitation":"(Picone et al., 2021a)","plainTextFormattedCitation":"(Picone et al., 2021a)","previouslyFormattedCitation":"(Picone et al., 2021a)"},"properties":{"noteIndex":0},"schema":"https://github.com/citation-style-language/schema/raw/master/csl-citation.json"}</w:instrText>
      </w:r>
      <w:r w:rsidR="001916A1">
        <w:fldChar w:fldCharType="separate"/>
      </w:r>
      <w:r w:rsidR="00E6735C" w:rsidRPr="00E6735C">
        <w:rPr>
          <w:noProof/>
        </w:rPr>
        <w:t>(Picone et al., 2021)</w:t>
      </w:r>
      <w:r w:rsidR="001916A1">
        <w:fldChar w:fldCharType="end"/>
      </w:r>
      <w:r w:rsidR="00BB4CBB">
        <w:t xml:space="preserve">. </w:t>
      </w:r>
      <w:r w:rsidR="00B20467">
        <w:t xml:space="preserve">Typically, during HTC of </w:t>
      </w:r>
      <w:proofErr w:type="spellStart"/>
      <w:r w:rsidR="00B20467">
        <w:t>agro</w:t>
      </w:r>
      <w:proofErr w:type="spellEnd"/>
      <w:r w:rsidR="00386679">
        <w:t>-</w:t>
      </w:r>
      <w:r w:rsidR="00B20467">
        <w:t xml:space="preserve">waste, </w:t>
      </w:r>
      <w:r w:rsidR="00386679">
        <w:t xml:space="preserve">between </w:t>
      </w:r>
      <w:r w:rsidR="00B20467">
        <w:t>20</w:t>
      </w:r>
      <w:r w:rsidR="00386679">
        <w:t xml:space="preserve"> and </w:t>
      </w:r>
      <w:r w:rsidR="00B20467">
        <w:t xml:space="preserve">50 </w:t>
      </w:r>
      <w:proofErr w:type="spellStart"/>
      <w:r w:rsidR="00B20467">
        <w:t>wt</w:t>
      </w:r>
      <w:proofErr w:type="spellEnd"/>
      <w:r w:rsidR="00B20467">
        <w:t xml:space="preserve">% of biomass' </w:t>
      </w:r>
      <w:r w:rsidR="00386679">
        <w:t>compounds</w:t>
      </w:r>
      <w:r w:rsidR="00386679">
        <w:t xml:space="preserve"> </w:t>
      </w:r>
      <w:r w:rsidR="00B20467">
        <w:t>concentrate in the PW, resulting in ext</w:t>
      </w:r>
      <w:r w:rsidR="00A65545">
        <w:t>ensive carbon and energy losses</w:t>
      </w:r>
      <w:r w:rsidR="00B20467">
        <w:t xml:space="preserve"> if </w:t>
      </w:r>
      <w:r w:rsidR="00386679">
        <w:t xml:space="preserve">the compounds found in the </w:t>
      </w:r>
      <w:r w:rsidR="00B20467">
        <w:t xml:space="preserve">PW </w:t>
      </w:r>
      <w:r w:rsidR="00386679">
        <w:t>are</w:t>
      </w:r>
      <w:r w:rsidR="00B20467">
        <w:t xml:space="preserve"> not recovered and correctly treated. In order to reach a sustainable</w:t>
      </w:r>
      <w:r w:rsidR="00386679">
        <w:t>,</w:t>
      </w:r>
      <w:r w:rsidR="00B20467">
        <w:t xml:space="preserve"> and thus successful</w:t>
      </w:r>
      <w:r w:rsidR="00386679">
        <w:t>,</w:t>
      </w:r>
      <w:r w:rsidR="00B20467">
        <w:t xml:space="preserve"> development of HTC technology, it becomes imperative to find sustainable ways to </w:t>
      </w:r>
      <w:proofErr w:type="spellStart"/>
      <w:r w:rsidR="00B20467">
        <w:t>valorize</w:t>
      </w:r>
      <w:proofErr w:type="spellEnd"/>
      <w:r w:rsidR="00B20467">
        <w:t xml:space="preserve"> the PW</w:t>
      </w:r>
      <w:r w:rsidR="00D1100F">
        <w:t xml:space="preserve"> </w:t>
      </w:r>
      <w:r w:rsidR="001916A1">
        <w:fldChar w:fldCharType="begin" w:fldLock="1"/>
      </w:r>
      <w:r w:rsidR="000B6CCB">
        <w:instrText>ADDIN CSL_CITATION {"citationItems":[{"id":"ITEM-1","itemData":{"DOI":"10.1016/j.jclepro.2020.123281","ISSN":"09596526","abstract":"Hydrothermal carbonization (HTC) is a promising thermochemical method used to upgrade herbaceous biomass for high-grade fuel. However, the technique yields large amounts of organic process wastewater (PW), which must be properly disposed or reused. In this work, PW was used as water source to prepare HTC feedstock. The evolution of the chemical structure and formation mechanism of hydrochar over the course of four PW recycles were demonstrated by experimental determination of the chemical compositions, equilibrium moisture contents, carbon structures, functional groups, and micro morphologies of the biomass (cornstalk in this study) and resulting hydrochars. The chemical reaction pathways induced during the HTC of biomass was established on the basis of the evolution of the chemical characteristics of the hydrochars and organic components of PW. The results showed significant improvements in the fuel quality of hydrochar as the number of PW recycles increased. The higher heating value, mass yield, and energy recovery efficiency of the hydrochars increased to 23.31 MJ/kg, 62.16%, and 86.24%, respectively, after four PW recycles because PW recycling facilitates the conversion of biomass into a hydrochar matrix with a high carbonization degree and polymerization of intermediates into microspheres. As the number of PW recycles increased, the relative content of furan compounds in the aqueous product decreased and the content of aromatic compounds increased. Further analysis of the aqueous products revealed the polymerization of furfural and 5-hydroxymethylfurfural into aromatic compounds and inhibition of the direct polymerization of aldehydes into aromatic compounds. The results of this work provide a theoretical basis for studying the chemical reaction and evolution mechanism of herbaceous biomass during HTC with recycled PW.","author":[{"dropping-particle":"","family":"Wang","given":"Ruikun","non-dropping-particle":"","parse-names":false,"suffix":""},{"dropping-particle":"","family":"Jin","given":"Qingzhuang","non-dropping-particle":"","parse-names":false,"suffix":""},{"dropping-particle":"","family":"Ye","given":"Xuemin","non-dropping-particle":"","parse-names":false,"suffix":""},{"dropping-particle":"","family":"Lei","given":"Haoyang","non-dropping-particle":"","parse-names":false,"suffix":""},{"dropping-particle":"","family":"Jia","given":"Jiandong","non-dropping-particle":"","parse-names":false,"suffix":""},{"dropping-particle":"","family":"Zhao","given":"Zhenghui","non-dropping-particle":"","parse-names":false,"suffix":""}],"container-title":"Journal of Cleaner Production","id":"ITEM-1","issued":{"date-parts":[["2020"]]},"title":"Effect of process wastewater recycling on the chemical evolution and formation mechanism of hydrochar from herbaceous biomass during hydrothermal carbonization","type":"article-journal","volume":"277"},"uris":["http://www.mendeley.com/documents/?uuid=0526ba80-711f-3e46-8558-acf634c5a345"]}],"mendeley":{"formattedCitation":"(Wang et al., 2020)","plainTextFormattedCitation":"(Wang et al., 2020)","previouslyFormattedCitation":"(Wang et al., 2020)"},"properties":{"noteIndex":0},"schema":"https://github.com/citation-style-language/schema/raw/master/csl-citation.json"}</w:instrText>
      </w:r>
      <w:r w:rsidR="001916A1">
        <w:fldChar w:fldCharType="separate"/>
      </w:r>
      <w:r w:rsidR="001916A1" w:rsidRPr="001916A1">
        <w:rPr>
          <w:noProof/>
        </w:rPr>
        <w:t>(Wang et al., 2020)</w:t>
      </w:r>
      <w:r w:rsidR="001916A1">
        <w:fldChar w:fldCharType="end"/>
      </w:r>
      <w:r w:rsidR="00B20467">
        <w:t>. A PW recycling strategy</w:t>
      </w:r>
      <w:r w:rsidR="00386679">
        <w:t>,</w:t>
      </w:r>
      <w:r w:rsidR="00B20467">
        <w:t xml:space="preserve"> as HTC conversion solvent</w:t>
      </w:r>
      <w:r w:rsidR="00386679">
        <w:t>,</w:t>
      </w:r>
      <w:r w:rsidR="00B20467">
        <w:t xml:space="preserve"> could significantly reduce the extra water consumption and also give the opportunity for a</w:t>
      </w:r>
      <w:r w:rsidR="000745C1">
        <w:t>n</w:t>
      </w:r>
      <w:r w:rsidR="00B20467">
        <w:t xml:space="preserve"> enhanced </w:t>
      </w:r>
      <w:proofErr w:type="spellStart"/>
      <w:r w:rsidR="00B20467">
        <w:t>hydrochar</w:t>
      </w:r>
      <w:proofErr w:type="spellEnd"/>
      <w:r w:rsidR="00B20467">
        <w:t xml:space="preserve"> recovery, improving the global process energy efficiency. Herein, the reusability of PW generated during HTC of </w:t>
      </w:r>
      <w:proofErr w:type="spellStart"/>
      <w:r w:rsidR="00B20467">
        <w:t>Ferula</w:t>
      </w:r>
      <w:proofErr w:type="spellEnd"/>
      <w:r w:rsidR="00B20467">
        <w:t xml:space="preserve"> </w:t>
      </w:r>
      <w:proofErr w:type="spellStart"/>
      <w:r w:rsidR="00B20467">
        <w:t>Communis</w:t>
      </w:r>
      <w:proofErr w:type="spellEnd"/>
      <w:r w:rsidR="00B20467">
        <w:t xml:space="preserve"> (FC) was investigated. FC is a spontaneous perennial and robust weed, abundant across the Mediterranean basin. It contains </w:t>
      </w:r>
      <w:proofErr w:type="spellStart"/>
      <w:r w:rsidR="00B20467">
        <w:t>prenyl</w:t>
      </w:r>
      <w:proofErr w:type="spellEnd"/>
      <w:r w:rsidR="00B20467">
        <w:t xml:space="preserve"> coumarins such as </w:t>
      </w:r>
      <w:proofErr w:type="spellStart"/>
      <w:r w:rsidR="00B20467">
        <w:t>ferulenol</w:t>
      </w:r>
      <w:proofErr w:type="spellEnd"/>
      <w:r w:rsidR="00B20467">
        <w:t xml:space="preserve"> and related compounds that are responsible for a lethal </w:t>
      </w:r>
      <w:proofErr w:type="spellStart"/>
      <w:r w:rsidR="00B20467">
        <w:t>hemorrhagic</w:t>
      </w:r>
      <w:proofErr w:type="spellEnd"/>
      <w:r w:rsidR="00B20467">
        <w:t xml:space="preserve"> disorder (</w:t>
      </w:r>
      <w:proofErr w:type="spellStart"/>
      <w:r w:rsidR="00B20467">
        <w:t>ferulosis</w:t>
      </w:r>
      <w:proofErr w:type="spellEnd"/>
      <w:r w:rsidR="00B20467">
        <w:t xml:space="preserve">) </w:t>
      </w:r>
      <w:r w:rsidR="00502F83">
        <w:t>mainly affecting</w:t>
      </w:r>
      <w:r w:rsidR="00B20467">
        <w:t xml:space="preserve"> goats, sheep, cattle</w:t>
      </w:r>
      <w:r w:rsidR="00502F83">
        <w:t>,</w:t>
      </w:r>
      <w:r w:rsidR="00B20467">
        <w:t xml:space="preserve"> and horses. Due to its high toxicity for the livestock, FC is often weed out and </w:t>
      </w:r>
      <w:r w:rsidR="00B24DD4">
        <w:t xml:space="preserve">thus </w:t>
      </w:r>
      <w:r w:rsidR="00B20467">
        <w:t>represent</w:t>
      </w:r>
      <w:r w:rsidR="00B24DD4">
        <w:t>ing</w:t>
      </w:r>
      <w:r w:rsidR="00B20467">
        <w:t xml:space="preserve"> a typical Mediterranean agricultural waste which should be appropriately </w:t>
      </w:r>
      <w:proofErr w:type="spellStart"/>
      <w:r w:rsidR="00B20467">
        <w:t>valorized</w:t>
      </w:r>
      <w:proofErr w:type="spellEnd"/>
      <w:r w:rsidR="000B6CCB">
        <w:t xml:space="preserve"> </w:t>
      </w:r>
      <w:r w:rsidR="000B6CCB">
        <w:fldChar w:fldCharType="begin" w:fldLock="1"/>
      </w:r>
      <w:r w:rsidR="009C21F4">
        <w:instrText>ADDIN CSL_CITATION {"citationItems":[{"id":"ITEM-1","itemData":{"ISSN":"20083874","PMID":"26949491","abstract":"Ferula communis L., subsp. communis, namely giant fennel, has extensively been used in traditional medicine for a wide range of ailments. Fresh plant materials, crude extracts and isolated components of F. communis showed a wide spectrum of in vitro and in vivo pharmacological properties including antidiabetic, antimicrobial, antiproliferative, and cytotoxic activities. The present paper, reviews the traditional uses, botany, phytochemistry, pharmacology and toxicology of F. communis in order to reveal its therapeutic potential and future research opportunities. A bibliographic literature search was conducted in different scientific databases and search engines including Scopus, Cochrane Library, Embase, Google Scholar, Pubmed, SciFinder, and Web of science. Phytochemical studies have led to the isolation of different compounds such as sesquiterpenes from F. communis. This plant has two different chemotypes, the poisonous and non</w:instrText>
      </w:r>
      <w:r w:rsidR="009C21F4">
        <w:rPr>
          <w:rFonts w:ascii="Palatino Linotype" w:hAnsi="Palatino Linotype" w:cs="Palatino Linotype"/>
        </w:rPr>
        <w:instrText>‐</w:instrText>
      </w:r>
      <w:r w:rsidR="009C21F4">
        <w:instrText>poisonous chemotypes. Each chemotype is endowed with various constituents and different activities. The poisonous chemotype exhibits anticoagulant and cytotoxic activities with sesquiterpene coumarins as major constituents, while the non</w:instrText>
      </w:r>
      <w:r w:rsidR="009C21F4">
        <w:rPr>
          <w:rFonts w:ascii="Palatino Linotype" w:hAnsi="Palatino Linotype" w:cs="Palatino Linotype"/>
        </w:rPr>
        <w:instrText>‐</w:instrText>
      </w:r>
      <w:r w:rsidR="009C21F4">
        <w:instrText>poisonous one exhibits estrogenic and cytotoxic effects with daucane sesquiterpene esters as the main compounds. In addition, although various pharmacological properties have been reported for F. communis, antimicrobial activities of the plant have been investigated in most studies. Studies revealed that F. communis exhibits different biological activities, and contains various bioactive compounds. Although, antibacterial and cytotoxic activities are the two main pharmacological effects of this plant, further studies should focus on the mechanisms underlying these actions, as well as on those biological activities that have been reported traditionally.","author":[{"dropping-particle":"","family":"Akaberi","given":"Maryam","non-dropping-particle":"","parse-names":false,"suffix":""},{"dropping-particle":"","family":"Iranshahy","given":"Milad","non-dropping-particle":"","parse-names":false,"suffix":""},{"dropping-particle":"","family":"Iranshahi","given":"Mehrdad","non-dropping-particle":"","parse-names":false,"suffix":""}],"container-title":"Iranian Journal of Basic Medical Sciences","id":"ITEM-1","issue":"11","issued":{"date-parts":[["2015"]]},"page":"1050-1062","title":"Review of the traditional uses, phytochemistry, pharmacology and toxicology of giant fennel (Ferula communis l. subsp. communis)","type":"article-journal","volume":"18"},"uris":["http://www.mendeley.com/documents/?uuid=96aa641b-4770-4444-82ef-e894ea63b2ec"]}],"mendeley":{"formattedCitation":"(Akaberi et al., 2015)","plainTextFormattedCitation":"(Akaberi et al., 2015)","previouslyFormattedCitation":"(Akaberi et al., 2015)"},"properties":{"noteIndex":0},"schema":"https://github.com/citation-style-language/schema/raw/master/csl-citation.json"}</w:instrText>
      </w:r>
      <w:r w:rsidR="000B6CCB">
        <w:fldChar w:fldCharType="separate"/>
      </w:r>
      <w:r w:rsidR="000B6CCB" w:rsidRPr="000B6CCB">
        <w:rPr>
          <w:noProof/>
        </w:rPr>
        <w:t>(Akaberi et al., 2015)</w:t>
      </w:r>
      <w:r w:rsidR="000B6CCB">
        <w:fldChar w:fldCharType="end"/>
      </w:r>
      <w:r w:rsidR="00B20467">
        <w:t xml:space="preserve">. In this study, FC was </w:t>
      </w:r>
      <w:r w:rsidR="00B24DD4">
        <w:t xml:space="preserve">hydrothermally </w:t>
      </w:r>
      <w:r w:rsidR="00B20467">
        <w:t xml:space="preserve">carbonized at different reaction conditions to assess </w:t>
      </w:r>
      <w:r w:rsidR="00FC5A00">
        <w:t>its</w:t>
      </w:r>
      <w:r w:rsidR="00B20467">
        <w:t xml:space="preserve"> role during HTC with recycled solvent. Using a simplified energy balance model</w:t>
      </w:r>
      <w:r w:rsidR="00811A48">
        <w:t>,</w:t>
      </w:r>
      <w:r w:rsidR="00B20467">
        <w:t xml:space="preserve"> it was proved that PW recirculation strategy could lead to a considerable increase of energy recovery enhancing the overall HTC process efficiency.</w:t>
      </w:r>
    </w:p>
    <w:p w14:paraId="5741900F" w14:textId="5950F59B" w:rsidR="00453E24" w:rsidRDefault="00F20E04" w:rsidP="00453E24">
      <w:pPr>
        <w:pStyle w:val="CETHeading1"/>
      </w:pPr>
      <w:r>
        <w:lastRenderedPageBreak/>
        <w:t>Materials and methods</w:t>
      </w:r>
    </w:p>
    <w:p w14:paraId="0636B784" w14:textId="169E4D02" w:rsidR="00453E24" w:rsidRDefault="00C43F74" w:rsidP="00453E24">
      <w:pPr>
        <w:pStyle w:val="CETheadingx"/>
      </w:pPr>
      <w:r>
        <w:t>Experimental procedure</w:t>
      </w:r>
    </w:p>
    <w:p w14:paraId="57D8392D" w14:textId="54408B49" w:rsidR="00277FBF" w:rsidRDefault="00277FBF" w:rsidP="00453E24">
      <w:pPr>
        <w:pStyle w:val="CETBodytext"/>
      </w:pPr>
      <w:proofErr w:type="spellStart"/>
      <w:r w:rsidRPr="00277FBF">
        <w:t>Ferula</w:t>
      </w:r>
      <w:proofErr w:type="spellEnd"/>
      <w:r w:rsidRPr="00277FBF">
        <w:t xml:space="preserve"> </w:t>
      </w:r>
      <w:proofErr w:type="spellStart"/>
      <w:r w:rsidRPr="00277FBF">
        <w:t>Communis</w:t>
      </w:r>
      <w:proofErr w:type="spellEnd"/>
      <w:r w:rsidRPr="00277FBF">
        <w:t xml:space="preserve"> plant (FC), including stems, leaves and seeds, was collected from a suburban countryside of Enna (Sicily) and used as feedstock for all HTC conversion tests. Prior </w:t>
      </w:r>
      <w:r w:rsidR="00A33AF0">
        <w:t>of</w:t>
      </w:r>
      <w:r w:rsidRPr="00277FBF">
        <w:t xml:space="preserve"> the experiments, FC samples were ground by using a knife miller in order to provide completely homogeneous and reproducible size reduction (all samples presented a particle size of approximately 0.5 cm), and stored in sealed plastic containers in a refrigerator at 4 °C until their use. A portion of FC was dried in a ventilated oven at 105 °C until constant weight to quantify the moisture content, which </w:t>
      </w:r>
      <w:r w:rsidR="00A33AF0">
        <w:t>resulted, on average, about</w:t>
      </w:r>
      <w:r w:rsidRPr="00277FBF">
        <w:t xml:space="preserve"> 68.8 </w:t>
      </w:r>
      <w:proofErr w:type="spellStart"/>
      <w:r w:rsidRPr="00277FBF">
        <w:t>wt</w:t>
      </w:r>
      <w:proofErr w:type="spellEnd"/>
      <w:r w:rsidRPr="00277FBF">
        <w:t>%. Deionized water (DW) was used as process solvent in HTC reference steps while PW was used as recycled liquid medium in the subsequent recirculation phases.</w:t>
      </w:r>
    </w:p>
    <w:p w14:paraId="624FF645" w14:textId="4B2C40E4" w:rsidR="009278A7" w:rsidRDefault="009278A7" w:rsidP="00453E24">
      <w:pPr>
        <w:pStyle w:val="CETBodytext"/>
      </w:pPr>
      <w:r w:rsidRPr="009278A7">
        <w:t>HTC experiments were carried out by using a stainless</w:t>
      </w:r>
      <w:r w:rsidR="00FC5A00">
        <w:t>-</w:t>
      </w:r>
      <w:r w:rsidRPr="009278A7">
        <w:t xml:space="preserve">steel batch reactor with an internal </w:t>
      </w:r>
      <w:r w:rsidR="00A33AF0">
        <w:t xml:space="preserve">net </w:t>
      </w:r>
      <w:r w:rsidRPr="009278A7">
        <w:t xml:space="preserve">volume of 50 mL, and charging it with approximately 9.6 g of wet FC (3.0 g </w:t>
      </w:r>
      <w:proofErr w:type="spellStart"/>
      <w:r w:rsidR="00FC5A00">
        <w:t>d.b</w:t>
      </w:r>
      <w:proofErr w:type="spellEnd"/>
      <w:r w:rsidR="00FC5A00">
        <w:t>.</w:t>
      </w:r>
      <w:r w:rsidRPr="009278A7">
        <w:t>) and the amount of solvent (DW or PW) required to reach the desired B/W. After the reactor sealing, it was evacuated by flushing pure nitrogen to remove residual traces of oxygen, heated up to the selected temperature and kept isothermal for the prefixed reaction time (the heating step lasted for 23-35 min according to the temperature set point). When the conversion was completed, the reactor was rapidly cooled down to room temperature by placing it on a massive stainless</w:t>
      </w:r>
      <w:r w:rsidR="00FC5A00">
        <w:t>-</w:t>
      </w:r>
      <w:r w:rsidRPr="009278A7">
        <w:t>steel disc at -10 °C while compressed air was blown over the reactor walls to speed up the cooling process</w:t>
      </w:r>
      <w:r w:rsidR="00F83DB5">
        <w:t>.</w:t>
      </w:r>
      <w:r w:rsidRPr="009278A7">
        <w:t xml:space="preserve"> The </w:t>
      </w:r>
      <w:proofErr w:type="spellStart"/>
      <w:r w:rsidRPr="009278A7">
        <w:t>hydrochar</w:t>
      </w:r>
      <w:proofErr w:type="spellEnd"/>
      <w:r w:rsidRPr="009278A7">
        <w:t xml:space="preserve"> was separated from PW by vacuum filtration and dried at 55 °C until constant weight prior to mass yield determination. The recovered PW, containing the various dissolved organics, was used as a recycled process solvent for the next HTC phases.</w:t>
      </w:r>
    </w:p>
    <w:p w14:paraId="3D8E2739" w14:textId="68525476" w:rsidR="00AA72ED" w:rsidRDefault="00735F6A" w:rsidP="00453E24">
      <w:pPr>
        <w:pStyle w:val="CETBodytext"/>
      </w:pPr>
      <w:r>
        <w:t>HTC tests were performed at 180, 200 and 230 °C with a fixed reaction time of 60 min and B/W of 0.1 in order to investigate the temperature influence on the interaction between the solid treated biomass and the recy</w:t>
      </w:r>
      <w:r w:rsidR="00242BAD">
        <w:t>c</w:t>
      </w:r>
      <w:r>
        <w:t>led solvent during the conversion</w:t>
      </w:r>
      <w:r w:rsidR="00821C42">
        <w:t xml:space="preserve">. </w:t>
      </w:r>
      <w:r w:rsidR="00263A0F" w:rsidRPr="00263A0F">
        <w:t xml:space="preserve">In addition, the effect of B/W, set at 0.1, 0.15 and 0.2, and five consecutive recirculation steps (B/W of 0.1), was studied at 180 °C and 60 min, since the highest increase of </w:t>
      </w:r>
      <w:proofErr w:type="spellStart"/>
      <w:r w:rsidR="00263A0F" w:rsidRPr="00263A0F">
        <w:t>hydrochar</w:t>
      </w:r>
      <w:proofErr w:type="spellEnd"/>
      <w:r w:rsidR="00263A0F" w:rsidRPr="00263A0F">
        <w:t xml:space="preserve"> </w:t>
      </w:r>
      <w:r w:rsidR="00A33AF0">
        <w:t xml:space="preserve">mass </w:t>
      </w:r>
      <w:r w:rsidR="00263A0F" w:rsidRPr="00263A0F">
        <w:t xml:space="preserve">yield after PW recycling was found at this reaction temperature. </w:t>
      </w:r>
      <w:r w:rsidR="00163D95" w:rsidRPr="00163D95">
        <w:t xml:space="preserve">In order to compute the PW contribution in the </w:t>
      </w:r>
      <w:proofErr w:type="spellStart"/>
      <w:r w:rsidR="00163D95" w:rsidRPr="00163D95">
        <w:t>hydrochar</w:t>
      </w:r>
      <w:proofErr w:type="spellEnd"/>
      <w:r w:rsidR="00163D95" w:rsidRPr="00163D95">
        <w:t xml:space="preserve"> formation during recirculation steps, the recovered spent solvent was also employed as substrate </w:t>
      </w:r>
      <w:r w:rsidR="00B437A1">
        <w:t>(</w:t>
      </w:r>
      <w:r w:rsidR="00B437A1" w:rsidRPr="00163D95">
        <w:t>in absence of the raw solid feedstock</w:t>
      </w:r>
      <w:r w:rsidR="000559E5">
        <w:t xml:space="preserve">) </w:t>
      </w:r>
      <w:r w:rsidR="008A1DA1">
        <w:t xml:space="preserve">in HTC </w:t>
      </w:r>
      <w:r w:rsidR="00076EA2">
        <w:t>tests</w:t>
      </w:r>
      <w:r w:rsidR="008A1DA1">
        <w:t xml:space="preserve"> </w:t>
      </w:r>
      <w:r w:rsidR="00A33AF0">
        <w:t>carried out</w:t>
      </w:r>
      <w:r w:rsidR="00A33AF0" w:rsidRPr="00163D95">
        <w:t xml:space="preserve"> </w:t>
      </w:r>
      <w:r w:rsidR="00163D95" w:rsidRPr="00163D95">
        <w:t>at the same operating conditions used for its generation.</w:t>
      </w:r>
      <w:r w:rsidR="005836BF">
        <w:t xml:space="preserve"> </w:t>
      </w:r>
      <w:r w:rsidR="005836BF" w:rsidRPr="005836BF">
        <w:t>All experiment</w:t>
      </w:r>
      <w:r w:rsidR="00076EA2">
        <w:t xml:space="preserve">s </w:t>
      </w:r>
      <w:r w:rsidR="005836BF" w:rsidRPr="005836BF">
        <w:t xml:space="preserve">were carried out at least three times to evaluate the deviation of data and ensure reproducibility. The results were considered valid if RSD% </w:t>
      </w:r>
      <w:r w:rsidR="00555D8F">
        <w:t xml:space="preserve">(Relative Standard Deviation) </w:t>
      </w:r>
      <w:r w:rsidR="005836BF" w:rsidRPr="005836BF">
        <w:t>&lt; 2.5.</w:t>
      </w:r>
    </w:p>
    <w:p w14:paraId="7030F939" w14:textId="21D60635" w:rsidR="00D065A6" w:rsidRDefault="00C233B7" w:rsidP="00453E24">
      <w:pPr>
        <w:pStyle w:val="CETBodytext"/>
      </w:pPr>
      <w:r w:rsidRPr="00C233B7">
        <w:t xml:space="preserve">Composition and energy content of raw feedstock and </w:t>
      </w:r>
      <w:proofErr w:type="spellStart"/>
      <w:r w:rsidRPr="00C233B7">
        <w:t>hydrochars</w:t>
      </w:r>
      <w:proofErr w:type="spellEnd"/>
      <w:r w:rsidRPr="00C233B7">
        <w:t xml:space="preserve"> were evaluated by proximate analysis and higher heating value (HHV) measurement, respectively. Proximate analysis was carried out by a LECO Thermogravimetric </w:t>
      </w:r>
      <w:proofErr w:type="spellStart"/>
      <w:r w:rsidRPr="00C233B7">
        <w:t>Analyser</w:t>
      </w:r>
      <w:proofErr w:type="spellEnd"/>
      <w:r w:rsidRPr="00C233B7">
        <w:t xml:space="preserve"> TGA 701 (ASTM D standard) to quantify volatile matter (VM), ashes (ASH) and fixed carbon (FC) of each sample. A calorimeter LECO AC500 was used to measure HHVs according to the CEN/TS 14918 standard.</w:t>
      </w:r>
    </w:p>
    <w:p w14:paraId="18BAFA6F" w14:textId="168C8A4C" w:rsidR="00453E24" w:rsidRDefault="0090722A" w:rsidP="00453E24">
      <w:pPr>
        <w:pStyle w:val="CETheadingx"/>
      </w:pPr>
      <w:r>
        <w:t>Data analysis</w:t>
      </w:r>
    </w:p>
    <w:p w14:paraId="23F2C0DC" w14:textId="29F613C8" w:rsidR="00D065A6" w:rsidRDefault="00C078AD" w:rsidP="00D065A6">
      <w:pPr>
        <w:pStyle w:val="CETBodytext"/>
      </w:pPr>
      <w:r>
        <w:t xml:space="preserve">The </w:t>
      </w:r>
      <w:proofErr w:type="spellStart"/>
      <w:r>
        <w:t>hydrochar</w:t>
      </w:r>
      <w:proofErr w:type="spellEnd"/>
      <w:r>
        <w:t xml:space="preserve"> mass yield (HY</w:t>
      </w:r>
      <w:r w:rsidRPr="00C078AD">
        <w:t>) was calculat</w:t>
      </w:r>
      <w:r w:rsidR="00F80369">
        <w:t>ed through Eq</w:t>
      </w:r>
      <w:r>
        <w:t xml:space="preserve"> </w:t>
      </w:r>
      <w:r w:rsidR="00F80369">
        <w:t>(</w:t>
      </w:r>
      <w:r>
        <w:t>1</w:t>
      </w:r>
      <w:r w:rsidR="00F80369">
        <w:t>)</w:t>
      </w:r>
      <w:r>
        <w:t xml:space="preserve">, where </w:t>
      </w:r>
      <w:proofErr w:type="spellStart"/>
      <w:r>
        <w:t>m</w:t>
      </w:r>
      <w:r>
        <w:rPr>
          <w:vertAlign w:val="subscript"/>
        </w:rPr>
        <w:t>HC</w:t>
      </w:r>
      <w:proofErr w:type="spellEnd"/>
      <w:r w:rsidRPr="00C078AD">
        <w:t xml:space="preserve"> is the mass of </w:t>
      </w:r>
      <w:proofErr w:type="spellStart"/>
      <w:r w:rsidRPr="00C078AD">
        <w:t>hydrochar</w:t>
      </w:r>
      <w:proofErr w:type="spellEnd"/>
      <w:r w:rsidRPr="00C078AD">
        <w:t xml:space="preserve"> (</w:t>
      </w:r>
      <w:proofErr w:type="spellStart"/>
      <w:r w:rsidRPr="00C078AD">
        <w:t>d.b</w:t>
      </w:r>
      <w:proofErr w:type="spellEnd"/>
      <w:r w:rsidRPr="00C078AD">
        <w:t>.) collected after the</w:t>
      </w:r>
      <w:r>
        <w:t xml:space="preserve"> conversion and </w:t>
      </w:r>
      <w:proofErr w:type="spellStart"/>
      <w:r>
        <w:t>m</w:t>
      </w:r>
      <w:r>
        <w:rPr>
          <w:vertAlign w:val="subscript"/>
        </w:rPr>
        <w:t>raw</w:t>
      </w:r>
      <w:proofErr w:type="spellEnd"/>
      <w:r w:rsidRPr="00C078AD">
        <w:t xml:space="preserve"> is the mass (</w:t>
      </w:r>
      <w:proofErr w:type="spellStart"/>
      <w:r w:rsidRPr="00C078AD">
        <w:t>d.b</w:t>
      </w:r>
      <w:proofErr w:type="spellEnd"/>
      <w:r w:rsidRPr="00C078AD">
        <w:t>.) of solid starting material.</w:t>
      </w:r>
    </w:p>
    <w:p w14:paraId="49FEC33B" w14:textId="77777777" w:rsidR="00D065A6" w:rsidRPr="00D065A6" w:rsidRDefault="00D065A6" w:rsidP="00D065A6">
      <w:pPr>
        <w:pStyle w:val="CETBodytext"/>
      </w:pPr>
    </w:p>
    <w:tbl>
      <w:tblPr>
        <w:tblW w:w="5000" w:type="pct"/>
        <w:tblLook w:val="04A0" w:firstRow="1" w:lastRow="0" w:firstColumn="1" w:lastColumn="0" w:noHBand="0" w:noVBand="1"/>
      </w:tblPr>
      <w:tblGrid>
        <w:gridCol w:w="8188"/>
        <w:gridCol w:w="815"/>
      </w:tblGrid>
      <w:tr w:rsidR="00D065A6" w:rsidRPr="00B57B36" w14:paraId="7DC1DB47" w14:textId="77777777" w:rsidTr="00C078AD">
        <w:tc>
          <w:tcPr>
            <w:tcW w:w="8188" w:type="dxa"/>
            <w:shd w:val="clear" w:color="auto" w:fill="auto"/>
            <w:vAlign w:val="center"/>
          </w:tcPr>
          <w:p w14:paraId="33F41FF5" w14:textId="3C9CC7A6" w:rsidR="00D065A6" w:rsidRPr="00B82926" w:rsidRDefault="00233775" w:rsidP="00C078AD">
            <w:pPr>
              <w:pStyle w:val="CETEquation"/>
              <w:rPr>
                <w:rFonts w:ascii="Arial Black" w:hAnsi="Arial Black"/>
                <w:szCs w:val="18"/>
              </w:rPr>
            </w:pPr>
            <m:oMathPara>
              <m:oMathParaPr>
                <m:jc m:val="left"/>
              </m:oMathParaPr>
              <m:oMath>
                <m:r>
                  <m:rPr>
                    <m:sty m:val="p"/>
                  </m:rPr>
                  <w:rPr>
                    <w:rFonts w:ascii="Cambria Math" w:hAnsi="Cambria Math"/>
                    <w:szCs w:val="18"/>
                  </w:rPr>
                  <m:t>HY=</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raw</m:t>
                    </m:r>
                  </m:sub>
                </m:sSub>
              </m:oMath>
            </m:oMathPara>
          </w:p>
        </w:tc>
        <w:tc>
          <w:tcPr>
            <w:tcW w:w="815" w:type="dxa"/>
            <w:shd w:val="clear" w:color="auto" w:fill="auto"/>
            <w:vAlign w:val="center"/>
          </w:tcPr>
          <w:p w14:paraId="377AD172" w14:textId="77777777" w:rsidR="00D065A6" w:rsidRPr="00B57B36" w:rsidRDefault="00D065A6" w:rsidP="00C078AD">
            <w:pPr>
              <w:pStyle w:val="CETEquation"/>
              <w:jc w:val="right"/>
            </w:pPr>
            <w:r w:rsidRPr="00B57B36">
              <w:t>(1)</w:t>
            </w:r>
          </w:p>
        </w:tc>
      </w:tr>
    </w:tbl>
    <w:p w14:paraId="6AD97897" w14:textId="77777777" w:rsidR="00D065A6" w:rsidRDefault="00D065A6" w:rsidP="00D065A6">
      <w:pPr>
        <w:pStyle w:val="CETBodytext"/>
      </w:pPr>
    </w:p>
    <w:p w14:paraId="4E289CFB" w14:textId="7DB34FBC" w:rsidR="00B82926" w:rsidRDefault="00233775" w:rsidP="00D065A6">
      <w:pPr>
        <w:pStyle w:val="CETBodytext"/>
      </w:pPr>
      <w:r w:rsidRPr="00233775">
        <w:t xml:space="preserve">After computing the </w:t>
      </w:r>
      <w:proofErr w:type="spellStart"/>
      <w:r w:rsidRPr="00233775">
        <w:t>hydrochar</w:t>
      </w:r>
      <w:proofErr w:type="spellEnd"/>
      <w:r w:rsidRPr="00233775">
        <w:t xml:space="preserve"> mass recove</w:t>
      </w:r>
      <w:r>
        <w:t>red from HTC of only PW (</w:t>
      </w:r>
      <w:proofErr w:type="spellStart"/>
      <w:r>
        <w:t>m</w:t>
      </w:r>
      <w:r>
        <w:rPr>
          <w:vertAlign w:val="subscript"/>
        </w:rPr>
        <w:t>onlyPW</w:t>
      </w:r>
      <w:proofErr w:type="spellEnd"/>
      <w:r w:rsidRPr="00233775">
        <w:t xml:space="preserve">), the </w:t>
      </w:r>
      <w:proofErr w:type="spellStart"/>
      <w:r>
        <w:t>hydrochar</w:t>
      </w:r>
      <w:proofErr w:type="spellEnd"/>
      <w:r>
        <w:t xml:space="preserve"> yield increase (</w:t>
      </w:r>
      <w:proofErr w:type="spellStart"/>
      <w:r>
        <w:t>HY</w:t>
      </w:r>
      <w:r>
        <w:rPr>
          <w:vertAlign w:val="subscript"/>
        </w:rPr>
        <w:t>incr</w:t>
      </w:r>
      <w:proofErr w:type="spellEnd"/>
      <w:r w:rsidRPr="00233775">
        <w:t>) was defined to quantify the solid yield improvement net of PW dissolved components contribution.</w:t>
      </w:r>
    </w:p>
    <w:p w14:paraId="6306E1F8" w14:textId="77777777" w:rsidR="00233775" w:rsidRDefault="00233775" w:rsidP="00D065A6">
      <w:pPr>
        <w:pStyle w:val="CETBodytext"/>
      </w:pPr>
    </w:p>
    <w:tbl>
      <w:tblPr>
        <w:tblW w:w="5000" w:type="pct"/>
        <w:tblLook w:val="04A0" w:firstRow="1" w:lastRow="0" w:firstColumn="1" w:lastColumn="0" w:noHBand="0" w:noVBand="1"/>
      </w:tblPr>
      <w:tblGrid>
        <w:gridCol w:w="8188"/>
        <w:gridCol w:w="815"/>
      </w:tblGrid>
      <w:tr w:rsidR="00233775" w:rsidRPr="00B57B36" w14:paraId="596AF340" w14:textId="77777777" w:rsidTr="009F56AE">
        <w:tc>
          <w:tcPr>
            <w:tcW w:w="8188" w:type="dxa"/>
            <w:shd w:val="clear" w:color="auto" w:fill="auto"/>
            <w:vAlign w:val="center"/>
          </w:tcPr>
          <w:p w14:paraId="6843A0D7" w14:textId="0115899F" w:rsidR="00233775" w:rsidRPr="00233775" w:rsidRDefault="00E7488B" w:rsidP="009F56AE">
            <w:pPr>
              <w:pStyle w:val="CETEquation"/>
              <w:rPr>
                <w:rFonts w:ascii="Arial Black" w:hAnsi="Arial Black"/>
                <w:szCs w:val="18"/>
              </w:rPr>
            </w:pPr>
            <m:oMath>
              <m:sSub>
                <m:sSubPr>
                  <m:ctrlPr>
                    <w:rPr>
                      <w:rFonts w:ascii="Cambria Math" w:hAnsi="Cambria Math"/>
                      <w:szCs w:val="18"/>
                    </w:rPr>
                  </m:ctrlPr>
                </m:sSubPr>
                <m:e>
                  <m:r>
                    <m:rPr>
                      <m:sty m:val="p"/>
                    </m:rPr>
                    <w:rPr>
                      <w:rFonts w:ascii="Cambria Math" w:hAnsi="Cambria Math"/>
                      <w:szCs w:val="18"/>
                    </w:rPr>
                    <m:t>HY</m:t>
                  </m:r>
                </m:e>
                <m:sub>
                  <m:r>
                    <m:rPr>
                      <m:sty m:val="p"/>
                    </m:rPr>
                    <w:rPr>
                      <w:rFonts w:ascii="Cambria Math" w:hAnsi="Cambria Math"/>
                      <w:szCs w:val="18"/>
                    </w:rPr>
                    <m:t>incr</m:t>
                  </m:r>
                </m:sub>
              </m:sSub>
              <m:r>
                <m:rPr>
                  <m:sty m:val="p"/>
                </m:rPr>
                <w:rPr>
                  <w:rFonts w:ascii="Cambria Math" w:hAnsi="Cambria Math"/>
                  <w:szCs w:val="18"/>
                </w:rPr>
                <m:t xml:space="preserve">= </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HC_PW</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HC_DW</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onlyPW</m:t>
                      </m:r>
                    </m:sub>
                  </m:sSub>
                  <m:r>
                    <m:rPr>
                      <m:sty m:val="p"/>
                    </m:rPr>
                    <w:rPr>
                      <w:rFonts w:ascii="Cambria Math" w:hAnsi="Cambria Math"/>
                      <w:szCs w:val="18"/>
                    </w:rPr>
                    <m:t>)</m:t>
                  </m:r>
                </m:num>
                <m:den>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raw</m:t>
                      </m:r>
                    </m:sub>
                  </m:sSub>
                </m:den>
              </m:f>
              <m:r>
                <m:rPr>
                  <m:sty m:val="p"/>
                </m:rPr>
                <w:rPr>
                  <w:rFonts w:ascii="Cambria Math" w:hAnsi="Cambria Math"/>
                  <w:szCs w:val="18"/>
                </w:rPr>
                <m:t xml:space="preserve">    </m:t>
              </m:r>
            </m:oMath>
            <w:r w:rsidR="00233775" w:rsidRPr="00233775">
              <w:rPr>
                <w:rFonts w:ascii="Times New Roman" w:eastAsiaTheme="minorEastAsia" w:hAnsi="Times New Roman"/>
                <w:szCs w:val="18"/>
              </w:rPr>
              <w:t xml:space="preserve"> </w:t>
            </w:r>
          </w:p>
        </w:tc>
        <w:tc>
          <w:tcPr>
            <w:tcW w:w="815" w:type="dxa"/>
            <w:shd w:val="clear" w:color="auto" w:fill="auto"/>
            <w:vAlign w:val="center"/>
          </w:tcPr>
          <w:p w14:paraId="057E4D5F" w14:textId="4239EF8A" w:rsidR="00233775" w:rsidRPr="00B57B36" w:rsidRDefault="00233775" w:rsidP="009F56AE">
            <w:pPr>
              <w:pStyle w:val="CETEquation"/>
              <w:jc w:val="right"/>
            </w:pPr>
            <w:r>
              <w:t>(2</w:t>
            </w:r>
            <w:r w:rsidRPr="00B57B36">
              <w:t>)</w:t>
            </w:r>
          </w:p>
        </w:tc>
      </w:tr>
    </w:tbl>
    <w:p w14:paraId="1A17DEE8" w14:textId="77777777" w:rsidR="00233775" w:rsidRDefault="00233775" w:rsidP="00D065A6">
      <w:pPr>
        <w:pStyle w:val="CETBodytext"/>
      </w:pPr>
    </w:p>
    <w:p w14:paraId="5A12E929" w14:textId="0D1333DF" w:rsidR="00110649" w:rsidRDefault="00110649" w:rsidP="00D065A6">
      <w:pPr>
        <w:pStyle w:val="CETBodytext"/>
      </w:pPr>
      <w:r>
        <w:t xml:space="preserve">where </w:t>
      </w:r>
      <w:proofErr w:type="spellStart"/>
      <w:r>
        <w:t>m</w:t>
      </w:r>
      <w:r>
        <w:rPr>
          <w:vertAlign w:val="subscript"/>
        </w:rPr>
        <w:t>HC_PW</w:t>
      </w:r>
      <w:proofErr w:type="spellEnd"/>
      <w:r>
        <w:t xml:space="preserve"> and </w:t>
      </w:r>
      <w:proofErr w:type="spellStart"/>
      <w:r>
        <w:t>m</w:t>
      </w:r>
      <w:r>
        <w:rPr>
          <w:vertAlign w:val="subscript"/>
        </w:rPr>
        <w:t>HC_DW</w:t>
      </w:r>
      <w:proofErr w:type="spellEnd"/>
      <w:r w:rsidRPr="00110649">
        <w:t xml:space="preserve"> are the masses of </w:t>
      </w:r>
      <w:proofErr w:type="spellStart"/>
      <w:r w:rsidRPr="00110649">
        <w:t>hydrochars</w:t>
      </w:r>
      <w:proofErr w:type="spellEnd"/>
      <w:r w:rsidRPr="00110649">
        <w:t xml:space="preserve"> obtained from HTC with PW recirculation and DW as solvent, respectively.</w:t>
      </w:r>
    </w:p>
    <w:p w14:paraId="63EBD9B4" w14:textId="5FF6466D" w:rsidR="00034132" w:rsidRDefault="00034132" w:rsidP="00D065A6">
      <w:pPr>
        <w:pStyle w:val="CETBodytext"/>
      </w:pPr>
      <w:r w:rsidRPr="00034132">
        <w:t xml:space="preserve">The interaction occurred between the dissolved compounds in recycled PW and the treated biomass was quantified by two different coefficients in order to evaluate the strength of synergy towards </w:t>
      </w:r>
      <w:proofErr w:type="spellStart"/>
      <w:r w:rsidRPr="00034132">
        <w:t>hydrochar</w:t>
      </w:r>
      <w:proofErr w:type="spellEnd"/>
      <w:r w:rsidRPr="00034132">
        <w:t xml:space="preserve"> formation during HTC.</w:t>
      </w:r>
    </w:p>
    <w:p w14:paraId="68611C83" w14:textId="77777777" w:rsidR="00034132" w:rsidRDefault="00034132" w:rsidP="00D065A6">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3"/>
      </w:tblGrid>
      <w:tr w:rsidR="00034132" w:rsidRPr="001365B3" w14:paraId="72AF28EE" w14:textId="77777777" w:rsidTr="009F56AE">
        <w:tc>
          <w:tcPr>
            <w:tcW w:w="4381" w:type="dxa"/>
          </w:tcPr>
          <w:p w14:paraId="528CD354" w14:textId="643DE2FD" w:rsidR="00034132" w:rsidRPr="00034132" w:rsidRDefault="00E7488B" w:rsidP="009F56AE">
            <w:pPr>
              <w:spacing w:line="360" w:lineRule="auto"/>
              <w:rPr>
                <w:rFonts w:ascii="Times New Roman" w:hAnsi="Times New Roman"/>
                <w:szCs w:val="18"/>
              </w:rPr>
            </w:pPr>
            <m:oMath>
              <m:sSub>
                <m:sSubPr>
                  <m:ctrlPr>
                    <w:rPr>
                      <w:rFonts w:ascii="Cambria Math" w:hAnsi="Cambria Math"/>
                      <w:szCs w:val="18"/>
                    </w:rPr>
                  </m:ctrlPr>
                </m:sSubPr>
                <m:e>
                  <m:r>
                    <m:rPr>
                      <m:sty m:val="p"/>
                    </m:rPr>
                    <w:rPr>
                      <w:rFonts w:ascii="Cambria Math" w:hAnsi="Cambria Math"/>
                      <w:szCs w:val="18"/>
                    </w:rPr>
                    <m:t>IE</m:t>
                  </m:r>
                </m:e>
                <m:sub>
                  <m:r>
                    <m:rPr>
                      <m:sty m:val="p"/>
                    </m:rPr>
                    <w:rPr>
                      <w:rFonts w:ascii="Cambria Math" w:hAnsi="Cambria Math"/>
                      <w:szCs w:val="18"/>
                    </w:rPr>
                    <m:t>HC</m:t>
                  </m:r>
                </m:sub>
              </m:sSub>
              <m:r>
                <m:rPr>
                  <m:sty m:val="p"/>
                </m:rPr>
                <w:rPr>
                  <w:rFonts w:ascii="Cambria Math" w:hAnsi="Cambria Math"/>
                  <w:szCs w:val="18"/>
                </w:rPr>
                <m:t>=</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HC_PW-</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HC_DW</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onlyPW</m:t>
                      </m:r>
                    </m:sub>
                  </m:sSub>
                  <m:r>
                    <m:rPr>
                      <m:sty m:val="p"/>
                    </m:rPr>
                    <w:rPr>
                      <w:rFonts w:ascii="Cambria Math" w:hAnsi="Cambria Math"/>
                      <w:szCs w:val="18"/>
                    </w:rPr>
                    <m:t>)</m:t>
                  </m:r>
                </m:num>
                <m:den>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HC_DW</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onlyPW</m:t>
                      </m:r>
                    </m:sub>
                  </m:sSub>
                  <m:r>
                    <m:rPr>
                      <m:sty m:val="p"/>
                    </m:rPr>
                    <w:rPr>
                      <w:rFonts w:ascii="Cambria Math" w:hAnsi="Cambria Math"/>
                      <w:szCs w:val="18"/>
                    </w:rPr>
                    <m:t>)</m:t>
                  </m:r>
                </m:den>
              </m:f>
              <m:r>
                <m:rPr>
                  <m:sty m:val="p"/>
                </m:rPr>
                <w:rPr>
                  <w:rFonts w:ascii="Cambria Math" w:hAnsi="Cambria Math"/>
                  <w:szCs w:val="18"/>
                </w:rPr>
                <m:t xml:space="preserve">   </m:t>
              </m:r>
            </m:oMath>
            <w:r w:rsidR="00034132" w:rsidRPr="00034132">
              <w:rPr>
                <w:rFonts w:ascii="Times New Roman" w:eastAsiaTheme="minorEastAsia" w:hAnsi="Times New Roman"/>
                <w:szCs w:val="18"/>
              </w:rPr>
              <w:t xml:space="preserve"> </w:t>
            </w:r>
          </w:p>
        </w:tc>
        <w:tc>
          <w:tcPr>
            <w:tcW w:w="4333" w:type="dxa"/>
            <w:vAlign w:val="center"/>
          </w:tcPr>
          <w:p w14:paraId="7F942DD4" w14:textId="0C10517B" w:rsidR="00034132" w:rsidRPr="00034132" w:rsidRDefault="00034132" w:rsidP="009F56AE">
            <w:pPr>
              <w:spacing w:line="360" w:lineRule="auto"/>
              <w:jc w:val="right"/>
              <w:rPr>
                <w:rFonts w:cs="Arial"/>
                <w:szCs w:val="18"/>
              </w:rPr>
            </w:pPr>
            <w:r w:rsidRPr="00034132">
              <w:rPr>
                <w:rFonts w:cs="Arial"/>
                <w:szCs w:val="18"/>
              </w:rPr>
              <w:t>(</w:t>
            </w:r>
            <w:r>
              <w:rPr>
                <w:rFonts w:cs="Arial"/>
                <w:szCs w:val="18"/>
              </w:rPr>
              <w:t>3</w:t>
            </w:r>
            <w:r w:rsidRPr="00034132">
              <w:rPr>
                <w:rFonts w:cs="Arial"/>
                <w:szCs w:val="18"/>
              </w:rPr>
              <w:t>)</w:t>
            </w:r>
          </w:p>
        </w:tc>
      </w:tr>
    </w:tbl>
    <w:p w14:paraId="708FAA80" w14:textId="77777777" w:rsidR="00034132" w:rsidRDefault="00034132" w:rsidP="00D065A6">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3"/>
      </w:tblGrid>
      <w:tr w:rsidR="00034132" w:rsidRPr="001365B3" w14:paraId="1E0312CA" w14:textId="77777777" w:rsidTr="009F56AE">
        <w:tc>
          <w:tcPr>
            <w:tcW w:w="4381" w:type="dxa"/>
          </w:tcPr>
          <w:p w14:paraId="1DD22811" w14:textId="60281961" w:rsidR="00034132" w:rsidRPr="00034132" w:rsidRDefault="00E7488B" w:rsidP="009F56AE">
            <w:pPr>
              <w:spacing w:line="360" w:lineRule="auto"/>
              <w:rPr>
                <w:rFonts w:ascii="Times New Roman" w:hAnsi="Times New Roman"/>
                <w:szCs w:val="18"/>
              </w:rPr>
            </w:pPr>
            <m:oMathPara>
              <m:oMathParaPr>
                <m:jc m:val="left"/>
              </m:oMathParaPr>
              <m:oMath>
                <m:sSub>
                  <m:sSubPr>
                    <m:ctrlPr>
                      <w:rPr>
                        <w:rFonts w:ascii="Cambria Math" w:hAnsi="Cambria Math"/>
                        <w:szCs w:val="18"/>
                      </w:rPr>
                    </m:ctrlPr>
                  </m:sSubPr>
                  <m:e>
                    <m:r>
                      <m:rPr>
                        <m:sty m:val="p"/>
                      </m:rPr>
                      <w:rPr>
                        <w:rFonts w:ascii="Cambria Math" w:hAnsi="Cambria Math"/>
                        <w:szCs w:val="18"/>
                      </w:rPr>
                      <m:t>IE</m:t>
                    </m:r>
                  </m:e>
                  <m:sub>
                    <m:r>
                      <m:rPr>
                        <m:sty m:val="p"/>
                      </m:rPr>
                      <w:rPr>
                        <w:rFonts w:ascii="Cambria Math" w:hAnsi="Cambria Math"/>
                        <w:szCs w:val="18"/>
                      </w:rPr>
                      <m:t>fr</m:t>
                    </m:r>
                  </m:sub>
                </m:sSub>
                <m:r>
                  <m:rPr>
                    <m:sty m:val="p"/>
                  </m:rPr>
                  <w:rPr>
                    <w:rFonts w:ascii="Cambria Math" w:hAnsi="Cambria Math"/>
                    <w:szCs w:val="18"/>
                  </w:rPr>
                  <m:t>=1-</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onlyPW</m:t>
                        </m:r>
                      </m:sub>
                    </m:sSub>
                  </m:num>
                  <m:den>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HC_PW</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HC_DW</m:t>
                        </m:r>
                      </m:sub>
                    </m:sSub>
                    <m:r>
                      <m:rPr>
                        <m:sty m:val="p"/>
                      </m:rPr>
                      <w:rPr>
                        <w:rFonts w:ascii="Cambria Math" w:hAnsi="Cambria Math"/>
                        <w:szCs w:val="18"/>
                      </w:rPr>
                      <m:t>)</m:t>
                    </m:r>
                  </m:den>
                </m:f>
                <m:r>
                  <m:rPr>
                    <m:sty m:val="p"/>
                  </m:rPr>
                  <w:rPr>
                    <w:rFonts w:ascii="Cambria Math" w:hAnsi="Cambria Math"/>
                    <w:szCs w:val="18"/>
                  </w:rPr>
                  <m:t xml:space="preserve"> </m:t>
                </m:r>
              </m:oMath>
            </m:oMathPara>
          </w:p>
        </w:tc>
        <w:tc>
          <w:tcPr>
            <w:tcW w:w="4333" w:type="dxa"/>
            <w:vAlign w:val="center"/>
          </w:tcPr>
          <w:p w14:paraId="2257D13F" w14:textId="1EABB3D1" w:rsidR="00034132" w:rsidRPr="00034132" w:rsidRDefault="00034132" w:rsidP="009F56AE">
            <w:pPr>
              <w:spacing w:line="360" w:lineRule="auto"/>
              <w:jc w:val="right"/>
              <w:rPr>
                <w:rFonts w:cs="Arial"/>
                <w:szCs w:val="18"/>
              </w:rPr>
            </w:pPr>
            <w:r w:rsidRPr="00034132">
              <w:rPr>
                <w:rFonts w:cs="Arial"/>
                <w:szCs w:val="18"/>
              </w:rPr>
              <w:t>(</w:t>
            </w:r>
            <w:r>
              <w:rPr>
                <w:rFonts w:cs="Arial"/>
                <w:szCs w:val="18"/>
              </w:rPr>
              <w:t>4</w:t>
            </w:r>
            <w:r w:rsidRPr="00034132">
              <w:rPr>
                <w:rFonts w:cs="Arial"/>
                <w:szCs w:val="18"/>
              </w:rPr>
              <w:t>)</w:t>
            </w:r>
          </w:p>
        </w:tc>
      </w:tr>
    </w:tbl>
    <w:p w14:paraId="44481ECB" w14:textId="77777777" w:rsidR="00034132" w:rsidRDefault="00034132" w:rsidP="00D065A6">
      <w:pPr>
        <w:pStyle w:val="CETBodytext"/>
      </w:pPr>
    </w:p>
    <w:p w14:paraId="2913869E" w14:textId="6061B992" w:rsidR="004F62E8" w:rsidRDefault="004F62E8" w:rsidP="00D065A6">
      <w:pPr>
        <w:pStyle w:val="CETBodytext"/>
      </w:pPr>
      <w:r>
        <w:t>IE</w:t>
      </w:r>
      <w:r>
        <w:rPr>
          <w:vertAlign w:val="subscript"/>
        </w:rPr>
        <w:t>HC</w:t>
      </w:r>
      <w:r w:rsidRPr="004F62E8">
        <w:t xml:space="preserve"> measures the strength of synergy by referring the net </w:t>
      </w:r>
      <w:proofErr w:type="spellStart"/>
      <w:r w:rsidRPr="004F62E8">
        <w:t>hydrochar</w:t>
      </w:r>
      <w:proofErr w:type="spellEnd"/>
      <w:r w:rsidRPr="004F62E8">
        <w:t xml:space="preserve"> surplus to the calculated value, given by the sum of </w:t>
      </w:r>
      <w:proofErr w:type="spellStart"/>
      <w:r w:rsidRPr="004F62E8">
        <w:t>hydrochar</w:t>
      </w:r>
      <w:proofErr w:type="spellEnd"/>
      <w:r w:rsidRPr="004F62E8">
        <w:t xml:space="preserve"> masses recovered after individua</w:t>
      </w:r>
      <w:r>
        <w:t xml:space="preserve">l HTC of feedstock and PW while </w:t>
      </w:r>
      <w:proofErr w:type="spellStart"/>
      <w:r>
        <w:t>IE</w:t>
      </w:r>
      <w:r>
        <w:rPr>
          <w:vertAlign w:val="subscript"/>
        </w:rPr>
        <w:t>fr</w:t>
      </w:r>
      <w:proofErr w:type="spellEnd"/>
      <w:r w:rsidRPr="004F62E8">
        <w:t xml:space="preserve"> quantifies the fraction of </w:t>
      </w:r>
      <w:proofErr w:type="spellStart"/>
      <w:r w:rsidRPr="004F62E8">
        <w:t>hydrochar</w:t>
      </w:r>
      <w:proofErr w:type="spellEnd"/>
      <w:r w:rsidRPr="004F62E8">
        <w:t xml:space="preserve"> mass surplus obtained due to the interaction of raw feedstock and recycled PW</w:t>
      </w:r>
      <w:r>
        <w:t>.</w:t>
      </w:r>
    </w:p>
    <w:p w14:paraId="4C16107A" w14:textId="62C7B4CD" w:rsidR="00DD2DB6" w:rsidRDefault="00EB570B" w:rsidP="00D065A6">
      <w:pPr>
        <w:pStyle w:val="CETBodytext"/>
      </w:pPr>
      <w:r w:rsidRPr="00EB570B">
        <w:t xml:space="preserve">The </w:t>
      </w:r>
      <w:proofErr w:type="spellStart"/>
      <w:r w:rsidRPr="00EB570B">
        <w:t>hydrochar</w:t>
      </w:r>
      <w:proofErr w:type="spellEnd"/>
      <w:r w:rsidRPr="00EB570B">
        <w:t xml:space="preserve"> energy properties were </w:t>
      </w:r>
      <w:r w:rsidR="009F56AE">
        <w:t>measured</w:t>
      </w:r>
      <w:r w:rsidRPr="00EB570B">
        <w:t xml:space="preserve"> through the energy yield (EY) and the energy surplus ratio (ESR), defined as follows:</w:t>
      </w:r>
    </w:p>
    <w:p w14:paraId="1D857A4F" w14:textId="77777777" w:rsidR="00EB570B" w:rsidRDefault="00EB570B" w:rsidP="00D065A6">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3"/>
      </w:tblGrid>
      <w:tr w:rsidR="00EB570B" w:rsidRPr="001365B3" w14:paraId="7181BF4C" w14:textId="77777777" w:rsidTr="009F56AE">
        <w:tc>
          <w:tcPr>
            <w:tcW w:w="4381" w:type="dxa"/>
          </w:tcPr>
          <w:p w14:paraId="1A4C043D" w14:textId="7EEBB9F0" w:rsidR="00EB570B" w:rsidRPr="000029D6" w:rsidRDefault="000029D6" w:rsidP="009F56AE">
            <w:pPr>
              <w:spacing w:line="360" w:lineRule="auto"/>
              <w:rPr>
                <w:rFonts w:ascii="Times New Roman" w:hAnsi="Times New Roman"/>
                <w:szCs w:val="18"/>
              </w:rPr>
            </w:pPr>
            <m:oMath>
              <m:r>
                <m:rPr>
                  <m:sty m:val="p"/>
                </m:rPr>
                <w:rPr>
                  <w:rFonts w:ascii="Cambria Math" w:hAnsi="Cambria Math"/>
                  <w:szCs w:val="18"/>
                </w:rPr>
                <m:t>EY</m:t>
              </m:r>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rPr>
                        <m:t>HHV</m:t>
                      </m:r>
                    </m:e>
                    <m:sub>
                      <m:r>
                        <m:rPr>
                          <m:sty m:val="p"/>
                        </m:rPr>
                        <w:rPr>
                          <w:rFonts w:ascii="Cambria Math" w:hAnsi="Cambria Math"/>
                          <w:szCs w:val="18"/>
                        </w:rPr>
                        <m:t>HC</m:t>
                      </m:r>
                    </m:sub>
                  </m:sSub>
                </m:num>
                <m:den>
                  <m:sSub>
                    <m:sSubPr>
                      <m:ctrlPr>
                        <w:rPr>
                          <w:rFonts w:ascii="Cambria Math" w:hAnsi="Cambria Math"/>
                          <w:szCs w:val="18"/>
                        </w:rPr>
                      </m:ctrlPr>
                    </m:sSubPr>
                    <m:e>
                      <m:r>
                        <m:rPr>
                          <m:sty m:val="p"/>
                        </m:rPr>
                        <w:rPr>
                          <w:rFonts w:ascii="Cambria Math" w:hAnsi="Cambria Math"/>
                          <w:szCs w:val="18"/>
                        </w:rPr>
                        <m:t>HHV</m:t>
                      </m:r>
                    </m:e>
                    <m:sub>
                      <m:r>
                        <m:rPr>
                          <m:sty m:val="p"/>
                        </m:rPr>
                        <w:rPr>
                          <w:rFonts w:ascii="Cambria Math" w:hAnsi="Cambria Math"/>
                          <w:szCs w:val="18"/>
                        </w:rPr>
                        <m:t>raw</m:t>
                      </m:r>
                    </m:sub>
                  </m:sSub>
                </m:den>
              </m:f>
              <m:r>
                <m:rPr>
                  <m:sty m:val="p"/>
                </m:rPr>
                <w:rPr>
                  <w:rFonts w:ascii="Cambria Math" w:hAnsi="Cambria Math"/>
                  <w:szCs w:val="18"/>
                  <w:lang w:val="en-US"/>
                </w:rPr>
                <m:t xml:space="preserve"> ∙ </m:t>
              </m:r>
              <m:sSub>
                <m:sSubPr>
                  <m:ctrlPr>
                    <w:rPr>
                      <w:rFonts w:ascii="Cambria Math" w:hAnsi="Cambria Math"/>
                      <w:szCs w:val="18"/>
                    </w:rPr>
                  </m:ctrlPr>
                </m:sSubPr>
                <m:e>
                  <m:r>
                    <m:rPr>
                      <m:sty m:val="p"/>
                    </m:rPr>
                    <w:rPr>
                      <w:rFonts w:ascii="Cambria Math" w:hAnsi="Cambria Math"/>
                      <w:szCs w:val="18"/>
                    </w:rPr>
                    <m:t>MY</m:t>
                  </m:r>
                </m:e>
                <m:sub>
                  <m:r>
                    <m:rPr>
                      <m:sty m:val="p"/>
                    </m:rPr>
                    <w:rPr>
                      <w:rFonts w:ascii="Cambria Math" w:hAnsi="Cambria Math"/>
                      <w:szCs w:val="18"/>
                    </w:rPr>
                    <m:t>HC</m:t>
                  </m:r>
                </m:sub>
              </m:sSub>
              <m:r>
                <m:rPr>
                  <m:sty m:val="p"/>
                </m:rPr>
                <w:rPr>
                  <w:rFonts w:ascii="Cambria Math" w:hAnsi="Cambria Math"/>
                  <w:szCs w:val="18"/>
                  <w:lang w:val="en-US"/>
                </w:rPr>
                <m:t xml:space="preserve">  </m:t>
              </m:r>
            </m:oMath>
            <w:r w:rsidRPr="007A73DA">
              <w:rPr>
                <w:rFonts w:ascii="Times New Roman" w:eastAsiaTheme="minorEastAsia" w:hAnsi="Times New Roman"/>
                <w:szCs w:val="18"/>
                <w:lang w:val="en-US"/>
              </w:rPr>
              <w:t xml:space="preserve"> </w:t>
            </w:r>
          </w:p>
        </w:tc>
        <w:tc>
          <w:tcPr>
            <w:tcW w:w="4333" w:type="dxa"/>
            <w:vAlign w:val="center"/>
          </w:tcPr>
          <w:p w14:paraId="714B517B" w14:textId="4F3811DF" w:rsidR="00EB570B" w:rsidRPr="00034132" w:rsidRDefault="00EB570B" w:rsidP="009F56AE">
            <w:pPr>
              <w:spacing w:line="360" w:lineRule="auto"/>
              <w:jc w:val="right"/>
              <w:rPr>
                <w:rFonts w:cs="Arial"/>
                <w:szCs w:val="18"/>
              </w:rPr>
            </w:pPr>
            <w:r w:rsidRPr="00034132">
              <w:rPr>
                <w:rFonts w:cs="Arial"/>
                <w:szCs w:val="18"/>
              </w:rPr>
              <w:t>(</w:t>
            </w:r>
            <w:r>
              <w:rPr>
                <w:rFonts w:cs="Arial"/>
                <w:szCs w:val="18"/>
              </w:rPr>
              <w:t>5</w:t>
            </w:r>
            <w:r w:rsidRPr="00034132">
              <w:rPr>
                <w:rFonts w:cs="Arial"/>
                <w:szCs w:val="18"/>
              </w:rPr>
              <w:t>)</w:t>
            </w:r>
          </w:p>
        </w:tc>
      </w:tr>
    </w:tbl>
    <w:p w14:paraId="24B1F7C0" w14:textId="77777777" w:rsidR="00EB570B" w:rsidRDefault="00EB570B" w:rsidP="00D065A6">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3"/>
      </w:tblGrid>
      <w:tr w:rsidR="00EB570B" w:rsidRPr="001365B3" w14:paraId="5BB4CB9D" w14:textId="77777777" w:rsidTr="009F56AE">
        <w:tc>
          <w:tcPr>
            <w:tcW w:w="4381" w:type="dxa"/>
          </w:tcPr>
          <w:p w14:paraId="67E5BF24" w14:textId="1FA611A7" w:rsidR="00EB570B" w:rsidRPr="00953D7C" w:rsidRDefault="00953D7C" w:rsidP="009F56AE">
            <w:pPr>
              <w:spacing w:line="360" w:lineRule="auto"/>
              <w:rPr>
                <w:rFonts w:ascii="Times New Roman" w:hAnsi="Times New Roman"/>
                <w:szCs w:val="18"/>
              </w:rPr>
            </w:pPr>
            <m:oMath>
              <m:r>
                <m:rPr>
                  <m:sty m:val="p"/>
                </m:rPr>
                <w:rPr>
                  <w:rFonts w:ascii="Cambria Math" w:hAnsi="Cambria Math"/>
                  <w:szCs w:val="18"/>
                </w:rPr>
                <m:t xml:space="preserve">ESR= </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rPr>
                        <m:t>E</m:t>
                      </m:r>
                    </m:e>
                    <m:sub>
                      <m:r>
                        <m:rPr>
                          <m:sty m:val="p"/>
                        </m:rPr>
                        <w:rPr>
                          <w:rFonts w:ascii="Cambria Math" w:hAnsi="Cambria Math"/>
                          <w:szCs w:val="18"/>
                        </w:rPr>
                        <m:t>out</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E</m:t>
                      </m:r>
                    </m:e>
                    <m:sub>
                      <m:r>
                        <m:rPr>
                          <m:sty m:val="p"/>
                        </m:rPr>
                        <w:rPr>
                          <w:rFonts w:ascii="Cambria Math" w:hAnsi="Cambria Math"/>
                          <w:szCs w:val="18"/>
                        </w:rPr>
                        <m:t>in</m:t>
                      </m:r>
                    </m:sub>
                  </m:sSub>
                </m:num>
                <m:den>
                  <m:sSub>
                    <m:sSubPr>
                      <m:ctrlPr>
                        <w:rPr>
                          <w:rFonts w:ascii="Cambria Math" w:hAnsi="Cambria Math"/>
                          <w:szCs w:val="18"/>
                        </w:rPr>
                      </m:ctrlPr>
                    </m:sSubPr>
                    <m:e>
                      <m:r>
                        <m:rPr>
                          <m:sty m:val="p"/>
                        </m:rPr>
                        <w:rPr>
                          <w:rFonts w:ascii="Cambria Math" w:hAnsi="Cambria Math"/>
                          <w:szCs w:val="18"/>
                        </w:rPr>
                        <m:t>E</m:t>
                      </m:r>
                    </m:e>
                    <m:sub>
                      <m:r>
                        <m:rPr>
                          <m:sty m:val="p"/>
                        </m:rPr>
                        <w:rPr>
                          <w:rFonts w:ascii="Cambria Math" w:hAnsi="Cambria Math"/>
                          <w:szCs w:val="18"/>
                        </w:rPr>
                        <m:t>in</m:t>
                      </m:r>
                    </m:sub>
                  </m:sSub>
                </m:den>
              </m:f>
            </m:oMath>
            <w:r w:rsidRPr="00953D7C">
              <w:rPr>
                <w:rFonts w:ascii="Times New Roman" w:eastAsiaTheme="minorEastAsia" w:hAnsi="Times New Roman"/>
                <w:szCs w:val="18"/>
              </w:rPr>
              <w:t xml:space="preserve"> </w:t>
            </w:r>
          </w:p>
        </w:tc>
        <w:tc>
          <w:tcPr>
            <w:tcW w:w="4333" w:type="dxa"/>
            <w:vAlign w:val="center"/>
          </w:tcPr>
          <w:p w14:paraId="73E2B7DF" w14:textId="20F9BA9C" w:rsidR="00EB570B" w:rsidRPr="00034132" w:rsidRDefault="00EB570B" w:rsidP="009F56AE">
            <w:pPr>
              <w:spacing w:line="360" w:lineRule="auto"/>
              <w:jc w:val="right"/>
              <w:rPr>
                <w:rFonts w:cs="Arial"/>
                <w:szCs w:val="18"/>
              </w:rPr>
            </w:pPr>
            <w:r w:rsidRPr="00034132">
              <w:rPr>
                <w:rFonts w:cs="Arial"/>
                <w:szCs w:val="18"/>
              </w:rPr>
              <w:t>(</w:t>
            </w:r>
            <w:r>
              <w:rPr>
                <w:rFonts w:cs="Arial"/>
                <w:szCs w:val="18"/>
              </w:rPr>
              <w:t>6</w:t>
            </w:r>
            <w:r w:rsidRPr="00034132">
              <w:rPr>
                <w:rFonts w:cs="Arial"/>
                <w:szCs w:val="18"/>
              </w:rPr>
              <w:t>)</w:t>
            </w:r>
          </w:p>
        </w:tc>
      </w:tr>
    </w:tbl>
    <w:p w14:paraId="011042F7" w14:textId="77777777" w:rsidR="00EB570B" w:rsidRDefault="00EB570B" w:rsidP="00D065A6">
      <w:pPr>
        <w:pStyle w:val="CETBodytext"/>
      </w:pPr>
    </w:p>
    <w:p w14:paraId="22700201" w14:textId="73C39A5F" w:rsidR="009F56AE" w:rsidRPr="001F3B52" w:rsidRDefault="006E4321" w:rsidP="00D065A6">
      <w:pPr>
        <w:pStyle w:val="CETBodytext"/>
      </w:pPr>
      <w:r>
        <w:t xml:space="preserve">In Eq </w:t>
      </w:r>
      <w:r w:rsidR="00F80369">
        <w:t>(</w:t>
      </w:r>
      <w:r>
        <w:t>5</w:t>
      </w:r>
      <w:r w:rsidR="00F80369">
        <w:t>)</w:t>
      </w:r>
      <w:r w:rsidR="009F56AE">
        <w:t>, HHV</w:t>
      </w:r>
      <w:r w:rsidR="009F56AE">
        <w:rPr>
          <w:vertAlign w:val="subscript"/>
        </w:rPr>
        <w:t>HC</w:t>
      </w:r>
      <w:r w:rsidR="009F56AE">
        <w:t xml:space="preserve"> and </w:t>
      </w:r>
      <w:proofErr w:type="spellStart"/>
      <w:r w:rsidR="009F56AE">
        <w:t>HHV</w:t>
      </w:r>
      <w:r w:rsidR="009F56AE">
        <w:rPr>
          <w:vertAlign w:val="subscript"/>
        </w:rPr>
        <w:t>raw</w:t>
      </w:r>
      <w:proofErr w:type="spellEnd"/>
      <w:r>
        <w:t xml:space="preserve"> indicate the HHV value</w:t>
      </w:r>
      <w:r w:rsidR="009F56AE" w:rsidRPr="009F56AE">
        <w:t xml:space="preserve"> for the </w:t>
      </w:r>
      <w:proofErr w:type="spellStart"/>
      <w:r w:rsidR="009F56AE" w:rsidRPr="009F56AE">
        <w:t>hydrochar</w:t>
      </w:r>
      <w:proofErr w:type="spellEnd"/>
      <w:r w:rsidR="009F56AE" w:rsidRPr="009F56AE">
        <w:t xml:space="preserve"> and raw feedstock, respectively.</w:t>
      </w:r>
      <w:r w:rsidR="001F3B52">
        <w:t xml:space="preserve"> In Eq </w:t>
      </w:r>
      <w:r w:rsidR="00F80369">
        <w:t>(</w:t>
      </w:r>
      <w:r w:rsidR="001F3B52">
        <w:t>6</w:t>
      </w:r>
      <w:r w:rsidR="00F80369">
        <w:t>)</w:t>
      </w:r>
      <w:r w:rsidR="001F3B52">
        <w:t xml:space="preserve">, </w:t>
      </w:r>
      <w:proofErr w:type="spellStart"/>
      <w:r w:rsidR="001F3B52">
        <w:t>E</w:t>
      </w:r>
      <w:r w:rsidR="001F3B52">
        <w:rPr>
          <w:vertAlign w:val="subscript"/>
        </w:rPr>
        <w:t>out</w:t>
      </w:r>
      <w:proofErr w:type="spellEnd"/>
      <w:r w:rsidR="001F3B52">
        <w:t xml:space="preserve"> is the energy output</w:t>
      </w:r>
      <w:r w:rsidR="001F3B52" w:rsidRPr="001F3B52">
        <w:t>,</w:t>
      </w:r>
      <w:r w:rsidR="001F3B52">
        <w:t xml:space="preserve"> </w:t>
      </w:r>
      <w:r w:rsidR="001F3B52" w:rsidRPr="001F3B52">
        <w:t xml:space="preserve">computed by multiplying the </w:t>
      </w:r>
      <w:proofErr w:type="spellStart"/>
      <w:r w:rsidR="001F3B52" w:rsidRPr="001F3B52">
        <w:t>hydrochar</w:t>
      </w:r>
      <w:proofErr w:type="spellEnd"/>
      <w:r w:rsidR="001F3B52" w:rsidRPr="001F3B52">
        <w:t xml:space="preserve"> mass and its HHV</w:t>
      </w:r>
      <w:r w:rsidR="001F3B52">
        <w:t>; E</w:t>
      </w:r>
      <w:r w:rsidR="001F3B52">
        <w:rPr>
          <w:vertAlign w:val="subscript"/>
        </w:rPr>
        <w:t>in</w:t>
      </w:r>
      <w:r w:rsidR="001F3B52">
        <w:t xml:space="preserve"> represents </w:t>
      </w:r>
      <w:r w:rsidR="001F3B52" w:rsidRPr="001F3B52">
        <w:t>the energy consumption required to heat the dry solid feedstock and the solvent (DW or PW) at the HTC set point temperature.</w:t>
      </w:r>
    </w:p>
    <w:p w14:paraId="3B86C25C" w14:textId="77777777" w:rsidR="000256BB" w:rsidRDefault="000256BB" w:rsidP="00D065A6">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3"/>
      </w:tblGrid>
      <w:tr w:rsidR="000256BB" w:rsidRPr="001365B3" w14:paraId="7BF743CC" w14:textId="77777777" w:rsidTr="009F56AE">
        <w:tc>
          <w:tcPr>
            <w:tcW w:w="4381" w:type="dxa"/>
          </w:tcPr>
          <w:p w14:paraId="1AD02873" w14:textId="15D87E5C" w:rsidR="000256BB" w:rsidRPr="000029D6" w:rsidRDefault="00E7488B" w:rsidP="001F3B52">
            <w:pPr>
              <w:spacing w:line="360" w:lineRule="auto"/>
              <w:rPr>
                <w:rFonts w:ascii="Times New Roman" w:hAnsi="Times New Roman"/>
                <w:szCs w:val="18"/>
              </w:rPr>
            </w:pPr>
            <m:oMath>
              <m:sSub>
                <m:sSubPr>
                  <m:ctrlPr>
                    <w:rPr>
                      <w:rFonts w:ascii="Cambria Math" w:hAnsi="Cambria Math"/>
                      <w:szCs w:val="18"/>
                    </w:rPr>
                  </m:ctrlPr>
                </m:sSubPr>
                <m:e>
                  <m:r>
                    <w:rPr>
                      <w:rFonts w:ascii="Cambria Math" w:hAnsi="Cambria Math"/>
                      <w:szCs w:val="18"/>
                    </w:rPr>
                    <m:t>E</m:t>
                  </m:r>
                </m:e>
                <m:sub>
                  <m:r>
                    <w:rPr>
                      <w:rFonts w:ascii="Cambria Math" w:hAnsi="Cambria Math"/>
                      <w:szCs w:val="18"/>
                    </w:rPr>
                    <m:t>out</m:t>
                  </m:r>
                </m:sub>
              </m:sSub>
              <m:r>
                <m:rPr>
                  <m:sty m:val="p"/>
                </m:rPr>
                <w:rPr>
                  <w:rFonts w:ascii="Cambria Math" w:hAnsi="Cambria Math"/>
                  <w:szCs w:val="18"/>
                  <w:lang w:val="en-US"/>
                </w:rPr>
                <m:t>=</m:t>
              </m:r>
              <m:sSub>
                <m:sSubPr>
                  <m:ctrlPr>
                    <w:rPr>
                      <w:rFonts w:ascii="Cambria Math" w:hAnsi="Cambria Math"/>
                      <w:szCs w:val="18"/>
                    </w:rPr>
                  </m:ctrlPr>
                </m:sSubPr>
                <m:e>
                  <m:r>
                    <m:rPr>
                      <m:sty m:val="p"/>
                    </m:rPr>
                    <w:rPr>
                      <w:rFonts w:ascii="Cambria Math" w:hAnsi="Cambria Math"/>
                      <w:szCs w:val="18"/>
                    </w:rPr>
                    <m:t>m</m:t>
                  </m:r>
                </m:e>
                <m:sub>
                  <m:r>
                    <w:rPr>
                      <w:rFonts w:ascii="Cambria Math" w:hAnsi="Cambria Math"/>
                      <w:szCs w:val="18"/>
                    </w:rPr>
                    <m:t>HC</m:t>
                  </m:r>
                </m:sub>
              </m:sSub>
              <m:r>
                <m:rPr>
                  <m:sty m:val="p"/>
                </m:rPr>
                <w:rPr>
                  <w:rFonts w:ascii="Cambria Math" w:hAnsi="Cambria Math"/>
                  <w:szCs w:val="18"/>
                  <w:lang w:val="en-US"/>
                </w:rPr>
                <m:t xml:space="preserve"> ∙ </m:t>
              </m:r>
              <m:sSub>
                <m:sSubPr>
                  <m:ctrlPr>
                    <w:rPr>
                      <w:rFonts w:ascii="Cambria Math" w:hAnsi="Cambria Math"/>
                      <w:szCs w:val="18"/>
                    </w:rPr>
                  </m:ctrlPr>
                </m:sSubPr>
                <m:e>
                  <m:r>
                    <m:rPr>
                      <m:sty m:val="p"/>
                    </m:rPr>
                    <w:rPr>
                      <w:rFonts w:ascii="Cambria Math" w:hAnsi="Cambria Math"/>
                      <w:szCs w:val="18"/>
                    </w:rPr>
                    <m:t>HHV</m:t>
                  </m:r>
                </m:e>
                <m:sub>
                  <m:r>
                    <m:rPr>
                      <m:sty m:val="p"/>
                    </m:rPr>
                    <w:rPr>
                      <w:rFonts w:ascii="Cambria Math" w:hAnsi="Cambria Math"/>
                      <w:szCs w:val="18"/>
                    </w:rPr>
                    <m:t>HC</m:t>
                  </m:r>
                </m:sub>
              </m:sSub>
              <m:r>
                <m:rPr>
                  <m:sty m:val="p"/>
                </m:rPr>
                <w:rPr>
                  <w:rFonts w:ascii="Cambria Math" w:hAnsi="Cambria Math"/>
                  <w:szCs w:val="18"/>
                  <w:lang w:val="en-US"/>
                </w:rPr>
                <m:t xml:space="preserve">  </m:t>
              </m:r>
            </m:oMath>
            <w:r w:rsidR="000256BB" w:rsidRPr="007A73DA">
              <w:rPr>
                <w:rFonts w:ascii="Times New Roman" w:eastAsiaTheme="minorEastAsia" w:hAnsi="Times New Roman"/>
                <w:szCs w:val="18"/>
                <w:lang w:val="en-US"/>
              </w:rPr>
              <w:t xml:space="preserve"> </w:t>
            </w:r>
          </w:p>
        </w:tc>
        <w:tc>
          <w:tcPr>
            <w:tcW w:w="4333" w:type="dxa"/>
            <w:vAlign w:val="center"/>
          </w:tcPr>
          <w:p w14:paraId="3EAC8857" w14:textId="343B76A0" w:rsidR="000256BB" w:rsidRPr="00034132" w:rsidRDefault="000256BB" w:rsidP="009F56AE">
            <w:pPr>
              <w:spacing w:line="360" w:lineRule="auto"/>
              <w:jc w:val="right"/>
              <w:rPr>
                <w:rFonts w:cs="Arial"/>
                <w:szCs w:val="18"/>
              </w:rPr>
            </w:pPr>
            <w:r w:rsidRPr="00034132">
              <w:rPr>
                <w:rFonts w:cs="Arial"/>
                <w:szCs w:val="18"/>
              </w:rPr>
              <w:t>(</w:t>
            </w:r>
            <w:r>
              <w:rPr>
                <w:rFonts w:cs="Arial"/>
                <w:szCs w:val="18"/>
              </w:rPr>
              <w:t>7</w:t>
            </w:r>
            <w:r w:rsidRPr="00034132">
              <w:rPr>
                <w:rFonts w:cs="Arial"/>
                <w:szCs w:val="18"/>
              </w:rPr>
              <w:t>)</w:t>
            </w:r>
          </w:p>
        </w:tc>
      </w:tr>
    </w:tbl>
    <w:p w14:paraId="3BDB226E" w14:textId="77777777" w:rsidR="000256BB" w:rsidRDefault="000256BB" w:rsidP="00D065A6">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1"/>
        <w:gridCol w:w="4333"/>
      </w:tblGrid>
      <w:tr w:rsidR="000256BB" w:rsidRPr="001365B3" w14:paraId="07BDF522" w14:textId="77777777" w:rsidTr="009F56AE">
        <w:tc>
          <w:tcPr>
            <w:tcW w:w="4381" w:type="dxa"/>
          </w:tcPr>
          <w:p w14:paraId="51B1C289" w14:textId="04D4C689" w:rsidR="000256BB" w:rsidRPr="000029D6" w:rsidRDefault="00E7488B" w:rsidP="001F3B52">
            <w:pPr>
              <w:spacing w:line="360" w:lineRule="auto"/>
              <w:rPr>
                <w:rFonts w:ascii="Times New Roman" w:hAnsi="Times New Roman"/>
                <w:szCs w:val="18"/>
              </w:rPr>
            </w:pPr>
            <m:oMath>
              <m:sSub>
                <m:sSubPr>
                  <m:ctrlPr>
                    <w:rPr>
                      <w:rFonts w:ascii="Cambria Math" w:hAnsi="Cambria Math"/>
                      <w:szCs w:val="18"/>
                    </w:rPr>
                  </m:ctrlPr>
                </m:sSubPr>
                <m:e>
                  <m:r>
                    <m:rPr>
                      <m:sty m:val="p"/>
                    </m:rPr>
                    <w:rPr>
                      <w:rFonts w:ascii="Cambria Math" w:hAnsi="Cambria Math"/>
                      <w:szCs w:val="18"/>
                    </w:rPr>
                    <m:t>E</m:t>
                  </m:r>
                </m:e>
                <m:sub>
                  <m:r>
                    <w:rPr>
                      <w:rFonts w:ascii="Cambria Math" w:hAnsi="Cambria Math"/>
                      <w:szCs w:val="18"/>
                    </w:rPr>
                    <m:t>in</m:t>
                  </m:r>
                </m:sub>
              </m:sSub>
              <m:r>
                <m:rPr>
                  <m:sty m:val="p"/>
                </m:rPr>
                <w:rPr>
                  <w:rFonts w:ascii="Cambria Math" w:hAnsi="Cambria Math"/>
                  <w:szCs w:val="18"/>
                  <w:lang w:val="en-US"/>
                </w:rPr>
                <m:t>=</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DF</m:t>
                  </m:r>
                </m:sub>
              </m:sSub>
              <m:sSub>
                <m:sSubPr>
                  <m:ctrlPr>
                    <w:rPr>
                      <w:rFonts w:ascii="Cambria Math" w:hAnsi="Cambria Math"/>
                      <w:szCs w:val="18"/>
                    </w:rPr>
                  </m:ctrlPr>
                </m:sSubPr>
                <m:e>
                  <m:r>
                    <m:rPr>
                      <m:sty m:val="p"/>
                    </m:rPr>
                    <w:rPr>
                      <w:rFonts w:ascii="Cambria Math" w:hAnsi="Cambria Math"/>
                      <w:szCs w:val="18"/>
                    </w:rPr>
                    <m:t>c</m:t>
                  </m:r>
                </m:e>
                <m:sub>
                  <m:r>
                    <m:rPr>
                      <m:sty m:val="p"/>
                    </m:rPr>
                    <w:rPr>
                      <w:rFonts w:ascii="Cambria Math" w:hAnsi="Cambria Math"/>
                      <w:szCs w:val="18"/>
                    </w:rPr>
                    <m:t>p</m:t>
                  </m:r>
                </m:sub>
              </m:sSub>
              <m:d>
                <m:dPr>
                  <m:ctrlPr>
                    <w:rPr>
                      <w:rFonts w:ascii="Cambria Math" w:hAnsi="Cambria Math"/>
                      <w:szCs w:val="18"/>
                    </w:rPr>
                  </m:ctrlPr>
                </m:dPr>
                <m:e>
                  <m:sSub>
                    <m:sSubPr>
                      <m:ctrlPr>
                        <w:rPr>
                          <w:rFonts w:ascii="Cambria Math" w:hAnsi="Cambria Math"/>
                          <w:szCs w:val="18"/>
                        </w:rPr>
                      </m:ctrlPr>
                    </m:sSubPr>
                    <m:e>
                      <m:r>
                        <m:rPr>
                          <m:sty m:val="p"/>
                        </m:rPr>
                        <w:rPr>
                          <w:rFonts w:ascii="Cambria Math" w:hAnsi="Cambria Math"/>
                          <w:szCs w:val="18"/>
                        </w:rPr>
                        <m:t>T</m:t>
                      </m:r>
                    </m:e>
                    <m:sub>
                      <m:r>
                        <m:rPr>
                          <m:sty m:val="p"/>
                        </m:rPr>
                        <w:rPr>
                          <w:rFonts w:ascii="Cambria Math" w:hAnsi="Cambria Math"/>
                          <w:szCs w:val="18"/>
                        </w:rPr>
                        <m:t>HTC</m:t>
                      </m:r>
                    </m:sub>
                  </m:sSub>
                  <m:r>
                    <m:rPr>
                      <m:sty m:val="p"/>
                    </m:rPr>
                    <w:rPr>
                      <w:rFonts w:ascii="Cambria Math" w:hAnsi="Cambria Math"/>
                      <w:szCs w:val="18"/>
                    </w:rPr>
                    <m:t>-25</m:t>
                  </m:r>
                </m:e>
              </m:d>
              <m:r>
                <m:rPr>
                  <m:sty m:val="p"/>
                </m:rPr>
                <w:rPr>
                  <w:rFonts w:ascii="Cambria Math" w:hAnsi="Cambria Math"/>
                  <w:szCs w:val="18"/>
                </w:rPr>
                <m:t xml:space="preserve">+ </m:t>
              </m:r>
              <m:sSub>
                <m:sSubPr>
                  <m:ctrlPr>
                    <w:rPr>
                      <w:rFonts w:ascii="Cambria Math" w:hAnsi="Cambria Math"/>
                      <w:szCs w:val="18"/>
                    </w:rPr>
                  </m:ctrlPr>
                </m:sSubPr>
                <m:e>
                  <m:r>
                    <m:rPr>
                      <m:sty m:val="p"/>
                    </m:rPr>
                    <w:rPr>
                      <w:rFonts w:ascii="Cambria Math" w:hAnsi="Cambria Math"/>
                      <w:szCs w:val="18"/>
                    </w:rPr>
                    <m:t>m</m:t>
                  </m:r>
                </m:e>
                <m:sub>
                  <m:r>
                    <m:rPr>
                      <m:sty m:val="p"/>
                    </m:rPr>
                    <w:rPr>
                      <w:rFonts w:ascii="Cambria Math" w:hAnsi="Cambria Math"/>
                      <w:szCs w:val="18"/>
                    </w:rPr>
                    <m:t>S</m:t>
                  </m:r>
                </m:sub>
              </m:sSub>
              <m:d>
                <m:dPr>
                  <m:ctrlPr>
                    <w:rPr>
                      <w:rFonts w:ascii="Cambria Math" w:hAnsi="Cambria Math"/>
                      <w:szCs w:val="18"/>
                    </w:rPr>
                  </m:ctrlPr>
                </m:dPr>
                <m:e>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HTC</m:t>
                      </m:r>
                    </m:sub>
                  </m:sSub>
                  <m:r>
                    <m:rPr>
                      <m:sty m:val="p"/>
                    </m:rPr>
                    <w:rPr>
                      <w:rFonts w:ascii="Cambria Math" w:hAnsi="Cambria Math"/>
                      <w:szCs w:val="18"/>
                    </w:rPr>
                    <m:t>-</m:t>
                  </m:r>
                  <m:sSub>
                    <m:sSubPr>
                      <m:ctrlPr>
                        <w:rPr>
                          <w:rFonts w:ascii="Cambria Math" w:hAnsi="Cambria Math"/>
                          <w:szCs w:val="18"/>
                        </w:rPr>
                      </m:ctrlPr>
                    </m:sSubPr>
                    <m:e>
                      <m:r>
                        <m:rPr>
                          <m:sty m:val="p"/>
                        </m:rPr>
                        <w:rPr>
                          <w:rFonts w:ascii="Cambria Math" w:hAnsi="Cambria Math"/>
                          <w:szCs w:val="18"/>
                        </w:rPr>
                        <m:t>h</m:t>
                      </m:r>
                    </m:e>
                    <m:sub>
                      <m:r>
                        <m:rPr>
                          <m:sty m:val="p"/>
                        </m:rPr>
                        <w:rPr>
                          <w:rFonts w:ascii="Cambria Math" w:hAnsi="Cambria Math"/>
                          <w:szCs w:val="18"/>
                        </w:rPr>
                        <m:t>25</m:t>
                      </m:r>
                    </m:sub>
                  </m:sSub>
                </m:e>
              </m:d>
              <m:r>
                <m:rPr>
                  <m:sty m:val="p"/>
                </m:rPr>
                <w:rPr>
                  <w:rFonts w:ascii="Cambria Math" w:hAnsi="Cambria Math"/>
                  <w:szCs w:val="18"/>
                  <w:lang w:val="en-US"/>
                </w:rPr>
                <m:t xml:space="preserve">  </m:t>
              </m:r>
            </m:oMath>
            <w:r w:rsidR="000256BB" w:rsidRPr="007A73DA">
              <w:rPr>
                <w:rFonts w:ascii="Times New Roman" w:eastAsiaTheme="minorEastAsia" w:hAnsi="Times New Roman"/>
                <w:szCs w:val="18"/>
                <w:lang w:val="en-US"/>
              </w:rPr>
              <w:t xml:space="preserve"> </w:t>
            </w:r>
          </w:p>
        </w:tc>
        <w:tc>
          <w:tcPr>
            <w:tcW w:w="4333" w:type="dxa"/>
            <w:vAlign w:val="center"/>
          </w:tcPr>
          <w:p w14:paraId="2B80D025" w14:textId="5FD7D7BD" w:rsidR="000256BB" w:rsidRPr="00034132" w:rsidRDefault="000256BB" w:rsidP="009F56AE">
            <w:pPr>
              <w:spacing w:line="360" w:lineRule="auto"/>
              <w:jc w:val="right"/>
              <w:rPr>
                <w:rFonts w:cs="Arial"/>
                <w:szCs w:val="18"/>
              </w:rPr>
            </w:pPr>
            <w:r w:rsidRPr="00034132">
              <w:rPr>
                <w:rFonts w:cs="Arial"/>
                <w:szCs w:val="18"/>
              </w:rPr>
              <w:t>(</w:t>
            </w:r>
            <w:r>
              <w:rPr>
                <w:rFonts w:cs="Arial"/>
                <w:szCs w:val="18"/>
              </w:rPr>
              <w:t>8</w:t>
            </w:r>
            <w:r w:rsidRPr="00034132">
              <w:rPr>
                <w:rFonts w:cs="Arial"/>
                <w:szCs w:val="18"/>
              </w:rPr>
              <w:t>)</w:t>
            </w:r>
          </w:p>
        </w:tc>
      </w:tr>
    </w:tbl>
    <w:p w14:paraId="57F0F347" w14:textId="77777777" w:rsidR="000256BB" w:rsidRDefault="000256BB" w:rsidP="00D065A6">
      <w:pPr>
        <w:pStyle w:val="CETBodytext"/>
      </w:pPr>
    </w:p>
    <w:p w14:paraId="062D4C0D" w14:textId="00B85788" w:rsidR="00D07E8C" w:rsidRPr="00D065A6" w:rsidRDefault="00F80369" w:rsidP="00D065A6">
      <w:pPr>
        <w:pStyle w:val="CETBodytext"/>
      </w:pPr>
      <w:r>
        <w:t>w</w:t>
      </w:r>
      <w:r w:rsidR="00D07E8C">
        <w:t>here</w:t>
      </w:r>
      <w:r>
        <w:t xml:space="preserve"> </w:t>
      </w:r>
      <w:proofErr w:type="spellStart"/>
      <w:r>
        <w:t>m</w:t>
      </w:r>
      <w:r>
        <w:rPr>
          <w:vertAlign w:val="subscript"/>
        </w:rPr>
        <w:t>DF</w:t>
      </w:r>
      <w:proofErr w:type="spellEnd"/>
      <w:r>
        <w:t xml:space="preserve"> and </w:t>
      </w:r>
      <w:proofErr w:type="spellStart"/>
      <w:r>
        <w:t>m</w:t>
      </w:r>
      <w:r>
        <w:rPr>
          <w:vertAlign w:val="subscript"/>
        </w:rPr>
        <w:t>s</w:t>
      </w:r>
      <w:proofErr w:type="spellEnd"/>
      <w:r w:rsidRPr="00F80369">
        <w:t xml:space="preserve"> are the masses of dry fee</w:t>
      </w:r>
      <w:r>
        <w:t>dstock and process solvent; T</w:t>
      </w:r>
      <w:r>
        <w:rPr>
          <w:vertAlign w:val="subscript"/>
        </w:rPr>
        <w:t>HTC</w:t>
      </w:r>
      <w:r>
        <w:t xml:space="preserve">, </w:t>
      </w:r>
      <w:proofErr w:type="spellStart"/>
      <w:r>
        <w:t>h</w:t>
      </w:r>
      <w:r>
        <w:rPr>
          <w:vertAlign w:val="subscript"/>
        </w:rPr>
        <w:t>HTC</w:t>
      </w:r>
      <w:proofErr w:type="spellEnd"/>
      <w:r>
        <w:t xml:space="preserve"> and h</w:t>
      </w:r>
      <w:r>
        <w:rPr>
          <w:vertAlign w:val="subscript"/>
        </w:rPr>
        <w:t>25</w:t>
      </w:r>
      <w:r w:rsidRPr="00F80369">
        <w:t xml:space="preserve"> are the HTC operating temperature, and the specific enthalpy values of water at the HTC and room (25 °</w:t>
      </w:r>
      <w:r>
        <w:t>C) temperatures; c</w:t>
      </w:r>
      <w:r>
        <w:rPr>
          <w:vertAlign w:val="subscript"/>
        </w:rPr>
        <w:t>p</w:t>
      </w:r>
      <w:r w:rsidRPr="00F80369">
        <w:t xml:space="preserve"> is the specific heat</w:t>
      </w:r>
      <w:r>
        <w:t xml:space="preserve"> of the dry feedstock used (1.45</w:t>
      </w:r>
      <w:r w:rsidRPr="00F80369">
        <w:t xml:space="preserve"> kJ/kg K)</w:t>
      </w:r>
      <w:r>
        <w:t>.</w:t>
      </w:r>
    </w:p>
    <w:p w14:paraId="677EBFF0" w14:textId="5978C06E" w:rsidR="00600535" w:rsidRPr="00B57B36" w:rsidRDefault="0080380E" w:rsidP="00600535">
      <w:pPr>
        <w:pStyle w:val="CETHeading1"/>
        <w:tabs>
          <w:tab w:val="clear" w:pos="360"/>
          <w:tab w:val="right" w:pos="7100"/>
        </w:tabs>
        <w:jc w:val="both"/>
        <w:rPr>
          <w:lang w:val="en-GB"/>
        </w:rPr>
      </w:pPr>
      <w:r>
        <w:rPr>
          <w:lang w:val="en-GB"/>
        </w:rPr>
        <w:t>Results and discussion</w:t>
      </w:r>
    </w:p>
    <w:p w14:paraId="04963A06" w14:textId="786E5FA3" w:rsidR="00600535" w:rsidRDefault="00600535" w:rsidP="00FA5F5F">
      <w:pPr>
        <w:pStyle w:val="CETheadingx"/>
      </w:pPr>
      <w:r w:rsidRPr="00B57B36">
        <w:t>E</w:t>
      </w:r>
      <w:r w:rsidR="000C7C3B">
        <w:t xml:space="preserve">ffects of PW recirculation on </w:t>
      </w:r>
      <w:proofErr w:type="spellStart"/>
      <w:r w:rsidR="000C7C3B">
        <w:t>hydrochar</w:t>
      </w:r>
      <w:proofErr w:type="spellEnd"/>
      <w:r w:rsidR="000C7C3B">
        <w:t xml:space="preserve"> recovery</w:t>
      </w:r>
      <w:r w:rsidR="00FC5A00">
        <w:t xml:space="preserve"> rates</w:t>
      </w:r>
    </w:p>
    <w:p w14:paraId="5194831B" w14:textId="184B4324" w:rsidR="00386FDF" w:rsidRDefault="0031140A" w:rsidP="00386FDF">
      <w:pPr>
        <w:pStyle w:val="CETBodytext"/>
      </w:pPr>
      <w:r w:rsidRPr="0031140A">
        <w:t xml:space="preserve">In HTC tests carried out using DW as solvent, the increase in temperature led to a decrease in HY. As widely reported in literature, a </w:t>
      </w:r>
      <w:r w:rsidR="00893A73">
        <w:t>rise of</w:t>
      </w:r>
      <w:r w:rsidRPr="0031140A">
        <w:t xml:space="preserve"> reaction severity</w:t>
      </w:r>
      <w:r w:rsidR="00097E29">
        <w:t xml:space="preserve"> </w:t>
      </w:r>
      <w:r w:rsidRPr="0031140A">
        <w:t xml:space="preserve">could promote a high biomass conversion rate and dissolution with </w:t>
      </w:r>
      <w:r w:rsidR="00E26A50">
        <w:t xml:space="preserve">a </w:t>
      </w:r>
      <w:r w:rsidRPr="0031140A">
        <w:t xml:space="preserve">reduced </w:t>
      </w:r>
      <w:proofErr w:type="spellStart"/>
      <w:r w:rsidRPr="0031140A">
        <w:t>hydrochar</w:t>
      </w:r>
      <w:proofErr w:type="spellEnd"/>
      <w:r w:rsidRPr="0031140A">
        <w:t xml:space="preserve"> recovery as result. Compared to B/W of 0.1, when a HY of 52.0 </w:t>
      </w:r>
      <w:proofErr w:type="spellStart"/>
      <w:r w:rsidRPr="0031140A">
        <w:t>wt</w:t>
      </w:r>
      <w:proofErr w:type="spellEnd"/>
      <w:r w:rsidRPr="0031140A">
        <w:t xml:space="preserve">% </w:t>
      </w:r>
      <w:proofErr w:type="spellStart"/>
      <w:r w:rsidRPr="0031140A">
        <w:t>d.b</w:t>
      </w:r>
      <w:proofErr w:type="spellEnd"/>
      <w:r w:rsidRPr="0031140A">
        <w:t xml:space="preserve">. was </w:t>
      </w:r>
      <w:r w:rsidR="00B6677E">
        <w:t>found</w:t>
      </w:r>
      <w:r w:rsidR="00704204">
        <w:t>,</w:t>
      </w:r>
      <w:r w:rsidRPr="0031140A">
        <w:t xml:space="preserve"> HY was increased by 4.6 and 5.8 </w:t>
      </w:r>
      <w:proofErr w:type="spellStart"/>
      <w:r w:rsidRPr="0031140A">
        <w:t>wt</w:t>
      </w:r>
      <w:proofErr w:type="spellEnd"/>
      <w:r w:rsidRPr="0031140A">
        <w:t xml:space="preserve">% </w:t>
      </w:r>
      <w:proofErr w:type="spellStart"/>
      <w:r w:rsidRPr="0031140A">
        <w:t>d.b</w:t>
      </w:r>
      <w:proofErr w:type="spellEnd"/>
      <w:r w:rsidRPr="0031140A">
        <w:t>. for B/W of 0.15 and 0.2, respectively</w:t>
      </w:r>
      <w:r w:rsidR="00E06489">
        <w:t xml:space="preserve"> (Figure 1)</w:t>
      </w:r>
      <w:r w:rsidRPr="0031140A">
        <w:t xml:space="preserve">. The reason is probably related to a less intense hydrolysis and higher degree of solid-solid conversion reactions, with a </w:t>
      </w:r>
      <w:r w:rsidR="00097E29">
        <w:t>possible</w:t>
      </w:r>
      <w:r w:rsidRPr="0031140A">
        <w:t xml:space="preserve"> earlier back-polymerization of dissolved by-products, which could more easily occur at increasing solid loads</w:t>
      </w:r>
      <w:r w:rsidR="00D1100F">
        <w:t xml:space="preserve"> </w:t>
      </w:r>
      <w:r w:rsidR="009C21F4">
        <w:fldChar w:fldCharType="begin" w:fldLock="1"/>
      </w:r>
      <w:r w:rsidR="009C21F4">
        <w:instrText>ADDIN CSL_CITATION {"citationItems":[{"id":"ITEM-1","itemData":{"DOI":"10.1016/j.rser.2016.12.122","ISSN":"18790690","abstract":"The preceding decades witnessed hydrothermal processes being actively utilized all over the world, specifically in the developed zones. Their optimum usage is primarily sought for in terms of conversion of biomass into valuable solid, liquid and gaseous fuels. Indeed, Hydrothermal carbonization (HTC) is an effective and environment friendly technique; it possesses extensive potential towards producing high-energy density solid fuels. However, the production and quality of solid fuels from HTC depends upon several parameters; temperature, feed type, residence time, pressure and catalyst being the eminent ones. This study investigates the influence of operating parameters on solid fuel production during HTC. The biomass quality has also been analyzed in HTC by extending existing literature work through experiments that have been performed. Data including chemical composition, heating value, proximate analysis and ultimate analysis for different types of biomass was consequently collected and analyzed. It was found that reaction temperature, residence time and type of feed material are the primary factors that influence the HTC process. At higher temperatures, lower solid product is obtained; the carbon content increases, whilst the hydrogen and oxygen content decrease. Further, it has been found that higher lignin content in biomass leads to an increased solid fuel production.","author":[{"dropping-particle":"","family":"Nizamuddin","given":"Sabzoi","non-dropping-particle":"","parse-names":false,"suffix":""},{"dropping-particle":"","family":"Baloch","given":"Humair Ahmed","non-dropping-particle":"","parse-names":false,"suffix":""},{"dropping-particle":"","family":"Griffin","given":"G. J.","non-dropping-particle":"","parse-names":false,"suffix":""},{"dropping-particle":"","family":"Mubarak","given":"N. M.","non-dropping-particle":"","parse-names":false,"suffix":""},{"dropping-particle":"","family":"Bhutto","given":"Abdul Waheed","non-dropping-particle":"","parse-names":false,"suffix":""},{"dropping-particle":"","family":"Abro","given":"Rashid","non-dropping-particle":"","parse-names":false,"suffix":""},{"dropping-particle":"","family":"Mazari","given":"Shaukat Ali","non-dropping-particle":"","parse-names":false,"suffix":""},{"dropping-particle":"","family":"Ali","given":"Brahim Si","non-dropping-particle":"","parse-names":false,"suffix":""}],"container-title":"Renewable and Sustainable Energy Reviews","id":"ITEM-1","issue":"December 2016","issued":{"date-parts":[["2017"]]},"page":"1289-1299","title":"An overview of effect of process parameters on hydrothermal carbonization of biomass","type":"article-journal","volume":"73"},"uris":["http://www.mendeley.com/documents/?uuid=3f807e50-d95d-47c2-83b8-414186af93df"]}],"mendeley":{"formattedCitation":"(Nizamuddin et al., 2017)","plainTextFormattedCitation":"(Nizamuddin et al., 2017)","previouslyFormattedCitation":"(Nizamuddin et al., 2017)"},"properties":{"noteIndex":0},"schema":"https://github.com/citation-style-language/schema/raw/master/csl-citation.json"}</w:instrText>
      </w:r>
      <w:r w:rsidR="009C21F4">
        <w:fldChar w:fldCharType="separate"/>
      </w:r>
      <w:r w:rsidR="009C21F4" w:rsidRPr="009C21F4">
        <w:rPr>
          <w:noProof/>
        </w:rPr>
        <w:t>(Nizamuddin et al., 2017)</w:t>
      </w:r>
      <w:r w:rsidR="009C21F4">
        <w:fldChar w:fldCharType="end"/>
      </w:r>
      <w:r w:rsidRPr="0031140A">
        <w:t>.</w:t>
      </w:r>
    </w:p>
    <w:p w14:paraId="45266C7D" w14:textId="449B64F0" w:rsidR="00E22993" w:rsidRDefault="00C3482D" w:rsidP="00386FDF">
      <w:pPr>
        <w:pStyle w:val="CETBodytext"/>
      </w:pPr>
      <w:r>
        <w:t>When</w:t>
      </w:r>
      <w:r w:rsidR="00BB47CD" w:rsidRPr="00BB47CD">
        <w:t xml:space="preserve"> PW was recirculated, </w:t>
      </w:r>
      <w:proofErr w:type="spellStart"/>
      <w:r w:rsidR="00BB47CD" w:rsidRPr="00BB47CD">
        <w:t>hydrochar</w:t>
      </w:r>
      <w:proofErr w:type="spellEnd"/>
      <w:r w:rsidR="00BB47CD" w:rsidRPr="00BB47CD">
        <w:t xml:space="preserve"> recovery was significantly improved at 180 °</w:t>
      </w:r>
      <w:r w:rsidR="006A0E32">
        <w:t xml:space="preserve">C and B/W of 0.1. </w:t>
      </w:r>
      <w:proofErr w:type="spellStart"/>
      <w:r w:rsidR="006A0E32">
        <w:t>HY</w:t>
      </w:r>
      <w:r w:rsidR="006A0E32">
        <w:rPr>
          <w:vertAlign w:val="subscript"/>
        </w:rPr>
        <w:t>incr</w:t>
      </w:r>
      <w:proofErr w:type="spellEnd"/>
      <w:r w:rsidR="00BB47CD" w:rsidRPr="00BB47CD">
        <w:t xml:space="preserve"> was almost halved at 200 and 230 °C</w:t>
      </w:r>
      <w:r w:rsidR="00D52998">
        <w:t>,</w:t>
      </w:r>
      <w:r w:rsidR="00BB47CD" w:rsidRPr="00BB47CD">
        <w:t xml:space="preserve"> </w:t>
      </w:r>
      <w:r w:rsidR="00E26A50">
        <w:t xml:space="preserve">and </w:t>
      </w:r>
      <w:r w:rsidR="00BB47CD" w:rsidRPr="00BB47CD">
        <w:t xml:space="preserve">a </w:t>
      </w:r>
      <w:r w:rsidR="006A0E32">
        <w:t xml:space="preserve">progressive reduction of </w:t>
      </w:r>
      <w:proofErr w:type="spellStart"/>
      <w:r w:rsidR="006A0E32">
        <w:t>HY</w:t>
      </w:r>
      <w:r w:rsidR="006A0E32">
        <w:rPr>
          <w:vertAlign w:val="subscript"/>
        </w:rPr>
        <w:t>incr</w:t>
      </w:r>
      <w:proofErr w:type="spellEnd"/>
      <w:r w:rsidR="006A0E32">
        <w:t xml:space="preserve"> </w:t>
      </w:r>
      <w:r w:rsidR="00BB47CD" w:rsidRPr="00BB47CD">
        <w:t>was observed at increasing B/W values.</w:t>
      </w:r>
      <w:r w:rsidR="009D692F">
        <w:t xml:space="preserve"> </w:t>
      </w:r>
      <w:r w:rsidR="00797505">
        <w:t>The presence of reactive compounds in the</w:t>
      </w:r>
      <w:r w:rsidR="009D692F" w:rsidRPr="009D692F">
        <w:t xml:space="preserve"> recirculated PW could both accelerate and extend the interactions between the dissolved organics from biomass hydrolysis and those from the previous conversion step accumulated in the aqueous medium, appreciably boosting the </w:t>
      </w:r>
      <w:proofErr w:type="spellStart"/>
      <w:r w:rsidR="009D692F" w:rsidRPr="009D692F">
        <w:t>hydrochar</w:t>
      </w:r>
      <w:proofErr w:type="spellEnd"/>
      <w:r w:rsidR="009D692F" w:rsidRPr="009D692F">
        <w:t xml:space="preserve"> formation mechanism</w:t>
      </w:r>
      <w:r w:rsidR="00D1100F">
        <w:t xml:space="preserve"> </w:t>
      </w:r>
      <w:r w:rsidR="009C21F4">
        <w:fldChar w:fldCharType="begin" w:fldLock="1"/>
      </w:r>
      <w:r w:rsidR="00433247">
        <w:instrText>ADDIN CSL_CITATION {"citationItems":[{"id":"ITEM-1","itemData":{"DOI":"10.1016/j.fuel.2022.125033","ISSN":"00162361","abstract":"Reusing the wastewater byproduct of the hydrothermal carbonization (HTC) process as a water source to prepare biomass slurry feedstock for the next HTC run provides a feasible wastewater disposal method. However, the influence of various organic components contained in the hydrothermal wastewater (HW) on the formation routes and characteristics of hydrochar is yet to be clarified. In this study, five representative organic components, phenol, acetic acid, furfural, 5-hydroxymethylfurfural (5-HMF), and 2,5-hexanedione, were selected to study their effects on the hydrochar fuel characteristics and HW components, based on which the hydrochar formation pathways in an organic wastewater environment were proposed. The phenol, furfural, and 5-HMF contained in the wastewater source could polymerize with the active intermediates from biomass degradation, thereby resulting in an increase in the hydrochar mass yield (HCY) by 1.13%–7.07% and an increase in the higher heating value of hydrochar to 27.36 MJ/kg. In contrast, the acetic acid and 2,5-hexanedione contained in the wastewater source resulted in a decrease in HCY, probably because of the catalytic effects of volatile fatty acids on biomass hydrolysis. Moreover, wastewater sources with all five organic components increased the energy recovery efficiency from biomass to a high level of 97.28% under the two effects of deep polymerization and catalytic carbonization.","author":[{"dropping-particle":"","family":"Wang","given":"Ruikun","non-dropping-particle":"","parse-names":false,"suffix":""},{"dropping-particle":"","family":"Lin","given":"Zhaohua","non-dropping-particle":"","parse-names":false,"suffix":""},{"dropping-particle":"","family":"Peng","given":"Pingbo","non-dropping-particle":"","parse-names":false,"suffix":""},{"dropping-particle":"","family":"Tan","given":"Shiteng","non-dropping-particle":"","parse-names":false,"suffix":""},{"dropping-particle":"","family":"Zhao","given":"Zhenghui","non-dropping-particle":"","parse-names":false,"suffix":""},{"dropping-particle":"","family":"Yin","given":"Qianqian","non-dropping-particle":"","parse-names":false,"suffix":""},{"dropping-particle":"","family":"Wang","given":"Chunbo","non-dropping-particle":"","parse-names":false,"suffix":""}],"container-title":"Fuel","id":"ITEM-1","issue":"June","issued":{"date-parts":[["2022"]]},"page":"125033","publisher":"Elsevier Ltd","title":"Influence mechanism of aqueous organic components on the hydrochar formation reaction during the biomass hydrothermal carbonization wastewater recycling","type":"article-journal","volume":"326"},"uris":["http://www.mendeley.com/documents/?uuid=7fdbc5bf-5312-451c-b60c-e69d4f41c534"]}],"mendeley":{"formattedCitation":"(Wang et al., 2022b)","plainTextFormattedCitation":"(Wang et al., 2022b)","previouslyFormattedCitation":"(Wang et al., 2022b)"},"properties":{"noteIndex":0},"schema":"https://github.com/citation-style-language/schema/raw/master/csl-citation.json"}</w:instrText>
      </w:r>
      <w:r w:rsidR="009C21F4">
        <w:fldChar w:fldCharType="separate"/>
      </w:r>
      <w:r w:rsidR="00433247" w:rsidRPr="00433247">
        <w:rPr>
          <w:noProof/>
        </w:rPr>
        <w:t>(Wang et al., 2022b)</w:t>
      </w:r>
      <w:r w:rsidR="009C21F4">
        <w:fldChar w:fldCharType="end"/>
      </w:r>
      <w:r w:rsidR="009D692F" w:rsidRPr="009D692F">
        <w:t>.</w:t>
      </w:r>
      <w:r w:rsidR="00CA30D7">
        <w:t xml:space="preserve"> </w:t>
      </w:r>
      <w:r w:rsidR="00B6677E">
        <w:t>The obtained results show that l</w:t>
      </w:r>
      <w:r w:rsidR="00730408">
        <w:t xml:space="preserve">ow conversion severity and B/W </w:t>
      </w:r>
      <w:r w:rsidR="00567EA3">
        <w:t xml:space="preserve">values </w:t>
      </w:r>
      <w:r w:rsidR="00730408">
        <w:t>could</w:t>
      </w:r>
      <w:r w:rsidR="00353720" w:rsidRPr="00353720">
        <w:t xml:space="preserve"> increase the availability of reactive organic components</w:t>
      </w:r>
      <w:r w:rsidR="00A65E69">
        <w:t xml:space="preserve"> in the HTC solvent and </w:t>
      </w:r>
      <w:r w:rsidR="00830F88">
        <w:t xml:space="preserve">the formation of new solid carbonaceous particles precipitating on the </w:t>
      </w:r>
      <w:proofErr w:type="spellStart"/>
      <w:r w:rsidR="00830F88">
        <w:t>hydrochar</w:t>
      </w:r>
      <w:proofErr w:type="spellEnd"/>
      <w:r w:rsidR="00830F88">
        <w:t xml:space="preserve"> surface during recirculation phases.</w:t>
      </w:r>
      <w:r w:rsidR="00745083">
        <w:t xml:space="preserve"> </w:t>
      </w:r>
      <w:r w:rsidR="00106452" w:rsidRPr="00106452">
        <w:t xml:space="preserve">More specifically, HTC conversion intermediates such as furans and organic acids </w:t>
      </w:r>
      <w:r w:rsidR="00DC4ECB">
        <w:t>could pla</w:t>
      </w:r>
      <w:r w:rsidR="00C06915">
        <w:t xml:space="preserve">y </w:t>
      </w:r>
      <w:r w:rsidR="00106452" w:rsidRPr="00106452">
        <w:t xml:space="preserve">the main role in synergistic interactions with others soluble by-products, contributing to </w:t>
      </w:r>
      <w:r w:rsidR="008178F7">
        <w:t>increase</w:t>
      </w:r>
      <w:r w:rsidR="00106452" w:rsidRPr="00106452">
        <w:t xml:space="preserve"> the final </w:t>
      </w:r>
      <w:proofErr w:type="spellStart"/>
      <w:r w:rsidR="00106452" w:rsidRPr="00106452">
        <w:t>hydrochar</w:t>
      </w:r>
      <w:proofErr w:type="spellEnd"/>
      <w:r w:rsidR="00106452" w:rsidRPr="00106452">
        <w:t xml:space="preserve"> yield</w:t>
      </w:r>
      <w:r w:rsidR="002D687B">
        <w:t xml:space="preserve"> by re-</w:t>
      </w:r>
      <w:r w:rsidR="00FC5A00">
        <w:t>polymerization</w:t>
      </w:r>
      <w:r w:rsidR="002D687B">
        <w:t xml:space="preserve"> of </w:t>
      </w:r>
      <w:r w:rsidR="00E46A33">
        <w:t xml:space="preserve">some </w:t>
      </w:r>
      <w:r w:rsidR="002D687B">
        <w:t>dissolved organics</w:t>
      </w:r>
      <w:r w:rsidR="00D1100F">
        <w:t xml:space="preserve"> </w:t>
      </w:r>
      <w:r w:rsidR="00433247">
        <w:fldChar w:fldCharType="begin" w:fldLock="1"/>
      </w:r>
      <w:r w:rsidR="00433247">
        <w:instrText>ADDIN CSL_CITATION {"citationItems":[{"id":"ITEM-1","itemData":{"DOI":"10.1002/ese3.1117","author":[{"dropping-particle":"","family":"Jia","given":"Jiandong","non-dropping-particle":"","parse-names":false,"suffix":""},{"dropping-particle":"","family":"Wang","given":"Ruikun","non-dropping-particle":"","parse-names":false,"suffix":""},{"dropping-particle":"","family":"Chen","given":"Hongwei","non-dropping-particle":"","parse-names":false,"suffix":""},{"dropping-particle":"","family":"Xue","given":"Qiao","non-dropping-particle":"","parse-names":false,"suffix":""},{"dropping-particle":"","family":"Yin","given":"Qianqian","non-dropping-particle":"","parse-names":false,"suffix":""},{"dropping-particle":"","family":"Zhao","given":"Zhenghui","non-dropping-particle":"","parse-names":false,"suffix":""}],"id":"ITEM-1","issue":"February","issued":{"date-parts":[["2022"]]},"page":"1-12","title":"Interaction mechanism between cellulose and hemicellulose during the hydrothermal carbonization of lignocellulosic biomass","type":"article-journal"},"uris":["http://www.mendeley.com/documents/?uuid=ba98dc9b-d1c9-474e-ba88-574f7b51a4b9"]}],"mendeley":{"formattedCitation":"(Jia et al., 2022)","plainTextFormattedCitation":"(Jia et al., 2022)","previouslyFormattedCitation":"(Jia et al., 2022)"},"properties":{"noteIndex":0},"schema":"https://github.com/citation-style-language/schema/raw/master/csl-citation.json"}</w:instrText>
      </w:r>
      <w:r w:rsidR="00433247">
        <w:fldChar w:fldCharType="separate"/>
      </w:r>
      <w:r w:rsidR="00433247" w:rsidRPr="00433247">
        <w:rPr>
          <w:noProof/>
        </w:rPr>
        <w:t>(Jia et al., 2022)</w:t>
      </w:r>
      <w:r w:rsidR="00433247">
        <w:fldChar w:fldCharType="end"/>
      </w:r>
      <w:r w:rsidR="00106452" w:rsidRPr="00106452">
        <w:t>.</w:t>
      </w:r>
      <w:r w:rsidR="00943F99">
        <w:t xml:space="preserve"> </w:t>
      </w:r>
      <w:r w:rsidR="007A60F6">
        <w:t>However, t</w:t>
      </w:r>
      <w:r w:rsidR="00943F99">
        <w:t>hese reactive intermediates are very unstable</w:t>
      </w:r>
      <w:r w:rsidR="00CA0316">
        <w:t xml:space="preserve"> during HTC </w:t>
      </w:r>
      <w:r w:rsidR="00CA0316" w:rsidRPr="00CA0316">
        <w:t xml:space="preserve">and can be easily converted into aromatic structures with secondary char formation yet in the conversion with DW, especially at high temperatures, </w:t>
      </w:r>
      <w:r w:rsidR="00612138">
        <w:t xml:space="preserve">thus </w:t>
      </w:r>
      <w:r w:rsidR="00CA0316" w:rsidRPr="00CA0316">
        <w:t xml:space="preserve">reducing their availability in the subsequent recirculation </w:t>
      </w:r>
      <w:r w:rsidR="00DC4ECB">
        <w:t>phase</w:t>
      </w:r>
      <w:r w:rsidR="00D1100F">
        <w:t xml:space="preserve"> </w:t>
      </w:r>
      <w:r w:rsidR="00433247">
        <w:fldChar w:fldCharType="begin" w:fldLock="1"/>
      </w:r>
      <w:r w:rsidR="00433247">
        <w:instrText>ADDIN CSL_CITATION {"citationItems":[{"id":"ITEM-1","itemData":{"DOI":"10.1016/j.carbon.2022.02.030","ISSN":"0008-6223","author":[{"dropping-particle":"","family":"Wang","given":"Ruikun","non-dropping-particle":"","parse-names":false,"suffix":""},{"dropping-particle":"","family":"Jia","given":"Jiandong","non-dropping-particle":"","parse-names":false,"suffix":""},{"dropping-particle":"","family":"Jin","given":"Qingzhuang","non-dropping-particle":"","parse-names":false,"suffix":""},{"dropping-particle":"","family":"Chen","given":"Hongwei","non-dropping-particle":"","parse-names":false,"suffix":""}],"container-title":"Carbon","id":"ITEM-1","issued":{"date-parts":[["2022"]]},"page":"50-60","publisher":"Elsevier Ltd","title":"Forming mechanism of coke microparticles from polymerization of aqueous organics during hydrothermal carbonization process of biomass","type":"article-journal","volume":"192"},"uris":["http://www.mendeley.com/documents/?uuid=a0cef8ed-3048-4567-b36b-1e059941a3e0"]}],"mendeley":{"formattedCitation":"(Wang et al., 2022a)","plainTextFormattedCitation":"(Wang et al., 2022a)","previouslyFormattedCitation":"(Wang et al., 2022a)"},"properties":{"noteIndex":0},"schema":"https://github.com/citation-style-language/schema/raw/master/csl-citation.json"}</w:instrText>
      </w:r>
      <w:r w:rsidR="00433247">
        <w:fldChar w:fldCharType="separate"/>
      </w:r>
      <w:r w:rsidR="00433247" w:rsidRPr="00433247">
        <w:rPr>
          <w:noProof/>
        </w:rPr>
        <w:t>(Wang et al., 2022a)</w:t>
      </w:r>
      <w:r w:rsidR="00433247">
        <w:fldChar w:fldCharType="end"/>
      </w:r>
      <w:r w:rsidR="001770D8">
        <w:t xml:space="preserve">. </w:t>
      </w:r>
      <w:r w:rsidR="00E22993" w:rsidRPr="00E22993">
        <w:t xml:space="preserve">The yield of </w:t>
      </w:r>
      <w:proofErr w:type="spellStart"/>
      <w:r w:rsidR="00E22993" w:rsidRPr="00E22993">
        <w:t>hydrochar</w:t>
      </w:r>
      <w:proofErr w:type="spellEnd"/>
      <w:r w:rsidR="00E22993" w:rsidRPr="00E22993">
        <w:t xml:space="preserve"> progressively increased after consecutive recirculation steps with a HY maximum value of 64.3 </w:t>
      </w:r>
      <w:proofErr w:type="spellStart"/>
      <w:r w:rsidR="00E22993" w:rsidRPr="00E22993">
        <w:t>wt</w:t>
      </w:r>
      <w:proofErr w:type="spellEnd"/>
      <w:r w:rsidR="00E22993" w:rsidRPr="00E22993">
        <w:t xml:space="preserve">% </w:t>
      </w:r>
      <w:proofErr w:type="spellStart"/>
      <w:r w:rsidR="00E22993" w:rsidRPr="00E22993">
        <w:t>d.b</w:t>
      </w:r>
      <w:proofErr w:type="spellEnd"/>
      <w:r w:rsidR="00E22993" w:rsidRPr="00E22993">
        <w:t xml:space="preserve">. at the fifth cycle. </w:t>
      </w:r>
      <w:r w:rsidR="007A60F6">
        <w:t xml:space="preserve">The </w:t>
      </w:r>
      <w:r w:rsidR="00E22993" w:rsidRPr="00E22993">
        <w:t>HY increasing trend slowed down with the number of c</w:t>
      </w:r>
      <w:r w:rsidR="005E2419">
        <w:t xml:space="preserve">onsecutive recirculation phases and reached a nearly stable level after two recycles. </w:t>
      </w:r>
      <w:r w:rsidR="00EB5772">
        <w:t>The improvement</w:t>
      </w:r>
      <w:r w:rsidR="00E22993" w:rsidRPr="00E22993">
        <w:t xml:space="preserve"> in HY during consecutive PW </w:t>
      </w:r>
      <w:r w:rsidR="00FC5A00" w:rsidRPr="00E22993">
        <w:t>recirculation</w:t>
      </w:r>
      <w:r w:rsidR="00CB5467">
        <w:t>,</w:t>
      </w:r>
      <w:r w:rsidR="00E22993" w:rsidRPr="00E22993">
        <w:t xml:space="preserve"> could be due to the progressive accumulation </w:t>
      </w:r>
      <w:r w:rsidR="00174629">
        <w:t xml:space="preserve">in the reused solvent </w:t>
      </w:r>
      <w:r w:rsidR="00E22993" w:rsidRPr="00E22993">
        <w:t xml:space="preserve">of soluble conversion intermediates by hydrolysis and dehydration </w:t>
      </w:r>
      <w:r w:rsidR="00174629">
        <w:t>reactions</w:t>
      </w:r>
      <w:r w:rsidR="00485401">
        <w:t>.</w:t>
      </w:r>
      <w:r w:rsidR="00174629">
        <w:t xml:space="preserve"> </w:t>
      </w:r>
      <w:r w:rsidR="00485401">
        <w:t>A</w:t>
      </w:r>
      <w:r w:rsidR="00E22993" w:rsidRPr="00E22993">
        <w:t xml:space="preserve"> saturation of these organic compounds in the </w:t>
      </w:r>
      <w:r w:rsidR="00284BE9">
        <w:t>PW</w:t>
      </w:r>
      <w:r w:rsidR="00E22993" w:rsidRPr="00E22993">
        <w:t xml:space="preserve"> could be responsible for the HY nearly stable value reached</w:t>
      </w:r>
      <w:r w:rsidR="00D1100F">
        <w:t xml:space="preserve"> </w:t>
      </w:r>
      <w:r w:rsidR="00433247">
        <w:fldChar w:fldCharType="begin" w:fldLock="1"/>
      </w:r>
      <w:r w:rsidR="00E6735C">
        <w:instrText>ADDIN CSL_CITATION {"citationItems":[{"id":"ITEM-1","itemData":{"DOI":"10.1016/j.renene.2020.04.050","ISSN":"18790682","abstract":"The effect of two process water (PW) recirculation strategies after hydrothermal carbonization (HTC) of brewers spent grains (BSG) is evaluated with the focus on the hydrochar characteristics. The HTC process has been carried out under different operating conditions, which are residence time between 2 and 4 h and temperature in the range of 200–220 °C. The composition of the hydrochars reveals that operating conditions have a more significant effect than PW recirculation. The composition of the liquid produced by HTC with PW recirculation is essentially controlled by the operating temperature, for instance, the total organic carbon (TOC) in the PW changes in the narrow range of 200–220 °C. A detailed analysis of PW also has been done. The main components of the liquid phase are lactic, formic, acetic, levulinic, and propionic acid as well as 5-hydroxymethylfurfural, that affect the surface structure of the hydrochars.","author":[{"dropping-particle":"","family":"Arauzo","given":"P. J.","non-dropping-particle":"","parse-names":false,"suffix":""},{"dropping-particle":"","family":"Olszewski","given":"M. P.","non-dropping-particle":"","parse-names":false,"suffix":""},{"dropping-particle":"","family":"Wang","given":"X.","non-dropping-particle":"","parse-names":false,"suffix":""},{"dropping-particle":"","family":"Pfersich","given":"J.","non-dropping-particle":"","parse-names":false,"suffix":""},{"dropping-particle":"","family":"Sebastian","given":"V.","non-dropping-particle":"","parse-names":false,"suffix":""},{"dropping-particle":"","family":"Manyà","given":"J.","non-dropping-particle":"","parse-names":false,"suffix":""},{"dropping-particle":"","family":"Hedin","given":"N.","non-dropping-particle":"","parse-names":false,"suffix":""},{"dropping-particle":"","family":"Kruse","given":"A.","non-dropping-particle":"","parse-names":false,"suffix":""}],"container-title":"Renewable Energy","id":"ITEM-1","issued":{"date-parts":[["2020"]]},"page":"1173-1180","title":"Assessment of the effects of process water recirculation on the surface chemistry and morphology of hydrochar","type":"article-journal","volume":"155"},"uris":["http://www.mendeley.com/documents/?uuid=9ccc4e1f-c107-4fb7-ad3c-2e08989e4f5a"]}],"mendeley":{"formattedCitation":"(Arauzo et al., 2020)","plainTextFormattedCitation":"(Arauzo et al., 2020)","previouslyFormattedCitation":"(Arauzo et al., 2020)"},"properties":{"noteIndex":0},"schema":"https://github.com/citation-style-language/schema/raw/master/csl-citation.json"}</w:instrText>
      </w:r>
      <w:r w:rsidR="00433247">
        <w:fldChar w:fldCharType="separate"/>
      </w:r>
      <w:r w:rsidR="00433247" w:rsidRPr="00433247">
        <w:rPr>
          <w:noProof/>
        </w:rPr>
        <w:t>(Arauzo et al., 2020)</w:t>
      </w:r>
      <w:r w:rsidR="00433247">
        <w:fldChar w:fldCharType="end"/>
      </w:r>
      <w:r w:rsidR="00E22993" w:rsidRPr="00E22993">
        <w:t>.</w:t>
      </w:r>
    </w:p>
    <w:p w14:paraId="0395D85A" w14:textId="77777777" w:rsidR="00386FDF" w:rsidRDefault="00386FDF" w:rsidP="00386FDF">
      <w:pPr>
        <w:pStyle w:val="CETBodytext"/>
      </w:pPr>
    </w:p>
    <w:p w14:paraId="2699B1D7" w14:textId="7AF3E477" w:rsidR="00386FDF" w:rsidRDefault="00BA0783" w:rsidP="00386FDF">
      <w:pPr>
        <w:pStyle w:val="CETBodytext"/>
      </w:pPr>
      <w:r>
        <w:rPr>
          <w:noProof/>
          <w:lang w:val="it-IT" w:eastAsia="it-IT"/>
        </w:rPr>
        <w:drawing>
          <wp:anchor distT="0" distB="0" distL="114300" distR="114300" simplePos="0" relativeHeight="251659264" behindDoc="0" locked="0" layoutInCell="1" allowOverlap="1" wp14:anchorId="41C0DB32" wp14:editId="57A541FC">
            <wp:simplePos x="0" y="0"/>
            <wp:positionH relativeFrom="column">
              <wp:posOffset>0</wp:posOffset>
            </wp:positionH>
            <wp:positionV relativeFrom="paragraph">
              <wp:posOffset>0</wp:posOffset>
            </wp:positionV>
            <wp:extent cx="4279900" cy="2725420"/>
            <wp:effectExtent l="0" t="0" r="1270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4-01-04 at 11.47.55.png"/>
                    <pic:cNvPicPr/>
                  </pic:nvPicPr>
                  <pic:blipFill>
                    <a:blip r:embed="rId10">
                      <a:extLst>
                        <a:ext uri="{28A0092B-C50C-407E-A947-70E740481C1C}">
                          <a14:useLocalDpi xmlns:a14="http://schemas.microsoft.com/office/drawing/2010/main" val="0"/>
                        </a:ext>
                      </a:extLst>
                    </a:blip>
                    <a:stretch>
                      <a:fillRect/>
                    </a:stretch>
                  </pic:blipFill>
                  <pic:spPr>
                    <a:xfrm>
                      <a:off x="0" y="0"/>
                      <a:ext cx="4279900" cy="2725420"/>
                    </a:xfrm>
                    <a:prstGeom prst="rect">
                      <a:avLst/>
                    </a:prstGeom>
                  </pic:spPr>
                </pic:pic>
              </a:graphicData>
            </a:graphic>
            <wp14:sizeRelH relativeFrom="page">
              <wp14:pctWidth>0</wp14:pctWidth>
            </wp14:sizeRelH>
            <wp14:sizeRelV relativeFrom="page">
              <wp14:pctHeight>0</wp14:pctHeight>
            </wp14:sizeRelV>
          </wp:anchor>
        </w:drawing>
      </w:r>
    </w:p>
    <w:p w14:paraId="714840F8" w14:textId="77777777" w:rsidR="00386FDF" w:rsidRDefault="00386FDF" w:rsidP="00386FDF">
      <w:pPr>
        <w:pStyle w:val="CETBodytext"/>
      </w:pPr>
    </w:p>
    <w:p w14:paraId="7BF16F50" w14:textId="1B21CE4B" w:rsidR="00386FDF" w:rsidRPr="00386FDF" w:rsidRDefault="00386FDF" w:rsidP="00386FDF">
      <w:pPr>
        <w:pStyle w:val="CETBodytext"/>
      </w:pPr>
    </w:p>
    <w:p w14:paraId="4AFDCF51" w14:textId="40D63613" w:rsidR="000C7C3B" w:rsidRDefault="000C7C3B" w:rsidP="000C7C3B">
      <w:pPr>
        <w:pStyle w:val="CETBodytext"/>
      </w:pPr>
    </w:p>
    <w:p w14:paraId="0607281A" w14:textId="646776D2" w:rsidR="000C7C3B" w:rsidRDefault="000C7C3B" w:rsidP="000C7C3B">
      <w:pPr>
        <w:pStyle w:val="CETBodytext"/>
      </w:pPr>
    </w:p>
    <w:p w14:paraId="5B9A2078" w14:textId="77777777" w:rsidR="000C7C3B" w:rsidRDefault="000C7C3B" w:rsidP="000C7C3B">
      <w:pPr>
        <w:pStyle w:val="CETBodytext"/>
      </w:pPr>
    </w:p>
    <w:p w14:paraId="42DC902F" w14:textId="77777777" w:rsidR="000C7C3B" w:rsidRDefault="000C7C3B" w:rsidP="000C7C3B">
      <w:pPr>
        <w:pStyle w:val="CETBodytext"/>
      </w:pPr>
    </w:p>
    <w:p w14:paraId="229426D4" w14:textId="77777777" w:rsidR="000C7C3B" w:rsidRDefault="000C7C3B" w:rsidP="000C7C3B">
      <w:pPr>
        <w:pStyle w:val="CETBodytext"/>
      </w:pPr>
    </w:p>
    <w:p w14:paraId="28A25EFF" w14:textId="77777777" w:rsidR="000C7C3B" w:rsidRDefault="000C7C3B" w:rsidP="000C7C3B">
      <w:pPr>
        <w:pStyle w:val="CETBodytext"/>
      </w:pPr>
    </w:p>
    <w:p w14:paraId="6B109A14" w14:textId="77777777" w:rsidR="00386FDF" w:rsidRDefault="00386FDF" w:rsidP="000C7C3B">
      <w:pPr>
        <w:pStyle w:val="CETBodytext"/>
      </w:pPr>
    </w:p>
    <w:p w14:paraId="76F3E8FF" w14:textId="77777777" w:rsidR="00386FDF" w:rsidRDefault="00386FDF" w:rsidP="000C7C3B">
      <w:pPr>
        <w:pStyle w:val="CETBodytext"/>
      </w:pPr>
    </w:p>
    <w:p w14:paraId="063E8908" w14:textId="77777777" w:rsidR="00386FDF" w:rsidRDefault="00386FDF" w:rsidP="000C7C3B">
      <w:pPr>
        <w:pStyle w:val="CETBodytext"/>
      </w:pPr>
    </w:p>
    <w:p w14:paraId="281BBE44" w14:textId="77777777" w:rsidR="00386FDF" w:rsidRDefault="00386FDF" w:rsidP="000C7C3B">
      <w:pPr>
        <w:pStyle w:val="CETBodytext"/>
      </w:pPr>
    </w:p>
    <w:p w14:paraId="4B5EFFAF" w14:textId="77777777" w:rsidR="00386FDF" w:rsidRDefault="00386FDF" w:rsidP="000C7C3B">
      <w:pPr>
        <w:pStyle w:val="CETBodytext"/>
      </w:pPr>
    </w:p>
    <w:p w14:paraId="1683B345" w14:textId="77777777" w:rsidR="00386FDF" w:rsidRDefault="00386FDF" w:rsidP="000C7C3B">
      <w:pPr>
        <w:pStyle w:val="CETBodytext"/>
      </w:pPr>
    </w:p>
    <w:p w14:paraId="5581179C" w14:textId="77777777" w:rsidR="00386FDF" w:rsidRDefault="00386FDF" w:rsidP="000C7C3B">
      <w:pPr>
        <w:pStyle w:val="CETBodytext"/>
      </w:pPr>
    </w:p>
    <w:p w14:paraId="5473A8B1" w14:textId="77777777" w:rsidR="00386FDF" w:rsidRDefault="00386FDF" w:rsidP="000C7C3B">
      <w:pPr>
        <w:pStyle w:val="CETBodytext"/>
      </w:pPr>
    </w:p>
    <w:p w14:paraId="741B7327" w14:textId="77777777" w:rsidR="00386FDF" w:rsidRDefault="00386FDF" w:rsidP="000C7C3B">
      <w:pPr>
        <w:pStyle w:val="CETBodytext"/>
      </w:pPr>
    </w:p>
    <w:p w14:paraId="5C1D8BBD" w14:textId="77777777" w:rsidR="00386FDF" w:rsidRDefault="00386FDF" w:rsidP="000C7C3B">
      <w:pPr>
        <w:pStyle w:val="CETBodytext"/>
      </w:pPr>
    </w:p>
    <w:p w14:paraId="326C0C5F" w14:textId="636E8544" w:rsidR="00386FDF" w:rsidRDefault="00386FDF" w:rsidP="00386FDF">
      <w:pPr>
        <w:pStyle w:val="CETCaption"/>
        <w:rPr>
          <w:rStyle w:val="CETCaptionCarattere"/>
          <w:i/>
        </w:rPr>
      </w:pPr>
      <w:r w:rsidRPr="00BD077D">
        <w:rPr>
          <w:rStyle w:val="CETCaptionCarattere"/>
          <w:i/>
        </w:rPr>
        <w:t xml:space="preserve">Figure 1: </w:t>
      </w:r>
      <w:r w:rsidR="004A7F68">
        <w:rPr>
          <w:rStyle w:val="CETCaptionCarattere"/>
          <w:i/>
        </w:rPr>
        <w:t xml:space="preserve">Effects of temperature (a), B/W (b) and consecutive PW recycling phases (c) on </w:t>
      </w:r>
      <w:proofErr w:type="spellStart"/>
      <w:r w:rsidR="004A7F68">
        <w:rPr>
          <w:rStyle w:val="CETCaptionCarattere"/>
          <w:i/>
        </w:rPr>
        <w:t>hydrochar</w:t>
      </w:r>
      <w:proofErr w:type="spellEnd"/>
      <w:r w:rsidR="004A7F68">
        <w:rPr>
          <w:rStyle w:val="CETCaptionCarattere"/>
          <w:i/>
        </w:rPr>
        <w:t xml:space="preserve"> recovery</w:t>
      </w:r>
      <w:r w:rsidR="0089121C">
        <w:rPr>
          <w:rStyle w:val="CETCaptionCarattere"/>
          <w:i/>
        </w:rPr>
        <w:t xml:space="preserve"> (RSD% </w:t>
      </w:r>
      <w:r w:rsidR="0089121C">
        <w:rPr>
          <w:rStyle w:val="CETCaptionCarattere"/>
          <w:rFonts w:cs="Arial"/>
          <w:i/>
        </w:rPr>
        <w:t>≤</w:t>
      </w:r>
      <w:r w:rsidR="0089121C">
        <w:rPr>
          <w:rStyle w:val="CETCaptionCarattere"/>
          <w:i/>
        </w:rPr>
        <w:t xml:space="preserve"> 1.2)</w:t>
      </w:r>
      <w:r w:rsidR="004A7F68">
        <w:rPr>
          <w:rStyle w:val="CETCaptionCarattere"/>
          <w:i/>
        </w:rPr>
        <w:t>.</w:t>
      </w:r>
      <w:r w:rsidR="00100784">
        <w:rPr>
          <w:rStyle w:val="CETCaptionCarattere"/>
          <w:i/>
        </w:rPr>
        <w:t xml:space="preserve"> </w:t>
      </w:r>
      <w:r w:rsidR="00100784" w:rsidRPr="00100784">
        <w:rPr>
          <w:rStyle w:val="CETCaptionCarattere"/>
          <w:i/>
        </w:rPr>
        <w:t xml:space="preserve">HTC runs carried out using DW as process solvent were named R0 while recirculation cycles were </w:t>
      </w:r>
      <w:r w:rsidR="00FC5A00" w:rsidRPr="00100784">
        <w:rPr>
          <w:rStyle w:val="CETCaptionCarattere"/>
          <w:i/>
        </w:rPr>
        <w:t>labelled</w:t>
      </w:r>
      <w:r w:rsidR="00100784" w:rsidRPr="00100784">
        <w:rPr>
          <w:rStyle w:val="CETCaptionCarattere"/>
          <w:i/>
        </w:rPr>
        <w:t xml:space="preserve"> as Rn, where n refers to the number of consecutive HTC reactions with PW as recycled aqueous phase</w:t>
      </w:r>
      <w:r w:rsidR="00100784">
        <w:rPr>
          <w:rStyle w:val="CETCaptionCarattere"/>
          <w:i/>
        </w:rPr>
        <w:t>.</w:t>
      </w:r>
    </w:p>
    <w:p w14:paraId="7F0C6535" w14:textId="43FB2B9B" w:rsidR="00A722DD" w:rsidRDefault="00BD6DBB" w:rsidP="00386FDF">
      <w:pPr>
        <w:pStyle w:val="CETCaption"/>
        <w:rPr>
          <w:rStyle w:val="CETCaptionCarattere"/>
          <w:i/>
        </w:rPr>
      </w:pPr>
      <w:r w:rsidRPr="00BD6DBB">
        <w:rPr>
          <w:rStyle w:val="CETCaptionCarattere"/>
        </w:rPr>
        <w:t xml:space="preserve">As can be seen in Figure 2, the synergistic interactions occurred between the recycled solvent and the treated biomass were remarkable at all reaction conditions tested. Averagely, the 80% of the </w:t>
      </w:r>
      <w:proofErr w:type="spellStart"/>
      <w:r w:rsidRPr="00BD6DBB">
        <w:rPr>
          <w:rStyle w:val="CETCaptionCarattere"/>
        </w:rPr>
        <w:t>hydrochar</w:t>
      </w:r>
      <w:proofErr w:type="spellEnd"/>
      <w:r w:rsidRPr="00BD6DBB">
        <w:rPr>
          <w:rStyle w:val="CETCaptionCarattere"/>
        </w:rPr>
        <w:t xml:space="preserve"> surplus found after HTC with PW recirculation was due to the promotion effect in </w:t>
      </w:r>
      <w:proofErr w:type="spellStart"/>
      <w:r w:rsidRPr="00BD6DBB">
        <w:rPr>
          <w:rStyle w:val="CETCaptionCarattere"/>
        </w:rPr>
        <w:t>hydrochar</w:t>
      </w:r>
      <w:proofErr w:type="spellEnd"/>
      <w:r w:rsidRPr="00BD6DBB">
        <w:rPr>
          <w:rStyle w:val="CETCaptionCarattere"/>
        </w:rPr>
        <w:t xml:space="preserve"> formation related to the use</w:t>
      </w:r>
      <w:r>
        <w:rPr>
          <w:rStyle w:val="CETCaptionCarattere"/>
        </w:rPr>
        <w:t xml:space="preserve"> of PW as solvent (</w:t>
      </w:r>
      <w:proofErr w:type="spellStart"/>
      <w:r>
        <w:rPr>
          <w:rStyle w:val="CETCaptionCarattere"/>
        </w:rPr>
        <w:t>IE</w:t>
      </w:r>
      <w:r>
        <w:rPr>
          <w:rStyle w:val="CETCaptionCarattere"/>
          <w:vertAlign w:val="subscript"/>
        </w:rPr>
        <w:t>fr</w:t>
      </w:r>
      <w:proofErr w:type="spellEnd"/>
      <w:r w:rsidRPr="00BD6DBB">
        <w:rPr>
          <w:rStyle w:val="CETCaptionCarattere"/>
        </w:rPr>
        <w:t xml:space="preserve"> values).</w:t>
      </w:r>
      <w:r w:rsidR="00D11C7A">
        <w:rPr>
          <w:rStyle w:val="CETCaptionCarattere"/>
        </w:rPr>
        <w:t xml:space="preserve"> </w:t>
      </w:r>
      <w:r w:rsidR="00D11C7A" w:rsidRPr="00D11C7A">
        <w:rPr>
          <w:rStyle w:val="CETCaptionCarattere"/>
        </w:rPr>
        <w:t>Compared</w:t>
      </w:r>
      <w:r w:rsidR="00576931">
        <w:rPr>
          <w:rStyle w:val="CETCaptionCarattere"/>
        </w:rPr>
        <w:t xml:space="preserve"> to the calculated value (</w:t>
      </w:r>
      <w:proofErr w:type="spellStart"/>
      <w:r w:rsidR="00576931">
        <w:rPr>
          <w:rStyle w:val="CETCaptionCarattere"/>
        </w:rPr>
        <w:t>m</w:t>
      </w:r>
      <w:r w:rsidR="00576931">
        <w:rPr>
          <w:rStyle w:val="CETCaptionCarattere"/>
          <w:vertAlign w:val="subscript"/>
        </w:rPr>
        <w:t>HC_DW</w:t>
      </w:r>
      <w:proofErr w:type="spellEnd"/>
      <w:r w:rsidR="00576931">
        <w:rPr>
          <w:rStyle w:val="CETCaptionCarattere"/>
        </w:rPr>
        <w:t xml:space="preserve"> + </w:t>
      </w:r>
      <w:proofErr w:type="spellStart"/>
      <w:r w:rsidR="00576931">
        <w:rPr>
          <w:rStyle w:val="CETCaptionCarattere"/>
        </w:rPr>
        <w:t>m</w:t>
      </w:r>
      <w:r w:rsidR="00576931">
        <w:rPr>
          <w:rStyle w:val="CETCaptionCarattere"/>
          <w:vertAlign w:val="subscript"/>
        </w:rPr>
        <w:t>onlyPW</w:t>
      </w:r>
      <w:proofErr w:type="spellEnd"/>
      <w:r w:rsidR="00D11C7A" w:rsidRPr="00D11C7A">
        <w:rPr>
          <w:rStyle w:val="CETCaptionCarattere"/>
        </w:rPr>
        <w:t xml:space="preserve">), synergy led to a </w:t>
      </w:r>
      <w:proofErr w:type="spellStart"/>
      <w:r w:rsidR="00D11C7A" w:rsidRPr="00D11C7A">
        <w:rPr>
          <w:rStyle w:val="CETCaptionCarattere"/>
        </w:rPr>
        <w:t>hydrochar</w:t>
      </w:r>
      <w:proofErr w:type="spellEnd"/>
      <w:r w:rsidR="00D11C7A" w:rsidRPr="00D11C7A">
        <w:rPr>
          <w:rStyle w:val="CETCaptionCarattere"/>
        </w:rPr>
        <w:t xml:space="preserve"> </w:t>
      </w:r>
      <w:r w:rsidR="0047137E">
        <w:rPr>
          <w:rStyle w:val="CETCaptionCarattere"/>
        </w:rPr>
        <w:t xml:space="preserve">yield </w:t>
      </w:r>
      <w:r w:rsidR="00D11C7A" w:rsidRPr="00D11C7A">
        <w:rPr>
          <w:rStyle w:val="CETCaptionCarattere"/>
        </w:rPr>
        <w:t>im</w:t>
      </w:r>
      <w:r w:rsidR="00576931">
        <w:rPr>
          <w:rStyle w:val="CETCaptionCarattere"/>
        </w:rPr>
        <w:t xml:space="preserve">provement of 11.6 </w:t>
      </w:r>
      <w:proofErr w:type="spellStart"/>
      <w:r w:rsidR="00576931">
        <w:rPr>
          <w:rStyle w:val="CETCaptionCarattere"/>
        </w:rPr>
        <w:t>wt</w:t>
      </w:r>
      <w:proofErr w:type="spellEnd"/>
      <w:r w:rsidR="00576931">
        <w:rPr>
          <w:rStyle w:val="CETCaptionCarattere"/>
        </w:rPr>
        <w:t xml:space="preserve">% </w:t>
      </w:r>
      <w:proofErr w:type="spellStart"/>
      <w:r w:rsidR="00576931">
        <w:rPr>
          <w:rStyle w:val="CETCaptionCarattere"/>
        </w:rPr>
        <w:t>d.b</w:t>
      </w:r>
      <w:proofErr w:type="spellEnd"/>
      <w:r w:rsidR="00576931">
        <w:rPr>
          <w:rStyle w:val="CETCaptionCarattere"/>
        </w:rPr>
        <w:t>. (IE</w:t>
      </w:r>
      <w:r w:rsidR="00576931">
        <w:rPr>
          <w:rStyle w:val="CETCaptionCarattere"/>
          <w:vertAlign w:val="subscript"/>
        </w:rPr>
        <w:t>HC</w:t>
      </w:r>
      <w:r w:rsidR="00D11C7A" w:rsidRPr="00D11C7A">
        <w:rPr>
          <w:rStyle w:val="CETCaptionCarattere"/>
        </w:rPr>
        <w:t xml:space="preserve">) for the reaction carried out at 180 °C and B/W of 0.1, confirming that a low HTC temperature could strongly encourage </w:t>
      </w:r>
      <w:r w:rsidR="00686F81">
        <w:rPr>
          <w:rStyle w:val="CETCaptionCarattere"/>
        </w:rPr>
        <w:t xml:space="preserve">an </w:t>
      </w:r>
      <w:r w:rsidR="00D11C7A" w:rsidRPr="00D11C7A">
        <w:rPr>
          <w:rStyle w:val="CETCaptionCarattere"/>
        </w:rPr>
        <w:t xml:space="preserve">additional solid particles </w:t>
      </w:r>
      <w:r w:rsidR="00686F81">
        <w:rPr>
          <w:rStyle w:val="CETCaptionCarattere"/>
        </w:rPr>
        <w:t>recovery</w:t>
      </w:r>
      <w:r w:rsidR="00B6677E">
        <w:rPr>
          <w:rStyle w:val="CETCaptionCarattere"/>
        </w:rPr>
        <w:t xml:space="preserve">. </w:t>
      </w:r>
      <w:r w:rsidR="00D11C7A" w:rsidRPr="00D11C7A">
        <w:rPr>
          <w:rStyle w:val="CETCaptionCarattere"/>
        </w:rPr>
        <w:t>In the consec</w:t>
      </w:r>
      <w:r w:rsidR="00576931">
        <w:rPr>
          <w:rStyle w:val="CETCaptionCarattere"/>
        </w:rPr>
        <w:t>utive recirculation cycles, IE</w:t>
      </w:r>
      <w:r w:rsidR="00576931">
        <w:rPr>
          <w:rStyle w:val="CETCaptionCarattere"/>
          <w:vertAlign w:val="subscript"/>
        </w:rPr>
        <w:t>HC</w:t>
      </w:r>
      <w:r w:rsidR="00D11C7A" w:rsidRPr="00D11C7A">
        <w:rPr>
          <w:rStyle w:val="CETCaptionCarattere"/>
        </w:rPr>
        <w:t xml:space="preserve"> increased from 11.6 </w:t>
      </w:r>
      <w:proofErr w:type="spellStart"/>
      <w:r w:rsidR="00D11C7A" w:rsidRPr="00D11C7A">
        <w:rPr>
          <w:rStyle w:val="CETCaptionCarattere"/>
        </w:rPr>
        <w:t>wt</w:t>
      </w:r>
      <w:proofErr w:type="spellEnd"/>
      <w:r w:rsidR="00D11C7A" w:rsidRPr="00D11C7A">
        <w:rPr>
          <w:rStyle w:val="CETCaptionCarattere"/>
        </w:rPr>
        <w:t xml:space="preserve">% </w:t>
      </w:r>
      <w:proofErr w:type="spellStart"/>
      <w:r w:rsidR="00D11C7A" w:rsidRPr="00D11C7A">
        <w:rPr>
          <w:rStyle w:val="CETCaptionCarattere"/>
        </w:rPr>
        <w:t>d.b</w:t>
      </w:r>
      <w:proofErr w:type="spellEnd"/>
      <w:r w:rsidR="00D11C7A" w:rsidRPr="00D11C7A">
        <w:rPr>
          <w:rStyle w:val="CETCaptionCarattere"/>
        </w:rPr>
        <w:t xml:space="preserve">. at step R1 to 19.1 </w:t>
      </w:r>
      <w:proofErr w:type="spellStart"/>
      <w:r w:rsidR="00D11C7A" w:rsidRPr="00D11C7A">
        <w:rPr>
          <w:rStyle w:val="CETCaptionCarattere"/>
        </w:rPr>
        <w:t>wt</w:t>
      </w:r>
      <w:proofErr w:type="spellEnd"/>
      <w:r w:rsidR="00D11C7A" w:rsidRPr="00D11C7A">
        <w:rPr>
          <w:rStyle w:val="CETCaptionCarattere"/>
        </w:rPr>
        <w:t xml:space="preserve">% </w:t>
      </w:r>
      <w:proofErr w:type="spellStart"/>
      <w:r w:rsidR="00D11C7A" w:rsidRPr="00D11C7A">
        <w:rPr>
          <w:rStyle w:val="CETCaptionCarattere"/>
        </w:rPr>
        <w:t>d.b</w:t>
      </w:r>
      <w:proofErr w:type="spellEnd"/>
      <w:r w:rsidR="00D11C7A" w:rsidRPr="00D11C7A">
        <w:rPr>
          <w:rStyle w:val="CETCaptionCarattere"/>
        </w:rPr>
        <w:t>. at step R3, remaining almost constant after the following two recycling steps.</w:t>
      </w:r>
    </w:p>
    <w:p w14:paraId="4FF47271" w14:textId="28E1A845" w:rsidR="00A722DD" w:rsidRPr="00BD077D" w:rsidRDefault="00BA0783" w:rsidP="00386FDF">
      <w:pPr>
        <w:pStyle w:val="CETCaption"/>
      </w:pPr>
      <w:r>
        <w:rPr>
          <w:noProof/>
          <w:lang w:val="it-IT" w:eastAsia="it-IT"/>
        </w:rPr>
        <w:drawing>
          <wp:anchor distT="0" distB="0" distL="114300" distR="114300" simplePos="0" relativeHeight="251657216" behindDoc="0" locked="0" layoutInCell="1" allowOverlap="1" wp14:anchorId="5597F98E" wp14:editId="1764BCE4">
            <wp:simplePos x="0" y="0"/>
            <wp:positionH relativeFrom="column">
              <wp:posOffset>0</wp:posOffset>
            </wp:positionH>
            <wp:positionV relativeFrom="paragraph">
              <wp:posOffset>210820</wp:posOffset>
            </wp:positionV>
            <wp:extent cx="3543300" cy="2115820"/>
            <wp:effectExtent l="0" t="0" r="1270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4-01-03 at 15.09.51.png"/>
                    <pic:cNvPicPr/>
                  </pic:nvPicPr>
                  <pic:blipFill>
                    <a:blip r:embed="rId11">
                      <a:extLst>
                        <a:ext uri="{28A0092B-C50C-407E-A947-70E740481C1C}">
                          <a14:useLocalDpi xmlns:a14="http://schemas.microsoft.com/office/drawing/2010/main" val="0"/>
                        </a:ext>
                      </a:extLst>
                    </a:blip>
                    <a:stretch>
                      <a:fillRect/>
                    </a:stretch>
                  </pic:blipFill>
                  <pic:spPr>
                    <a:xfrm>
                      <a:off x="0" y="0"/>
                      <a:ext cx="3543300" cy="2115820"/>
                    </a:xfrm>
                    <a:prstGeom prst="rect">
                      <a:avLst/>
                    </a:prstGeom>
                  </pic:spPr>
                </pic:pic>
              </a:graphicData>
            </a:graphic>
            <wp14:sizeRelH relativeFrom="page">
              <wp14:pctWidth>0</wp14:pctWidth>
            </wp14:sizeRelH>
            <wp14:sizeRelV relativeFrom="page">
              <wp14:pctHeight>0</wp14:pctHeight>
            </wp14:sizeRelV>
          </wp:anchor>
        </w:drawing>
      </w:r>
    </w:p>
    <w:p w14:paraId="7486B324" w14:textId="4282A430" w:rsidR="00386FDF" w:rsidRDefault="00386FDF" w:rsidP="000C7C3B">
      <w:pPr>
        <w:pStyle w:val="CETBodytext"/>
      </w:pPr>
    </w:p>
    <w:p w14:paraId="356000FB" w14:textId="77777777" w:rsidR="00AF66DB" w:rsidRDefault="00AF66DB" w:rsidP="000C7C3B">
      <w:pPr>
        <w:pStyle w:val="CETBodytext"/>
      </w:pPr>
    </w:p>
    <w:p w14:paraId="3F127B98" w14:textId="77777777" w:rsidR="00AF66DB" w:rsidRDefault="00AF66DB" w:rsidP="000C7C3B">
      <w:pPr>
        <w:pStyle w:val="CETBodytext"/>
      </w:pPr>
    </w:p>
    <w:p w14:paraId="431C4AF6" w14:textId="77777777" w:rsidR="00AF66DB" w:rsidRDefault="00AF66DB" w:rsidP="000C7C3B">
      <w:pPr>
        <w:pStyle w:val="CETBodytext"/>
      </w:pPr>
    </w:p>
    <w:p w14:paraId="2F74A9EB" w14:textId="77777777" w:rsidR="00AF66DB" w:rsidRDefault="00AF66DB" w:rsidP="000C7C3B">
      <w:pPr>
        <w:pStyle w:val="CETBodytext"/>
      </w:pPr>
    </w:p>
    <w:p w14:paraId="29A75B16" w14:textId="77777777" w:rsidR="00AF66DB" w:rsidRDefault="00AF66DB" w:rsidP="000C7C3B">
      <w:pPr>
        <w:pStyle w:val="CETBodytext"/>
      </w:pPr>
    </w:p>
    <w:p w14:paraId="145E361C" w14:textId="77777777" w:rsidR="00AF66DB" w:rsidRDefault="00AF66DB" w:rsidP="000C7C3B">
      <w:pPr>
        <w:pStyle w:val="CETBodytext"/>
      </w:pPr>
    </w:p>
    <w:p w14:paraId="7D4E7ED9" w14:textId="77777777" w:rsidR="00AF66DB" w:rsidRDefault="00AF66DB" w:rsidP="000C7C3B">
      <w:pPr>
        <w:pStyle w:val="CETBodytext"/>
      </w:pPr>
    </w:p>
    <w:p w14:paraId="47655141" w14:textId="77777777" w:rsidR="00AF66DB" w:rsidRDefault="00AF66DB" w:rsidP="000C7C3B">
      <w:pPr>
        <w:pStyle w:val="CETBodytext"/>
      </w:pPr>
    </w:p>
    <w:p w14:paraId="14EAFF5C" w14:textId="77777777" w:rsidR="00AF66DB" w:rsidRDefault="00AF66DB" w:rsidP="000C7C3B">
      <w:pPr>
        <w:pStyle w:val="CETBodytext"/>
      </w:pPr>
    </w:p>
    <w:p w14:paraId="1653309C" w14:textId="77777777" w:rsidR="00AF66DB" w:rsidRDefault="00AF66DB" w:rsidP="000C7C3B">
      <w:pPr>
        <w:pStyle w:val="CETBodytext"/>
      </w:pPr>
    </w:p>
    <w:p w14:paraId="107C8F64" w14:textId="77777777" w:rsidR="00AF66DB" w:rsidRDefault="00AF66DB" w:rsidP="000C7C3B">
      <w:pPr>
        <w:pStyle w:val="CETBodytext"/>
      </w:pPr>
    </w:p>
    <w:p w14:paraId="1595A415" w14:textId="77777777" w:rsidR="00AF66DB" w:rsidRDefault="00AF66DB" w:rsidP="000C7C3B">
      <w:pPr>
        <w:pStyle w:val="CETBodytext"/>
      </w:pPr>
    </w:p>
    <w:p w14:paraId="28C46850" w14:textId="77777777" w:rsidR="00AF66DB" w:rsidRDefault="00AF66DB" w:rsidP="000C7C3B">
      <w:pPr>
        <w:pStyle w:val="CETBodytext"/>
      </w:pPr>
    </w:p>
    <w:p w14:paraId="11E27EC3" w14:textId="77777777" w:rsidR="00AF66DB" w:rsidRDefault="00AF66DB" w:rsidP="000C7C3B">
      <w:pPr>
        <w:pStyle w:val="CETBodytext"/>
      </w:pPr>
    </w:p>
    <w:p w14:paraId="78231727" w14:textId="3DF64876" w:rsidR="000C7C3B" w:rsidRDefault="00D760A6" w:rsidP="001B1B84">
      <w:pPr>
        <w:pStyle w:val="CETCaption"/>
        <w:rPr>
          <w:rStyle w:val="CETCaptionCarattere"/>
          <w:i/>
        </w:rPr>
      </w:pPr>
      <w:r>
        <w:rPr>
          <w:rStyle w:val="CETCaptionCarattere"/>
          <w:i/>
        </w:rPr>
        <w:t>Figure 2</w:t>
      </w:r>
      <w:r w:rsidRPr="00BD077D">
        <w:rPr>
          <w:rStyle w:val="CETCaptionCarattere"/>
          <w:i/>
        </w:rPr>
        <w:t xml:space="preserve">: </w:t>
      </w:r>
      <w:r w:rsidR="008374C7">
        <w:rPr>
          <w:rStyle w:val="CETCaptionCarattere"/>
          <w:i/>
        </w:rPr>
        <w:t>Synergistic effects</w:t>
      </w:r>
      <w:r w:rsidR="00DD38AF">
        <w:rPr>
          <w:rStyle w:val="CETCaptionCarattere"/>
          <w:i/>
        </w:rPr>
        <w:t xml:space="preserve"> towards </w:t>
      </w:r>
      <w:proofErr w:type="spellStart"/>
      <w:r w:rsidR="00DD38AF">
        <w:rPr>
          <w:rStyle w:val="CETCaptionCarattere"/>
          <w:i/>
        </w:rPr>
        <w:t>hydrochar</w:t>
      </w:r>
      <w:proofErr w:type="spellEnd"/>
      <w:r w:rsidR="00DD38AF">
        <w:rPr>
          <w:rStyle w:val="CETCaptionCarattere"/>
          <w:i/>
        </w:rPr>
        <w:t xml:space="preserve"> formation</w:t>
      </w:r>
      <w:r w:rsidR="00046D90">
        <w:rPr>
          <w:rStyle w:val="CETCaptionCarattere"/>
          <w:i/>
        </w:rPr>
        <w:t xml:space="preserve"> during HTC with PW recirculation at different reaction conditions.</w:t>
      </w:r>
    </w:p>
    <w:p w14:paraId="1903230C" w14:textId="77777777" w:rsidR="00D11C7A" w:rsidRPr="000C7C3B" w:rsidRDefault="00D11C7A" w:rsidP="001B1B84">
      <w:pPr>
        <w:pStyle w:val="CETCaption"/>
      </w:pPr>
    </w:p>
    <w:p w14:paraId="1F96CA21" w14:textId="33BF3FC2" w:rsidR="00600535" w:rsidRPr="00B57B36" w:rsidRDefault="000C7C3B" w:rsidP="00FA5F5F">
      <w:pPr>
        <w:pStyle w:val="CETheadingx"/>
      </w:pPr>
      <w:proofErr w:type="spellStart"/>
      <w:r>
        <w:lastRenderedPageBreak/>
        <w:t>Hydrochars</w:t>
      </w:r>
      <w:proofErr w:type="spellEnd"/>
      <w:r>
        <w:t xml:space="preserve"> characterization</w:t>
      </w:r>
    </w:p>
    <w:p w14:paraId="79CBEA67" w14:textId="1C88DC73" w:rsidR="00827549" w:rsidRDefault="00943F81" w:rsidP="00827549">
      <w:pPr>
        <w:pStyle w:val="CETTabletitle"/>
        <w:spacing w:before="0" w:after="0" w:line="264" w:lineRule="auto"/>
        <w:jc w:val="both"/>
        <w:rPr>
          <w:i w:val="0"/>
        </w:rPr>
      </w:pPr>
      <w:r w:rsidRPr="00943F81">
        <w:rPr>
          <w:i w:val="0"/>
        </w:rPr>
        <w:t xml:space="preserve">Results from proximate analysis (Table 1) show that almost all </w:t>
      </w:r>
      <w:proofErr w:type="spellStart"/>
      <w:r w:rsidRPr="00943F81">
        <w:rPr>
          <w:i w:val="0"/>
        </w:rPr>
        <w:t>hydrochars</w:t>
      </w:r>
      <w:proofErr w:type="spellEnd"/>
      <w:r w:rsidRPr="00943F81">
        <w:rPr>
          <w:i w:val="0"/>
        </w:rPr>
        <w:t xml:space="preserve"> from HTC with solvent recycling, reported a decrease in VM content accompanied by an increase in FC, evidently indicating a higher conversion degree</w:t>
      </w:r>
      <w:r w:rsidR="00D1100F">
        <w:rPr>
          <w:i w:val="0"/>
        </w:rPr>
        <w:t xml:space="preserve"> </w:t>
      </w:r>
      <w:r w:rsidR="00E6735C">
        <w:rPr>
          <w:i w:val="0"/>
        </w:rPr>
        <w:fldChar w:fldCharType="begin" w:fldLock="1"/>
      </w:r>
      <w:r w:rsidR="00E6735C">
        <w:rPr>
          <w:i w:val="0"/>
        </w:rPr>
        <w:instrText>ADDIN CSL_CITATION {"citationItems":[{"id":"ITEM-1","itemData":{"DOI":"10.3390/en14102962","ISSN":"19961073","abstract":"Hydrothermal carbonization (HTC) is considered as an efficient and constantly expanding eco-friendly methodology for thermochemical processing of high moisture waste biomass into solid biofuels and valuable carbonaceous materials. However, during HTC, a considerable amount of organics, initially present in the feedstock, are found in the process water (PW). PW recirculation is attracting an increasing interest in the hydrothermal process field as it offers the potential to increase the carbon recovery yield while increasing hydrochar energy density. PW recirculation can be considered as a viable method for the valorization and reuse of the HTC aqueous phase, both by reducing the amount of additional water used for the process and maximizing energy recovery from the HTC liquid residual fraction. In this work, the effects of PW recirculation, for different starting waste biomasses, on the properties of hydrochars and liquid phase products are reviewed. The mechanism of production and evolution of hydrochar during recirculation steps are discussed, highlighting the possible pathways which could enhance energy and carbon recovery. Challenges of PW recirculation are presented and research opportunities proposed, showing how PW recirculation could increase the economic viability of the process while contributing in mitigating environmental impacts.","author":[{"dropping-particle":"","family":"Picone","given":"Antonio","non-dropping-particle":"","parse-names":false,"suffix":""},{"dropping-particle":"","family":"Volpe","given":"Maurizio","non-dropping-particle":"","parse-names":false,"suffix":""},{"dropping-particle":"","family":"Messineo","given":"Antonio","non-dropping-particle":"","parse-names":false,"suffix":""}],"container-title":"Energies","id":"ITEM-1","issue":"10","issued":{"date-parts":[["2021"]]},"title":"Process water recirculation during hydrothermal carbonization of waste biomass: Current knowledge and challenges","type":"article-journal","volume":"14"},"uris":["http://www.mendeley.com/documents/?uuid=5f3f9f0c-745c-46cb-8c2c-27f3fcaf128c"]}],"mendeley":{"formattedCitation":"(Picone et al., 2021b)","plainTextFormattedCitation":"(Picone et al., 2021b)","previouslyFormattedCitation":"(Picone et al., 2021b)"},"properties":{"noteIndex":0},"schema":"https://github.com/citation-style-language/schema/raw/master/csl-citation.json"}</w:instrText>
      </w:r>
      <w:r w:rsidR="00E6735C">
        <w:rPr>
          <w:i w:val="0"/>
        </w:rPr>
        <w:fldChar w:fldCharType="separate"/>
      </w:r>
      <w:r w:rsidR="00E6735C" w:rsidRPr="00E6735C">
        <w:rPr>
          <w:i w:val="0"/>
          <w:noProof/>
        </w:rPr>
        <w:t>(Picone et al., 2021)</w:t>
      </w:r>
      <w:r w:rsidR="00E6735C">
        <w:rPr>
          <w:i w:val="0"/>
        </w:rPr>
        <w:fldChar w:fldCharType="end"/>
      </w:r>
      <w:r w:rsidRPr="00943F81">
        <w:rPr>
          <w:i w:val="0"/>
        </w:rPr>
        <w:t xml:space="preserve">. The reduction in ash content after HTC must be attributed to the aqueous phase leaching effects. When PW was recycled, a slight increase in ash content was found, probably because dissolved inorganics in PW could be reabsorbed by the </w:t>
      </w:r>
      <w:proofErr w:type="spellStart"/>
      <w:r w:rsidRPr="00943F81">
        <w:rPr>
          <w:i w:val="0"/>
        </w:rPr>
        <w:t>hydrochars</w:t>
      </w:r>
      <w:proofErr w:type="spellEnd"/>
      <w:r w:rsidRPr="00943F81">
        <w:rPr>
          <w:i w:val="0"/>
        </w:rPr>
        <w:t xml:space="preserve"> and/or result on a lower leaching activity from the starting raw biomass</w:t>
      </w:r>
      <w:r w:rsidR="00F57510">
        <w:rPr>
          <w:i w:val="0"/>
        </w:rPr>
        <w:t xml:space="preserve"> </w:t>
      </w:r>
      <w:r w:rsidR="00F57510">
        <w:rPr>
          <w:i w:val="0"/>
        </w:rPr>
        <w:fldChar w:fldCharType="begin" w:fldLock="1"/>
      </w:r>
      <w:r w:rsidR="00F57510">
        <w:rPr>
          <w:i w:val="0"/>
        </w:rPr>
        <w:instrText>ADDIN CSL_CITATION {"citationItems":[{"id":"ITEM-1","itemData":{"DOI":"10.1016/j.biombioe.2021.106329","ISSN":"18732909","abstract":"Hydrothermal carbonization (HTC) is a promising strategy to upcycle wet biomass wastes to carbon-condensed solid hydrochars. While cow manure is an ideal substrate for HTC in terms of its moisture content, resulting hydrochars lack any degree of aromatization and easily disintegrate under pressure. Such properties render manure hydrochars suboptimal soil amendments or solid fuels. We explore the co-hydrothermal carbonization of cow manure with two dry agricultural biomasses, grape marc and corn stover, to determine the degree to which mixing these biomasses improves the hydrochars’ soil amendment or solid fuel properties. Contrary to some prior literature, the co-HTC did not synergistically enhance solid yield or higher heating value, though it did increase the electrical conductivity of the hydrochars beyond an additive prediction. Overall, hydrochars have higher fixed carbon and lower H/C and O/C atomic ratios than their parent feedstocks, reducing their susceptibility to thermal degradation and decreasing the bioavailability of heavy metals. Given the potential to reduce phosphorous run-off via co-HTC, the land application of hydrochars could reduce eutrophication versus land application of raw manure. Despite these improvements over the raw feedstock, the surface areas and elemental carbon contents are still lower than most pyrolysis-based biochars. Higher heating values, relatively low ash content and reduced oxidative reactivity suggest that the blended hydrochars are likely better suited for utilization as a solid fuel than as a soil amendment.","author":[{"dropping-particle":"","family":"Mariuzza","given":"Dylan","non-dropping-particle":"","parse-names":false,"suffix":""},{"dropping-particle":"","family":"Lin","given":"Jui Chun","non-dropping-particle":"","parse-names":false,"suffix":""},{"dropping-particle":"","family":"Volpe","given":"Maurizio","non-dropping-particle":"","parse-names":false,"suffix":""},{"dropping-particle":"","family":"Fiori","given":"Luca","non-dropping-particle":"","parse-names":false,"suffix":""},{"dropping-particle":"","family":"Ceylan","given":"Selim","non-dropping-particle":"","parse-names":false,"suffix":""},{"dropping-particle":"","family":"Goldfarb","given":"Jillian L.","non-dropping-particle":"","parse-names":false,"suffix":""}],"container-title":"Biomass and Bioenergy","id":"ITEM-1","issue":"January","issued":{"date-parts":[["2022"]]},"page":"106329","publisher":"Elsevier Ltd","title":"Impact of Co-Hydrothermal carbonization of animal and agricultural waste on hydrochars’ soil amendment and solid fuel properties","type":"article-journal","volume":"157"},"uris":["http://www.mendeley.com/documents/?uuid=20685348-c2bb-4d40-8244-ed1fb0d2f570"]}],"mendeley":{"formattedCitation":"(Mariuzza et al., 2022)","plainTextFormattedCitation":"(Mariuzza et al., 2022)"},"properties":{"noteIndex":0},"schema":"https://github.com/citation-style-language/schema/raw/master/csl-citation.json"}</w:instrText>
      </w:r>
      <w:r w:rsidR="00F57510">
        <w:rPr>
          <w:i w:val="0"/>
        </w:rPr>
        <w:fldChar w:fldCharType="separate"/>
      </w:r>
      <w:r w:rsidR="00F57510" w:rsidRPr="00F57510">
        <w:rPr>
          <w:i w:val="0"/>
          <w:noProof/>
        </w:rPr>
        <w:t>(Mariuzza et al., 2022)</w:t>
      </w:r>
      <w:r w:rsidR="00F57510">
        <w:rPr>
          <w:i w:val="0"/>
        </w:rPr>
        <w:fldChar w:fldCharType="end"/>
      </w:r>
      <w:r w:rsidRPr="00943F81">
        <w:rPr>
          <w:i w:val="0"/>
        </w:rPr>
        <w:t>.</w:t>
      </w:r>
    </w:p>
    <w:p w14:paraId="1C7620BC" w14:textId="06C96A9F" w:rsidR="00687FA4" w:rsidRDefault="00827549" w:rsidP="00827549">
      <w:pPr>
        <w:pStyle w:val="CETTabletitle"/>
        <w:spacing w:before="0" w:after="0" w:line="264" w:lineRule="auto"/>
        <w:jc w:val="both"/>
        <w:rPr>
          <w:i w:val="0"/>
        </w:rPr>
      </w:pPr>
      <w:r w:rsidRPr="00827549">
        <w:rPr>
          <w:i w:val="0"/>
        </w:rPr>
        <w:t>Organic acids formed by dehydration reactions involving hydrolysis products, in addition to those accumulated in the solvent from the previous conversion phases, could effectively inte</w:t>
      </w:r>
      <w:r w:rsidR="00C64A41">
        <w:rPr>
          <w:i w:val="0"/>
        </w:rPr>
        <w:t>n</w:t>
      </w:r>
      <w:r w:rsidRPr="00827549">
        <w:rPr>
          <w:i w:val="0"/>
        </w:rPr>
        <w:t>sify the hydrolysis itself, leading to a growing concentration of reactive organic components</w:t>
      </w:r>
      <w:r w:rsidR="00C64A41">
        <w:rPr>
          <w:i w:val="0"/>
        </w:rPr>
        <w:t xml:space="preserve"> in PW</w:t>
      </w:r>
      <w:r w:rsidRPr="00827549">
        <w:rPr>
          <w:i w:val="0"/>
        </w:rPr>
        <w:t xml:space="preserve">. Among these, furfurals, phenols, aldehydes and ketones, could attend in the formation of new solid aromatics which probably </w:t>
      </w:r>
      <w:r w:rsidR="00A12449">
        <w:rPr>
          <w:i w:val="0"/>
        </w:rPr>
        <w:t>led to the</w:t>
      </w:r>
      <w:r w:rsidRPr="00827549">
        <w:rPr>
          <w:i w:val="0"/>
        </w:rPr>
        <w:t xml:space="preserve"> FC increase</w:t>
      </w:r>
      <w:r w:rsidR="00D1100F">
        <w:rPr>
          <w:i w:val="0"/>
        </w:rPr>
        <w:t xml:space="preserve"> </w:t>
      </w:r>
      <w:r w:rsidR="00E6735C">
        <w:rPr>
          <w:i w:val="0"/>
        </w:rPr>
        <w:fldChar w:fldCharType="begin" w:fldLock="1"/>
      </w:r>
      <w:r w:rsidR="00E6735C">
        <w:rPr>
          <w:i w:val="0"/>
        </w:rPr>
        <w:instrText>ADDIN CSL_CITATION {"citationItems":[{"id":"ITEM-1","itemData":{"DOI":"10.1016/j.carbon.2022.02.030","ISSN":"0008-6223","author":[{"dropping-particle":"","family":"Wang","given":"Ruikun","non-dropping-particle":"","parse-names":false,"suffix":""},{"dropping-particle":"","family":"Jia","given":"Jiandong","non-dropping-particle":"","parse-names":false,"suffix":""},{"dropping-particle":"","family":"Jin","given":"Qingzhuang","non-dropping-particle":"","parse-names":false,"suffix":""},{"dropping-particle":"","family":"Chen","given":"Hongwei","non-dropping-particle":"","parse-names":false,"suffix":""}],"container-title":"Carbon","id":"ITEM-1","issued":{"date-parts":[["2022"]]},"page":"50-60","publisher":"Elsevier Ltd","title":"Forming mechanism of coke microparticles from polymerization of aqueous organics during hydrothermal carbonization process of biomass","type":"article-journal","volume":"192"},"uris":["http://www.mendeley.com/documents/?uuid=a0cef8ed-3048-4567-b36b-1e059941a3e0"]}],"mendeley":{"formattedCitation":"(Wang et al., 2022a)","plainTextFormattedCitation":"(Wang et al., 2022a)","previouslyFormattedCitation":"(Wang et al., 2022a)"},"properties":{"noteIndex":0},"schema":"https://github.com/citation-style-language/schema/raw/master/csl-citation.json"}</w:instrText>
      </w:r>
      <w:r w:rsidR="00E6735C">
        <w:rPr>
          <w:i w:val="0"/>
        </w:rPr>
        <w:fldChar w:fldCharType="separate"/>
      </w:r>
      <w:r w:rsidR="00E6735C" w:rsidRPr="00E6735C">
        <w:rPr>
          <w:i w:val="0"/>
          <w:noProof/>
        </w:rPr>
        <w:t>(Wang et al., 2022a)</w:t>
      </w:r>
      <w:r w:rsidR="00E6735C">
        <w:rPr>
          <w:i w:val="0"/>
        </w:rPr>
        <w:fldChar w:fldCharType="end"/>
      </w:r>
      <w:r w:rsidRPr="00D1100F">
        <w:rPr>
          <w:i w:val="0"/>
        </w:rPr>
        <w:t>.</w:t>
      </w:r>
      <w:r w:rsidRPr="00827549">
        <w:rPr>
          <w:i w:val="0"/>
        </w:rPr>
        <w:t xml:space="preserve"> Simultaneously, organic acids could promote dehydration and decarboxylation dominating the devolatilization process, </w:t>
      </w:r>
      <w:r w:rsidR="006327B7">
        <w:rPr>
          <w:i w:val="0"/>
        </w:rPr>
        <w:t>eventually leading</w:t>
      </w:r>
      <w:r w:rsidRPr="00827549">
        <w:rPr>
          <w:i w:val="0"/>
        </w:rPr>
        <w:t xml:space="preserve"> to an improved </w:t>
      </w:r>
      <w:proofErr w:type="spellStart"/>
      <w:r w:rsidRPr="00827549">
        <w:rPr>
          <w:i w:val="0"/>
        </w:rPr>
        <w:t>hydrochars</w:t>
      </w:r>
      <w:proofErr w:type="spellEnd"/>
      <w:r w:rsidRPr="00827549">
        <w:rPr>
          <w:i w:val="0"/>
        </w:rPr>
        <w:t xml:space="preserve"> fuel quality</w:t>
      </w:r>
      <w:r w:rsidR="00D1100F">
        <w:rPr>
          <w:i w:val="0"/>
        </w:rPr>
        <w:t xml:space="preserve"> </w:t>
      </w:r>
      <w:r w:rsidR="00E6735C">
        <w:rPr>
          <w:i w:val="0"/>
        </w:rPr>
        <w:fldChar w:fldCharType="begin" w:fldLock="1"/>
      </w:r>
      <w:r w:rsidR="00E6735C">
        <w:rPr>
          <w:i w:val="0"/>
        </w:rPr>
        <w:instrText>ADDIN CSL_CITATION {"citationItems":[{"id":"ITEM-1","itemData":{"DOI":"10.1016/j.fuel.2022.125033","ISSN":"00162361","abstract":"Reusing the wastewater byproduct of the hydrothermal carbonization (HTC) process as a water source to prepare biomass slurry feedstock for the next HTC run provides a feasible wastewater disposal method. However, the influence of various organic components contained in the hydrothermal wastewater (HW) on the formation routes and characteristics of hydrochar is yet to be clarified. In this study, five representative organic components, phenol, acetic acid, furfural, 5-hydroxymethylfurfural (5-HMF), and 2,5-hexanedione, were selected to study their effects on the hydrochar fuel characteristics and HW components, based on which the hydrochar formation pathways in an organic wastewater environment were proposed. The phenol, furfural, and 5-HMF contained in the wastewater source could polymerize with the active intermediates from biomass degradation, thereby resulting in an increase in the hydrochar mass yield (HCY) by 1.13%–7.07% and an increase in the higher heating value of hydrochar to 27.36 MJ/kg. In contrast, the acetic acid and 2,5-hexanedione contained in the wastewater source resulted in a decrease in HCY, probably because of the catalytic effects of volatile fatty acids on biomass hydrolysis. Moreover, wastewater sources with all five organic components increased the energy recovery efficiency from biomass to a high level of 97.28% under the two effects of deep polymerization and catalytic carbonization.","author":[{"dropping-particle":"","family":"Wang","given":"Ruikun","non-dropping-particle":"","parse-names":false,"suffix":""},{"dropping-particle":"","family":"Lin","given":"Zhaohua","non-dropping-particle":"","parse-names":false,"suffix":""},{"dropping-particle":"","family":"Peng","given":"Pingbo","non-dropping-particle":"","parse-names":false,"suffix":""},{"dropping-particle":"","family":"Tan","given":"Shiteng","non-dropping-particle":"","parse-names":false,"suffix":""},{"dropping-particle":"","family":"Zhao","given":"Zhenghui","non-dropping-particle":"","parse-names":false,"suffix":""},{"dropping-particle":"","family":"Yin","given":"Qianqian","non-dropping-particle":"","parse-names":false,"suffix":""},{"dropping-particle":"","family":"Wang","given":"Chunbo","non-dropping-particle":"","parse-names":false,"suffix":""}],"container-title":"Fuel","id":"ITEM-1","issue":"June","issued":{"date-parts":[["2022"]]},"page":"125033","publisher":"Elsevier Ltd","title":"Influence mechanism of aqueous organic components on the hydrochar formation reaction during the biomass hydrothermal carbonization wastewater recycling","type":"article-journal","volume":"326"},"uris":["http://www.mendeley.com/documents/?uuid=7fdbc5bf-5312-451c-b60c-e69d4f41c534"]}],"mendeley":{"formattedCitation":"(Wang et al., 2022b)","plainTextFormattedCitation":"(Wang et al., 2022b)","previouslyFormattedCitation":"(Wang et al., 2022b)"},"properties":{"noteIndex":0},"schema":"https://github.com/citation-style-language/schema/raw/master/csl-citation.json"}</w:instrText>
      </w:r>
      <w:r w:rsidR="00E6735C">
        <w:rPr>
          <w:i w:val="0"/>
        </w:rPr>
        <w:fldChar w:fldCharType="separate"/>
      </w:r>
      <w:r w:rsidR="00E6735C" w:rsidRPr="00E6735C">
        <w:rPr>
          <w:i w:val="0"/>
          <w:noProof/>
        </w:rPr>
        <w:t>(Wang et al., 2022b)</w:t>
      </w:r>
      <w:r w:rsidR="00E6735C">
        <w:rPr>
          <w:i w:val="0"/>
        </w:rPr>
        <w:fldChar w:fldCharType="end"/>
      </w:r>
      <w:r w:rsidRPr="00D1100F">
        <w:rPr>
          <w:i w:val="0"/>
        </w:rPr>
        <w:t>.</w:t>
      </w:r>
      <w:r w:rsidRPr="00827549">
        <w:rPr>
          <w:i w:val="0"/>
        </w:rPr>
        <w:t xml:space="preserve"> Accordingly, HHV slight</w:t>
      </w:r>
      <w:r w:rsidR="00492B25">
        <w:rPr>
          <w:i w:val="0"/>
        </w:rPr>
        <w:t>ly</w:t>
      </w:r>
      <w:r w:rsidRPr="00827549">
        <w:rPr>
          <w:i w:val="0"/>
        </w:rPr>
        <w:t xml:space="preserve"> increase</w:t>
      </w:r>
      <w:r w:rsidR="00492B25">
        <w:rPr>
          <w:i w:val="0"/>
        </w:rPr>
        <w:t>d</w:t>
      </w:r>
      <w:r w:rsidRPr="00827549">
        <w:rPr>
          <w:i w:val="0"/>
        </w:rPr>
        <w:t xml:space="preserve"> for most of samples.</w:t>
      </w:r>
      <w:r w:rsidR="000225AB">
        <w:rPr>
          <w:i w:val="0"/>
        </w:rPr>
        <w:t xml:space="preserve"> </w:t>
      </w:r>
      <w:r w:rsidR="006923FE">
        <w:rPr>
          <w:i w:val="0"/>
        </w:rPr>
        <w:t xml:space="preserve">The described effects resulted similar for all HTC </w:t>
      </w:r>
      <w:r w:rsidR="00055D55">
        <w:rPr>
          <w:i w:val="0"/>
        </w:rPr>
        <w:t xml:space="preserve">reaction </w:t>
      </w:r>
      <w:r w:rsidR="006923FE">
        <w:rPr>
          <w:i w:val="0"/>
        </w:rPr>
        <w:t xml:space="preserve">conditions, and no </w:t>
      </w:r>
      <w:r w:rsidR="006923FE" w:rsidRPr="006923FE">
        <w:rPr>
          <w:i w:val="0"/>
        </w:rPr>
        <w:t>recognisable</w:t>
      </w:r>
      <w:r w:rsidR="006923FE">
        <w:rPr>
          <w:i w:val="0"/>
        </w:rPr>
        <w:t xml:space="preserve"> trends were observed.</w:t>
      </w:r>
      <w:r w:rsidR="005C4D59">
        <w:rPr>
          <w:i w:val="0"/>
        </w:rPr>
        <w:t xml:space="preserve"> </w:t>
      </w:r>
      <w:r w:rsidR="00687FA4">
        <w:rPr>
          <w:i w:val="0"/>
        </w:rPr>
        <w:t xml:space="preserve">As direct outcome </w:t>
      </w:r>
      <w:r w:rsidR="006327B7">
        <w:rPr>
          <w:i w:val="0"/>
        </w:rPr>
        <w:t xml:space="preserve">of the </w:t>
      </w:r>
      <w:proofErr w:type="spellStart"/>
      <w:r w:rsidR="006327B7">
        <w:rPr>
          <w:i w:val="0"/>
        </w:rPr>
        <w:t>hydrochar</w:t>
      </w:r>
      <w:proofErr w:type="spellEnd"/>
      <w:r w:rsidR="006327B7">
        <w:rPr>
          <w:i w:val="0"/>
        </w:rPr>
        <w:t xml:space="preserve"> increased yields, </w:t>
      </w:r>
      <w:r w:rsidR="006327B7" w:rsidRPr="006327B7">
        <w:rPr>
          <w:i w:val="0"/>
        </w:rPr>
        <w:t>and to a less extent, the higher HHVs</w:t>
      </w:r>
      <w:r w:rsidR="006327B7">
        <w:rPr>
          <w:i w:val="0"/>
        </w:rPr>
        <w:t xml:space="preserve">, EY values showed an increase of 19%, on average, reaching </w:t>
      </w:r>
      <w:r w:rsidR="006327B7" w:rsidRPr="006327B7">
        <w:rPr>
          <w:i w:val="0"/>
        </w:rPr>
        <w:t xml:space="preserve">a maximum increase value of approximately 24% after </w:t>
      </w:r>
      <w:r w:rsidR="006327B7">
        <w:rPr>
          <w:i w:val="0"/>
        </w:rPr>
        <w:t xml:space="preserve">three </w:t>
      </w:r>
      <w:r w:rsidR="00B068D3">
        <w:rPr>
          <w:i w:val="0"/>
        </w:rPr>
        <w:t xml:space="preserve">consecutive </w:t>
      </w:r>
      <w:r w:rsidR="006327B7" w:rsidRPr="006327B7">
        <w:rPr>
          <w:i w:val="0"/>
        </w:rPr>
        <w:t xml:space="preserve">PW </w:t>
      </w:r>
      <w:proofErr w:type="spellStart"/>
      <w:r w:rsidR="006327B7" w:rsidRPr="006327B7">
        <w:rPr>
          <w:i w:val="0"/>
        </w:rPr>
        <w:t>recirculation</w:t>
      </w:r>
      <w:r w:rsidR="00487B6B">
        <w:rPr>
          <w:i w:val="0"/>
        </w:rPr>
        <w:t>s</w:t>
      </w:r>
      <w:proofErr w:type="spellEnd"/>
      <w:r w:rsidR="006327B7" w:rsidRPr="006327B7">
        <w:rPr>
          <w:i w:val="0"/>
        </w:rPr>
        <w:t>.</w:t>
      </w:r>
    </w:p>
    <w:p w14:paraId="7A8F2A90" w14:textId="5D81261C" w:rsidR="00754211" w:rsidRDefault="00875A76" w:rsidP="00827549">
      <w:pPr>
        <w:pStyle w:val="CETTabletitle"/>
        <w:spacing w:before="0" w:after="0" w:line="264" w:lineRule="auto"/>
        <w:jc w:val="both"/>
        <w:rPr>
          <w:i w:val="0"/>
        </w:rPr>
      </w:pPr>
      <w:r w:rsidRPr="00875A76">
        <w:rPr>
          <w:i w:val="0"/>
        </w:rPr>
        <w:t>Energy balance results prove</w:t>
      </w:r>
      <w:r w:rsidR="00A33AF0">
        <w:rPr>
          <w:i w:val="0"/>
        </w:rPr>
        <w:t>d</w:t>
      </w:r>
      <w:r w:rsidRPr="00875A76">
        <w:rPr>
          <w:i w:val="0"/>
        </w:rPr>
        <w:t xml:space="preserve"> that a significant improvement of energy recovery was achieved by solvent rec</w:t>
      </w:r>
      <w:r w:rsidR="00CC15B1">
        <w:rPr>
          <w:i w:val="0"/>
        </w:rPr>
        <w:t>ycling</w:t>
      </w:r>
      <w:r w:rsidRPr="00875A76">
        <w:rPr>
          <w:i w:val="0"/>
        </w:rPr>
        <w:t xml:space="preserve">. </w:t>
      </w:r>
      <w:r w:rsidR="004B7B16">
        <w:rPr>
          <w:i w:val="0"/>
        </w:rPr>
        <w:t>All phases with DW, except that</w:t>
      </w:r>
      <w:r w:rsidR="00476214">
        <w:rPr>
          <w:i w:val="0"/>
        </w:rPr>
        <w:t xml:space="preserve"> carried out</w:t>
      </w:r>
      <w:r w:rsidRPr="00875A76">
        <w:rPr>
          <w:i w:val="0"/>
        </w:rPr>
        <w:t xml:space="preserve"> at 230 °C, led to a positive energy balance (ESR value). Ho</w:t>
      </w:r>
      <w:r w:rsidR="00754211">
        <w:rPr>
          <w:i w:val="0"/>
        </w:rPr>
        <w:t>wever, when PW was recirculated</w:t>
      </w:r>
      <w:r w:rsidR="004A0DCA">
        <w:rPr>
          <w:i w:val="0"/>
        </w:rPr>
        <w:t>,</w:t>
      </w:r>
      <w:r w:rsidRPr="00875A76">
        <w:rPr>
          <w:i w:val="0"/>
        </w:rPr>
        <w:t xml:space="preserve"> ESR was </w:t>
      </w:r>
      <w:r w:rsidR="004A0DCA">
        <w:rPr>
          <w:i w:val="0"/>
        </w:rPr>
        <w:t>considerably enhanced</w:t>
      </w:r>
      <w:r w:rsidRPr="00875A76">
        <w:rPr>
          <w:i w:val="0"/>
        </w:rPr>
        <w:t xml:space="preserve"> </w:t>
      </w:r>
      <w:r w:rsidR="00754211">
        <w:rPr>
          <w:i w:val="0"/>
        </w:rPr>
        <w:t>and</w:t>
      </w:r>
      <w:r w:rsidRPr="00875A76">
        <w:rPr>
          <w:i w:val="0"/>
        </w:rPr>
        <w:t xml:space="preserve"> its value averagely </w:t>
      </w:r>
      <w:r w:rsidR="00754211">
        <w:rPr>
          <w:i w:val="0"/>
        </w:rPr>
        <w:t>augmented</w:t>
      </w:r>
      <w:r w:rsidRPr="00875A76">
        <w:rPr>
          <w:i w:val="0"/>
        </w:rPr>
        <w:t xml:space="preserve"> by 1.78 times, showing that PW recirculation has the potential to make HTC process energetically more efficient.</w:t>
      </w:r>
      <w:r w:rsidR="00754211">
        <w:rPr>
          <w:i w:val="0"/>
        </w:rPr>
        <w:t xml:space="preserve"> </w:t>
      </w:r>
      <w:r w:rsidR="004A0DCA">
        <w:rPr>
          <w:i w:val="0"/>
        </w:rPr>
        <w:t>These</w:t>
      </w:r>
      <w:r w:rsidR="00754211">
        <w:rPr>
          <w:i w:val="0"/>
        </w:rPr>
        <w:t xml:space="preserve"> results could be improved by recirculating the </w:t>
      </w:r>
      <w:r w:rsidR="00754211" w:rsidRPr="00754211">
        <w:rPr>
          <w:i w:val="0"/>
        </w:rPr>
        <w:t>exhausted</w:t>
      </w:r>
      <w:r w:rsidR="00754211">
        <w:rPr>
          <w:i w:val="0"/>
        </w:rPr>
        <w:t xml:space="preserve"> solvent </w:t>
      </w:r>
      <w:r w:rsidR="00754211" w:rsidRPr="00754211">
        <w:rPr>
          <w:i w:val="0"/>
        </w:rPr>
        <w:t>before its cooling down</w:t>
      </w:r>
      <w:r w:rsidR="00754211">
        <w:rPr>
          <w:i w:val="0"/>
        </w:rPr>
        <w:t>. In this way, PW could</w:t>
      </w:r>
      <w:r w:rsidR="0076091F">
        <w:rPr>
          <w:i w:val="0"/>
        </w:rPr>
        <w:t xml:space="preserve"> be actually employed </w:t>
      </w:r>
      <w:r w:rsidR="00754211" w:rsidRPr="00754211">
        <w:rPr>
          <w:i w:val="0"/>
        </w:rPr>
        <w:t xml:space="preserve">for the feedstock pre-heating, thus </w:t>
      </w:r>
      <w:r w:rsidR="00B65966">
        <w:rPr>
          <w:i w:val="0"/>
        </w:rPr>
        <w:t xml:space="preserve">strongly </w:t>
      </w:r>
      <w:r w:rsidR="00754211" w:rsidRPr="00754211">
        <w:rPr>
          <w:i w:val="0"/>
        </w:rPr>
        <w:t>reducing the external heat required and positively impacting on the overall energy balance.</w:t>
      </w:r>
      <w:r w:rsidR="004053BF">
        <w:rPr>
          <w:i w:val="0"/>
        </w:rPr>
        <w:t xml:space="preserve"> </w:t>
      </w:r>
      <w:r w:rsidR="004053BF" w:rsidRPr="004053BF">
        <w:rPr>
          <w:i w:val="0"/>
        </w:rPr>
        <w:t xml:space="preserve">The influence of reaction conditions on the recovery of energy </w:t>
      </w:r>
      <w:r w:rsidR="00131656">
        <w:rPr>
          <w:i w:val="0"/>
        </w:rPr>
        <w:t>is</w:t>
      </w:r>
      <w:r w:rsidR="004053BF" w:rsidRPr="004053BF">
        <w:rPr>
          <w:i w:val="0"/>
        </w:rPr>
        <w:t xml:space="preserve"> in good agreement with the results </w:t>
      </w:r>
      <w:r w:rsidR="004F5CB8">
        <w:rPr>
          <w:i w:val="0"/>
        </w:rPr>
        <w:t>above</w:t>
      </w:r>
      <w:r w:rsidR="004F5CB8" w:rsidRPr="004053BF">
        <w:rPr>
          <w:i w:val="0"/>
        </w:rPr>
        <w:t xml:space="preserve"> </w:t>
      </w:r>
      <w:r w:rsidR="004053BF" w:rsidRPr="004053BF">
        <w:rPr>
          <w:i w:val="0"/>
        </w:rPr>
        <w:t>reported. Indeed, increasing temperatures led to a decreasing ESR, which reached a stable value after three consecutive PW recy</w:t>
      </w:r>
      <w:r w:rsidR="002F6AEF">
        <w:rPr>
          <w:i w:val="0"/>
        </w:rPr>
        <w:t>c</w:t>
      </w:r>
      <w:r w:rsidR="004053BF" w:rsidRPr="004053BF">
        <w:rPr>
          <w:i w:val="0"/>
        </w:rPr>
        <w:t>ling steps. It is noteworthy that</w:t>
      </w:r>
      <w:r w:rsidR="00675904">
        <w:rPr>
          <w:i w:val="0"/>
        </w:rPr>
        <w:t xml:space="preserve"> at increasing B/W values, the energy recovery increased</w:t>
      </w:r>
      <w:r w:rsidR="00A33AF0">
        <w:rPr>
          <w:i w:val="0"/>
        </w:rPr>
        <w:t xml:space="preserve"> substantially</w:t>
      </w:r>
      <w:r w:rsidR="00675904">
        <w:rPr>
          <w:i w:val="0"/>
        </w:rPr>
        <w:t xml:space="preserve">. </w:t>
      </w:r>
      <w:r w:rsidR="00675904" w:rsidRPr="00675904">
        <w:rPr>
          <w:i w:val="0"/>
        </w:rPr>
        <w:t>The reason is strictly related to the energy saving ob</w:t>
      </w:r>
      <w:r w:rsidR="00907743">
        <w:rPr>
          <w:i w:val="0"/>
        </w:rPr>
        <w:t xml:space="preserve">tained due to the </w:t>
      </w:r>
      <w:r w:rsidR="00675904" w:rsidRPr="00675904">
        <w:rPr>
          <w:i w:val="0"/>
        </w:rPr>
        <w:t>reduction of aqueous solvent mass loaded in the reactor.</w:t>
      </w:r>
    </w:p>
    <w:p w14:paraId="660F6E85" w14:textId="55F47149" w:rsidR="00B65966" w:rsidRDefault="00B65966" w:rsidP="00827549">
      <w:pPr>
        <w:pStyle w:val="CETTabletitle"/>
        <w:spacing w:before="0" w:after="0" w:line="264" w:lineRule="auto"/>
        <w:jc w:val="both"/>
        <w:rPr>
          <w:i w:val="0"/>
        </w:rPr>
      </w:pPr>
      <w:r w:rsidRPr="00B65966">
        <w:rPr>
          <w:i w:val="0"/>
        </w:rPr>
        <w:t>For a HTC large-scale plant, the overall energy efficiency could be further improved by reducing the conversion energy demand through an optimized heat recovery from the process, and considering a scenario in which the recycled so</w:t>
      </w:r>
      <w:r w:rsidR="004D529E">
        <w:rPr>
          <w:i w:val="0"/>
        </w:rPr>
        <w:t>l</w:t>
      </w:r>
      <w:r w:rsidRPr="00B65966">
        <w:rPr>
          <w:i w:val="0"/>
        </w:rPr>
        <w:t xml:space="preserve">vent is intended as </w:t>
      </w:r>
      <w:r w:rsidR="00D27A7C">
        <w:rPr>
          <w:i w:val="0"/>
        </w:rPr>
        <w:t xml:space="preserve">a </w:t>
      </w:r>
      <w:r w:rsidRPr="00B65966">
        <w:rPr>
          <w:i w:val="0"/>
        </w:rPr>
        <w:t>substrate to obtain a fuel gas (methane and/or hydr</w:t>
      </w:r>
      <w:r w:rsidR="005A0D6D">
        <w:rPr>
          <w:i w:val="0"/>
        </w:rPr>
        <w:t>ogen) via biological conversion</w:t>
      </w:r>
      <w:r w:rsidRPr="00B65966">
        <w:rPr>
          <w:i w:val="0"/>
        </w:rPr>
        <w:t xml:space="preserve"> leading to an additional recovery of energy</w:t>
      </w:r>
      <w:r w:rsidR="00D1100F">
        <w:rPr>
          <w:i w:val="0"/>
        </w:rPr>
        <w:t xml:space="preserve"> </w:t>
      </w:r>
      <w:r w:rsidR="00E6735C">
        <w:rPr>
          <w:i w:val="0"/>
        </w:rPr>
        <w:fldChar w:fldCharType="begin" w:fldLock="1"/>
      </w:r>
      <w:r w:rsidR="00F57510">
        <w:rPr>
          <w:i w:val="0"/>
        </w:rPr>
        <w:instrText>ADDIN CSL_CITATION {"citationItems":[{"id":"ITEM-1","itemData":{"DOI":"10.1016/j.jclepro.2021.126238","ISSN":"09596526","abstract":"Thermochemical processing technologies such as hydrothermal liquefaction/carbonization/gasification, pyrolysis, torrefaction, and gasification have been widely used for the production of oil, char, and gas fuels from biomass. However, aqueous phase (AP), a co-product or process wastewater with high concentrations of carbon, nitrogen, phosphorus, and other elements, is inevitably produced in massive amounts after thermochemical treatment. The treatment and utilization of AP is one of the bottlenecks for the industrialization of biomass processing technologies. In this review, the production and characteristics of AP from dry and wet thermochemical processes were compared. Various AP valorization pathways were comprehensively discussed, including (i) the direct utilization of AP as a solvent, reaction medium, or a culture nutrient source for the cultivation of organisms such as microalgae; (ii) the separation and purification of nutrients such as struvite or chemicals such as carboxylic acids from AP, and (iii) the conversion of AP components to energy and fuels such as bioelectricity, biohydrogen, biogas, syngas, bioethanol, or chemicals such as polyhydroxyalkanoates (PHAs) through fermentation, anaerobic digestion, microbial electrolysis cells, microbial fuel cells, supercritical water gasification, and catalytic reforming. Finally, various strategies have been proposed to promote future research, including matching AP with preferable valorization technology, tuning AP compositions and properties (e.g., detoxification of AP), and process optimization and integration. This review could also be conducive to promoting the utilization of organic wastewater from other sources.","author":[{"dropping-particle":"","family":"Leng","given":"Lijian","non-dropping-particle":"","parse-names":false,"suffix":""},{"dropping-particle":"","family":"Yang","given":"Lihong","non-dropping-particle":"","parse-names":false,"suffix":""},{"dropping-particle":"","family":"Chen","given":"Jie","non-dropping-particle":"","parse-names":false,"suffix":""},{"dropping-particle":"","family":"Hu","given":"Yingbing","non-dropping-particle":"","parse-names":false,"suffix":""},{"dropping-particle":"","family":"Li","given":"Hailong","non-dropping-particle":"","parse-names":false,"suffix":""},{"dropping-particle":"","family":"Li","given":"Hui","non-dropping-particle":"","parse-names":false,"suffix":""},{"dropping-particle":"","family":"Jiang","given":"Shaojian","non-dropping-particle":"","parse-names":false,"suffix":""},{"dropping-particle":"","family":"Peng","given":"Haoyi","non-dropping-particle":"","parse-names":false,"suffix":""},{"dropping-particle":"","family":"Yuan","given":"Xingzhong","non-dropping-particle":"","parse-names":false,"suffix":""},{"dropping-particle":"","family":"Huang","given":"Huajun","non-dropping-particle":"","parse-names":false,"suffix":""}],"container-title":"Journal of Cleaner Production","id":"ITEM-1","issued":{"date-parts":[["2021"]]},"title":"Valorization of the aqueous phase produced from wet and dry thermochemical processing biomass: A review","type":"article-journal","volume":"294"},"uris":["http://www.mendeley.com/documents/?uuid=b7651cc1-001b-4d28-a19f-ad6c9ca2e8d2"]}],"mendeley":{"formattedCitation":"(Leng et al., 2021)","plainTextFormattedCitation":"(Leng et al., 2021)","previouslyFormattedCitation":"(Leng et al., 2021)"},"properties":{"noteIndex":0},"schema":"https://github.com/citation-style-language/schema/raw/master/csl-citation.json"}</w:instrText>
      </w:r>
      <w:r w:rsidR="00E6735C">
        <w:rPr>
          <w:i w:val="0"/>
        </w:rPr>
        <w:fldChar w:fldCharType="separate"/>
      </w:r>
      <w:r w:rsidR="00E6735C" w:rsidRPr="00E6735C">
        <w:rPr>
          <w:i w:val="0"/>
          <w:noProof/>
        </w:rPr>
        <w:t>(Leng et al., 2021)</w:t>
      </w:r>
      <w:r w:rsidR="00E6735C">
        <w:rPr>
          <w:i w:val="0"/>
        </w:rPr>
        <w:fldChar w:fldCharType="end"/>
      </w:r>
      <w:r w:rsidRPr="00354F51">
        <w:rPr>
          <w:i w:val="0"/>
        </w:rPr>
        <w:t>.</w:t>
      </w:r>
    </w:p>
    <w:p w14:paraId="6A5167CF" w14:textId="2EA93E2C" w:rsidR="00600535" w:rsidRDefault="00600535" w:rsidP="00600535">
      <w:pPr>
        <w:pStyle w:val="CETTabletitle"/>
      </w:pPr>
      <w:r w:rsidRPr="00B57B36">
        <w:t xml:space="preserve">Table 1: </w:t>
      </w:r>
      <w:r w:rsidR="00852A88">
        <w:t>Prox</w:t>
      </w:r>
      <w:r w:rsidR="00FC5A00">
        <w:t>i</w:t>
      </w:r>
      <w:r w:rsidR="00852A88">
        <w:t xml:space="preserve">mate analysis and energy properties of raw FC and </w:t>
      </w:r>
      <w:proofErr w:type="spellStart"/>
      <w:r w:rsidR="00852A88">
        <w:t>hydrochars</w:t>
      </w:r>
      <w:proofErr w:type="spellEnd"/>
      <w:r w:rsidR="00852A88">
        <w:t xml:space="preserve">. Proximate </w:t>
      </w:r>
      <w:r w:rsidR="00243C76">
        <w:t>analysis performed in duplicate;</w:t>
      </w:r>
      <w:r w:rsidR="00852A88">
        <w:t xml:space="preserve"> average values </w:t>
      </w:r>
      <w:r w:rsidR="00062C32">
        <w:t xml:space="preserve">are </w:t>
      </w:r>
      <w:r w:rsidR="00852A88">
        <w:t xml:space="preserve">showed (RSD% </w:t>
      </w:r>
      <w:r w:rsidR="00852A88">
        <w:rPr>
          <w:rStyle w:val="CETCaptionCarattere"/>
          <w:rFonts w:cs="Arial"/>
          <w:i/>
        </w:rPr>
        <w:t xml:space="preserve">≤ </w:t>
      </w:r>
      <w:r w:rsidR="00243C76">
        <w:rPr>
          <w:rStyle w:val="CETCaptionCarattere"/>
          <w:rFonts w:cs="Arial"/>
          <w:i/>
        </w:rPr>
        <w:t>1.9). Average values of three HHV measur</w:t>
      </w:r>
      <w:r w:rsidR="00FC5A00">
        <w:rPr>
          <w:rStyle w:val="CETCaptionCarattere"/>
          <w:rFonts w:cs="Arial"/>
          <w:i/>
        </w:rPr>
        <w:t>e</w:t>
      </w:r>
      <w:r w:rsidR="00243C76">
        <w:rPr>
          <w:rStyle w:val="CETCaptionCarattere"/>
          <w:rFonts w:cs="Arial"/>
          <w:i/>
        </w:rPr>
        <w:t xml:space="preserve">ments </w:t>
      </w:r>
      <w:r w:rsidR="00846E3D">
        <w:rPr>
          <w:rStyle w:val="CETCaptionCarattere"/>
          <w:rFonts w:cs="Arial"/>
          <w:i/>
        </w:rPr>
        <w:t>are reported (</w:t>
      </w:r>
      <w:r w:rsidR="00846E3D">
        <w:t xml:space="preserve">RSD% </w:t>
      </w:r>
      <w:r w:rsidR="00846E3D">
        <w:rPr>
          <w:rStyle w:val="CETCaptionCarattere"/>
          <w:rFonts w:cs="Arial"/>
          <w:i/>
        </w:rPr>
        <w:t>≤ 0.7)</w:t>
      </w:r>
      <w:r w:rsidR="00AB572A">
        <w:rPr>
          <w:rStyle w:val="CETCaptionCarattere"/>
          <w:rFonts w:cs="Arial"/>
          <w:i/>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276"/>
        <w:gridCol w:w="992"/>
        <w:gridCol w:w="1134"/>
      </w:tblGrid>
      <w:tr w:rsidR="00991CA6" w:rsidRPr="00B57B36" w14:paraId="2EEE1D2B" w14:textId="77777777" w:rsidTr="005E09A2">
        <w:tc>
          <w:tcPr>
            <w:tcW w:w="1134" w:type="dxa"/>
            <w:vMerge w:val="restart"/>
            <w:tcBorders>
              <w:top w:val="single" w:sz="12" w:space="0" w:color="008000"/>
            </w:tcBorders>
            <w:shd w:val="clear" w:color="auto" w:fill="FFFFFF"/>
          </w:tcPr>
          <w:p w14:paraId="74178AE7" w14:textId="77777777" w:rsidR="00991CA6" w:rsidRPr="00B57B36" w:rsidRDefault="00991CA6" w:rsidP="00BA315C">
            <w:pPr>
              <w:pStyle w:val="CETBodytext"/>
              <w:jc w:val="center"/>
              <w:rPr>
                <w:lang w:val="en-GB"/>
              </w:rPr>
            </w:pPr>
            <w:r>
              <w:rPr>
                <w:lang w:val="en-GB"/>
              </w:rPr>
              <w:t>Sample</w:t>
            </w:r>
          </w:p>
        </w:tc>
        <w:tc>
          <w:tcPr>
            <w:tcW w:w="3402" w:type="dxa"/>
            <w:gridSpan w:val="3"/>
            <w:tcBorders>
              <w:top w:val="single" w:sz="12" w:space="0" w:color="008000"/>
              <w:bottom w:val="single" w:sz="6" w:space="0" w:color="008000"/>
            </w:tcBorders>
            <w:shd w:val="clear" w:color="auto" w:fill="FFFFFF"/>
          </w:tcPr>
          <w:p w14:paraId="4638BE19" w14:textId="77B7EE75" w:rsidR="00991CA6" w:rsidRPr="00B57B36" w:rsidRDefault="002A2AA7" w:rsidP="00BA315C">
            <w:pPr>
              <w:pStyle w:val="CETBodytext"/>
              <w:ind w:right="-1"/>
              <w:jc w:val="center"/>
              <w:rPr>
                <w:rFonts w:cs="Arial"/>
                <w:szCs w:val="18"/>
                <w:lang w:val="en-GB"/>
              </w:rPr>
            </w:pPr>
            <w:r>
              <w:rPr>
                <w:rFonts w:cs="Arial"/>
                <w:szCs w:val="18"/>
                <w:lang w:val="en-GB"/>
              </w:rPr>
              <w:t xml:space="preserve">    </w:t>
            </w:r>
            <w:r w:rsidR="00991CA6">
              <w:rPr>
                <w:rFonts w:cs="Arial"/>
                <w:szCs w:val="18"/>
                <w:lang w:val="en-GB"/>
              </w:rPr>
              <w:t>Proximate Analysis (</w:t>
            </w:r>
            <w:proofErr w:type="spellStart"/>
            <w:r w:rsidR="00991CA6">
              <w:rPr>
                <w:rFonts w:cs="Arial"/>
                <w:szCs w:val="18"/>
                <w:lang w:val="en-GB"/>
              </w:rPr>
              <w:t>wt</w:t>
            </w:r>
            <w:proofErr w:type="spellEnd"/>
            <w:r w:rsidR="00991CA6">
              <w:rPr>
                <w:rFonts w:cs="Arial"/>
                <w:szCs w:val="18"/>
                <w:lang w:val="en-GB"/>
              </w:rPr>
              <w:t xml:space="preserve">% </w:t>
            </w:r>
            <w:proofErr w:type="spellStart"/>
            <w:r w:rsidR="00991CA6">
              <w:rPr>
                <w:rFonts w:cs="Arial"/>
                <w:szCs w:val="18"/>
                <w:lang w:val="en-GB"/>
              </w:rPr>
              <w:t>d.b</w:t>
            </w:r>
            <w:proofErr w:type="spellEnd"/>
            <w:r w:rsidR="00991CA6">
              <w:rPr>
                <w:rFonts w:cs="Arial"/>
                <w:szCs w:val="18"/>
                <w:lang w:val="en-GB"/>
              </w:rPr>
              <w:t>.)</w:t>
            </w:r>
          </w:p>
        </w:tc>
        <w:tc>
          <w:tcPr>
            <w:tcW w:w="3402" w:type="dxa"/>
            <w:gridSpan w:val="3"/>
            <w:tcBorders>
              <w:top w:val="single" w:sz="12" w:space="0" w:color="008000"/>
              <w:bottom w:val="single" w:sz="6" w:space="0" w:color="008000"/>
            </w:tcBorders>
            <w:shd w:val="clear" w:color="auto" w:fill="FFFFFF"/>
          </w:tcPr>
          <w:p w14:paraId="09E19A6E" w14:textId="77777777" w:rsidR="00991CA6" w:rsidRPr="00B57B36" w:rsidRDefault="00991CA6" w:rsidP="00BA315C">
            <w:pPr>
              <w:pStyle w:val="CETBodytext"/>
              <w:ind w:right="-1"/>
              <w:jc w:val="center"/>
              <w:rPr>
                <w:rFonts w:cs="Arial"/>
                <w:szCs w:val="18"/>
                <w:lang w:val="en-GB"/>
              </w:rPr>
            </w:pPr>
            <w:r>
              <w:rPr>
                <w:rFonts w:cs="Arial"/>
                <w:szCs w:val="18"/>
                <w:lang w:val="en-GB"/>
              </w:rPr>
              <w:t>Energy Properties</w:t>
            </w:r>
          </w:p>
        </w:tc>
      </w:tr>
      <w:tr w:rsidR="00991CA6" w:rsidRPr="00B57B36" w14:paraId="21452176" w14:textId="77777777" w:rsidTr="005E09A2">
        <w:tc>
          <w:tcPr>
            <w:tcW w:w="1134" w:type="dxa"/>
            <w:vMerge/>
            <w:tcBorders>
              <w:bottom w:val="single" w:sz="6" w:space="0" w:color="008000"/>
            </w:tcBorders>
            <w:shd w:val="clear" w:color="auto" w:fill="FFFFFF"/>
          </w:tcPr>
          <w:p w14:paraId="7FE1BEBA" w14:textId="77777777" w:rsidR="00991CA6" w:rsidRPr="00B57B36" w:rsidRDefault="00991CA6" w:rsidP="00BA315C">
            <w:pPr>
              <w:pStyle w:val="CETBodytext"/>
              <w:rPr>
                <w:lang w:val="en-GB"/>
              </w:rPr>
            </w:pPr>
          </w:p>
        </w:tc>
        <w:tc>
          <w:tcPr>
            <w:tcW w:w="1134" w:type="dxa"/>
            <w:tcBorders>
              <w:top w:val="single" w:sz="12" w:space="0" w:color="008000"/>
              <w:bottom w:val="single" w:sz="6" w:space="0" w:color="008000"/>
            </w:tcBorders>
            <w:shd w:val="clear" w:color="auto" w:fill="FFFFFF"/>
          </w:tcPr>
          <w:p w14:paraId="125EEA0C" w14:textId="77777777" w:rsidR="00991CA6" w:rsidRPr="00B57B36" w:rsidRDefault="00991CA6" w:rsidP="00BA315C">
            <w:pPr>
              <w:pStyle w:val="CETBodytext"/>
              <w:jc w:val="center"/>
              <w:rPr>
                <w:lang w:val="en-GB"/>
              </w:rPr>
            </w:pPr>
            <w:r>
              <w:rPr>
                <w:lang w:val="en-GB"/>
              </w:rPr>
              <w:t>VM</w:t>
            </w:r>
          </w:p>
        </w:tc>
        <w:tc>
          <w:tcPr>
            <w:tcW w:w="1134" w:type="dxa"/>
            <w:tcBorders>
              <w:top w:val="single" w:sz="12" w:space="0" w:color="008000"/>
              <w:bottom w:val="single" w:sz="6" w:space="0" w:color="008000"/>
            </w:tcBorders>
            <w:shd w:val="clear" w:color="auto" w:fill="FFFFFF"/>
          </w:tcPr>
          <w:p w14:paraId="5E45873A" w14:textId="77777777" w:rsidR="00991CA6" w:rsidRPr="00B57B36" w:rsidRDefault="00991CA6" w:rsidP="00BA315C">
            <w:pPr>
              <w:pStyle w:val="CETBodytext"/>
              <w:jc w:val="center"/>
              <w:rPr>
                <w:lang w:val="en-GB"/>
              </w:rPr>
            </w:pPr>
            <w:r>
              <w:rPr>
                <w:lang w:val="en-GB"/>
              </w:rPr>
              <w:t>ASH</w:t>
            </w:r>
          </w:p>
        </w:tc>
        <w:tc>
          <w:tcPr>
            <w:tcW w:w="1134" w:type="dxa"/>
            <w:tcBorders>
              <w:top w:val="single" w:sz="12" w:space="0" w:color="008000"/>
              <w:bottom w:val="single" w:sz="6" w:space="0" w:color="008000"/>
            </w:tcBorders>
            <w:shd w:val="clear" w:color="auto" w:fill="FFFFFF"/>
          </w:tcPr>
          <w:p w14:paraId="2C61B71B" w14:textId="77777777" w:rsidR="00991CA6" w:rsidRPr="00B57B36" w:rsidRDefault="00991CA6" w:rsidP="00BA315C">
            <w:pPr>
              <w:pStyle w:val="CETBodytext"/>
              <w:ind w:right="-1"/>
              <w:jc w:val="center"/>
              <w:rPr>
                <w:rFonts w:cs="Arial"/>
                <w:szCs w:val="18"/>
                <w:lang w:val="en-GB"/>
              </w:rPr>
            </w:pPr>
            <w:r>
              <w:rPr>
                <w:rFonts w:cs="Arial"/>
                <w:szCs w:val="18"/>
                <w:lang w:val="en-GB"/>
              </w:rPr>
              <w:t>FC</w:t>
            </w:r>
          </w:p>
        </w:tc>
        <w:tc>
          <w:tcPr>
            <w:tcW w:w="1276" w:type="dxa"/>
            <w:tcBorders>
              <w:top w:val="single" w:sz="12" w:space="0" w:color="008000"/>
              <w:bottom w:val="single" w:sz="6" w:space="0" w:color="008000"/>
            </w:tcBorders>
            <w:shd w:val="clear" w:color="auto" w:fill="FFFFFF"/>
          </w:tcPr>
          <w:p w14:paraId="3BBA4407" w14:textId="77777777" w:rsidR="00991CA6" w:rsidRPr="00350015" w:rsidRDefault="00991CA6" w:rsidP="00BA315C">
            <w:pPr>
              <w:pStyle w:val="CETBodytext"/>
              <w:ind w:right="-1"/>
              <w:jc w:val="center"/>
              <w:rPr>
                <w:rFonts w:cs="Arial"/>
                <w:szCs w:val="18"/>
                <w:lang w:val="en-GB"/>
              </w:rPr>
            </w:pPr>
            <w:r>
              <w:rPr>
                <w:rFonts w:cs="Arial"/>
                <w:szCs w:val="18"/>
                <w:lang w:val="en-GB"/>
              </w:rPr>
              <w:t>HHV (MJ kg</w:t>
            </w:r>
            <w:r>
              <w:rPr>
                <w:rFonts w:cs="Arial"/>
                <w:szCs w:val="18"/>
                <w:vertAlign w:val="superscript"/>
                <w:lang w:val="en-GB"/>
              </w:rPr>
              <w:t>-1</w:t>
            </w:r>
            <w:r>
              <w:rPr>
                <w:rFonts w:cs="Arial"/>
                <w:szCs w:val="18"/>
                <w:lang w:val="en-GB"/>
              </w:rPr>
              <w:t>)</w:t>
            </w:r>
          </w:p>
        </w:tc>
        <w:tc>
          <w:tcPr>
            <w:tcW w:w="992" w:type="dxa"/>
            <w:tcBorders>
              <w:top w:val="single" w:sz="12" w:space="0" w:color="008000"/>
              <w:bottom w:val="single" w:sz="6" w:space="0" w:color="008000"/>
            </w:tcBorders>
            <w:shd w:val="clear" w:color="auto" w:fill="FFFFFF"/>
          </w:tcPr>
          <w:p w14:paraId="73D08360" w14:textId="0244B512" w:rsidR="00991CA6" w:rsidRPr="00B57B36" w:rsidRDefault="00991CA6" w:rsidP="00BA315C">
            <w:pPr>
              <w:pStyle w:val="CETBodytext"/>
              <w:ind w:right="-1"/>
              <w:jc w:val="center"/>
              <w:rPr>
                <w:rFonts w:cs="Arial"/>
                <w:szCs w:val="18"/>
                <w:lang w:val="en-GB"/>
              </w:rPr>
            </w:pPr>
            <w:r>
              <w:rPr>
                <w:rFonts w:cs="Arial"/>
                <w:szCs w:val="18"/>
                <w:lang w:val="en-GB"/>
              </w:rPr>
              <w:t>EY (%)</w:t>
            </w:r>
          </w:p>
        </w:tc>
        <w:tc>
          <w:tcPr>
            <w:tcW w:w="1134" w:type="dxa"/>
            <w:tcBorders>
              <w:top w:val="single" w:sz="12" w:space="0" w:color="008000"/>
              <w:bottom w:val="single" w:sz="6" w:space="0" w:color="008000"/>
            </w:tcBorders>
            <w:shd w:val="clear" w:color="auto" w:fill="FFFFFF"/>
          </w:tcPr>
          <w:p w14:paraId="214CFAFB" w14:textId="47AF9B5B" w:rsidR="00991CA6" w:rsidRPr="00B57B36" w:rsidRDefault="00991CA6" w:rsidP="00BA315C">
            <w:pPr>
              <w:pStyle w:val="CETBodytext"/>
              <w:ind w:right="-1"/>
              <w:jc w:val="center"/>
              <w:rPr>
                <w:rFonts w:cs="Arial"/>
                <w:szCs w:val="18"/>
                <w:lang w:val="en-GB"/>
              </w:rPr>
            </w:pPr>
            <w:r>
              <w:rPr>
                <w:rFonts w:cs="Arial"/>
                <w:szCs w:val="18"/>
                <w:lang w:val="en-GB"/>
              </w:rPr>
              <w:t>ESR (%)</w:t>
            </w:r>
          </w:p>
        </w:tc>
      </w:tr>
      <w:tr w:rsidR="00991CA6" w:rsidRPr="00B57B36" w14:paraId="761D0ED9" w14:textId="77777777" w:rsidTr="005E09A2">
        <w:tc>
          <w:tcPr>
            <w:tcW w:w="1134" w:type="dxa"/>
            <w:shd w:val="clear" w:color="auto" w:fill="FFFFFF"/>
          </w:tcPr>
          <w:p w14:paraId="74218122" w14:textId="3E3215FC" w:rsidR="00991CA6" w:rsidRDefault="00991CA6" w:rsidP="00B40785">
            <w:pPr>
              <w:pStyle w:val="CETBodytext"/>
              <w:jc w:val="left"/>
              <w:rPr>
                <w:lang w:val="en-GB"/>
              </w:rPr>
            </w:pPr>
            <w:r>
              <w:rPr>
                <w:lang w:val="en-GB"/>
              </w:rPr>
              <w:t xml:space="preserve">Raw </w:t>
            </w:r>
            <w:r w:rsidR="00782839">
              <w:rPr>
                <w:lang w:val="en-GB"/>
              </w:rPr>
              <w:t>FC</w:t>
            </w:r>
          </w:p>
        </w:tc>
        <w:tc>
          <w:tcPr>
            <w:tcW w:w="1134" w:type="dxa"/>
            <w:shd w:val="clear" w:color="auto" w:fill="FFFFFF"/>
          </w:tcPr>
          <w:p w14:paraId="4463EA51" w14:textId="605E8798" w:rsidR="00991CA6" w:rsidRPr="00B57B36" w:rsidRDefault="00BA315C" w:rsidP="00BA315C">
            <w:pPr>
              <w:pStyle w:val="CETBodytext"/>
              <w:jc w:val="center"/>
              <w:rPr>
                <w:lang w:val="en-GB"/>
              </w:rPr>
            </w:pPr>
            <w:r>
              <w:rPr>
                <w:lang w:val="en-GB"/>
              </w:rPr>
              <w:t>79.0</w:t>
            </w:r>
          </w:p>
        </w:tc>
        <w:tc>
          <w:tcPr>
            <w:tcW w:w="1134" w:type="dxa"/>
            <w:shd w:val="clear" w:color="auto" w:fill="FFFFFF"/>
          </w:tcPr>
          <w:p w14:paraId="4820EDBB" w14:textId="722D7A8D" w:rsidR="00991CA6" w:rsidRPr="00B57B36" w:rsidRDefault="00BA315C" w:rsidP="00BA315C">
            <w:pPr>
              <w:pStyle w:val="CETBodytext"/>
              <w:jc w:val="center"/>
              <w:rPr>
                <w:lang w:val="en-GB"/>
              </w:rPr>
            </w:pPr>
            <w:r>
              <w:rPr>
                <w:lang w:val="en-GB"/>
              </w:rPr>
              <w:t>7.8</w:t>
            </w:r>
          </w:p>
        </w:tc>
        <w:tc>
          <w:tcPr>
            <w:tcW w:w="1134" w:type="dxa"/>
            <w:shd w:val="clear" w:color="auto" w:fill="FFFFFF"/>
          </w:tcPr>
          <w:p w14:paraId="324D03A3" w14:textId="461BCF2D" w:rsidR="00991CA6" w:rsidRPr="00B57B36" w:rsidRDefault="00BA315C" w:rsidP="00BA315C">
            <w:pPr>
              <w:pStyle w:val="CETBodytext"/>
              <w:ind w:right="-1"/>
              <w:jc w:val="center"/>
              <w:rPr>
                <w:rFonts w:cs="Arial"/>
                <w:szCs w:val="18"/>
                <w:lang w:val="en-GB"/>
              </w:rPr>
            </w:pPr>
            <w:r>
              <w:rPr>
                <w:rFonts w:cs="Arial"/>
                <w:szCs w:val="18"/>
                <w:lang w:val="en-GB"/>
              </w:rPr>
              <w:t>13.2</w:t>
            </w:r>
          </w:p>
        </w:tc>
        <w:tc>
          <w:tcPr>
            <w:tcW w:w="1276" w:type="dxa"/>
            <w:shd w:val="clear" w:color="auto" w:fill="FFFFFF"/>
          </w:tcPr>
          <w:p w14:paraId="4F9162D9" w14:textId="7B9BD212" w:rsidR="00991CA6" w:rsidRPr="00B57B36" w:rsidRDefault="00BA315C" w:rsidP="00BA315C">
            <w:pPr>
              <w:pStyle w:val="CETBodytext"/>
              <w:ind w:right="-1"/>
              <w:jc w:val="center"/>
              <w:rPr>
                <w:rFonts w:cs="Arial"/>
                <w:szCs w:val="18"/>
                <w:lang w:val="en-GB"/>
              </w:rPr>
            </w:pPr>
            <w:r>
              <w:rPr>
                <w:rFonts w:cs="Arial"/>
                <w:szCs w:val="18"/>
                <w:lang w:val="en-GB"/>
              </w:rPr>
              <w:t>16.1</w:t>
            </w:r>
          </w:p>
        </w:tc>
        <w:tc>
          <w:tcPr>
            <w:tcW w:w="992" w:type="dxa"/>
            <w:shd w:val="clear" w:color="auto" w:fill="FFFFFF"/>
          </w:tcPr>
          <w:p w14:paraId="178A087C" w14:textId="77777777" w:rsidR="00991CA6" w:rsidRPr="00B57B36" w:rsidRDefault="00991CA6" w:rsidP="00BA315C">
            <w:pPr>
              <w:pStyle w:val="CETBodytext"/>
              <w:ind w:right="-1"/>
              <w:jc w:val="center"/>
              <w:rPr>
                <w:rFonts w:cs="Arial"/>
                <w:szCs w:val="18"/>
                <w:lang w:val="en-GB"/>
              </w:rPr>
            </w:pPr>
            <w:r>
              <w:rPr>
                <w:rFonts w:cs="Arial"/>
                <w:szCs w:val="18"/>
                <w:lang w:val="en-GB"/>
              </w:rPr>
              <w:t>100.0</w:t>
            </w:r>
          </w:p>
        </w:tc>
        <w:tc>
          <w:tcPr>
            <w:tcW w:w="1134" w:type="dxa"/>
            <w:shd w:val="clear" w:color="auto" w:fill="FFFFFF"/>
          </w:tcPr>
          <w:p w14:paraId="257434DF" w14:textId="06E1F6D9" w:rsidR="00991CA6" w:rsidRPr="00B57B36" w:rsidRDefault="00BA315C" w:rsidP="00BA315C">
            <w:pPr>
              <w:pStyle w:val="CETBodytext"/>
              <w:ind w:right="-1"/>
              <w:jc w:val="center"/>
              <w:rPr>
                <w:rFonts w:cs="Arial"/>
                <w:szCs w:val="18"/>
                <w:lang w:val="en-GB"/>
              </w:rPr>
            </w:pPr>
            <w:r>
              <w:rPr>
                <w:rFonts w:cs="Arial"/>
                <w:szCs w:val="18"/>
                <w:lang w:val="en-GB"/>
              </w:rPr>
              <w:t>-</w:t>
            </w:r>
          </w:p>
        </w:tc>
      </w:tr>
      <w:tr w:rsidR="00991CA6" w:rsidRPr="00B57B36" w14:paraId="5FCCA9D5" w14:textId="77777777" w:rsidTr="005E09A2">
        <w:tc>
          <w:tcPr>
            <w:tcW w:w="1134" w:type="dxa"/>
            <w:shd w:val="clear" w:color="auto" w:fill="FFFFFF"/>
          </w:tcPr>
          <w:p w14:paraId="53CF91BE" w14:textId="495F9E19" w:rsidR="00991CA6" w:rsidRPr="00B57B36" w:rsidRDefault="00606E01" w:rsidP="00B40785">
            <w:pPr>
              <w:pStyle w:val="CETBodytext"/>
              <w:jc w:val="left"/>
              <w:rPr>
                <w:lang w:val="en-GB"/>
              </w:rPr>
            </w:pPr>
            <w:r>
              <w:rPr>
                <w:lang w:val="en-GB"/>
              </w:rPr>
              <w:t>FC_180_R0</w:t>
            </w:r>
          </w:p>
        </w:tc>
        <w:tc>
          <w:tcPr>
            <w:tcW w:w="1134" w:type="dxa"/>
            <w:shd w:val="clear" w:color="auto" w:fill="FFFFFF"/>
          </w:tcPr>
          <w:p w14:paraId="5D170A0D" w14:textId="73C752EA" w:rsidR="00991CA6" w:rsidRPr="00B57B36" w:rsidRDefault="00BA315C" w:rsidP="00BA315C">
            <w:pPr>
              <w:pStyle w:val="CETBodytext"/>
              <w:jc w:val="center"/>
              <w:rPr>
                <w:lang w:val="en-GB"/>
              </w:rPr>
            </w:pPr>
            <w:r>
              <w:rPr>
                <w:lang w:val="en-GB"/>
              </w:rPr>
              <w:t>76.9</w:t>
            </w:r>
          </w:p>
        </w:tc>
        <w:tc>
          <w:tcPr>
            <w:tcW w:w="1134" w:type="dxa"/>
            <w:shd w:val="clear" w:color="auto" w:fill="FFFFFF"/>
          </w:tcPr>
          <w:p w14:paraId="57E9815E" w14:textId="4F68CEBC" w:rsidR="00991CA6" w:rsidRPr="00B57B36" w:rsidRDefault="0028626A" w:rsidP="00BA315C">
            <w:pPr>
              <w:pStyle w:val="CETBodytext"/>
              <w:jc w:val="center"/>
              <w:rPr>
                <w:lang w:val="en-GB"/>
              </w:rPr>
            </w:pPr>
            <w:r>
              <w:rPr>
                <w:lang w:val="en-GB"/>
              </w:rPr>
              <w:t>5.7</w:t>
            </w:r>
          </w:p>
        </w:tc>
        <w:tc>
          <w:tcPr>
            <w:tcW w:w="1134" w:type="dxa"/>
            <w:shd w:val="clear" w:color="auto" w:fill="FFFFFF"/>
          </w:tcPr>
          <w:p w14:paraId="3414DB86" w14:textId="4BE7CB5B" w:rsidR="00991CA6" w:rsidRPr="00B57B36" w:rsidRDefault="00143F3D" w:rsidP="00BA315C">
            <w:pPr>
              <w:pStyle w:val="CETBodytext"/>
              <w:ind w:right="-1"/>
              <w:jc w:val="center"/>
              <w:rPr>
                <w:rFonts w:cs="Arial"/>
                <w:szCs w:val="18"/>
                <w:lang w:val="en-GB"/>
              </w:rPr>
            </w:pPr>
            <w:r>
              <w:rPr>
                <w:rFonts w:cs="Arial"/>
                <w:szCs w:val="18"/>
                <w:lang w:val="en-GB"/>
              </w:rPr>
              <w:t>17.4</w:t>
            </w:r>
          </w:p>
        </w:tc>
        <w:tc>
          <w:tcPr>
            <w:tcW w:w="1276" w:type="dxa"/>
            <w:shd w:val="clear" w:color="auto" w:fill="FFFFFF"/>
          </w:tcPr>
          <w:p w14:paraId="1F367E7F" w14:textId="27CBDEAE" w:rsidR="00991CA6" w:rsidRPr="00B57B36" w:rsidRDefault="00D408BB" w:rsidP="00BA315C">
            <w:pPr>
              <w:pStyle w:val="CETBodytext"/>
              <w:ind w:right="-1"/>
              <w:jc w:val="center"/>
              <w:rPr>
                <w:rFonts w:cs="Arial"/>
                <w:szCs w:val="18"/>
                <w:lang w:val="en-GB"/>
              </w:rPr>
            </w:pPr>
            <w:r>
              <w:rPr>
                <w:rFonts w:cs="Arial"/>
                <w:szCs w:val="18"/>
                <w:lang w:val="en-GB"/>
              </w:rPr>
              <w:t>19.7</w:t>
            </w:r>
          </w:p>
        </w:tc>
        <w:tc>
          <w:tcPr>
            <w:tcW w:w="992" w:type="dxa"/>
            <w:shd w:val="clear" w:color="auto" w:fill="FFFFFF"/>
          </w:tcPr>
          <w:p w14:paraId="089F8750" w14:textId="666AF05C" w:rsidR="00991CA6" w:rsidRPr="00B57B36" w:rsidRDefault="00EA0FB5" w:rsidP="00BA315C">
            <w:pPr>
              <w:pStyle w:val="CETBodytext"/>
              <w:ind w:right="-1"/>
              <w:jc w:val="center"/>
              <w:rPr>
                <w:rFonts w:cs="Arial"/>
                <w:szCs w:val="18"/>
                <w:lang w:val="en-GB"/>
              </w:rPr>
            </w:pPr>
            <w:r>
              <w:rPr>
                <w:rFonts w:cs="Arial"/>
                <w:szCs w:val="18"/>
                <w:lang w:val="en-GB"/>
              </w:rPr>
              <w:t>63.6</w:t>
            </w:r>
          </w:p>
        </w:tc>
        <w:tc>
          <w:tcPr>
            <w:tcW w:w="1134" w:type="dxa"/>
            <w:shd w:val="clear" w:color="auto" w:fill="FFFFFF"/>
          </w:tcPr>
          <w:p w14:paraId="6B16ABE0" w14:textId="302D8905" w:rsidR="00991CA6" w:rsidRPr="00B57B36" w:rsidRDefault="00756F51" w:rsidP="00BA315C">
            <w:pPr>
              <w:pStyle w:val="CETBodytext"/>
              <w:ind w:right="-1"/>
              <w:jc w:val="center"/>
              <w:rPr>
                <w:rFonts w:cs="Arial"/>
                <w:szCs w:val="18"/>
                <w:lang w:val="en-GB"/>
              </w:rPr>
            </w:pPr>
            <w:r>
              <w:rPr>
                <w:rFonts w:cs="Arial"/>
                <w:szCs w:val="18"/>
                <w:lang w:val="en-GB"/>
              </w:rPr>
              <w:t>50.5</w:t>
            </w:r>
          </w:p>
        </w:tc>
      </w:tr>
      <w:tr w:rsidR="00991CA6" w:rsidRPr="00B57B36" w14:paraId="6C9D949E" w14:textId="77777777" w:rsidTr="005E09A2">
        <w:tc>
          <w:tcPr>
            <w:tcW w:w="1134" w:type="dxa"/>
            <w:shd w:val="clear" w:color="auto" w:fill="FFFFFF"/>
          </w:tcPr>
          <w:p w14:paraId="499C3B27" w14:textId="772261A5" w:rsidR="00991CA6" w:rsidRPr="00B57B36" w:rsidRDefault="00606E01" w:rsidP="00B40785">
            <w:pPr>
              <w:pStyle w:val="CETBodytext"/>
              <w:ind w:right="-1"/>
              <w:jc w:val="left"/>
              <w:rPr>
                <w:rFonts w:cs="Arial"/>
                <w:szCs w:val="18"/>
                <w:lang w:val="en-GB"/>
              </w:rPr>
            </w:pPr>
            <w:r>
              <w:rPr>
                <w:lang w:val="en-GB"/>
              </w:rPr>
              <w:t>FC_180_R1</w:t>
            </w:r>
          </w:p>
        </w:tc>
        <w:tc>
          <w:tcPr>
            <w:tcW w:w="1134" w:type="dxa"/>
            <w:shd w:val="clear" w:color="auto" w:fill="FFFFFF"/>
          </w:tcPr>
          <w:p w14:paraId="09961ACB" w14:textId="57B37F79" w:rsidR="00991CA6" w:rsidRPr="00B57B36" w:rsidRDefault="00BA315C" w:rsidP="00BA315C">
            <w:pPr>
              <w:pStyle w:val="CETBodytext"/>
              <w:ind w:right="-1"/>
              <w:jc w:val="center"/>
              <w:rPr>
                <w:rFonts w:cs="Arial"/>
                <w:szCs w:val="18"/>
                <w:lang w:val="en-GB"/>
              </w:rPr>
            </w:pPr>
            <w:r>
              <w:rPr>
                <w:rFonts w:cs="Arial"/>
                <w:szCs w:val="18"/>
                <w:lang w:val="en-GB"/>
              </w:rPr>
              <w:t>75.1</w:t>
            </w:r>
          </w:p>
        </w:tc>
        <w:tc>
          <w:tcPr>
            <w:tcW w:w="1134" w:type="dxa"/>
            <w:shd w:val="clear" w:color="auto" w:fill="FFFFFF"/>
          </w:tcPr>
          <w:p w14:paraId="5E8E8622" w14:textId="796B5156" w:rsidR="00991CA6" w:rsidRPr="00B57B36" w:rsidRDefault="0028626A" w:rsidP="00BA315C">
            <w:pPr>
              <w:pStyle w:val="CETBodytext"/>
              <w:ind w:right="-1"/>
              <w:jc w:val="center"/>
              <w:rPr>
                <w:rFonts w:cs="Arial"/>
                <w:szCs w:val="18"/>
                <w:lang w:val="en-GB"/>
              </w:rPr>
            </w:pPr>
            <w:r>
              <w:rPr>
                <w:rFonts w:cs="Arial"/>
                <w:szCs w:val="18"/>
                <w:lang w:val="en-GB"/>
              </w:rPr>
              <w:t>6.7</w:t>
            </w:r>
          </w:p>
        </w:tc>
        <w:tc>
          <w:tcPr>
            <w:tcW w:w="1134" w:type="dxa"/>
            <w:shd w:val="clear" w:color="auto" w:fill="FFFFFF"/>
          </w:tcPr>
          <w:p w14:paraId="1CBC9C86" w14:textId="0F7B8A98" w:rsidR="00991CA6" w:rsidRPr="00B57B36" w:rsidRDefault="00143F3D" w:rsidP="00BA315C">
            <w:pPr>
              <w:pStyle w:val="CETBodytext"/>
              <w:ind w:right="-1"/>
              <w:jc w:val="center"/>
              <w:rPr>
                <w:rFonts w:cs="Arial"/>
                <w:szCs w:val="18"/>
                <w:lang w:val="en-GB"/>
              </w:rPr>
            </w:pPr>
            <w:r>
              <w:rPr>
                <w:rFonts w:cs="Arial"/>
                <w:szCs w:val="18"/>
                <w:lang w:val="en-GB"/>
              </w:rPr>
              <w:t>18.2</w:t>
            </w:r>
          </w:p>
        </w:tc>
        <w:tc>
          <w:tcPr>
            <w:tcW w:w="1276" w:type="dxa"/>
            <w:shd w:val="clear" w:color="auto" w:fill="FFFFFF"/>
          </w:tcPr>
          <w:p w14:paraId="0ACD6FD0" w14:textId="0FE292D8" w:rsidR="00991CA6" w:rsidRPr="00B57B36" w:rsidRDefault="00EA0FB5" w:rsidP="00BA315C">
            <w:pPr>
              <w:pStyle w:val="CETBodytext"/>
              <w:ind w:right="-1"/>
              <w:jc w:val="center"/>
              <w:rPr>
                <w:rFonts w:cs="Arial"/>
                <w:szCs w:val="18"/>
                <w:lang w:val="en-GB"/>
              </w:rPr>
            </w:pPr>
            <w:r>
              <w:rPr>
                <w:rFonts w:cs="Arial"/>
                <w:szCs w:val="18"/>
                <w:lang w:val="en-GB"/>
              </w:rPr>
              <w:t>19</w:t>
            </w:r>
            <w:r w:rsidR="00991CA6">
              <w:rPr>
                <w:rFonts w:cs="Arial"/>
                <w:szCs w:val="18"/>
                <w:lang w:val="en-GB"/>
              </w:rPr>
              <w:t>.7</w:t>
            </w:r>
          </w:p>
        </w:tc>
        <w:tc>
          <w:tcPr>
            <w:tcW w:w="992" w:type="dxa"/>
            <w:shd w:val="clear" w:color="auto" w:fill="FFFFFF"/>
          </w:tcPr>
          <w:p w14:paraId="06473BB5" w14:textId="558F7DD6" w:rsidR="00991CA6" w:rsidRPr="00B57B36" w:rsidRDefault="00EA0FB5" w:rsidP="00BA315C">
            <w:pPr>
              <w:pStyle w:val="CETBodytext"/>
              <w:ind w:right="-1"/>
              <w:jc w:val="center"/>
              <w:rPr>
                <w:rFonts w:cs="Arial"/>
                <w:szCs w:val="18"/>
                <w:lang w:val="en-GB"/>
              </w:rPr>
            </w:pPr>
            <w:r>
              <w:rPr>
                <w:rFonts w:cs="Arial"/>
                <w:szCs w:val="18"/>
                <w:lang w:val="en-GB"/>
              </w:rPr>
              <w:t>73.0</w:t>
            </w:r>
          </w:p>
        </w:tc>
        <w:tc>
          <w:tcPr>
            <w:tcW w:w="1134" w:type="dxa"/>
            <w:shd w:val="clear" w:color="auto" w:fill="FFFFFF"/>
          </w:tcPr>
          <w:p w14:paraId="75CA4A9E" w14:textId="1A50C01F" w:rsidR="00991CA6" w:rsidRPr="00B57B36" w:rsidRDefault="00756F51" w:rsidP="00BA315C">
            <w:pPr>
              <w:pStyle w:val="CETBodytext"/>
              <w:ind w:right="-1"/>
              <w:jc w:val="center"/>
              <w:rPr>
                <w:rFonts w:cs="Arial"/>
                <w:szCs w:val="18"/>
                <w:lang w:val="en-GB"/>
              </w:rPr>
            </w:pPr>
            <w:r>
              <w:rPr>
                <w:rFonts w:cs="Arial"/>
                <w:szCs w:val="18"/>
                <w:lang w:val="en-GB"/>
              </w:rPr>
              <w:t>72.8</w:t>
            </w:r>
          </w:p>
        </w:tc>
      </w:tr>
      <w:tr w:rsidR="00991CA6" w:rsidRPr="00B57B36" w14:paraId="01615D03" w14:textId="77777777" w:rsidTr="005E09A2">
        <w:tc>
          <w:tcPr>
            <w:tcW w:w="1134" w:type="dxa"/>
            <w:shd w:val="clear" w:color="auto" w:fill="FFFFFF"/>
          </w:tcPr>
          <w:p w14:paraId="745B7019" w14:textId="534E6CC5" w:rsidR="00991CA6" w:rsidRDefault="00606E01" w:rsidP="00B40785">
            <w:pPr>
              <w:pStyle w:val="CETBodytext"/>
              <w:ind w:right="-1"/>
              <w:jc w:val="left"/>
              <w:rPr>
                <w:rFonts w:cs="Arial"/>
                <w:szCs w:val="18"/>
                <w:lang w:val="en-GB"/>
              </w:rPr>
            </w:pPr>
            <w:r>
              <w:rPr>
                <w:lang w:val="en-GB"/>
              </w:rPr>
              <w:t>FC_180_R2</w:t>
            </w:r>
          </w:p>
        </w:tc>
        <w:tc>
          <w:tcPr>
            <w:tcW w:w="1134" w:type="dxa"/>
            <w:shd w:val="clear" w:color="auto" w:fill="FFFFFF"/>
          </w:tcPr>
          <w:p w14:paraId="72E87547" w14:textId="3376C638" w:rsidR="00991CA6" w:rsidRPr="00B57B36" w:rsidRDefault="00BA315C" w:rsidP="00BA315C">
            <w:pPr>
              <w:pStyle w:val="CETBodytext"/>
              <w:ind w:right="-1"/>
              <w:jc w:val="center"/>
              <w:rPr>
                <w:rFonts w:cs="Arial"/>
                <w:szCs w:val="18"/>
                <w:lang w:val="en-GB"/>
              </w:rPr>
            </w:pPr>
            <w:r>
              <w:rPr>
                <w:rFonts w:cs="Arial"/>
                <w:szCs w:val="18"/>
                <w:lang w:val="en-GB"/>
              </w:rPr>
              <w:t>74.2</w:t>
            </w:r>
          </w:p>
        </w:tc>
        <w:tc>
          <w:tcPr>
            <w:tcW w:w="1134" w:type="dxa"/>
            <w:shd w:val="clear" w:color="auto" w:fill="FFFFFF"/>
          </w:tcPr>
          <w:p w14:paraId="5AE80AEB" w14:textId="46C63670" w:rsidR="00991CA6" w:rsidRPr="00B57B36" w:rsidRDefault="0028626A" w:rsidP="00BA315C">
            <w:pPr>
              <w:pStyle w:val="CETBodytext"/>
              <w:ind w:right="-1"/>
              <w:jc w:val="center"/>
              <w:rPr>
                <w:rFonts w:cs="Arial"/>
                <w:szCs w:val="18"/>
                <w:lang w:val="en-GB"/>
              </w:rPr>
            </w:pPr>
            <w:r>
              <w:rPr>
                <w:rFonts w:cs="Arial"/>
                <w:szCs w:val="18"/>
                <w:lang w:val="en-GB"/>
              </w:rPr>
              <w:t>7.6</w:t>
            </w:r>
          </w:p>
        </w:tc>
        <w:tc>
          <w:tcPr>
            <w:tcW w:w="1134" w:type="dxa"/>
            <w:shd w:val="clear" w:color="auto" w:fill="FFFFFF"/>
          </w:tcPr>
          <w:p w14:paraId="12F7C964" w14:textId="0F6C9A4E" w:rsidR="00991CA6" w:rsidRPr="00B57B36" w:rsidRDefault="00143F3D" w:rsidP="00BA315C">
            <w:pPr>
              <w:pStyle w:val="CETBodytext"/>
              <w:ind w:right="-1"/>
              <w:jc w:val="center"/>
              <w:rPr>
                <w:rFonts w:cs="Arial"/>
                <w:szCs w:val="18"/>
                <w:lang w:val="en-GB"/>
              </w:rPr>
            </w:pPr>
            <w:r>
              <w:rPr>
                <w:rFonts w:cs="Arial"/>
                <w:szCs w:val="18"/>
                <w:lang w:val="en-GB"/>
              </w:rPr>
              <w:t>18.2</w:t>
            </w:r>
          </w:p>
        </w:tc>
        <w:tc>
          <w:tcPr>
            <w:tcW w:w="1276" w:type="dxa"/>
            <w:shd w:val="clear" w:color="auto" w:fill="FFFFFF"/>
          </w:tcPr>
          <w:p w14:paraId="46F5CA02" w14:textId="5A938441" w:rsidR="00991CA6" w:rsidRPr="00B57B36" w:rsidRDefault="00EA0FB5" w:rsidP="00BA315C">
            <w:pPr>
              <w:pStyle w:val="CETBodytext"/>
              <w:ind w:right="-1"/>
              <w:jc w:val="center"/>
              <w:rPr>
                <w:rFonts w:cs="Arial"/>
                <w:szCs w:val="18"/>
                <w:lang w:val="en-GB"/>
              </w:rPr>
            </w:pPr>
            <w:r>
              <w:rPr>
                <w:rFonts w:cs="Arial"/>
                <w:szCs w:val="18"/>
                <w:lang w:val="en-GB"/>
              </w:rPr>
              <w:t>19.8</w:t>
            </w:r>
          </w:p>
        </w:tc>
        <w:tc>
          <w:tcPr>
            <w:tcW w:w="992" w:type="dxa"/>
            <w:shd w:val="clear" w:color="auto" w:fill="FFFFFF"/>
          </w:tcPr>
          <w:p w14:paraId="5E538FE8" w14:textId="09423C06" w:rsidR="00991CA6" w:rsidRPr="00B57B36" w:rsidRDefault="00EA0FB5" w:rsidP="00BA315C">
            <w:pPr>
              <w:pStyle w:val="CETBodytext"/>
              <w:ind w:right="-1"/>
              <w:jc w:val="center"/>
              <w:rPr>
                <w:rFonts w:cs="Arial"/>
                <w:szCs w:val="18"/>
                <w:lang w:val="en-GB"/>
              </w:rPr>
            </w:pPr>
            <w:r>
              <w:rPr>
                <w:rFonts w:cs="Arial"/>
                <w:szCs w:val="18"/>
                <w:lang w:val="en-GB"/>
              </w:rPr>
              <w:t>78.2</w:t>
            </w:r>
          </w:p>
        </w:tc>
        <w:tc>
          <w:tcPr>
            <w:tcW w:w="1134" w:type="dxa"/>
            <w:shd w:val="clear" w:color="auto" w:fill="FFFFFF"/>
          </w:tcPr>
          <w:p w14:paraId="46C4A7AC" w14:textId="0F0DE9E6" w:rsidR="00991CA6" w:rsidRPr="00B57B36" w:rsidRDefault="00756F51" w:rsidP="00BA315C">
            <w:pPr>
              <w:pStyle w:val="CETBodytext"/>
              <w:ind w:right="-1"/>
              <w:jc w:val="center"/>
              <w:rPr>
                <w:rFonts w:cs="Arial"/>
                <w:szCs w:val="18"/>
                <w:lang w:val="en-GB"/>
              </w:rPr>
            </w:pPr>
            <w:r>
              <w:rPr>
                <w:rFonts w:cs="Arial"/>
                <w:szCs w:val="18"/>
                <w:lang w:val="en-GB"/>
              </w:rPr>
              <w:t>85.1</w:t>
            </w:r>
          </w:p>
        </w:tc>
      </w:tr>
      <w:tr w:rsidR="00991CA6" w:rsidRPr="00B57B36" w14:paraId="7C48B65D" w14:textId="77777777" w:rsidTr="005E09A2">
        <w:tc>
          <w:tcPr>
            <w:tcW w:w="1134" w:type="dxa"/>
            <w:shd w:val="clear" w:color="auto" w:fill="FFFFFF"/>
          </w:tcPr>
          <w:p w14:paraId="0F39E24E" w14:textId="7D1FB257" w:rsidR="00991CA6" w:rsidRDefault="00606E01" w:rsidP="00B40785">
            <w:pPr>
              <w:pStyle w:val="CETBodytext"/>
              <w:ind w:right="-1"/>
              <w:jc w:val="left"/>
              <w:rPr>
                <w:rFonts w:cs="Arial"/>
                <w:szCs w:val="18"/>
                <w:lang w:val="en-GB"/>
              </w:rPr>
            </w:pPr>
            <w:r>
              <w:rPr>
                <w:lang w:val="en-GB"/>
              </w:rPr>
              <w:t>FC_180_R3</w:t>
            </w:r>
          </w:p>
        </w:tc>
        <w:tc>
          <w:tcPr>
            <w:tcW w:w="1134" w:type="dxa"/>
            <w:shd w:val="clear" w:color="auto" w:fill="FFFFFF"/>
          </w:tcPr>
          <w:p w14:paraId="3AAB963D" w14:textId="2C5FF47F" w:rsidR="00991CA6" w:rsidRPr="00B57B36" w:rsidRDefault="00BA315C" w:rsidP="00BA315C">
            <w:pPr>
              <w:pStyle w:val="CETBodytext"/>
              <w:ind w:right="-1"/>
              <w:jc w:val="center"/>
              <w:rPr>
                <w:rFonts w:cs="Arial"/>
                <w:szCs w:val="18"/>
                <w:lang w:val="en-GB"/>
              </w:rPr>
            </w:pPr>
            <w:r>
              <w:rPr>
                <w:rFonts w:cs="Arial"/>
                <w:szCs w:val="18"/>
                <w:lang w:val="en-GB"/>
              </w:rPr>
              <w:t>75.2</w:t>
            </w:r>
          </w:p>
        </w:tc>
        <w:tc>
          <w:tcPr>
            <w:tcW w:w="1134" w:type="dxa"/>
            <w:shd w:val="clear" w:color="auto" w:fill="FFFFFF"/>
          </w:tcPr>
          <w:p w14:paraId="63AF8793" w14:textId="0DF91B00" w:rsidR="00991CA6" w:rsidRPr="00B57B36" w:rsidRDefault="0028626A" w:rsidP="00BA315C">
            <w:pPr>
              <w:pStyle w:val="CETBodytext"/>
              <w:ind w:right="-1"/>
              <w:jc w:val="center"/>
              <w:rPr>
                <w:rFonts w:cs="Arial"/>
                <w:szCs w:val="18"/>
                <w:lang w:val="en-GB"/>
              </w:rPr>
            </w:pPr>
            <w:r>
              <w:rPr>
                <w:rFonts w:cs="Arial"/>
                <w:szCs w:val="18"/>
                <w:lang w:val="en-GB"/>
              </w:rPr>
              <w:t>7.5</w:t>
            </w:r>
          </w:p>
        </w:tc>
        <w:tc>
          <w:tcPr>
            <w:tcW w:w="1134" w:type="dxa"/>
            <w:shd w:val="clear" w:color="auto" w:fill="FFFFFF"/>
          </w:tcPr>
          <w:p w14:paraId="5FF0F9A7" w14:textId="3FC83438" w:rsidR="00991CA6" w:rsidRPr="00B57B36" w:rsidRDefault="00143F3D" w:rsidP="00BA315C">
            <w:pPr>
              <w:pStyle w:val="CETBodytext"/>
              <w:ind w:right="-1"/>
              <w:jc w:val="center"/>
              <w:rPr>
                <w:rFonts w:cs="Arial"/>
                <w:szCs w:val="18"/>
                <w:lang w:val="en-GB"/>
              </w:rPr>
            </w:pPr>
            <w:r>
              <w:rPr>
                <w:rFonts w:cs="Arial"/>
                <w:szCs w:val="18"/>
                <w:lang w:val="en-GB"/>
              </w:rPr>
              <w:t>17.3</w:t>
            </w:r>
          </w:p>
        </w:tc>
        <w:tc>
          <w:tcPr>
            <w:tcW w:w="1276" w:type="dxa"/>
            <w:shd w:val="clear" w:color="auto" w:fill="FFFFFF"/>
          </w:tcPr>
          <w:p w14:paraId="3AA6610C" w14:textId="4FC74105" w:rsidR="00991CA6" w:rsidRPr="00B57B36" w:rsidRDefault="00EA0FB5" w:rsidP="00BA315C">
            <w:pPr>
              <w:pStyle w:val="CETBodytext"/>
              <w:ind w:right="-1"/>
              <w:jc w:val="center"/>
              <w:rPr>
                <w:rFonts w:cs="Arial"/>
                <w:szCs w:val="18"/>
                <w:lang w:val="en-GB"/>
              </w:rPr>
            </w:pPr>
            <w:r>
              <w:rPr>
                <w:rFonts w:cs="Arial"/>
                <w:szCs w:val="18"/>
                <w:lang w:val="en-GB"/>
              </w:rPr>
              <w:t>19.8</w:t>
            </w:r>
          </w:p>
        </w:tc>
        <w:tc>
          <w:tcPr>
            <w:tcW w:w="992" w:type="dxa"/>
            <w:shd w:val="clear" w:color="auto" w:fill="FFFFFF"/>
          </w:tcPr>
          <w:p w14:paraId="1BE5D9FC" w14:textId="62E0324A" w:rsidR="00991CA6" w:rsidRPr="00B57B36" w:rsidRDefault="00EA0FB5" w:rsidP="00BA315C">
            <w:pPr>
              <w:pStyle w:val="CETBodytext"/>
              <w:ind w:right="-1"/>
              <w:jc w:val="center"/>
              <w:rPr>
                <w:rFonts w:cs="Arial"/>
                <w:szCs w:val="18"/>
                <w:lang w:val="en-GB"/>
              </w:rPr>
            </w:pPr>
            <w:r>
              <w:rPr>
                <w:rFonts w:cs="Arial"/>
                <w:szCs w:val="18"/>
                <w:lang w:val="en-GB"/>
              </w:rPr>
              <w:t>78.8</w:t>
            </w:r>
          </w:p>
        </w:tc>
        <w:tc>
          <w:tcPr>
            <w:tcW w:w="1134" w:type="dxa"/>
            <w:shd w:val="clear" w:color="auto" w:fill="FFFFFF"/>
          </w:tcPr>
          <w:p w14:paraId="5BE85D1B" w14:textId="6A0D8E5E" w:rsidR="00991CA6" w:rsidRPr="00B57B36" w:rsidRDefault="00756F51" w:rsidP="00BA315C">
            <w:pPr>
              <w:pStyle w:val="CETBodytext"/>
              <w:ind w:right="-1"/>
              <w:jc w:val="center"/>
              <w:rPr>
                <w:rFonts w:cs="Arial"/>
                <w:szCs w:val="18"/>
                <w:lang w:val="en-GB"/>
              </w:rPr>
            </w:pPr>
            <w:r>
              <w:rPr>
                <w:rFonts w:cs="Arial"/>
                <w:szCs w:val="18"/>
                <w:lang w:val="en-GB"/>
              </w:rPr>
              <w:t>86.5</w:t>
            </w:r>
          </w:p>
        </w:tc>
      </w:tr>
      <w:tr w:rsidR="00991CA6" w:rsidRPr="00B57B36" w14:paraId="0547E028" w14:textId="77777777" w:rsidTr="005E09A2">
        <w:tc>
          <w:tcPr>
            <w:tcW w:w="1134" w:type="dxa"/>
            <w:shd w:val="clear" w:color="auto" w:fill="FFFFFF"/>
          </w:tcPr>
          <w:p w14:paraId="0C88FAA9" w14:textId="4597C663" w:rsidR="00991CA6" w:rsidRDefault="00606E01" w:rsidP="00B40785">
            <w:pPr>
              <w:pStyle w:val="CETBodytext"/>
              <w:ind w:right="-1"/>
              <w:jc w:val="left"/>
              <w:rPr>
                <w:rFonts w:cs="Arial"/>
                <w:szCs w:val="18"/>
                <w:lang w:val="en-GB"/>
              </w:rPr>
            </w:pPr>
            <w:r>
              <w:rPr>
                <w:lang w:val="en-GB"/>
              </w:rPr>
              <w:t>FC_180_R4</w:t>
            </w:r>
          </w:p>
        </w:tc>
        <w:tc>
          <w:tcPr>
            <w:tcW w:w="1134" w:type="dxa"/>
            <w:shd w:val="clear" w:color="auto" w:fill="FFFFFF"/>
          </w:tcPr>
          <w:p w14:paraId="7E04D605" w14:textId="6A61680B" w:rsidR="00991CA6" w:rsidRPr="00B57B36" w:rsidRDefault="00BA315C" w:rsidP="00BA315C">
            <w:pPr>
              <w:pStyle w:val="CETBodytext"/>
              <w:ind w:right="-1"/>
              <w:jc w:val="center"/>
              <w:rPr>
                <w:rFonts w:cs="Arial"/>
                <w:szCs w:val="18"/>
                <w:lang w:val="en-GB"/>
              </w:rPr>
            </w:pPr>
            <w:r>
              <w:rPr>
                <w:rFonts w:cs="Arial"/>
                <w:szCs w:val="18"/>
                <w:lang w:val="en-GB"/>
              </w:rPr>
              <w:t>74.2</w:t>
            </w:r>
          </w:p>
        </w:tc>
        <w:tc>
          <w:tcPr>
            <w:tcW w:w="1134" w:type="dxa"/>
            <w:shd w:val="clear" w:color="auto" w:fill="FFFFFF"/>
          </w:tcPr>
          <w:p w14:paraId="1A93799A" w14:textId="63FF3CD1" w:rsidR="00991CA6" w:rsidRPr="00B57B36" w:rsidRDefault="0028626A" w:rsidP="00BA315C">
            <w:pPr>
              <w:pStyle w:val="CETBodytext"/>
              <w:ind w:right="-1"/>
              <w:jc w:val="center"/>
              <w:rPr>
                <w:rFonts w:cs="Arial"/>
                <w:szCs w:val="18"/>
                <w:lang w:val="en-GB"/>
              </w:rPr>
            </w:pPr>
            <w:r>
              <w:rPr>
                <w:rFonts w:cs="Arial"/>
                <w:szCs w:val="18"/>
                <w:lang w:val="en-GB"/>
              </w:rPr>
              <w:t>7</w:t>
            </w:r>
            <w:r w:rsidR="00742078">
              <w:rPr>
                <w:rFonts w:cs="Arial"/>
                <w:szCs w:val="18"/>
                <w:lang w:val="en-GB"/>
              </w:rPr>
              <w:t>.0</w:t>
            </w:r>
          </w:p>
        </w:tc>
        <w:tc>
          <w:tcPr>
            <w:tcW w:w="1134" w:type="dxa"/>
            <w:shd w:val="clear" w:color="auto" w:fill="FFFFFF"/>
          </w:tcPr>
          <w:p w14:paraId="26ACBF1F" w14:textId="49042631" w:rsidR="00991CA6" w:rsidRPr="00B57B36" w:rsidRDefault="00143F3D" w:rsidP="00BA315C">
            <w:pPr>
              <w:pStyle w:val="CETBodytext"/>
              <w:ind w:right="-1"/>
              <w:jc w:val="center"/>
              <w:rPr>
                <w:rFonts w:cs="Arial"/>
                <w:szCs w:val="18"/>
                <w:lang w:val="en-GB"/>
              </w:rPr>
            </w:pPr>
            <w:r>
              <w:rPr>
                <w:rFonts w:cs="Arial"/>
                <w:szCs w:val="18"/>
                <w:lang w:val="en-GB"/>
              </w:rPr>
              <w:t>18.8</w:t>
            </w:r>
          </w:p>
        </w:tc>
        <w:tc>
          <w:tcPr>
            <w:tcW w:w="1276" w:type="dxa"/>
            <w:shd w:val="clear" w:color="auto" w:fill="FFFFFF"/>
          </w:tcPr>
          <w:p w14:paraId="4C2CC840" w14:textId="33CDDF17" w:rsidR="00991CA6" w:rsidRPr="00B57B36" w:rsidRDefault="00EA0FB5" w:rsidP="00BA315C">
            <w:pPr>
              <w:pStyle w:val="CETBodytext"/>
              <w:ind w:right="-1"/>
              <w:jc w:val="center"/>
              <w:rPr>
                <w:rFonts w:cs="Arial"/>
                <w:szCs w:val="18"/>
                <w:lang w:val="en-GB"/>
              </w:rPr>
            </w:pPr>
            <w:r>
              <w:rPr>
                <w:rFonts w:cs="Arial"/>
                <w:szCs w:val="18"/>
                <w:lang w:val="en-GB"/>
              </w:rPr>
              <w:t>19.7</w:t>
            </w:r>
          </w:p>
        </w:tc>
        <w:tc>
          <w:tcPr>
            <w:tcW w:w="992" w:type="dxa"/>
            <w:shd w:val="clear" w:color="auto" w:fill="FFFFFF"/>
          </w:tcPr>
          <w:p w14:paraId="6D0B1DBB" w14:textId="763533D3" w:rsidR="00991CA6" w:rsidRPr="00B57B36" w:rsidRDefault="00EA0FB5" w:rsidP="00BA315C">
            <w:pPr>
              <w:pStyle w:val="CETBodytext"/>
              <w:ind w:right="-1"/>
              <w:jc w:val="center"/>
              <w:rPr>
                <w:rFonts w:cs="Arial"/>
                <w:szCs w:val="18"/>
                <w:lang w:val="en-GB"/>
              </w:rPr>
            </w:pPr>
            <w:r>
              <w:rPr>
                <w:rFonts w:cs="Arial"/>
                <w:szCs w:val="18"/>
                <w:lang w:val="en-GB"/>
              </w:rPr>
              <w:t>78.3</w:t>
            </w:r>
          </w:p>
        </w:tc>
        <w:tc>
          <w:tcPr>
            <w:tcW w:w="1134" w:type="dxa"/>
            <w:shd w:val="clear" w:color="auto" w:fill="FFFFFF"/>
          </w:tcPr>
          <w:p w14:paraId="5E809102" w14:textId="30B8957E" w:rsidR="00991CA6" w:rsidRPr="00B57B36" w:rsidRDefault="00756F51" w:rsidP="00BA315C">
            <w:pPr>
              <w:pStyle w:val="CETBodytext"/>
              <w:ind w:right="-1"/>
              <w:jc w:val="center"/>
              <w:rPr>
                <w:rFonts w:cs="Arial"/>
                <w:szCs w:val="18"/>
                <w:lang w:val="en-GB"/>
              </w:rPr>
            </w:pPr>
            <w:r>
              <w:rPr>
                <w:rFonts w:cs="Arial"/>
                <w:szCs w:val="18"/>
                <w:lang w:val="en-GB"/>
              </w:rPr>
              <w:t>85.3</w:t>
            </w:r>
          </w:p>
        </w:tc>
      </w:tr>
      <w:tr w:rsidR="00782839" w:rsidRPr="00B57B36" w14:paraId="4120A3A0" w14:textId="77777777" w:rsidTr="005E09A2">
        <w:tc>
          <w:tcPr>
            <w:tcW w:w="1134" w:type="dxa"/>
            <w:shd w:val="clear" w:color="auto" w:fill="FFFFFF"/>
          </w:tcPr>
          <w:p w14:paraId="48D2C438" w14:textId="7FFD9662" w:rsidR="00782839" w:rsidRDefault="00606E01" w:rsidP="00B40785">
            <w:pPr>
              <w:pStyle w:val="CETBodytext"/>
              <w:ind w:right="-1"/>
              <w:jc w:val="left"/>
              <w:rPr>
                <w:rFonts w:cs="Arial"/>
                <w:szCs w:val="18"/>
                <w:lang w:val="en-GB"/>
              </w:rPr>
            </w:pPr>
            <w:r>
              <w:rPr>
                <w:lang w:val="en-GB"/>
              </w:rPr>
              <w:t>FC_180_R5</w:t>
            </w:r>
          </w:p>
        </w:tc>
        <w:tc>
          <w:tcPr>
            <w:tcW w:w="1134" w:type="dxa"/>
            <w:shd w:val="clear" w:color="auto" w:fill="FFFFFF"/>
          </w:tcPr>
          <w:p w14:paraId="58BE7481" w14:textId="207C182C" w:rsidR="00782839" w:rsidRDefault="00BA315C" w:rsidP="00BA315C">
            <w:pPr>
              <w:pStyle w:val="CETBodytext"/>
              <w:ind w:right="-1"/>
              <w:jc w:val="center"/>
              <w:rPr>
                <w:rFonts w:cs="Arial"/>
                <w:szCs w:val="18"/>
                <w:lang w:val="en-GB"/>
              </w:rPr>
            </w:pPr>
            <w:r>
              <w:rPr>
                <w:rFonts w:cs="Arial"/>
                <w:szCs w:val="18"/>
                <w:lang w:val="en-GB"/>
              </w:rPr>
              <w:t>76.6</w:t>
            </w:r>
          </w:p>
        </w:tc>
        <w:tc>
          <w:tcPr>
            <w:tcW w:w="1134" w:type="dxa"/>
            <w:shd w:val="clear" w:color="auto" w:fill="FFFFFF"/>
          </w:tcPr>
          <w:p w14:paraId="1D8862BD" w14:textId="51CD05B3" w:rsidR="00782839" w:rsidRDefault="0028626A" w:rsidP="00BA315C">
            <w:pPr>
              <w:pStyle w:val="CETBodytext"/>
              <w:ind w:right="-1"/>
              <w:jc w:val="center"/>
              <w:rPr>
                <w:rFonts w:cs="Arial"/>
                <w:szCs w:val="18"/>
                <w:lang w:val="en-GB"/>
              </w:rPr>
            </w:pPr>
            <w:r>
              <w:rPr>
                <w:rFonts w:cs="Arial"/>
                <w:szCs w:val="18"/>
                <w:lang w:val="en-GB"/>
              </w:rPr>
              <w:t>7</w:t>
            </w:r>
            <w:r w:rsidR="00742078">
              <w:rPr>
                <w:rFonts w:cs="Arial"/>
                <w:szCs w:val="18"/>
                <w:lang w:val="en-GB"/>
              </w:rPr>
              <w:t>.0</w:t>
            </w:r>
          </w:p>
        </w:tc>
        <w:tc>
          <w:tcPr>
            <w:tcW w:w="1134" w:type="dxa"/>
            <w:shd w:val="clear" w:color="auto" w:fill="FFFFFF"/>
          </w:tcPr>
          <w:p w14:paraId="1440B964" w14:textId="16735291" w:rsidR="00782839" w:rsidRDefault="00143F3D" w:rsidP="00BA315C">
            <w:pPr>
              <w:pStyle w:val="CETBodytext"/>
              <w:ind w:right="-1"/>
              <w:jc w:val="center"/>
              <w:rPr>
                <w:rFonts w:cs="Arial"/>
                <w:szCs w:val="18"/>
                <w:lang w:val="en-GB"/>
              </w:rPr>
            </w:pPr>
            <w:r>
              <w:rPr>
                <w:rFonts w:cs="Arial"/>
                <w:szCs w:val="18"/>
                <w:lang w:val="en-GB"/>
              </w:rPr>
              <w:t>16.4</w:t>
            </w:r>
          </w:p>
        </w:tc>
        <w:tc>
          <w:tcPr>
            <w:tcW w:w="1276" w:type="dxa"/>
            <w:shd w:val="clear" w:color="auto" w:fill="FFFFFF"/>
          </w:tcPr>
          <w:p w14:paraId="1214E4CF" w14:textId="7BF437BD" w:rsidR="00782839" w:rsidRDefault="00EA0FB5" w:rsidP="00BA315C">
            <w:pPr>
              <w:pStyle w:val="CETBodytext"/>
              <w:ind w:right="-1"/>
              <w:jc w:val="center"/>
              <w:rPr>
                <w:rFonts w:cs="Arial"/>
                <w:szCs w:val="18"/>
                <w:lang w:val="en-GB"/>
              </w:rPr>
            </w:pPr>
            <w:r>
              <w:rPr>
                <w:rFonts w:cs="Arial"/>
                <w:szCs w:val="18"/>
                <w:lang w:val="en-GB"/>
              </w:rPr>
              <w:t>19.7</w:t>
            </w:r>
          </w:p>
        </w:tc>
        <w:tc>
          <w:tcPr>
            <w:tcW w:w="992" w:type="dxa"/>
            <w:shd w:val="clear" w:color="auto" w:fill="FFFFFF"/>
          </w:tcPr>
          <w:p w14:paraId="469A8482" w14:textId="72121179" w:rsidR="00782839" w:rsidRDefault="00EA0FB5" w:rsidP="00BA315C">
            <w:pPr>
              <w:pStyle w:val="CETBodytext"/>
              <w:ind w:right="-1"/>
              <w:jc w:val="center"/>
              <w:rPr>
                <w:rFonts w:cs="Arial"/>
                <w:szCs w:val="18"/>
                <w:lang w:val="en-GB"/>
              </w:rPr>
            </w:pPr>
            <w:r>
              <w:rPr>
                <w:rFonts w:cs="Arial"/>
                <w:szCs w:val="18"/>
                <w:lang w:val="en-GB"/>
              </w:rPr>
              <w:t>78.7</w:t>
            </w:r>
          </w:p>
        </w:tc>
        <w:tc>
          <w:tcPr>
            <w:tcW w:w="1134" w:type="dxa"/>
            <w:shd w:val="clear" w:color="auto" w:fill="FFFFFF"/>
          </w:tcPr>
          <w:p w14:paraId="30DA489E" w14:textId="344BBEF1" w:rsidR="00782839" w:rsidRDefault="00756F51" w:rsidP="00BA315C">
            <w:pPr>
              <w:pStyle w:val="CETBodytext"/>
              <w:ind w:right="-1"/>
              <w:jc w:val="center"/>
              <w:rPr>
                <w:rFonts w:cs="Arial"/>
                <w:szCs w:val="18"/>
                <w:lang w:val="en-GB"/>
              </w:rPr>
            </w:pPr>
            <w:r>
              <w:rPr>
                <w:rFonts w:cs="Arial"/>
                <w:szCs w:val="18"/>
                <w:lang w:val="en-GB"/>
              </w:rPr>
              <w:t>86.2</w:t>
            </w:r>
          </w:p>
        </w:tc>
      </w:tr>
      <w:tr w:rsidR="00782839" w:rsidRPr="00B57B36" w14:paraId="323C158C" w14:textId="77777777" w:rsidTr="005E09A2">
        <w:tc>
          <w:tcPr>
            <w:tcW w:w="1134" w:type="dxa"/>
            <w:shd w:val="clear" w:color="auto" w:fill="FFFFFF"/>
          </w:tcPr>
          <w:p w14:paraId="06700EDF" w14:textId="30757837" w:rsidR="00782839" w:rsidRDefault="00606E01" w:rsidP="00B40785">
            <w:pPr>
              <w:pStyle w:val="CETBodytext"/>
              <w:ind w:right="-1"/>
              <w:jc w:val="left"/>
              <w:rPr>
                <w:rFonts w:cs="Arial"/>
                <w:szCs w:val="18"/>
                <w:lang w:val="en-GB"/>
              </w:rPr>
            </w:pPr>
            <w:r>
              <w:rPr>
                <w:lang w:val="en-GB"/>
              </w:rPr>
              <w:t>FC_200_R0</w:t>
            </w:r>
          </w:p>
        </w:tc>
        <w:tc>
          <w:tcPr>
            <w:tcW w:w="1134" w:type="dxa"/>
            <w:shd w:val="clear" w:color="auto" w:fill="FFFFFF"/>
          </w:tcPr>
          <w:p w14:paraId="13F7238F" w14:textId="53B81717" w:rsidR="00782839" w:rsidRDefault="00BA315C" w:rsidP="00BA315C">
            <w:pPr>
              <w:pStyle w:val="CETBodytext"/>
              <w:ind w:right="-1"/>
              <w:jc w:val="center"/>
              <w:rPr>
                <w:rFonts w:cs="Arial"/>
                <w:szCs w:val="18"/>
                <w:lang w:val="en-GB"/>
              </w:rPr>
            </w:pPr>
            <w:r>
              <w:rPr>
                <w:rFonts w:cs="Arial"/>
                <w:szCs w:val="18"/>
                <w:lang w:val="en-GB"/>
              </w:rPr>
              <w:t>75.6</w:t>
            </w:r>
          </w:p>
        </w:tc>
        <w:tc>
          <w:tcPr>
            <w:tcW w:w="1134" w:type="dxa"/>
            <w:shd w:val="clear" w:color="auto" w:fill="FFFFFF"/>
          </w:tcPr>
          <w:p w14:paraId="0B1BCE50" w14:textId="3BDDA42B" w:rsidR="00782839" w:rsidRDefault="0028626A" w:rsidP="00BA315C">
            <w:pPr>
              <w:pStyle w:val="CETBodytext"/>
              <w:ind w:right="-1"/>
              <w:jc w:val="center"/>
              <w:rPr>
                <w:rFonts w:cs="Arial"/>
                <w:szCs w:val="18"/>
                <w:lang w:val="en-GB"/>
              </w:rPr>
            </w:pPr>
            <w:r>
              <w:rPr>
                <w:rFonts w:cs="Arial"/>
                <w:szCs w:val="18"/>
                <w:lang w:val="en-GB"/>
              </w:rPr>
              <w:t>5.8</w:t>
            </w:r>
          </w:p>
        </w:tc>
        <w:tc>
          <w:tcPr>
            <w:tcW w:w="1134" w:type="dxa"/>
            <w:shd w:val="clear" w:color="auto" w:fill="FFFFFF"/>
          </w:tcPr>
          <w:p w14:paraId="44C690BB" w14:textId="61334423" w:rsidR="00782839" w:rsidRDefault="00143F3D" w:rsidP="00BA315C">
            <w:pPr>
              <w:pStyle w:val="CETBodytext"/>
              <w:ind w:right="-1"/>
              <w:jc w:val="center"/>
              <w:rPr>
                <w:rFonts w:cs="Arial"/>
                <w:szCs w:val="18"/>
                <w:lang w:val="en-GB"/>
              </w:rPr>
            </w:pPr>
            <w:r>
              <w:rPr>
                <w:rFonts w:cs="Arial"/>
                <w:szCs w:val="18"/>
                <w:lang w:val="en-GB"/>
              </w:rPr>
              <w:t>18.6</w:t>
            </w:r>
          </w:p>
        </w:tc>
        <w:tc>
          <w:tcPr>
            <w:tcW w:w="1276" w:type="dxa"/>
            <w:shd w:val="clear" w:color="auto" w:fill="FFFFFF"/>
          </w:tcPr>
          <w:p w14:paraId="10AB1C38" w14:textId="630B4B50" w:rsidR="00782839" w:rsidRDefault="00EA0FB5" w:rsidP="00BA315C">
            <w:pPr>
              <w:pStyle w:val="CETBodytext"/>
              <w:ind w:right="-1"/>
              <w:jc w:val="center"/>
              <w:rPr>
                <w:rFonts w:cs="Arial"/>
                <w:szCs w:val="18"/>
                <w:lang w:val="en-GB"/>
              </w:rPr>
            </w:pPr>
            <w:r>
              <w:rPr>
                <w:rFonts w:cs="Arial"/>
                <w:szCs w:val="18"/>
                <w:lang w:val="en-GB"/>
              </w:rPr>
              <w:t>21.5</w:t>
            </w:r>
          </w:p>
        </w:tc>
        <w:tc>
          <w:tcPr>
            <w:tcW w:w="992" w:type="dxa"/>
            <w:shd w:val="clear" w:color="auto" w:fill="FFFFFF"/>
          </w:tcPr>
          <w:p w14:paraId="0F66525C" w14:textId="3A35377C" w:rsidR="00782839" w:rsidRDefault="00EA0FB5" w:rsidP="00BA315C">
            <w:pPr>
              <w:pStyle w:val="CETBodytext"/>
              <w:ind w:right="-1"/>
              <w:jc w:val="center"/>
              <w:rPr>
                <w:rFonts w:cs="Arial"/>
                <w:szCs w:val="18"/>
                <w:lang w:val="en-GB"/>
              </w:rPr>
            </w:pPr>
            <w:r>
              <w:rPr>
                <w:rFonts w:cs="Arial"/>
                <w:szCs w:val="18"/>
                <w:lang w:val="en-GB"/>
              </w:rPr>
              <w:t>62.9</w:t>
            </w:r>
          </w:p>
        </w:tc>
        <w:tc>
          <w:tcPr>
            <w:tcW w:w="1134" w:type="dxa"/>
            <w:shd w:val="clear" w:color="auto" w:fill="FFFFFF"/>
          </w:tcPr>
          <w:p w14:paraId="637247DF" w14:textId="58E8F7EB" w:rsidR="00782839" w:rsidRDefault="00756F51" w:rsidP="00BA315C">
            <w:pPr>
              <w:pStyle w:val="CETBodytext"/>
              <w:ind w:right="-1"/>
              <w:jc w:val="center"/>
              <w:rPr>
                <w:rFonts w:cs="Arial"/>
                <w:szCs w:val="18"/>
                <w:lang w:val="en-GB"/>
              </w:rPr>
            </w:pPr>
            <w:r>
              <w:rPr>
                <w:rFonts w:cs="Arial"/>
                <w:szCs w:val="18"/>
                <w:lang w:val="en-GB"/>
              </w:rPr>
              <w:t>31.0</w:t>
            </w:r>
          </w:p>
        </w:tc>
      </w:tr>
      <w:tr w:rsidR="00782839" w:rsidRPr="00B57B36" w14:paraId="25ED4677" w14:textId="77777777" w:rsidTr="005E09A2">
        <w:tc>
          <w:tcPr>
            <w:tcW w:w="1134" w:type="dxa"/>
            <w:shd w:val="clear" w:color="auto" w:fill="FFFFFF"/>
          </w:tcPr>
          <w:p w14:paraId="76C76356" w14:textId="01E9BA14" w:rsidR="00782839" w:rsidRDefault="00606E01" w:rsidP="00B40785">
            <w:pPr>
              <w:pStyle w:val="CETBodytext"/>
              <w:ind w:right="-1"/>
              <w:jc w:val="left"/>
              <w:rPr>
                <w:rFonts w:cs="Arial"/>
                <w:szCs w:val="18"/>
                <w:lang w:val="en-GB"/>
              </w:rPr>
            </w:pPr>
            <w:r>
              <w:rPr>
                <w:lang w:val="en-GB"/>
              </w:rPr>
              <w:t>FC_200_R1</w:t>
            </w:r>
          </w:p>
        </w:tc>
        <w:tc>
          <w:tcPr>
            <w:tcW w:w="1134" w:type="dxa"/>
            <w:shd w:val="clear" w:color="auto" w:fill="FFFFFF"/>
          </w:tcPr>
          <w:p w14:paraId="5A3ADD71" w14:textId="585AB5A8" w:rsidR="00782839" w:rsidRDefault="00BA315C" w:rsidP="00BA315C">
            <w:pPr>
              <w:pStyle w:val="CETBodytext"/>
              <w:ind w:right="-1"/>
              <w:jc w:val="center"/>
              <w:rPr>
                <w:rFonts w:cs="Arial"/>
                <w:szCs w:val="18"/>
                <w:lang w:val="en-GB"/>
              </w:rPr>
            </w:pPr>
            <w:r>
              <w:rPr>
                <w:rFonts w:cs="Arial"/>
                <w:szCs w:val="18"/>
                <w:lang w:val="en-GB"/>
              </w:rPr>
              <w:t>72.6</w:t>
            </w:r>
          </w:p>
        </w:tc>
        <w:tc>
          <w:tcPr>
            <w:tcW w:w="1134" w:type="dxa"/>
            <w:shd w:val="clear" w:color="auto" w:fill="FFFFFF"/>
          </w:tcPr>
          <w:p w14:paraId="1F4E13FD" w14:textId="40EFDA97" w:rsidR="00782839" w:rsidRDefault="0028626A" w:rsidP="00BA315C">
            <w:pPr>
              <w:pStyle w:val="CETBodytext"/>
              <w:ind w:right="-1"/>
              <w:jc w:val="center"/>
              <w:rPr>
                <w:rFonts w:cs="Arial"/>
                <w:szCs w:val="18"/>
                <w:lang w:val="en-GB"/>
              </w:rPr>
            </w:pPr>
            <w:r>
              <w:rPr>
                <w:rFonts w:cs="Arial"/>
                <w:szCs w:val="18"/>
                <w:lang w:val="en-GB"/>
              </w:rPr>
              <w:t>7.2</w:t>
            </w:r>
          </w:p>
        </w:tc>
        <w:tc>
          <w:tcPr>
            <w:tcW w:w="1134" w:type="dxa"/>
            <w:shd w:val="clear" w:color="auto" w:fill="FFFFFF"/>
          </w:tcPr>
          <w:p w14:paraId="1161A5E2" w14:textId="06C9ED27" w:rsidR="00782839" w:rsidRDefault="00143F3D" w:rsidP="00BA315C">
            <w:pPr>
              <w:pStyle w:val="CETBodytext"/>
              <w:ind w:right="-1"/>
              <w:jc w:val="center"/>
              <w:rPr>
                <w:rFonts w:cs="Arial"/>
                <w:szCs w:val="18"/>
                <w:lang w:val="en-GB"/>
              </w:rPr>
            </w:pPr>
            <w:r>
              <w:rPr>
                <w:rFonts w:cs="Arial"/>
                <w:szCs w:val="18"/>
                <w:lang w:val="en-GB"/>
              </w:rPr>
              <w:t>20.2</w:t>
            </w:r>
          </w:p>
        </w:tc>
        <w:tc>
          <w:tcPr>
            <w:tcW w:w="1276" w:type="dxa"/>
            <w:shd w:val="clear" w:color="auto" w:fill="FFFFFF"/>
          </w:tcPr>
          <w:p w14:paraId="6A2581D3" w14:textId="35BCA7FC" w:rsidR="00782839" w:rsidRDefault="00EA0FB5" w:rsidP="00BA315C">
            <w:pPr>
              <w:pStyle w:val="CETBodytext"/>
              <w:ind w:right="-1"/>
              <w:jc w:val="center"/>
              <w:rPr>
                <w:rFonts w:cs="Arial"/>
                <w:szCs w:val="18"/>
                <w:lang w:val="en-GB"/>
              </w:rPr>
            </w:pPr>
            <w:r>
              <w:rPr>
                <w:rFonts w:cs="Arial"/>
                <w:szCs w:val="18"/>
                <w:lang w:val="en-GB"/>
              </w:rPr>
              <w:t>23.0</w:t>
            </w:r>
          </w:p>
        </w:tc>
        <w:tc>
          <w:tcPr>
            <w:tcW w:w="992" w:type="dxa"/>
            <w:shd w:val="clear" w:color="auto" w:fill="FFFFFF"/>
          </w:tcPr>
          <w:p w14:paraId="3BF27ABB" w14:textId="269E5283" w:rsidR="00782839" w:rsidRDefault="00EA0FB5" w:rsidP="00BA315C">
            <w:pPr>
              <w:pStyle w:val="CETBodytext"/>
              <w:ind w:right="-1"/>
              <w:jc w:val="center"/>
              <w:rPr>
                <w:rFonts w:cs="Arial"/>
                <w:szCs w:val="18"/>
                <w:lang w:val="en-GB"/>
              </w:rPr>
            </w:pPr>
            <w:r>
              <w:rPr>
                <w:rFonts w:cs="Arial"/>
                <w:szCs w:val="18"/>
                <w:lang w:val="en-GB"/>
              </w:rPr>
              <w:t>73.1</w:t>
            </w:r>
          </w:p>
        </w:tc>
        <w:tc>
          <w:tcPr>
            <w:tcW w:w="1134" w:type="dxa"/>
            <w:shd w:val="clear" w:color="auto" w:fill="FFFFFF"/>
          </w:tcPr>
          <w:p w14:paraId="605B342B" w14:textId="7C7BE070" w:rsidR="00782839" w:rsidRDefault="00756F51" w:rsidP="00BA315C">
            <w:pPr>
              <w:pStyle w:val="CETBodytext"/>
              <w:ind w:right="-1"/>
              <w:jc w:val="center"/>
              <w:rPr>
                <w:rFonts w:cs="Arial"/>
                <w:szCs w:val="18"/>
                <w:lang w:val="en-GB"/>
              </w:rPr>
            </w:pPr>
            <w:r>
              <w:rPr>
                <w:rFonts w:cs="Arial"/>
                <w:szCs w:val="18"/>
                <w:lang w:val="en-GB"/>
              </w:rPr>
              <w:t>52.4</w:t>
            </w:r>
          </w:p>
        </w:tc>
      </w:tr>
      <w:tr w:rsidR="00782839" w:rsidRPr="00B57B36" w14:paraId="6749F716" w14:textId="77777777" w:rsidTr="005E09A2">
        <w:tc>
          <w:tcPr>
            <w:tcW w:w="1134" w:type="dxa"/>
            <w:shd w:val="clear" w:color="auto" w:fill="FFFFFF"/>
          </w:tcPr>
          <w:p w14:paraId="704761F9" w14:textId="0DB10F68" w:rsidR="00782839" w:rsidRDefault="00606E01" w:rsidP="00B40785">
            <w:pPr>
              <w:pStyle w:val="CETBodytext"/>
              <w:ind w:right="-1"/>
              <w:jc w:val="left"/>
              <w:rPr>
                <w:rFonts w:cs="Arial"/>
                <w:szCs w:val="18"/>
                <w:lang w:val="en-GB"/>
              </w:rPr>
            </w:pPr>
            <w:r>
              <w:rPr>
                <w:lang w:val="en-GB"/>
              </w:rPr>
              <w:t>FC_230_R0</w:t>
            </w:r>
          </w:p>
        </w:tc>
        <w:tc>
          <w:tcPr>
            <w:tcW w:w="1134" w:type="dxa"/>
            <w:shd w:val="clear" w:color="auto" w:fill="FFFFFF"/>
          </w:tcPr>
          <w:p w14:paraId="7D8675FB" w14:textId="2AF7C1E1" w:rsidR="00782839" w:rsidRDefault="00BA315C" w:rsidP="00BA315C">
            <w:pPr>
              <w:pStyle w:val="CETBodytext"/>
              <w:ind w:right="-1"/>
              <w:jc w:val="center"/>
              <w:rPr>
                <w:rFonts w:cs="Arial"/>
                <w:szCs w:val="18"/>
                <w:lang w:val="en-GB"/>
              </w:rPr>
            </w:pPr>
            <w:r>
              <w:rPr>
                <w:rFonts w:cs="Arial"/>
                <w:szCs w:val="18"/>
                <w:lang w:val="en-GB"/>
              </w:rPr>
              <w:t>67.2</w:t>
            </w:r>
          </w:p>
        </w:tc>
        <w:tc>
          <w:tcPr>
            <w:tcW w:w="1134" w:type="dxa"/>
            <w:shd w:val="clear" w:color="auto" w:fill="FFFFFF"/>
          </w:tcPr>
          <w:p w14:paraId="2A690703" w14:textId="4CA1ABF2" w:rsidR="00782839" w:rsidRDefault="0028626A" w:rsidP="00BA315C">
            <w:pPr>
              <w:pStyle w:val="CETBodytext"/>
              <w:ind w:right="-1"/>
              <w:jc w:val="center"/>
              <w:rPr>
                <w:rFonts w:cs="Arial"/>
                <w:szCs w:val="18"/>
                <w:lang w:val="en-GB"/>
              </w:rPr>
            </w:pPr>
            <w:r>
              <w:rPr>
                <w:rFonts w:cs="Arial"/>
                <w:szCs w:val="18"/>
                <w:lang w:val="en-GB"/>
              </w:rPr>
              <w:t>6.8</w:t>
            </w:r>
          </w:p>
        </w:tc>
        <w:tc>
          <w:tcPr>
            <w:tcW w:w="1134" w:type="dxa"/>
            <w:shd w:val="clear" w:color="auto" w:fill="FFFFFF"/>
          </w:tcPr>
          <w:p w14:paraId="1A3EB610" w14:textId="19CF7D32" w:rsidR="00782839" w:rsidRDefault="00143F3D" w:rsidP="00BA315C">
            <w:pPr>
              <w:pStyle w:val="CETBodytext"/>
              <w:ind w:right="-1"/>
              <w:jc w:val="center"/>
              <w:rPr>
                <w:rFonts w:cs="Arial"/>
                <w:szCs w:val="18"/>
                <w:lang w:val="en-GB"/>
              </w:rPr>
            </w:pPr>
            <w:r>
              <w:rPr>
                <w:rFonts w:cs="Arial"/>
                <w:szCs w:val="18"/>
                <w:lang w:val="en-GB"/>
              </w:rPr>
              <w:t>26</w:t>
            </w:r>
            <w:r w:rsidR="005F5C17">
              <w:rPr>
                <w:rFonts w:cs="Arial"/>
                <w:szCs w:val="18"/>
                <w:lang w:val="en-GB"/>
              </w:rPr>
              <w:t>.0</w:t>
            </w:r>
          </w:p>
        </w:tc>
        <w:tc>
          <w:tcPr>
            <w:tcW w:w="1276" w:type="dxa"/>
            <w:shd w:val="clear" w:color="auto" w:fill="FFFFFF"/>
          </w:tcPr>
          <w:p w14:paraId="72DB5196" w14:textId="21852BEA" w:rsidR="00782839" w:rsidRDefault="00EA0FB5" w:rsidP="00BA315C">
            <w:pPr>
              <w:pStyle w:val="CETBodytext"/>
              <w:ind w:right="-1"/>
              <w:jc w:val="center"/>
              <w:rPr>
                <w:rFonts w:cs="Arial"/>
                <w:szCs w:val="18"/>
                <w:lang w:val="en-GB"/>
              </w:rPr>
            </w:pPr>
            <w:r>
              <w:rPr>
                <w:rFonts w:cs="Arial"/>
                <w:szCs w:val="18"/>
                <w:lang w:val="en-GB"/>
              </w:rPr>
              <w:t>22.4</w:t>
            </w:r>
          </w:p>
        </w:tc>
        <w:tc>
          <w:tcPr>
            <w:tcW w:w="992" w:type="dxa"/>
            <w:shd w:val="clear" w:color="auto" w:fill="FFFFFF"/>
          </w:tcPr>
          <w:p w14:paraId="62D5D629" w14:textId="22D0237D" w:rsidR="00782839" w:rsidRDefault="00EA0FB5" w:rsidP="00BA315C">
            <w:pPr>
              <w:pStyle w:val="CETBodytext"/>
              <w:ind w:right="-1"/>
              <w:jc w:val="center"/>
              <w:rPr>
                <w:rFonts w:cs="Arial"/>
                <w:szCs w:val="18"/>
                <w:lang w:val="en-GB"/>
              </w:rPr>
            </w:pPr>
            <w:r>
              <w:rPr>
                <w:rFonts w:cs="Arial"/>
                <w:szCs w:val="18"/>
                <w:lang w:val="en-GB"/>
              </w:rPr>
              <w:t>54.7</w:t>
            </w:r>
          </w:p>
        </w:tc>
        <w:tc>
          <w:tcPr>
            <w:tcW w:w="1134" w:type="dxa"/>
            <w:shd w:val="clear" w:color="auto" w:fill="FFFFFF"/>
          </w:tcPr>
          <w:p w14:paraId="4085C7AC" w14:textId="375E225F" w:rsidR="00782839" w:rsidRDefault="00756F51" w:rsidP="00BA315C">
            <w:pPr>
              <w:pStyle w:val="CETBodytext"/>
              <w:ind w:right="-1"/>
              <w:jc w:val="center"/>
              <w:rPr>
                <w:rFonts w:cs="Arial"/>
                <w:szCs w:val="18"/>
                <w:lang w:val="en-GB"/>
              </w:rPr>
            </w:pPr>
            <w:r>
              <w:rPr>
                <w:rFonts w:cs="Arial"/>
                <w:szCs w:val="18"/>
                <w:lang w:val="en-GB"/>
              </w:rPr>
              <w:t>-3.8</w:t>
            </w:r>
          </w:p>
        </w:tc>
      </w:tr>
      <w:tr w:rsidR="00782839" w:rsidRPr="00B57B36" w14:paraId="4E9CB18C" w14:textId="77777777" w:rsidTr="005E09A2">
        <w:tc>
          <w:tcPr>
            <w:tcW w:w="1134" w:type="dxa"/>
            <w:shd w:val="clear" w:color="auto" w:fill="FFFFFF"/>
          </w:tcPr>
          <w:p w14:paraId="0FE9B9E3" w14:textId="4DC0FD3F" w:rsidR="00782839" w:rsidRDefault="00606E01" w:rsidP="00B40785">
            <w:pPr>
              <w:pStyle w:val="CETBodytext"/>
              <w:ind w:right="-1"/>
              <w:jc w:val="left"/>
              <w:rPr>
                <w:rFonts w:cs="Arial"/>
                <w:szCs w:val="18"/>
                <w:lang w:val="en-GB"/>
              </w:rPr>
            </w:pPr>
            <w:r>
              <w:rPr>
                <w:lang w:val="en-GB"/>
              </w:rPr>
              <w:t>FC_230_R1</w:t>
            </w:r>
          </w:p>
        </w:tc>
        <w:tc>
          <w:tcPr>
            <w:tcW w:w="1134" w:type="dxa"/>
            <w:shd w:val="clear" w:color="auto" w:fill="FFFFFF"/>
          </w:tcPr>
          <w:p w14:paraId="148CEAD8" w14:textId="7DD59207" w:rsidR="00782839" w:rsidRDefault="00BA315C" w:rsidP="00BA315C">
            <w:pPr>
              <w:pStyle w:val="CETBodytext"/>
              <w:ind w:right="-1"/>
              <w:jc w:val="center"/>
              <w:rPr>
                <w:rFonts w:cs="Arial"/>
                <w:szCs w:val="18"/>
                <w:lang w:val="en-GB"/>
              </w:rPr>
            </w:pPr>
            <w:r>
              <w:rPr>
                <w:rFonts w:cs="Arial"/>
                <w:szCs w:val="18"/>
                <w:lang w:val="en-GB"/>
              </w:rPr>
              <w:t>66.8</w:t>
            </w:r>
          </w:p>
        </w:tc>
        <w:tc>
          <w:tcPr>
            <w:tcW w:w="1134" w:type="dxa"/>
            <w:shd w:val="clear" w:color="auto" w:fill="FFFFFF"/>
          </w:tcPr>
          <w:p w14:paraId="7D1A2ED7" w14:textId="714E3BA0" w:rsidR="00782839" w:rsidRDefault="0028626A" w:rsidP="00BA315C">
            <w:pPr>
              <w:pStyle w:val="CETBodytext"/>
              <w:ind w:right="-1"/>
              <w:jc w:val="center"/>
              <w:rPr>
                <w:rFonts w:cs="Arial"/>
                <w:szCs w:val="18"/>
                <w:lang w:val="en-GB"/>
              </w:rPr>
            </w:pPr>
            <w:r>
              <w:rPr>
                <w:rFonts w:cs="Arial"/>
                <w:szCs w:val="18"/>
                <w:lang w:val="en-GB"/>
              </w:rPr>
              <w:t>7.1</w:t>
            </w:r>
          </w:p>
        </w:tc>
        <w:tc>
          <w:tcPr>
            <w:tcW w:w="1134" w:type="dxa"/>
            <w:shd w:val="clear" w:color="auto" w:fill="FFFFFF"/>
          </w:tcPr>
          <w:p w14:paraId="7083EE28" w14:textId="6BE2ECCD" w:rsidR="00782839" w:rsidRDefault="00143F3D" w:rsidP="00BA315C">
            <w:pPr>
              <w:pStyle w:val="CETBodytext"/>
              <w:ind w:right="-1"/>
              <w:jc w:val="center"/>
              <w:rPr>
                <w:rFonts w:cs="Arial"/>
                <w:szCs w:val="18"/>
                <w:lang w:val="en-GB"/>
              </w:rPr>
            </w:pPr>
            <w:r>
              <w:rPr>
                <w:rFonts w:cs="Arial"/>
                <w:szCs w:val="18"/>
                <w:lang w:val="en-GB"/>
              </w:rPr>
              <w:t>26.1</w:t>
            </w:r>
          </w:p>
        </w:tc>
        <w:tc>
          <w:tcPr>
            <w:tcW w:w="1276" w:type="dxa"/>
            <w:shd w:val="clear" w:color="auto" w:fill="FFFFFF"/>
          </w:tcPr>
          <w:p w14:paraId="10545EB5" w14:textId="0CF280C9" w:rsidR="00782839" w:rsidRDefault="00EA0FB5" w:rsidP="00BA315C">
            <w:pPr>
              <w:pStyle w:val="CETBodytext"/>
              <w:ind w:right="-1"/>
              <w:jc w:val="center"/>
              <w:rPr>
                <w:rFonts w:cs="Arial"/>
                <w:szCs w:val="18"/>
                <w:lang w:val="en-GB"/>
              </w:rPr>
            </w:pPr>
            <w:r>
              <w:rPr>
                <w:rFonts w:cs="Arial"/>
                <w:szCs w:val="18"/>
                <w:lang w:val="en-GB"/>
              </w:rPr>
              <w:t>23.2</w:t>
            </w:r>
          </w:p>
        </w:tc>
        <w:tc>
          <w:tcPr>
            <w:tcW w:w="992" w:type="dxa"/>
            <w:shd w:val="clear" w:color="auto" w:fill="FFFFFF"/>
          </w:tcPr>
          <w:p w14:paraId="0FC20812" w14:textId="25EE3938" w:rsidR="00782839" w:rsidRDefault="00EA0FB5" w:rsidP="00BA315C">
            <w:pPr>
              <w:pStyle w:val="CETBodytext"/>
              <w:ind w:right="-1"/>
              <w:jc w:val="center"/>
              <w:rPr>
                <w:rFonts w:cs="Arial"/>
                <w:szCs w:val="18"/>
                <w:lang w:val="en-GB"/>
              </w:rPr>
            </w:pPr>
            <w:r>
              <w:rPr>
                <w:rFonts w:cs="Arial"/>
                <w:szCs w:val="18"/>
                <w:lang w:val="en-GB"/>
              </w:rPr>
              <w:t>64.4</w:t>
            </w:r>
          </w:p>
        </w:tc>
        <w:tc>
          <w:tcPr>
            <w:tcW w:w="1134" w:type="dxa"/>
            <w:shd w:val="clear" w:color="auto" w:fill="FFFFFF"/>
          </w:tcPr>
          <w:p w14:paraId="21BC4480" w14:textId="31596FC1" w:rsidR="00782839" w:rsidRDefault="00756F51" w:rsidP="00BA315C">
            <w:pPr>
              <w:pStyle w:val="CETBodytext"/>
              <w:ind w:right="-1"/>
              <w:jc w:val="center"/>
              <w:rPr>
                <w:rFonts w:cs="Arial"/>
                <w:szCs w:val="18"/>
                <w:lang w:val="en-GB"/>
              </w:rPr>
            </w:pPr>
            <w:r>
              <w:rPr>
                <w:rFonts w:cs="Arial"/>
                <w:szCs w:val="18"/>
                <w:lang w:val="en-GB"/>
              </w:rPr>
              <w:t>13.3</w:t>
            </w:r>
          </w:p>
        </w:tc>
      </w:tr>
      <w:tr w:rsidR="00782839" w:rsidRPr="00B57B36" w14:paraId="117AB1F0" w14:textId="77777777" w:rsidTr="005E09A2">
        <w:tc>
          <w:tcPr>
            <w:tcW w:w="1134" w:type="dxa"/>
            <w:shd w:val="clear" w:color="auto" w:fill="FFFFFF"/>
          </w:tcPr>
          <w:p w14:paraId="3EFDEED3" w14:textId="2420FACE" w:rsidR="00782839" w:rsidRDefault="00606E01" w:rsidP="00B40785">
            <w:pPr>
              <w:pStyle w:val="CETBodytext"/>
              <w:ind w:right="-1"/>
              <w:jc w:val="left"/>
              <w:rPr>
                <w:rFonts w:cs="Arial"/>
                <w:szCs w:val="18"/>
                <w:lang w:val="en-GB"/>
              </w:rPr>
            </w:pPr>
            <w:r>
              <w:rPr>
                <w:lang w:val="en-GB"/>
              </w:rPr>
              <w:t>FC_0.15_R0</w:t>
            </w:r>
          </w:p>
        </w:tc>
        <w:tc>
          <w:tcPr>
            <w:tcW w:w="1134" w:type="dxa"/>
            <w:shd w:val="clear" w:color="auto" w:fill="FFFFFF"/>
          </w:tcPr>
          <w:p w14:paraId="2EBFEE31" w14:textId="055006B7" w:rsidR="00782839" w:rsidRDefault="00BA315C" w:rsidP="00BA315C">
            <w:pPr>
              <w:pStyle w:val="CETBodytext"/>
              <w:ind w:right="-1"/>
              <w:jc w:val="center"/>
              <w:rPr>
                <w:rFonts w:cs="Arial"/>
                <w:szCs w:val="18"/>
                <w:lang w:val="en-GB"/>
              </w:rPr>
            </w:pPr>
            <w:r>
              <w:rPr>
                <w:rFonts w:cs="Arial"/>
                <w:szCs w:val="18"/>
                <w:lang w:val="en-GB"/>
              </w:rPr>
              <w:t>76.8</w:t>
            </w:r>
          </w:p>
        </w:tc>
        <w:tc>
          <w:tcPr>
            <w:tcW w:w="1134" w:type="dxa"/>
            <w:shd w:val="clear" w:color="auto" w:fill="FFFFFF"/>
          </w:tcPr>
          <w:p w14:paraId="1421A9F7" w14:textId="61526BB9" w:rsidR="00782839" w:rsidRDefault="0028626A" w:rsidP="00BA315C">
            <w:pPr>
              <w:pStyle w:val="CETBodytext"/>
              <w:ind w:right="-1"/>
              <w:jc w:val="center"/>
              <w:rPr>
                <w:rFonts w:cs="Arial"/>
                <w:szCs w:val="18"/>
                <w:lang w:val="en-GB"/>
              </w:rPr>
            </w:pPr>
            <w:r>
              <w:rPr>
                <w:rFonts w:cs="Arial"/>
                <w:szCs w:val="18"/>
                <w:lang w:val="en-GB"/>
              </w:rPr>
              <w:t>6.3</w:t>
            </w:r>
          </w:p>
        </w:tc>
        <w:tc>
          <w:tcPr>
            <w:tcW w:w="1134" w:type="dxa"/>
            <w:shd w:val="clear" w:color="auto" w:fill="FFFFFF"/>
          </w:tcPr>
          <w:p w14:paraId="6A822C3D" w14:textId="7BA37293" w:rsidR="00782839" w:rsidRDefault="00143F3D" w:rsidP="00BA315C">
            <w:pPr>
              <w:pStyle w:val="CETBodytext"/>
              <w:ind w:right="-1"/>
              <w:jc w:val="center"/>
              <w:rPr>
                <w:rFonts w:cs="Arial"/>
                <w:szCs w:val="18"/>
                <w:lang w:val="en-GB"/>
              </w:rPr>
            </w:pPr>
            <w:r>
              <w:rPr>
                <w:rFonts w:cs="Arial"/>
                <w:szCs w:val="18"/>
                <w:lang w:val="en-GB"/>
              </w:rPr>
              <w:t>16.9</w:t>
            </w:r>
          </w:p>
        </w:tc>
        <w:tc>
          <w:tcPr>
            <w:tcW w:w="1276" w:type="dxa"/>
            <w:shd w:val="clear" w:color="auto" w:fill="FFFFFF"/>
          </w:tcPr>
          <w:p w14:paraId="1EE81341" w14:textId="4E434B27" w:rsidR="00782839" w:rsidRDefault="00EA0FB5" w:rsidP="00BA315C">
            <w:pPr>
              <w:pStyle w:val="CETBodytext"/>
              <w:ind w:right="-1"/>
              <w:jc w:val="center"/>
              <w:rPr>
                <w:rFonts w:cs="Arial"/>
                <w:szCs w:val="18"/>
                <w:lang w:val="en-GB"/>
              </w:rPr>
            </w:pPr>
            <w:r>
              <w:rPr>
                <w:rFonts w:cs="Arial"/>
                <w:szCs w:val="18"/>
                <w:lang w:val="en-GB"/>
              </w:rPr>
              <w:t>20.3</w:t>
            </w:r>
          </w:p>
        </w:tc>
        <w:tc>
          <w:tcPr>
            <w:tcW w:w="992" w:type="dxa"/>
            <w:shd w:val="clear" w:color="auto" w:fill="FFFFFF"/>
          </w:tcPr>
          <w:p w14:paraId="48375817" w14:textId="3F15E5C5" w:rsidR="00782839" w:rsidRDefault="00EA0FB5" w:rsidP="00BA315C">
            <w:pPr>
              <w:pStyle w:val="CETBodytext"/>
              <w:ind w:right="-1"/>
              <w:jc w:val="center"/>
              <w:rPr>
                <w:rFonts w:cs="Arial"/>
                <w:szCs w:val="18"/>
                <w:lang w:val="en-GB"/>
              </w:rPr>
            </w:pPr>
            <w:r>
              <w:rPr>
                <w:rFonts w:cs="Arial"/>
                <w:szCs w:val="18"/>
                <w:lang w:val="en-GB"/>
              </w:rPr>
              <w:t>71.3</w:t>
            </w:r>
          </w:p>
        </w:tc>
        <w:tc>
          <w:tcPr>
            <w:tcW w:w="1134" w:type="dxa"/>
            <w:shd w:val="clear" w:color="auto" w:fill="FFFFFF"/>
          </w:tcPr>
          <w:p w14:paraId="0E3B3C08" w14:textId="0103E250" w:rsidR="00782839" w:rsidRDefault="00D60816" w:rsidP="00BA315C">
            <w:pPr>
              <w:pStyle w:val="CETBodytext"/>
              <w:ind w:right="-1"/>
              <w:jc w:val="center"/>
              <w:rPr>
                <w:rFonts w:cs="Arial"/>
                <w:szCs w:val="18"/>
                <w:lang w:val="en-GB"/>
              </w:rPr>
            </w:pPr>
            <w:r>
              <w:rPr>
                <w:rFonts w:cs="Arial"/>
                <w:szCs w:val="18"/>
                <w:lang w:val="en-GB"/>
              </w:rPr>
              <w:t>122.5</w:t>
            </w:r>
          </w:p>
        </w:tc>
      </w:tr>
      <w:tr w:rsidR="00782839" w:rsidRPr="00B57B36" w14:paraId="4239A129" w14:textId="77777777" w:rsidTr="005E09A2">
        <w:tc>
          <w:tcPr>
            <w:tcW w:w="1134" w:type="dxa"/>
            <w:shd w:val="clear" w:color="auto" w:fill="FFFFFF"/>
          </w:tcPr>
          <w:p w14:paraId="429C416C" w14:textId="66FB929A" w:rsidR="00782839" w:rsidRDefault="00606E01" w:rsidP="00B40785">
            <w:pPr>
              <w:pStyle w:val="CETBodytext"/>
              <w:ind w:right="-1"/>
              <w:jc w:val="left"/>
              <w:rPr>
                <w:rFonts w:cs="Arial"/>
                <w:szCs w:val="18"/>
                <w:lang w:val="en-GB"/>
              </w:rPr>
            </w:pPr>
            <w:r>
              <w:rPr>
                <w:lang w:val="en-GB"/>
              </w:rPr>
              <w:t>FC_0.15_R1</w:t>
            </w:r>
          </w:p>
        </w:tc>
        <w:tc>
          <w:tcPr>
            <w:tcW w:w="1134" w:type="dxa"/>
            <w:shd w:val="clear" w:color="auto" w:fill="FFFFFF"/>
          </w:tcPr>
          <w:p w14:paraId="7F86936A" w14:textId="481600DE" w:rsidR="00782839" w:rsidRDefault="00BA315C" w:rsidP="00BA315C">
            <w:pPr>
              <w:pStyle w:val="CETBodytext"/>
              <w:ind w:right="-1"/>
              <w:jc w:val="center"/>
              <w:rPr>
                <w:rFonts w:cs="Arial"/>
                <w:szCs w:val="18"/>
                <w:lang w:val="en-GB"/>
              </w:rPr>
            </w:pPr>
            <w:r>
              <w:rPr>
                <w:rFonts w:cs="Arial"/>
                <w:szCs w:val="18"/>
                <w:lang w:val="en-GB"/>
              </w:rPr>
              <w:t>74.</w:t>
            </w:r>
            <w:r w:rsidR="0028626A">
              <w:rPr>
                <w:rFonts w:cs="Arial"/>
                <w:szCs w:val="18"/>
                <w:lang w:val="en-GB"/>
              </w:rPr>
              <w:t>8</w:t>
            </w:r>
          </w:p>
        </w:tc>
        <w:tc>
          <w:tcPr>
            <w:tcW w:w="1134" w:type="dxa"/>
            <w:shd w:val="clear" w:color="auto" w:fill="FFFFFF"/>
          </w:tcPr>
          <w:p w14:paraId="68D238C6" w14:textId="31FB8920" w:rsidR="00782839" w:rsidRDefault="0028626A" w:rsidP="00BA315C">
            <w:pPr>
              <w:pStyle w:val="CETBodytext"/>
              <w:ind w:right="-1"/>
              <w:jc w:val="center"/>
              <w:rPr>
                <w:rFonts w:cs="Arial"/>
                <w:szCs w:val="18"/>
                <w:lang w:val="en-GB"/>
              </w:rPr>
            </w:pPr>
            <w:r>
              <w:rPr>
                <w:rFonts w:cs="Arial"/>
                <w:szCs w:val="18"/>
                <w:lang w:val="en-GB"/>
              </w:rPr>
              <w:t>7.7</w:t>
            </w:r>
          </w:p>
        </w:tc>
        <w:tc>
          <w:tcPr>
            <w:tcW w:w="1134" w:type="dxa"/>
            <w:shd w:val="clear" w:color="auto" w:fill="FFFFFF"/>
          </w:tcPr>
          <w:p w14:paraId="63D8FA17" w14:textId="486F6637" w:rsidR="00782839" w:rsidRDefault="00143F3D" w:rsidP="00BA315C">
            <w:pPr>
              <w:pStyle w:val="CETBodytext"/>
              <w:ind w:right="-1"/>
              <w:jc w:val="center"/>
              <w:rPr>
                <w:rFonts w:cs="Arial"/>
                <w:szCs w:val="18"/>
                <w:lang w:val="en-GB"/>
              </w:rPr>
            </w:pPr>
            <w:r>
              <w:rPr>
                <w:rFonts w:cs="Arial"/>
                <w:szCs w:val="18"/>
                <w:lang w:val="en-GB"/>
              </w:rPr>
              <w:t>17.5</w:t>
            </w:r>
          </w:p>
        </w:tc>
        <w:tc>
          <w:tcPr>
            <w:tcW w:w="1276" w:type="dxa"/>
            <w:shd w:val="clear" w:color="auto" w:fill="FFFFFF"/>
          </w:tcPr>
          <w:p w14:paraId="15FF2F5B" w14:textId="06A6F07C" w:rsidR="00782839" w:rsidRDefault="00EA0FB5" w:rsidP="00BA315C">
            <w:pPr>
              <w:pStyle w:val="CETBodytext"/>
              <w:ind w:right="-1"/>
              <w:jc w:val="center"/>
              <w:rPr>
                <w:rFonts w:cs="Arial"/>
                <w:szCs w:val="18"/>
                <w:lang w:val="en-GB"/>
              </w:rPr>
            </w:pPr>
            <w:r>
              <w:rPr>
                <w:rFonts w:cs="Arial"/>
                <w:szCs w:val="18"/>
                <w:lang w:val="en-GB"/>
              </w:rPr>
              <w:t>21.0</w:t>
            </w:r>
          </w:p>
        </w:tc>
        <w:tc>
          <w:tcPr>
            <w:tcW w:w="992" w:type="dxa"/>
            <w:shd w:val="clear" w:color="auto" w:fill="FFFFFF"/>
          </w:tcPr>
          <w:p w14:paraId="79C87838" w14:textId="461C9AE5" w:rsidR="00782839" w:rsidRDefault="00EA0FB5" w:rsidP="00BA315C">
            <w:pPr>
              <w:pStyle w:val="CETBodytext"/>
              <w:ind w:right="-1"/>
              <w:jc w:val="center"/>
              <w:rPr>
                <w:rFonts w:cs="Arial"/>
                <w:szCs w:val="18"/>
                <w:lang w:val="en-GB"/>
              </w:rPr>
            </w:pPr>
            <w:r>
              <w:rPr>
                <w:rFonts w:cs="Arial"/>
                <w:szCs w:val="18"/>
                <w:lang w:val="en-GB"/>
              </w:rPr>
              <w:t>80.9</w:t>
            </w:r>
          </w:p>
        </w:tc>
        <w:tc>
          <w:tcPr>
            <w:tcW w:w="1134" w:type="dxa"/>
            <w:shd w:val="clear" w:color="auto" w:fill="FFFFFF"/>
          </w:tcPr>
          <w:p w14:paraId="1AB8E519" w14:textId="6456AADB" w:rsidR="00782839" w:rsidRDefault="00D60816" w:rsidP="00BA315C">
            <w:pPr>
              <w:pStyle w:val="CETBodytext"/>
              <w:ind w:right="-1"/>
              <w:jc w:val="center"/>
              <w:rPr>
                <w:rFonts w:cs="Arial"/>
                <w:szCs w:val="18"/>
                <w:lang w:val="en-GB"/>
              </w:rPr>
            </w:pPr>
            <w:r>
              <w:rPr>
                <w:rFonts w:cs="Arial"/>
                <w:szCs w:val="18"/>
                <w:lang w:val="en-GB"/>
              </w:rPr>
              <w:t>152.6</w:t>
            </w:r>
          </w:p>
        </w:tc>
      </w:tr>
      <w:tr w:rsidR="00782839" w:rsidRPr="00B57B36" w14:paraId="5A8CBC40" w14:textId="77777777" w:rsidTr="005E09A2">
        <w:tc>
          <w:tcPr>
            <w:tcW w:w="1134" w:type="dxa"/>
            <w:shd w:val="clear" w:color="auto" w:fill="FFFFFF"/>
          </w:tcPr>
          <w:p w14:paraId="58686FB3" w14:textId="60052F36" w:rsidR="00782839" w:rsidRDefault="00606E01" w:rsidP="00B40785">
            <w:pPr>
              <w:pStyle w:val="CETBodytext"/>
              <w:ind w:right="-1"/>
              <w:jc w:val="left"/>
              <w:rPr>
                <w:rFonts w:cs="Arial"/>
                <w:szCs w:val="18"/>
                <w:lang w:val="en-GB"/>
              </w:rPr>
            </w:pPr>
            <w:r>
              <w:rPr>
                <w:lang w:val="en-GB"/>
              </w:rPr>
              <w:t>FC_0.2_R0</w:t>
            </w:r>
          </w:p>
        </w:tc>
        <w:tc>
          <w:tcPr>
            <w:tcW w:w="1134" w:type="dxa"/>
            <w:shd w:val="clear" w:color="auto" w:fill="FFFFFF"/>
          </w:tcPr>
          <w:p w14:paraId="39920B2E" w14:textId="0F2C3139" w:rsidR="00782839" w:rsidRDefault="0028626A" w:rsidP="00BA315C">
            <w:pPr>
              <w:pStyle w:val="CETBodytext"/>
              <w:ind w:right="-1"/>
              <w:jc w:val="center"/>
              <w:rPr>
                <w:rFonts w:cs="Arial"/>
                <w:szCs w:val="18"/>
                <w:lang w:val="en-GB"/>
              </w:rPr>
            </w:pPr>
            <w:r>
              <w:rPr>
                <w:rFonts w:cs="Arial"/>
                <w:szCs w:val="18"/>
                <w:lang w:val="en-GB"/>
              </w:rPr>
              <w:t>79.7</w:t>
            </w:r>
          </w:p>
        </w:tc>
        <w:tc>
          <w:tcPr>
            <w:tcW w:w="1134" w:type="dxa"/>
            <w:shd w:val="clear" w:color="auto" w:fill="FFFFFF"/>
          </w:tcPr>
          <w:p w14:paraId="32C3C5CB" w14:textId="19C86034" w:rsidR="00782839" w:rsidRDefault="0028626A" w:rsidP="00BA315C">
            <w:pPr>
              <w:pStyle w:val="CETBodytext"/>
              <w:ind w:right="-1"/>
              <w:jc w:val="center"/>
              <w:rPr>
                <w:rFonts w:cs="Arial"/>
                <w:szCs w:val="18"/>
                <w:lang w:val="en-GB"/>
              </w:rPr>
            </w:pPr>
            <w:r>
              <w:rPr>
                <w:rFonts w:cs="Arial"/>
                <w:szCs w:val="18"/>
                <w:lang w:val="en-GB"/>
              </w:rPr>
              <w:t>6.7</w:t>
            </w:r>
          </w:p>
        </w:tc>
        <w:tc>
          <w:tcPr>
            <w:tcW w:w="1134" w:type="dxa"/>
            <w:shd w:val="clear" w:color="auto" w:fill="FFFFFF"/>
          </w:tcPr>
          <w:p w14:paraId="1B87CDAC" w14:textId="74B12CB6" w:rsidR="00782839" w:rsidRDefault="00143F3D" w:rsidP="00BA315C">
            <w:pPr>
              <w:pStyle w:val="CETBodytext"/>
              <w:ind w:right="-1"/>
              <w:jc w:val="center"/>
              <w:rPr>
                <w:rFonts w:cs="Arial"/>
                <w:szCs w:val="18"/>
                <w:lang w:val="en-GB"/>
              </w:rPr>
            </w:pPr>
            <w:r>
              <w:rPr>
                <w:rFonts w:cs="Arial"/>
                <w:szCs w:val="18"/>
                <w:lang w:val="en-GB"/>
              </w:rPr>
              <w:t>13.6</w:t>
            </w:r>
          </w:p>
        </w:tc>
        <w:tc>
          <w:tcPr>
            <w:tcW w:w="1276" w:type="dxa"/>
            <w:shd w:val="clear" w:color="auto" w:fill="FFFFFF"/>
          </w:tcPr>
          <w:p w14:paraId="43E9F98E" w14:textId="4D648C4E" w:rsidR="00782839" w:rsidRDefault="00EA0FB5" w:rsidP="00BA315C">
            <w:pPr>
              <w:pStyle w:val="CETBodytext"/>
              <w:ind w:right="-1"/>
              <w:jc w:val="center"/>
              <w:rPr>
                <w:rFonts w:cs="Arial"/>
                <w:szCs w:val="18"/>
                <w:lang w:val="en-GB"/>
              </w:rPr>
            </w:pPr>
            <w:r>
              <w:rPr>
                <w:rFonts w:cs="Arial"/>
                <w:szCs w:val="18"/>
                <w:lang w:val="en-GB"/>
              </w:rPr>
              <w:t>19.2</w:t>
            </w:r>
          </w:p>
        </w:tc>
        <w:tc>
          <w:tcPr>
            <w:tcW w:w="992" w:type="dxa"/>
            <w:shd w:val="clear" w:color="auto" w:fill="FFFFFF"/>
          </w:tcPr>
          <w:p w14:paraId="02178DAA" w14:textId="526F2559" w:rsidR="00782839" w:rsidRDefault="00EA0FB5" w:rsidP="00BA315C">
            <w:pPr>
              <w:pStyle w:val="CETBodytext"/>
              <w:ind w:right="-1"/>
              <w:jc w:val="center"/>
              <w:rPr>
                <w:rFonts w:cs="Arial"/>
                <w:szCs w:val="18"/>
                <w:lang w:val="en-GB"/>
              </w:rPr>
            </w:pPr>
            <w:r>
              <w:rPr>
                <w:rFonts w:cs="Arial"/>
                <w:szCs w:val="18"/>
                <w:lang w:val="en-GB"/>
              </w:rPr>
              <w:t>71.4</w:t>
            </w:r>
          </w:p>
        </w:tc>
        <w:tc>
          <w:tcPr>
            <w:tcW w:w="1134" w:type="dxa"/>
            <w:shd w:val="clear" w:color="auto" w:fill="FFFFFF"/>
          </w:tcPr>
          <w:p w14:paraId="5CA25466" w14:textId="60474E49" w:rsidR="00782839" w:rsidRDefault="00D60816" w:rsidP="00BA315C">
            <w:pPr>
              <w:pStyle w:val="CETBodytext"/>
              <w:ind w:right="-1"/>
              <w:jc w:val="center"/>
              <w:rPr>
                <w:rFonts w:cs="Arial"/>
                <w:szCs w:val="18"/>
                <w:lang w:val="en-GB"/>
              </w:rPr>
            </w:pPr>
            <w:r>
              <w:rPr>
                <w:rFonts w:cs="Arial"/>
                <w:szCs w:val="18"/>
                <w:lang w:val="en-GB"/>
              </w:rPr>
              <w:t>227.3</w:t>
            </w:r>
          </w:p>
        </w:tc>
      </w:tr>
      <w:tr w:rsidR="00782839" w:rsidRPr="00B57B36" w14:paraId="4FAB3724" w14:textId="77777777" w:rsidTr="005E09A2">
        <w:tc>
          <w:tcPr>
            <w:tcW w:w="1134" w:type="dxa"/>
            <w:shd w:val="clear" w:color="auto" w:fill="FFFFFF"/>
          </w:tcPr>
          <w:p w14:paraId="71262637" w14:textId="482A8852" w:rsidR="00782839" w:rsidRDefault="00606E01" w:rsidP="00B40785">
            <w:pPr>
              <w:pStyle w:val="CETBodytext"/>
              <w:ind w:right="-1"/>
              <w:jc w:val="left"/>
              <w:rPr>
                <w:rFonts w:cs="Arial"/>
                <w:szCs w:val="18"/>
                <w:lang w:val="en-GB"/>
              </w:rPr>
            </w:pPr>
            <w:r>
              <w:rPr>
                <w:lang w:val="en-GB"/>
              </w:rPr>
              <w:t>FC_0.2_R1</w:t>
            </w:r>
          </w:p>
        </w:tc>
        <w:tc>
          <w:tcPr>
            <w:tcW w:w="1134" w:type="dxa"/>
            <w:shd w:val="clear" w:color="auto" w:fill="FFFFFF"/>
          </w:tcPr>
          <w:p w14:paraId="5F9501FE" w14:textId="2D6912C1" w:rsidR="00782839" w:rsidRDefault="0028626A" w:rsidP="00BA315C">
            <w:pPr>
              <w:pStyle w:val="CETBodytext"/>
              <w:ind w:right="-1"/>
              <w:jc w:val="center"/>
              <w:rPr>
                <w:rFonts w:cs="Arial"/>
                <w:szCs w:val="18"/>
                <w:lang w:val="en-GB"/>
              </w:rPr>
            </w:pPr>
            <w:r>
              <w:rPr>
                <w:rFonts w:cs="Arial"/>
                <w:szCs w:val="18"/>
                <w:lang w:val="en-GB"/>
              </w:rPr>
              <w:t>76.3</w:t>
            </w:r>
          </w:p>
        </w:tc>
        <w:tc>
          <w:tcPr>
            <w:tcW w:w="1134" w:type="dxa"/>
            <w:shd w:val="clear" w:color="auto" w:fill="FFFFFF"/>
          </w:tcPr>
          <w:p w14:paraId="727A4A68" w14:textId="371F5A9F" w:rsidR="00782839" w:rsidRDefault="0028626A" w:rsidP="00BA315C">
            <w:pPr>
              <w:pStyle w:val="CETBodytext"/>
              <w:ind w:right="-1"/>
              <w:jc w:val="center"/>
              <w:rPr>
                <w:rFonts w:cs="Arial"/>
                <w:szCs w:val="18"/>
                <w:lang w:val="en-GB"/>
              </w:rPr>
            </w:pPr>
            <w:r>
              <w:rPr>
                <w:rFonts w:cs="Arial"/>
                <w:szCs w:val="18"/>
                <w:lang w:val="en-GB"/>
              </w:rPr>
              <w:t>7.8</w:t>
            </w:r>
          </w:p>
        </w:tc>
        <w:tc>
          <w:tcPr>
            <w:tcW w:w="1134" w:type="dxa"/>
            <w:shd w:val="clear" w:color="auto" w:fill="FFFFFF"/>
          </w:tcPr>
          <w:p w14:paraId="58856F84" w14:textId="4C0D2F10" w:rsidR="00782839" w:rsidRDefault="00143F3D" w:rsidP="00BA315C">
            <w:pPr>
              <w:pStyle w:val="CETBodytext"/>
              <w:ind w:right="-1"/>
              <w:jc w:val="center"/>
              <w:rPr>
                <w:rFonts w:cs="Arial"/>
                <w:szCs w:val="18"/>
                <w:lang w:val="en-GB"/>
              </w:rPr>
            </w:pPr>
            <w:r>
              <w:rPr>
                <w:rFonts w:cs="Arial"/>
                <w:szCs w:val="18"/>
                <w:lang w:val="en-GB"/>
              </w:rPr>
              <w:t>15.9</w:t>
            </w:r>
          </w:p>
        </w:tc>
        <w:tc>
          <w:tcPr>
            <w:tcW w:w="1276" w:type="dxa"/>
            <w:shd w:val="clear" w:color="auto" w:fill="FFFFFF"/>
          </w:tcPr>
          <w:p w14:paraId="1213FEFC" w14:textId="25675C36" w:rsidR="00782839" w:rsidRDefault="00EA0FB5" w:rsidP="00BA315C">
            <w:pPr>
              <w:pStyle w:val="CETBodytext"/>
              <w:ind w:right="-1"/>
              <w:jc w:val="center"/>
              <w:rPr>
                <w:rFonts w:cs="Arial"/>
                <w:szCs w:val="18"/>
                <w:lang w:val="en-GB"/>
              </w:rPr>
            </w:pPr>
            <w:r>
              <w:rPr>
                <w:rFonts w:cs="Arial"/>
                <w:szCs w:val="18"/>
                <w:lang w:val="en-GB"/>
              </w:rPr>
              <w:t>20.2</w:t>
            </w:r>
          </w:p>
        </w:tc>
        <w:tc>
          <w:tcPr>
            <w:tcW w:w="992" w:type="dxa"/>
            <w:shd w:val="clear" w:color="auto" w:fill="FFFFFF"/>
          </w:tcPr>
          <w:p w14:paraId="2429CFD5" w14:textId="0CF89F3A" w:rsidR="00782839" w:rsidRDefault="00EA0FB5" w:rsidP="00BA315C">
            <w:pPr>
              <w:pStyle w:val="CETBodytext"/>
              <w:ind w:right="-1"/>
              <w:jc w:val="center"/>
              <w:rPr>
                <w:rFonts w:cs="Arial"/>
                <w:szCs w:val="18"/>
                <w:lang w:val="en-GB"/>
              </w:rPr>
            </w:pPr>
            <w:r>
              <w:rPr>
                <w:rFonts w:cs="Arial"/>
                <w:szCs w:val="18"/>
                <w:lang w:val="en-GB"/>
              </w:rPr>
              <w:t>78.7</w:t>
            </w:r>
          </w:p>
        </w:tc>
        <w:tc>
          <w:tcPr>
            <w:tcW w:w="1134" w:type="dxa"/>
            <w:shd w:val="clear" w:color="auto" w:fill="FFFFFF"/>
          </w:tcPr>
          <w:p w14:paraId="7316E063" w14:textId="5BBD8C24" w:rsidR="00782839" w:rsidRDefault="00D60816" w:rsidP="00BA315C">
            <w:pPr>
              <w:pStyle w:val="CETBodytext"/>
              <w:ind w:right="-1"/>
              <w:jc w:val="center"/>
              <w:rPr>
                <w:rFonts w:cs="Arial"/>
                <w:szCs w:val="18"/>
                <w:lang w:val="en-GB"/>
              </w:rPr>
            </w:pPr>
            <w:r>
              <w:rPr>
                <w:rFonts w:cs="Arial"/>
                <w:szCs w:val="18"/>
                <w:lang w:val="en-GB"/>
              </w:rPr>
              <w:t>260.4</w:t>
            </w:r>
          </w:p>
        </w:tc>
      </w:tr>
    </w:tbl>
    <w:p w14:paraId="510538B4" w14:textId="77777777" w:rsidR="009734A9" w:rsidRPr="00B57B36" w:rsidRDefault="009734A9" w:rsidP="009734A9">
      <w:pPr>
        <w:pStyle w:val="CETTabletitle"/>
        <w:tabs>
          <w:tab w:val="left" w:pos="927"/>
        </w:tabs>
      </w:pPr>
    </w:p>
    <w:p w14:paraId="68D26B83" w14:textId="77777777" w:rsidR="00600535" w:rsidRPr="00B57B36" w:rsidRDefault="00600535" w:rsidP="00600535">
      <w:pPr>
        <w:pStyle w:val="CETHeading1"/>
        <w:rPr>
          <w:lang w:val="en-GB"/>
        </w:rPr>
      </w:pPr>
      <w:r w:rsidRPr="00B57B36">
        <w:rPr>
          <w:lang w:val="en-GB"/>
        </w:rPr>
        <w:t>Conclusions</w:t>
      </w:r>
    </w:p>
    <w:p w14:paraId="5D0721A9" w14:textId="6A781073" w:rsidR="00512417" w:rsidRPr="00C203F3" w:rsidRDefault="00CB31DF" w:rsidP="00C203F3">
      <w:pPr>
        <w:pStyle w:val="CETAcknowledgementstitle"/>
        <w:spacing w:before="0" w:after="0" w:line="264" w:lineRule="auto"/>
        <w:jc w:val="both"/>
        <w:rPr>
          <w:b w:val="0"/>
        </w:rPr>
      </w:pPr>
      <w:r w:rsidRPr="00CB31DF">
        <w:rPr>
          <w:b w:val="0"/>
        </w:rPr>
        <w:t xml:space="preserve">In this study, </w:t>
      </w:r>
      <w:proofErr w:type="spellStart"/>
      <w:r w:rsidRPr="00CB31DF">
        <w:rPr>
          <w:b w:val="0"/>
        </w:rPr>
        <w:t>Ferula</w:t>
      </w:r>
      <w:proofErr w:type="spellEnd"/>
      <w:r w:rsidRPr="00CB31DF">
        <w:rPr>
          <w:b w:val="0"/>
        </w:rPr>
        <w:t xml:space="preserve"> </w:t>
      </w:r>
      <w:proofErr w:type="spellStart"/>
      <w:r w:rsidRPr="00CB31DF">
        <w:rPr>
          <w:b w:val="0"/>
        </w:rPr>
        <w:t>Communis</w:t>
      </w:r>
      <w:proofErr w:type="spellEnd"/>
      <w:r w:rsidRPr="00CB31DF">
        <w:rPr>
          <w:b w:val="0"/>
        </w:rPr>
        <w:t xml:space="preserve"> plant residues were used as feedstock for HTC tests with </w:t>
      </w:r>
      <w:r w:rsidR="00F210F0">
        <w:rPr>
          <w:b w:val="0"/>
        </w:rPr>
        <w:t>PW</w:t>
      </w:r>
      <w:r w:rsidRPr="00CB31DF">
        <w:rPr>
          <w:b w:val="0"/>
        </w:rPr>
        <w:t xml:space="preserve"> recirculation in order to clarify the effect of temperature, solid load and consecutive conversion phases on </w:t>
      </w:r>
      <w:proofErr w:type="spellStart"/>
      <w:r w:rsidRPr="00CB31DF">
        <w:rPr>
          <w:b w:val="0"/>
        </w:rPr>
        <w:t>hydrochar</w:t>
      </w:r>
      <w:proofErr w:type="spellEnd"/>
      <w:r w:rsidRPr="00CB31DF">
        <w:rPr>
          <w:b w:val="0"/>
        </w:rPr>
        <w:t xml:space="preserve"> mass recovery and </w:t>
      </w:r>
      <w:r w:rsidR="00FC5A00">
        <w:rPr>
          <w:b w:val="0"/>
        </w:rPr>
        <w:t xml:space="preserve">energy </w:t>
      </w:r>
      <w:r w:rsidRPr="00CB31DF">
        <w:rPr>
          <w:b w:val="0"/>
        </w:rPr>
        <w:t>properties.</w:t>
      </w:r>
      <w:r w:rsidR="00205A65">
        <w:rPr>
          <w:b w:val="0"/>
        </w:rPr>
        <w:t xml:space="preserve"> </w:t>
      </w:r>
      <w:r w:rsidR="00205A65" w:rsidRPr="00205A65">
        <w:rPr>
          <w:b w:val="0"/>
        </w:rPr>
        <w:t xml:space="preserve">Results revealed that strong synergistic effects occurred between the biomass and the recycled solvent, leading to a considerable increase of </w:t>
      </w:r>
      <w:proofErr w:type="spellStart"/>
      <w:r w:rsidR="00205A65" w:rsidRPr="00205A65">
        <w:rPr>
          <w:b w:val="0"/>
        </w:rPr>
        <w:t>hydrochar</w:t>
      </w:r>
      <w:proofErr w:type="spellEnd"/>
      <w:r w:rsidR="00205A65" w:rsidRPr="00205A65">
        <w:rPr>
          <w:b w:val="0"/>
        </w:rPr>
        <w:t xml:space="preserve"> mass yield.</w:t>
      </w:r>
      <w:r w:rsidR="00512417">
        <w:rPr>
          <w:b w:val="0"/>
        </w:rPr>
        <w:t xml:space="preserve"> </w:t>
      </w:r>
      <w:r w:rsidR="00AD00A9" w:rsidRPr="00512417">
        <w:rPr>
          <w:b w:val="0"/>
        </w:rPr>
        <w:t xml:space="preserve">The impact of PW recirculation strategy on HTC was </w:t>
      </w:r>
      <w:r w:rsidR="00A33AF0">
        <w:rPr>
          <w:b w:val="0"/>
        </w:rPr>
        <w:t xml:space="preserve">found to be </w:t>
      </w:r>
      <w:r w:rsidR="00AD00A9" w:rsidRPr="00512417">
        <w:rPr>
          <w:b w:val="0"/>
        </w:rPr>
        <w:t xml:space="preserve">remarkable </w:t>
      </w:r>
      <w:r w:rsidR="00607407">
        <w:rPr>
          <w:b w:val="0"/>
        </w:rPr>
        <w:t>in particular</w:t>
      </w:r>
      <w:r w:rsidR="00607407" w:rsidRPr="00512417">
        <w:rPr>
          <w:b w:val="0"/>
        </w:rPr>
        <w:t xml:space="preserve"> </w:t>
      </w:r>
      <w:r w:rsidR="00AD00A9" w:rsidRPr="00512417">
        <w:rPr>
          <w:b w:val="0"/>
        </w:rPr>
        <w:t>at 180 °C and B/W of 0.1.</w:t>
      </w:r>
      <w:r w:rsidR="00AD00A9">
        <w:rPr>
          <w:b w:val="0"/>
        </w:rPr>
        <w:t xml:space="preserve"> </w:t>
      </w:r>
      <w:r w:rsidR="009A22FA">
        <w:rPr>
          <w:b w:val="0"/>
        </w:rPr>
        <w:t>On average,</w:t>
      </w:r>
      <w:r w:rsidR="00512417" w:rsidRPr="00512417">
        <w:rPr>
          <w:b w:val="0"/>
        </w:rPr>
        <w:t xml:space="preserve"> 80% of the additional </w:t>
      </w:r>
      <w:proofErr w:type="spellStart"/>
      <w:r w:rsidR="00512417" w:rsidRPr="00512417">
        <w:rPr>
          <w:b w:val="0"/>
        </w:rPr>
        <w:t>hydrochar</w:t>
      </w:r>
      <w:proofErr w:type="spellEnd"/>
      <w:r w:rsidR="00512417" w:rsidRPr="00512417">
        <w:rPr>
          <w:b w:val="0"/>
        </w:rPr>
        <w:t xml:space="preserve"> </w:t>
      </w:r>
      <w:r w:rsidR="00607407">
        <w:rPr>
          <w:b w:val="0"/>
        </w:rPr>
        <w:t xml:space="preserve">mass </w:t>
      </w:r>
      <w:r w:rsidR="00512417" w:rsidRPr="00512417">
        <w:rPr>
          <w:b w:val="0"/>
        </w:rPr>
        <w:t xml:space="preserve">recovery was due </w:t>
      </w:r>
      <w:r w:rsidR="00FA3146">
        <w:rPr>
          <w:b w:val="0"/>
        </w:rPr>
        <w:t xml:space="preserve">to </w:t>
      </w:r>
      <w:r w:rsidR="00512417" w:rsidRPr="00512417">
        <w:rPr>
          <w:b w:val="0"/>
        </w:rPr>
        <w:t xml:space="preserve">the positive influence of reactive compounds dissolved in PW on the conversion. </w:t>
      </w:r>
      <w:proofErr w:type="spellStart"/>
      <w:r w:rsidR="00512417" w:rsidRPr="00512417">
        <w:rPr>
          <w:b w:val="0"/>
        </w:rPr>
        <w:t>Hydrochar</w:t>
      </w:r>
      <w:proofErr w:type="spellEnd"/>
      <w:r w:rsidR="00512417" w:rsidRPr="00512417">
        <w:rPr>
          <w:b w:val="0"/>
        </w:rPr>
        <w:t xml:space="preserve"> yield </w:t>
      </w:r>
      <w:r w:rsidR="00AD00A9">
        <w:rPr>
          <w:b w:val="0"/>
        </w:rPr>
        <w:t>was increased</w:t>
      </w:r>
      <w:r w:rsidR="00512417" w:rsidRPr="00512417">
        <w:rPr>
          <w:b w:val="0"/>
        </w:rPr>
        <w:t xml:space="preserve"> up to </w:t>
      </w:r>
      <w:r w:rsidR="00B22519">
        <w:rPr>
          <w:b w:val="0"/>
        </w:rPr>
        <w:t>12.3</w:t>
      </w:r>
      <w:r w:rsidR="00512417" w:rsidRPr="00512417">
        <w:rPr>
          <w:b w:val="0"/>
        </w:rPr>
        <w:t xml:space="preserve"> </w:t>
      </w:r>
      <w:proofErr w:type="spellStart"/>
      <w:r w:rsidR="00512417" w:rsidRPr="00512417">
        <w:rPr>
          <w:b w:val="0"/>
        </w:rPr>
        <w:t>wt</w:t>
      </w:r>
      <w:proofErr w:type="spellEnd"/>
      <w:r w:rsidR="00512417" w:rsidRPr="00512417">
        <w:rPr>
          <w:b w:val="0"/>
        </w:rPr>
        <w:t xml:space="preserve">% </w:t>
      </w:r>
      <w:proofErr w:type="spellStart"/>
      <w:r w:rsidR="00512417" w:rsidRPr="00512417">
        <w:rPr>
          <w:b w:val="0"/>
        </w:rPr>
        <w:t>d.b</w:t>
      </w:r>
      <w:proofErr w:type="spellEnd"/>
      <w:r w:rsidR="00512417" w:rsidRPr="00512417">
        <w:rPr>
          <w:b w:val="0"/>
        </w:rPr>
        <w:t>. a</w:t>
      </w:r>
      <w:r w:rsidR="00AD00A9">
        <w:rPr>
          <w:b w:val="0"/>
        </w:rPr>
        <w:t xml:space="preserve">fter three consecutive recycles, remaining almost constant in </w:t>
      </w:r>
      <w:r w:rsidR="00C203F3">
        <w:rPr>
          <w:b w:val="0"/>
        </w:rPr>
        <w:t>the following two</w:t>
      </w:r>
      <w:r w:rsidR="00607407">
        <w:rPr>
          <w:b w:val="0"/>
        </w:rPr>
        <w:t xml:space="preserve"> further</w:t>
      </w:r>
      <w:r w:rsidR="00C203F3">
        <w:rPr>
          <w:b w:val="0"/>
        </w:rPr>
        <w:t xml:space="preserve"> steps probably because soluble organics </w:t>
      </w:r>
      <w:r w:rsidR="00FC5A00">
        <w:rPr>
          <w:b w:val="0"/>
        </w:rPr>
        <w:t>reach</w:t>
      </w:r>
      <w:r w:rsidR="00C203F3">
        <w:rPr>
          <w:b w:val="0"/>
        </w:rPr>
        <w:t>ed saturation</w:t>
      </w:r>
      <w:r w:rsidR="00607407">
        <w:rPr>
          <w:b w:val="0"/>
        </w:rPr>
        <w:t xml:space="preserve"> in the PW</w:t>
      </w:r>
      <w:r w:rsidR="00C203F3">
        <w:rPr>
          <w:b w:val="0"/>
        </w:rPr>
        <w:t>.</w:t>
      </w:r>
      <w:r w:rsidR="00512417" w:rsidRPr="00512417">
        <w:rPr>
          <w:b w:val="0"/>
        </w:rPr>
        <w:t xml:space="preserve"> Organic acids, accumulated in the reused solvent, may have </w:t>
      </w:r>
      <w:proofErr w:type="spellStart"/>
      <w:r w:rsidR="00512417" w:rsidRPr="00512417">
        <w:rPr>
          <w:b w:val="0"/>
        </w:rPr>
        <w:t>catalyzed</w:t>
      </w:r>
      <w:proofErr w:type="spellEnd"/>
      <w:r w:rsidR="00512417" w:rsidRPr="00512417">
        <w:rPr>
          <w:b w:val="0"/>
        </w:rPr>
        <w:t xml:space="preserve"> the biomass </w:t>
      </w:r>
      <w:r w:rsidR="00607407" w:rsidRPr="00512417">
        <w:rPr>
          <w:b w:val="0"/>
        </w:rPr>
        <w:t>de</w:t>
      </w:r>
      <w:r w:rsidR="00607407">
        <w:rPr>
          <w:b w:val="0"/>
        </w:rPr>
        <w:t>composition</w:t>
      </w:r>
      <w:r w:rsidR="00607407" w:rsidRPr="00512417">
        <w:rPr>
          <w:b w:val="0"/>
        </w:rPr>
        <w:t xml:space="preserve"> </w:t>
      </w:r>
      <w:r w:rsidR="00607407">
        <w:rPr>
          <w:b w:val="0"/>
        </w:rPr>
        <w:t>leading also to an</w:t>
      </w:r>
      <w:r w:rsidR="00512417" w:rsidRPr="00512417">
        <w:rPr>
          <w:b w:val="0"/>
        </w:rPr>
        <w:t xml:space="preserve"> increase </w:t>
      </w:r>
      <w:r w:rsidR="00166C54">
        <w:rPr>
          <w:b w:val="0"/>
        </w:rPr>
        <w:t xml:space="preserve">of </w:t>
      </w:r>
      <w:r w:rsidR="00512417" w:rsidRPr="00512417">
        <w:rPr>
          <w:b w:val="0"/>
        </w:rPr>
        <w:t xml:space="preserve">the </w:t>
      </w:r>
      <w:r w:rsidR="00607407" w:rsidRPr="00512417">
        <w:rPr>
          <w:b w:val="0"/>
        </w:rPr>
        <w:t xml:space="preserve">fixed carbon </w:t>
      </w:r>
      <w:r w:rsidR="00607407">
        <w:rPr>
          <w:b w:val="0"/>
        </w:rPr>
        <w:t>in the hydrocars.</w:t>
      </w:r>
      <w:r w:rsidR="00512417" w:rsidRPr="00512417">
        <w:rPr>
          <w:b w:val="0"/>
        </w:rPr>
        <w:t xml:space="preserve"> As result, HHV slightly augmented. </w:t>
      </w:r>
      <w:r w:rsidR="00525AC9" w:rsidRPr="00C203F3">
        <w:rPr>
          <w:b w:val="0"/>
        </w:rPr>
        <w:t xml:space="preserve">The energy balance calculations proved that PW recycling strategy could significantly improve the process energy efficiency. </w:t>
      </w:r>
      <w:r w:rsidR="00607407">
        <w:rPr>
          <w:b w:val="0"/>
        </w:rPr>
        <w:t>The study demonstrated that, a</w:t>
      </w:r>
      <w:r w:rsidR="00525AC9" w:rsidRPr="00C203F3">
        <w:rPr>
          <w:b w:val="0"/>
        </w:rPr>
        <w:t>fter recirculation steps, the energy recovery</w:t>
      </w:r>
      <w:r w:rsidR="006A71BF">
        <w:rPr>
          <w:b w:val="0"/>
        </w:rPr>
        <w:t xml:space="preserve"> averagely increased by almost </w:t>
      </w:r>
      <w:r w:rsidR="00525AC9" w:rsidRPr="00C203F3">
        <w:rPr>
          <w:b w:val="0"/>
        </w:rPr>
        <w:t>twofold.</w:t>
      </w:r>
    </w:p>
    <w:p w14:paraId="2664F54C" w14:textId="77777777" w:rsidR="00C203F3" w:rsidRPr="00512417" w:rsidRDefault="00C203F3" w:rsidP="00512417">
      <w:pPr>
        <w:pStyle w:val="CETBodytext"/>
      </w:pPr>
    </w:p>
    <w:p w14:paraId="459D05E6" w14:textId="1E8457AE" w:rsidR="00600535" w:rsidRPr="00B57B36" w:rsidRDefault="00600535" w:rsidP="00600535">
      <w:pPr>
        <w:pStyle w:val="CETAcknowledgementstitle"/>
      </w:pPr>
      <w:r w:rsidRPr="00B57B36">
        <w:t>Acknowledgments</w:t>
      </w:r>
    </w:p>
    <w:p w14:paraId="1EFF544D" w14:textId="6E1DA48A" w:rsidR="0078076B" w:rsidRPr="00F57510" w:rsidRDefault="0078076B" w:rsidP="0078076B">
      <w:pPr>
        <w:spacing w:line="240" w:lineRule="auto"/>
      </w:pPr>
      <w:r w:rsidRPr="00F57510">
        <w:t xml:space="preserve">The authors gratefully acknowledge the student Vanessa </w:t>
      </w:r>
      <w:proofErr w:type="spellStart"/>
      <w:r w:rsidRPr="00F57510">
        <w:t>Ardone</w:t>
      </w:r>
      <w:proofErr w:type="spellEnd"/>
      <w:r w:rsidRPr="00F57510">
        <w:t xml:space="preserve"> for her assistance during HTC experiments. The research was carried out in the framework of the "</w:t>
      </w:r>
      <w:proofErr w:type="spellStart"/>
      <w:r w:rsidRPr="00F57510">
        <w:t>SiciliAn</w:t>
      </w:r>
      <w:proofErr w:type="spellEnd"/>
      <w:r w:rsidRPr="00F57510">
        <w:t xml:space="preserve"> </w:t>
      </w:r>
      <w:proofErr w:type="spellStart"/>
      <w:r w:rsidRPr="00F57510">
        <w:t>MicronanOTecH</w:t>
      </w:r>
      <w:proofErr w:type="spellEnd"/>
      <w:r w:rsidRPr="00F57510">
        <w:t xml:space="preserve"> Research </w:t>
      </w:r>
      <w:proofErr w:type="gramStart"/>
      <w:r w:rsidRPr="00F57510">
        <w:t>And</w:t>
      </w:r>
      <w:proofErr w:type="gramEnd"/>
      <w:r w:rsidRPr="00F57510">
        <w:t xml:space="preserve"> Innovation </w:t>
      </w:r>
      <w:proofErr w:type="spellStart"/>
      <w:r w:rsidRPr="00F57510">
        <w:t>Center</w:t>
      </w:r>
      <w:proofErr w:type="spellEnd"/>
      <w:r w:rsidRPr="00F57510">
        <w:t xml:space="preserve"> - SAMOTHRACE" project (MUR, PNRR-M4C2, ECS_00000022).</w:t>
      </w:r>
    </w:p>
    <w:p w14:paraId="4F1327F8" w14:textId="77777777" w:rsidR="00600535" w:rsidRPr="00B57B36" w:rsidRDefault="00600535" w:rsidP="0078076B">
      <w:pPr>
        <w:pStyle w:val="CETReference"/>
      </w:pPr>
      <w:r w:rsidRPr="00B57B36">
        <w:t>References</w:t>
      </w:r>
    </w:p>
    <w:p w14:paraId="2E84C9E8" w14:textId="37428C45" w:rsidR="0008040B" w:rsidRPr="00E6735C" w:rsidRDefault="00814EC6" w:rsidP="0008040B">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sidR="0008040B" w:rsidRPr="0008040B">
        <w:rPr>
          <w:rFonts w:cs="Arial"/>
          <w:noProof/>
          <w:szCs w:val="24"/>
        </w:rPr>
        <w:t xml:space="preserve"> </w:t>
      </w:r>
      <w:r w:rsidR="0008040B">
        <w:rPr>
          <w:rFonts w:cs="Arial"/>
          <w:noProof/>
          <w:szCs w:val="24"/>
        </w:rPr>
        <w:t>Akaberi M., Iranshahy M., Iranshahi M., 2015,</w:t>
      </w:r>
      <w:r w:rsidR="0008040B" w:rsidRPr="00E6735C">
        <w:rPr>
          <w:rFonts w:cs="Arial"/>
          <w:noProof/>
          <w:szCs w:val="24"/>
        </w:rPr>
        <w:t xml:space="preserve"> Review of the traditional uses, phytochemistry, pharmacology and toxicology of giant fennel (Feru</w:t>
      </w:r>
      <w:r w:rsidR="0008040B">
        <w:rPr>
          <w:rFonts w:cs="Arial"/>
          <w:noProof/>
          <w:szCs w:val="24"/>
        </w:rPr>
        <w:t>la communis l. subsp. communis),</w:t>
      </w:r>
      <w:r w:rsidR="0008040B" w:rsidRPr="00E6735C">
        <w:rPr>
          <w:rFonts w:cs="Arial"/>
          <w:noProof/>
          <w:szCs w:val="24"/>
        </w:rPr>
        <w:t xml:space="preserve"> Iran. J. Basic Med. Sci.</w:t>
      </w:r>
      <w:r w:rsidR="0008040B">
        <w:rPr>
          <w:rFonts w:cs="Arial"/>
          <w:noProof/>
          <w:szCs w:val="24"/>
        </w:rPr>
        <w:t>,</w:t>
      </w:r>
      <w:r w:rsidR="0008040B" w:rsidRPr="00E6735C">
        <w:rPr>
          <w:rFonts w:cs="Arial"/>
          <w:noProof/>
          <w:szCs w:val="24"/>
        </w:rPr>
        <w:t xml:space="preserve"> 18, 1050–1062.</w:t>
      </w:r>
    </w:p>
    <w:p w14:paraId="0B4BE1C9" w14:textId="41DBF64D" w:rsidR="0091522F" w:rsidRPr="00E6735C" w:rsidRDefault="0091522F" w:rsidP="0091522F">
      <w:pPr>
        <w:widowControl w:val="0"/>
        <w:autoSpaceDE w:val="0"/>
        <w:autoSpaceDN w:val="0"/>
        <w:adjustRightInd w:val="0"/>
        <w:spacing w:line="240" w:lineRule="auto"/>
        <w:ind w:left="480" w:hanging="480"/>
        <w:rPr>
          <w:rFonts w:cs="Arial"/>
          <w:noProof/>
          <w:szCs w:val="24"/>
        </w:rPr>
      </w:pPr>
      <w:r>
        <w:rPr>
          <w:rFonts w:cs="Arial"/>
          <w:noProof/>
          <w:szCs w:val="24"/>
        </w:rPr>
        <w:t>Arauzo P.J., Olszewski M.P., Wang X., Pfersich J., Sebastian V., Manyà J., Hedin N., Kruse A., 2020,</w:t>
      </w:r>
      <w:r w:rsidRPr="00E6735C">
        <w:rPr>
          <w:rFonts w:cs="Arial"/>
          <w:noProof/>
          <w:szCs w:val="24"/>
        </w:rPr>
        <w:t xml:space="preserve"> Assessment of the effects of process water recirculation on the surface chemis</w:t>
      </w:r>
      <w:r>
        <w:rPr>
          <w:rFonts w:cs="Arial"/>
          <w:noProof/>
          <w:szCs w:val="24"/>
        </w:rPr>
        <w:t>try and morphology of hydrochar, Renew. Energ,</w:t>
      </w:r>
      <w:r w:rsidRPr="00E6735C">
        <w:rPr>
          <w:rFonts w:cs="Arial"/>
          <w:noProof/>
          <w:szCs w:val="24"/>
        </w:rPr>
        <w:t xml:space="preserve"> 155, 1173–1180.</w:t>
      </w:r>
    </w:p>
    <w:p w14:paraId="09121E3B" w14:textId="77777777" w:rsidR="00584BCF" w:rsidRPr="00E6735C" w:rsidRDefault="00584BCF" w:rsidP="00584BCF">
      <w:pPr>
        <w:widowControl w:val="0"/>
        <w:autoSpaceDE w:val="0"/>
        <w:autoSpaceDN w:val="0"/>
        <w:adjustRightInd w:val="0"/>
        <w:spacing w:line="240" w:lineRule="auto"/>
        <w:ind w:left="480" w:hanging="480"/>
        <w:rPr>
          <w:rFonts w:cs="Arial"/>
          <w:noProof/>
          <w:szCs w:val="24"/>
        </w:rPr>
      </w:pPr>
      <w:r w:rsidRPr="00E6735C">
        <w:rPr>
          <w:rFonts w:cs="Arial"/>
          <w:noProof/>
          <w:szCs w:val="24"/>
        </w:rPr>
        <w:t>Codign</w:t>
      </w:r>
      <w:r>
        <w:rPr>
          <w:rFonts w:cs="Arial"/>
          <w:noProof/>
          <w:szCs w:val="24"/>
        </w:rPr>
        <w:t>ole F., Volpe M., Chiaruzzi C., Picone A., Messineo A., 2023,</w:t>
      </w:r>
      <w:r w:rsidRPr="00E6735C">
        <w:rPr>
          <w:rFonts w:cs="Arial"/>
          <w:noProof/>
          <w:szCs w:val="24"/>
        </w:rPr>
        <w:t xml:space="preserve"> Bio-Crude and Bio-Char Production via Hydrothermal Carbonization of Spontaneously Grown Ricinus Communis</w:t>
      </w:r>
      <w:r>
        <w:rPr>
          <w:rFonts w:cs="Arial"/>
          <w:noProof/>
          <w:szCs w:val="24"/>
        </w:rPr>
        <w:t>,</w:t>
      </w:r>
      <w:r w:rsidRPr="00E6735C">
        <w:rPr>
          <w:rFonts w:cs="Arial"/>
          <w:noProof/>
          <w:szCs w:val="24"/>
        </w:rPr>
        <w:t xml:space="preserve"> Chem. Eng. Trans.</w:t>
      </w:r>
      <w:r>
        <w:rPr>
          <w:rFonts w:cs="Arial"/>
          <w:noProof/>
          <w:szCs w:val="24"/>
        </w:rPr>
        <w:t xml:space="preserve">, </w:t>
      </w:r>
      <w:r w:rsidRPr="00E6735C">
        <w:rPr>
          <w:rFonts w:cs="Arial"/>
          <w:noProof/>
          <w:szCs w:val="24"/>
        </w:rPr>
        <w:t>98, 117–122.</w:t>
      </w:r>
    </w:p>
    <w:p w14:paraId="19DD6553" w14:textId="77777777" w:rsidR="00CA5DEA" w:rsidRPr="00E6735C" w:rsidRDefault="00CA5DEA" w:rsidP="00CA5DEA">
      <w:pPr>
        <w:widowControl w:val="0"/>
        <w:autoSpaceDE w:val="0"/>
        <w:autoSpaceDN w:val="0"/>
        <w:adjustRightInd w:val="0"/>
        <w:spacing w:line="240" w:lineRule="auto"/>
        <w:ind w:left="480" w:hanging="480"/>
        <w:rPr>
          <w:rFonts w:cs="Arial"/>
          <w:noProof/>
          <w:szCs w:val="24"/>
        </w:rPr>
      </w:pPr>
      <w:r>
        <w:rPr>
          <w:rFonts w:cs="Arial"/>
          <w:noProof/>
          <w:szCs w:val="24"/>
        </w:rPr>
        <w:t>Jia J., Wang R., Chen H., Xue Q., Yin Q., Zhao Z., 2022,</w:t>
      </w:r>
      <w:r w:rsidRPr="00E6735C">
        <w:rPr>
          <w:rFonts w:cs="Arial"/>
          <w:noProof/>
          <w:szCs w:val="24"/>
        </w:rPr>
        <w:t xml:space="preserve"> Interaction mechanism between cellulose and hemicellulose during the hydrothermal carboniz</w:t>
      </w:r>
      <w:r>
        <w:rPr>
          <w:rFonts w:cs="Arial"/>
          <w:noProof/>
          <w:szCs w:val="24"/>
        </w:rPr>
        <w:t>ation of lignocellulosic biomas, Energy Sci. Eng.,</w:t>
      </w:r>
      <w:r w:rsidRPr="00E6735C">
        <w:rPr>
          <w:rFonts w:cs="Arial"/>
          <w:noProof/>
          <w:szCs w:val="24"/>
        </w:rPr>
        <w:t xml:space="preserve"> 1–12.</w:t>
      </w:r>
    </w:p>
    <w:p w14:paraId="3E6F094F" w14:textId="60AE1403" w:rsidR="00007CF9" w:rsidRPr="00E6735C" w:rsidRDefault="00007CF9" w:rsidP="00007CF9">
      <w:pPr>
        <w:widowControl w:val="0"/>
        <w:autoSpaceDE w:val="0"/>
        <w:autoSpaceDN w:val="0"/>
        <w:adjustRightInd w:val="0"/>
        <w:spacing w:line="240" w:lineRule="auto"/>
        <w:ind w:left="480" w:hanging="480"/>
        <w:rPr>
          <w:rFonts w:cs="Arial"/>
          <w:noProof/>
          <w:szCs w:val="24"/>
        </w:rPr>
      </w:pPr>
      <w:r>
        <w:rPr>
          <w:rFonts w:cs="Arial"/>
          <w:noProof/>
          <w:szCs w:val="24"/>
        </w:rPr>
        <w:t>Leng L., Yang L., Chen J., Hu Y., Li Hailong, Li Hui, Jiang S., Peng H.,Yuan X., Huang H., 2021,</w:t>
      </w:r>
      <w:r w:rsidRPr="00E6735C">
        <w:rPr>
          <w:rFonts w:cs="Arial"/>
          <w:noProof/>
          <w:szCs w:val="24"/>
        </w:rPr>
        <w:t xml:space="preserve"> Valorization of the aqueous phase produced from wet and dry thermochemic</w:t>
      </w:r>
      <w:r>
        <w:rPr>
          <w:rFonts w:cs="Arial"/>
          <w:noProof/>
          <w:szCs w:val="24"/>
        </w:rPr>
        <w:t>al processing biomass: A review,</w:t>
      </w:r>
      <w:r w:rsidRPr="00E6735C">
        <w:rPr>
          <w:rFonts w:cs="Arial"/>
          <w:noProof/>
          <w:szCs w:val="24"/>
        </w:rPr>
        <w:t xml:space="preserve"> J. Clean. Prod.</w:t>
      </w:r>
      <w:r>
        <w:rPr>
          <w:rFonts w:cs="Arial"/>
          <w:noProof/>
          <w:szCs w:val="24"/>
        </w:rPr>
        <w:t>,</w:t>
      </w:r>
      <w:r w:rsidRPr="00E6735C">
        <w:rPr>
          <w:rFonts w:cs="Arial"/>
          <w:noProof/>
          <w:szCs w:val="24"/>
        </w:rPr>
        <w:t xml:space="preserve"> 294</w:t>
      </w:r>
      <w:r w:rsidR="00CB799A">
        <w:rPr>
          <w:rFonts w:cs="Arial"/>
          <w:noProof/>
          <w:szCs w:val="24"/>
        </w:rPr>
        <w:t>,126238.</w:t>
      </w:r>
    </w:p>
    <w:p w14:paraId="7497D971" w14:textId="51431968" w:rsidR="00F57510" w:rsidRPr="00F57510" w:rsidRDefault="004250B2" w:rsidP="00F57510">
      <w:pPr>
        <w:widowControl w:val="0"/>
        <w:autoSpaceDE w:val="0"/>
        <w:autoSpaceDN w:val="0"/>
        <w:adjustRightInd w:val="0"/>
        <w:spacing w:line="240" w:lineRule="auto"/>
        <w:ind w:left="480" w:hanging="480"/>
        <w:rPr>
          <w:rFonts w:cs="Arial"/>
          <w:noProof/>
          <w:szCs w:val="24"/>
        </w:rPr>
      </w:pPr>
      <w:r>
        <w:rPr>
          <w:rFonts w:cs="Arial"/>
          <w:noProof/>
          <w:szCs w:val="24"/>
        </w:rPr>
        <w:t>Mariuzza D., Lin J.C., Volpe M., Fiori</w:t>
      </w:r>
      <w:r w:rsidR="00F57510" w:rsidRPr="00F57510">
        <w:rPr>
          <w:rFonts w:cs="Arial"/>
          <w:noProof/>
          <w:szCs w:val="24"/>
        </w:rPr>
        <w:t xml:space="preserve"> L., Ceylan</w:t>
      </w:r>
      <w:r>
        <w:rPr>
          <w:rFonts w:cs="Arial"/>
          <w:noProof/>
          <w:szCs w:val="24"/>
        </w:rPr>
        <w:t xml:space="preserve"> S., Goldfarb J.L., 2022,</w:t>
      </w:r>
      <w:r w:rsidR="00F57510" w:rsidRPr="00F57510">
        <w:rPr>
          <w:rFonts w:cs="Arial"/>
          <w:noProof/>
          <w:szCs w:val="24"/>
        </w:rPr>
        <w:t xml:space="preserve"> Impact of Co-Hydrothermal carbonization of animal and agricultural waste on hydrochars’ soil amen</w:t>
      </w:r>
      <w:r>
        <w:rPr>
          <w:rFonts w:cs="Arial"/>
          <w:noProof/>
          <w:szCs w:val="24"/>
        </w:rPr>
        <w:t>dment and solid fuel properties,</w:t>
      </w:r>
      <w:r w:rsidR="00F57510" w:rsidRPr="00F57510">
        <w:rPr>
          <w:rFonts w:cs="Arial"/>
          <w:noProof/>
          <w:szCs w:val="24"/>
        </w:rPr>
        <w:t xml:space="preserve"> Biomass and Bioenergy</w:t>
      </w:r>
      <w:r>
        <w:rPr>
          <w:rFonts w:cs="Arial"/>
          <w:noProof/>
          <w:szCs w:val="24"/>
        </w:rPr>
        <w:t>,</w:t>
      </w:r>
      <w:r w:rsidR="00F57510" w:rsidRPr="00F57510">
        <w:rPr>
          <w:rFonts w:cs="Arial"/>
          <w:noProof/>
          <w:szCs w:val="24"/>
        </w:rPr>
        <w:t xml:space="preserve"> 157, 106329.</w:t>
      </w:r>
    </w:p>
    <w:p w14:paraId="4240C8E5" w14:textId="19B2D9DF" w:rsidR="0060503D" w:rsidRPr="00E6735C" w:rsidRDefault="0060503D" w:rsidP="004250B2">
      <w:pPr>
        <w:widowControl w:val="0"/>
        <w:autoSpaceDE w:val="0"/>
        <w:autoSpaceDN w:val="0"/>
        <w:adjustRightInd w:val="0"/>
        <w:spacing w:line="240" w:lineRule="auto"/>
        <w:ind w:left="480" w:hanging="480"/>
        <w:rPr>
          <w:rFonts w:cs="Arial"/>
          <w:noProof/>
          <w:szCs w:val="24"/>
        </w:rPr>
      </w:pPr>
      <w:r>
        <w:rPr>
          <w:rFonts w:cs="Arial"/>
          <w:noProof/>
          <w:szCs w:val="24"/>
        </w:rPr>
        <w:t>Messineo A., Volpe R., Asdrubali F., 2012,</w:t>
      </w:r>
      <w:r w:rsidR="008546E2">
        <w:rPr>
          <w:rFonts w:cs="Arial"/>
          <w:noProof/>
          <w:szCs w:val="24"/>
        </w:rPr>
        <w:t xml:space="preserve"> </w:t>
      </w:r>
      <w:r w:rsidR="008546E2" w:rsidRPr="008546E2">
        <w:rPr>
          <w:rFonts w:cs="Arial"/>
          <w:noProof/>
          <w:szCs w:val="24"/>
        </w:rPr>
        <w:t>Evaluation of net energy obtainable from combustion of stabilised olive mill by-products</w:t>
      </w:r>
      <w:r w:rsidR="008546E2">
        <w:rPr>
          <w:rFonts w:cs="Arial"/>
          <w:noProof/>
          <w:szCs w:val="24"/>
        </w:rPr>
        <w:t xml:space="preserve">, Energies, 5, </w:t>
      </w:r>
      <w:r w:rsidR="008546E2" w:rsidRPr="008546E2">
        <w:rPr>
          <w:rFonts w:cs="Arial"/>
          <w:noProof/>
          <w:szCs w:val="24"/>
        </w:rPr>
        <w:t>1384 - 1397</w:t>
      </w:r>
      <w:r w:rsidR="008546E2">
        <w:rPr>
          <w:rFonts w:cs="Arial"/>
          <w:noProof/>
          <w:szCs w:val="24"/>
        </w:rPr>
        <w:t>.</w:t>
      </w:r>
    </w:p>
    <w:p w14:paraId="1CBFEBA2" w14:textId="16327B68" w:rsidR="00BF37CE" w:rsidRPr="00E6735C" w:rsidRDefault="00BF37CE" w:rsidP="00BF37CE">
      <w:pPr>
        <w:widowControl w:val="0"/>
        <w:autoSpaceDE w:val="0"/>
        <w:autoSpaceDN w:val="0"/>
        <w:adjustRightInd w:val="0"/>
        <w:spacing w:line="240" w:lineRule="auto"/>
        <w:ind w:left="480" w:hanging="480"/>
        <w:rPr>
          <w:rFonts w:cs="Arial"/>
          <w:noProof/>
          <w:szCs w:val="24"/>
        </w:rPr>
      </w:pPr>
      <w:r>
        <w:rPr>
          <w:rFonts w:cs="Arial"/>
          <w:noProof/>
          <w:szCs w:val="24"/>
        </w:rPr>
        <w:t>Nizamuddin S., Baloch H.A., Griffin G.J., Mubarak N.M., Bhutto A.W., Abro R., Mazari S.A., Ali B.S., 2017,</w:t>
      </w:r>
      <w:r w:rsidRPr="00E6735C">
        <w:rPr>
          <w:rFonts w:cs="Arial"/>
          <w:noProof/>
          <w:szCs w:val="24"/>
        </w:rPr>
        <w:t xml:space="preserve"> An overview of effect of process parameters on hydrot</w:t>
      </w:r>
      <w:r>
        <w:rPr>
          <w:rFonts w:cs="Arial"/>
          <w:noProof/>
          <w:szCs w:val="24"/>
        </w:rPr>
        <w:t>hermal carbonization of biomass,</w:t>
      </w:r>
      <w:r w:rsidRPr="00E6735C">
        <w:rPr>
          <w:rFonts w:cs="Arial"/>
          <w:noProof/>
          <w:szCs w:val="24"/>
        </w:rPr>
        <w:t xml:space="preserve"> Renew. Sustain. Energy Rev.</w:t>
      </w:r>
      <w:r w:rsidR="004250B2">
        <w:rPr>
          <w:rFonts w:cs="Arial"/>
          <w:noProof/>
          <w:szCs w:val="24"/>
        </w:rPr>
        <w:t>,</w:t>
      </w:r>
      <w:r w:rsidRPr="00E6735C">
        <w:rPr>
          <w:rFonts w:cs="Arial"/>
          <w:noProof/>
          <w:szCs w:val="24"/>
        </w:rPr>
        <w:t xml:space="preserve"> 73, 1289–1299.</w:t>
      </w:r>
    </w:p>
    <w:p w14:paraId="480B8FCC" w14:textId="11429248" w:rsidR="00B44063" w:rsidRPr="00E6735C" w:rsidRDefault="00B44063" w:rsidP="00B44063">
      <w:pPr>
        <w:widowControl w:val="0"/>
        <w:autoSpaceDE w:val="0"/>
        <w:autoSpaceDN w:val="0"/>
        <w:adjustRightInd w:val="0"/>
        <w:spacing w:line="240" w:lineRule="auto"/>
        <w:ind w:left="480" w:hanging="480"/>
        <w:rPr>
          <w:rFonts w:cs="Arial"/>
          <w:noProof/>
          <w:szCs w:val="24"/>
        </w:rPr>
      </w:pPr>
      <w:r>
        <w:rPr>
          <w:rFonts w:cs="Arial"/>
          <w:noProof/>
          <w:szCs w:val="24"/>
        </w:rPr>
        <w:t>Picone</w:t>
      </w:r>
      <w:r w:rsidRPr="00E6735C">
        <w:rPr>
          <w:rFonts w:cs="Arial"/>
          <w:noProof/>
          <w:szCs w:val="24"/>
        </w:rPr>
        <w:t xml:space="preserve"> </w:t>
      </w:r>
      <w:r>
        <w:rPr>
          <w:rFonts w:cs="Arial"/>
          <w:noProof/>
          <w:szCs w:val="24"/>
        </w:rPr>
        <w:t>A., Volpe M., Messineo A., 2021,</w:t>
      </w:r>
      <w:r w:rsidRPr="00E6735C">
        <w:rPr>
          <w:rFonts w:cs="Arial"/>
          <w:noProof/>
          <w:szCs w:val="24"/>
        </w:rPr>
        <w:t xml:space="preserve"> Process water recirculation during hydrothermal carbonization of waste biomass: C</w:t>
      </w:r>
      <w:r>
        <w:rPr>
          <w:rFonts w:cs="Arial"/>
          <w:noProof/>
          <w:szCs w:val="24"/>
        </w:rPr>
        <w:t>urrent knowledge and challenges, Energies,</w:t>
      </w:r>
      <w:r w:rsidRPr="00E6735C">
        <w:rPr>
          <w:rFonts w:cs="Arial"/>
          <w:noProof/>
          <w:szCs w:val="24"/>
        </w:rPr>
        <w:t xml:space="preserve"> 14</w:t>
      </w:r>
      <w:r w:rsidR="00421B4A">
        <w:rPr>
          <w:rFonts w:cs="Arial"/>
          <w:noProof/>
          <w:szCs w:val="24"/>
        </w:rPr>
        <w:t>, 10.</w:t>
      </w:r>
    </w:p>
    <w:p w14:paraId="3DA93F9F" w14:textId="3D755AB6" w:rsidR="00B44063" w:rsidRPr="00E6735C" w:rsidRDefault="00B44063" w:rsidP="00B44063">
      <w:pPr>
        <w:widowControl w:val="0"/>
        <w:autoSpaceDE w:val="0"/>
        <w:autoSpaceDN w:val="0"/>
        <w:adjustRightInd w:val="0"/>
        <w:spacing w:line="240" w:lineRule="auto"/>
        <w:ind w:left="480" w:hanging="480"/>
        <w:rPr>
          <w:rFonts w:cs="Arial"/>
          <w:noProof/>
          <w:szCs w:val="24"/>
        </w:rPr>
      </w:pPr>
      <w:r>
        <w:rPr>
          <w:rFonts w:cs="Arial"/>
          <w:noProof/>
          <w:szCs w:val="24"/>
        </w:rPr>
        <w:t>Wang R., Jia J., Jin Q., Chen H., 2022a,</w:t>
      </w:r>
      <w:r w:rsidRPr="00E6735C">
        <w:rPr>
          <w:rFonts w:cs="Arial"/>
          <w:noProof/>
          <w:szCs w:val="24"/>
        </w:rPr>
        <w:t xml:space="preserve"> Forming mechanism of coke microparticles from polymerization of aqueous organics during hydrothermal carbonizatio</w:t>
      </w:r>
      <w:r>
        <w:rPr>
          <w:rFonts w:cs="Arial"/>
          <w:noProof/>
          <w:szCs w:val="24"/>
        </w:rPr>
        <w:t>n process of biomass,</w:t>
      </w:r>
      <w:r w:rsidRPr="00E6735C">
        <w:rPr>
          <w:rFonts w:cs="Arial"/>
          <w:noProof/>
          <w:szCs w:val="24"/>
        </w:rPr>
        <w:t xml:space="preserve"> Carbon N. Y.</w:t>
      </w:r>
      <w:r w:rsidR="00272F06">
        <w:rPr>
          <w:rFonts w:cs="Arial"/>
          <w:noProof/>
          <w:szCs w:val="24"/>
        </w:rPr>
        <w:t>,</w:t>
      </w:r>
      <w:r w:rsidRPr="00E6735C">
        <w:rPr>
          <w:rFonts w:cs="Arial"/>
          <w:noProof/>
          <w:szCs w:val="24"/>
        </w:rPr>
        <w:t xml:space="preserve"> 192, 50–60.</w:t>
      </w:r>
    </w:p>
    <w:p w14:paraId="567D14A6" w14:textId="41F289CE" w:rsidR="00B44063" w:rsidRPr="00E6735C" w:rsidRDefault="00B44063" w:rsidP="00B44063">
      <w:pPr>
        <w:widowControl w:val="0"/>
        <w:autoSpaceDE w:val="0"/>
        <w:autoSpaceDN w:val="0"/>
        <w:adjustRightInd w:val="0"/>
        <w:spacing w:line="240" w:lineRule="auto"/>
        <w:ind w:left="480" w:hanging="480"/>
        <w:rPr>
          <w:rFonts w:cs="Arial"/>
          <w:noProof/>
          <w:szCs w:val="24"/>
        </w:rPr>
      </w:pPr>
      <w:r>
        <w:rPr>
          <w:rFonts w:cs="Arial"/>
          <w:noProof/>
          <w:szCs w:val="24"/>
        </w:rPr>
        <w:t>Wang R., Jin Q., Ye X., Lei H., Jia J., Zhao Z., 2020,</w:t>
      </w:r>
      <w:r w:rsidRPr="00E6735C">
        <w:rPr>
          <w:rFonts w:cs="Arial"/>
          <w:noProof/>
          <w:szCs w:val="24"/>
        </w:rPr>
        <w:t xml:space="preserve"> Effect of process wastewater recycling on the chemical evolution and formation mechanism of hydrochar from herbaceous biomass during hydrothermal ca</w:t>
      </w:r>
      <w:r>
        <w:rPr>
          <w:rFonts w:cs="Arial"/>
          <w:noProof/>
          <w:szCs w:val="24"/>
        </w:rPr>
        <w:t>rbonization,</w:t>
      </w:r>
      <w:r w:rsidRPr="00E6735C">
        <w:rPr>
          <w:rFonts w:cs="Arial"/>
          <w:noProof/>
          <w:szCs w:val="24"/>
        </w:rPr>
        <w:t xml:space="preserve"> J. Clean. Prod.</w:t>
      </w:r>
      <w:r>
        <w:rPr>
          <w:rFonts w:cs="Arial"/>
          <w:noProof/>
          <w:szCs w:val="24"/>
        </w:rPr>
        <w:t>,</w:t>
      </w:r>
      <w:r w:rsidRPr="00E6735C">
        <w:rPr>
          <w:rFonts w:cs="Arial"/>
          <w:noProof/>
          <w:szCs w:val="24"/>
        </w:rPr>
        <w:t xml:space="preserve"> 277</w:t>
      </w:r>
      <w:r w:rsidR="000516B9">
        <w:rPr>
          <w:rFonts w:cs="Arial"/>
          <w:noProof/>
          <w:szCs w:val="24"/>
        </w:rPr>
        <w:t>, 123281.</w:t>
      </w:r>
    </w:p>
    <w:p w14:paraId="7CAEAD74" w14:textId="77777777" w:rsidR="00602A3F" w:rsidRPr="00E6735C" w:rsidRDefault="00602A3F" w:rsidP="00602A3F">
      <w:pPr>
        <w:widowControl w:val="0"/>
        <w:autoSpaceDE w:val="0"/>
        <w:autoSpaceDN w:val="0"/>
        <w:adjustRightInd w:val="0"/>
        <w:spacing w:line="240" w:lineRule="auto"/>
        <w:ind w:left="480" w:hanging="480"/>
        <w:rPr>
          <w:rFonts w:cs="Arial"/>
          <w:noProof/>
        </w:rPr>
      </w:pPr>
      <w:r>
        <w:rPr>
          <w:rFonts w:cs="Arial"/>
          <w:noProof/>
          <w:szCs w:val="24"/>
        </w:rPr>
        <w:t>Wang R., Lin Z., Peng P., Tan S., Zhao Z., Yin Q., Wang C., 2022b,</w:t>
      </w:r>
      <w:r w:rsidRPr="00E6735C">
        <w:rPr>
          <w:rFonts w:cs="Arial"/>
          <w:noProof/>
          <w:szCs w:val="24"/>
        </w:rPr>
        <w:t xml:space="preserve"> Influence mechanism of aqueous organic components on the hydrochar formation reaction during the biomass hydrothermal carbonization wastewater recyc</w:t>
      </w:r>
      <w:r>
        <w:rPr>
          <w:rFonts w:cs="Arial"/>
          <w:noProof/>
          <w:szCs w:val="24"/>
        </w:rPr>
        <w:t>ling,</w:t>
      </w:r>
      <w:r w:rsidRPr="00E6735C">
        <w:rPr>
          <w:rFonts w:cs="Arial"/>
          <w:noProof/>
          <w:szCs w:val="24"/>
        </w:rPr>
        <w:t xml:space="preserve"> Fuel</w:t>
      </w:r>
      <w:r>
        <w:rPr>
          <w:rFonts w:cs="Arial"/>
          <w:noProof/>
          <w:szCs w:val="24"/>
        </w:rPr>
        <w:t>,</w:t>
      </w:r>
      <w:r w:rsidRPr="00E6735C">
        <w:rPr>
          <w:rFonts w:cs="Arial"/>
          <w:noProof/>
          <w:szCs w:val="24"/>
        </w:rPr>
        <w:t xml:space="preserve"> 326, 125033.</w:t>
      </w:r>
    </w:p>
    <w:p w14:paraId="19C4FC68" w14:textId="1DAAF136" w:rsidR="004628D2" w:rsidRDefault="00814EC6" w:rsidP="00F57510">
      <w:pPr>
        <w:widowControl w:val="0"/>
        <w:autoSpaceDE w:val="0"/>
        <w:autoSpaceDN w:val="0"/>
        <w:adjustRightInd w:val="0"/>
        <w:spacing w:line="240" w:lineRule="auto"/>
        <w:ind w:left="480" w:hanging="480"/>
      </w:pPr>
      <w:r>
        <w:fldChar w:fldCharType="end"/>
      </w:r>
      <w:bookmarkStart w:id="1" w:name="_GoBack"/>
      <w:bookmarkEnd w:id="1"/>
    </w:p>
    <w:sectPr w:rsidR="004628D2" w:rsidSect="00985CE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15659" w14:textId="77777777" w:rsidR="00E7488B" w:rsidRDefault="00E7488B" w:rsidP="004F5E36">
      <w:r>
        <w:separator/>
      </w:r>
    </w:p>
  </w:endnote>
  <w:endnote w:type="continuationSeparator" w:id="0">
    <w:p w14:paraId="30D30C9B" w14:textId="77777777" w:rsidR="00E7488B" w:rsidRDefault="00E7488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C54C2" w14:textId="77777777" w:rsidR="00E7488B" w:rsidRDefault="00E7488B" w:rsidP="004F5E36">
      <w:r>
        <w:separator/>
      </w:r>
    </w:p>
  </w:footnote>
  <w:footnote w:type="continuationSeparator" w:id="0">
    <w:p w14:paraId="0855A2FA" w14:textId="77777777" w:rsidR="00E7488B" w:rsidRDefault="00E7488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0C3813"/>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F0727AB"/>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4B50137A"/>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2"/>
  </w:num>
  <w:num w:numId="14">
    <w:abstractNumId w:val="21"/>
  </w:num>
  <w:num w:numId="15">
    <w:abstractNumId w:val="23"/>
  </w:num>
  <w:num w:numId="16">
    <w:abstractNumId w:val="22"/>
  </w:num>
  <w:num w:numId="17">
    <w:abstractNumId w:val="11"/>
  </w:num>
  <w:num w:numId="18">
    <w:abstractNumId w:val="12"/>
    <w:lvlOverride w:ilvl="0">
      <w:startOverride w:val="1"/>
    </w:lvlOverride>
  </w:num>
  <w:num w:numId="19">
    <w:abstractNumId w:val="19"/>
  </w:num>
  <w:num w:numId="20">
    <w:abstractNumId w:val="18"/>
  </w:num>
  <w:num w:numId="21">
    <w:abstractNumId w:val="15"/>
  </w:num>
  <w:num w:numId="22">
    <w:abstractNumId w:val="14"/>
  </w:num>
  <w:num w:numId="23">
    <w:abstractNumId w:val="17"/>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E96"/>
    <w:rsid w:val="000027C0"/>
    <w:rsid w:val="000029D6"/>
    <w:rsid w:val="000052FB"/>
    <w:rsid w:val="00005A19"/>
    <w:rsid w:val="00007CF9"/>
    <w:rsid w:val="000117CB"/>
    <w:rsid w:val="000225AB"/>
    <w:rsid w:val="000256BB"/>
    <w:rsid w:val="000278AA"/>
    <w:rsid w:val="0003148D"/>
    <w:rsid w:val="00031EEC"/>
    <w:rsid w:val="00034132"/>
    <w:rsid w:val="00046D90"/>
    <w:rsid w:val="00051566"/>
    <w:rsid w:val="000516B9"/>
    <w:rsid w:val="00054288"/>
    <w:rsid w:val="000559E5"/>
    <w:rsid w:val="00055D55"/>
    <w:rsid w:val="000562A9"/>
    <w:rsid w:val="00062A9A"/>
    <w:rsid w:val="00062C32"/>
    <w:rsid w:val="00065058"/>
    <w:rsid w:val="000745C1"/>
    <w:rsid w:val="0007645C"/>
    <w:rsid w:val="0007677D"/>
    <w:rsid w:val="00076EA2"/>
    <w:rsid w:val="0008040B"/>
    <w:rsid w:val="00080D54"/>
    <w:rsid w:val="00086C39"/>
    <w:rsid w:val="00097E29"/>
    <w:rsid w:val="000A03B2"/>
    <w:rsid w:val="000B3FD0"/>
    <w:rsid w:val="000B6CCB"/>
    <w:rsid w:val="000C0DAB"/>
    <w:rsid w:val="000C7C3B"/>
    <w:rsid w:val="000D0268"/>
    <w:rsid w:val="000D34BE"/>
    <w:rsid w:val="000E102F"/>
    <w:rsid w:val="000E36F1"/>
    <w:rsid w:val="000E3A73"/>
    <w:rsid w:val="000E414A"/>
    <w:rsid w:val="000F093C"/>
    <w:rsid w:val="000F787B"/>
    <w:rsid w:val="00100784"/>
    <w:rsid w:val="00106452"/>
    <w:rsid w:val="00110649"/>
    <w:rsid w:val="0012091F"/>
    <w:rsid w:val="00126BC2"/>
    <w:rsid w:val="00126EF7"/>
    <w:rsid w:val="001308B6"/>
    <w:rsid w:val="0013121F"/>
    <w:rsid w:val="00131656"/>
    <w:rsid w:val="00131FE6"/>
    <w:rsid w:val="0013263F"/>
    <w:rsid w:val="001331DF"/>
    <w:rsid w:val="00134DE4"/>
    <w:rsid w:val="0014034D"/>
    <w:rsid w:val="00143F3D"/>
    <w:rsid w:val="00144D16"/>
    <w:rsid w:val="00146DDC"/>
    <w:rsid w:val="00150E59"/>
    <w:rsid w:val="00152DE3"/>
    <w:rsid w:val="00163D95"/>
    <w:rsid w:val="00164CF9"/>
    <w:rsid w:val="001667A6"/>
    <w:rsid w:val="00166C54"/>
    <w:rsid w:val="00174629"/>
    <w:rsid w:val="001770D8"/>
    <w:rsid w:val="001823A1"/>
    <w:rsid w:val="00184AD6"/>
    <w:rsid w:val="001916A1"/>
    <w:rsid w:val="001A4AF7"/>
    <w:rsid w:val="001B0349"/>
    <w:rsid w:val="001B1B84"/>
    <w:rsid w:val="001B1E93"/>
    <w:rsid w:val="001B65C1"/>
    <w:rsid w:val="001C684B"/>
    <w:rsid w:val="001D0CFB"/>
    <w:rsid w:val="001D21AF"/>
    <w:rsid w:val="001D53FC"/>
    <w:rsid w:val="001F3B52"/>
    <w:rsid w:val="001F42A5"/>
    <w:rsid w:val="001F7B9D"/>
    <w:rsid w:val="001F7FFD"/>
    <w:rsid w:val="00201C93"/>
    <w:rsid w:val="00205A65"/>
    <w:rsid w:val="002224B4"/>
    <w:rsid w:val="0023365D"/>
    <w:rsid w:val="00233775"/>
    <w:rsid w:val="00242BAD"/>
    <w:rsid w:val="00243C76"/>
    <w:rsid w:val="002447EF"/>
    <w:rsid w:val="00251550"/>
    <w:rsid w:val="002515BD"/>
    <w:rsid w:val="00263A0F"/>
    <w:rsid w:val="00263B05"/>
    <w:rsid w:val="00263EF4"/>
    <w:rsid w:val="0027221A"/>
    <w:rsid w:val="00272F06"/>
    <w:rsid w:val="00275B61"/>
    <w:rsid w:val="00277FBF"/>
    <w:rsid w:val="00280FAF"/>
    <w:rsid w:val="00282656"/>
    <w:rsid w:val="00284BE9"/>
    <w:rsid w:val="00285559"/>
    <w:rsid w:val="0028626A"/>
    <w:rsid w:val="00290B32"/>
    <w:rsid w:val="00296B83"/>
    <w:rsid w:val="002A2AA7"/>
    <w:rsid w:val="002A60A0"/>
    <w:rsid w:val="002A749F"/>
    <w:rsid w:val="002B4015"/>
    <w:rsid w:val="002B78CE"/>
    <w:rsid w:val="002C2FB6"/>
    <w:rsid w:val="002D687B"/>
    <w:rsid w:val="002E5FA7"/>
    <w:rsid w:val="002F3309"/>
    <w:rsid w:val="002F6AEF"/>
    <w:rsid w:val="003008CE"/>
    <w:rsid w:val="003009B7"/>
    <w:rsid w:val="00300E56"/>
    <w:rsid w:val="0030152C"/>
    <w:rsid w:val="0030469C"/>
    <w:rsid w:val="0031140A"/>
    <w:rsid w:val="00321CA6"/>
    <w:rsid w:val="00323763"/>
    <w:rsid w:val="00323C5F"/>
    <w:rsid w:val="00334C09"/>
    <w:rsid w:val="00347F78"/>
    <w:rsid w:val="00353720"/>
    <w:rsid w:val="00354F51"/>
    <w:rsid w:val="0035629A"/>
    <w:rsid w:val="0035631C"/>
    <w:rsid w:val="00371684"/>
    <w:rsid w:val="003723D4"/>
    <w:rsid w:val="00381905"/>
    <w:rsid w:val="00384CC8"/>
    <w:rsid w:val="00386679"/>
    <w:rsid w:val="00386FDF"/>
    <w:rsid w:val="003871FD"/>
    <w:rsid w:val="00397769"/>
    <w:rsid w:val="003A1E30"/>
    <w:rsid w:val="003A2829"/>
    <w:rsid w:val="003A7D1C"/>
    <w:rsid w:val="003B304B"/>
    <w:rsid w:val="003B3146"/>
    <w:rsid w:val="003D46D1"/>
    <w:rsid w:val="003F015E"/>
    <w:rsid w:val="00400414"/>
    <w:rsid w:val="004053BF"/>
    <w:rsid w:val="0041446B"/>
    <w:rsid w:val="00421B4A"/>
    <w:rsid w:val="004250B2"/>
    <w:rsid w:val="004320A3"/>
    <w:rsid w:val="00432D8B"/>
    <w:rsid w:val="00433247"/>
    <w:rsid w:val="0044071E"/>
    <w:rsid w:val="0044329C"/>
    <w:rsid w:val="00453E24"/>
    <w:rsid w:val="00457456"/>
    <w:rsid w:val="004577FE"/>
    <w:rsid w:val="00457B9C"/>
    <w:rsid w:val="0046164A"/>
    <w:rsid w:val="004628D2"/>
    <w:rsid w:val="00462DCD"/>
    <w:rsid w:val="004648AD"/>
    <w:rsid w:val="004703A9"/>
    <w:rsid w:val="0047137E"/>
    <w:rsid w:val="004760DE"/>
    <w:rsid w:val="00476214"/>
    <w:rsid w:val="004763D7"/>
    <w:rsid w:val="00483E52"/>
    <w:rsid w:val="00485401"/>
    <w:rsid w:val="00485985"/>
    <w:rsid w:val="00487B6B"/>
    <w:rsid w:val="00492A9A"/>
    <w:rsid w:val="00492B25"/>
    <w:rsid w:val="004A004E"/>
    <w:rsid w:val="004A0AAF"/>
    <w:rsid w:val="004A0DCA"/>
    <w:rsid w:val="004A24CF"/>
    <w:rsid w:val="004A3A8B"/>
    <w:rsid w:val="004A7F68"/>
    <w:rsid w:val="004B7B16"/>
    <w:rsid w:val="004C350B"/>
    <w:rsid w:val="004C3D1D"/>
    <w:rsid w:val="004C3D84"/>
    <w:rsid w:val="004C7913"/>
    <w:rsid w:val="004D1D19"/>
    <w:rsid w:val="004D529E"/>
    <w:rsid w:val="004E4DD6"/>
    <w:rsid w:val="004F5CB8"/>
    <w:rsid w:val="004F5E36"/>
    <w:rsid w:val="004F62E8"/>
    <w:rsid w:val="00502F83"/>
    <w:rsid w:val="00503DE2"/>
    <w:rsid w:val="00507B47"/>
    <w:rsid w:val="00507BEF"/>
    <w:rsid w:val="00507CC9"/>
    <w:rsid w:val="005119A5"/>
    <w:rsid w:val="00512417"/>
    <w:rsid w:val="00521660"/>
    <w:rsid w:val="00525AC9"/>
    <w:rsid w:val="005278B7"/>
    <w:rsid w:val="00532016"/>
    <w:rsid w:val="005334E5"/>
    <w:rsid w:val="005346C8"/>
    <w:rsid w:val="00543E7D"/>
    <w:rsid w:val="00547A68"/>
    <w:rsid w:val="005531C9"/>
    <w:rsid w:val="00555D8F"/>
    <w:rsid w:val="00557E00"/>
    <w:rsid w:val="00567EA3"/>
    <w:rsid w:val="00570C43"/>
    <w:rsid w:val="00576931"/>
    <w:rsid w:val="00577910"/>
    <w:rsid w:val="005836BF"/>
    <w:rsid w:val="00584BCF"/>
    <w:rsid w:val="005A0D6D"/>
    <w:rsid w:val="005B2110"/>
    <w:rsid w:val="005B26D6"/>
    <w:rsid w:val="005B61E6"/>
    <w:rsid w:val="005C4D59"/>
    <w:rsid w:val="005C77E1"/>
    <w:rsid w:val="005D668A"/>
    <w:rsid w:val="005D6A2F"/>
    <w:rsid w:val="005E09A2"/>
    <w:rsid w:val="005E1A82"/>
    <w:rsid w:val="005E2419"/>
    <w:rsid w:val="005E4ECF"/>
    <w:rsid w:val="005E794C"/>
    <w:rsid w:val="005F0A28"/>
    <w:rsid w:val="005F0E5E"/>
    <w:rsid w:val="005F5C17"/>
    <w:rsid w:val="00600535"/>
    <w:rsid w:val="00602A3F"/>
    <w:rsid w:val="0060503D"/>
    <w:rsid w:val="00606E01"/>
    <w:rsid w:val="00607407"/>
    <w:rsid w:val="00610CD6"/>
    <w:rsid w:val="00612138"/>
    <w:rsid w:val="006154BF"/>
    <w:rsid w:val="00620DEE"/>
    <w:rsid w:val="00621F92"/>
    <w:rsid w:val="0062280A"/>
    <w:rsid w:val="00625639"/>
    <w:rsid w:val="00631B33"/>
    <w:rsid w:val="006327B7"/>
    <w:rsid w:val="00640D2B"/>
    <w:rsid w:val="0064184D"/>
    <w:rsid w:val="006422CC"/>
    <w:rsid w:val="00652C8A"/>
    <w:rsid w:val="00660E3E"/>
    <w:rsid w:val="00662E74"/>
    <w:rsid w:val="006729B6"/>
    <w:rsid w:val="00675904"/>
    <w:rsid w:val="00680C23"/>
    <w:rsid w:val="00686F81"/>
    <w:rsid w:val="00687FA4"/>
    <w:rsid w:val="006923FE"/>
    <w:rsid w:val="00693766"/>
    <w:rsid w:val="006A0E32"/>
    <w:rsid w:val="006A3281"/>
    <w:rsid w:val="006A71BF"/>
    <w:rsid w:val="006B4888"/>
    <w:rsid w:val="006C2E45"/>
    <w:rsid w:val="006C359C"/>
    <w:rsid w:val="006C5579"/>
    <w:rsid w:val="006D6E8B"/>
    <w:rsid w:val="006E4321"/>
    <w:rsid w:val="006E6BB6"/>
    <w:rsid w:val="006E737D"/>
    <w:rsid w:val="006F2B8D"/>
    <w:rsid w:val="00701675"/>
    <w:rsid w:val="00704204"/>
    <w:rsid w:val="00707DD1"/>
    <w:rsid w:val="00713973"/>
    <w:rsid w:val="00720A24"/>
    <w:rsid w:val="00730408"/>
    <w:rsid w:val="00732386"/>
    <w:rsid w:val="0073514D"/>
    <w:rsid w:val="00735F6A"/>
    <w:rsid w:val="00742078"/>
    <w:rsid w:val="007447F3"/>
    <w:rsid w:val="00745083"/>
    <w:rsid w:val="00752E65"/>
    <w:rsid w:val="00754211"/>
    <w:rsid w:val="0075499F"/>
    <w:rsid w:val="00756F51"/>
    <w:rsid w:val="0076091F"/>
    <w:rsid w:val="007661C8"/>
    <w:rsid w:val="0077098D"/>
    <w:rsid w:val="0078076B"/>
    <w:rsid w:val="00782839"/>
    <w:rsid w:val="0078557C"/>
    <w:rsid w:val="007931FA"/>
    <w:rsid w:val="00797505"/>
    <w:rsid w:val="007A4861"/>
    <w:rsid w:val="007A526E"/>
    <w:rsid w:val="007A60F6"/>
    <w:rsid w:val="007A73DA"/>
    <w:rsid w:val="007A7BBA"/>
    <w:rsid w:val="007B0C50"/>
    <w:rsid w:val="007B48F9"/>
    <w:rsid w:val="007C1A43"/>
    <w:rsid w:val="007C1E5E"/>
    <w:rsid w:val="007D0951"/>
    <w:rsid w:val="007D2731"/>
    <w:rsid w:val="007E1646"/>
    <w:rsid w:val="007F7CF5"/>
    <w:rsid w:val="0080013E"/>
    <w:rsid w:val="0080380E"/>
    <w:rsid w:val="00804572"/>
    <w:rsid w:val="00811A48"/>
    <w:rsid w:val="00813288"/>
    <w:rsid w:val="00814EC6"/>
    <w:rsid w:val="008168FC"/>
    <w:rsid w:val="008178F7"/>
    <w:rsid w:val="00821C42"/>
    <w:rsid w:val="00827549"/>
    <w:rsid w:val="00830996"/>
    <w:rsid w:val="00830F88"/>
    <w:rsid w:val="008345F1"/>
    <w:rsid w:val="008374C7"/>
    <w:rsid w:val="00837B05"/>
    <w:rsid w:val="00837B9B"/>
    <w:rsid w:val="00846E3D"/>
    <w:rsid w:val="00852A88"/>
    <w:rsid w:val="008546E2"/>
    <w:rsid w:val="00856215"/>
    <w:rsid w:val="0085723C"/>
    <w:rsid w:val="00865B07"/>
    <w:rsid w:val="008667EA"/>
    <w:rsid w:val="00873A25"/>
    <w:rsid w:val="00875A76"/>
    <w:rsid w:val="0087637F"/>
    <w:rsid w:val="0089121C"/>
    <w:rsid w:val="00892AD5"/>
    <w:rsid w:val="00893A73"/>
    <w:rsid w:val="008A1512"/>
    <w:rsid w:val="008A1DA1"/>
    <w:rsid w:val="008A2C14"/>
    <w:rsid w:val="008B031C"/>
    <w:rsid w:val="008C62E0"/>
    <w:rsid w:val="008D32B9"/>
    <w:rsid w:val="008D433B"/>
    <w:rsid w:val="008D4A16"/>
    <w:rsid w:val="008E566E"/>
    <w:rsid w:val="0090161A"/>
    <w:rsid w:val="00901EB6"/>
    <w:rsid w:val="00904C62"/>
    <w:rsid w:val="0090722A"/>
    <w:rsid w:val="00907743"/>
    <w:rsid w:val="0091522F"/>
    <w:rsid w:val="00922BA8"/>
    <w:rsid w:val="00924DAC"/>
    <w:rsid w:val="00927058"/>
    <w:rsid w:val="009278A7"/>
    <w:rsid w:val="00942750"/>
    <w:rsid w:val="00943F81"/>
    <w:rsid w:val="00943F99"/>
    <w:rsid w:val="00944705"/>
    <w:rsid w:val="009450CE"/>
    <w:rsid w:val="009459BB"/>
    <w:rsid w:val="00947179"/>
    <w:rsid w:val="0095164B"/>
    <w:rsid w:val="00953D7C"/>
    <w:rsid w:val="00954090"/>
    <w:rsid w:val="0095641C"/>
    <w:rsid w:val="009573E7"/>
    <w:rsid w:val="00963DD4"/>
    <w:rsid w:val="00963E05"/>
    <w:rsid w:val="00964A45"/>
    <w:rsid w:val="00965794"/>
    <w:rsid w:val="00967843"/>
    <w:rsid w:val="00967D54"/>
    <w:rsid w:val="00971028"/>
    <w:rsid w:val="009734A9"/>
    <w:rsid w:val="00985CE8"/>
    <w:rsid w:val="009900B1"/>
    <w:rsid w:val="00991CA6"/>
    <w:rsid w:val="00993B84"/>
    <w:rsid w:val="00996483"/>
    <w:rsid w:val="00996F5A"/>
    <w:rsid w:val="009A22FA"/>
    <w:rsid w:val="009A33B8"/>
    <w:rsid w:val="009B041A"/>
    <w:rsid w:val="009C21F4"/>
    <w:rsid w:val="009C37C3"/>
    <w:rsid w:val="009C7C86"/>
    <w:rsid w:val="009D2FF7"/>
    <w:rsid w:val="009D692F"/>
    <w:rsid w:val="009D7973"/>
    <w:rsid w:val="009E7884"/>
    <w:rsid w:val="009E788A"/>
    <w:rsid w:val="009F0E08"/>
    <w:rsid w:val="009F418D"/>
    <w:rsid w:val="009F4BDF"/>
    <w:rsid w:val="009F56AE"/>
    <w:rsid w:val="009F68E7"/>
    <w:rsid w:val="009F7618"/>
    <w:rsid w:val="009F77C1"/>
    <w:rsid w:val="00A008D9"/>
    <w:rsid w:val="00A059F9"/>
    <w:rsid w:val="00A12449"/>
    <w:rsid w:val="00A1583E"/>
    <w:rsid w:val="00A1763D"/>
    <w:rsid w:val="00A177ED"/>
    <w:rsid w:val="00A17CEC"/>
    <w:rsid w:val="00A27EF0"/>
    <w:rsid w:val="00A33AF0"/>
    <w:rsid w:val="00A42361"/>
    <w:rsid w:val="00A50B20"/>
    <w:rsid w:val="00A51390"/>
    <w:rsid w:val="00A60D13"/>
    <w:rsid w:val="00A6325F"/>
    <w:rsid w:val="00A65545"/>
    <w:rsid w:val="00A65E69"/>
    <w:rsid w:val="00A7223D"/>
    <w:rsid w:val="00A722DD"/>
    <w:rsid w:val="00A72745"/>
    <w:rsid w:val="00A76EFC"/>
    <w:rsid w:val="00A87D50"/>
    <w:rsid w:val="00A91010"/>
    <w:rsid w:val="00A97F29"/>
    <w:rsid w:val="00AA702E"/>
    <w:rsid w:val="00AA72ED"/>
    <w:rsid w:val="00AA7D26"/>
    <w:rsid w:val="00AB0964"/>
    <w:rsid w:val="00AB5011"/>
    <w:rsid w:val="00AB572A"/>
    <w:rsid w:val="00AC265A"/>
    <w:rsid w:val="00AC7368"/>
    <w:rsid w:val="00AD00A9"/>
    <w:rsid w:val="00AD16B9"/>
    <w:rsid w:val="00AE377D"/>
    <w:rsid w:val="00AE55B6"/>
    <w:rsid w:val="00AF0511"/>
    <w:rsid w:val="00AF0EBA"/>
    <w:rsid w:val="00AF278F"/>
    <w:rsid w:val="00AF66DB"/>
    <w:rsid w:val="00B02BBE"/>
    <w:rsid w:val="00B02C8A"/>
    <w:rsid w:val="00B068D3"/>
    <w:rsid w:val="00B17FBD"/>
    <w:rsid w:val="00B20467"/>
    <w:rsid w:val="00B22519"/>
    <w:rsid w:val="00B24DD4"/>
    <w:rsid w:val="00B315A6"/>
    <w:rsid w:val="00B31813"/>
    <w:rsid w:val="00B31DEC"/>
    <w:rsid w:val="00B32940"/>
    <w:rsid w:val="00B33365"/>
    <w:rsid w:val="00B40785"/>
    <w:rsid w:val="00B437A1"/>
    <w:rsid w:val="00B437F6"/>
    <w:rsid w:val="00B44063"/>
    <w:rsid w:val="00B50D2B"/>
    <w:rsid w:val="00B57B36"/>
    <w:rsid w:val="00B57E6F"/>
    <w:rsid w:val="00B65966"/>
    <w:rsid w:val="00B6677E"/>
    <w:rsid w:val="00B731E2"/>
    <w:rsid w:val="00B82926"/>
    <w:rsid w:val="00B8686D"/>
    <w:rsid w:val="00B93F69"/>
    <w:rsid w:val="00BA0783"/>
    <w:rsid w:val="00BA315C"/>
    <w:rsid w:val="00BA3A03"/>
    <w:rsid w:val="00BA5010"/>
    <w:rsid w:val="00BB178B"/>
    <w:rsid w:val="00BB1DDC"/>
    <w:rsid w:val="00BB2C4E"/>
    <w:rsid w:val="00BB47CD"/>
    <w:rsid w:val="00BB4CBB"/>
    <w:rsid w:val="00BC30C9"/>
    <w:rsid w:val="00BC74B0"/>
    <w:rsid w:val="00BD077D"/>
    <w:rsid w:val="00BD6DBB"/>
    <w:rsid w:val="00BE3E58"/>
    <w:rsid w:val="00BF37CE"/>
    <w:rsid w:val="00C01616"/>
    <w:rsid w:val="00C0162B"/>
    <w:rsid w:val="00C068ED"/>
    <w:rsid w:val="00C06915"/>
    <w:rsid w:val="00C078AD"/>
    <w:rsid w:val="00C203F3"/>
    <w:rsid w:val="00C22E0C"/>
    <w:rsid w:val="00C233B7"/>
    <w:rsid w:val="00C345B1"/>
    <w:rsid w:val="00C3482D"/>
    <w:rsid w:val="00C40142"/>
    <w:rsid w:val="00C43F74"/>
    <w:rsid w:val="00C50F36"/>
    <w:rsid w:val="00C52C3C"/>
    <w:rsid w:val="00C57182"/>
    <w:rsid w:val="00C57863"/>
    <w:rsid w:val="00C640AF"/>
    <w:rsid w:val="00C64A41"/>
    <w:rsid w:val="00C655FD"/>
    <w:rsid w:val="00C75407"/>
    <w:rsid w:val="00C841C6"/>
    <w:rsid w:val="00C870A8"/>
    <w:rsid w:val="00C94434"/>
    <w:rsid w:val="00CA0316"/>
    <w:rsid w:val="00CA0D75"/>
    <w:rsid w:val="00CA1C95"/>
    <w:rsid w:val="00CA30D7"/>
    <w:rsid w:val="00CA5A9C"/>
    <w:rsid w:val="00CA5DEA"/>
    <w:rsid w:val="00CB31DF"/>
    <w:rsid w:val="00CB5467"/>
    <w:rsid w:val="00CB799A"/>
    <w:rsid w:val="00CC15B1"/>
    <w:rsid w:val="00CC4C20"/>
    <w:rsid w:val="00CD0891"/>
    <w:rsid w:val="00CD3517"/>
    <w:rsid w:val="00CD5FE2"/>
    <w:rsid w:val="00CE336A"/>
    <w:rsid w:val="00CE7C68"/>
    <w:rsid w:val="00CF7536"/>
    <w:rsid w:val="00D02B4C"/>
    <w:rsid w:val="00D040C4"/>
    <w:rsid w:val="00D065A6"/>
    <w:rsid w:val="00D07E8C"/>
    <w:rsid w:val="00D1100F"/>
    <w:rsid w:val="00D11C7A"/>
    <w:rsid w:val="00D20AD1"/>
    <w:rsid w:val="00D2582C"/>
    <w:rsid w:val="00D27A7C"/>
    <w:rsid w:val="00D408BB"/>
    <w:rsid w:val="00D46B7E"/>
    <w:rsid w:val="00D52998"/>
    <w:rsid w:val="00D57C84"/>
    <w:rsid w:val="00D6057D"/>
    <w:rsid w:val="00D60816"/>
    <w:rsid w:val="00D60B74"/>
    <w:rsid w:val="00D63674"/>
    <w:rsid w:val="00D6438F"/>
    <w:rsid w:val="00D71640"/>
    <w:rsid w:val="00D760A6"/>
    <w:rsid w:val="00D836C5"/>
    <w:rsid w:val="00D84576"/>
    <w:rsid w:val="00D87387"/>
    <w:rsid w:val="00DA1399"/>
    <w:rsid w:val="00DA24C6"/>
    <w:rsid w:val="00DA4D7B"/>
    <w:rsid w:val="00DC4ECB"/>
    <w:rsid w:val="00DD271C"/>
    <w:rsid w:val="00DD2DB6"/>
    <w:rsid w:val="00DD38AF"/>
    <w:rsid w:val="00DE264A"/>
    <w:rsid w:val="00DF2067"/>
    <w:rsid w:val="00DF5072"/>
    <w:rsid w:val="00E02387"/>
    <w:rsid w:val="00E02D18"/>
    <w:rsid w:val="00E041E7"/>
    <w:rsid w:val="00E06489"/>
    <w:rsid w:val="00E22993"/>
    <w:rsid w:val="00E23CA1"/>
    <w:rsid w:val="00E26A50"/>
    <w:rsid w:val="00E4017F"/>
    <w:rsid w:val="00E409A8"/>
    <w:rsid w:val="00E46A33"/>
    <w:rsid w:val="00E47F3E"/>
    <w:rsid w:val="00E50C12"/>
    <w:rsid w:val="00E5374C"/>
    <w:rsid w:val="00E61E94"/>
    <w:rsid w:val="00E65B58"/>
    <w:rsid w:val="00E65B91"/>
    <w:rsid w:val="00E6735C"/>
    <w:rsid w:val="00E7209D"/>
    <w:rsid w:val="00E72EAD"/>
    <w:rsid w:val="00E7488B"/>
    <w:rsid w:val="00E77223"/>
    <w:rsid w:val="00E8528B"/>
    <w:rsid w:val="00E85B94"/>
    <w:rsid w:val="00E85F03"/>
    <w:rsid w:val="00E978D0"/>
    <w:rsid w:val="00EA0FB5"/>
    <w:rsid w:val="00EA4613"/>
    <w:rsid w:val="00EA7F91"/>
    <w:rsid w:val="00EB1523"/>
    <w:rsid w:val="00EB570B"/>
    <w:rsid w:val="00EB5772"/>
    <w:rsid w:val="00EB7C5A"/>
    <w:rsid w:val="00EC0E49"/>
    <w:rsid w:val="00EC101F"/>
    <w:rsid w:val="00EC1D9F"/>
    <w:rsid w:val="00EC692D"/>
    <w:rsid w:val="00EE0131"/>
    <w:rsid w:val="00EE17B0"/>
    <w:rsid w:val="00EF06D9"/>
    <w:rsid w:val="00EF7F10"/>
    <w:rsid w:val="00F20E04"/>
    <w:rsid w:val="00F210F0"/>
    <w:rsid w:val="00F3049E"/>
    <w:rsid w:val="00F306C3"/>
    <w:rsid w:val="00F30C64"/>
    <w:rsid w:val="00F32BA2"/>
    <w:rsid w:val="00F32CDB"/>
    <w:rsid w:val="00F565FE"/>
    <w:rsid w:val="00F57510"/>
    <w:rsid w:val="00F63A70"/>
    <w:rsid w:val="00F63D8C"/>
    <w:rsid w:val="00F6669B"/>
    <w:rsid w:val="00F7534E"/>
    <w:rsid w:val="00F80369"/>
    <w:rsid w:val="00F83DB5"/>
    <w:rsid w:val="00F93EDF"/>
    <w:rsid w:val="00FA1802"/>
    <w:rsid w:val="00FA21D0"/>
    <w:rsid w:val="00FA3146"/>
    <w:rsid w:val="00FA3382"/>
    <w:rsid w:val="00FA5F5F"/>
    <w:rsid w:val="00FB0CD6"/>
    <w:rsid w:val="00FB596B"/>
    <w:rsid w:val="00FB730C"/>
    <w:rsid w:val="00FC2695"/>
    <w:rsid w:val="00FC3E03"/>
    <w:rsid w:val="00FC3FC1"/>
    <w:rsid w:val="00FC5A00"/>
    <w:rsid w:val="00FE0935"/>
    <w:rsid w:val="00FF150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712213D9-1FA3-4A3A-A92C-BC8DE34C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146DDC"/>
    <w:pPr>
      <w:spacing w:after="0" w:line="240" w:lineRule="auto"/>
    </w:pPr>
    <w:rPr>
      <w:rFonts w:ascii="Arial" w:eastAsia="Times New Roman" w:hAnsi="Arial" w:cs="Times New Roman"/>
      <w:sz w:val="18"/>
      <w:szCs w:val="20"/>
      <w:lang w:val="en-GB"/>
    </w:rPr>
  </w:style>
  <w:style w:type="character" w:customStyle="1" w:styleId="Menzionenonrisolta1">
    <w:name w:val="Menzione non risolta1"/>
    <w:basedOn w:val="Carpredefinitoparagrafo"/>
    <w:uiPriority w:val="99"/>
    <w:semiHidden/>
    <w:unhideWhenUsed/>
    <w:rsid w:val="00233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FE565-D44A-4DE2-A779-3C3E7EE8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9158</Words>
  <Characters>52204</Characters>
  <Application>Microsoft Office Word</Application>
  <DocSecurity>0</DocSecurity>
  <Lines>435</Lines>
  <Paragraphs>122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Maurizio Volpe</cp:lastModifiedBy>
  <cp:revision>2</cp:revision>
  <cp:lastPrinted>2015-05-12T18:31:00Z</cp:lastPrinted>
  <dcterms:created xsi:type="dcterms:W3CDTF">2024-02-07T18:03:00Z</dcterms:created>
  <dcterms:modified xsi:type="dcterms:W3CDTF">2024-02-07T18:03:00Z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6d2e6141-1e7a-3997-ae15-3bf8dbcbe743</vt:lpwstr>
  </property>
  <property fmtid="{D5CDD505-2E9C-101B-9397-08002B2CF9AE}" pid="6" name="Mendeley Citation Style_1">
    <vt:lpwstr>http://www.zotero.org/styles/elsevier-harvard2</vt:lpwstr>
  </property>
  <property fmtid="{D5CDD505-2E9C-101B-9397-08002B2CF9AE}" pid="7" name="Mendeley Recent Style Id 0_1">
    <vt:lpwstr>http://www.zotero.org/styles/american-chemical-society</vt:lpwstr>
  </property>
  <property fmtid="{D5CDD505-2E9C-101B-9397-08002B2CF9AE}" pid="8" name="Mendeley Recent Style Name 0_1">
    <vt:lpwstr>American Chemical Society</vt:lpwstr>
  </property>
  <property fmtid="{D5CDD505-2E9C-101B-9397-08002B2CF9AE}" pid="9" name="Mendeley Recent Style Id 1_1">
    <vt:lpwstr>http://www.zotero.org/styles/american-medical-association</vt:lpwstr>
  </property>
  <property fmtid="{D5CDD505-2E9C-101B-9397-08002B2CF9AE}" pid="10" name="Mendeley Recent Style Name 1_1">
    <vt:lpwstr>American Medical Association 11th edition</vt:lpwstr>
  </property>
  <property fmtid="{D5CDD505-2E9C-101B-9397-08002B2CF9AE}" pid="11" name="Mendeley Recent Style Id 2_1">
    <vt:lpwstr>http://www.zotero.org/styles/applied-energy</vt:lpwstr>
  </property>
  <property fmtid="{D5CDD505-2E9C-101B-9397-08002B2CF9AE}" pid="12" name="Mendeley Recent Style Name 2_1">
    <vt:lpwstr>Applied Energy</vt:lpwstr>
  </property>
  <property fmtid="{D5CDD505-2E9C-101B-9397-08002B2CF9AE}" pid="13" name="Mendeley Recent Style Id 3_1">
    <vt:lpwstr>http://www.zotero.org/styles/biomass-and-bioenergy</vt:lpwstr>
  </property>
  <property fmtid="{D5CDD505-2E9C-101B-9397-08002B2CF9AE}" pid="14" name="Mendeley Recent Style Name 3_1">
    <vt:lpwstr>Biomass and Bioenergy</vt:lpwstr>
  </property>
  <property fmtid="{D5CDD505-2E9C-101B-9397-08002B2CF9AE}" pid="15" name="Mendeley Recent Style Id 4_1">
    <vt:lpwstr>http://www.zotero.org/styles/chicago-fullnote-bibliography</vt:lpwstr>
  </property>
  <property fmtid="{D5CDD505-2E9C-101B-9397-08002B2CF9AE}" pid="16" name="Mendeley Recent Style Name 4_1">
    <vt:lpwstr>Chicago Manual of Style 17th edition (full note)</vt:lpwstr>
  </property>
  <property fmtid="{D5CDD505-2E9C-101B-9397-08002B2CF9AE}" pid="17" name="Mendeley Recent Style Id 5_1">
    <vt:lpwstr>http://www.zotero.org/styles/elsevier-harvard2</vt:lpwstr>
  </property>
  <property fmtid="{D5CDD505-2E9C-101B-9397-08002B2CF9AE}" pid="18" name="Mendeley Recent Style Name 5_1">
    <vt:lpwstr>Elsevier - Harvard 2</vt:lpwstr>
  </property>
  <property fmtid="{D5CDD505-2E9C-101B-9397-08002B2CF9AE}" pid="19" name="Mendeley Recent Style Id 6_1">
    <vt:lpwstr>http://www.zotero.org/styles/journal-of-cleaner-production</vt:lpwstr>
  </property>
  <property fmtid="{D5CDD505-2E9C-101B-9397-08002B2CF9AE}" pid="20" name="Mendeley Recent Style Name 6_1">
    <vt:lpwstr>Journal of Cleaner Production</vt:lpwstr>
  </property>
  <property fmtid="{D5CDD505-2E9C-101B-9397-08002B2CF9AE}" pid="21" name="Mendeley Recent Style Id 7_1">
    <vt:lpwstr>http://www.zotero.org/styles/processes</vt:lpwstr>
  </property>
  <property fmtid="{D5CDD505-2E9C-101B-9397-08002B2CF9AE}" pid="22" name="Mendeley Recent Style Name 7_1">
    <vt:lpwstr>Processes</vt:lpwstr>
  </property>
  <property fmtid="{D5CDD505-2E9C-101B-9397-08002B2CF9AE}" pid="23" name="Mendeley Recent Style Id 8_1">
    <vt:lpwstr>http://www.zotero.org/styles/taylor-and-francis-acs</vt:lpwstr>
  </property>
  <property fmtid="{D5CDD505-2E9C-101B-9397-08002B2CF9AE}" pid="24" name="Mendeley Recent Style Name 8_1">
    <vt:lpwstr>Taylor &amp; Francis - American Chemical Society</vt:lpwstr>
  </property>
  <property fmtid="{D5CDD505-2E9C-101B-9397-08002B2CF9AE}" pid="25" name="Mendeley Recent Style Id 9_1">
    <vt:lpwstr>http://www.zotero.org/styles/water-research</vt:lpwstr>
  </property>
  <property fmtid="{D5CDD505-2E9C-101B-9397-08002B2CF9AE}" pid="26" name="Mendeley Recent Style Name 9_1">
    <vt:lpwstr>Water Research</vt:lpwstr>
  </property>
</Properties>
</file>