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es-CO" w:eastAsia="es-CO"/>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5DAE12D"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VOL.</w:t>
            </w:r>
            <w:r w:rsidR="00843EAC">
              <w:rPr>
                <w:rFonts w:cs="Arial"/>
                <w:b/>
                <w:bCs/>
                <w:i/>
                <w:iCs/>
                <w:color w:val="000066"/>
                <w:sz w:val="22"/>
                <w:szCs w:val="22"/>
                <w:lang w:eastAsia="it-IT"/>
              </w:rPr>
              <w:t xml:space="preserve">   </w:t>
            </w:r>
            <w:proofErr w:type="gramStart"/>
            <w:r w:rsidR="00843EAC">
              <w:rPr>
                <w:rFonts w:cs="Arial"/>
                <w:b/>
                <w:bCs/>
                <w:i/>
                <w:iCs/>
                <w:color w:val="000066"/>
                <w:sz w:val="22"/>
                <w:szCs w:val="22"/>
                <w:lang w:eastAsia="it-IT"/>
              </w:rPr>
              <w:t xml:space="preserve"> </w:t>
            </w:r>
            <w:r w:rsidR="004761E9">
              <w:rPr>
                <w:rFonts w:cs="Arial"/>
                <w:b/>
                <w:bCs/>
                <w:i/>
                <w:iCs/>
                <w:color w:val="000066"/>
                <w:sz w:val="22"/>
                <w:szCs w:val="22"/>
                <w:lang w:eastAsia="it-IT"/>
              </w:rPr>
              <w:t xml:space="preserve"> </w:t>
            </w:r>
            <w:r w:rsidR="007B48F9">
              <w:rPr>
                <w:rFonts w:cs="Arial"/>
                <w:b/>
                <w:bCs/>
                <w:i/>
                <w:iCs/>
                <w:color w:val="000066"/>
                <w:sz w:val="22"/>
                <w:szCs w:val="22"/>
                <w:lang w:eastAsia="it-IT"/>
              </w:rPr>
              <w:t>,</w:t>
            </w:r>
            <w:proofErr w:type="gramEnd"/>
            <w:r w:rsidR="00FA5F5F">
              <w:rPr>
                <w:rFonts w:cs="Arial"/>
                <w:b/>
                <w:bCs/>
                <w:i/>
                <w:iCs/>
                <w:color w:val="000066"/>
                <w:sz w:val="22"/>
                <w:szCs w:val="22"/>
                <w:lang w:eastAsia="it-IT"/>
              </w:rPr>
              <w:t xml:space="preserve"> </w:t>
            </w:r>
            <w:r w:rsidR="0030152C">
              <w:rPr>
                <w:rFonts w:cs="Arial"/>
                <w:b/>
                <w:bCs/>
                <w:i/>
                <w:iCs/>
                <w:color w:val="000066"/>
                <w:sz w:val="22"/>
                <w:szCs w:val="22"/>
                <w:lang w:eastAsia="it-IT"/>
              </w:rPr>
              <w:t>202</w:t>
            </w:r>
            <w:r w:rsidR="00DB3233">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es-CO" w:eastAsia="es-CO"/>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1D8DD3C9" w14:textId="475D992A" w:rsidR="00AA7D26" w:rsidRPr="006A23E9" w:rsidRDefault="00AA7D26" w:rsidP="00AA7D26">
            <w:pPr>
              <w:ind w:left="-107"/>
              <w:outlineLvl w:val="2"/>
              <w:rPr>
                <w:rFonts w:ascii="Tahoma" w:hAnsi="Tahoma" w:cs="Tahoma"/>
                <w:bCs/>
                <w:color w:val="000000"/>
                <w:sz w:val="14"/>
                <w:szCs w:val="14"/>
                <w:lang w:eastAsia="it-IT"/>
              </w:rPr>
            </w:pPr>
            <w:r w:rsidRPr="006A23E9">
              <w:rPr>
                <w:rFonts w:ascii="Tahoma" w:hAnsi="Tahoma" w:cs="Tahoma"/>
                <w:iCs/>
                <w:color w:val="333333"/>
                <w:sz w:val="14"/>
                <w:szCs w:val="14"/>
                <w:lang w:eastAsia="it-IT"/>
              </w:rPr>
              <w:t>Guest Editors:</w:t>
            </w:r>
            <w:r w:rsidRPr="006A23E9">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shd w:val="clear" w:color="auto" w:fill="FFFFFF"/>
              </w:rPr>
              <w:t xml:space="preserve">Leonardo </w:t>
            </w:r>
            <w:proofErr w:type="spellStart"/>
            <w:r w:rsidR="006A23E9" w:rsidRPr="00946B70">
              <w:rPr>
                <w:rFonts w:ascii="Tahoma" w:hAnsi="Tahoma" w:cs="Tahoma"/>
                <w:color w:val="000000"/>
                <w:sz w:val="14"/>
                <w:szCs w:val="14"/>
                <w:shd w:val="clear" w:color="auto" w:fill="FFFFFF"/>
              </w:rPr>
              <w:t>Tognotti</w:t>
            </w:r>
            <w:proofErr w:type="spellEnd"/>
            <w:r w:rsidR="006A23E9" w:rsidRPr="00946B70">
              <w:rPr>
                <w:rFonts w:ascii="Tahoma" w:hAnsi="Tahoma" w:cs="Tahoma"/>
                <w:color w:val="000000"/>
                <w:sz w:val="14"/>
                <w:szCs w:val="14"/>
                <w:shd w:val="clear" w:color="auto" w:fill="FFFFFF"/>
              </w:rPr>
              <w:t xml:space="preserve">, </w:t>
            </w:r>
            <w:r w:rsidR="006A23E9" w:rsidRPr="00946B70">
              <w:rPr>
                <w:rFonts w:ascii="Tahoma" w:hAnsi="Tahoma" w:cs="Tahoma"/>
                <w:color w:val="000000"/>
                <w:sz w:val="14"/>
                <w:szCs w:val="14"/>
              </w:rPr>
              <w:t xml:space="preserve">Rubens </w:t>
            </w:r>
            <w:proofErr w:type="spellStart"/>
            <w:r w:rsidR="006A23E9" w:rsidRPr="00946B70">
              <w:rPr>
                <w:rFonts w:ascii="Tahoma" w:hAnsi="Tahoma" w:cs="Tahoma"/>
                <w:color w:val="000000"/>
                <w:sz w:val="14"/>
                <w:szCs w:val="14"/>
              </w:rPr>
              <w:t>Maciel</w:t>
            </w:r>
            <w:proofErr w:type="spellEnd"/>
            <w:r w:rsidR="006A23E9" w:rsidRPr="00946B70">
              <w:rPr>
                <w:rFonts w:ascii="Tahoma" w:hAnsi="Tahoma" w:cs="Tahoma"/>
                <w:color w:val="000000"/>
                <w:sz w:val="14"/>
                <w:szCs w:val="14"/>
              </w:rPr>
              <w:t xml:space="preserve"> Filho</w:t>
            </w:r>
            <w:r w:rsidR="006A23E9" w:rsidRPr="00946B70">
              <w:rPr>
                <w:rFonts w:ascii="Tahoma" w:hAnsi="Tahoma" w:cs="Tahoma"/>
                <w:color w:val="000000"/>
                <w:sz w:val="14"/>
                <w:szCs w:val="14"/>
                <w:shd w:val="clear" w:color="auto" w:fill="FFFFFF"/>
              </w:rPr>
              <w:t xml:space="preserve">, </w:t>
            </w:r>
            <w:proofErr w:type="spellStart"/>
            <w:r w:rsidR="006A23E9" w:rsidRPr="00946B70">
              <w:rPr>
                <w:rFonts w:ascii="Tahoma" w:hAnsi="Tahoma" w:cs="Tahoma"/>
                <w:color w:val="000000"/>
                <w:sz w:val="14"/>
                <w:szCs w:val="14"/>
              </w:rPr>
              <w:t>Viatcheslav</w:t>
            </w:r>
            <w:proofErr w:type="spellEnd"/>
            <w:r w:rsidR="006A23E9" w:rsidRPr="00946B70">
              <w:rPr>
                <w:rFonts w:ascii="Tahoma" w:hAnsi="Tahoma" w:cs="Tahoma"/>
                <w:color w:val="000000"/>
                <w:sz w:val="14"/>
                <w:szCs w:val="14"/>
              </w:rPr>
              <w:t xml:space="preserve"> </w:t>
            </w:r>
            <w:proofErr w:type="spellStart"/>
            <w:r w:rsidR="006A23E9" w:rsidRPr="00946B70">
              <w:rPr>
                <w:rFonts w:ascii="Tahoma" w:hAnsi="Tahoma" w:cs="Tahoma"/>
                <w:color w:val="000000"/>
                <w:sz w:val="14"/>
                <w:szCs w:val="14"/>
              </w:rPr>
              <w:t>Kafarov</w:t>
            </w:r>
            <w:proofErr w:type="spellEnd"/>
          </w:p>
          <w:p w14:paraId="1B0F1814" w14:textId="3AD74145" w:rsidR="000A03B2" w:rsidRPr="00B57B36" w:rsidRDefault="00AA7D26" w:rsidP="00AA7D26">
            <w:pPr>
              <w:tabs>
                <w:tab w:val="left" w:pos="-108"/>
              </w:tabs>
              <w:spacing w:line="140" w:lineRule="atLeast"/>
              <w:ind w:left="-107"/>
              <w:jc w:val="left"/>
            </w:pPr>
            <w:r>
              <w:rPr>
                <w:rFonts w:ascii="Tahoma" w:hAnsi="Tahoma" w:cs="Tahoma"/>
                <w:iCs/>
                <w:color w:val="333333"/>
                <w:sz w:val="14"/>
                <w:szCs w:val="14"/>
                <w:lang w:eastAsia="it-IT"/>
              </w:rPr>
              <w:t>Copyright © 202</w:t>
            </w:r>
            <w:r w:rsidR="00843EAC">
              <w:rPr>
                <w:rFonts w:ascii="Tahoma" w:hAnsi="Tahoma" w:cs="Tahoma"/>
                <w:iCs/>
                <w:color w:val="333333"/>
                <w:sz w:val="14"/>
                <w:szCs w:val="14"/>
                <w:lang w:eastAsia="it-IT"/>
              </w:rPr>
              <w:t>4</w:t>
            </w:r>
            <w:r w:rsidRPr="00B57B36">
              <w:rPr>
                <w:rFonts w:ascii="Tahoma" w:hAnsi="Tahoma" w:cs="Tahoma"/>
                <w:iCs/>
                <w:color w:val="333333"/>
                <w:sz w:val="14"/>
                <w:szCs w:val="14"/>
                <w:lang w:eastAsia="it-IT"/>
              </w:rPr>
              <w:t xml:space="preserve">, AIDIC </w:t>
            </w:r>
            <w:proofErr w:type="spellStart"/>
            <w:r w:rsidRPr="00B57B36">
              <w:rPr>
                <w:rFonts w:ascii="Tahoma" w:hAnsi="Tahoma" w:cs="Tahoma"/>
                <w:iCs/>
                <w:color w:val="333333"/>
                <w:sz w:val="14"/>
                <w:szCs w:val="14"/>
                <w:lang w:eastAsia="it-IT"/>
              </w:rPr>
              <w:t>Servizi</w:t>
            </w:r>
            <w:proofErr w:type="spellEnd"/>
            <w:r w:rsidRPr="00B57B36">
              <w:rPr>
                <w:rFonts w:ascii="Tahoma" w:hAnsi="Tahoma" w:cs="Tahoma"/>
                <w:iCs/>
                <w:color w:val="333333"/>
                <w:sz w:val="14"/>
                <w:szCs w:val="14"/>
                <w:lang w:eastAsia="it-IT"/>
              </w:rPr>
              <w:t xml:space="preserve"> </w:t>
            </w:r>
            <w:proofErr w:type="spellStart"/>
            <w:r w:rsidRPr="00B57B36">
              <w:rPr>
                <w:rFonts w:ascii="Tahoma" w:hAnsi="Tahoma" w:cs="Tahoma"/>
                <w:iCs/>
                <w:color w:val="333333"/>
                <w:sz w:val="14"/>
                <w:szCs w:val="14"/>
                <w:lang w:eastAsia="it-IT"/>
              </w:rPr>
              <w:t>S.r.l</w:t>
            </w:r>
            <w:proofErr w:type="spellEnd"/>
            <w:r w:rsidRPr="00B57B36">
              <w:rPr>
                <w:rFonts w:ascii="Tahoma" w:hAnsi="Tahoma" w:cs="Tahoma"/>
                <w:iCs/>
                <w:color w:val="333333"/>
                <w:sz w:val="14"/>
                <w:szCs w:val="14"/>
                <w:lang w:eastAsia="it-IT"/>
              </w:rPr>
              <w:t>.</w:t>
            </w:r>
            <w:r w:rsidRPr="00B57B36">
              <w:rPr>
                <w:rFonts w:ascii="Tahoma" w:hAnsi="Tahoma" w:cs="Tahoma"/>
                <w:iCs/>
                <w:color w:val="333333"/>
                <w:sz w:val="14"/>
                <w:szCs w:val="14"/>
                <w:lang w:eastAsia="it-IT"/>
              </w:rPr>
              <w:br/>
            </w:r>
            <w:r w:rsidRPr="00B57B36">
              <w:rPr>
                <w:rFonts w:ascii="Tahoma" w:hAnsi="Tahoma" w:cs="Tahoma"/>
                <w:b/>
                <w:iCs/>
                <w:color w:val="000000"/>
                <w:sz w:val="14"/>
                <w:szCs w:val="14"/>
                <w:lang w:eastAsia="it-IT"/>
              </w:rPr>
              <w:t>ISBN</w:t>
            </w:r>
            <w:r w:rsidRPr="00B57B36">
              <w:rPr>
                <w:rFonts w:ascii="Tahoma" w:hAnsi="Tahoma" w:cs="Tahoma"/>
                <w:iCs/>
                <w:color w:val="000000"/>
                <w:sz w:val="14"/>
                <w:szCs w:val="14"/>
                <w:lang w:eastAsia="it-IT"/>
              </w:rPr>
              <w:t xml:space="preserve"> </w:t>
            </w:r>
            <w:r w:rsidR="008B7C03" w:rsidRPr="000562A9">
              <w:rPr>
                <w:rFonts w:ascii="Tahoma" w:hAnsi="Tahoma" w:cs="Tahoma"/>
                <w:sz w:val="14"/>
                <w:szCs w:val="14"/>
              </w:rPr>
              <w:t>97</w:t>
            </w:r>
            <w:r w:rsidR="008B7C03">
              <w:rPr>
                <w:rFonts w:ascii="Tahoma" w:hAnsi="Tahoma" w:cs="Tahoma"/>
                <w:sz w:val="14"/>
                <w:szCs w:val="14"/>
              </w:rPr>
              <w:t>9</w:t>
            </w:r>
            <w:r w:rsidR="008B7C03" w:rsidRPr="000562A9">
              <w:rPr>
                <w:rFonts w:ascii="Tahoma" w:hAnsi="Tahoma" w:cs="Tahoma"/>
                <w:sz w:val="14"/>
                <w:szCs w:val="14"/>
              </w:rPr>
              <w:t>-</w:t>
            </w:r>
            <w:r w:rsidR="008B7C03">
              <w:rPr>
                <w:rFonts w:ascii="Tahoma" w:hAnsi="Tahoma" w:cs="Tahoma"/>
                <w:sz w:val="14"/>
                <w:szCs w:val="14"/>
              </w:rPr>
              <w:t>12</w:t>
            </w:r>
            <w:r w:rsidR="008B7C03" w:rsidRPr="000562A9">
              <w:rPr>
                <w:rFonts w:ascii="Tahoma" w:hAnsi="Tahoma" w:cs="Tahoma"/>
                <w:sz w:val="14"/>
                <w:szCs w:val="14"/>
              </w:rPr>
              <w:t>-</w:t>
            </w:r>
            <w:r w:rsidR="008B7C03">
              <w:rPr>
                <w:rFonts w:ascii="Tahoma" w:hAnsi="Tahoma" w:cs="Tahoma"/>
                <w:sz w:val="14"/>
                <w:szCs w:val="14"/>
              </w:rPr>
              <w:t>81206</w:t>
            </w:r>
            <w:r>
              <w:rPr>
                <w:rFonts w:ascii="Tahoma" w:hAnsi="Tahoma" w:cs="Tahoma"/>
                <w:sz w:val="14"/>
                <w:szCs w:val="14"/>
              </w:rPr>
              <w:t>-</w:t>
            </w:r>
            <w:r w:rsidR="00DB3233">
              <w:rPr>
                <w:rFonts w:ascii="Tahoma" w:hAnsi="Tahoma" w:cs="Tahoma"/>
                <w:sz w:val="14"/>
                <w:szCs w:val="14"/>
              </w:rPr>
              <w:t>09</w:t>
            </w:r>
            <w:r>
              <w:rPr>
                <w:rFonts w:ascii="Tahoma" w:hAnsi="Tahoma" w:cs="Tahoma"/>
                <w:sz w:val="14"/>
                <w:szCs w:val="14"/>
              </w:rPr>
              <w:t>-</w:t>
            </w:r>
            <w:r w:rsidR="00DB3233">
              <w:rPr>
                <w:rFonts w:ascii="Tahoma" w:hAnsi="Tahoma" w:cs="Tahoma"/>
                <w:sz w:val="14"/>
                <w:szCs w:val="14"/>
              </w:rPr>
              <w:t>0</w:t>
            </w:r>
            <w:r w:rsidRPr="00EF06D9">
              <w:rPr>
                <w:rFonts w:ascii="Tahoma" w:hAnsi="Tahoma" w:cs="Tahoma"/>
                <w:iCs/>
                <w:color w:val="333333"/>
                <w:sz w:val="14"/>
                <w:szCs w:val="14"/>
                <w:lang w:eastAsia="it-IT"/>
              </w:rPr>
              <w:t>;</w:t>
            </w:r>
            <w:r w:rsidRPr="00B57B36">
              <w:rPr>
                <w:rFonts w:ascii="Tahoma" w:hAnsi="Tahoma" w:cs="Tahoma"/>
                <w:iCs/>
                <w:color w:val="333333"/>
                <w:sz w:val="14"/>
                <w:szCs w:val="14"/>
                <w:lang w:eastAsia="it-IT"/>
              </w:rPr>
              <w:t xml:space="preserve"> </w:t>
            </w:r>
            <w:r w:rsidRPr="00B57B36">
              <w:rPr>
                <w:rFonts w:ascii="Tahoma" w:hAnsi="Tahoma" w:cs="Tahoma"/>
                <w:b/>
                <w:iCs/>
                <w:color w:val="333333"/>
                <w:sz w:val="14"/>
                <w:szCs w:val="14"/>
                <w:lang w:eastAsia="it-IT"/>
              </w:rPr>
              <w:t>ISSN</w:t>
            </w:r>
            <w:r w:rsidRPr="00B57B36">
              <w:rPr>
                <w:rFonts w:ascii="Tahoma" w:hAnsi="Tahoma" w:cs="Tahoma"/>
                <w:iCs/>
                <w:color w:val="333333"/>
                <w:sz w:val="14"/>
                <w:szCs w:val="14"/>
                <w:lang w:eastAsia="it-IT"/>
              </w:rPr>
              <w:t xml:space="preserve"> 2283-9216</w:t>
            </w:r>
          </w:p>
        </w:tc>
      </w:tr>
    </w:tbl>
    <w:p w14:paraId="2E667253" w14:textId="56AD8F51" w:rsidR="00E978D0" w:rsidRPr="002A33AB" w:rsidRDefault="000341C6" w:rsidP="00E978D0">
      <w:pPr>
        <w:pStyle w:val="CETTitle"/>
      </w:pPr>
      <w:r w:rsidRPr="002A33AB">
        <w:t>Sustainable Aviation Fuel Production Optimization in Colombia: An In-depth Sensitivity Analysis</w:t>
      </w:r>
    </w:p>
    <w:p w14:paraId="0488FED2" w14:textId="6F57273B" w:rsidR="00B57E6F" w:rsidRPr="002A33AB" w:rsidRDefault="000341C6" w:rsidP="00B57E6F">
      <w:pPr>
        <w:pStyle w:val="CETAuthors"/>
        <w:rPr>
          <w:lang w:val="es-CO"/>
        </w:rPr>
      </w:pPr>
      <w:r w:rsidRPr="002A33AB">
        <w:rPr>
          <w:lang w:val="es-CO"/>
        </w:rPr>
        <w:t>Mauricio Lopez</w:t>
      </w:r>
      <w:r w:rsidR="0047725C" w:rsidRPr="002A33AB">
        <w:rPr>
          <w:vertAlign w:val="superscript"/>
          <w:lang w:val="es-CO"/>
        </w:rPr>
        <w:t>a</w:t>
      </w:r>
      <w:r w:rsidRPr="002A33AB">
        <w:rPr>
          <w:vertAlign w:val="superscript"/>
          <w:lang w:val="es-CO"/>
        </w:rPr>
        <w:t>,</w:t>
      </w:r>
      <w:r w:rsidR="0047725C" w:rsidRPr="002A33AB">
        <w:rPr>
          <w:vertAlign w:val="superscript"/>
          <w:lang w:val="es-CO"/>
        </w:rPr>
        <w:t>d</w:t>
      </w:r>
      <w:r w:rsidR="00B57E6F" w:rsidRPr="002A33AB">
        <w:rPr>
          <w:lang w:val="es-CO"/>
        </w:rPr>
        <w:t xml:space="preserve">, </w:t>
      </w:r>
      <w:r w:rsidRPr="002A33AB">
        <w:rPr>
          <w:lang w:val="es-CO"/>
        </w:rPr>
        <w:t>Sergio Leon</w:t>
      </w:r>
      <w:r w:rsidR="0047725C" w:rsidRPr="002A33AB">
        <w:rPr>
          <w:vertAlign w:val="superscript"/>
          <w:lang w:val="es-CO"/>
        </w:rPr>
        <w:t>b</w:t>
      </w:r>
      <w:r w:rsidRPr="002A33AB">
        <w:rPr>
          <w:vertAlign w:val="superscript"/>
          <w:lang w:val="es-CO"/>
        </w:rPr>
        <w:t>,</w:t>
      </w:r>
      <w:r w:rsidR="0047725C" w:rsidRPr="002A33AB">
        <w:rPr>
          <w:vertAlign w:val="superscript"/>
          <w:lang w:val="es-CO"/>
        </w:rPr>
        <w:t>d</w:t>
      </w:r>
      <w:r w:rsidR="00B57E6F" w:rsidRPr="002A33AB">
        <w:rPr>
          <w:lang w:val="es-CO"/>
        </w:rPr>
        <w:t xml:space="preserve">, </w:t>
      </w:r>
      <w:r w:rsidRPr="002A33AB">
        <w:rPr>
          <w:lang w:val="es-CO"/>
        </w:rPr>
        <w:t>Stender Kwakernaak</w:t>
      </w:r>
      <w:r w:rsidR="0047725C" w:rsidRPr="002A33AB">
        <w:rPr>
          <w:vertAlign w:val="superscript"/>
          <w:lang w:val="es-CO"/>
        </w:rPr>
        <w:t>c</w:t>
      </w:r>
      <w:r w:rsidR="00D13569" w:rsidRPr="002A33AB">
        <w:rPr>
          <w:vertAlign w:val="superscript"/>
          <w:lang w:val="es-CO"/>
        </w:rPr>
        <w:t xml:space="preserve"> </w:t>
      </w:r>
      <w:r w:rsidRPr="002A33AB">
        <w:rPr>
          <w:lang w:val="es-CO"/>
        </w:rPr>
        <w:t>,</w:t>
      </w:r>
      <w:r w:rsidR="00D13569" w:rsidRPr="002A33AB">
        <w:rPr>
          <w:lang w:val="es-CO"/>
        </w:rPr>
        <w:t xml:space="preserve"> Vladimir Silva</w:t>
      </w:r>
      <w:r w:rsidR="0047725C" w:rsidRPr="002A33AB">
        <w:rPr>
          <w:vertAlign w:val="superscript"/>
          <w:lang w:val="es-CO"/>
        </w:rPr>
        <w:t>b</w:t>
      </w:r>
      <w:r w:rsidR="00D13569" w:rsidRPr="002A33AB">
        <w:rPr>
          <w:vertAlign w:val="superscript"/>
          <w:lang w:val="es-CO"/>
        </w:rPr>
        <w:t xml:space="preserve"> </w:t>
      </w:r>
      <w:r w:rsidR="00D13569" w:rsidRPr="002A33AB">
        <w:rPr>
          <w:lang w:val="es-CO"/>
        </w:rPr>
        <w:t>,John Posada</w:t>
      </w:r>
      <w:r w:rsidR="0047725C" w:rsidRPr="002A33AB">
        <w:rPr>
          <w:vertAlign w:val="superscript"/>
          <w:lang w:val="es-CO"/>
        </w:rPr>
        <w:t>c</w:t>
      </w:r>
      <w:r w:rsidR="00D13569" w:rsidRPr="002A33AB">
        <w:rPr>
          <w:vertAlign w:val="superscript"/>
          <w:lang w:val="es-CO"/>
        </w:rPr>
        <w:t xml:space="preserve"> </w:t>
      </w:r>
      <w:r w:rsidR="00D13569" w:rsidRPr="002A33AB">
        <w:rPr>
          <w:lang w:val="es-CO"/>
        </w:rPr>
        <w:t>, Oscar Alvarez</w:t>
      </w:r>
      <w:r w:rsidR="0047725C" w:rsidRPr="002A33AB">
        <w:rPr>
          <w:vertAlign w:val="superscript"/>
          <w:lang w:val="es-CO"/>
        </w:rPr>
        <w:t>a</w:t>
      </w:r>
      <w:r w:rsidR="00D13569" w:rsidRPr="002A33AB">
        <w:rPr>
          <w:lang w:val="es-CO"/>
        </w:rPr>
        <w:t>.</w:t>
      </w:r>
    </w:p>
    <w:p w14:paraId="0C70BA7E" w14:textId="6EBC0A19" w:rsidR="0047725C" w:rsidRPr="002A33AB" w:rsidRDefault="0047725C" w:rsidP="0047725C">
      <w:pPr>
        <w:pStyle w:val="CETAddress"/>
        <w:rPr>
          <w:lang w:val="es-CO"/>
        </w:rPr>
      </w:pPr>
      <w:r w:rsidRPr="002A33AB">
        <w:rPr>
          <w:vertAlign w:val="superscript"/>
          <w:lang w:val="es-CO"/>
        </w:rPr>
        <w:t>a</w:t>
      </w:r>
      <w:r w:rsidRPr="002A33AB">
        <w:rPr>
          <w:lang w:val="es-CO"/>
        </w:rPr>
        <w:t xml:space="preserve"> Los Andes University, Bogotá Colombia </w:t>
      </w:r>
    </w:p>
    <w:p w14:paraId="5BAF39C1" w14:textId="49056337" w:rsidR="0047725C" w:rsidRPr="002A33AB" w:rsidRDefault="0047725C" w:rsidP="0047725C">
      <w:pPr>
        <w:pStyle w:val="CETAddress"/>
      </w:pPr>
      <w:r w:rsidRPr="002A33AB">
        <w:rPr>
          <w:vertAlign w:val="superscript"/>
        </w:rPr>
        <w:t>b</w:t>
      </w:r>
      <w:r w:rsidRPr="002A33AB">
        <w:t xml:space="preserve"> ECCI University, Bogotá Colombia </w:t>
      </w:r>
    </w:p>
    <w:p w14:paraId="5A7E6989" w14:textId="119EA159" w:rsidR="0047725C" w:rsidRPr="002A33AB" w:rsidRDefault="0047725C" w:rsidP="0047725C">
      <w:pPr>
        <w:pStyle w:val="CETAddress"/>
      </w:pPr>
      <w:r w:rsidRPr="002A33AB">
        <w:rPr>
          <w:vertAlign w:val="superscript"/>
        </w:rPr>
        <w:t>c</w:t>
      </w:r>
      <w:r w:rsidRPr="002A33AB">
        <w:t xml:space="preserve"> Department of Biotechnology, Delft University of Technology (TU Delft), Delft, the Netherlands </w:t>
      </w:r>
    </w:p>
    <w:p w14:paraId="195A8EB7" w14:textId="4BF07490" w:rsidR="0047725C" w:rsidRPr="002A33AB" w:rsidRDefault="0047725C" w:rsidP="0047725C">
      <w:pPr>
        <w:pStyle w:val="CETAddress"/>
      </w:pPr>
      <w:r w:rsidRPr="002A33AB">
        <w:rPr>
          <w:vertAlign w:val="superscript"/>
        </w:rPr>
        <w:t xml:space="preserve">d </w:t>
      </w:r>
      <w:r w:rsidRPr="002A33AB">
        <w:t xml:space="preserve">Colombian Air Force, Bogotá Colombia </w:t>
      </w:r>
    </w:p>
    <w:p w14:paraId="081D6C25" w14:textId="4567BC5C" w:rsidR="00D13569" w:rsidRDefault="00D13569" w:rsidP="00D13569">
      <w:pPr>
        <w:pStyle w:val="CETAddress"/>
      </w:pPr>
    </w:p>
    <w:p w14:paraId="37B1F94D" w14:textId="1D9E473C" w:rsidR="0045357C" w:rsidRDefault="0045357C" w:rsidP="0045357C">
      <w:pPr>
        <w:pStyle w:val="CETAddress"/>
        <w:jc w:val="both"/>
      </w:pPr>
      <w:bookmarkStart w:id="0" w:name="_GoBack"/>
      <w:bookmarkEnd w:id="0"/>
      <w:r w:rsidRPr="0045357C">
        <w:rPr>
          <w:sz w:val="18"/>
        </w:rPr>
        <w:t>This research explores the optimization of Sustainable Aviation Fuels (SAF) production in Colombia, emphasizing economic and environmental factors. It examines feedstock availab</w:t>
      </w:r>
      <w:r>
        <w:rPr>
          <w:sz w:val="18"/>
        </w:rPr>
        <w:t xml:space="preserve">ility, production technologies </w:t>
      </w:r>
      <w:r w:rsidRPr="0045357C">
        <w:rPr>
          <w:sz w:val="18"/>
        </w:rPr>
        <w:t>Alcohol-to-Jet</w:t>
      </w:r>
      <w:r>
        <w:rPr>
          <w:sz w:val="18"/>
        </w:rPr>
        <w:t xml:space="preserve"> (ATJ)</w:t>
      </w:r>
      <w:r w:rsidRPr="0045357C">
        <w:rPr>
          <w:sz w:val="18"/>
        </w:rPr>
        <w:t>, Fischer-Tropsch</w:t>
      </w:r>
      <w:r>
        <w:rPr>
          <w:sz w:val="18"/>
        </w:rPr>
        <w:t xml:space="preserve"> (FT</w:t>
      </w:r>
      <w:r w:rsidRPr="0045357C">
        <w:rPr>
          <w:sz w:val="18"/>
        </w:rPr>
        <w:t xml:space="preserve">), and geographical considerations to determine the Minimum Fuel Selling Price (MFSP) of SAF. The environmental analysis employs a </w:t>
      </w:r>
      <w:r w:rsidR="000C119F">
        <w:rPr>
          <w:sz w:val="18"/>
        </w:rPr>
        <w:t>L</w:t>
      </w:r>
      <w:r w:rsidRPr="0045357C">
        <w:rPr>
          <w:sz w:val="18"/>
        </w:rPr>
        <w:t xml:space="preserve">ife </w:t>
      </w:r>
      <w:r w:rsidR="000C119F">
        <w:rPr>
          <w:sz w:val="18"/>
        </w:rPr>
        <w:t>C</w:t>
      </w:r>
      <w:r w:rsidRPr="0045357C">
        <w:rPr>
          <w:sz w:val="18"/>
        </w:rPr>
        <w:t xml:space="preserve">ycle </w:t>
      </w:r>
      <w:r w:rsidR="000C119F">
        <w:rPr>
          <w:sz w:val="18"/>
        </w:rPr>
        <w:t>A</w:t>
      </w:r>
      <w:r w:rsidRPr="0045357C">
        <w:rPr>
          <w:sz w:val="18"/>
        </w:rPr>
        <w:t>ssessment (LCA), considering CO2 emissions at each value chain step with an energy allocation factor for equitable carbon footprint distribution. Results highlight increased SAF demand in urban centers, necessitating diverse biomass sourcing. Fischer-Tropsch proves efficient but with high energy requirements impacting costs, while Alcohol-to-Jet offers an alternative leveraging existing bioethanol facilities. The study emphasizes data sensitivity importance, addressing limitations and showcasing 0.072 USD</w:t>
      </w:r>
      <w:r w:rsidR="00121197">
        <w:rPr>
          <w:sz w:val="18"/>
        </w:rPr>
        <w:t>/L</w:t>
      </w:r>
      <w:r w:rsidRPr="0045357C">
        <w:rPr>
          <w:sz w:val="18"/>
        </w:rPr>
        <w:t xml:space="preserve"> change for 1% allocation change and 0.03 USD per liter for 1% conversion drop in Gas-to-Liquid Fuel, and 0.04 USD</w:t>
      </w:r>
      <w:r w:rsidR="00121197">
        <w:rPr>
          <w:sz w:val="18"/>
        </w:rPr>
        <w:t>/L</w:t>
      </w:r>
      <w:r w:rsidRPr="0045357C">
        <w:rPr>
          <w:sz w:val="18"/>
        </w:rPr>
        <w:t xml:space="preserve"> for allocation and 0.1 USD</w:t>
      </w:r>
      <w:r w:rsidR="00121197">
        <w:rPr>
          <w:sz w:val="18"/>
        </w:rPr>
        <w:t>/L</w:t>
      </w:r>
      <w:r w:rsidRPr="0045357C">
        <w:rPr>
          <w:sz w:val="18"/>
        </w:rPr>
        <w:t xml:space="preserve"> for 1% conversion drop in Alcohol-to-Jet. Compared to prior work, this research provides detailed economic and environmental insights, extending analysis depth and acknowledging limitations, thereby enhancing research comprehensiveness and applicability</w:t>
      </w:r>
      <w:r>
        <w:t>.</w:t>
      </w:r>
    </w:p>
    <w:p w14:paraId="73083200" w14:textId="77777777" w:rsidR="00431209" w:rsidRPr="002A33AB" w:rsidRDefault="00431209" w:rsidP="00431209">
      <w:pPr>
        <w:pStyle w:val="CETHeading1"/>
        <w:numPr>
          <w:ilvl w:val="1"/>
          <w:numId w:val="25"/>
        </w:numPr>
        <w:rPr>
          <w:lang w:val="en-GB"/>
        </w:rPr>
      </w:pPr>
      <w:r w:rsidRPr="002A33AB">
        <w:rPr>
          <w:lang w:val="en-GB"/>
        </w:rPr>
        <w:t>Introduction</w:t>
      </w:r>
    </w:p>
    <w:p w14:paraId="1C733080" w14:textId="6343CC94" w:rsidR="00431209" w:rsidRPr="002A33AB" w:rsidRDefault="00431209" w:rsidP="00431209">
      <w:pPr>
        <w:rPr>
          <w:rFonts w:cs="Arial"/>
          <w:szCs w:val="18"/>
        </w:rPr>
      </w:pPr>
      <w:r w:rsidRPr="002A33AB">
        <w:rPr>
          <w:rFonts w:cs="Arial"/>
          <w:szCs w:val="18"/>
        </w:rPr>
        <w:t xml:space="preserve">This research delves into the intricacies of optimizing the production of Sustainable Aviation Fuels (SAF) production in Colombia, with a strong emphasis on economic and environmental considerations. This study seeks to identify the </w:t>
      </w:r>
      <w:r w:rsidR="000812D5">
        <w:rPr>
          <w:rFonts w:cs="Arial"/>
          <w:szCs w:val="18"/>
        </w:rPr>
        <w:t>main variables in the value chain</w:t>
      </w:r>
      <w:r w:rsidRPr="002A33AB">
        <w:rPr>
          <w:rFonts w:cs="Arial"/>
          <w:szCs w:val="18"/>
        </w:rPr>
        <w:t xml:space="preserve"> tailored to the unique Colombian context. An exhaustive analysis encompassed the national availability of feedstock, their corresponding production technologies, and specific geographical locations.</w:t>
      </w:r>
    </w:p>
    <w:p w14:paraId="6252B263" w14:textId="6AE937C8" w:rsidR="00431209" w:rsidRPr="002A33AB" w:rsidRDefault="00431209" w:rsidP="00431209">
      <w:pPr>
        <w:rPr>
          <w:rFonts w:cs="Arial"/>
          <w:szCs w:val="18"/>
        </w:rPr>
      </w:pPr>
      <w:r w:rsidRPr="002A33AB">
        <w:rPr>
          <w:rFonts w:cs="Arial"/>
          <w:szCs w:val="18"/>
        </w:rPr>
        <w:t>This evaluation of production technologies scrutinized the following technologies:</w:t>
      </w:r>
      <w:r w:rsidR="00BA082E" w:rsidRPr="002A33AB">
        <w:rPr>
          <w:rFonts w:cs="Arial"/>
          <w:szCs w:val="18"/>
        </w:rPr>
        <w:t xml:space="preserve"> </w:t>
      </w:r>
      <w:r w:rsidRPr="002A33AB">
        <w:rPr>
          <w:rFonts w:cs="Arial"/>
          <w:szCs w:val="18"/>
        </w:rPr>
        <w:t>alcohol-</w:t>
      </w:r>
      <w:r w:rsidR="00DF53D2" w:rsidRPr="002A33AB">
        <w:rPr>
          <w:rFonts w:cs="Arial"/>
          <w:szCs w:val="18"/>
        </w:rPr>
        <w:t>to</w:t>
      </w:r>
      <w:r w:rsidRPr="002A33AB">
        <w:rPr>
          <w:rFonts w:cs="Arial"/>
          <w:szCs w:val="18"/>
        </w:rPr>
        <w:t>-jet (ATJ), and Fischer-</w:t>
      </w:r>
      <w:proofErr w:type="spellStart"/>
      <w:r w:rsidRPr="002A33AB">
        <w:rPr>
          <w:rFonts w:cs="Arial"/>
          <w:szCs w:val="18"/>
        </w:rPr>
        <w:t>Tropsch</w:t>
      </w:r>
      <w:proofErr w:type="spellEnd"/>
      <w:r w:rsidRPr="002A33AB">
        <w:rPr>
          <w:rFonts w:cs="Arial"/>
          <w:szCs w:val="18"/>
        </w:rPr>
        <w:t xml:space="preserve"> (FT). The range of feedstocks examined </w:t>
      </w:r>
      <w:r w:rsidR="00B804F1" w:rsidRPr="002A33AB">
        <w:rPr>
          <w:rFonts w:cs="Arial"/>
          <w:szCs w:val="18"/>
        </w:rPr>
        <w:t>includes</w:t>
      </w:r>
      <w:r w:rsidRPr="002A33AB">
        <w:rPr>
          <w:rFonts w:cs="Arial"/>
          <w:szCs w:val="18"/>
        </w:rPr>
        <w:t xml:space="preserve"> various lignocellulosic waste sources, such as municipal solid waste, bagasse, and heart leaves from </w:t>
      </w:r>
      <w:proofErr w:type="spellStart"/>
      <w:r w:rsidRPr="002A33AB">
        <w:rPr>
          <w:rFonts w:cs="Arial"/>
          <w:szCs w:val="18"/>
        </w:rPr>
        <w:t>agro</w:t>
      </w:r>
      <w:proofErr w:type="spellEnd"/>
      <w:r w:rsidRPr="002A33AB">
        <w:rPr>
          <w:rFonts w:cs="Arial"/>
          <w:szCs w:val="18"/>
        </w:rPr>
        <w:t>-industrial processes, like oil palm and corn rice residues, among others. Crucially, the study dug into economic factors, including basic economics for capital and operating costs for centralized storage processing units (CSP) and biorefineries, transport for every phase of the value chain and feedstock costs, and even the economic allocation factor to comprehensively determine the Minimum Fuel Selling Price (MFSP) of SAF, this encompassed the consideration of co-products and related services, emphasizing that the economic impact extends beyond SAF pricing. Furthermore, for environmental analysis and the life cycle assessment (LCA), a couple of factors for CO2 emissions were gathered for every step in the value chain, also, the energy allocation factor allowed to account for carbon credits and other co-products related to SAF production. This facilitated the equitable distribution of the carbon footprint across various products in the production process.</w:t>
      </w:r>
    </w:p>
    <w:p w14:paraId="1992698B" w14:textId="77777777" w:rsidR="00431209" w:rsidRPr="002A33AB" w:rsidRDefault="00431209" w:rsidP="00431209">
      <w:pPr>
        <w:rPr>
          <w:rFonts w:cs="Arial"/>
          <w:szCs w:val="18"/>
        </w:rPr>
      </w:pPr>
    </w:p>
    <w:p w14:paraId="20E7AA5A" w14:textId="73C7B52E" w:rsidR="00431209" w:rsidRPr="002A33AB" w:rsidRDefault="00431209" w:rsidP="00431209">
      <w:pPr>
        <w:rPr>
          <w:rFonts w:cs="Arial"/>
          <w:szCs w:val="18"/>
        </w:rPr>
      </w:pPr>
      <w:r w:rsidRPr="00E015EC">
        <w:rPr>
          <w:rFonts w:cs="Arial"/>
          <w:szCs w:val="18"/>
        </w:rPr>
        <w:t xml:space="preserve">The results indicate higher SAF demand in major urban </w:t>
      </w:r>
      <w:proofErr w:type="spellStart"/>
      <w:r w:rsidRPr="00E015EC">
        <w:rPr>
          <w:rFonts w:cs="Arial"/>
          <w:szCs w:val="18"/>
        </w:rPr>
        <w:t>centers</w:t>
      </w:r>
      <w:proofErr w:type="spellEnd"/>
      <w:r w:rsidRPr="00E015EC">
        <w:rPr>
          <w:rFonts w:cs="Arial"/>
          <w:szCs w:val="18"/>
        </w:rPr>
        <w:t xml:space="preserve"> like Bogotá, </w:t>
      </w:r>
      <w:proofErr w:type="spellStart"/>
      <w:r w:rsidR="00B632F7" w:rsidRPr="00E015EC">
        <w:rPr>
          <w:rFonts w:cs="Arial"/>
          <w:szCs w:val="18"/>
        </w:rPr>
        <w:t>Rionegro</w:t>
      </w:r>
      <w:proofErr w:type="spellEnd"/>
      <w:r w:rsidRPr="00E015EC">
        <w:rPr>
          <w:rFonts w:cs="Arial"/>
          <w:szCs w:val="18"/>
        </w:rPr>
        <w:t>, Ca</w:t>
      </w:r>
      <w:r w:rsidR="00B632F7" w:rsidRPr="00E015EC">
        <w:rPr>
          <w:rFonts w:cs="Arial"/>
          <w:szCs w:val="18"/>
        </w:rPr>
        <w:t>rtagena</w:t>
      </w:r>
      <w:r w:rsidRPr="00E015EC">
        <w:rPr>
          <w:rFonts w:cs="Arial"/>
          <w:szCs w:val="18"/>
        </w:rPr>
        <w:t xml:space="preserve">, and </w:t>
      </w:r>
      <w:r w:rsidR="00B632F7" w:rsidRPr="00E015EC">
        <w:rPr>
          <w:rFonts w:cs="Arial"/>
          <w:szCs w:val="18"/>
        </w:rPr>
        <w:t>Cali</w:t>
      </w:r>
      <w:r w:rsidRPr="00E015EC">
        <w:rPr>
          <w:rFonts w:cs="Arial"/>
          <w:szCs w:val="18"/>
        </w:rPr>
        <w:t xml:space="preserve">. Biomass sourcing was geographically tailored to these urban hubs and processing </w:t>
      </w:r>
      <w:proofErr w:type="spellStart"/>
      <w:r w:rsidRPr="00E015EC">
        <w:rPr>
          <w:rFonts w:cs="Arial"/>
          <w:szCs w:val="18"/>
        </w:rPr>
        <w:t>centers</w:t>
      </w:r>
      <w:proofErr w:type="spellEnd"/>
      <w:r w:rsidRPr="00E015EC">
        <w:rPr>
          <w:rFonts w:cs="Arial"/>
          <w:szCs w:val="18"/>
        </w:rPr>
        <w:t xml:space="preserve">, with materials such </w:t>
      </w:r>
      <w:r w:rsidRPr="00E015EC">
        <w:rPr>
          <w:rFonts w:cs="Arial"/>
          <w:szCs w:val="18"/>
        </w:rPr>
        <w:lastRenderedPageBreak/>
        <w:t xml:space="preserve">as sugar cane, rice, oil palm, corn, and coffee yielding essential components like bagasse, husk, shells, </w:t>
      </w:r>
      <w:proofErr w:type="spellStart"/>
      <w:r w:rsidRPr="00E015EC">
        <w:rPr>
          <w:rFonts w:cs="Arial"/>
          <w:szCs w:val="18"/>
        </w:rPr>
        <w:t>fiber</w:t>
      </w:r>
      <w:proofErr w:type="spellEnd"/>
      <w:r w:rsidRPr="00E015EC">
        <w:rPr>
          <w:rFonts w:cs="Arial"/>
          <w:szCs w:val="18"/>
        </w:rPr>
        <w:t>, palm rachis, stubble, cop, basket, pulp, cisco, and stems</w:t>
      </w:r>
      <w:sdt>
        <w:sdtPr>
          <w:rPr>
            <w:rFonts w:cs="Arial"/>
            <w:color w:val="000000"/>
            <w:szCs w:val="18"/>
          </w:rPr>
          <w:tag w:val="MENDELEY_CITATION_v3_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"/>
          <w:id w:val="-1949389469"/>
          <w:placeholder>
            <w:docPart w:val="DefaultPlaceholder_-1854013440"/>
          </w:placeholder>
        </w:sdtPr>
        <w:sdtContent>
          <w:r w:rsidR="003F45A0" w:rsidRPr="003F45A0">
            <w:rPr>
              <w:rFonts w:cs="Arial"/>
              <w:color w:val="000000"/>
              <w:szCs w:val="18"/>
            </w:rPr>
            <w:t>(López Gómez et al., 2023)</w:t>
          </w:r>
        </w:sdtContent>
      </w:sdt>
      <w:r w:rsidRPr="00E015EC">
        <w:rPr>
          <w:rFonts w:cs="Arial"/>
          <w:szCs w:val="18"/>
        </w:rPr>
        <w:t>. Notably, the technology's analysis revealed varying yields, aligning with existing literature. Fischer-</w:t>
      </w:r>
      <w:proofErr w:type="spellStart"/>
      <w:r w:rsidRPr="00E015EC">
        <w:rPr>
          <w:rFonts w:cs="Arial"/>
          <w:szCs w:val="18"/>
        </w:rPr>
        <w:t>Tropsch</w:t>
      </w:r>
      <w:proofErr w:type="spellEnd"/>
      <w:r w:rsidRPr="00E015EC">
        <w:rPr>
          <w:rFonts w:cs="Arial"/>
          <w:szCs w:val="18"/>
        </w:rPr>
        <w:t xml:space="preserve"> conversion of lignocellulosic feedstock emerged as the most efficient but with substantial energy requirements, which leads to a higher capital cost, and it necessarily involves rises in the MFSP; it is worth highlighting the importance of moisture content in lignocellulosic materials, which could add extra steps in the value chain. Also, the CSP location </w:t>
      </w:r>
      <w:r w:rsidR="00B804F1" w:rsidRPr="00E015EC">
        <w:rPr>
          <w:rFonts w:cs="Arial"/>
          <w:szCs w:val="18"/>
        </w:rPr>
        <w:t>influences the transport contribution, especially when those that are far from the feedstock or biorefineries could raise</w:t>
      </w:r>
      <w:r w:rsidRPr="00E015EC">
        <w:rPr>
          <w:rFonts w:cs="Arial"/>
          <w:szCs w:val="18"/>
        </w:rPr>
        <w:t xml:space="preserve"> the transportation prices and emissions. The ATJ route may be shown as an alternative, especially for the current technology already used in the country to</w:t>
      </w:r>
      <w:r w:rsidRPr="002A33AB">
        <w:rPr>
          <w:rFonts w:cs="Arial"/>
          <w:szCs w:val="18"/>
        </w:rPr>
        <w:t xml:space="preserve"> produce bioethanol, despite its not being a lignocellulosic feedstock it could be made by those, this aspect is </w:t>
      </w:r>
      <w:r w:rsidR="000812D5" w:rsidRPr="002A33AB">
        <w:rPr>
          <w:rFonts w:cs="Arial"/>
          <w:szCs w:val="18"/>
        </w:rPr>
        <w:t>important</w:t>
      </w:r>
      <w:r w:rsidRPr="002A33AB">
        <w:rPr>
          <w:rFonts w:cs="Arial"/>
          <w:szCs w:val="18"/>
        </w:rPr>
        <w:t xml:space="preserve">, the already facilities could decrease the capital cost that was found and used in the literature. </w:t>
      </w:r>
    </w:p>
    <w:p w14:paraId="0D95B735" w14:textId="1B809A7D" w:rsidR="00431209" w:rsidRPr="002A33AB" w:rsidRDefault="00431209" w:rsidP="00431209">
      <w:pPr>
        <w:rPr>
          <w:rFonts w:cs="Arial"/>
          <w:szCs w:val="18"/>
        </w:rPr>
      </w:pPr>
      <w:r w:rsidRPr="002A33AB">
        <w:rPr>
          <w:rFonts w:cs="Arial"/>
          <w:szCs w:val="18"/>
        </w:rPr>
        <w:t>Among the most relevant results is the sensitivity of data that affects the SAF at an economic and environmental level, among which the allocation factor stands out, the transportation of raw materials from the regions. On the other hand, the conversion at some point is limited by the availability of raw materials or demand.</w:t>
      </w:r>
      <w:r w:rsidR="00861031" w:rsidRPr="002A33AB">
        <w:rPr>
          <w:rFonts w:cs="Arial"/>
          <w:szCs w:val="18"/>
        </w:rPr>
        <w:t xml:space="preserve"> For allocation sensibility for GFT is 0.0717 USD</w:t>
      </w:r>
      <w:r w:rsidR="00C86AE9" w:rsidRPr="002A33AB">
        <w:rPr>
          <w:rFonts w:cs="Arial"/>
          <w:szCs w:val="18"/>
        </w:rPr>
        <w:t>/L</w:t>
      </w:r>
      <w:r w:rsidR="00861031" w:rsidRPr="002A33AB">
        <w:rPr>
          <w:rFonts w:cs="Arial"/>
          <w:szCs w:val="18"/>
        </w:rPr>
        <w:t xml:space="preserve"> for every 1% of change and 0.04</w:t>
      </w:r>
      <w:r w:rsidR="0089252F" w:rsidRPr="002A33AB">
        <w:rPr>
          <w:rFonts w:cs="Arial"/>
          <w:szCs w:val="18"/>
        </w:rPr>
        <w:t xml:space="preserve"> </w:t>
      </w:r>
      <w:r w:rsidR="00861031" w:rsidRPr="002A33AB">
        <w:rPr>
          <w:rFonts w:cs="Arial"/>
          <w:szCs w:val="18"/>
        </w:rPr>
        <w:t>USD</w:t>
      </w:r>
      <w:r w:rsidR="00493E0D" w:rsidRPr="002A33AB">
        <w:rPr>
          <w:rFonts w:cs="Arial"/>
          <w:szCs w:val="18"/>
        </w:rPr>
        <w:t>/L</w:t>
      </w:r>
      <w:r w:rsidR="00861031" w:rsidRPr="002A33AB">
        <w:rPr>
          <w:rFonts w:cs="Arial"/>
          <w:szCs w:val="18"/>
        </w:rPr>
        <w:t xml:space="preserve"> for ATJ, likewise, farmgate price and OPEX 0.00138 USD</w:t>
      </w:r>
      <w:r w:rsidR="00493E0D" w:rsidRPr="002A33AB">
        <w:rPr>
          <w:rFonts w:cs="Arial"/>
          <w:szCs w:val="18"/>
        </w:rPr>
        <w:t>/L</w:t>
      </w:r>
      <w:r w:rsidR="00861031" w:rsidRPr="002A33AB">
        <w:rPr>
          <w:rFonts w:cs="Arial"/>
          <w:szCs w:val="18"/>
        </w:rPr>
        <w:t xml:space="preserve"> and 0.00131</w:t>
      </w:r>
      <w:r w:rsidR="00493E0D" w:rsidRPr="002A33AB">
        <w:rPr>
          <w:rFonts w:cs="Arial"/>
          <w:szCs w:val="18"/>
        </w:rPr>
        <w:t xml:space="preserve"> USD/L</w:t>
      </w:r>
      <w:r w:rsidR="00861031" w:rsidRPr="002A33AB">
        <w:rPr>
          <w:rFonts w:cs="Arial"/>
          <w:szCs w:val="18"/>
        </w:rPr>
        <w:t xml:space="preserve"> respectively for every USD</w:t>
      </w:r>
      <w:r w:rsidR="00493E0D" w:rsidRPr="002A33AB">
        <w:rPr>
          <w:rFonts w:cs="Arial"/>
          <w:szCs w:val="18"/>
        </w:rPr>
        <w:t>/ton</w:t>
      </w:r>
      <w:r w:rsidR="00861031" w:rsidRPr="002A33AB">
        <w:rPr>
          <w:rFonts w:cs="Arial"/>
          <w:szCs w:val="18"/>
        </w:rPr>
        <w:t xml:space="preserve"> </w:t>
      </w:r>
      <w:r w:rsidR="0089252F" w:rsidRPr="002A33AB">
        <w:rPr>
          <w:rFonts w:cs="Arial"/>
          <w:szCs w:val="18"/>
        </w:rPr>
        <w:t>f</w:t>
      </w:r>
      <w:r w:rsidR="00861031" w:rsidRPr="002A33AB">
        <w:rPr>
          <w:rFonts w:cs="Arial"/>
          <w:szCs w:val="18"/>
        </w:rPr>
        <w:t>or GFT</w:t>
      </w:r>
      <w:r w:rsidR="00493E0D" w:rsidRPr="002A33AB">
        <w:rPr>
          <w:rFonts w:cs="Arial"/>
          <w:szCs w:val="18"/>
        </w:rPr>
        <w:t>,</w:t>
      </w:r>
      <w:r w:rsidR="00861031" w:rsidRPr="002A33AB">
        <w:rPr>
          <w:rFonts w:cs="Arial"/>
          <w:szCs w:val="18"/>
        </w:rPr>
        <w:t xml:space="preserve"> and for ATJ 0.00486 USD</w:t>
      </w:r>
      <w:r w:rsidR="00493E0D" w:rsidRPr="002A33AB">
        <w:rPr>
          <w:rFonts w:cs="Arial"/>
          <w:szCs w:val="18"/>
        </w:rPr>
        <w:t>/L</w:t>
      </w:r>
      <w:r w:rsidR="00861031" w:rsidRPr="002A33AB">
        <w:rPr>
          <w:rFonts w:cs="Arial"/>
          <w:szCs w:val="18"/>
        </w:rPr>
        <w:t xml:space="preserve"> and 0.00478 USD</w:t>
      </w:r>
      <w:r w:rsidR="00493E0D" w:rsidRPr="002A33AB">
        <w:rPr>
          <w:rFonts w:cs="Arial"/>
          <w:szCs w:val="18"/>
        </w:rPr>
        <w:t>/L</w:t>
      </w:r>
      <w:r w:rsidR="00861031" w:rsidRPr="002A33AB">
        <w:rPr>
          <w:rFonts w:cs="Arial"/>
          <w:szCs w:val="18"/>
        </w:rPr>
        <w:t xml:space="preserve">. And </w:t>
      </w:r>
      <w:proofErr w:type="gramStart"/>
      <w:r w:rsidR="00861031" w:rsidRPr="002A33AB">
        <w:rPr>
          <w:rFonts w:cs="Arial"/>
          <w:szCs w:val="18"/>
        </w:rPr>
        <w:t>finally</w:t>
      </w:r>
      <w:proofErr w:type="gramEnd"/>
      <w:r w:rsidR="00861031" w:rsidRPr="002A33AB">
        <w:rPr>
          <w:rFonts w:cs="Arial"/>
          <w:szCs w:val="18"/>
        </w:rPr>
        <w:t xml:space="preserve"> for Capex </w:t>
      </w:r>
      <w:r w:rsidR="0089252F" w:rsidRPr="002A33AB">
        <w:rPr>
          <w:rFonts w:cs="Arial"/>
          <w:szCs w:val="18"/>
        </w:rPr>
        <w:t>0.00</w:t>
      </w:r>
      <w:r w:rsidR="00861031" w:rsidRPr="002A33AB">
        <w:rPr>
          <w:rFonts w:cs="Arial"/>
          <w:szCs w:val="18"/>
        </w:rPr>
        <w:t>271</w:t>
      </w:r>
      <w:r w:rsidR="00493E0D" w:rsidRPr="002A33AB">
        <w:rPr>
          <w:rFonts w:cs="Arial"/>
          <w:szCs w:val="18"/>
        </w:rPr>
        <w:t xml:space="preserve"> </w:t>
      </w:r>
      <w:r w:rsidR="00861031" w:rsidRPr="002A33AB">
        <w:rPr>
          <w:rFonts w:cs="Arial"/>
          <w:szCs w:val="18"/>
        </w:rPr>
        <w:t>USD</w:t>
      </w:r>
      <w:r w:rsidR="00E521BD" w:rsidRPr="002A33AB">
        <w:rPr>
          <w:rFonts w:cs="Arial"/>
          <w:szCs w:val="18"/>
        </w:rPr>
        <w:t>/L</w:t>
      </w:r>
      <w:r w:rsidR="004A6216" w:rsidRPr="002A33AB">
        <w:rPr>
          <w:rFonts w:cs="Arial"/>
          <w:szCs w:val="18"/>
        </w:rPr>
        <w:t xml:space="preserve"> in GFT</w:t>
      </w:r>
      <w:r w:rsidR="00B313D2" w:rsidRPr="002A33AB">
        <w:rPr>
          <w:rFonts w:cs="Arial"/>
          <w:szCs w:val="18"/>
        </w:rPr>
        <w:t xml:space="preserve"> </w:t>
      </w:r>
      <w:r w:rsidR="004A6216" w:rsidRPr="002A33AB">
        <w:rPr>
          <w:rFonts w:cs="Arial"/>
          <w:szCs w:val="18"/>
        </w:rPr>
        <w:t>and</w:t>
      </w:r>
      <w:r w:rsidR="0089252F" w:rsidRPr="002A33AB">
        <w:rPr>
          <w:rFonts w:cs="Arial"/>
          <w:szCs w:val="18"/>
        </w:rPr>
        <w:t xml:space="preserve"> 0.00</w:t>
      </w:r>
      <w:r w:rsidR="004A6216" w:rsidRPr="002A33AB">
        <w:rPr>
          <w:rFonts w:cs="Arial"/>
          <w:szCs w:val="18"/>
        </w:rPr>
        <w:t>234</w:t>
      </w:r>
      <w:r w:rsidR="00493E0D" w:rsidRPr="002A33AB">
        <w:rPr>
          <w:rFonts w:cs="Arial"/>
          <w:szCs w:val="18"/>
        </w:rPr>
        <w:t xml:space="preserve"> </w:t>
      </w:r>
      <w:r w:rsidR="004A6216" w:rsidRPr="002A33AB">
        <w:rPr>
          <w:rFonts w:cs="Arial"/>
          <w:szCs w:val="18"/>
        </w:rPr>
        <w:t>USD</w:t>
      </w:r>
      <w:r w:rsidR="00E521BD" w:rsidRPr="002A33AB">
        <w:rPr>
          <w:rFonts w:cs="Arial"/>
          <w:szCs w:val="18"/>
        </w:rPr>
        <w:t>/L</w:t>
      </w:r>
      <w:r w:rsidR="004A6216" w:rsidRPr="002A33AB">
        <w:rPr>
          <w:rFonts w:cs="Arial"/>
          <w:szCs w:val="18"/>
        </w:rPr>
        <w:t xml:space="preserve"> in ATJ for every</w:t>
      </w:r>
      <w:r w:rsidR="0089252F" w:rsidRPr="002A33AB">
        <w:rPr>
          <w:rFonts w:cs="Arial"/>
          <w:szCs w:val="18"/>
        </w:rPr>
        <w:t xml:space="preserve"> </w:t>
      </w:r>
      <w:r w:rsidR="004A6216" w:rsidRPr="002A33AB">
        <w:rPr>
          <w:rFonts w:cs="Arial"/>
          <w:szCs w:val="18"/>
        </w:rPr>
        <w:t>million dollars of change in capex.</w:t>
      </w:r>
      <w:r w:rsidR="000812D5" w:rsidRPr="000812D5">
        <w:rPr>
          <w:rFonts w:cs="Arial"/>
          <w:szCs w:val="18"/>
        </w:rPr>
        <w:t xml:space="preserve"> </w:t>
      </w:r>
      <w:r w:rsidR="008F7FCF">
        <w:rPr>
          <w:rFonts w:cs="Arial"/>
          <w:szCs w:val="18"/>
        </w:rPr>
        <w:t>A</w:t>
      </w:r>
      <w:r w:rsidR="000812D5">
        <w:rPr>
          <w:rFonts w:cs="Arial"/>
          <w:szCs w:val="18"/>
        </w:rPr>
        <w:t>lthough logistics and value chain have been identified before</w:t>
      </w:r>
      <w:r w:rsidR="000C119F">
        <w:rPr>
          <w:rFonts w:cs="Arial"/>
          <w:szCs w:val="18"/>
        </w:rPr>
        <w:t xml:space="preserve">, those </w:t>
      </w:r>
      <w:r w:rsidR="000812D5">
        <w:rPr>
          <w:rFonts w:cs="Arial"/>
          <w:szCs w:val="18"/>
        </w:rPr>
        <w:t xml:space="preserve">detailed </w:t>
      </w:r>
      <w:r w:rsidR="000C119F">
        <w:rPr>
          <w:rFonts w:cs="Arial"/>
          <w:szCs w:val="18"/>
        </w:rPr>
        <w:t xml:space="preserve">calculations are highly anticipated for </w:t>
      </w:r>
      <w:r w:rsidR="000812D5">
        <w:rPr>
          <w:rFonts w:cs="Arial"/>
          <w:szCs w:val="18"/>
        </w:rPr>
        <w:t xml:space="preserve">SAF ecosystem in </w:t>
      </w:r>
      <w:r w:rsidR="000C119F">
        <w:rPr>
          <w:rFonts w:cs="Arial"/>
          <w:szCs w:val="18"/>
        </w:rPr>
        <w:t>the region</w:t>
      </w:r>
      <w:r w:rsidR="008F7FCF">
        <w:rPr>
          <w:rFonts w:cs="Arial"/>
          <w:szCs w:val="18"/>
        </w:rPr>
        <w:t>.</w:t>
      </w:r>
      <w:r w:rsidR="000812D5">
        <w:rPr>
          <w:rFonts w:cs="Arial"/>
          <w:szCs w:val="18"/>
        </w:rPr>
        <w:t xml:space="preserve"> </w:t>
      </w:r>
    </w:p>
    <w:p w14:paraId="5741900F" w14:textId="4D127A9F" w:rsidR="00453E24" w:rsidRPr="002A33AB" w:rsidRDefault="00D13569" w:rsidP="00453E24">
      <w:pPr>
        <w:pStyle w:val="CETHeading1"/>
      </w:pPr>
      <w:r w:rsidRPr="002A33AB">
        <w:t>Methodology</w:t>
      </w:r>
    </w:p>
    <w:p w14:paraId="1B4EB33A" w14:textId="7347A86A" w:rsidR="00121197" w:rsidRPr="00121197" w:rsidRDefault="00D13569" w:rsidP="00D61831">
      <w:pPr>
        <w:pStyle w:val="CETheadingx"/>
        <w:jc w:val="both"/>
        <w:rPr>
          <w:rStyle w:val="CETBodytextCarattere"/>
          <w:rFonts w:cs="Arial"/>
          <w:szCs w:val="18"/>
        </w:rPr>
      </w:pPr>
      <w:r w:rsidRPr="002A33AB">
        <w:t>Too</w:t>
      </w:r>
      <w:r w:rsidR="0047725C" w:rsidRPr="002A33AB">
        <w:t>l</w:t>
      </w:r>
      <w:r w:rsidR="00521C0B" w:rsidRPr="002A33AB">
        <w:t xml:space="preserve">: </w:t>
      </w:r>
      <w:r w:rsidR="0047725C" w:rsidRPr="00121197">
        <w:rPr>
          <w:rStyle w:val="CETBodytextCarattere"/>
          <w:b w:val="0"/>
        </w:rPr>
        <w:t xml:space="preserve">The tool is a supply chain optimization program developed by </w:t>
      </w:r>
      <w:sdt>
        <w:sdtPr>
          <w:rPr>
            <w:rStyle w:val="CETBodytextCarattere"/>
            <w:b w:val="0"/>
            <w:color w:val="000000"/>
          </w:rPr>
          <w:tag w:val="MENDELEY_CITATION_v3_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"/>
          <w:id w:val="-922872294"/>
          <w:placeholder>
            <w:docPart w:val="2561B3AEE6684B1F885493DE16F0579D"/>
          </w:placeholder>
        </w:sdtPr>
        <w:sdtContent>
          <w:r w:rsidR="003F45A0" w:rsidRPr="003F45A0">
            <w:rPr>
              <w:rStyle w:val="CETBodytextCarattere"/>
              <w:b w:val="0"/>
              <w:color w:val="000000"/>
            </w:rPr>
            <w:t>(</w:t>
          </w:r>
          <w:proofErr w:type="spellStart"/>
          <w:r w:rsidR="003F45A0" w:rsidRPr="003F45A0">
            <w:rPr>
              <w:rStyle w:val="CETBodytextCarattere"/>
              <w:b w:val="0"/>
              <w:color w:val="000000"/>
            </w:rPr>
            <w:t>Kwakernaak</w:t>
          </w:r>
          <w:proofErr w:type="spellEnd"/>
          <w:r w:rsidR="003F45A0" w:rsidRPr="003F45A0">
            <w:rPr>
              <w:rStyle w:val="CETBodytextCarattere"/>
              <w:b w:val="0"/>
              <w:color w:val="000000"/>
            </w:rPr>
            <w:t>, 2022)</w:t>
          </w:r>
        </w:sdtContent>
      </w:sdt>
      <w:r w:rsidR="0047725C" w:rsidRPr="00121197">
        <w:rPr>
          <w:rStyle w:val="CETBodytextCarattere"/>
          <w:b w:val="0"/>
        </w:rPr>
        <w:t xml:space="preserve"> with the help of geolocation software, which determines the optimal supply chain for a defined demand for SAF in the major airports in Colombia, using a value chain model with four stations: feedstock production or "regions," Centralized Storage Processing (CSP), biorefinery, and airport. The model includes three phases of transport.</w:t>
      </w:r>
      <w:r w:rsidR="00797A41" w:rsidRPr="00121197">
        <w:rPr>
          <w:rStyle w:val="CETBodytextCarattere"/>
          <w:b w:val="0"/>
        </w:rPr>
        <w:t xml:space="preserve"> </w:t>
      </w:r>
      <w:r w:rsidR="0047725C" w:rsidRPr="00121197">
        <w:rPr>
          <w:rStyle w:val="CETBodytextCarattere"/>
          <w:b w:val="0"/>
        </w:rPr>
        <w:t>The tool also incorporates general factors such as chemical routes, investment costs, biomass quantities in the CSP, installation levels, and environmental and economic factors. Additionally, it u</w:t>
      </w:r>
      <w:r w:rsidR="008F7FCF" w:rsidRPr="00121197">
        <w:rPr>
          <w:rStyle w:val="CETBodytextCarattere"/>
          <w:b w:val="0"/>
        </w:rPr>
        <w:t>ses</w:t>
      </w:r>
      <w:r w:rsidR="0047725C" w:rsidRPr="00121197">
        <w:rPr>
          <w:rStyle w:val="CETBodytextCarattere"/>
          <w:b w:val="0"/>
        </w:rPr>
        <w:t xml:space="preserve"> the Allocation </w:t>
      </w:r>
      <w:r w:rsidR="008F7FCF" w:rsidRPr="00121197">
        <w:rPr>
          <w:rStyle w:val="CETBodytextCarattere"/>
          <w:b w:val="0"/>
        </w:rPr>
        <w:t>a</w:t>
      </w:r>
      <w:r w:rsidR="0047725C" w:rsidRPr="00121197">
        <w:rPr>
          <w:rStyle w:val="CETBodytextCarattere"/>
          <w:b w:val="0"/>
        </w:rPr>
        <w:t xml:space="preserve">mortization technique to distribute total costs among different </w:t>
      </w:r>
      <w:r w:rsidR="00C45C87" w:rsidRPr="00121197">
        <w:rPr>
          <w:rStyle w:val="CETBodytextCarattere"/>
          <w:b w:val="0"/>
        </w:rPr>
        <w:t>co</w:t>
      </w:r>
      <w:r w:rsidR="0047725C" w:rsidRPr="00121197">
        <w:rPr>
          <w:rStyle w:val="CETBodytextCarattere"/>
          <w:b w:val="0"/>
        </w:rPr>
        <w:t xml:space="preserve">-products of the process, considering the price of the feedstock and the costs of the CSP, </w:t>
      </w:r>
      <w:r w:rsidR="008F7FCF" w:rsidRPr="00121197">
        <w:rPr>
          <w:rStyle w:val="CETBodytextCarattere"/>
          <w:b w:val="0"/>
        </w:rPr>
        <w:t xml:space="preserve">and </w:t>
      </w:r>
      <w:r w:rsidR="0047725C" w:rsidRPr="00121197">
        <w:rPr>
          <w:rStyle w:val="CETBodytextCarattere"/>
          <w:b w:val="0"/>
        </w:rPr>
        <w:t>biorefinery, including operating costs, capital, and productive capacities.</w:t>
      </w:r>
      <w:r w:rsidR="00797A41" w:rsidRPr="00121197">
        <w:rPr>
          <w:rStyle w:val="CETBodytextCarattere"/>
          <w:b w:val="0"/>
        </w:rPr>
        <w:t xml:space="preserve"> </w:t>
      </w:r>
      <w:r w:rsidR="0047725C" w:rsidRPr="00121197">
        <w:rPr>
          <w:rStyle w:val="CETBodytextCarattere"/>
          <w:b w:val="0"/>
        </w:rPr>
        <w:t>It is important to highlight that the life cycle analysis is also present in the approach, considering the emissions per ton processed by feedstock at different stages of the supply chain, from the acquisition of the raw material to transport to the airport. This process takes</w:t>
      </w:r>
      <w:r w:rsidR="00B632F7" w:rsidRPr="00121197">
        <w:rPr>
          <w:rStyle w:val="CETBodytextCarattere"/>
          <w:b w:val="0"/>
        </w:rPr>
        <w:t xml:space="preserve"> </w:t>
      </w:r>
      <w:r w:rsidR="0047725C" w:rsidRPr="00121197">
        <w:rPr>
          <w:rStyle w:val="CETBodytextCarattere"/>
          <w:b w:val="0"/>
        </w:rPr>
        <w:t>into account the different regions of production of the feedstock, the transport to the CSP, which goes to the biorefinery, and finally, to the airport.</w:t>
      </w:r>
    </w:p>
    <w:p w14:paraId="0E16F659" w14:textId="7A436EB8" w:rsidR="0047725C" w:rsidRPr="00121197" w:rsidRDefault="0047725C" w:rsidP="00D61831">
      <w:pPr>
        <w:pStyle w:val="CETheadingx"/>
        <w:jc w:val="both"/>
        <w:rPr>
          <w:rFonts w:cs="Arial"/>
          <w:szCs w:val="18"/>
        </w:rPr>
      </w:pPr>
      <w:r w:rsidRPr="002A33AB">
        <w:t>Factors</w:t>
      </w:r>
      <w:r w:rsidR="00521C0B" w:rsidRPr="002A33AB">
        <w:t>:</w:t>
      </w:r>
      <w:r w:rsidR="00333BF2">
        <w:t xml:space="preserve"> </w:t>
      </w:r>
      <w:r w:rsidR="00333BF2" w:rsidRPr="00121197">
        <w:rPr>
          <w:b w:val="0"/>
          <w:bCs/>
        </w:rPr>
        <w:t>F</w:t>
      </w:r>
      <w:r w:rsidR="00333BF2" w:rsidRPr="00121197">
        <w:rPr>
          <w:rFonts w:cs="Arial"/>
          <w:b w:val="0"/>
          <w:szCs w:val="18"/>
        </w:rPr>
        <w:t xml:space="preserve">actors are used to find the MFSP or LCA, this calculation has four parts as mentioned before: feedstock, CSP, biorefinery and transport, every factor is multiplied with the respective </w:t>
      </w:r>
      <w:r w:rsidR="00A26327" w:rsidRPr="00121197">
        <w:rPr>
          <w:rFonts w:cs="Arial"/>
          <w:b w:val="0"/>
          <w:szCs w:val="18"/>
        </w:rPr>
        <w:t xml:space="preserve">optimized facility </w:t>
      </w:r>
      <w:r w:rsidR="00333BF2" w:rsidRPr="00121197">
        <w:rPr>
          <w:rFonts w:cs="Arial"/>
          <w:b w:val="0"/>
          <w:szCs w:val="18"/>
        </w:rPr>
        <w:t xml:space="preserve">capacity and allocation factor, and in the case of transport with the distance found for the optimization tool, the factors for MFSP are the ones related with costs, and for LCA related with eqCO2 emissions. </w:t>
      </w:r>
      <w:r w:rsidRPr="00121197">
        <w:rPr>
          <w:rFonts w:cs="Arial"/>
          <w:b w:val="0"/>
          <w:szCs w:val="18"/>
        </w:rPr>
        <w:t>Th</w:t>
      </w:r>
      <w:r w:rsidR="00333BF2" w:rsidRPr="00121197">
        <w:rPr>
          <w:rFonts w:cs="Arial"/>
          <w:b w:val="0"/>
          <w:szCs w:val="18"/>
        </w:rPr>
        <w:t>e</w:t>
      </w:r>
      <w:r w:rsidRPr="00121197">
        <w:rPr>
          <w:rFonts w:cs="Arial"/>
          <w:b w:val="0"/>
          <w:szCs w:val="18"/>
        </w:rPr>
        <w:t xml:space="preserve"> factors were </w:t>
      </w:r>
      <w:r w:rsidR="00333BF2" w:rsidRPr="00121197">
        <w:rPr>
          <w:rFonts w:cs="Arial"/>
          <w:b w:val="0"/>
          <w:szCs w:val="18"/>
        </w:rPr>
        <w:t>define</w:t>
      </w:r>
      <w:r w:rsidRPr="00121197">
        <w:rPr>
          <w:rFonts w:cs="Arial"/>
          <w:b w:val="0"/>
          <w:szCs w:val="18"/>
        </w:rPr>
        <w:t>d after an exhaustive investigation of the literature, where the data were analyzed and use</w:t>
      </w:r>
      <w:r w:rsidR="00333BF2" w:rsidRPr="00121197">
        <w:rPr>
          <w:rFonts w:cs="Arial"/>
          <w:b w:val="0"/>
          <w:szCs w:val="18"/>
        </w:rPr>
        <w:t>d for calculations</w:t>
      </w:r>
      <w:r w:rsidRPr="00121197">
        <w:rPr>
          <w:rFonts w:cs="Arial"/>
          <w:b w:val="0"/>
          <w:szCs w:val="18"/>
        </w:rPr>
        <w:t xml:space="preserve">, adapted for the two </w:t>
      </w:r>
      <w:r w:rsidR="00797A41" w:rsidRPr="00121197">
        <w:rPr>
          <w:rFonts w:cs="Arial"/>
          <w:b w:val="0"/>
          <w:szCs w:val="18"/>
        </w:rPr>
        <w:t>technologies as mentioned above</w:t>
      </w:r>
      <w:r w:rsidRPr="00121197">
        <w:rPr>
          <w:rFonts w:cs="Arial"/>
          <w:b w:val="0"/>
          <w:szCs w:val="18"/>
        </w:rPr>
        <w:t xml:space="preserve">. With the selected </w:t>
      </w:r>
      <w:r w:rsidR="008F7FCF" w:rsidRPr="00121197">
        <w:rPr>
          <w:rFonts w:cs="Arial"/>
          <w:b w:val="0"/>
          <w:szCs w:val="18"/>
        </w:rPr>
        <w:t>feedstock</w:t>
      </w:r>
      <w:r w:rsidRPr="00121197">
        <w:rPr>
          <w:rFonts w:cs="Arial"/>
          <w:b w:val="0"/>
          <w:szCs w:val="18"/>
        </w:rPr>
        <w:t xml:space="preserve"> representing the largest groups of raw materials produced in the country, </w:t>
      </w:r>
      <w:r w:rsidR="00333BF2" w:rsidRPr="00121197">
        <w:rPr>
          <w:rFonts w:cs="Arial"/>
          <w:b w:val="0"/>
          <w:szCs w:val="18"/>
        </w:rPr>
        <w:t>the sensibility was carried out</w:t>
      </w:r>
      <w:r w:rsidRPr="00121197">
        <w:rPr>
          <w:rFonts w:cs="Arial"/>
          <w:b w:val="0"/>
          <w:szCs w:val="18"/>
        </w:rPr>
        <w:t xml:space="preserve"> by choosing two different values—one smaller and the other greater than the original—allowing the calculation of the behavior of the MFSP or LCA when the factors could be reduced or increased.</w:t>
      </w:r>
      <w:r w:rsidR="00797A41" w:rsidRPr="00121197">
        <w:rPr>
          <w:rFonts w:cs="Arial"/>
          <w:b w:val="0"/>
          <w:szCs w:val="18"/>
        </w:rPr>
        <w:t xml:space="preserve"> </w:t>
      </w:r>
      <w:r w:rsidR="008F7FCF" w:rsidRPr="00121197">
        <w:rPr>
          <w:rFonts w:cs="Arial"/>
          <w:b w:val="0"/>
          <w:szCs w:val="18"/>
        </w:rPr>
        <w:t xml:space="preserve"> </w:t>
      </w:r>
      <w:r w:rsidRPr="00121197">
        <w:rPr>
          <w:rFonts w:cs="Arial"/>
          <w:b w:val="0"/>
          <w:szCs w:val="18"/>
        </w:rPr>
        <w:t xml:space="preserve">Similarly, the </w:t>
      </w:r>
      <w:r w:rsidR="00797A41" w:rsidRPr="00121197">
        <w:rPr>
          <w:rFonts w:cs="Arial"/>
          <w:b w:val="0"/>
          <w:szCs w:val="18"/>
        </w:rPr>
        <w:t>analyzed factors</w:t>
      </w:r>
      <w:r w:rsidRPr="00121197">
        <w:rPr>
          <w:rFonts w:cs="Arial"/>
          <w:b w:val="0"/>
          <w:szCs w:val="18"/>
        </w:rPr>
        <w:t xml:space="preserve"> are separated into four groups: the main factor of the GFT route</w:t>
      </w:r>
      <w:sdt>
        <w:sdtPr>
          <w:rPr>
            <w:rFonts w:cs="Arial"/>
            <w:b w:val="0"/>
            <w:color w:val="000000"/>
            <w:szCs w:val="18"/>
          </w:rPr>
          <w:tag w:val="MENDELEY_CITATION_v3_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"/>
          <w:id w:val="-92099411"/>
          <w:placeholder>
            <w:docPart w:val="DefaultPlaceholder_-1854013440"/>
          </w:placeholder>
        </w:sdtPr>
        <w:sdtContent>
          <w:r w:rsidR="003F45A0" w:rsidRPr="003F45A0">
            <w:rPr>
              <w:rFonts w:cs="Arial"/>
              <w:b w:val="0"/>
              <w:color w:val="000000"/>
              <w:szCs w:val="18"/>
            </w:rPr>
            <w:t>(Kreutz et al., 2020)</w:t>
          </w:r>
        </w:sdtContent>
      </w:sdt>
      <w:r w:rsidRPr="00121197">
        <w:rPr>
          <w:rFonts w:cs="Arial"/>
          <w:b w:val="0"/>
          <w:szCs w:val="18"/>
        </w:rPr>
        <w:t>, the main factor for ATJ</w:t>
      </w:r>
      <w:sdt>
        <w:sdtPr>
          <w:rPr>
            <w:rFonts w:cs="Arial"/>
            <w:b w:val="0"/>
            <w:color w:val="000000"/>
            <w:szCs w:val="18"/>
          </w:rPr>
          <w:tag w:val="MENDELEY_CITATION_v3_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"/>
          <w:id w:val="-434436307"/>
          <w:placeholder>
            <w:docPart w:val="DefaultPlaceholder_-1854013440"/>
          </w:placeholder>
        </w:sdtPr>
        <w:sdtContent>
          <w:r w:rsidR="003F45A0" w:rsidRPr="003F45A0">
            <w:rPr>
              <w:rFonts w:cs="Arial"/>
              <w:b w:val="0"/>
              <w:color w:val="000000"/>
              <w:szCs w:val="18"/>
            </w:rPr>
            <w:t>(</w:t>
          </w:r>
          <w:proofErr w:type="spellStart"/>
          <w:r w:rsidR="003F45A0" w:rsidRPr="003F45A0">
            <w:rPr>
              <w:rFonts w:cs="Arial"/>
              <w:b w:val="0"/>
              <w:color w:val="000000"/>
              <w:szCs w:val="18"/>
            </w:rPr>
            <w:t>Atsonios</w:t>
          </w:r>
          <w:proofErr w:type="spellEnd"/>
          <w:r w:rsidR="003F45A0" w:rsidRPr="003F45A0">
            <w:rPr>
              <w:rFonts w:cs="Arial"/>
              <w:b w:val="0"/>
              <w:color w:val="000000"/>
              <w:szCs w:val="18"/>
            </w:rPr>
            <w:t xml:space="preserve"> et al., 2015)</w:t>
          </w:r>
        </w:sdtContent>
      </w:sdt>
      <w:r w:rsidRPr="00121197">
        <w:rPr>
          <w:rFonts w:cs="Arial"/>
          <w:b w:val="0"/>
          <w:szCs w:val="18"/>
        </w:rPr>
        <w:t>, transportation costs (taken as the base for GFT calculations), and life cycle assessment (as an example in the GFT case). The main factors for the routes mentioned before are allocation factor, a factor that reduces the total cost by distributing the cost to other by-products, conversion of the route like the mass of bio-jet that can be obtained for the mass of feedstock, farmgate price</w:t>
      </w:r>
      <w:sdt>
        <w:sdtPr>
          <w:rPr>
            <w:rFonts w:cs="Arial"/>
            <w:b w:val="0"/>
            <w:color w:val="000000"/>
            <w:szCs w:val="18"/>
          </w:rPr>
          <w:tag w:val="MENDELEY_CITATION_v3_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"/>
          <w:id w:val="116732828"/>
          <w:placeholder>
            <w:docPart w:val="DefaultPlaceholder_-1854013440"/>
          </w:placeholder>
        </w:sdtPr>
        <w:sdtContent>
          <w:r w:rsidR="003F45A0" w:rsidRPr="003F45A0">
            <w:rPr>
              <w:b w:val="0"/>
              <w:color w:val="000000"/>
            </w:rPr>
            <w:t xml:space="preserve">(Shahriar and </w:t>
          </w:r>
          <w:proofErr w:type="spellStart"/>
          <w:r w:rsidR="003F45A0" w:rsidRPr="003F45A0">
            <w:rPr>
              <w:b w:val="0"/>
              <w:color w:val="000000"/>
            </w:rPr>
            <w:t>Khanal</w:t>
          </w:r>
          <w:proofErr w:type="spellEnd"/>
          <w:r w:rsidR="003F45A0" w:rsidRPr="003F45A0">
            <w:rPr>
              <w:b w:val="0"/>
              <w:color w:val="000000"/>
            </w:rPr>
            <w:t>, 2022)</w:t>
          </w:r>
        </w:sdtContent>
      </w:sdt>
      <w:r w:rsidRPr="00121197">
        <w:rPr>
          <w:rFonts w:cs="Arial"/>
          <w:b w:val="0"/>
          <w:szCs w:val="18"/>
        </w:rPr>
        <w:t>, the price of the feedstock, OPEX and CAPEX operation, and capital expenditures</w:t>
      </w:r>
      <w:sdt>
        <w:sdtPr>
          <w:rPr>
            <w:rFonts w:cs="Arial"/>
            <w:b w:val="0"/>
            <w:color w:val="000000"/>
            <w:szCs w:val="18"/>
          </w:rPr>
          <w:tag w:val="MENDELEY_CITATION_v3_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"/>
          <w:id w:val="-731154320"/>
          <w:placeholder>
            <w:docPart w:val="DefaultPlaceholder_-1854013440"/>
          </w:placeholder>
        </w:sdtPr>
        <w:sdtContent>
          <w:r w:rsidR="003F45A0" w:rsidRPr="003F45A0">
            <w:rPr>
              <w:rFonts w:cs="Arial"/>
              <w:b w:val="0"/>
              <w:color w:val="000000"/>
              <w:szCs w:val="18"/>
            </w:rPr>
            <w:t>(</w:t>
          </w:r>
          <w:proofErr w:type="spellStart"/>
          <w:r w:rsidR="003F45A0" w:rsidRPr="003F45A0">
            <w:rPr>
              <w:rFonts w:cs="Arial"/>
              <w:b w:val="0"/>
              <w:color w:val="000000"/>
              <w:szCs w:val="18"/>
            </w:rPr>
            <w:t>Capaz</w:t>
          </w:r>
          <w:proofErr w:type="spellEnd"/>
          <w:r w:rsidR="003F45A0" w:rsidRPr="003F45A0">
            <w:rPr>
              <w:rFonts w:cs="Arial"/>
              <w:b w:val="0"/>
              <w:color w:val="000000"/>
              <w:szCs w:val="18"/>
            </w:rPr>
            <w:t xml:space="preserve"> et al., 2020)</w:t>
          </w:r>
        </w:sdtContent>
      </w:sdt>
      <w:r w:rsidRPr="00121197">
        <w:rPr>
          <w:rFonts w:cs="Arial"/>
          <w:b w:val="0"/>
          <w:szCs w:val="18"/>
        </w:rPr>
        <w:t>.</w:t>
      </w:r>
      <w:r w:rsidRPr="00121197">
        <w:rPr>
          <w:rFonts w:cs="Arial"/>
          <w:szCs w:val="18"/>
        </w:rPr>
        <w:t xml:space="preserve">  </w:t>
      </w:r>
    </w:p>
    <w:p w14:paraId="281A1276" w14:textId="1174DF0C" w:rsidR="003505AD" w:rsidRPr="002A33AB" w:rsidRDefault="00E80159" w:rsidP="00D61831">
      <w:pPr>
        <w:pStyle w:val="CETheadingx"/>
        <w:rPr>
          <w:rFonts w:cs="Arial"/>
          <w:b w:val="0"/>
          <w:szCs w:val="18"/>
        </w:rPr>
      </w:pPr>
      <w:r w:rsidRPr="002A33AB">
        <w:rPr>
          <w:rFonts w:cs="Arial"/>
          <w:szCs w:val="18"/>
        </w:rPr>
        <w:t>Relative Sensitivity</w:t>
      </w:r>
      <w:r w:rsidR="003505AD" w:rsidRPr="002A33AB">
        <w:t xml:space="preserve"> of </w:t>
      </w:r>
      <w:r w:rsidR="00B632F7" w:rsidRPr="002A33AB">
        <w:t>Factors</w:t>
      </w:r>
      <w:r w:rsidR="00521C0B" w:rsidRPr="002A33AB">
        <w:t xml:space="preserve">: </w:t>
      </w:r>
      <w:r w:rsidR="003505AD" w:rsidRPr="002A33AB">
        <w:rPr>
          <w:rFonts w:cs="Arial"/>
          <w:b w:val="0"/>
          <w:szCs w:val="18"/>
        </w:rPr>
        <w:t xml:space="preserve">The </w:t>
      </w:r>
      <w:r w:rsidRPr="002A33AB">
        <w:rPr>
          <w:rFonts w:cs="Arial"/>
          <w:b w:val="0"/>
          <w:szCs w:val="18"/>
        </w:rPr>
        <w:t>relative sensitivity</w:t>
      </w:r>
      <w:r w:rsidR="003505AD" w:rsidRPr="002A33AB">
        <w:rPr>
          <w:rFonts w:cs="Arial"/>
          <w:b w:val="0"/>
          <w:szCs w:val="18"/>
        </w:rPr>
        <w:t xml:space="preserve"> of each factor was found with the following equation</w:t>
      </w:r>
      <w:r w:rsidR="00797A41" w:rsidRPr="002A33AB">
        <w:rPr>
          <w:rFonts w:cs="Arial"/>
          <w:b w:val="0"/>
          <w:szCs w:val="18"/>
        </w:rPr>
        <w:t>, originally</w:t>
      </w:r>
      <w:r w:rsidR="003505AD" w:rsidRPr="002A33AB">
        <w:rPr>
          <w:rFonts w:cs="Arial"/>
          <w:b w:val="0"/>
          <w:szCs w:val="18"/>
        </w:rPr>
        <w:t xml:space="preserve"> called relative sensitivity.</w:t>
      </w:r>
    </w:p>
    <w:p w14:paraId="1C82D047" w14:textId="77777777" w:rsidR="003505AD" w:rsidRPr="002A33AB" w:rsidRDefault="003505AD" w:rsidP="003505AD">
      <w:pPr>
        <w:pStyle w:val="Prrafodelista"/>
        <w:ind w:left="0"/>
        <w:rPr>
          <w:rFonts w:cs="Arial"/>
          <w:szCs w:val="18"/>
          <w:lang w:val="en-US"/>
        </w:rPr>
      </w:pPr>
    </w:p>
    <w:p w14:paraId="36CFD14A" w14:textId="56FCA988" w:rsidR="003111B2" w:rsidRPr="002A33AB" w:rsidRDefault="00D61831" w:rsidP="003111B2">
      <w:pPr>
        <w:pStyle w:val="Descripcin"/>
        <w:rPr>
          <w:rFonts w:eastAsiaTheme="minorEastAsia" w:cs="Arial"/>
          <w:b w:val="0"/>
          <w:i/>
          <w:color w:val="auto"/>
          <w:lang w:val="en-US"/>
        </w:rPr>
      </w:pPr>
      <m:oMath>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Sr</m:t>
            </m:r>
          </m:e>
          <m:sub>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sub>
          <m:sup>
            <m:r>
              <m:rPr>
                <m:sty m:val="bi"/>
              </m:rPr>
              <w:rPr>
                <w:rFonts w:ascii="Cambria Math" w:hAnsi="Cambria Math" w:cs="Arial"/>
                <w:color w:val="auto"/>
                <w:sz w:val="22"/>
                <w:szCs w:val="22"/>
                <w:lang w:val="es-CO"/>
              </w:rPr>
              <m:t>C</m:t>
            </m:r>
          </m:sup>
        </m:sSubSup>
        <m:r>
          <m:rPr>
            <m:sty m:val="bi"/>
          </m:rPr>
          <w:rPr>
            <w:rFonts w:ascii="Cambria Math" w:hAnsi="Cambria Math" w:cs="Arial"/>
            <w:color w:val="auto"/>
            <w:sz w:val="22"/>
            <w:szCs w:val="22"/>
            <w:lang w:val="en-US"/>
          </w:rPr>
          <m:t>=</m:t>
        </m:r>
        <m:f>
          <m:fPr>
            <m:ctrlPr>
              <w:rPr>
                <w:rFonts w:ascii="Cambria Math" w:hAnsi="Cambria Math" w:cs="Arial"/>
                <w:i/>
                <w:color w:val="auto"/>
                <w:sz w:val="22"/>
                <w:szCs w:val="22"/>
                <w:lang w:val="es-CO"/>
              </w:rPr>
            </m:ctrlPr>
          </m:fPr>
          <m:num>
            <m:r>
              <m:rPr>
                <m:sty m:val="bi"/>
              </m:rPr>
              <w:rPr>
                <w:rFonts w:ascii="Cambria Math" w:hAnsi="Cambria Math" w:cs="Arial"/>
                <w:color w:val="auto"/>
                <w:sz w:val="22"/>
                <w:szCs w:val="22"/>
                <w:lang w:val="es-CO"/>
              </w:rPr>
              <m:t>∂</m:t>
            </m:r>
            <m:sSup>
              <m:sSupPr>
                <m:ctrlPr>
                  <w:rPr>
                    <w:rFonts w:ascii="Cambria Math" w:hAnsi="Cambria Math" w:cs="Arial"/>
                    <w:i/>
                    <w:color w:val="auto"/>
                    <w:sz w:val="22"/>
                    <w:szCs w:val="22"/>
                    <w:lang w:val="es-CO"/>
                  </w:rPr>
                </m:ctrlPr>
              </m:sSupPr>
              <m:e>
                <m:r>
                  <m:rPr>
                    <m:sty m:val="bi"/>
                  </m:rPr>
                  <w:rPr>
                    <w:rFonts w:ascii="Cambria Math" w:hAnsi="Cambria Math" w:cs="Arial"/>
                    <w:color w:val="auto"/>
                    <w:sz w:val="22"/>
                    <w:szCs w:val="22"/>
                    <w:lang w:val="es-CO"/>
                  </w:rPr>
                  <m:t>C</m:t>
                </m:r>
              </m:e>
              <m:sup>
                <m:r>
                  <m:rPr>
                    <m:sty m:val="bi"/>
                  </m:rPr>
                  <w:rPr>
                    <w:rFonts w:ascii="Cambria Math" w:hAnsi="Cambria Math" w:cs="Arial"/>
                    <w:color w:val="auto"/>
                    <w:sz w:val="22"/>
                    <w:szCs w:val="22"/>
                    <w:lang w:val="es-CO"/>
                  </w:rPr>
                  <m:t>opt</m:t>
                </m:r>
              </m:sup>
            </m:sSup>
            <m:r>
              <m:rPr>
                <m:sty m:val="bi"/>
              </m:rPr>
              <w:rPr>
                <w:rFonts w:ascii="Cambria Math" w:hAnsi="Cambria Math" w:cs="Arial"/>
                <w:color w:val="auto"/>
                <w:sz w:val="22"/>
                <w:szCs w:val="22"/>
                <w:lang w:val="en-US"/>
              </w:rPr>
              <m:t>/</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C</m:t>
                </m:r>
              </m:e>
              <m:sub>
                <m:r>
                  <m:rPr>
                    <m:sty m:val="bi"/>
                  </m:rPr>
                  <w:rPr>
                    <w:rFonts w:ascii="Cambria Math" w:hAnsi="Cambria Math" w:cs="Arial"/>
                    <w:color w:val="auto"/>
                    <w:sz w:val="22"/>
                    <w:szCs w:val="22"/>
                    <w:lang w:val="es-CO"/>
                  </w:rPr>
                  <m:t>opt</m:t>
                </m:r>
              </m:sub>
            </m:sSub>
          </m:num>
          <m:den>
            <m:r>
              <m:rPr>
                <m:sty m:val="bi"/>
              </m:rPr>
              <w:rPr>
                <w:rFonts w:ascii="Cambria Math" w:hAnsi="Cambria Math" w:cs="Arial"/>
                <w:color w:val="auto"/>
                <w:sz w:val="22"/>
                <w:szCs w:val="22"/>
                <w:lang w:val="es-CO"/>
              </w:rPr>
              <m:t>∂</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r>
              <m:rPr>
                <m:sty m:val="bi"/>
              </m:rPr>
              <w:rPr>
                <w:rFonts w:ascii="Cambria Math" w:hAnsi="Cambria Math" w:cs="Arial"/>
                <w:color w:val="auto"/>
                <w:sz w:val="22"/>
                <w:szCs w:val="22"/>
                <w:lang w:val="en-US"/>
              </w:rPr>
              <m:t>/</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den>
        </m:f>
        <m:r>
          <m:rPr>
            <m:sty m:val="bi"/>
          </m:rPr>
          <w:rPr>
            <w:rFonts w:ascii="Cambria Math" w:hAnsi="Cambria Math" w:cs="Arial"/>
            <w:color w:val="auto"/>
            <w:sz w:val="22"/>
            <w:szCs w:val="22"/>
            <w:lang w:val="en-US"/>
          </w:rPr>
          <m:t>=</m:t>
        </m:r>
        <m:f>
          <m:fPr>
            <m:ctrlPr>
              <w:rPr>
                <w:rFonts w:ascii="Cambria Math" w:hAnsi="Cambria Math" w:cs="Arial"/>
                <w:i/>
                <w:color w:val="auto"/>
                <w:sz w:val="22"/>
                <w:szCs w:val="22"/>
                <w:lang w:val="es-CO"/>
              </w:rPr>
            </m:ctrlPr>
          </m:fPr>
          <m:num>
            <m:r>
              <m:rPr>
                <m:sty m:val="bi"/>
              </m:rPr>
              <w:rPr>
                <w:rFonts w:ascii="Cambria Math" w:hAnsi="Cambria Math" w:cs="Arial"/>
                <w:color w:val="auto"/>
                <w:sz w:val="22"/>
                <w:szCs w:val="22"/>
                <w:lang w:val="es-CO"/>
              </w:rPr>
              <m:t>∂ln</m:t>
            </m:r>
            <m:sSup>
              <m:sSupPr>
                <m:ctrlPr>
                  <w:rPr>
                    <w:rFonts w:ascii="Cambria Math" w:hAnsi="Cambria Math" w:cs="Arial"/>
                    <w:i/>
                    <w:color w:val="auto"/>
                    <w:sz w:val="22"/>
                    <w:szCs w:val="22"/>
                    <w:lang w:val="es-CO"/>
                  </w:rPr>
                </m:ctrlPr>
              </m:sSupPr>
              <m:e>
                <m:r>
                  <m:rPr>
                    <m:sty m:val="bi"/>
                  </m:rPr>
                  <w:rPr>
                    <w:rFonts w:ascii="Cambria Math" w:hAnsi="Cambria Math" w:cs="Arial"/>
                    <w:color w:val="auto"/>
                    <w:sz w:val="22"/>
                    <w:szCs w:val="22"/>
                    <w:lang w:val="es-CO"/>
                  </w:rPr>
                  <m:t>C</m:t>
                </m:r>
              </m:e>
              <m:sup>
                <m:r>
                  <m:rPr>
                    <m:sty m:val="bi"/>
                  </m:rPr>
                  <w:rPr>
                    <w:rFonts w:ascii="Cambria Math" w:hAnsi="Cambria Math" w:cs="Arial"/>
                    <w:color w:val="auto"/>
                    <w:sz w:val="22"/>
                    <w:szCs w:val="22"/>
                    <w:lang w:val="es-CO"/>
                  </w:rPr>
                  <m:t>opt</m:t>
                </m:r>
              </m:sup>
            </m:sSup>
            <m:ctrlPr>
              <w:rPr>
                <w:rFonts w:ascii="Cambria Math" w:eastAsiaTheme="minorEastAsia" w:hAnsi="Cambria Math" w:cs="Arial"/>
                <w:i/>
                <w:color w:val="auto"/>
                <w:sz w:val="22"/>
                <w:szCs w:val="22"/>
                <w:lang w:val="es-CO"/>
              </w:rPr>
            </m:ctrlPr>
          </m:num>
          <m:den>
            <m:r>
              <m:rPr>
                <m:sty m:val="bi"/>
              </m:rPr>
              <w:rPr>
                <w:rFonts w:ascii="Cambria Math" w:hAnsi="Cambria Math" w:cs="Arial"/>
                <w:color w:val="auto"/>
                <w:sz w:val="22"/>
                <w:szCs w:val="22"/>
                <w:lang w:val="es-CO"/>
              </w:rPr>
              <m:t>∂ln</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den>
        </m:f>
        <m:r>
          <m:rPr>
            <m:sty m:val="bi"/>
          </m:rPr>
          <w:rPr>
            <w:rFonts w:ascii="Cambria Math" w:hAnsi="Cambria Math" w:cs="Arial"/>
            <w:color w:val="auto"/>
            <w:sz w:val="22"/>
            <w:szCs w:val="22"/>
            <w:lang w:val="en-US"/>
          </w:rPr>
          <m:t>=</m:t>
        </m:r>
        <m:f>
          <m:fPr>
            <m:ctrlPr>
              <w:rPr>
                <w:rFonts w:ascii="Cambria Math" w:hAnsi="Cambria Math" w:cs="Arial"/>
                <w:i/>
                <w:color w:val="auto"/>
                <w:sz w:val="22"/>
                <w:szCs w:val="22"/>
                <w:lang w:val="es-CO"/>
              </w:rPr>
            </m:ctrlPr>
          </m:fPr>
          <m:num>
            <m:r>
              <m:rPr>
                <m:sty m:val="bi"/>
              </m:rPr>
              <w:rPr>
                <w:rFonts w:ascii="Cambria Math" w:hAnsi="Cambria Math" w:cs="Arial"/>
                <w:color w:val="auto"/>
                <w:sz w:val="22"/>
                <w:szCs w:val="22"/>
                <w:lang w:val="es-CO"/>
              </w:rPr>
              <m:t>ln</m:t>
            </m:r>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C</m:t>
                </m:r>
              </m:e>
              <m:sub>
                <m:r>
                  <m:rPr>
                    <m:sty m:val="bi"/>
                  </m:rPr>
                  <w:rPr>
                    <w:rFonts w:ascii="Cambria Math" w:hAnsi="Cambria Math" w:cs="Arial"/>
                    <w:color w:val="auto"/>
                    <w:sz w:val="22"/>
                    <w:szCs w:val="22"/>
                    <w:lang w:val="es-CO"/>
                  </w:rPr>
                  <m:t>1</m:t>
                </m:r>
              </m:sub>
              <m:sup>
                <m:r>
                  <m:rPr>
                    <m:sty m:val="bi"/>
                  </m:rPr>
                  <w:rPr>
                    <w:rFonts w:ascii="Cambria Math" w:hAnsi="Cambria Math" w:cs="Arial"/>
                    <w:color w:val="auto"/>
                    <w:sz w:val="22"/>
                    <w:szCs w:val="22"/>
                    <w:lang w:val="es-CO"/>
                  </w:rPr>
                  <m:t>opt</m:t>
                </m:r>
              </m:sup>
            </m:sSubSup>
            <m:r>
              <m:rPr>
                <m:sty m:val="bi"/>
              </m:rPr>
              <w:rPr>
                <w:rFonts w:ascii="Cambria Math" w:hAnsi="Cambria Math" w:cs="Arial"/>
                <w:color w:val="auto"/>
                <w:sz w:val="22"/>
                <w:szCs w:val="22"/>
                <w:lang w:val="es-CO"/>
              </w:rPr>
              <m:t>-ln</m:t>
            </m:r>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C</m:t>
                </m:r>
              </m:e>
              <m:sub>
                <m:r>
                  <m:rPr>
                    <m:sty m:val="bi"/>
                  </m:rPr>
                  <w:rPr>
                    <w:rFonts w:ascii="Cambria Math" w:hAnsi="Cambria Math" w:cs="Arial"/>
                    <w:color w:val="auto"/>
                    <w:sz w:val="22"/>
                    <w:szCs w:val="22"/>
                    <w:lang w:val="es-CO"/>
                  </w:rPr>
                  <m:t>2</m:t>
                </m:r>
              </m:sub>
              <m:sup>
                <m:r>
                  <m:rPr>
                    <m:sty m:val="bi"/>
                  </m:rPr>
                  <w:rPr>
                    <w:rFonts w:ascii="Cambria Math" w:hAnsi="Cambria Math" w:cs="Arial"/>
                    <w:color w:val="auto"/>
                    <w:sz w:val="22"/>
                    <w:szCs w:val="22"/>
                    <w:lang w:val="es-CO"/>
                  </w:rPr>
                  <m:t>opt</m:t>
                </m:r>
              </m:sup>
            </m:sSubSup>
            <m:r>
              <m:rPr>
                <m:sty m:val="bi"/>
              </m:rPr>
              <w:rPr>
                <w:rFonts w:ascii="Cambria Math" w:hAnsi="Cambria Math" w:cs="Arial"/>
                <w:color w:val="auto"/>
                <w:sz w:val="22"/>
                <w:szCs w:val="22"/>
                <w:lang w:val="es-CO"/>
              </w:rPr>
              <m:t xml:space="preserve"> </m:t>
            </m:r>
          </m:num>
          <m:den>
            <m:r>
              <m:rPr>
                <m:sty m:val="bi"/>
              </m:rPr>
              <w:rPr>
                <w:rFonts w:ascii="Cambria Math" w:hAnsi="Cambria Math" w:cs="Arial"/>
                <w:color w:val="auto"/>
                <w:sz w:val="22"/>
                <w:szCs w:val="22"/>
                <w:lang w:val="es-CO"/>
              </w:rPr>
              <m:t>ln</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s-CO"/>
                  </w:rPr>
                  <m:t>1,1</m:t>
                </m:r>
              </m:sub>
            </m:sSub>
            <m:r>
              <m:rPr>
                <m:sty m:val="bi"/>
              </m:rPr>
              <w:rPr>
                <w:rFonts w:ascii="Cambria Math" w:hAnsi="Cambria Math" w:cs="Arial"/>
                <w:color w:val="auto"/>
                <w:sz w:val="22"/>
                <w:szCs w:val="22"/>
                <w:lang w:val="es-CO"/>
              </w:rPr>
              <m:t>-ln</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s-CO"/>
                  </w:rPr>
                  <m:t>1,2</m:t>
                </m:r>
              </m:sub>
            </m:sSub>
          </m:den>
        </m:f>
      </m:oMath>
      <w:r w:rsidR="003111B2" w:rsidRPr="002A33AB">
        <w:rPr>
          <w:lang w:val="en-US"/>
        </w:rPr>
        <w:t xml:space="preserve">  </w:t>
      </w:r>
      <w:r w:rsidR="007E1EA9" w:rsidRPr="002A33AB">
        <w:rPr>
          <w:lang w:val="en-US"/>
        </w:rPr>
        <w:tab/>
      </w:r>
      <w:r w:rsidR="007E1EA9" w:rsidRPr="002A33AB">
        <w:rPr>
          <w:lang w:val="en-US"/>
        </w:rPr>
        <w:tab/>
      </w:r>
      <w:r w:rsidR="007E1EA9" w:rsidRPr="002A33AB">
        <w:rPr>
          <w:lang w:val="en-US"/>
        </w:rPr>
        <w:tab/>
      </w:r>
      <w:r w:rsidR="003111B2" w:rsidRPr="002A33AB">
        <w:rPr>
          <w:b w:val="0"/>
          <w:iCs/>
          <w:color w:val="auto"/>
        </w:rPr>
        <w:t>(1)</w:t>
      </w:r>
    </w:p>
    <w:p w14:paraId="1F8A4E0A" w14:textId="77777777" w:rsidR="003505AD" w:rsidRPr="002A33AB" w:rsidRDefault="003505AD" w:rsidP="003505AD">
      <w:pPr>
        <w:pStyle w:val="Prrafodelista"/>
        <w:ind w:left="0"/>
        <w:rPr>
          <w:rFonts w:eastAsiaTheme="minorEastAsia" w:cs="Arial"/>
          <w:szCs w:val="18"/>
          <w:lang w:val="en-US"/>
        </w:rPr>
      </w:pPr>
    </w:p>
    <w:p w14:paraId="2B759B58" w14:textId="1E307C7A" w:rsidR="003505AD" w:rsidRPr="00C1215D" w:rsidRDefault="00C12A89" w:rsidP="00C1215D">
      <w:pPr>
        <w:pStyle w:val="Prrafodelista"/>
        <w:ind w:left="0"/>
        <w:rPr>
          <w:rFonts w:eastAsiaTheme="minorEastAsia" w:cs="Arial"/>
          <w:szCs w:val="18"/>
          <w:lang w:val="en-US"/>
        </w:rPr>
      </w:pPr>
      <w:r>
        <w:rPr>
          <w:rFonts w:cs="Arial"/>
          <w:szCs w:val="18"/>
          <w:lang w:val="en-US"/>
        </w:rPr>
        <w:t>At t</w:t>
      </w:r>
      <w:r w:rsidR="000E6F09">
        <w:rPr>
          <w:rFonts w:cs="Arial"/>
          <w:szCs w:val="18"/>
          <w:lang w:val="en-US"/>
        </w:rPr>
        <w:t>he</w:t>
      </w:r>
      <w:r>
        <w:rPr>
          <w:rFonts w:cs="Arial"/>
          <w:szCs w:val="18"/>
          <w:lang w:val="en-US"/>
        </w:rPr>
        <w:t xml:space="preserve"> formula 1,</w:t>
      </w:r>
      <w:r w:rsidR="000E6F09">
        <w:rPr>
          <w:rFonts w:cs="Arial"/>
          <w:szCs w:val="18"/>
          <w:lang w:val="en-US"/>
        </w:rPr>
        <w:t xml:space="preserve"> C</w:t>
      </w:r>
      <w:r w:rsidR="000E6F09" w:rsidRPr="00290FA8">
        <w:rPr>
          <w:rFonts w:cs="Arial"/>
          <w:szCs w:val="18"/>
          <w:vertAlign w:val="superscript"/>
          <w:lang w:val="en-US"/>
        </w:rPr>
        <w:t xml:space="preserve">opt </w:t>
      </w:r>
      <w:r w:rsidR="000E6F09">
        <w:rPr>
          <w:rFonts w:cs="Arial"/>
          <w:szCs w:val="18"/>
          <w:lang w:val="en-US"/>
        </w:rPr>
        <w:t>refers to MFSP or LCA, in the original state (state 1) and the altered state (state 2) which is indicated in the subscript, and k</w:t>
      </w:r>
      <w:r w:rsidR="000E6F09" w:rsidRPr="00290FA8">
        <w:rPr>
          <w:rFonts w:cs="Arial"/>
          <w:szCs w:val="18"/>
          <w:vertAlign w:val="subscript"/>
          <w:lang w:val="en-US"/>
        </w:rPr>
        <w:t>1</w:t>
      </w:r>
      <w:r w:rsidR="000E6F09">
        <w:rPr>
          <w:rFonts w:cs="Arial"/>
          <w:szCs w:val="18"/>
          <w:lang w:val="en-US"/>
        </w:rPr>
        <w:t xml:space="preserve"> refers to the variable in case, in the same state as previously defined.</w:t>
      </w:r>
      <w:r w:rsidR="00BB040F">
        <w:rPr>
          <w:rFonts w:cs="Arial"/>
          <w:szCs w:val="18"/>
          <w:lang w:val="en-US"/>
        </w:rPr>
        <w:t xml:space="preserve"> </w:t>
      </w:r>
      <w:r w:rsidR="00054DA7" w:rsidRPr="002A33AB">
        <w:rPr>
          <w:rFonts w:eastAsiaTheme="minorEastAsia" w:cs="Arial"/>
          <w:szCs w:val="18"/>
          <w:lang w:val="en-US"/>
        </w:rPr>
        <w:t>It is calculated within the average range of the defined factors</w:t>
      </w:r>
      <w:r w:rsidR="00797A41" w:rsidRPr="002A33AB">
        <w:rPr>
          <w:rFonts w:eastAsiaTheme="minorEastAsia" w:cs="Arial"/>
          <w:szCs w:val="18"/>
          <w:lang w:val="en-US"/>
        </w:rPr>
        <w:t>; this</w:t>
      </w:r>
      <w:r w:rsidR="00054DA7" w:rsidRPr="002A33AB">
        <w:rPr>
          <w:rFonts w:eastAsiaTheme="minorEastAsia" w:cs="Arial"/>
          <w:szCs w:val="18"/>
          <w:lang w:val="en-US"/>
        </w:rPr>
        <w:t xml:space="preserve"> indicator will show which of the</w:t>
      </w:r>
      <w:r w:rsidR="00C1215D">
        <w:rPr>
          <w:rFonts w:eastAsiaTheme="minorEastAsia" w:cs="Arial"/>
          <w:szCs w:val="18"/>
          <w:lang w:val="en-US"/>
        </w:rPr>
        <w:t xml:space="preserve"> </w:t>
      </w:r>
      <w:r w:rsidR="00054DA7" w:rsidRPr="002A33AB">
        <w:rPr>
          <w:rFonts w:eastAsiaTheme="minorEastAsia" w:cs="Arial"/>
          <w:szCs w:val="18"/>
          <w:lang w:val="en-US"/>
        </w:rPr>
        <w:t>analyzed</w:t>
      </w:r>
      <w:r w:rsidR="00C1215D">
        <w:rPr>
          <w:rFonts w:eastAsiaTheme="minorEastAsia" w:cs="Arial"/>
          <w:szCs w:val="18"/>
          <w:lang w:val="en-US"/>
        </w:rPr>
        <w:t xml:space="preserve"> </w:t>
      </w:r>
      <w:r w:rsidR="00C1215D" w:rsidRPr="002A33AB">
        <w:rPr>
          <w:rFonts w:eastAsiaTheme="minorEastAsia" w:cs="Arial"/>
          <w:szCs w:val="18"/>
          <w:lang w:val="en-US"/>
        </w:rPr>
        <w:t>factors</w:t>
      </w:r>
      <w:r w:rsidR="00054DA7" w:rsidRPr="002A33AB">
        <w:rPr>
          <w:rFonts w:eastAsiaTheme="minorEastAsia" w:cs="Arial"/>
          <w:szCs w:val="18"/>
          <w:lang w:val="en-US"/>
        </w:rPr>
        <w:t xml:space="preserve"> are the most </w:t>
      </w:r>
      <w:r w:rsidR="00C1215D">
        <w:rPr>
          <w:rFonts w:eastAsiaTheme="minorEastAsia" w:cs="Arial"/>
          <w:szCs w:val="18"/>
          <w:lang w:val="en-US"/>
        </w:rPr>
        <w:t>sensible</w:t>
      </w:r>
      <w:r w:rsidR="00054DA7" w:rsidRPr="002A33AB">
        <w:rPr>
          <w:rFonts w:eastAsiaTheme="minorEastAsia" w:cs="Arial"/>
          <w:szCs w:val="18"/>
          <w:lang w:val="en-US"/>
        </w:rPr>
        <w:t>,</w:t>
      </w:r>
      <w:r w:rsidR="00F56DD9" w:rsidRPr="002A33AB">
        <w:rPr>
          <w:rFonts w:eastAsiaTheme="minorEastAsia" w:cs="Arial"/>
          <w:szCs w:val="18"/>
          <w:lang w:val="en-US"/>
        </w:rPr>
        <w:t xml:space="preserve"> </w:t>
      </w:r>
      <w:r w:rsidR="003505AD" w:rsidRPr="002A33AB">
        <w:rPr>
          <w:rFonts w:eastAsiaTheme="minorEastAsia" w:cs="Arial"/>
          <w:szCs w:val="18"/>
          <w:lang w:val="en-US"/>
        </w:rPr>
        <w:t xml:space="preserve">or in other words, those factors that can have a </w:t>
      </w:r>
      <w:r w:rsidR="00797A41" w:rsidRPr="002A33AB">
        <w:rPr>
          <w:rFonts w:eastAsiaTheme="minorEastAsia" w:cs="Arial"/>
          <w:szCs w:val="18"/>
          <w:lang w:val="en-US"/>
        </w:rPr>
        <w:t>more significant</w:t>
      </w:r>
      <w:r w:rsidR="003505AD" w:rsidRPr="002A33AB">
        <w:rPr>
          <w:rFonts w:eastAsiaTheme="minorEastAsia" w:cs="Arial"/>
          <w:szCs w:val="18"/>
          <w:lang w:val="en-US"/>
        </w:rPr>
        <w:t xml:space="preserve"> impact on MFSP or LCA with a smaller change in their value.</w:t>
      </w:r>
    </w:p>
    <w:p w14:paraId="16E60744" w14:textId="0B3F9EAE" w:rsidR="003505AD" w:rsidRPr="002A33AB" w:rsidRDefault="003505AD" w:rsidP="00521C0B">
      <w:pPr>
        <w:pStyle w:val="CETheadingx"/>
        <w:jc w:val="both"/>
        <w:rPr>
          <w:rFonts w:cs="Arial"/>
          <w:szCs w:val="18"/>
        </w:rPr>
      </w:pPr>
      <w:r w:rsidRPr="002A33AB">
        <w:lastRenderedPageBreak/>
        <w:t>Sensitivity</w:t>
      </w:r>
      <w:r w:rsidR="00521C0B" w:rsidRPr="002A33AB">
        <w:t xml:space="preserve">: </w:t>
      </w:r>
      <w:r w:rsidRPr="002A33AB">
        <w:rPr>
          <w:rFonts w:cs="Arial"/>
          <w:b w:val="0"/>
          <w:szCs w:val="18"/>
        </w:rPr>
        <w:t>The main variables are analyzed with two variations of the original factor, one increasing the factor and the other decreasing it. These changes are defined based on the information available when establishing the factors. Additionally, a sensitivity factor is calculated as follows:</w:t>
      </w:r>
    </w:p>
    <w:p w14:paraId="103A9EDA" w14:textId="58F898EA" w:rsidR="003505AD" w:rsidRPr="002A33AB" w:rsidRDefault="00D61831" w:rsidP="007E1EA9">
      <w:pPr>
        <w:pStyle w:val="Descripcin"/>
        <w:jc w:val="left"/>
        <w:rPr>
          <w:rFonts w:eastAsiaTheme="minorEastAsia" w:cs="Arial"/>
          <w:lang w:val="en-US"/>
        </w:rPr>
      </w:pPr>
      <m:oMath>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S</m:t>
            </m:r>
          </m:e>
          <m:sub>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sub>
          <m:sup>
            <m:r>
              <m:rPr>
                <m:sty m:val="bi"/>
              </m:rPr>
              <w:rPr>
                <w:rFonts w:ascii="Cambria Math" w:hAnsi="Cambria Math" w:cs="Arial"/>
                <w:color w:val="auto"/>
                <w:sz w:val="22"/>
                <w:szCs w:val="22"/>
                <w:lang w:val="es-CO"/>
              </w:rPr>
              <m:t>C</m:t>
            </m:r>
          </m:sup>
        </m:sSubSup>
        <m:r>
          <m:rPr>
            <m:sty m:val="bi"/>
          </m:rPr>
          <w:rPr>
            <w:rFonts w:ascii="Cambria Math" w:hAnsi="Cambria Math" w:cs="Arial"/>
            <w:color w:val="auto"/>
            <w:sz w:val="22"/>
            <w:szCs w:val="22"/>
            <w:lang w:val="en-US"/>
          </w:rPr>
          <m:t>=</m:t>
        </m:r>
        <m:f>
          <m:fPr>
            <m:ctrlPr>
              <w:rPr>
                <w:rFonts w:ascii="Cambria Math" w:hAnsi="Cambria Math" w:cs="Arial"/>
                <w:i/>
                <w:color w:val="auto"/>
                <w:sz w:val="22"/>
                <w:szCs w:val="22"/>
                <w:lang w:val="es-CO"/>
              </w:rPr>
            </m:ctrlPr>
          </m:fPr>
          <m:num>
            <m:r>
              <m:rPr>
                <m:sty m:val="bi"/>
              </m:rPr>
              <w:rPr>
                <w:rFonts w:ascii="Cambria Math" w:hAnsi="Cambria Math" w:cs="Arial"/>
                <w:color w:val="auto"/>
                <w:sz w:val="22"/>
                <w:szCs w:val="22"/>
                <w:lang w:val="es-CO"/>
              </w:rPr>
              <m:t>∂</m:t>
            </m:r>
            <m:sSup>
              <m:sSupPr>
                <m:ctrlPr>
                  <w:rPr>
                    <w:rFonts w:ascii="Cambria Math" w:hAnsi="Cambria Math" w:cs="Arial"/>
                    <w:i/>
                    <w:color w:val="auto"/>
                    <w:sz w:val="22"/>
                    <w:szCs w:val="22"/>
                    <w:lang w:val="es-CO"/>
                  </w:rPr>
                </m:ctrlPr>
              </m:sSupPr>
              <m:e>
                <m:r>
                  <m:rPr>
                    <m:sty m:val="bi"/>
                  </m:rPr>
                  <w:rPr>
                    <w:rFonts w:ascii="Cambria Math" w:hAnsi="Cambria Math" w:cs="Arial"/>
                    <w:color w:val="auto"/>
                    <w:sz w:val="22"/>
                    <w:szCs w:val="22"/>
                    <w:lang w:val="es-CO"/>
                  </w:rPr>
                  <m:t>C</m:t>
                </m:r>
              </m:e>
              <m:sup>
                <m:r>
                  <m:rPr>
                    <m:sty m:val="bi"/>
                  </m:rPr>
                  <w:rPr>
                    <w:rFonts w:ascii="Cambria Math" w:hAnsi="Cambria Math" w:cs="Arial"/>
                    <w:color w:val="auto"/>
                    <w:sz w:val="22"/>
                    <w:szCs w:val="22"/>
                    <w:lang w:val="es-CO"/>
                  </w:rPr>
                  <m:t>opt</m:t>
                </m:r>
              </m:sup>
            </m:sSup>
          </m:num>
          <m:den>
            <m:r>
              <m:rPr>
                <m:sty m:val="bi"/>
              </m:rPr>
              <w:rPr>
                <w:rFonts w:ascii="Cambria Math" w:hAnsi="Cambria Math" w:cs="Arial"/>
                <w:color w:val="auto"/>
                <w:sz w:val="22"/>
                <w:szCs w:val="22"/>
                <w:lang w:val="es-CO"/>
              </w:rPr>
              <m:t>∂</m:t>
            </m:r>
            <m:sSub>
              <m:sSubPr>
                <m:ctrlPr>
                  <w:rPr>
                    <w:rFonts w:ascii="Cambria Math" w:hAnsi="Cambria Math" w:cs="Arial"/>
                    <w:i/>
                    <w:color w:val="auto"/>
                    <w:sz w:val="22"/>
                    <w:szCs w:val="22"/>
                    <w:lang w:val="es-CO"/>
                  </w:rPr>
                </m:ctrlPr>
              </m:sSubPr>
              <m:e>
                <m:r>
                  <m:rPr>
                    <m:sty m:val="bi"/>
                  </m:rPr>
                  <w:rPr>
                    <w:rFonts w:ascii="Cambria Math" w:hAnsi="Cambria Math" w:cs="Arial"/>
                    <w:color w:val="auto"/>
                    <w:sz w:val="22"/>
                    <w:szCs w:val="22"/>
                    <w:lang w:val="es-CO"/>
                  </w:rPr>
                  <m:t>k</m:t>
                </m:r>
              </m:e>
              <m:sub>
                <m:r>
                  <m:rPr>
                    <m:sty m:val="bi"/>
                  </m:rPr>
                  <w:rPr>
                    <w:rFonts w:ascii="Cambria Math" w:hAnsi="Cambria Math" w:cs="Arial"/>
                    <w:color w:val="auto"/>
                    <w:sz w:val="22"/>
                    <w:szCs w:val="22"/>
                    <w:lang w:val="en-US"/>
                  </w:rPr>
                  <m:t>1</m:t>
                </m:r>
              </m:sub>
            </m:sSub>
          </m:den>
        </m:f>
        <m:r>
          <m:rPr>
            <m:sty m:val="bi"/>
          </m:rPr>
          <w:rPr>
            <w:rFonts w:ascii="Cambria Math" w:hAnsi="Cambria Math" w:cs="Arial"/>
            <w:color w:val="auto"/>
            <w:sz w:val="22"/>
            <w:szCs w:val="22"/>
            <w:lang w:val="en-US"/>
          </w:rPr>
          <m:t>=</m:t>
        </m:r>
        <m:f>
          <m:fPr>
            <m:ctrlPr>
              <w:rPr>
                <w:rFonts w:ascii="Cambria Math" w:hAnsi="Cambria Math" w:cs="Arial"/>
                <w:i/>
                <w:color w:val="auto"/>
                <w:sz w:val="22"/>
                <w:szCs w:val="22"/>
                <w:lang w:val="es-CO"/>
              </w:rPr>
            </m:ctrlPr>
          </m:fPr>
          <m:num>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C</m:t>
                </m:r>
              </m:e>
              <m:sub>
                <m:r>
                  <m:rPr>
                    <m:sty m:val="bi"/>
                  </m:rPr>
                  <w:rPr>
                    <w:rFonts w:ascii="Cambria Math" w:hAnsi="Cambria Math" w:cs="Arial"/>
                    <w:color w:val="auto"/>
                    <w:sz w:val="22"/>
                    <w:szCs w:val="22"/>
                    <w:lang w:val="en-US"/>
                  </w:rPr>
                  <m:t>1</m:t>
                </m:r>
              </m:sub>
              <m:sup>
                <m:r>
                  <m:rPr>
                    <m:sty m:val="bi"/>
                  </m:rPr>
                  <w:rPr>
                    <w:rFonts w:ascii="Cambria Math" w:hAnsi="Cambria Math" w:cs="Arial"/>
                    <w:color w:val="auto"/>
                    <w:sz w:val="22"/>
                    <w:szCs w:val="22"/>
                    <w:lang w:val="es-CO"/>
                  </w:rPr>
                  <m:t>opt</m:t>
                </m:r>
              </m:sup>
            </m:sSubSup>
            <m:r>
              <m:rPr>
                <m:sty m:val="bi"/>
              </m:rPr>
              <w:rPr>
                <w:rFonts w:ascii="Cambria Math" w:hAnsi="Cambria Math" w:cs="Arial"/>
                <w:color w:val="auto"/>
                <w:sz w:val="22"/>
                <w:szCs w:val="22"/>
                <w:lang w:val="en-US"/>
              </w:rPr>
              <m:t>-</m:t>
            </m:r>
            <m:sSubSup>
              <m:sSubSupPr>
                <m:ctrlPr>
                  <w:rPr>
                    <w:rFonts w:ascii="Cambria Math" w:hAnsi="Cambria Math" w:cs="Arial"/>
                    <w:i/>
                    <w:color w:val="auto"/>
                    <w:sz w:val="22"/>
                    <w:szCs w:val="22"/>
                    <w:lang w:val="es-CO"/>
                  </w:rPr>
                </m:ctrlPr>
              </m:sSubSupPr>
              <m:e>
                <m:r>
                  <m:rPr>
                    <m:sty m:val="bi"/>
                  </m:rPr>
                  <w:rPr>
                    <w:rFonts w:ascii="Cambria Math" w:hAnsi="Cambria Math" w:cs="Arial"/>
                    <w:color w:val="auto"/>
                    <w:sz w:val="22"/>
                    <w:szCs w:val="22"/>
                    <w:lang w:val="es-CO"/>
                  </w:rPr>
                  <m:t>C</m:t>
                </m:r>
              </m:e>
              <m:sub>
                <m:r>
                  <m:rPr>
                    <m:sty m:val="bi"/>
                  </m:rPr>
                  <w:rPr>
                    <w:rFonts w:ascii="Cambria Math" w:hAnsi="Cambria Math" w:cs="Arial"/>
                    <w:color w:val="auto"/>
                    <w:sz w:val="22"/>
                    <w:szCs w:val="22"/>
                    <w:lang w:val="en-US"/>
                  </w:rPr>
                  <m:t>2</m:t>
                </m:r>
              </m:sub>
              <m:sup>
                <m:r>
                  <m:rPr>
                    <m:sty m:val="bi"/>
                  </m:rPr>
                  <w:rPr>
                    <w:rFonts w:ascii="Cambria Math" w:hAnsi="Cambria Math" w:cs="Arial"/>
                    <w:color w:val="auto"/>
                    <w:sz w:val="22"/>
                    <w:szCs w:val="22"/>
                    <w:lang w:val="es-CO"/>
                  </w:rPr>
                  <m:t>opt</m:t>
                </m:r>
              </m:sup>
            </m:sSubSup>
            <m:ctrlPr>
              <w:rPr>
                <w:rFonts w:ascii="Cambria Math" w:eastAsiaTheme="minorEastAsia" w:hAnsi="Cambria Math" w:cs="Arial"/>
                <w:i/>
                <w:color w:val="auto"/>
                <w:sz w:val="22"/>
                <w:szCs w:val="22"/>
                <w:lang w:val="es-CO"/>
              </w:rPr>
            </m:ctrlPr>
          </m:num>
          <m:den>
            <m:sSub>
              <m:sSubPr>
                <m:ctrlPr>
                  <w:rPr>
                    <w:rFonts w:ascii="Cambria Math" w:eastAsiaTheme="minorEastAsia" w:hAnsi="Cambria Math" w:cs="Arial"/>
                    <w:i/>
                    <w:color w:val="auto"/>
                    <w:sz w:val="22"/>
                    <w:szCs w:val="22"/>
                    <w:lang w:val="es-CO"/>
                  </w:rPr>
                </m:ctrlPr>
              </m:sSubPr>
              <m:e>
                <m:r>
                  <m:rPr>
                    <m:sty m:val="bi"/>
                  </m:rPr>
                  <w:rPr>
                    <w:rFonts w:ascii="Cambria Math" w:eastAsiaTheme="minorEastAsia" w:hAnsi="Cambria Math" w:cs="Arial"/>
                    <w:color w:val="auto"/>
                    <w:sz w:val="22"/>
                    <w:szCs w:val="22"/>
                    <w:lang w:val="es-CO"/>
                  </w:rPr>
                  <m:t>k</m:t>
                </m:r>
              </m:e>
              <m:sub>
                <m:r>
                  <m:rPr>
                    <m:sty m:val="bi"/>
                  </m:rPr>
                  <w:rPr>
                    <w:rFonts w:ascii="Cambria Math" w:eastAsiaTheme="minorEastAsia" w:hAnsi="Cambria Math" w:cs="Arial"/>
                    <w:color w:val="auto"/>
                    <w:sz w:val="22"/>
                    <w:szCs w:val="22"/>
                    <w:lang w:val="en-US"/>
                  </w:rPr>
                  <m:t>1,1</m:t>
                </m:r>
              </m:sub>
            </m:sSub>
            <m:r>
              <m:rPr>
                <m:sty m:val="bi"/>
              </m:rPr>
              <w:rPr>
                <w:rFonts w:ascii="Cambria Math" w:eastAsiaTheme="minorEastAsia" w:hAnsi="Cambria Math" w:cs="Arial"/>
                <w:color w:val="auto"/>
                <w:sz w:val="22"/>
                <w:szCs w:val="22"/>
                <w:lang w:val="en-US"/>
              </w:rPr>
              <m:t>-</m:t>
            </m:r>
            <m:sSub>
              <m:sSubPr>
                <m:ctrlPr>
                  <w:rPr>
                    <w:rFonts w:ascii="Cambria Math" w:eastAsiaTheme="minorEastAsia" w:hAnsi="Cambria Math" w:cs="Arial"/>
                    <w:i/>
                    <w:color w:val="auto"/>
                    <w:sz w:val="22"/>
                    <w:szCs w:val="22"/>
                    <w:lang w:val="es-CO"/>
                  </w:rPr>
                </m:ctrlPr>
              </m:sSubPr>
              <m:e>
                <m:r>
                  <m:rPr>
                    <m:sty m:val="bi"/>
                  </m:rPr>
                  <w:rPr>
                    <w:rFonts w:ascii="Cambria Math" w:eastAsiaTheme="minorEastAsia" w:hAnsi="Cambria Math" w:cs="Arial"/>
                    <w:color w:val="auto"/>
                    <w:sz w:val="22"/>
                    <w:szCs w:val="22"/>
                    <w:lang w:val="es-CO"/>
                  </w:rPr>
                  <m:t>k</m:t>
                </m:r>
              </m:e>
              <m:sub>
                <m:r>
                  <m:rPr>
                    <m:sty m:val="bi"/>
                  </m:rPr>
                  <w:rPr>
                    <w:rFonts w:ascii="Cambria Math" w:eastAsiaTheme="minorEastAsia" w:hAnsi="Cambria Math" w:cs="Arial"/>
                    <w:color w:val="auto"/>
                    <w:sz w:val="22"/>
                    <w:szCs w:val="22"/>
                    <w:lang w:val="en-US"/>
                  </w:rPr>
                  <m:t>1,2</m:t>
                </m:r>
              </m:sub>
            </m:sSub>
          </m:den>
        </m:f>
        <m:r>
          <m:rPr>
            <m:sty m:val="bi"/>
          </m:rPr>
          <w:rPr>
            <w:rFonts w:ascii="Cambria Math" w:hAnsi="Cambria Math" w:cs="Arial"/>
            <w:color w:val="auto"/>
            <w:sz w:val="22"/>
            <w:szCs w:val="22"/>
            <w:lang w:val="en-US"/>
          </w:rPr>
          <m:t xml:space="preserve">   </m:t>
        </m:r>
      </m:oMath>
      <w:r w:rsidR="007E1EA9" w:rsidRPr="002A33AB">
        <w:rPr>
          <w:i/>
          <w:color w:val="auto"/>
          <w:sz w:val="22"/>
          <w:szCs w:val="22"/>
          <w:lang w:val="en-US"/>
        </w:rPr>
        <w:tab/>
      </w:r>
      <w:r w:rsidR="007E1EA9" w:rsidRPr="002A33AB">
        <w:rPr>
          <w:i/>
          <w:color w:val="auto"/>
          <w:sz w:val="22"/>
          <w:szCs w:val="22"/>
          <w:lang w:val="en-US"/>
        </w:rPr>
        <w:tab/>
      </w:r>
      <w:r w:rsidR="007E1EA9" w:rsidRPr="002A33AB">
        <w:rPr>
          <w:i/>
          <w:color w:val="auto"/>
          <w:sz w:val="22"/>
          <w:szCs w:val="22"/>
          <w:lang w:val="en-US"/>
        </w:rPr>
        <w:tab/>
      </w:r>
      <w:r w:rsidR="00625679" w:rsidRPr="002A33AB">
        <w:rPr>
          <w:b w:val="0"/>
          <w:i/>
          <w:color w:val="auto"/>
        </w:rPr>
        <w:t xml:space="preserve"> </w:t>
      </w:r>
      <w:r w:rsidR="00625679" w:rsidRPr="002A33AB">
        <w:rPr>
          <w:b w:val="0"/>
          <w:iCs/>
          <w:color w:val="auto"/>
        </w:rPr>
        <w:t>(2)</w:t>
      </w:r>
      <w:r w:rsidR="00625679" w:rsidRPr="002A33AB">
        <w:rPr>
          <w:color w:val="auto"/>
        </w:rPr>
        <w:t xml:space="preserve"> </w:t>
      </w:r>
    </w:p>
    <w:p w14:paraId="34C2679E" w14:textId="77777777" w:rsidR="003505AD" w:rsidRPr="002A33AB" w:rsidRDefault="003505AD" w:rsidP="003505AD">
      <w:pPr>
        <w:rPr>
          <w:rFonts w:cs="Arial"/>
          <w:szCs w:val="18"/>
          <w:lang w:val="en-US"/>
        </w:rPr>
      </w:pPr>
    </w:p>
    <w:p w14:paraId="21D3619D" w14:textId="3D37FC0D" w:rsidR="0047725C" w:rsidRPr="002A33AB" w:rsidRDefault="003502D1" w:rsidP="003505AD">
      <w:pPr>
        <w:rPr>
          <w:rFonts w:cs="Arial"/>
          <w:szCs w:val="18"/>
          <w:lang w:val="en-US"/>
        </w:rPr>
      </w:pPr>
      <w:r w:rsidRPr="002A33AB">
        <w:rPr>
          <w:rFonts w:cs="Arial"/>
          <w:szCs w:val="18"/>
          <w:lang w:val="en-US"/>
        </w:rPr>
        <w:t>By systematically altering the variable, the analysis aims to discern the behavior of the result across various hypothetical values. Moreover, sensitivity analysis offers insights into the slope of the outcome, enabling a swift estimation of its value when the variable experiences minor fluctuations, whether in an upward or downward direction from its original value.</w:t>
      </w:r>
      <w:r w:rsidR="003505AD" w:rsidRPr="002A33AB">
        <w:rPr>
          <w:rFonts w:cs="Arial"/>
          <w:szCs w:val="18"/>
          <w:lang w:val="en-US"/>
        </w:rPr>
        <w:t xml:space="preserve"> </w:t>
      </w:r>
    </w:p>
    <w:p w14:paraId="677EBFF0" w14:textId="36376912" w:rsidR="00600535" w:rsidRPr="002A33AB" w:rsidRDefault="003505AD" w:rsidP="00600535">
      <w:pPr>
        <w:pStyle w:val="CETHeading1"/>
        <w:tabs>
          <w:tab w:val="right" w:pos="7100"/>
        </w:tabs>
        <w:jc w:val="both"/>
        <w:rPr>
          <w:lang w:val="en-GB"/>
        </w:rPr>
      </w:pPr>
      <w:r w:rsidRPr="002A33AB">
        <w:rPr>
          <w:lang w:val="en-GB"/>
        </w:rPr>
        <w:t>Results</w:t>
      </w:r>
    </w:p>
    <w:p w14:paraId="5D120920" w14:textId="036EA871" w:rsidR="001475A0" w:rsidRPr="002A33AB" w:rsidRDefault="00E80159" w:rsidP="00521C0B">
      <w:pPr>
        <w:pStyle w:val="CETheadingx"/>
        <w:jc w:val="both"/>
        <w:rPr>
          <w:rFonts w:cs="Arial"/>
          <w:szCs w:val="18"/>
        </w:rPr>
      </w:pPr>
      <w:r w:rsidRPr="002A33AB">
        <w:t>Relative sensitivity</w:t>
      </w:r>
      <w:r w:rsidR="00521C0B" w:rsidRPr="002A33AB">
        <w:t xml:space="preserve">: </w:t>
      </w:r>
      <w:r w:rsidR="003505AD" w:rsidRPr="002A33AB">
        <w:rPr>
          <w:rFonts w:cs="Arial"/>
          <w:b w:val="0"/>
          <w:szCs w:val="18"/>
        </w:rPr>
        <w:t xml:space="preserve">The </w:t>
      </w:r>
      <w:r w:rsidR="004E1C02" w:rsidRPr="002A33AB">
        <w:rPr>
          <w:rFonts w:cs="Arial"/>
          <w:b w:val="0"/>
          <w:szCs w:val="18"/>
        </w:rPr>
        <w:t>Figures</w:t>
      </w:r>
      <w:r w:rsidR="003502D1" w:rsidRPr="002A33AB">
        <w:rPr>
          <w:rFonts w:cs="Arial"/>
          <w:b w:val="0"/>
          <w:szCs w:val="18"/>
        </w:rPr>
        <w:t xml:space="preserve"> 1a and 1b</w:t>
      </w:r>
      <w:r w:rsidR="003505AD" w:rsidRPr="002A33AB">
        <w:rPr>
          <w:rFonts w:cs="Arial"/>
          <w:b w:val="0"/>
          <w:szCs w:val="18"/>
        </w:rPr>
        <w:t xml:space="preserve"> show the </w:t>
      </w:r>
      <w:r w:rsidR="00E761C6" w:rsidRPr="002A33AB">
        <w:rPr>
          <w:rFonts w:cs="Arial"/>
          <w:b w:val="0"/>
          <w:szCs w:val="18"/>
        </w:rPr>
        <w:t>results as following</w:t>
      </w:r>
      <w:r w:rsidR="003505AD" w:rsidRPr="002A33AB">
        <w:rPr>
          <w:rFonts w:cs="Arial"/>
          <w:b w:val="0"/>
          <w:szCs w:val="18"/>
        </w:rPr>
        <w:t>:</w:t>
      </w:r>
      <w:r w:rsidR="00E761C6" w:rsidRPr="002A33AB">
        <w:rPr>
          <w:rFonts w:cs="Arial"/>
          <w:b w:val="0"/>
          <w:szCs w:val="18"/>
        </w:rPr>
        <w:t xml:space="preserve"> in every label is the name of the factor that is variating in the analysis, between the brackets are three values that the variable took to run the model,</w:t>
      </w:r>
      <w:r w:rsidR="003505AD" w:rsidRPr="002A33AB">
        <w:rPr>
          <w:rFonts w:cs="Arial"/>
          <w:b w:val="0"/>
          <w:szCs w:val="18"/>
        </w:rPr>
        <w:t xml:space="preserve"> the first value is the smaller value, the second is the normal value, and the third is the greater value</w:t>
      </w:r>
      <w:r w:rsidR="00E761C6" w:rsidRPr="002A33AB">
        <w:rPr>
          <w:rFonts w:cs="Arial"/>
          <w:b w:val="0"/>
          <w:szCs w:val="18"/>
        </w:rPr>
        <w:t>, also, the results are shown when the factor value decreases (in blue) and when it rises (in orange) according with the values in the brackets.</w:t>
      </w:r>
      <w:r w:rsidR="003505AD" w:rsidRPr="002A33AB">
        <w:rPr>
          <w:rFonts w:cs="Arial"/>
          <w:b w:val="0"/>
          <w:szCs w:val="18"/>
        </w:rPr>
        <w:t xml:space="preserve"> If the value of the </w:t>
      </w:r>
      <w:r w:rsidRPr="002A33AB">
        <w:rPr>
          <w:rFonts w:cs="Arial"/>
          <w:b w:val="0"/>
          <w:szCs w:val="18"/>
        </w:rPr>
        <w:t xml:space="preserve">relative sensitivity </w:t>
      </w:r>
      <w:r w:rsidR="003505AD" w:rsidRPr="002A33AB">
        <w:rPr>
          <w:rFonts w:cs="Arial"/>
          <w:b w:val="0"/>
          <w:szCs w:val="18"/>
        </w:rPr>
        <w:t>analysis is positive, it means a direct proportionality, indicating that an increase in the factor would lead to an increase in MFSP. Otherwise, if its value is negative, it means that an increase in the value leads to a decrease in the results.</w:t>
      </w:r>
      <w:r w:rsidR="00B313D2" w:rsidRPr="002A33AB">
        <w:rPr>
          <w:rFonts w:cs="Arial"/>
          <w:b w:val="0"/>
          <w:szCs w:val="18"/>
        </w:rPr>
        <w:t xml:space="preserve"> </w:t>
      </w:r>
      <w:r w:rsidR="002B5DE2" w:rsidRPr="002A33AB">
        <w:rPr>
          <w:rFonts w:cs="Arial"/>
          <w:b w:val="0"/>
          <w:szCs w:val="18"/>
        </w:rPr>
        <w:t xml:space="preserve">Moreover, </w:t>
      </w:r>
      <w:r w:rsidR="008E71AD">
        <w:rPr>
          <w:rFonts w:cs="Arial"/>
          <w:b w:val="0"/>
          <w:szCs w:val="18"/>
        </w:rPr>
        <w:t>th</w:t>
      </w:r>
      <w:r w:rsidR="008B52F2" w:rsidRPr="002A33AB">
        <w:rPr>
          <w:rFonts w:cs="Arial"/>
          <w:b w:val="0"/>
          <w:szCs w:val="18"/>
        </w:rPr>
        <w:t xml:space="preserve">e main Factors to analyze are, Capex or capital costs, </w:t>
      </w:r>
      <w:proofErr w:type="spellStart"/>
      <w:r w:rsidR="008B52F2" w:rsidRPr="002A33AB">
        <w:rPr>
          <w:rFonts w:cs="Arial"/>
          <w:b w:val="0"/>
          <w:szCs w:val="18"/>
        </w:rPr>
        <w:t>Opex</w:t>
      </w:r>
      <w:proofErr w:type="spellEnd"/>
      <w:r w:rsidR="008B52F2" w:rsidRPr="002A33AB">
        <w:rPr>
          <w:rFonts w:cs="Arial"/>
          <w:b w:val="0"/>
          <w:szCs w:val="18"/>
        </w:rPr>
        <w:t xml:space="preserve"> or operation costs, Farmgate process, or feedstock price, conversion in the biorefinery, and finally allocation factor.</w:t>
      </w:r>
      <w:r w:rsidR="003505AD" w:rsidRPr="002A33AB">
        <w:rPr>
          <w:rFonts w:cs="Arial"/>
          <w:szCs w:val="18"/>
        </w:rPr>
        <w:t xml:space="preserve"> </w:t>
      </w:r>
    </w:p>
    <w:p w14:paraId="38C90D8D" w14:textId="77777777" w:rsidR="00AD17AF" w:rsidRPr="002A33AB" w:rsidRDefault="00AD17AF" w:rsidP="003505AD">
      <w:pPr>
        <w:pStyle w:val="CETBodytext"/>
        <w:rPr>
          <w:rFonts w:cs="Arial"/>
          <w:szCs w:val="18"/>
        </w:rPr>
      </w:pPr>
    </w:p>
    <w:p w14:paraId="69DD453A" w14:textId="35FF910C" w:rsidR="00880746" w:rsidRPr="002A33AB" w:rsidRDefault="00AD17AF" w:rsidP="00236DB2">
      <w:pPr>
        <w:pStyle w:val="CETBodytext"/>
        <w:jc w:val="left"/>
        <w:rPr>
          <w:rFonts w:cs="Arial"/>
          <w:szCs w:val="18"/>
        </w:rPr>
      </w:pPr>
      <w:r w:rsidRPr="002A33AB">
        <w:rPr>
          <w:rFonts w:cs="Arial"/>
          <w:noProof/>
          <w:szCs w:val="18"/>
          <w:lang w:val="es-CO" w:eastAsia="es-CO"/>
        </w:rPr>
        <w:drawing>
          <wp:inline distT="0" distB="0" distL="0" distR="0" wp14:anchorId="6C2AB42E" wp14:editId="43E5CD61">
            <wp:extent cx="2858770" cy="2052638"/>
            <wp:effectExtent l="0" t="0" r="3810" b="5080"/>
            <wp:docPr id="10341901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190158" name=""/>
                    <pic:cNvPicPr/>
                  </pic:nvPicPr>
                  <pic:blipFill rotWithShape="1">
                    <a:blip r:embed="rId10"/>
                    <a:srcRect t="3601" b="2280"/>
                    <a:stretch/>
                  </pic:blipFill>
                  <pic:spPr bwMode="auto">
                    <a:xfrm>
                      <a:off x="0" y="0"/>
                      <a:ext cx="2858770" cy="2052638"/>
                    </a:xfrm>
                    <a:prstGeom prst="rect">
                      <a:avLst/>
                    </a:prstGeom>
                    <a:ln>
                      <a:noFill/>
                    </a:ln>
                    <a:extLst>
                      <a:ext uri="{53640926-AAD7-44D8-BBD7-CCE9431645EC}">
                        <a14:shadowObscured xmlns:a14="http://schemas.microsoft.com/office/drawing/2010/main"/>
                      </a:ext>
                    </a:extLst>
                  </pic:spPr>
                </pic:pic>
              </a:graphicData>
            </a:graphic>
          </wp:inline>
        </w:drawing>
      </w:r>
      <w:r w:rsidRPr="002A33AB">
        <w:rPr>
          <w:rFonts w:cs="Arial"/>
          <w:noProof/>
          <w:szCs w:val="18"/>
          <w:lang w:val="es-CO" w:eastAsia="es-CO"/>
        </w:rPr>
        <w:drawing>
          <wp:inline distT="0" distB="0" distL="0" distR="0" wp14:anchorId="38968C7F" wp14:editId="0298ABB3">
            <wp:extent cx="2678430" cy="2005013"/>
            <wp:effectExtent l="0" t="0" r="7620" b="0"/>
            <wp:docPr id="1846820718"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20718" name="Imagen 1" descr="Gráfico&#10;&#10;Descripción generada automáticamente"/>
                    <pic:cNvPicPr/>
                  </pic:nvPicPr>
                  <pic:blipFill rotWithShape="1">
                    <a:blip r:embed="rId11"/>
                    <a:srcRect l="706" t="3298" r="-1" b="3470"/>
                    <a:stretch/>
                  </pic:blipFill>
                  <pic:spPr bwMode="auto">
                    <a:xfrm>
                      <a:off x="0" y="0"/>
                      <a:ext cx="2703015" cy="2023417"/>
                    </a:xfrm>
                    <a:prstGeom prst="rect">
                      <a:avLst/>
                    </a:prstGeom>
                    <a:ln>
                      <a:noFill/>
                    </a:ln>
                    <a:extLst>
                      <a:ext uri="{53640926-AAD7-44D8-BBD7-CCE9431645EC}">
                        <a14:shadowObscured xmlns:a14="http://schemas.microsoft.com/office/drawing/2010/main"/>
                      </a:ext>
                    </a:extLst>
                  </pic:spPr>
                </pic:pic>
              </a:graphicData>
            </a:graphic>
          </wp:inline>
        </w:drawing>
      </w:r>
    </w:p>
    <w:p w14:paraId="1FC376A9" w14:textId="2EAC75D2" w:rsidR="008C4E21" w:rsidRPr="002A33AB" w:rsidRDefault="008C4E21" w:rsidP="008C4E21">
      <w:pPr>
        <w:pStyle w:val="Descripcin"/>
        <w:jc w:val="left"/>
        <w:rPr>
          <w:b w:val="0"/>
          <w:i/>
          <w:color w:val="auto"/>
        </w:rPr>
      </w:pPr>
      <w:r w:rsidRPr="002A33AB">
        <w:rPr>
          <w:b w:val="0"/>
          <w:i/>
          <w:color w:val="auto"/>
        </w:rPr>
        <w:t xml:space="preserve">Figure </w:t>
      </w:r>
      <w:r w:rsidRPr="002A33AB">
        <w:rPr>
          <w:b w:val="0"/>
          <w:i/>
          <w:color w:val="auto"/>
        </w:rPr>
        <w:fldChar w:fldCharType="begin"/>
      </w:r>
      <w:r w:rsidRPr="002A33AB">
        <w:rPr>
          <w:b w:val="0"/>
          <w:i/>
          <w:color w:val="auto"/>
        </w:rPr>
        <w:instrText xml:space="preserve"> SEQ Figure \* ARABIC </w:instrText>
      </w:r>
      <w:r w:rsidRPr="002A33AB">
        <w:rPr>
          <w:b w:val="0"/>
          <w:i/>
          <w:color w:val="auto"/>
        </w:rPr>
        <w:fldChar w:fldCharType="separate"/>
      </w:r>
      <w:r w:rsidR="00AD0473">
        <w:rPr>
          <w:b w:val="0"/>
          <w:i/>
          <w:noProof/>
          <w:color w:val="auto"/>
        </w:rPr>
        <w:t>1</w:t>
      </w:r>
      <w:r w:rsidRPr="002A33AB">
        <w:rPr>
          <w:b w:val="0"/>
          <w:i/>
          <w:color w:val="auto"/>
        </w:rPr>
        <w:fldChar w:fldCharType="end"/>
      </w:r>
      <w:r w:rsidR="00B632F7" w:rsidRPr="002A33AB">
        <w:rPr>
          <w:b w:val="0"/>
          <w:i/>
          <w:color w:val="auto"/>
        </w:rPr>
        <w:t xml:space="preserve"> a)</w:t>
      </w:r>
      <w:r w:rsidRPr="002A33AB">
        <w:rPr>
          <w:b w:val="0"/>
          <w:i/>
          <w:color w:val="auto"/>
        </w:rPr>
        <w:t xml:space="preserve"> GFT</w:t>
      </w:r>
      <w:r w:rsidR="00B632F7" w:rsidRPr="002A33AB">
        <w:rPr>
          <w:rFonts w:cs="Arial"/>
          <w:b w:val="0"/>
          <w:color w:val="auto"/>
        </w:rPr>
        <w:t xml:space="preserve"> Relative Sensitivity</w:t>
      </w:r>
      <w:r w:rsidR="00B632F7" w:rsidRPr="002A33AB">
        <w:rPr>
          <w:b w:val="0"/>
          <w:i/>
          <w:color w:val="auto"/>
        </w:rPr>
        <w:t xml:space="preserve"> </w:t>
      </w:r>
      <w:proofErr w:type="gramStart"/>
      <w:r w:rsidR="00B632F7" w:rsidRPr="002A33AB">
        <w:rPr>
          <w:b w:val="0"/>
          <w:i/>
          <w:color w:val="auto"/>
        </w:rPr>
        <w:t>Analysis</w:t>
      </w:r>
      <w:r w:rsidRPr="002A33AB">
        <w:rPr>
          <w:b w:val="0"/>
          <w:i/>
          <w:color w:val="auto"/>
        </w:rPr>
        <w:t xml:space="preserve">  ATJ</w:t>
      </w:r>
      <w:proofErr w:type="gramEnd"/>
      <w:r w:rsidRPr="002A33AB">
        <w:rPr>
          <w:b w:val="0"/>
          <w:i/>
          <w:color w:val="auto"/>
        </w:rPr>
        <w:t xml:space="preserve"> </w:t>
      </w:r>
      <w:r w:rsidR="00B632F7" w:rsidRPr="002A33AB">
        <w:rPr>
          <w:b w:val="0"/>
          <w:i/>
          <w:color w:val="auto"/>
        </w:rPr>
        <w:t xml:space="preserve">  Figure </w:t>
      </w:r>
      <w:r w:rsidR="00B632F7" w:rsidRPr="002A33AB">
        <w:rPr>
          <w:b w:val="0"/>
          <w:i/>
          <w:color w:val="auto"/>
        </w:rPr>
        <w:fldChar w:fldCharType="begin"/>
      </w:r>
      <w:r w:rsidR="00B632F7" w:rsidRPr="002A33AB">
        <w:rPr>
          <w:b w:val="0"/>
          <w:i/>
          <w:color w:val="auto"/>
        </w:rPr>
        <w:instrText xml:space="preserve"> SEQ Figure \* ARABIC </w:instrText>
      </w:r>
      <w:r w:rsidR="00B632F7" w:rsidRPr="002A33AB">
        <w:rPr>
          <w:b w:val="0"/>
          <w:i/>
          <w:color w:val="auto"/>
        </w:rPr>
        <w:fldChar w:fldCharType="separate"/>
      </w:r>
      <w:r w:rsidR="00AD0473">
        <w:rPr>
          <w:b w:val="0"/>
          <w:i/>
          <w:noProof/>
          <w:color w:val="auto"/>
        </w:rPr>
        <w:t>2</w:t>
      </w:r>
      <w:r w:rsidR="00B632F7" w:rsidRPr="002A33AB">
        <w:rPr>
          <w:b w:val="0"/>
          <w:i/>
          <w:color w:val="auto"/>
        </w:rPr>
        <w:fldChar w:fldCharType="end"/>
      </w:r>
      <w:r w:rsidR="00B632F7" w:rsidRPr="002A33AB">
        <w:rPr>
          <w:b w:val="0"/>
          <w:i/>
          <w:color w:val="auto"/>
        </w:rPr>
        <w:t xml:space="preserve"> b) </w:t>
      </w:r>
      <w:r w:rsidR="00B2166F" w:rsidRPr="002A33AB">
        <w:rPr>
          <w:rFonts w:cs="Arial"/>
          <w:b w:val="0"/>
          <w:color w:val="auto"/>
        </w:rPr>
        <w:t>R</w:t>
      </w:r>
      <w:r w:rsidR="00E80159" w:rsidRPr="002A33AB">
        <w:rPr>
          <w:rFonts w:cs="Arial"/>
          <w:b w:val="0"/>
          <w:color w:val="auto"/>
        </w:rPr>
        <w:t xml:space="preserve">elative </w:t>
      </w:r>
      <w:r w:rsidR="00B2166F" w:rsidRPr="002A33AB">
        <w:rPr>
          <w:rFonts w:cs="Arial"/>
          <w:b w:val="0"/>
          <w:color w:val="auto"/>
        </w:rPr>
        <w:t>S</w:t>
      </w:r>
      <w:r w:rsidR="00E80159" w:rsidRPr="002A33AB">
        <w:rPr>
          <w:rFonts w:cs="Arial"/>
          <w:b w:val="0"/>
          <w:color w:val="auto"/>
        </w:rPr>
        <w:t>ensitivity</w:t>
      </w:r>
      <w:r w:rsidRPr="002A33AB">
        <w:rPr>
          <w:b w:val="0"/>
          <w:i/>
          <w:color w:val="auto"/>
        </w:rPr>
        <w:t xml:space="preserve"> Analysis</w:t>
      </w:r>
    </w:p>
    <w:p w14:paraId="2D432DC4" w14:textId="77777777" w:rsidR="005F23E1" w:rsidRPr="002A33AB" w:rsidRDefault="005F23E1" w:rsidP="00880746">
      <w:pPr>
        <w:ind w:left="360"/>
        <w:rPr>
          <w:rFonts w:cs="Arial"/>
          <w:szCs w:val="18"/>
        </w:rPr>
      </w:pPr>
    </w:p>
    <w:p w14:paraId="19CCA137" w14:textId="4B2C5C3B" w:rsidR="00880746" w:rsidRPr="002A33AB" w:rsidRDefault="00880746" w:rsidP="00797A41">
      <w:pPr>
        <w:rPr>
          <w:rFonts w:cs="Arial"/>
          <w:szCs w:val="18"/>
        </w:rPr>
      </w:pPr>
      <w:r w:rsidRPr="002A33AB">
        <w:rPr>
          <w:rFonts w:cs="Arial"/>
          <w:szCs w:val="18"/>
        </w:rPr>
        <w:t xml:space="preserve">The most important factor in these calculations, according to these results, is the allocation factor, which exhibits the same </w:t>
      </w:r>
      <w:r w:rsidRPr="002A33AB">
        <w:rPr>
          <w:rFonts w:cs="Arial"/>
          <w:szCs w:val="18"/>
          <w:lang w:val="en-US"/>
        </w:rPr>
        <w:t xml:space="preserve">behavior in GFT and ATJ and has the highest </w:t>
      </w:r>
      <w:r w:rsidR="00E80159" w:rsidRPr="002A33AB">
        <w:rPr>
          <w:rFonts w:cs="Arial"/>
          <w:szCs w:val="18"/>
        </w:rPr>
        <w:t xml:space="preserve">relative sensitivity </w:t>
      </w:r>
      <w:r w:rsidRPr="002A33AB">
        <w:rPr>
          <w:rFonts w:cs="Arial"/>
          <w:szCs w:val="18"/>
          <w:lang w:val="en-US"/>
        </w:rPr>
        <w:t>value</w:t>
      </w:r>
      <w:r w:rsidR="00352336" w:rsidRPr="002A33AB">
        <w:rPr>
          <w:rFonts w:cs="Arial"/>
          <w:szCs w:val="18"/>
          <w:lang w:val="en-US"/>
        </w:rPr>
        <w:t xml:space="preserve">, this value is directly influenced by prices </w:t>
      </w:r>
      <w:r w:rsidR="00894758" w:rsidRPr="002A33AB">
        <w:rPr>
          <w:rFonts w:cs="Arial"/>
          <w:szCs w:val="18"/>
          <w:lang w:val="en-US"/>
        </w:rPr>
        <w:t xml:space="preserve">these </w:t>
      </w:r>
      <w:r w:rsidR="008E71AD">
        <w:rPr>
          <w:rFonts w:cs="Arial"/>
          <w:szCs w:val="18"/>
          <w:lang w:val="en-US"/>
        </w:rPr>
        <w:t>co-products</w:t>
      </w:r>
      <w:r w:rsidR="00352336" w:rsidRPr="002A33AB">
        <w:rPr>
          <w:rFonts w:cs="Arial"/>
          <w:szCs w:val="18"/>
          <w:lang w:val="en-US"/>
        </w:rPr>
        <w:t>, like renewable diesel or naphtha,</w:t>
      </w:r>
      <w:r w:rsidR="005D03E8" w:rsidRPr="002A33AB">
        <w:rPr>
          <w:rFonts w:cs="Arial"/>
          <w:szCs w:val="18"/>
          <w:lang w:val="en-US"/>
        </w:rPr>
        <w:t xml:space="preserve"> which value in Colombia is lower than kerosene, nonetheless, a rise in this prices, or a drop in j</w:t>
      </w:r>
      <w:r w:rsidR="00C86AE9" w:rsidRPr="002A33AB">
        <w:rPr>
          <w:rFonts w:cs="Arial"/>
          <w:szCs w:val="18"/>
          <w:lang w:val="en-US"/>
        </w:rPr>
        <w:t>e</w:t>
      </w:r>
      <w:r w:rsidR="005D03E8" w:rsidRPr="002A33AB">
        <w:rPr>
          <w:rFonts w:cs="Arial"/>
          <w:szCs w:val="18"/>
          <w:lang w:val="en-US"/>
        </w:rPr>
        <w:t>t prices should decrease the allocation factor</w:t>
      </w:r>
      <w:r w:rsidRPr="002A33AB">
        <w:rPr>
          <w:rFonts w:cs="Arial"/>
          <w:szCs w:val="18"/>
          <w:lang w:val="en-US"/>
        </w:rPr>
        <w:t>. Besides this factor, others like OPEX and farmgate price show similar behavior. It is noteworthy that these factors have a small value of relative sensitivity. However, in ATJ, those values</w:t>
      </w:r>
      <w:r w:rsidRPr="002A33AB">
        <w:rPr>
          <w:rFonts w:cs="Arial"/>
          <w:szCs w:val="18"/>
        </w:rPr>
        <w:t xml:space="preserve"> are greater than in GFT, which may be attributed to the effects of Capex</w:t>
      </w:r>
      <w:r w:rsidR="00E80159" w:rsidRPr="002A33AB">
        <w:rPr>
          <w:rFonts w:cs="Arial"/>
          <w:szCs w:val="18"/>
        </w:rPr>
        <w:t xml:space="preserve"> relative sensitivity</w:t>
      </w:r>
      <w:r w:rsidRPr="002A33AB">
        <w:rPr>
          <w:rFonts w:cs="Arial"/>
          <w:szCs w:val="18"/>
        </w:rPr>
        <w:t>. In GFT, these factors are the second most important, and it is known that for this technology, the equipment requirements are higher due to security issues arising from the high temperatures in the gasification process</w:t>
      </w:r>
      <w:sdt>
        <w:sdtPr>
          <w:rPr>
            <w:rFonts w:cs="Arial"/>
            <w:color w:val="000000"/>
            <w:szCs w:val="18"/>
          </w:rPr>
          <w:tag w:val="MENDELEY_CITATION_v3_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"/>
          <w:id w:val="1441723526"/>
          <w:placeholder>
            <w:docPart w:val="DefaultPlaceholder_-1854013440"/>
          </w:placeholder>
        </w:sdtPr>
        <w:sdtContent>
          <w:r w:rsidR="003F45A0" w:rsidRPr="003F45A0">
            <w:rPr>
              <w:rFonts w:cs="Arial"/>
              <w:color w:val="000000"/>
              <w:szCs w:val="18"/>
            </w:rPr>
            <w:t>(ICAO, 2023)</w:t>
          </w:r>
        </w:sdtContent>
      </w:sdt>
      <w:r w:rsidRPr="002A33AB">
        <w:rPr>
          <w:rFonts w:cs="Arial"/>
          <w:szCs w:val="18"/>
        </w:rPr>
        <w:t>. Therefore, if this factor constitutes one of the main costs in MFSP</w:t>
      </w:r>
      <w:r w:rsidR="007E0BC1" w:rsidRPr="002A33AB">
        <w:rPr>
          <w:rFonts w:cs="Arial"/>
          <w:szCs w:val="18"/>
        </w:rPr>
        <w:t>, about 83% for GFT and 68% for ATJ</w:t>
      </w:r>
      <w:r w:rsidRPr="002A33AB">
        <w:rPr>
          <w:rFonts w:cs="Arial"/>
          <w:szCs w:val="18"/>
        </w:rPr>
        <w:t>, a change in this factor would result in a more significant impact in GFT</w:t>
      </w:r>
      <w:sdt>
        <w:sdtPr>
          <w:rPr>
            <w:rFonts w:cs="Arial"/>
            <w:color w:val="000000"/>
            <w:szCs w:val="18"/>
          </w:rPr>
          <w:tag w:val="MENDELEY_CITATION_v3_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"/>
          <w:id w:val="448987505"/>
          <w:placeholder>
            <w:docPart w:val="DefaultPlaceholder_-1854013440"/>
          </w:placeholder>
        </w:sdtPr>
        <w:sdtContent>
          <w:r w:rsidR="003F45A0" w:rsidRPr="003F45A0">
            <w:rPr>
              <w:rFonts w:cs="Arial"/>
              <w:color w:val="000000"/>
              <w:szCs w:val="18"/>
            </w:rPr>
            <w:t>(de Klerk, 2016)</w:t>
          </w:r>
        </w:sdtContent>
      </w:sdt>
      <w:r w:rsidRPr="002A33AB">
        <w:rPr>
          <w:rFonts w:cs="Arial"/>
          <w:szCs w:val="18"/>
        </w:rPr>
        <w:t>.</w:t>
      </w:r>
      <w:r w:rsidR="00797A41" w:rsidRPr="002A33AB">
        <w:rPr>
          <w:rFonts w:cs="Arial"/>
          <w:szCs w:val="18"/>
        </w:rPr>
        <w:t xml:space="preserve"> </w:t>
      </w:r>
      <w:r w:rsidRPr="002A33AB">
        <w:rPr>
          <w:rFonts w:cs="Arial"/>
          <w:szCs w:val="18"/>
        </w:rPr>
        <w:t>The last factor is conversion, which proves to be an important factor, especially if it decreases. If such an alteration occurs, the impact would be more substantial than if it increases. Therefore, careful control over this factor should be emphasized.</w:t>
      </w:r>
    </w:p>
    <w:p w14:paraId="2A084BFB" w14:textId="365362A0" w:rsidR="00886C19" w:rsidRPr="002A33AB" w:rsidRDefault="003B76A6" w:rsidP="00886C19">
      <w:pPr>
        <w:pStyle w:val="CETheadingx"/>
        <w:jc w:val="both"/>
        <w:rPr>
          <w:rFonts w:cs="Arial"/>
          <w:szCs w:val="18"/>
        </w:rPr>
      </w:pPr>
      <w:r w:rsidRPr="002A33AB">
        <w:t>Sensitivity</w:t>
      </w:r>
      <w:r w:rsidR="00521C0B" w:rsidRPr="002A33AB">
        <w:t xml:space="preserve">: </w:t>
      </w:r>
      <w:r w:rsidR="0065704B" w:rsidRPr="0065704B">
        <w:rPr>
          <w:b w:val="0"/>
          <w:bCs/>
        </w:rPr>
        <w:t>In Figures 2a and 2b, the depiction of various factors is presented. Beginning with the farmgate price, it demonstrates limited variability, thereby indicating its status as the least sensitive factor. However, it is crucial to acknowledge that despite its limited variability, significant changes could potentially impact the overall optimization of this calculation</w:t>
      </w:r>
      <w:sdt>
        <w:sdtPr>
          <w:rPr>
            <w:rFonts w:cs="Arial"/>
            <w:b w:val="0"/>
            <w:color w:val="000000"/>
            <w:szCs w:val="18"/>
          </w:rPr>
          <w:tag w:val="MENDELEY_CITATION_v3_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"/>
          <w:id w:val="1444891682"/>
          <w:placeholder>
            <w:docPart w:val="DefaultPlaceholder_-1854013440"/>
          </w:placeholder>
        </w:sdtPr>
        <w:sdtContent>
          <w:r w:rsidR="0065704B">
            <w:rPr>
              <w:rFonts w:cs="Arial"/>
              <w:b w:val="0"/>
              <w:color w:val="000000"/>
              <w:szCs w:val="18"/>
            </w:rPr>
            <w:t xml:space="preserve"> </w:t>
          </w:r>
          <w:r w:rsidR="003F45A0" w:rsidRPr="003F45A0">
            <w:rPr>
              <w:rFonts w:cs="Arial"/>
              <w:b w:val="0"/>
              <w:color w:val="000000"/>
              <w:szCs w:val="18"/>
            </w:rPr>
            <w:t>(Marvin et al., 2013)</w:t>
          </w:r>
        </w:sdtContent>
      </w:sdt>
      <w:r w:rsidR="00797A41" w:rsidRPr="002A33AB">
        <w:rPr>
          <w:rFonts w:cs="Arial"/>
          <w:b w:val="0"/>
          <w:szCs w:val="18"/>
        </w:rPr>
        <w:t xml:space="preserve">. </w:t>
      </w:r>
      <w:r w:rsidR="0065704B" w:rsidRPr="0065704B">
        <w:rPr>
          <w:rFonts w:cs="Arial"/>
          <w:b w:val="0"/>
          <w:szCs w:val="18"/>
        </w:rPr>
        <w:t>The OPEX cost exhibits a similar pattern to the farmgate price, displaying comparable behavior and leading to analogous conclusions with an almost identical sensitivity factor</w:t>
      </w:r>
      <w:sdt>
        <w:sdtPr>
          <w:rPr>
            <w:rFonts w:cs="Arial"/>
            <w:b w:val="0"/>
            <w:color w:val="000000"/>
            <w:szCs w:val="18"/>
          </w:rPr>
          <w:tag w:val="MENDELEY_CITATION_v3_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"/>
          <w:id w:val="711002746"/>
          <w:placeholder>
            <w:docPart w:val="DefaultPlaceholder_-1854013440"/>
          </w:placeholder>
        </w:sdtPr>
        <w:sdtContent>
          <w:r w:rsidR="0065704B">
            <w:rPr>
              <w:rFonts w:cs="Arial"/>
              <w:b w:val="0"/>
              <w:color w:val="000000"/>
              <w:szCs w:val="18"/>
            </w:rPr>
            <w:t xml:space="preserve"> </w:t>
          </w:r>
          <w:r w:rsidR="003F45A0" w:rsidRPr="003F45A0">
            <w:rPr>
              <w:rFonts w:cs="Arial"/>
              <w:b w:val="0"/>
              <w:color w:val="000000"/>
              <w:szCs w:val="18"/>
            </w:rPr>
            <w:t>(Yue et al., 2014)</w:t>
          </w:r>
        </w:sdtContent>
      </w:sdt>
      <w:r w:rsidR="0065704B">
        <w:rPr>
          <w:rFonts w:cs="Arial"/>
          <w:b w:val="0"/>
          <w:color w:val="000000"/>
          <w:szCs w:val="18"/>
        </w:rPr>
        <w:t>.</w:t>
      </w:r>
      <w:r w:rsidR="00D77936" w:rsidRPr="002A33AB">
        <w:rPr>
          <w:rFonts w:cs="Arial"/>
          <w:b w:val="0"/>
          <w:color w:val="000000"/>
          <w:szCs w:val="18"/>
        </w:rPr>
        <w:t xml:space="preserve"> </w:t>
      </w:r>
      <w:r w:rsidR="0065704B" w:rsidRPr="0065704B">
        <w:rPr>
          <w:rFonts w:cs="Arial"/>
          <w:b w:val="0"/>
          <w:bCs/>
          <w:szCs w:val="18"/>
        </w:rPr>
        <w:t xml:space="preserve">Specifically, for GFT, the farmgate price and OPEX are observed to be 0.00138 USD/L and 0.00131 USD/L respectively for every USD/ton, while for ATJ, these values are 0.00486 USD/L and 0.00478 </w:t>
      </w:r>
      <w:r w:rsidR="0065704B" w:rsidRPr="0065704B">
        <w:rPr>
          <w:rFonts w:cs="Arial"/>
          <w:b w:val="0"/>
          <w:bCs/>
          <w:szCs w:val="18"/>
        </w:rPr>
        <w:lastRenderedPageBreak/>
        <w:t>USD/L respectively.</w:t>
      </w:r>
      <w:r w:rsidR="0065704B">
        <w:rPr>
          <w:rFonts w:cs="Arial"/>
          <w:b w:val="0"/>
          <w:bCs/>
          <w:szCs w:val="18"/>
        </w:rPr>
        <w:t xml:space="preserve"> </w:t>
      </w:r>
      <w:r w:rsidR="0065704B" w:rsidRPr="0065704B">
        <w:rPr>
          <w:rFonts w:cs="Arial"/>
          <w:b w:val="0"/>
          <w:szCs w:val="18"/>
        </w:rPr>
        <w:t xml:space="preserve">Regarding the conversion factor, its behavior deviates from linearity. Consequently, an increase in this factor would not yield the same impact as a decrease. For instance, a 1% increase in ATJ conversion leads to a decrease of 0.061 USD/L, whereas a similar decrease could result in a rise of 0.10 USD/L. Similarly, for GFT, a 1% increase in conversion corresponds to a 0.01 USD/L decrease, while a decrease leads to a 0.037 USD/L increase. Thus, the conversion factor plays a pivotal role in this analysis </w:t>
      </w:r>
      <w:sdt>
        <w:sdtPr>
          <w:rPr>
            <w:rFonts w:cs="Arial"/>
            <w:b w:val="0"/>
            <w:color w:val="000000"/>
            <w:szCs w:val="18"/>
          </w:rPr>
          <w:tag w:val="MENDELEY_CITATION_v3_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"/>
          <w:id w:val="629606526"/>
          <w:placeholder>
            <w:docPart w:val="DefaultPlaceholder_-1854013440"/>
          </w:placeholder>
        </w:sdtPr>
        <w:sdtContent>
          <w:r w:rsidR="003F45A0" w:rsidRPr="003F45A0">
            <w:rPr>
              <w:rFonts w:cs="Arial"/>
              <w:b w:val="0"/>
              <w:color w:val="000000"/>
              <w:szCs w:val="18"/>
            </w:rPr>
            <w:t>(Huang et al., 2019)</w:t>
          </w:r>
        </w:sdtContent>
      </w:sdt>
      <w:r w:rsidR="00886C19" w:rsidRPr="002A33AB">
        <w:rPr>
          <w:rFonts w:cs="Arial"/>
          <w:b w:val="0"/>
          <w:szCs w:val="18"/>
        </w:rPr>
        <w:t>.</w:t>
      </w:r>
    </w:p>
    <w:p w14:paraId="5758CBC6" w14:textId="77777777" w:rsidR="00CC5E08" w:rsidRPr="002A33AB" w:rsidRDefault="00CC5E08" w:rsidP="00AD17AF">
      <w:pPr>
        <w:pStyle w:val="CETBodytext"/>
        <w:rPr>
          <w:lang w:val="en-GB"/>
        </w:rPr>
      </w:pPr>
    </w:p>
    <w:p w14:paraId="0AB623BF" w14:textId="72844505" w:rsidR="00AD17AF" w:rsidRPr="002A33AB" w:rsidRDefault="00CC5E08" w:rsidP="00AD17AF">
      <w:pPr>
        <w:pStyle w:val="CETBodytext"/>
      </w:pPr>
      <w:r w:rsidRPr="002A33AB">
        <w:rPr>
          <w:noProof/>
          <w:lang w:val="es-CO" w:eastAsia="es-CO"/>
        </w:rPr>
        <w:drawing>
          <wp:inline distT="0" distB="0" distL="0" distR="0" wp14:anchorId="7C32F8D6" wp14:editId="799968B2">
            <wp:extent cx="5812879" cy="1885950"/>
            <wp:effectExtent l="0" t="0" r="0" b="0"/>
            <wp:docPr id="7066156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615683" name=""/>
                    <pic:cNvPicPr/>
                  </pic:nvPicPr>
                  <pic:blipFill rotWithShape="1">
                    <a:blip r:embed="rId12"/>
                    <a:srcRect r="697"/>
                    <a:stretch/>
                  </pic:blipFill>
                  <pic:spPr bwMode="auto">
                    <a:xfrm>
                      <a:off x="0" y="0"/>
                      <a:ext cx="5814497" cy="1886475"/>
                    </a:xfrm>
                    <a:prstGeom prst="rect">
                      <a:avLst/>
                    </a:prstGeom>
                    <a:ln>
                      <a:noFill/>
                    </a:ln>
                    <a:extLst>
                      <a:ext uri="{53640926-AAD7-44D8-BBD7-CCE9431645EC}">
                        <a14:shadowObscured xmlns:a14="http://schemas.microsoft.com/office/drawing/2010/main"/>
                      </a:ext>
                    </a:extLst>
                  </pic:spPr>
                </pic:pic>
              </a:graphicData>
            </a:graphic>
          </wp:inline>
        </w:drawing>
      </w:r>
    </w:p>
    <w:p w14:paraId="5DFF9414" w14:textId="1F0489AD" w:rsidR="008C4E21" w:rsidRPr="002A33AB" w:rsidRDefault="008C4E21" w:rsidP="008C4E21">
      <w:pPr>
        <w:pStyle w:val="Descripcin"/>
        <w:keepNext/>
        <w:jc w:val="left"/>
        <w:rPr>
          <w:b w:val="0"/>
          <w:i/>
          <w:color w:val="auto"/>
        </w:rPr>
      </w:pPr>
      <w:r w:rsidRPr="002A33AB">
        <w:rPr>
          <w:b w:val="0"/>
          <w:i/>
          <w:color w:val="auto"/>
        </w:rPr>
        <w:t xml:space="preserve">Figure </w:t>
      </w:r>
      <w:r w:rsidR="00864C1C" w:rsidRPr="002A33AB">
        <w:rPr>
          <w:b w:val="0"/>
          <w:i/>
          <w:color w:val="auto"/>
        </w:rPr>
        <w:t>2</w:t>
      </w:r>
      <w:r w:rsidR="00860DB0" w:rsidRPr="002A33AB">
        <w:rPr>
          <w:b w:val="0"/>
          <w:i/>
          <w:color w:val="auto"/>
        </w:rPr>
        <w:t xml:space="preserve"> a) </w:t>
      </w:r>
      <w:r w:rsidR="00236DB2" w:rsidRPr="002A33AB">
        <w:rPr>
          <w:b w:val="0"/>
          <w:i/>
          <w:color w:val="auto"/>
        </w:rPr>
        <w:t>ATJ</w:t>
      </w:r>
      <w:r w:rsidR="00860DB0" w:rsidRPr="002A33AB">
        <w:rPr>
          <w:b w:val="0"/>
          <w:i/>
          <w:color w:val="auto"/>
        </w:rPr>
        <w:t xml:space="preserve"> Sensitivity</w:t>
      </w:r>
      <w:r w:rsidRPr="002A33AB">
        <w:rPr>
          <w:b w:val="0"/>
          <w:i/>
          <w:color w:val="auto"/>
        </w:rPr>
        <w:t xml:space="preserve"> </w:t>
      </w:r>
      <w:r w:rsidR="00860DB0" w:rsidRPr="002A33AB">
        <w:rPr>
          <w:b w:val="0"/>
          <w:i/>
          <w:color w:val="auto"/>
        </w:rPr>
        <w:t xml:space="preserve">                                                                       Figure </w:t>
      </w:r>
      <w:r w:rsidR="00EF23D4" w:rsidRPr="002A33AB">
        <w:rPr>
          <w:b w:val="0"/>
          <w:i/>
          <w:color w:val="auto"/>
        </w:rPr>
        <w:t>2</w:t>
      </w:r>
      <w:r w:rsidR="00860DB0" w:rsidRPr="002A33AB">
        <w:rPr>
          <w:b w:val="0"/>
          <w:i/>
          <w:color w:val="auto"/>
        </w:rPr>
        <w:t xml:space="preserve"> b) </w:t>
      </w:r>
      <w:r w:rsidR="00236DB2" w:rsidRPr="002A33AB">
        <w:rPr>
          <w:b w:val="0"/>
          <w:i/>
          <w:color w:val="auto"/>
        </w:rPr>
        <w:t>GFT</w:t>
      </w:r>
      <w:r w:rsidRPr="002A33AB">
        <w:rPr>
          <w:b w:val="0"/>
          <w:i/>
          <w:color w:val="auto"/>
        </w:rPr>
        <w:t xml:space="preserve"> Sensitivity</w:t>
      </w:r>
    </w:p>
    <w:p w14:paraId="55A04C06" w14:textId="77777777" w:rsidR="00BC5C82" w:rsidRPr="002A33AB" w:rsidRDefault="00BC5C82" w:rsidP="003B76A6">
      <w:pPr>
        <w:pStyle w:val="CETBodytext"/>
        <w:rPr>
          <w:b/>
        </w:rPr>
      </w:pPr>
    </w:p>
    <w:p w14:paraId="080DA624" w14:textId="26F430FB" w:rsidR="00007D20" w:rsidRDefault="00FA15B8" w:rsidP="00EF23D4">
      <w:pPr>
        <w:rPr>
          <w:rFonts w:cs="Arial"/>
          <w:szCs w:val="18"/>
        </w:rPr>
      </w:pPr>
      <w:r w:rsidRPr="002A33AB">
        <w:rPr>
          <w:rFonts w:cs="Arial"/>
          <w:szCs w:val="18"/>
        </w:rPr>
        <w:t xml:space="preserve">Regarding the Capex factor, it emerges as a highly significant factor according to the results. It can be observed that for GFT, changes in these high costs are not as impactful as the changes in ATJ. This is attributed to the analysis presented in the </w:t>
      </w:r>
      <w:r w:rsidR="008C4E21" w:rsidRPr="002A33AB">
        <w:rPr>
          <w:rFonts w:cs="Arial"/>
          <w:szCs w:val="18"/>
        </w:rPr>
        <w:t>relative sensitivity</w:t>
      </w:r>
      <w:r w:rsidRPr="002A33AB">
        <w:rPr>
          <w:rFonts w:cs="Arial"/>
          <w:szCs w:val="18"/>
        </w:rPr>
        <w:t xml:space="preserve"> analysis</w:t>
      </w:r>
      <w:r w:rsidR="00E521BD" w:rsidRPr="002A33AB">
        <w:rPr>
          <w:rFonts w:cs="Arial"/>
          <w:szCs w:val="18"/>
        </w:rPr>
        <w:t>, since, for GFT 0.00271 USD/L, and 0.00234 USD/L in ATJ for every million dollars of change in capex.</w:t>
      </w:r>
    </w:p>
    <w:p w14:paraId="5B004018" w14:textId="77777777" w:rsidR="00A238BC" w:rsidRPr="002A33AB" w:rsidRDefault="00A238BC" w:rsidP="00A238BC">
      <w:pPr>
        <w:rPr>
          <w:rFonts w:cs="Arial"/>
          <w:szCs w:val="18"/>
        </w:rPr>
      </w:pPr>
      <w:r w:rsidRPr="002A33AB">
        <w:rPr>
          <w:rFonts w:cs="Arial"/>
          <w:noProof/>
          <w:szCs w:val="18"/>
          <w:lang w:val="es-CO" w:eastAsia="es-CO"/>
        </w:rPr>
        <w:drawing>
          <wp:inline distT="0" distB="0" distL="0" distR="0" wp14:anchorId="43ECE473" wp14:editId="417AAAE6">
            <wp:extent cx="3272770" cy="1727823"/>
            <wp:effectExtent l="0" t="0" r="4445" b="6350"/>
            <wp:docPr id="209038488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384882" name=""/>
                    <pic:cNvPicPr/>
                  </pic:nvPicPr>
                  <pic:blipFill>
                    <a:blip r:embed="rId13"/>
                    <a:stretch>
                      <a:fillRect/>
                    </a:stretch>
                  </pic:blipFill>
                  <pic:spPr>
                    <a:xfrm>
                      <a:off x="0" y="0"/>
                      <a:ext cx="3382008" cy="1785494"/>
                    </a:xfrm>
                    <a:prstGeom prst="rect">
                      <a:avLst/>
                    </a:prstGeom>
                  </pic:spPr>
                </pic:pic>
              </a:graphicData>
            </a:graphic>
          </wp:inline>
        </w:drawing>
      </w:r>
    </w:p>
    <w:p w14:paraId="33A7B58E" w14:textId="77777777" w:rsidR="00A238BC" w:rsidRDefault="00A238BC" w:rsidP="00A238BC">
      <w:pPr>
        <w:pStyle w:val="Descripcin"/>
        <w:jc w:val="left"/>
        <w:rPr>
          <w:b w:val="0"/>
          <w:i/>
          <w:color w:val="auto"/>
        </w:rPr>
      </w:pPr>
      <w:r w:rsidRPr="002A33AB">
        <w:rPr>
          <w:b w:val="0"/>
          <w:i/>
          <w:color w:val="auto"/>
        </w:rPr>
        <w:t>Figure 3: Transport Sensitivity</w:t>
      </w:r>
    </w:p>
    <w:p w14:paraId="766D526E" w14:textId="77777777" w:rsidR="00A238BC" w:rsidRPr="002A33AB" w:rsidRDefault="00A238BC" w:rsidP="00EF23D4">
      <w:pPr>
        <w:rPr>
          <w:rFonts w:cs="Arial"/>
          <w:szCs w:val="18"/>
        </w:rPr>
      </w:pPr>
    </w:p>
    <w:p w14:paraId="5EBCAF48" w14:textId="3EDACB04" w:rsidR="00FA15B8" w:rsidRPr="002A33AB" w:rsidRDefault="000B67E7" w:rsidP="00FA15B8">
      <w:pPr>
        <w:rPr>
          <w:rFonts w:cs="Arial"/>
          <w:szCs w:val="18"/>
        </w:rPr>
      </w:pPr>
      <w:r w:rsidRPr="002A33AB">
        <w:rPr>
          <w:rFonts w:cs="Arial"/>
          <w:szCs w:val="18"/>
        </w:rPr>
        <w:t>For transport costs shown in</w:t>
      </w:r>
      <w:r w:rsidR="00EF23D4" w:rsidRPr="002A33AB">
        <w:rPr>
          <w:rFonts w:cs="Arial"/>
          <w:szCs w:val="18"/>
        </w:rPr>
        <w:t xml:space="preserve"> the Figure 3, t</w:t>
      </w:r>
      <w:r w:rsidR="00125664" w:rsidRPr="002A33AB">
        <w:rPr>
          <w:rFonts w:cs="Arial"/>
          <w:szCs w:val="18"/>
        </w:rPr>
        <w:t>hree phases of transport were taken into consideration, the first is the</w:t>
      </w:r>
      <w:r w:rsidR="00555185" w:rsidRPr="002A33AB">
        <w:rPr>
          <w:rFonts w:cs="Arial"/>
          <w:szCs w:val="18"/>
        </w:rPr>
        <w:t xml:space="preserve"> transport from production regions of the feedstock to de CSP, the second is the transport from CSP to Biorefinery and the third is from biorefinery to airport</w:t>
      </w:r>
      <w:r w:rsidR="004D76FF">
        <w:rPr>
          <w:rFonts w:cs="Arial"/>
          <w:szCs w:val="18"/>
        </w:rPr>
        <w:t xml:space="preserve">, also, </w:t>
      </w:r>
      <w:r w:rsidR="00CA539B">
        <w:rPr>
          <w:rFonts w:cs="Arial"/>
          <w:szCs w:val="18"/>
        </w:rPr>
        <w:t>‘</w:t>
      </w:r>
      <w:r w:rsidR="004D76FF">
        <w:rPr>
          <w:rFonts w:cs="Arial"/>
          <w:szCs w:val="18"/>
        </w:rPr>
        <w:t>variable</w:t>
      </w:r>
      <w:r w:rsidR="00CA539B">
        <w:rPr>
          <w:rFonts w:cs="Arial"/>
          <w:szCs w:val="18"/>
        </w:rPr>
        <w:t>’</w:t>
      </w:r>
      <w:r w:rsidR="004D76FF">
        <w:rPr>
          <w:rFonts w:cs="Arial"/>
          <w:szCs w:val="18"/>
        </w:rPr>
        <w:t xml:space="preserve"> factor</w:t>
      </w:r>
      <w:r w:rsidR="00CA539B">
        <w:rPr>
          <w:rFonts w:cs="Arial"/>
          <w:szCs w:val="18"/>
        </w:rPr>
        <w:t>s</w:t>
      </w:r>
      <w:r w:rsidR="004D76FF">
        <w:rPr>
          <w:rFonts w:cs="Arial"/>
          <w:szCs w:val="18"/>
        </w:rPr>
        <w:t xml:space="preserve"> </w:t>
      </w:r>
      <w:r w:rsidR="00CA539B">
        <w:rPr>
          <w:rFonts w:cs="Arial"/>
          <w:szCs w:val="18"/>
        </w:rPr>
        <w:t>are</w:t>
      </w:r>
      <w:r w:rsidR="004D76FF">
        <w:rPr>
          <w:rFonts w:cs="Arial"/>
          <w:szCs w:val="18"/>
        </w:rPr>
        <w:t xml:space="preserve"> </w:t>
      </w:r>
      <w:r w:rsidR="00CA539B">
        <w:rPr>
          <w:rFonts w:cs="Arial"/>
          <w:szCs w:val="18"/>
        </w:rPr>
        <w:t>the ones that depends on the travel distance, and the fixed ones do not depend on it</w:t>
      </w:r>
      <w:r w:rsidR="00555185" w:rsidRPr="002A33AB">
        <w:rPr>
          <w:rFonts w:cs="Arial"/>
          <w:szCs w:val="18"/>
        </w:rPr>
        <w:t>.</w:t>
      </w:r>
      <w:r w:rsidR="00125664" w:rsidRPr="002A33AB">
        <w:rPr>
          <w:rFonts w:cs="Arial"/>
          <w:szCs w:val="18"/>
        </w:rPr>
        <w:t xml:space="preserve"> </w:t>
      </w:r>
      <w:r w:rsidR="00A238BC">
        <w:rPr>
          <w:rFonts w:cs="Arial"/>
          <w:szCs w:val="18"/>
        </w:rPr>
        <w:t xml:space="preserve">Indeed, variable factors seem to have more impact on the final price, it is due to its nature, an increase in a variable factor will be multiplied to every kilometre of travel, so an increase in this factor equals to an increase in distance. </w:t>
      </w:r>
      <w:r w:rsidR="00007D20" w:rsidRPr="002A33AB">
        <w:rPr>
          <w:rFonts w:cs="Arial"/>
          <w:szCs w:val="18"/>
        </w:rPr>
        <w:t>The transport sensitivity indicates that the changes of greatest significance need to be considered, especially in the first phase of the value chain. Similarly, the third phase appears to be less important. This is attributed to the density of the material, which affects the mass capacity, particularly in the case of lignocellulosic material. This implies that the truck's capacity is reduced, resulting in the same costs for less capacity. Furthermore, it underscores the importance of having different regions of production located near the Centralized Storage Processing (CSP), as the distances are additive for every region of production.</w:t>
      </w:r>
      <w:r w:rsidR="00DE18F2" w:rsidRPr="002A33AB">
        <w:rPr>
          <w:rFonts w:cs="Arial"/>
          <w:szCs w:val="18"/>
        </w:rPr>
        <w:t xml:space="preserve"> </w:t>
      </w:r>
      <w:r w:rsidR="00FA15B8" w:rsidRPr="002A33AB">
        <w:rPr>
          <w:rFonts w:cs="Arial"/>
          <w:szCs w:val="18"/>
        </w:rPr>
        <w:t xml:space="preserve">It is evident from the analysis that the first phase could be optimized, particularly in terms of variable costs. If these costs could be decreased, it would lead to a potential benefit in terms of reducing the MFSP. </w:t>
      </w:r>
    </w:p>
    <w:p w14:paraId="78138C7B" w14:textId="03DA83A9" w:rsidR="00EF23D4" w:rsidRPr="00E015EC" w:rsidRDefault="00EF23D4" w:rsidP="00EF23D4">
      <w:pPr>
        <w:rPr>
          <w:rFonts w:cs="Arial"/>
          <w:szCs w:val="18"/>
        </w:rPr>
      </w:pPr>
      <w:r w:rsidRPr="00E015EC">
        <w:rPr>
          <w:rFonts w:cs="Arial"/>
          <w:szCs w:val="18"/>
        </w:rPr>
        <w:t>In the Figure 4, the</w:t>
      </w:r>
      <w:r w:rsidR="000B67E7" w:rsidRPr="00E015EC">
        <w:rPr>
          <w:rFonts w:cs="Arial"/>
          <w:szCs w:val="18"/>
        </w:rPr>
        <w:t xml:space="preserve"> </w:t>
      </w:r>
      <w:r w:rsidRPr="00E015EC">
        <w:rPr>
          <w:rFonts w:cs="Arial"/>
          <w:szCs w:val="18"/>
        </w:rPr>
        <w:t>sensitivity analysis reveals that the most sensitive factor is emissions in the biorefinery, which is intuitive given its status as the primary input requirement, it could reach 0.049 gCO2eq/MJ of change with every gCO2eq/ton of feedstock of emission that is actually the lowest, In the other hand, for transport in phase three the sensibility is about 5.48 gCO2/MJ for every gCO2/</w:t>
      </w:r>
      <w:proofErr w:type="spellStart"/>
      <w:r w:rsidRPr="00E015EC">
        <w:rPr>
          <w:rFonts w:cs="Arial"/>
          <w:szCs w:val="18"/>
        </w:rPr>
        <w:t>tonkm</w:t>
      </w:r>
      <w:proofErr w:type="spellEnd"/>
      <w:r w:rsidRPr="00E015EC">
        <w:rPr>
          <w:rFonts w:cs="Arial"/>
          <w:szCs w:val="18"/>
        </w:rPr>
        <w:t xml:space="preserve"> in change of the factor</w:t>
      </w:r>
      <w:r w:rsidR="00B548AC" w:rsidRPr="00E015EC">
        <w:rPr>
          <w:rFonts w:cs="Arial"/>
          <w:szCs w:val="18"/>
        </w:rPr>
        <w:t xml:space="preserve">, </w:t>
      </w:r>
      <w:r w:rsidRPr="00E015EC">
        <w:rPr>
          <w:rFonts w:cs="Arial"/>
          <w:szCs w:val="18"/>
        </w:rPr>
        <w:t>although, this factor is higher , a change in the factor of transport are more difficult to happen</w:t>
      </w:r>
      <w:r w:rsidR="00B548AC" w:rsidRPr="00E015EC">
        <w:rPr>
          <w:rFonts w:cs="Arial"/>
          <w:szCs w:val="18"/>
        </w:rPr>
        <w:t xml:space="preserve">, not only in emission but also in </w:t>
      </w:r>
      <w:r w:rsidR="00B548AC" w:rsidRPr="00E015EC">
        <w:rPr>
          <w:rFonts w:cs="Arial"/>
          <w:szCs w:val="18"/>
        </w:rPr>
        <w:lastRenderedPageBreak/>
        <w:t>costs</w:t>
      </w:r>
      <w:r w:rsidRPr="00E015EC">
        <w:rPr>
          <w:rFonts w:cs="Arial"/>
          <w:szCs w:val="18"/>
        </w:rPr>
        <w:t xml:space="preserve">, therefore the result show that for different real values found in the bibliography, the biorefinery is the one with higher impact.  </w:t>
      </w:r>
    </w:p>
    <w:p w14:paraId="5320F2FE" w14:textId="6807BFA6" w:rsidR="004D4CF4" w:rsidRPr="002A33AB" w:rsidRDefault="00236DB2" w:rsidP="008C4E21">
      <w:pPr>
        <w:pStyle w:val="Descripcin"/>
        <w:keepNext/>
        <w:jc w:val="left"/>
        <w:rPr>
          <w:b w:val="0"/>
          <w:i/>
          <w:color w:val="auto"/>
        </w:rPr>
      </w:pPr>
      <w:r w:rsidRPr="002A33AB">
        <w:rPr>
          <w:b w:val="0"/>
          <w:i/>
          <w:noProof/>
          <w:color w:val="auto"/>
          <w:lang w:val="es-CO" w:eastAsia="es-CO"/>
        </w:rPr>
        <w:drawing>
          <wp:inline distT="0" distB="0" distL="0" distR="0" wp14:anchorId="0C5033B3" wp14:editId="6F1B72C3">
            <wp:extent cx="3082659" cy="1585356"/>
            <wp:effectExtent l="0" t="0" r="3810" b="0"/>
            <wp:docPr id="1814869703" name="Imagen 1" descr="Gráf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869703" name="Imagen 1" descr="Gráfico&#10;&#10;Descripción generada automáticamente"/>
                    <pic:cNvPicPr/>
                  </pic:nvPicPr>
                  <pic:blipFill>
                    <a:blip r:embed="rId14"/>
                    <a:stretch>
                      <a:fillRect/>
                    </a:stretch>
                  </pic:blipFill>
                  <pic:spPr>
                    <a:xfrm>
                      <a:off x="0" y="0"/>
                      <a:ext cx="3111602" cy="1600241"/>
                    </a:xfrm>
                    <a:prstGeom prst="rect">
                      <a:avLst/>
                    </a:prstGeom>
                  </pic:spPr>
                </pic:pic>
              </a:graphicData>
            </a:graphic>
          </wp:inline>
        </w:drawing>
      </w:r>
    </w:p>
    <w:p w14:paraId="728B6A87" w14:textId="1997E000" w:rsidR="008C4E21" w:rsidRPr="002A33AB" w:rsidRDefault="008C4E21" w:rsidP="008C4E21">
      <w:pPr>
        <w:pStyle w:val="Descripcin"/>
        <w:keepNext/>
        <w:jc w:val="left"/>
        <w:rPr>
          <w:b w:val="0"/>
          <w:i/>
          <w:color w:val="auto"/>
        </w:rPr>
      </w:pPr>
      <w:r w:rsidRPr="002A33AB">
        <w:rPr>
          <w:b w:val="0"/>
          <w:i/>
          <w:color w:val="auto"/>
        </w:rPr>
        <w:t xml:space="preserve">Figure </w:t>
      </w:r>
      <w:r w:rsidR="00864C1C" w:rsidRPr="002A33AB">
        <w:rPr>
          <w:b w:val="0"/>
          <w:i/>
          <w:color w:val="auto"/>
        </w:rPr>
        <w:t>4</w:t>
      </w:r>
      <w:r w:rsidRPr="002A33AB">
        <w:rPr>
          <w:b w:val="0"/>
          <w:i/>
          <w:color w:val="auto"/>
        </w:rPr>
        <w:t xml:space="preserve"> Environmental Sensitivity</w:t>
      </w:r>
    </w:p>
    <w:p w14:paraId="0F391593" w14:textId="77777777" w:rsidR="00B548AC" w:rsidRPr="002A33AB" w:rsidRDefault="00B548AC" w:rsidP="00B548AC"/>
    <w:p w14:paraId="3BFC58F1" w14:textId="5AECF8E8" w:rsidR="00B548AC" w:rsidRPr="002A33AB" w:rsidRDefault="00B548AC" w:rsidP="00B548AC">
      <w:r w:rsidRPr="002A33AB">
        <w:rPr>
          <w:rFonts w:cs="Arial"/>
          <w:szCs w:val="18"/>
        </w:rPr>
        <w:t xml:space="preserve">An in-depth analysis could be conducted to explore the variables that contribute to the prominence of this factor. Given the complexity and multitude of factors involved, even with the approximations made for this research, a detailed investigation may reveal nuanced interactions.   </w:t>
      </w:r>
    </w:p>
    <w:p w14:paraId="5466C93B" w14:textId="77777777" w:rsidR="002D4F99" w:rsidRPr="002A33AB" w:rsidRDefault="002D4F99" w:rsidP="00236DB2">
      <w:pPr>
        <w:rPr>
          <w:rFonts w:cs="Arial"/>
          <w:szCs w:val="18"/>
        </w:rPr>
      </w:pPr>
    </w:p>
    <w:p w14:paraId="687F0268" w14:textId="77777777" w:rsidR="00FA15B8" w:rsidRPr="002A33AB" w:rsidRDefault="00FA15B8" w:rsidP="00600535">
      <w:pPr>
        <w:pStyle w:val="CETBodytext"/>
        <w:rPr>
          <w:lang w:val="en-GB"/>
        </w:rPr>
      </w:pPr>
    </w:p>
    <w:p w14:paraId="01CD856C" w14:textId="77777777" w:rsidR="006570EC" w:rsidRPr="002A33AB" w:rsidRDefault="0091749E" w:rsidP="006570EC">
      <w:pPr>
        <w:pStyle w:val="CETBodytext"/>
        <w:rPr>
          <w:lang w:val="en-GB"/>
        </w:rPr>
      </w:pPr>
      <w:r w:rsidRPr="002A33AB">
        <w:rPr>
          <w:noProof/>
          <w:lang w:val="es-CO" w:eastAsia="es-CO"/>
        </w:rPr>
        <w:drawing>
          <wp:inline distT="0" distB="0" distL="0" distR="0" wp14:anchorId="69C57F88" wp14:editId="650950A1">
            <wp:extent cx="2799299" cy="1405255"/>
            <wp:effectExtent l="0" t="0" r="1270" b="4445"/>
            <wp:docPr id="12275767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576769" name=""/>
                    <pic:cNvPicPr/>
                  </pic:nvPicPr>
                  <pic:blipFill>
                    <a:blip r:embed="rId15"/>
                    <a:stretch>
                      <a:fillRect/>
                    </a:stretch>
                  </pic:blipFill>
                  <pic:spPr>
                    <a:xfrm>
                      <a:off x="0" y="0"/>
                      <a:ext cx="2842190" cy="1426787"/>
                    </a:xfrm>
                    <a:prstGeom prst="rect">
                      <a:avLst/>
                    </a:prstGeom>
                  </pic:spPr>
                </pic:pic>
              </a:graphicData>
            </a:graphic>
          </wp:inline>
        </w:drawing>
      </w:r>
      <w:r w:rsidR="006570EC" w:rsidRPr="002A33AB">
        <w:rPr>
          <w:noProof/>
          <w:lang w:val="es-CO" w:eastAsia="es-CO"/>
        </w:rPr>
        <w:drawing>
          <wp:inline distT="0" distB="0" distL="0" distR="0" wp14:anchorId="27C32F99" wp14:editId="619CCA84">
            <wp:extent cx="2457099" cy="1396365"/>
            <wp:effectExtent l="0" t="0" r="635" b="13335"/>
            <wp:docPr id="1126327523" name="Chart 1">
              <a:extLst xmlns:a="http://schemas.openxmlformats.org/drawingml/2006/main">
                <a:ext uri="{FF2B5EF4-FFF2-40B4-BE49-F238E27FC236}">
                  <a16:creationId xmlns:a16="http://schemas.microsoft.com/office/drawing/2014/main" id="{5008B33B-E81A-714F-B7AE-6F01BDA27B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086F566" w14:textId="1CEC13E0" w:rsidR="008417DB" w:rsidRPr="002A33AB" w:rsidRDefault="008417DB" w:rsidP="00600535">
      <w:pPr>
        <w:pStyle w:val="CETBodytext"/>
        <w:rPr>
          <w:lang w:val="en-GB"/>
        </w:rPr>
      </w:pPr>
    </w:p>
    <w:p w14:paraId="74781D50" w14:textId="77777777" w:rsidR="006570EC" w:rsidRDefault="00F56DD9" w:rsidP="006570EC">
      <w:pPr>
        <w:pStyle w:val="CETBodytext"/>
        <w:rPr>
          <w:i/>
        </w:rPr>
      </w:pPr>
      <w:r w:rsidRPr="002A33AB">
        <w:rPr>
          <w:i/>
        </w:rPr>
        <w:t>Figure</w:t>
      </w:r>
      <w:r w:rsidR="00C86AE9" w:rsidRPr="002A33AB">
        <w:rPr>
          <w:i/>
        </w:rPr>
        <w:t xml:space="preserve"> </w:t>
      </w:r>
      <w:r w:rsidR="00864C1C" w:rsidRPr="002A33AB">
        <w:rPr>
          <w:i/>
        </w:rPr>
        <w:t>5</w:t>
      </w:r>
      <w:r w:rsidRPr="002A33AB">
        <w:rPr>
          <w:i/>
        </w:rPr>
        <w:t xml:space="preserve"> Location Sensitivity</w:t>
      </w:r>
      <w:r w:rsidR="006570EC">
        <w:rPr>
          <w:i/>
        </w:rPr>
        <w:t xml:space="preserve">                                              </w:t>
      </w:r>
      <w:r w:rsidR="006570EC" w:rsidRPr="002A33AB">
        <w:rPr>
          <w:i/>
        </w:rPr>
        <w:t>Figure 6 Capacity Sensitivity</w:t>
      </w:r>
    </w:p>
    <w:p w14:paraId="727DB915" w14:textId="77777777" w:rsidR="00B548AC" w:rsidRPr="002A33AB" w:rsidRDefault="00B548AC" w:rsidP="00600535">
      <w:pPr>
        <w:pStyle w:val="CETBodytext"/>
        <w:rPr>
          <w:i/>
        </w:rPr>
      </w:pPr>
    </w:p>
    <w:p w14:paraId="54162E9E" w14:textId="30819416" w:rsidR="00210C36" w:rsidRPr="00155D48" w:rsidRDefault="00B548AC" w:rsidP="00B548AC">
      <w:pPr>
        <w:pStyle w:val="CETBodytext"/>
        <w:rPr>
          <w:lang w:val="en-GB"/>
        </w:rPr>
      </w:pPr>
      <w:r w:rsidRPr="002A33AB">
        <w:rPr>
          <w:lang w:val="en-GB"/>
        </w:rPr>
        <w:t xml:space="preserve">For Figure 5, </w:t>
      </w:r>
      <w:r w:rsidR="00226B5A">
        <w:rPr>
          <w:lang w:val="en-GB"/>
        </w:rPr>
        <w:t xml:space="preserve">To analyse the sensibility for the distance, </w:t>
      </w:r>
      <w:r w:rsidRPr="002A33AB">
        <w:rPr>
          <w:lang w:val="en-GB"/>
        </w:rPr>
        <w:t>two routes were selected besides the main one; the first one was the shortest, and the other one was the largest possible, so the price for transportation could differ</w:t>
      </w:r>
      <w:r w:rsidR="00226B5A">
        <w:rPr>
          <w:lang w:val="en-GB"/>
        </w:rPr>
        <w:t xml:space="preserve"> along with distances</w:t>
      </w:r>
      <w:r w:rsidRPr="002A33AB">
        <w:rPr>
          <w:lang w:val="en-GB"/>
        </w:rPr>
        <w:t>. The results show that a larger distance means a direct influence in the final price, however, the other cost mainly the biorefinery costs are higher than the transportation. For GFT the effect is less visible because the allocation decreases its final costs, in the case of ATJ</w:t>
      </w:r>
      <w:r w:rsidR="0082056B">
        <w:rPr>
          <w:lang w:val="en-GB"/>
        </w:rPr>
        <w:t xml:space="preserve"> (were the allocation used was 0,</w:t>
      </w:r>
      <w:r w:rsidR="00CC78F1">
        <w:rPr>
          <w:lang w:val="en-GB"/>
        </w:rPr>
        <w:t>6</w:t>
      </w:r>
      <w:r w:rsidR="0082056B">
        <w:rPr>
          <w:lang w:val="en-GB"/>
        </w:rPr>
        <w:t>)</w:t>
      </w:r>
      <w:r w:rsidRPr="002A33AB">
        <w:rPr>
          <w:lang w:val="en-GB"/>
        </w:rPr>
        <w:t xml:space="preserve"> the initial route is very similar to the shortest, so the change is barely visible</w:t>
      </w:r>
      <w:r w:rsidR="00226B5A">
        <w:rPr>
          <w:lang w:val="en-GB"/>
        </w:rPr>
        <w:t xml:space="preserve">, nonetheless, the longest distance result shows that the distances could influences in a very significant way, particularly this route is very long, it goes to the </w:t>
      </w:r>
      <w:r w:rsidR="00155D48">
        <w:rPr>
          <w:lang w:val="en-GB"/>
        </w:rPr>
        <w:t xml:space="preserve"> most </w:t>
      </w:r>
      <w:r w:rsidR="00226B5A">
        <w:rPr>
          <w:lang w:val="en-GB"/>
        </w:rPr>
        <w:t>south</w:t>
      </w:r>
      <w:r w:rsidR="00155D48">
        <w:rPr>
          <w:lang w:val="en-GB"/>
        </w:rPr>
        <w:t>,</w:t>
      </w:r>
      <w:r w:rsidR="00226B5A">
        <w:rPr>
          <w:lang w:val="en-GB"/>
        </w:rPr>
        <w:t xml:space="preserve"> north </w:t>
      </w:r>
      <w:r w:rsidR="00155D48">
        <w:rPr>
          <w:lang w:val="en-GB"/>
        </w:rPr>
        <w:t>and</w:t>
      </w:r>
      <w:r w:rsidR="00226B5A">
        <w:rPr>
          <w:lang w:val="en-GB"/>
        </w:rPr>
        <w:t xml:space="preserve"> east</w:t>
      </w:r>
      <w:r w:rsidR="00155D48">
        <w:rPr>
          <w:lang w:val="en-GB"/>
        </w:rPr>
        <w:t xml:space="preserve"> points</w:t>
      </w:r>
      <w:r w:rsidR="00226B5A">
        <w:rPr>
          <w:lang w:val="en-GB"/>
        </w:rPr>
        <w:t xml:space="preserve">, and it helps to reaffirm the importance of the location of every step, and its need </w:t>
      </w:r>
      <w:r w:rsidR="00155D48">
        <w:rPr>
          <w:lang w:val="en-GB"/>
        </w:rPr>
        <w:t xml:space="preserve">from it </w:t>
      </w:r>
      <w:r w:rsidR="00226B5A">
        <w:rPr>
          <w:lang w:val="en-GB"/>
        </w:rPr>
        <w:t xml:space="preserve">to be as nearby as possible one to another. </w:t>
      </w:r>
      <w:r w:rsidRPr="002A33AB">
        <w:rPr>
          <w:lang w:val="en-GB"/>
        </w:rPr>
        <w:t xml:space="preserve">    </w:t>
      </w:r>
    </w:p>
    <w:p w14:paraId="645379CA" w14:textId="54F1DD7B" w:rsidR="00B548AC" w:rsidRPr="002A33AB" w:rsidRDefault="00B548AC" w:rsidP="00B548AC">
      <w:pPr>
        <w:pStyle w:val="CETBodytext"/>
        <w:rPr>
          <w:lang w:val="en-GB"/>
        </w:rPr>
      </w:pPr>
      <w:r w:rsidRPr="002A33AB">
        <w:rPr>
          <w:lang w:val="en-GB"/>
        </w:rPr>
        <w:t>To analyse how the production size could affect the MFSP, three production sizes were calculated, one for reaching the 1 % integration, for 9%, and 15% of the total demand goal, which corresponds with the small, medium, and larger scales</w:t>
      </w:r>
      <w:r w:rsidR="00155D48">
        <w:rPr>
          <w:lang w:val="en-GB"/>
        </w:rPr>
        <w:t xml:space="preserve">, for a reference of </w:t>
      </w:r>
      <w:r w:rsidR="006C0556">
        <w:rPr>
          <w:lang w:val="en-GB"/>
        </w:rPr>
        <w:t>300-million-gallon</w:t>
      </w:r>
      <w:r w:rsidR="00155D48">
        <w:rPr>
          <w:lang w:val="en-GB"/>
        </w:rPr>
        <w:t xml:space="preserve"> total demand</w:t>
      </w:r>
      <w:r w:rsidRPr="002A33AB">
        <w:rPr>
          <w:lang w:val="en-GB"/>
        </w:rPr>
        <w:t xml:space="preserve">. </w:t>
      </w:r>
    </w:p>
    <w:p w14:paraId="38363953" w14:textId="0474373A" w:rsidR="00B548AC" w:rsidRPr="002A33AB" w:rsidRDefault="00B548AC" w:rsidP="00600535">
      <w:pPr>
        <w:pStyle w:val="CETBodytext"/>
        <w:rPr>
          <w:lang w:val="en-GB"/>
        </w:rPr>
      </w:pPr>
      <w:r w:rsidRPr="002A33AB">
        <w:rPr>
          <w:lang w:val="en-GB"/>
        </w:rPr>
        <w:t xml:space="preserve">The results shown in the Figure 6, </w:t>
      </w:r>
      <w:r w:rsidR="0065704B" w:rsidRPr="002A33AB">
        <w:rPr>
          <w:lang w:val="en-GB"/>
        </w:rPr>
        <w:t>display</w:t>
      </w:r>
      <w:r w:rsidRPr="002A33AB">
        <w:rPr>
          <w:lang w:val="en-GB"/>
        </w:rPr>
        <w:t xml:space="preserve"> the behaviour of the economy of scales, in which, on larger scales, besides the capital cost is in accordance with this size, for a unit of product it is smaller, because the production increase as well, so for ATJ  the effect could diminish the price to  about 1.2 USD/L, and for GFT  to about 0.5 USD/L, this value is considered very competitive if </w:t>
      </w:r>
      <w:r w:rsidR="006C0556">
        <w:rPr>
          <w:lang w:val="en-GB"/>
        </w:rPr>
        <w:t>it is</w:t>
      </w:r>
      <w:r w:rsidRPr="002A33AB">
        <w:rPr>
          <w:lang w:val="en-GB"/>
        </w:rPr>
        <w:t xml:space="preserve"> compare</w:t>
      </w:r>
      <w:r w:rsidR="006C0556">
        <w:rPr>
          <w:lang w:val="en-GB"/>
        </w:rPr>
        <w:t>d</w:t>
      </w:r>
      <w:r w:rsidRPr="002A33AB">
        <w:rPr>
          <w:lang w:val="en-GB"/>
        </w:rPr>
        <w:t xml:space="preserve"> with cost</w:t>
      </w:r>
      <w:r w:rsidR="006C0556">
        <w:rPr>
          <w:lang w:val="en-GB"/>
        </w:rPr>
        <w:t>s</w:t>
      </w:r>
      <w:r w:rsidRPr="002A33AB">
        <w:rPr>
          <w:lang w:val="en-GB"/>
        </w:rPr>
        <w:t xml:space="preserve"> of production around the world</w:t>
      </w:r>
      <w:r w:rsidR="006C0556">
        <w:rPr>
          <w:lang w:val="en-GB"/>
        </w:rPr>
        <w:t xml:space="preserve">, furthermore, the capacities can be compared with the ones in the literature and it can be seen similar values,   However, those capacities are much bigger than the current offer of feedstock, or the actual capacity of a possible facility, so the prices for Colombian context are shall prone to be different. Moreover, it is important to state once again that the allocation factor has an important role in diminish the overall results, it is clear in GFT results, so it is mandatory to adequate the allocation for the conditions of the context the study is carried on.   </w:t>
      </w:r>
      <w:r w:rsidRPr="002A33AB">
        <w:rPr>
          <w:lang w:val="en-GB"/>
        </w:rPr>
        <w:t xml:space="preserve">  </w:t>
      </w:r>
    </w:p>
    <w:p w14:paraId="3F82CF59" w14:textId="77777777" w:rsidR="00DF53D2" w:rsidRPr="002A33AB" w:rsidRDefault="00431209" w:rsidP="00C77BC6">
      <w:pPr>
        <w:pStyle w:val="CETHeading1"/>
        <w:numPr>
          <w:ilvl w:val="0"/>
          <w:numId w:val="0"/>
        </w:numPr>
      </w:pPr>
      <w:r w:rsidRPr="002A33AB">
        <w:t>Conclusions</w:t>
      </w:r>
    </w:p>
    <w:p w14:paraId="53A2106A" w14:textId="77777777" w:rsidR="00121197" w:rsidRDefault="0003145E" w:rsidP="00121197">
      <w:pPr>
        <w:rPr>
          <w:bCs/>
          <w:szCs w:val="18"/>
        </w:rPr>
      </w:pPr>
      <w:r w:rsidRPr="002A33AB">
        <w:rPr>
          <w:bCs/>
          <w:szCs w:val="18"/>
        </w:rPr>
        <w:t>T</w:t>
      </w:r>
      <w:r w:rsidR="00637FC6" w:rsidRPr="002A33AB">
        <w:rPr>
          <w:bCs/>
          <w:szCs w:val="18"/>
        </w:rPr>
        <w:t xml:space="preserve">he economic allocation factor depends on market values of co-products such as biodiesel, gasoline, and electricity, as well as services like carbon credits. Additionally, government-generated credits, incentives, and </w:t>
      </w:r>
      <w:r w:rsidR="00637FC6" w:rsidRPr="002A33AB">
        <w:rPr>
          <w:bCs/>
          <w:szCs w:val="18"/>
        </w:rPr>
        <w:lastRenderedPageBreak/>
        <w:t>exemptions can directly benefit the MFSP</w:t>
      </w:r>
      <w:r w:rsidR="009F7A9D">
        <w:rPr>
          <w:bCs/>
          <w:szCs w:val="18"/>
        </w:rPr>
        <w:t xml:space="preserve">, varying from 1.7 in GFT 0.07 USD/L </w:t>
      </w:r>
      <w:r w:rsidR="00CC78F1">
        <w:rPr>
          <w:bCs/>
          <w:szCs w:val="18"/>
        </w:rPr>
        <w:t>and from 2.88 0.1 USD/L f</w:t>
      </w:r>
      <w:r w:rsidR="009F7A9D">
        <w:rPr>
          <w:bCs/>
          <w:szCs w:val="18"/>
        </w:rPr>
        <w:t xml:space="preserve">or </w:t>
      </w:r>
      <w:r w:rsidR="00CC78F1">
        <w:rPr>
          <w:bCs/>
          <w:szCs w:val="18"/>
        </w:rPr>
        <w:t xml:space="preserve">ATJ for </w:t>
      </w:r>
      <w:r w:rsidR="009F7A9D">
        <w:rPr>
          <w:bCs/>
          <w:szCs w:val="18"/>
        </w:rPr>
        <w:t>every 1%</w:t>
      </w:r>
      <w:r w:rsidR="00CC78F1">
        <w:rPr>
          <w:bCs/>
          <w:szCs w:val="18"/>
        </w:rPr>
        <w:t xml:space="preserve"> of change in the allocation factor</w:t>
      </w:r>
      <w:r w:rsidR="00637FC6" w:rsidRPr="002A33AB">
        <w:rPr>
          <w:bCs/>
          <w:szCs w:val="18"/>
        </w:rPr>
        <w:t>.</w:t>
      </w:r>
    </w:p>
    <w:p w14:paraId="4EED57C3" w14:textId="77777777" w:rsidR="00121197" w:rsidRDefault="00637FC6" w:rsidP="00121197">
      <w:pPr>
        <w:rPr>
          <w:bCs/>
          <w:szCs w:val="18"/>
        </w:rPr>
      </w:pPr>
      <w:r w:rsidRPr="002A33AB">
        <w:rPr>
          <w:bCs/>
          <w:szCs w:val="18"/>
        </w:rPr>
        <w:t xml:space="preserve">Among the transportation factors, the region where feedstock is generated to the CSP has the most significant influence on the overall transportation process compared to other points in the supply chain. This consideration </w:t>
      </w:r>
      <w:r w:rsidR="00216B01" w:rsidRPr="002A33AB">
        <w:rPr>
          <w:bCs/>
          <w:szCs w:val="18"/>
        </w:rPr>
        <w:t>considers</w:t>
      </w:r>
      <w:r w:rsidRPr="002A33AB">
        <w:rPr>
          <w:bCs/>
          <w:szCs w:val="18"/>
        </w:rPr>
        <w:t xml:space="preserve"> displacements and capacity waste in weight due to the varying densities of the raw material.</w:t>
      </w:r>
    </w:p>
    <w:p w14:paraId="2B229158" w14:textId="77777777" w:rsidR="00121197" w:rsidRDefault="00637FC6" w:rsidP="00121197">
      <w:pPr>
        <w:rPr>
          <w:bCs/>
          <w:szCs w:val="18"/>
        </w:rPr>
      </w:pPr>
      <w:r w:rsidRPr="002A33AB">
        <w:rPr>
          <w:bCs/>
          <w:szCs w:val="18"/>
        </w:rPr>
        <w:t>Concerning the conversion of raw material to SAF,</w:t>
      </w:r>
      <w:r w:rsidR="00EC272C">
        <w:rPr>
          <w:bCs/>
          <w:szCs w:val="18"/>
        </w:rPr>
        <w:t xml:space="preserve"> this factor is indispensable to optimize, its </w:t>
      </w:r>
      <w:r w:rsidR="00216B01">
        <w:rPr>
          <w:bCs/>
          <w:szCs w:val="18"/>
        </w:rPr>
        <w:t>nonlinear</w:t>
      </w:r>
      <w:r w:rsidR="00EC272C">
        <w:rPr>
          <w:bCs/>
          <w:szCs w:val="18"/>
        </w:rPr>
        <w:t xml:space="preserve"> behaviour punishes every drop in its value</w:t>
      </w:r>
      <w:r w:rsidR="00216B01">
        <w:rPr>
          <w:bCs/>
          <w:szCs w:val="18"/>
        </w:rPr>
        <w:t>, even 0.03 USD/L for GFT or 0.1 USD/L in ATJ for Every 1% in drop of the conversion</w:t>
      </w:r>
      <w:r w:rsidR="00EC272C">
        <w:rPr>
          <w:bCs/>
          <w:szCs w:val="18"/>
        </w:rPr>
        <w:t>, besides</w:t>
      </w:r>
      <w:r w:rsidRPr="002A33AB">
        <w:rPr>
          <w:bCs/>
          <w:szCs w:val="18"/>
        </w:rPr>
        <w:t xml:space="preserve"> the logistics chain faces limitations at a point where availability of raw material or demand from the final consumer becomes a deciding factor. In these scenarios, the tool can assist in decision-making.</w:t>
      </w:r>
    </w:p>
    <w:p w14:paraId="19C4FC68" w14:textId="53D4F0B1" w:rsidR="004628D2" w:rsidRPr="002A33AB" w:rsidRDefault="00637FC6" w:rsidP="00121197">
      <w:pPr>
        <w:rPr>
          <w:b/>
          <w:bCs/>
          <w:szCs w:val="18"/>
        </w:rPr>
      </w:pPr>
      <w:r w:rsidRPr="002A33AB">
        <w:rPr>
          <w:bCs/>
          <w:szCs w:val="18"/>
        </w:rPr>
        <w:t>While the farmgate price and operating costs in the biorefinery significantly impact the final SAF price, the variation across different scenarios is minimal and fails to achieve a representative effect. Therefore, government intervention in these production chains or the establishment of a hydrogen route can bring about a substantial change in the competitiveness of the final product.</w:t>
      </w:r>
    </w:p>
    <w:p w14:paraId="1E3332D9" w14:textId="77777777" w:rsidR="0037022B" w:rsidRPr="00B57B36" w:rsidRDefault="0037022B" w:rsidP="0037022B">
      <w:pPr>
        <w:pStyle w:val="CETAcknowledgementstitle"/>
      </w:pPr>
      <w:r w:rsidRPr="00B57B36">
        <w:t>Acknowledgments</w:t>
      </w:r>
    </w:p>
    <w:p w14:paraId="4965CE7D" w14:textId="31440B57" w:rsidR="0004385C" w:rsidRPr="0004385C" w:rsidRDefault="0037022B" w:rsidP="0037022B">
      <w:pPr>
        <w:pStyle w:val="CETReference"/>
        <w:rPr>
          <w:b w:val="0"/>
          <w:bCs/>
          <w:szCs w:val="18"/>
        </w:rPr>
      </w:pPr>
      <w:r w:rsidRPr="0045080A">
        <w:rPr>
          <w:b w:val="0"/>
        </w:rPr>
        <w:t xml:space="preserve">The authors express their gratitude to the ECCI University, </w:t>
      </w:r>
      <w:proofErr w:type="spellStart"/>
      <w:r w:rsidRPr="0045080A">
        <w:rPr>
          <w:b w:val="0"/>
        </w:rPr>
        <w:t>Defense</w:t>
      </w:r>
      <w:proofErr w:type="spellEnd"/>
      <w:r w:rsidRPr="0045080A">
        <w:rPr>
          <w:b w:val="0"/>
        </w:rPr>
        <w:t xml:space="preserve"> Aeronautical</w:t>
      </w:r>
      <w:r>
        <w:rPr>
          <w:b w:val="0"/>
        </w:rPr>
        <w:t xml:space="preserve"> </w:t>
      </w:r>
      <w:r w:rsidRPr="0045080A">
        <w:rPr>
          <w:b w:val="0"/>
        </w:rPr>
        <w:t>Certifica</w:t>
      </w:r>
      <w:r>
        <w:rPr>
          <w:b w:val="0"/>
        </w:rPr>
        <w:t>tion Office SECAD, Colombian Aerospace</w:t>
      </w:r>
      <w:r w:rsidRPr="0045080A">
        <w:rPr>
          <w:b w:val="0"/>
        </w:rPr>
        <w:t xml:space="preserve"> Force, Andes University, TU DELFT University, </w:t>
      </w:r>
      <w:proofErr w:type="spellStart"/>
      <w:r>
        <w:rPr>
          <w:b w:val="0"/>
        </w:rPr>
        <w:t>Stender</w:t>
      </w:r>
      <w:proofErr w:type="spellEnd"/>
      <w:r>
        <w:rPr>
          <w:b w:val="0"/>
        </w:rPr>
        <w:t xml:space="preserve"> </w:t>
      </w:r>
      <w:proofErr w:type="spellStart"/>
      <w:r w:rsidRPr="0045080A">
        <w:rPr>
          <w:b w:val="0"/>
        </w:rPr>
        <w:t>Kwakernaak</w:t>
      </w:r>
      <w:proofErr w:type="spellEnd"/>
      <w:r>
        <w:rPr>
          <w:b w:val="0"/>
        </w:rPr>
        <w:t xml:space="preserve">, Santiago Yoda, Emanuel </w:t>
      </w:r>
      <w:proofErr w:type="spellStart"/>
      <w:r>
        <w:rPr>
          <w:b w:val="0"/>
        </w:rPr>
        <w:t>Useche</w:t>
      </w:r>
      <w:proofErr w:type="spellEnd"/>
      <w:r>
        <w:rPr>
          <w:b w:val="0"/>
        </w:rPr>
        <w:t>, and Laura Valderrama.</w:t>
      </w:r>
      <w:r>
        <w:rPr>
          <w:b w:val="0"/>
        </w:rPr>
        <w:t xml:space="preserve"> </w:t>
      </w:r>
      <w:r w:rsidR="0004385C" w:rsidRPr="0004385C">
        <w:rPr>
          <w:b w:val="0"/>
          <w:bCs/>
          <w:szCs w:val="18"/>
        </w:rPr>
        <w:t xml:space="preserve">This research was funded </w:t>
      </w:r>
      <w:proofErr w:type="spellStart"/>
      <w:r w:rsidR="0004385C" w:rsidRPr="0004385C">
        <w:rPr>
          <w:b w:val="0"/>
          <w:bCs/>
          <w:szCs w:val="18"/>
        </w:rPr>
        <w:t>by</w:t>
      </w:r>
      <w:proofErr w:type="spellEnd"/>
      <w:r w:rsidR="0004385C" w:rsidRPr="0004385C">
        <w:rPr>
          <w:b w:val="0"/>
          <w:bCs/>
          <w:szCs w:val="18"/>
        </w:rPr>
        <w:t xml:space="preserve"> </w:t>
      </w:r>
      <w:proofErr w:type="spellStart"/>
      <w:r w:rsidR="0004385C" w:rsidRPr="0004385C">
        <w:rPr>
          <w:b w:val="0"/>
          <w:bCs/>
          <w:szCs w:val="18"/>
        </w:rPr>
        <w:t>the</w:t>
      </w:r>
      <w:proofErr w:type="spellEnd"/>
      <w:r w:rsidR="0004385C" w:rsidRPr="0004385C">
        <w:rPr>
          <w:b w:val="0"/>
          <w:bCs/>
          <w:szCs w:val="18"/>
        </w:rPr>
        <w:t xml:space="preserve"> </w:t>
      </w:r>
      <w:proofErr w:type="spellStart"/>
      <w:r w:rsidR="0004385C" w:rsidRPr="0004385C">
        <w:rPr>
          <w:b w:val="0"/>
          <w:bCs/>
          <w:szCs w:val="18"/>
        </w:rPr>
        <w:t>Ministry</w:t>
      </w:r>
      <w:proofErr w:type="spellEnd"/>
      <w:r w:rsidR="0004385C" w:rsidRPr="0004385C">
        <w:rPr>
          <w:b w:val="0"/>
          <w:bCs/>
          <w:szCs w:val="18"/>
        </w:rPr>
        <w:t xml:space="preserve"> </w:t>
      </w:r>
      <w:proofErr w:type="spellStart"/>
      <w:r w:rsidR="0004385C" w:rsidRPr="0004385C">
        <w:rPr>
          <w:b w:val="0"/>
          <w:bCs/>
          <w:szCs w:val="18"/>
        </w:rPr>
        <w:t>of</w:t>
      </w:r>
      <w:proofErr w:type="spellEnd"/>
      <w:r w:rsidR="0004385C" w:rsidRPr="0004385C">
        <w:rPr>
          <w:b w:val="0"/>
          <w:bCs/>
          <w:szCs w:val="18"/>
        </w:rPr>
        <w:t xml:space="preserve"> </w:t>
      </w:r>
      <w:proofErr w:type="spellStart"/>
      <w:r w:rsidR="0004385C" w:rsidRPr="0004385C">
        <w:rPr>
          <w:b w:val="0"/>
          <w:bCs/>
          <w:szCs w:val="18"/>
        </w:rPr>
        <w:t>Science</w:t>
      </w:r>
      <w:proofErr w:type="spellEnd"/>
      <w:r w:rsidR="0004385C" w:rsidRPr="0004385C">
        <w:rPr>
          <w:b w:val="0"/>
          <w:bCs/>
          <w:szCs w:val="18"/>
        </w:rPr>
        <w:t xml:space="preserve">, </w:t>
      </w:r>
      <w:proofErr w:type="spellStart"/>
      <w:r w:rsidR="0004385C" w:rsidRPr="0004385C">
        <w:rPr>
          <w:b w:val="0"/>
          <w:bCs/>
          <w:szCs w:val="18"/>
        </w:rPr>
        <w:t>Technology</w:t>
      </w:r>
      <w:proofErr w:type="spellEnd"/>
      <w:r w:rsidR="0004385C" w:rsidRPr="0004385C">
        <w:rPr>
          <w:b w:val="0"/>
          <w:bCs/>
          <w:szCs w:val="18"/>
        </w:rPr>
        <w:t xml:space="preserve"> and </w:t>
      </w:r>
      <w:proofErr w:type="spellStart"/>
      <w:r w:rsidR="0004385C" w:rsidRPr="0004385C">
        <w:rPr>
          <w:b w:val="0"/>
          <w:bCs/>
          <w:szCs w:val="18"/>
        </w:rPr>
        <w:t>Innovation</w:t>
      </w:r>
      <w:proofErr w:type="spellEnd"/>
      <w:r w:rsidR="0004385C" w:rsidRPr="0004385C">
        <w:rPr>
          <w:b w:val="0"/>
          <w:bCs/>
          <w:szCs w:val="18"/>
        </w:rPr>
        <w:t xml:space="preserve"> </w:t>
      </w:r>
      <w:proofErr w:type="spellStart"/>
      <w:r w:rsidR="0004385C" w:rsidRPr="0004385C">
        <w:rPr>
          <w:b w:val="0"/>
          <w:bCs/>
          <w:szCs w:val="18"/>
        </w:rPr>
        <w:t>of</w:t>
      </w:r>
      <w:proofErr w:type="spellEnd"/>
      <w:r w:rsidR="0004385C" w:rsidRPr="0004385C">
        <w:rPr>
          <w:b w:val="0"/>
          <w:bCs/>
          <w:szCs w:val="18"/>
        </w:rPr>
        <w:t xml:space="preserve"> Colombia MINCIENCIAS, </w:t>
      </w:r>
      <w:proofErr w:type="spellStart"/>
      <w:r w:rsidR="0004385C" w:rsidRPr="0004385C">
        <w:rPr>
          <w:b w:val="0"/>
          <w:bCs/>
          <w:szCs w:val="18"/>
        </w:rPr>
        <w:t>the</w:t>
      </w:r>
      <w:proofErr w:type="spellEnd"/>
      <w:r w:rsidR="0004385C" w:rsidRPr="0004385C">
        <w:rPr>
          <w:b w:val="0"/>
          <w:bCs/>
          <w:szCs w:val="18"/>
        </w:rPr>
        <w:t xml:space="preserve"> </w:t>
      </w:r>
      <w:proofErr w:type="spellStart"/>
      <w:r w:rsidR="0004385C" w:rsidRPr="0004385C">
        <w:rPr>
          <w:b w:val="0"/>
          <w:bCs/>
          <w:szCs w:val="18"/>
        </w:rPr>
        <w:t>Colombian</w:t>
      </w:r>
      <w:proofErr w:type="spellEnd"/>
      <w:r w:rsidR="0004385C" w:rsidRPr="0004385C">
        <w:rPr>
          <w:b w:val="0"/>
          <w:bCs/>
          <w:szCs w:val="18"/>
        </w:rPr>
        <w:t xml:space="preserve"> Air </w:t>
      </w:r>
      <w:proofErr w:type="spellStart"/>
      <w:r w:rsidR="0004385C" w:rsidRPr="0004385C">
        <w:rPr>
          <w:b w:val="0"/>
          <w:bCs/>
          <w:szCs w:val="18"/>
        </w:rPr>
        <w:t>Force</w:t>
      </w:r>
      <w:proofErr w:type="spellEnd"/>
      <w:r w:rsidR="0004385C" w:rsidRPr="0004385C">
        <w:rPr>
          <w:b w:val="0"/>
          <w:bCs/>
          <w:szCs w:val="18"/>
        </w:rPr>
        <w:t xml:space="preserve">, and ECCI </w:t>
      </w:r>
      <w:proofErr w:type="spellStart"/>
      <w:r w:rsidR="0004385C" w:rsidRPr="0004385C">
        <w:rPr>
          <w:b w:val="0"/>
          <w:bCs/>
          <w:szCs w:val="18"/>
        </w:rPr>
        <w:t>University</w:t>
      </w:r>
      <w:proofErr w:type="spellEnd"/>
      <w:r w:rsidR="0004385C" w:rsidRPr="0004385C">
        <w:rPr>
          <w:b w:val="0"/>
          <w:bCs/>
          <w:szCs w:val="18"/>
        </w:rPr>
        <w:t xml:space="preserve"> </w:t>
      </w:r>
      <w:proofErr w:type="spellStart"/>
      <w:r w:rsidR="0004385C" w:rsidRPr="0004385C">
        <w:rPr>
          <w:b w:val="0"/>
          <w:bCs/>
          <w:szCs w:val="18"/>
        </w:rPr>
        <w:t>through</w:t>
      </w:r>
      <w:proofErr w:type="spellEnd"/>
      <w:r w:rsidR="0004385C" w:rsidRPr="0004385C">
        <w:rPr>
          <w:b w:val="0"/>
          <w:bCs/>
          <w:szCs w:val="18"/>
        </w:rPr>
        <w:t xml:space="preserve"> </w:t>
      </w:r>
      <w:proofErr w:type="spellStart"/>
      <w:r w:rsidR="0004385C" w:rsidRPr="0004385C">
        <w:rPr>
          <w:b w:val="0"/>
          <w:bCs/>
          <w:szCs w:val="18"/>
        </w:rPr>
        <w:t>project</w:t>
      </w:r>
      <w:proofErr w:type="spellEnd"/>
      <w:r w:rsidR="0004385C" w:rsidRPr="0004385C">
        <w:rPr>
          <w:b w:val="0"/>
          <w:bCs/>
          <w:szCs w:val="18"/>
        </w:rPr>
        <w:t xml:space="preserve"> 728-2020 “</w:t>
      </w:r>
      <w:proofErr w:type="spellStart"/>
      <w:r w:rsidR="0004385C" w:rsidRPr="0004385C">
        <w:rPr>
          <w:b w:val="0"/>
          <w:bCs/>
          <w:szCs w:val="18"/>
        </w:rPr>
        <w:t>Evaluation</w:t>
      </w:r>
      <w:proofErr w:type="spellEnd"/>
      <w:r w:rsidR="0004385C" w:rsidRPr="0004385C">
        <w:rPr>
          <w:b w:val="0"/>
          <w:bCs/>
          <w:szCs w:val="18"/>
        </w:rPr>
        <w:t xml:space="preserve"> </w:t>
      </w:r>
      <w:proofErr w:type="spellStart"/>
      <w:r w:rsidR="0004385C" w:rsidRPr="0004385C">
        <w:rPr>
          <w:b w:val="0"/>
          <w:bCs/>
          <w:szCs w:val="18"/>
        </w:rPr>
        <w:t>of</w:t>
      </w:r>
      <w:proofErr w:type="spellEnd"/>
      <w:r w:rsidR="0004385C" w:rsidRPr="0004385C">
        <w:rPr>
          <w:b w:val="0"/>
          <w:bCs/>
          <w:szCs w:val="18"/>
        </w:rPr>
        <w:t xml:space="preserve"> </w:t>
      </w:r>
      <w:proofErr w:type="spellStart"/>
      <w:r w:rsidR="0004385C" w:rsidRPr="0004385C">
        <w:rPr>
          <w:b w:val="0"/>
          <w:bCs/>
          <w:szCs w:val="18"/>
        </w:rPr>
        <w:t>the</w:t>
      </w:r>
      <w:proofErr w:type="spellEnd"/>
      <w:r w:rsidR="0004385C" w:rsidRPr="0004385C">
        <w:rPr>
          <w:b w:val="0"/>
          <w:bCs/>
          <w:szCs w:val="18"/>
        </w:rPr>
        <w:t xml:space="preserve"> </w:t>
      </w:r>
      <w:proofErr w:type="spellStart"/>
      <w:r w:rsidR="0004385C" w:rsidRPr="0004385C">
        <w:rPr>
          <w:b w:val="0"/>
          <w:bCs/>
          <w:szCs w:val="18"/>
        </w:rPr>
        <w:t>behavior</w:t>
      </w:r>
      <w:proofErr w:type="spellEnd"/>
      <w:r w:rsidR="0004385C" w:rsidRPr="0004385C">
        <w:rPr>
          <w:b w:val="0"/>
          <w:bCs/>
          <w:szCs w:val="18"/>
        </w:rPr>
        <w:t xml:space="preserve"> </w:t>
      </w:r>
      <w:proofErr w:type="spellStart"/>
      <w:r w:rsidR="0004385C" w:rsidRPr="0004385C">
        <w:rPr>
          <w:b w:val="0"/>
          <w:bCs/>
          <w:szCs w:val="18"/>
        </w:rPr>
        <w:t>of</w:t>
      </w:r>
      <w:proofErr w:type="spellEnd"/>
      <w:r w:rsidR="0004385C" w:rsidRPr="0004385C">
        <w:rPr>
          <w:b w:val="0"/>
          <w:bCs/>
          <w:szCs w:val="18"/>
        </w:rPr>
        <w:t xml:space="preserve"> mixtures </w:t>
      </w:r>
      <w:proofErr w:type="spellStart"/>
      <w:r w:rsidR="0004385C" w:rsidRPr="0004385C">
        <w:rPr>
          <w:b w:val="0"/>
          <w:bCs/>
          <w:szCs w:val="18"/>
        </w:rPr>
        <w:t>of</w:t>
      </w:r>
      <w:proofErr w:type="spellEnd"/>
      <w:r w:rsidR="0004385C" w:rsidRPr="0004385C">
        <w:rPr>
          <w:b w:val="0"/>
          <w:bCs/>
          <w:szCs w:val="18"/>
        </w:rPr>
        <w:t xml:space="preserve"> </w:t>
      </w:r>
      <w:proofErr w:type="spellStart"/>
      <w:r w:rsidR="0004385C" w:rsidRPr="0004385C">
        <w:rPr>
          <w:b w:val="0"/>
          <w:bCs/>
          <w:szCs w:val="18"/>
        </w:rPr>
        <w:t>Colombian</w:t>
      </w:r>
      <w:proofErr w:type="spellEnd"/>
      <w:r w:rsidR="0004385C" w:rsidRPr="0004385C">
        <w:rPr>
          <w:b w:val="0"/>
          <w:bCs/>
          <w:szCs w:val="18"/>
        </w:rPr>
        <w:t xml:space="preserve"> </w:t>
      </w:r>
      <w:proofErr w:type="spellStart"/>
      <w:r w:rsidR="0004385C" w:rsidRPr="0004385C">
        <w:rPr>
          <w:b w:val="0"/>
          <w:bCs/>
          <w:szCs w:val="18"/>
        </w:rPr>
        <w:t>Biofuels</w:t>
      </w:r>
      <w:proofErr w:type="spellEnd"/>
      <w:r w:rsidR="0004385C" w:rsidRPr="0004385C">
        <w:rPr>
          <w:b w:val="0"/>
          <w:bCs/>
          <w:szCs w:val="18"/>
        </w:rPr>
        <w:t xml:space="preserve"> in </w:t>
      </w:r>
      <w:proofErr w:type="spellStart"/>
      <w:r w:rsidR="0004385C" w:rsidRPr="0004385C">
        <w:rPr>
          <w:b w:val="0"/>
          <w:bCs/>
          <w:szCs w:val="18"/>
        </w:rPr>
        <w:t>Aeronautical</w:t>
      </w:r>
      <w:proofErr w:type="spellEnd"/>
      <w:r w:rsidR="0004385C" w:rsidRPr="0004385C">
        <w:rPr>
          <w:b w:val="0"/>
          <w:bCs/>
          <w:szCs w:val="18"/>
        </w:rPr>
        <w:t xml:space="preserve"> Turbines”.</w:t>
      </w:r>
    </w:p>
    <w:p w14:paraId="58C8BB33" w14:textId="7009F76C" w:rsidR="00C77BC6" w:rsidRPr="002A33AB" w:rsidRDefault="00C77BC6" w:rsidP="00C77BC6">
      <w:pPr>
        <w:pStyle w:val="CETHeading1"/>
        <w:numPr>
          <w:ilvl w:val="0"/>
          <w:numId w:val="0"/>
        </w:numPr>
        <w:rPr>
          <w:lang w:val="es-CO"/>
        </w:rPr>
      </w:pPr>
      <w:proofErr w:type="spellStart"/>
      <w:r w:rsidRPr="002A33AB">
        <w:rPr>
          <w:lang w:val="es-CO"/>
        </w:rPr>
        <w:t>References</w:t>
      </w:r>
      <w:proofErr w:type="spellEnd"/>
    </w:p>
    <w:bookmarkStart w:id="1" w:name="_Hlk162564669" w:displacedByCustomXml="next"/>
    <w:sdt>
      <w:sdtPr>
        <w:rPr>
          <w:lang w:val="en-US"/>
        </w:rPr>
        <w:tag w:val="MENDELEY_BIBLIOGRAPHY"/>
        <w:id w:val="-58019286"/>
        <w:placeholder>
          <w:docPart w:val="DefaultPlaceholder_-1854013440"/>
        </w:placeholder>
      </w:sdtPr>
      <w:sdtEndPr>
        <w:rPr>
          <w:lang w:val="en-GB"/>
        </w:rPr>
      </w:sdtEndPr>
      <w:sdtContent>
        <w:p w14:paraId="7494160D" w14:textId="2E6F0FD3" w:rsidR="003F45A0" w:rsidRDefault="003F45A0" w:rsidP="00A000DC">
          <w:pPr>
            <w:pStyle w:val="CETReferencetext"/>
            <w:ind w:left="0" w:hanging="426"/>
            <w:divId w:val="1281180811"/>
            <w:rPr>
              <w:sz w:val="24"/>
              <w:szCs w:val="24"/>
            </w:rPr>
          </w:pPr>
          <w:proofErr w:type="spellStart"/>
          <w:r>
            <w:t>Atsonios</w:t>
          </w:r>
          <w:proofErr w:type="spellEnd"/>
          <w:r>
            <w:t xml:space="preserve"> K., </w:t>
          </w:r>
          <w:proofErr w:type="spellStart"/>
          <w:r>
            <w:t>Kougioumtzis</w:t>
          </w:r>
          <w:proofErr w:type="spellEnd"/>
          <w:r>
            <w:t xml:space="preserve">, M.-A., D. </w:t>
          </w:r>
          <w:proofErr w:type="spellStart"/>
          <w:r>
            <w:t>Panopoulos</w:t>
          </w:r>
          <w:proofErr w:type="spellEnd"/>
          <w:r>
            <w:t xml:space="preserve"> K., </w:t>
          </w:r>
          <w:proofErr w:type="spellStart"/>
          <w:r>
            <w:t>Kakaras</w:t>
          </w:r>
          <w:proofErr w:type="spellEnd"/>
          <w:r>
            <w:t xml:space="preserve">, E., 2015. Alternative thermochemical routes for aviation biofuels via alcohols synthesis: Process </w:t>
          </w:r>
          <w:proofErr w:type="spellStart"/>
          <w:r>
            <w:t>modeling</w:t>
          </w:r>
          <w:proofErr w:type="spellEnd"/>
          <w:r>
            <w:t xml:space="preserve">, techno-economic assessment and comparison. </w:t>
          </w:r>
          <w:proofErr w:type="spellStart"/>
          <w:r>
            <w:t>Appl</w:t>
          </w:r>
          <w:proofErr w:type="spellEnd"/>
          <w:r>
            <w:t xml:space="preserve"> Energy 138, 346–366. </w:t>
          </w:r>
          <w:r w:rsidR="00A000DC" w:rsidRPr="006B4888">
            <w:t>&lt;</w:t>
          </w:r>
          <w:r>
            <w:t>doi.org/10.1016/j.apenergy.2014.10.056</w:t>
          </w:r>
          <w:r w:rsidR="00A000DC" w:rsidRPr="006B4888">
            <w:t>&gt;</w:t>
          </w:r>
        </w:p>
        <w:p w14:paraId="701ED81F" w14:textId="1F49C814" w:rsidR="003F45A0" w:rsidRDefault="003F45A0" w:rsidP="00A000DC">
          <w:pPr>
            <w:pStyle w:val="CETReferencetext"/>
            <w:ind w:left="0" w:hanging="426"/>
            <w:divId w:val="298726399"/>
          </w:pPr>
          <w:proofErr w:type="spellStart"/>
          <w:r>
            <w:t>Capaz</w:t>
          </w:r>
          <w:proofErr w:type="spellEnd"/>
          <w:r>
            <w:t xml:space="preserve"> R.S., de Medeiros E.M., Falco D.G., </w:t>
          </w:r>
          <w:proofErr w:type="spellStart"/>
          <w:r>
            <w:t>Seabra</w:t>
          </w:r>
          <w:proofErr w:type="spellEnd"/>
          <w:r>
            <w:t xml:space="preserve"> J.E.A., </w:t>
          </w:r>
          <w:proofErr w:type="spellStart"/>
          <w:r>
            <w:t>Osseweijer</w:t>
          </w:r>
          <w:proofErr w:type="spellEnd"/>
          <w:r>
            <w:t xml:space="preserve"> P., Posada J.A., 2020. Environmental trade-offs of renewable jet fuels in Brazil: Beyond the carbon footprint. Science of The Total Environment 714, 136696. </w:t>
          </w:r>
          <w:bookmarkStart w:id="2" w:name="_Hlk162612610"/>
          <w:r w:rsidR="00A000DC" w:rsidRPr="006B4888">
            <w:t>&lt;</w:t>
          </w:r>
          <w:bookmarkEnd w:id="2"/>
          <w:r>
            <w:t>doi.org/10.1016/j.scitotenv.2020.136696</w:t>
          </w:r>
          <w:r w:rsidR="00A000DC" w:rsidRPr="006B4888">
            <w:t>&gt;</w:t>
          </w:r>
        </w:p>
        <w:p w14:paraId="6A561093" w14:textId="78EDCBD2" w:rsidR="003F45A0" w:rsidRDefault="003F45A0">
          <w:pPr>
            <w:autoSpaceDE w:val="0"/>
            <w:autoSpaceDN w:val="0"/>
            <w:ind w:hanging="480"/>
            <w:divId w:val="1323006914"/>
          </w:pPr>
          <w:r>
            <w:t>de Klerk A., 2016. Aviation Turbine Fuels Through the Fischer–</w:t>
          </w:r>
          <w:proofErr w:type="spellStart"/>
          <w:r>
            <w:t>Tropsch</w:t>
          </w:r>
          <w:proofErr w:type="spellEnd"/>
          <w:r>
            <w:t xml:space="preserve"> Process, in: Biofuels for Aviation. Elsevier, pp. 241–259. </w:t>
          </w:r>
          <w:r w:rsidR="00A000DC">
            <w:t>&lt;</w:t>
          </w:r>
          <w:r>
            <w:t>doi.org/10.1016/B978-0-12-804568-8.00010-X</w:t>
          </w:r>
          <w:r w:rsidR="00A000DC" w:rsidRPr="006B4888">
            <w:t>&gt;</w:t>
          </w:r>
        </w:p>
        <w:p w14:paraId="02C6C63A" w14:textId="00BDC145" w:rsidR="003F45A0" w:rsidRDefault="003F45A0">
          <w:pPr>
            <w:autoSpaceDE w:val="0"/>
            <w:autoSpaceDN w:val="0"/>
            <w:ind w:hanging="480"/>
            <w:divId w:val="1791628215"/>
          </w:pPr>
          <w:r>
            <w:t xml:space="preserve">Huang E., Zhang X., Rodriguez L., Khanna M., de Jong S., Ting K.C., Ying Y., Lin T., 2019. Multi-objective optimization for sustainable renewable jet fuel production: A case study of corn </w:t>
          </w:r>
          <w:proofErr w:type="spellStart"/>
          <w:r>
            <w:t>stover</w:t>
          </w:r>
          <w:proofErr w:type="spellEnd"/>
          <w:r>
            <w:t xml:space="preserve"> based supply chain system in Midwestern U.S. Renewable and Sustainable Energy Reviews 115. </w:t>
          </w:r>
          <w:r w:rsidR="00A000DC">
            <w:t>&lt;</w:t>
          </w:r>
          <w:r>
            <w:t>doi.org/10.1016/j.rser.2019.109403</w:t>
          </w:r>
          <w:r w:rsidR="00F34E1D" w:rsidRPr="006B4888">
            <w:t>&gt;</w:t>
          </w:r>
        </w:p>
        <w:p w14:paraId="1EAF44FD" w14:textId="52FEE5B7" w:rsidR="003F45A0" w:rsidRDefault="003F45A0">
          <w:pPr>
            <w:autoSpaceDE w:val="0"/>
            <w:autoSpaceDN w:val="0"/>
            <w:ind w:hanging="480"/>
            <w:divId w:val="1556432476"/>
          </w:pPr>
          <w:r>
            <w:t xml:space="preserve">ICAO, 2023. SAF Rules of Thumb. URL </w:t>
          </w:r>
          <w:r w:rsidR="00A000DC">
            <w:t>&lt;</w:t>
          </w:r>
          <w:r>
            <w:t>www.icao.int/environmental-protection/Pages/SAF_RULESOFTHUMB.aspx</w:t>
          </w:r>
          <w:r w:rsidR="00A000DC" w:rsidRPr="006B4888">
            <w:t>&gt;</w:t>
          </w:r>
          <w:r>
            <w:t xml:space="preserve"> (accessed 9.23.23).</w:t>
          </w:r>
        </w:p>
        <w:p w14:paraId="44F64DF1" w14:textId="3E4DE253" w:rsidR="003F45A0" w:rsidRDefault="003F45A0">
          <w:pPr>
            <w:autoSpaceDE w:val="0"/>
            <w:autoSpaceDN w:val="0"/>
            <w:ind w:hanging="480"/>
            <w:divId w:val="1297183539"/>
          </w:pPr>
          <w:r>
            <w:t xml:space="preserve">Kreutz T.G., Larson E.D., </w:t>
          </w:r>
          <w:proofErr w:type="spellStart"/>
          <w:r>
            <w:t>Elsido</w:t>
          </w:r>
          <w:proofErr w:type="spellEnd"/>
          <w:r>
            <w:t xml:space="preserve"> C., </w:t>
          </w:r>
          <w:proofErr w:type="spellStart"/>
          <w:r>
            <w:t>Martelli</w:t>
          </w:r>
          <w:proofErr w:type="spellEnd"/>
          <w:r>
            <w:t xml:space="preserve"> E., Greig C., Williams R.H., 2020. Techno-economic prospects for producing Fischer-</w:t>
          </w:r>
          <w:proofErr w:type="spellStart"/>
          <w:r>
            <w:t>Tropsch</w:t>
          </w:r>
          <w:proofErr w:type="spellEnd"/>
          <w:r>
            <w:t xml:space="preserve"> jet fuel and electricity from lignite and woody biomass with CO2 capture for EOR. </w:t>
          </w:r>
          <w:proofErr w:type="spellStart"/>
          <w:r>
            <w:t>Appl</w:t>
          </w:r>
          <w:proofErr w:type="spellEnd"/>
          <w:r>
            <w:t xml:space="preserve"> Energy 279, 115841. </w:t>
          </w:r>
          <w:r w:rsidR="00A000DC">
            <w:t>&lt;</w:t>
          </w:r>
          <w:r>
            <w:t>doi.org/10.1016/j.apenergy.2020.115841</w:t>
          </w:r>
          <w:r w:rsidR="00A000DC" w:rsidRPr="006B4888">
            <w:t>&gt;</w:t>
          </w:r>
        </w:p>
        <w:p w14:paraId="3818F197" w14:textId="690E13FE" w:rsidR="003F45A0" w:rsidRDefault="003F45A0">
          <w:pPr>
            <w:autoSpaceDE w:val="0"/>
            <w:autoSpaceDN w:val="0"/>
            <w:ind w:hanging="480"/>
            <w:divId w:val="586382056"/>
          </w:pPr>
          <w:proofErr w:type="spellStart"/>
          <w:r>
            <w:t>Kwakernaak</w:t>
          </w:r>
          <w:proofErr w:type="spellEnd"/>
          <w:r w:rsidR="00F34E1D">
            <w:t xml:space="preserve"> </w:t>
          </w:r>
          <w:r>
            <w:t>S., 2022. Spatial and temporal distribution of lignocellulosic biomass for marine &amp; aviation biofuel production.</w:t>
          </w:r>
          <w:r w:rsidR="00A000DC">
            <w:t xml:space="preserve"> TU DELFT.</w:t>
          </w:r>
        </w:p>
        <w:p w14:paraId="2FF8FBEF" w14:textId="0EC6F315" w:rsidR="003F45A0" w:rsidRDefault="003F45A0">
          <w:pPr>
            <w:autoSpaceDE w:val="0"/>
            <w:autoSpaceDN w:val="0"/>
            <w:ind w:hanging="480"/>
            <w:divId w:val="1289900643"/>
          </w:pPr>
          <w:r>
            <w:t xml:space="preserve">López Gómez M., Posada J., Silva V., Martínez L., Mayorga A., Álvarez O., 2023. Diagnosis of Challenges and Uncertainties for Implementation of Sustainable Aviation Fuel (SAF) in Colombia, and Recommendations to Move Forward. Energies (Basel) 16, 5667. </w:t>
          </w:r>
          <w:r w:rsidR="00A000DC">
            <w:t>&lt;</w:t>
          </w:r>
          <w:r>
            <w:t>doi.org/10.3390/en16155667</w:t>
          </w:r>
          <w:r w:rsidR="00A000DC" w:rsidRPr="006B4888">
            <w:t>&gt;</w:t>
          </w:r>
        </w:p>
        <w:p w14:paraId="7DE5BDA3" w14:textId="3FB784E2" w:rsidR="003F45A0" w:rsidRDefault="003F45A0">
          <w:pPr>
            <w:autoSpaceDE w:val="0"/>
            <w:autoSpaceDN w:val="0"/>
            <w:ind w:hanging="480"/>
            <w:divId w:val="853613202"/>
          </w:pPr>
          <w:r>
            <w:t xml:space="preserve">Marvin W.A., Schmidt L.D., </w:t>
          </w:r>
          <w:proofErr w:type="spellStart"/>
          <w:r>
            <w:t>Daoutidis</w:t>
          </w:r>
          <w:proofErr w:type="spellEnd"/>
          <w:r>
            <w:t xml:space="preserve"> P., 2013. Biorefinery Location and Technology Selection Through Supply Chain Optimization. Ind </w:t>
          </w:r>
          <w:proofErr w:type="spellStart"/>
          <w:r>
            <w:t>Eng</w:t>
          </w:r>
          <w:proofErr w:type="spellEnd"/>
          <w:r>
            <w:t xml:space="preserve"> Chem Res 52, 3192–3208. </w:t>
          </w:r>
          <w:r w:rsidR="00A000DC">
            <w:t>&lt;</w:t>
          </w:r>
          <w:r>
            <w:t>doi.org/10.1021/ie3010463</w:t>
          </w:r>
          <w:r w:rsidR="00A000DC" w:rsidRPr="006B4888">
            <w:t>&gt;</w:t>
          </w:r>
        </w:p>
        <w:p w14:paraId="71A910CB" w14:textId="63B13E28" w:rsidR="003F45A0" w:rsidRDefault="003F45A0">
          <w:pPr>
            <w:autoSpaceDE w:val="0"/>
            <w:autoSpaceDN w:val="0"/>
            <w:ind w:hanging="480"/>
            <w:divId w:val="1619295225"/>
          </w:pPr>
          <w:r>
            <w:t xml:space="preserve">Shahriar M.F., </w:t>
          </w:r>
          <w:proofErr w:type="spellStart"/>
          <w:r>
            <w:t>Khanal</w:t>
          </w:r>
          <w:proofErr w:type="spellEnd"/>
          <w:r>
            <w:t xml:space="preserve"> A., 2022. The current techno-economic, environmental, policy status and perspectives of sustainable aviation fuel (SAF). Fuel 325. </w:t>
          </w:r>
          <w:r w:rsidR="00A000DC">
            <w:t>&lt;</w:t>
          </w:r>
          <w:r>
            <w:t>doi.org/10.1016/j.fuel.2022.124905</w:t>
          </w:r>
          <w:r w:rsidR="00A000DC" w:rsidRPr="006B4888">
            <w:t>&gt;</w:t>
          </w:r>
        </w:p>
        <w:p w14:paraId="7DF6423D" w14:textId="3B1ADAD0" w:rsidR="003F45A0" w:rsidRDefault="003F45A0">
          <w:pPr>
            <w:autoSpaceDE w:val="0"/>
            <w:autoSpaceDN w:val="0"/>
            <w:ind w:hanging="480"/>
            <w:divId w:val="932788451"/>
          </w:pPr>
          <w:r>
            <w:t xml:space="preserve">Yue D., You, F., Snyder S.W., 2014. Biomass-to-bioenergy and biofuel supply chain optimization: Overview, key issues and challenges. </w:t>
          </w:r>
          <w:proofErr w:type="spellStart"/>
          <w:r>
            <w:t>Comput</w:t>
          </w:r>
          <w:proofErr w:type="spellEnd"/>
          <w:r>
            <w:t xml:space="preserve"> Chem </w:t>
          </w:r>
          <w:proofErr w:type="spellStart"/>
          <w:r>
            <w:t>Eng</w:t>
          </w:r>
          <w:proofErr w:type="spellEnd"/>
          <w:r>
            <w:t xml:space="preserve"> 66, 36–56. </w:t>
          </w:r>
          <w:r w:rsidR="00A000DC">
            <w:t>&lt;</w:t>
          </w:r>
          <w:r>
            <w:t>doi.org/10.1016/j.compchemeng.2013.11.016</w:t>
          </w:r>
          <w:r w:rsidR="00A000DC" w:rsidRPr="006B4888">
            <w:t>&gt;</w:t>
          </w:r>
        </w:p>
        <w:p w14:paraId="3523109C" w14:textId="6B582029" w:rsidR="00C77BC6" w:rsidRPr="00C77BC6" w:rsidRDefault="003F45A0" w:rsidP="00E07779">
          <w:pPr>
            <w:autoSpaceDE w:val="0"/>
            <w:autoSpaceDN w:val="0"/>
            <w:ind w:left="-142" w:hanging="284"/>
            <w:divId w:val="662053736"/>
          </w:pPr>
          <w:r>
            <w:t> </w:t>
          </w:r>
        </w:p>
      </w:sdtContent>
    </w:sdt>
    <w:bookmarkEnd w:id="1" w:displacedByCustomXml="prev"/>
    <w:sectPr w:rsidR="00C77BC6" w:rsidRPr="00C77BC6" w:rsidSect="00764B6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07D69" w14:textId="77777777" w:rsidR="009415BB" w:rsidRDefault="009415BB" w:rsidP="004F5E36">
      <w:r>
        <w:separator/>
      </w:r>
    </w:p>
  </w:endnote>
  <w:endnote w:type="continuationSeparator" w:id="0">
    <w:p w14:paraId="2C4204B8" w14:textId="77777777" w:rsidR="009415BB" w:rsidRDefault="009415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2314B" w14:textId="77777777" w:rsidR="009415BB" w:rsidRDefault="009415BB" w:rsidP="004F5E36">
      <w:r>
        <w:separator/>
      </w:r>
    </w:p>
  </w:footnote>
  <w:footnote w:type="continuationSeparator" w:id="0">
    <w:p w14:paraId="5DD93D6A" w14:textId="77777777" w:rsidR="009415BB" w:rsidRDefault="009415B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C5ABEE8"/>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b/>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14134BA"/>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A674FD7"/>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22"/>
  </w:num>
  <w:num w:numId="24">
    <w:abstractNumId w:val="11"/>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7D20"/>
    <w:rsid w:val="000117CB"/>
    <w:rsid w:val="00020A50"/>
    <w:rsid w:val="0003145E"/>
    <w:rsid w:val="0003148D"/>
    <w:rsid w:val="00031EEC"/>
    <w:rsid w:val="000341C6"/>
    <w:rsid w:val="00041217"/>
    <w:rsid w:val="0004385C"/>
    <w:rsid w:val="00051566"/>
    <w:rsid w:val="00054DA7"/>
    <w:rsid w:val="000562A9"/>
    <w:rsid w:val="00062A9A"/>
    <w:rsid w:val="00065058"/>
    <w:rsid w:val="000812D5"/>
    <w:rsid w:val="00085DC6"/>
    <w:rsid w:val="00086C39"/>
    <w:rsid w:val="000A03B2"/>
    <w:rsid w:val="000A5C49"/>
    <w:rsid w:val="000B4403"/>
    <w:rsid w:val="000B67E7"/>
    <w:rsid w:val="000C119F"/>
    <w:rsid w:val="000D0268"/>
    <w:rsid w:val="000D34BE"/>
    <w:rsid w:val="000E102F"/>
    <w:rsid w:val="000E201A"/>
    <w:rsid w:val="000E36F1"/>
    <w:rsid w:val="000E3A73"/>
    <w:rsid w:val="000E414A"/>
    <w:rsid w:val="000E4745"/>
    <w:rsid w:val="000E6F09"/>
    <w:rsid w:val="000E7C7E"/>
    <w:rsid w:val="000F093C"/>
    <w:rsid w:val="000F787B"/>
    <w:rsid w:val="00100925"/>
    <w:rsid w:val="0012091F"/>
    <w:rsid w:val="00121197"/>
    <w:rsid w:val="00125664"/>
    <w:rsid w:val="00126BC2"/>
    <w:rsid w:val="001308B6"/>
    <w:rsid w:val="0013121F"/>
    <w:rsid w:val="00131434"/>
    <w:rsid w:val="00131FE6"/>
    <w:rsid w:val="0013263F"/>
    <w:rsid w:val="001331DF"/>
    <w:rsid w:val="00134DE4"/>
    <w:rsid w:val="0014034D"/>
    <w:rsid w:val="00144D16"/>
    <w:rsid w:val="001475A0"/>
    <w:rsid w:val="00150E59"/>
    <w:rsid w:val="00152DE3"/>
    <w:rsid w:val="00155D48"/>
    <w:rsid w:val="00156F74"/>
    <w:rsid w:val="00164CF9"/>
    <w:rsid w:val="001667A6"/>
    <w:rsid w:val="0017549E"/>
    <w:rsid w:val="00180AA0"/>
    <w:rsid w:val="00184AD6"/>
    <w:rsid w:val="001873A6"/>
    <w:rsid w:val="0019515C"/>
    <w:rsid w:val="001A4AF7"/>
    <w:rsid w:val="001B0349"/>
    <w:rsid w:val="001B1E93"/>
    <w:rsid w:val="001B65C1"/>
    <w:rsid w:val="001C28DA"/>
    <w:rsid w:val="001C684B"/>
    <w:rsid w:val="001D0CFB"/>
    <w:rsid w:val="001D21AF"/>
    <w:rsid w:val="001D53FC"/>
    <w:rsid w:val="001F42A5"/>
    <w:rsid w:val="001F6274"/>
    <w:rsid w:val="001F7B9D"/>
    <w:rsid w:val="00201C93"/>
    <w:rsid w:val="00210A8C"/>
    <w:rsid w:val="00210C36"/>
    <w:rsid w:val="00213F78"/>
    <w:rsid w:val="002145E4"/>
    <w:rsid w:val="00216B01"/>
    <w:rsid w:val="002224B4"/>
    <w:rsid w:val="00226B5A"/>
    <w:rsid w:val="00230E5B"/>
    <w:rsid w:val="00231288"/>
    <w:rsid w:val="00236DB2"/>
    <w:rsid w:val="002447EF"/>
    <w:rsid w:val="00251550"/>
    <w:rsid w:val="00263B05"/>
    <w:rsid w:val="0027221A"/>
    <w:rsid w:val="00272EF4"/>
    <w:rsid w:val="00275B61"/>
    <w:rsid w:val="00280FAF"/>
    <w:rsid w:val="00282656"/>
    <w:rsid w:val="00290FA8"/>
    <w:rsid w:val="00296B83"/>
    <w:rsid w:val="002A108C"/>
    <w:rsid w:val="002A33AB"/>
    <w:rsid w:val="002B4015"/>
    <w:rsid w:val="002B5DE2"/>
    <w:rsid w:val="002B65AD"/>
    <w:rsid w:val="002B78CE"/>
    <w:rsid w:val="002C2FB6"/>
    <w:rsid w:val="002D4F99"/>
    <w:rsid w:val="002E5FA7"/>
    <w:rsid w:val="002F2442"/>
    <w:rsid w:val="002F3309"/>
    <w:rsid w:val="002F3BD0"/>
    <w:rsid w:val="003008CE"/>
    <w:rsid w:val="003009B7"/>
    <w:rsid w:val="00300E56"/>
    <w:rsid w:val="0030152C"/>
    <w:rsid w:val="0030469C"/>
    <w:rsid w:val="003111B2"/>
    <w:rsid w:val="00321CA6"/>
    <w:rsid w:val="00323763"/>
    <w:rsid w:val="00323C5F"/>
    <w:rsid w:val="00330EB7"/>
    <w:rsid w:val="00333BF2"/>
    <w:rsid w:val="00334C09"/>
    <w:rsid w:val="003502D1"/>
    <w:rsid w:val="003505AD"/>
    <w:rsid w:val="00352336"/>
    <w:rsid w:val="003700D1"/>
    <w:rsid w:val="0037022B"/>
    <w:rsid w:val="003723D4"/>
    <w:rsid w:val="00381905"/>
    <w:rsid w:val="00384CC8"/>
    <w:rsid w:val="003871FD"/>
    <w:rsid w:val="003A1E30"/>
    <w:rsid w:val="003A2829"/>
    <w:rsid w:val="003A6FC6"/>
    <w:rsid w:val="003A7D1C"/>
    <w:rsid w:val="003B304B"/>
    <w:rsid w:val="003B3146"/>
    <w:rsid w:val="003B76A6"/>
    <w:rsid w:val="003F015E"/>
    <w:rsid w:val="003F45A0"/>
    <w:rsid w:val="003F69B0"/>
    <w:rsid w:val="00400414"/>
    <w:rsid w:val="004113B6"/>
    <w:rsid w:val="0041446B"/>
    <w:rsid w:val="00431209"/>
    <w:rsid w:val="0044071E"/>
    <w:rsid w:val="0044329C"/>
    <w:rsid w:val="0044531B"/>
    <w:rsid w:val="0045357C"/>
    <w:rsid w:val="00453E24"/>
    <w:rsid w:val="00457456"/>
    <w:rsid w:val="004577FE"/>
    <w:rsid w:val="00457B48"/>
    <w:rsid w:val="00457B9C"/>
    <w:rsid w:val="0046164A"/>
    <w:rsid w:val="004628D2"/>
    <w:rsid w:val="00462DCD"/>
    <w:rsid w:val="004648AD"/>
    <w:rsid w:val="00465023"/>
    <w:rsid w:val="004703A9"/>
    <w:rsid w:val="00473228"/>
    <w:rsid w:val="004760DE"/>
    <w:rsid w:val="004761E9"/>
    <w:rsid w:val="004763D7"/>
    <w:rsid w:val="0047725C"/>
    <w:rsid w:val="00493E0D"/>
    <w:rsid w:val="004A004E"/>
    <w:rsid w:val="004A24CF"/>
    <w:rsid w:val="004A6216"/>
    <w:rsid w:val="004C0915"/>
    <w:rsid w:val="004C3D1D"/>
    <w:rsid w:val="004C3D84"/>
    <w:rsid w:val="004C7913"/>
    <w:rsid w:val="004D4CF4"/>
    <w:rsid w:val="004D7351"/>
    <w:rsid w:val="004D76FF"/>
    <w:rsid w:val="004E1C02"/>
    <w:rsid w:val="004E4DD6"/>
    <w:rsid w:val="004F3A44"/>
    <w:rsid w:val="004F5E36"/>
    <w:rsid w:val="00507B47"/>
    <w:rsid w:val="00507BEF"/>
    <w:rsid w:val="00507CC9"/>
    <w:rsid w:val="005119A5"/>
    <w:rsid w:val="00516AAC"/>
    <w:rsid w:val="00521C0B"/>
    <w:rsid w:val="005278B7"/>
    <w:rsid w:val="00527C39"/>
    <w:rsid w:val="00532016"/>
    <w:rsid w:val="005346C8"/>
    <w:rsid w:val="00543E7D"/>
    <w:rsid w:val="0054677B"/>
    <w:rsid w:val="00547A68"/>
    <w:rsid w:val="005531C9"/>
    <w:rsid w:val="00555185"/>
    <w:rsid w:val="005631EB"/>
    <w:rsid w:val="00570C43"/>
    <w:rsid w:val="005807D3"/>
    <w:rsid w:val="0059308B"/>
    <w:rsid w:val="005B2110"/>
    <w:rsid w:val="005B61E6"/>
    <w:rsid w:val="005B7B5F"/>
    <w:rsid w:val="005C77E1"/>
    <w:rsid w:val="005D03E8"/>
    <w:rsid w:val="005D668A"/>
    <w:rsid w:val="005D6A2F"/>
    <w:rsid w:val="005E1A82"/>
    <w:rsid w:val="005E794C"/>
    <w:rsid w:val="005F0A28"/>
    <w:rsid w:val="005F0E5E"/>
    <w:rsid w:val="005F23E1"/>
    <w:rsid w:val="00600535"/>
    <w:rsid w:val="00610CD6"/>
    <w:rsid w:val="00620DEE"/>
    <w:rsid w:val="00621F92"/>
    <w:rsid w:val="0062280A"/>
    <w:rsid w:val="00625639"/>
    <w:rsid w:val="00625679"/>
    <w:rsid w:val="00630FBF"/>
    <w:rsid w:val="00631B33"/>
    <w:rsid w:val="00637FC6"/>
    <w:rsid w:val="0064184D"/>
    <w:rsid w:val="006422CC"/>
    <w:rsid w:val="0065704B"/>
    <w:rsid w:val="006570EC"/>
    <w:rsid w:val="00657BA5"/>
    <w:rsid w:val="00660E3E"/>
    <w:rsid w:val="00662E74"/>
    <w:rsid w:val="00671346"/>
    <w:rsid w:val="00680C23"/>
    <w:rsid w:val="00693766"/>
    <w:rsid w:val="006A23E9"/>
    <w:rsid w:val="006A3281"/>
    <w:rsid w:val="006B4888"/>
    <w:rsid w:val="006C0556"/>
    <w:rsid w:val="006C0589"/>
    <w:rsid w:val="006C2E45"/>
    <w:rsid w:val="006C359C"/>
    <w:rsid w:val="006C5579"/>
    <w:rsid w:val="006D6E8B"/>
    <w:rsid w:val="006E737D"/>
    <w:rsid w:val="00705BF6"/>
    <w:rsid w:val="007063DC"/>
    <w:rsid w:val="00711296"/>
    <w:rsid w:val="00713973"/>
    <w:rsid w:val="00720A24"/>
    <w:rsid w:val="00732386"/>
    <w:rsid w:val="0073514D"/>
    <w:rsid w:val="007447F3"/>
    <w:rsid w:val="00745F10"/>
    <w:rsid w:val="0075499F"/>
    <w:rsid w:val="00754B1E"/>
    <w:rsid w:val="00764B69"/>
    <w:rsid w:val="007661C8"/>
    <w:rsid w:val="0077098D"/>
    <w:rsid w:val="007741CF"/>
    <w:rsid w:val="00785CAE"/>
    <w:rsid w:val="007931FA"/>
    <w:rsid w:val="00797A41"/>
    <w:rsid w:val="00797C5E"/>
    <w:rsid w:val="007A4861"/>
    <w:rsid w:val="007A7BBA"/>
    <w:rsid w:val="007B0C50"/>
    <w:rsid w:val="007B48F9"/>
    <w:rsid w:val="007C1A43"/>
    <w:rsid w:val="007D07EB"/>
    <w:rsid w:val="007D0951"/>
    <w:rsid w:val="007E0BC1"/>
    <w:rsid w:val="007E1EA9"/>
    <w:rsid w:val="007E5280"/>
    <w:rsid w:val="007E69EC"/>
    <w:rsid w:val="0080013E"/>
    <w:rsid w:val="00813288"/>
    <w:rsid w:val="008168FC"/>
    <w:rsid w:val="0082056B"/>
    <w:rsid w:val="00830996"/>
    <w:rsid w:val="00830D0E"/>
    <w:rsid w:val="008345F1"/>
    <w:rsid w:val="00836471"/>
    <w:rsid w:val="008414CB"/>
    <w:rsid w:val="008417DB"/>
    <w:rsid w:val="00843EAC"/>
    <w:rsid w:val="00850C39"/>
    <w:rsid w:val="00860DB0"/>
    <w:rsid w:val="00861031"/>
    <w:rsid w:val="00864C1C"/>
    <w:rsid w:val="00865B07"/>
    <w:rsid w:val="008667EA"/>
    <w:rsid w:val="00867157"/>
    <w:rsid w:val="0087637F"/>
    <w:rsid w:val="00880746"/>
    <w:rsid w:val="00886C19"/>
    <w:rsid w:val="0089252F"/>
    <w:rsid w:val="00892AD5"/>
    <w:rsid w:val="00894758"/>
    <w:rsid w:val="008A1512"/>
    <w:rsid w:val="008B52F2"/>
    <w:rsid w:val="008B7C03"/>
    <w:rsid w:val="008C4E21"/>
    <w:rsid w:val="008D32B9"/>
    <w:rsid w:val="008D433B"/>
    <w:rsid w:val="008D4A16"/>
    <w:rsid w:val="008E566E"/>
    <w:rsid w:val="008E71AD"/>
    <w:rsid w:val="008F7FCF"/>
    <w:rsid w:val="0090161A"/>
    <w:rsid w:val="00901EB6"/>
    <w:rsid w:val="00902EDA"/>
    <w:rsid w:val="00904C62"/>
    <w:rsid w:val="0091749E"/>
    <w:rsid w:val="00922BA8"/>
    <w:rsid w:val="00924DAC"/>
    <w:rsid w:val="00927058"/>
    <w:rsid w:val="009415BB"/>
    <w:rsid w:val="00942750"/>
    <w:rsid w:val="009450CE"/>
    <w:rsid w:val="009459BB"/>
    <w:rsid w:val="00947179"/>
    <w:rsid w:val="0095164B"/>
    <w:rsid w:val="00954090"/>
    <w:rsid w:val="009573E7"/>
    <w:rsid w:val="0096178A"/>
    <w:rsid w:val="00963E05"/>
    <w:rsid w:val="00964A45"/>
    <w:rsid w:val="00967843"/>
    <w:rsid w:val="00967D54"/>
    <w:rsid w:val="00971028"/>
    <w:rsid w:val="00993B84"/>
    <w:rsid w:val="009953EC"/>
    <w:rsid w:val="00996483"/>
    <w:rsid w:val="00996F5A"/>
    <w:rsid w:val="009B041A"/>
    <w:rsid w:val="009B74DC"/>
    <w:rsid w:val="009C37C3"/>
    <w:rsid w:val="009C7C86"/>
    <w:rsid w:val="009D2FF7"/>
    <w:rsid w:val="009E7321"/>
    <w:rsid w:val="009E7884"/>
    <w:rsid w:val="009E788A"/>
    <w:rsid w:val="009F0E08"/>
    <w:rsid w:val="009F4950"/>
    <w:rsid w:val="009F7A9D"/>
    <w:rsid w:val="00A000DC"/>
    <w:rsid w:val="00A1044F"/>
    <w:rsid w:val="00A1763D"/>
    <w:rsid w:val="00A17CEC"/>
    <w:rsid w:val="00A224AD"/>
    <w:rsid w:val="00A238BC"/>
    <w:rsid w:val="00A2547F"/>
    <w:rsid w:val="00A26327"/>
    <w:rsid w:val="00A27EF0"/>
    <w:rsid w:val="00A41F00"/>
    <w:rsid w:val="00A42361"/>
    <w:rsid w:val="00A4444E"/>
    <w:rsid w:val="00A50B20"/>
    <w:rsid w:val="00A51390"/>
    <w:rsid w:val="00A60D13"/>
    <w:rsid w:val="00A7223D"/>
    <w:rsid w:val="00A72745"/>
    <w:rsid w:val="00A76EFC"/>
    <w:rsid w:val="00A87D50"/>
    <w:rsid w:val="00A91010"/>
    <w:rsid w:val="00A97F29"/>
    <w:rsid w:val="00AA702E"/>
    <w:rsid w:val="00AA7D26"/>
    <w:rsid w:val="00AB0964"/>
    <w:rsid w:val="00AB5011"/>
    <w:rsid w:val="00AC7368"/>
    <w:rsid w:val="00AD0473"/>
    <w:rsid w:val="00AD16B9"/>
    <w:rsid w:val="00AD17AF"/>
    <w:rsid w:val="00AE377D"/>
    <w:rsid w:val="00AF0EBA"/>
    <w:rsid w:val="00B02C8A"/>
    <w:rsid w:val="00B1441A"/>
    <w:rsid w:val="00B15EBF"/>
    <w:rsid w:val="00B17FBD"/>
    <w:rsid w:val="00B2166F"/>
    <w:rsid w:val="00B22EF5"/>
    <w:rsid w:val="00B313D2"/>
    <w:rsid w:val="00B315A6"/>
    <w:rsid w:val="00B31813"/>
    <w:rsid w:val="00B33365"/>
    <w:rsid w:val="00B548AC"/>
    <w:rsid w:val="00B57B36"/>
    <w:rsid w:val="00B57E6F"/>
    <w:rsid w:val="00B632F7"/>
    <w:rsid w:val="00B65AAB"/>
    <w:rsid w:val="00B804F1"/>
    <w:rsid w:val="00B83467"/>
    <w:rsid w:val="00B8686D"/>
    <w:rsid w:val="00B93F69"/>
    <w:rsid w:val="00BA082E"/>
    <w:rsid w:val="00BA379A"/>
    <w:rsid w:val="00BB040F"/>
    <w:rsid w:val="00BB1DDC"/>
    <w:rsid w:val="00BC30C9"/>
    <w:rsid w:val="00BC5C82"/>
    <w:rsid w:val="00BC7AE5"/>
    <w:rsid w:val="00BC7C6F"/>
    <w:rsid w:val="00BD077D"/>
    <w:rsid w:val="00BE3E58"/>
    <w:rsid w:val="00C01616"/>
    <w:rsid w:val="00C0162B"/>
    <w:rsid w:val="00C068ED"/>
    <w:rsid w:val="00C1215D"/>
    <w:rsid w:val="00C12A89"/>
    <w:rsid w:val="00C15D61"/>
    <w:rsid w:val="00C22E0C"/>
    <w:rsid w:val="00C248EE"/>
    <w:rsid w:val="00C345B1"/>
    <w:rsid w:val="00C40142"/>
    <w:rsid w:val="00C4165A"/>
    <w:rsid w:val="00C44474"/>
    <w:rsid w:val="00C45C87"/>
    <w:rsid w:val="00C52C3C"/>
    <w:rsid w:val="00C57182"/>
    <w:rsid w:val="00C57863"/>
    <w:rsid w:val="00C640AF"/>
    <w:rsid w:val="00C655FD"/>
    <w:rsid w:val="00C75407"/>
    <w:rsid w:val="00C77BC6"/>
    <w:rsid w:val="00C8545C"/>
    <w:rsid w:val="00C86AE9"/>
    <w:rsid w:val="00C870A8"/>
    <w:rsid w:val="00C94434"/>
    <w:rsid w:val="00CA0D4A"/>
    <w:rsid w:val="00CA0D75"/>
    <w:rsid w:val="00CA1C95"/>
    <w:rsid w:val="00CA539B"/>
    <w:rsid w:val="00CA5A9C"/>
    <w:rsid w:val="00CC4C20"/>
    <w:rsid w:val="00CC5E08"/>
    <w:rsid w:val="00CC78F1"/>
    <w:rsid w:val="00CD3517"/>
    <w:rsid w:val="00CD5FE2"/>
    <w:rsid w:val="00CE766C"/>
    <w:rsid w:val="00CE7C68"/>
    <w:rsid w:val="00D02B4C"/>
    <w:rsid w:val="00D040C4"/>
    <w:rsid w:val="00D13569"/>
    <w:rsid w:val="00D14071"/>
    <w:rsid w:val="00D20AD1"/>
    <w:rsid w:val="00D46B7E"/>
    <w:rsid w:val="00D57C84"/>
    <w:rsid w:val="00D6057D"/>
    <w:rsid w:val="00D61831"/>
    <w:rsid w:val="00D648EC"/>
    <w:rsid w:val="00D71640"/>
    <w:rsid w:val="00D77936"/>
    <w:rsid w:val="00D77B07"/>
    <w:rsid w:val="00D836C5"/>
    <w:rsid w:val="00D84576"/>
    <w:rsid w:val="00D96473"/>
    <w:rsid w:val="00DA1399"/>
    <w:rsid w:val="00DA24C6"/>
    <w:rsid w:val="00DA4173"/>
    <w:rsid w:val="00DA48A0"/>
    <w:rsid w:val="00DA4C7F"/>
    <w:rsid w:val="00DA4D7B"/>
    <w:rsid w:val="00DA69CC"/>
    <w:rsid w:val="00DB3233"/>
    <w:rsid w:val="00DD271C"/>
    <w:rsid w:val="00DD3FCD"/>
    <w:rsid w:val="00DE18F2"/>
    <w:rsid w:val="00DE264A"/>
    <w:rsid w:val="00DF5072"/>
    <w:rsid w:val="00DF53D2"/>
    <w:rsid w:val="00E015EC"/>
    <w:rsid w:val="00E02D18"/>
    <w:rsid w:val="00E041E7"/>
    <w:rsid w:val="00E07779"/>
    <w:rsid w:val="00E161A2"/>
    <w:rsid w:val="00E23CA1"/>
    <w:rsid w:val="00E251B7"/>
    <w:rsid w:val="00E33DD7"/>
    <w:rsid w:val="00E35228"/>
    <w:rsid w:val="00E409A8"/>
    <w:rsid w:val="00E43CE7"/>
    <w:rsid w:val="00E50C12"/>
    <w:rsid w:val="00E521BD"/>
    <w:rsid w:val="00E65B91"/>
    <w:rsid w:val="00E7209D"/>
    <w:rsid w:val="00E72EAD"/>
    <w:rsid w:val="00E761C6"/>
    <w:rsid w:val="00E77223"/>
    <w:rsid w:val="00E80159"/>
    <w:rsid w:val="00E8528B"/>
    <w:rsid w:val="00E85B94"/>
    <w:rsid w:val="00E978D0"/>
    <w:rsid w:val="00EA4613"/>
    <w:rsid w:val="00EA6758"/>
    <w:rsid w:val="00EA7F91"/>
    <w:rsid w:val="00EB1523"/>
    <w:rsid w:val="00EB4472"/>
    <w:rsid w:val="00EC0E49"/>
    <w:rsid w:val="00EC101F"/>
    <w:rsid w:val="00EC144F"/>
    <w:rsid w:val="00EC1D9F"/>
    <w:rsid w:val="00EC272C"/>
    <w:rsid w:val="00EE0131"/>
    <w:rsid w:val="00EE17B0"/>
    <w:rsid w:val="00EE2DFA"/>
    <w:rsid w:val="00EF06D9"/>
    <w:rsid w:val="00EF23D4"/>
    <w:rsid w:val="00F0340B"/>
    <w:rsid w:val="00F3049E"/>
    <w:rsid w:val="00F30C64"/>
    <w:rsid w:val="00F32BA2"/>
    <w:rsid w:val="00F32CDB"/>
    <w:rsid w:val="00F34E1D"/>
    <w:rsid w:val="00F52E61"/>
    <w:rsid w:val="00F565FE"/>
    <w:rsid w:val="00F56DD9"/>
    <w:rsid w:val="00F57617"/>
    <w:rsid w:val="00F63A70"/>
    <w:rsid w:val="00F63D8C"/>
    <w:rsid w:val="00F7534E"/>
    <w:rsid w:val="00F90AB4"/>
    <w:rsid w:val="00F93EDF"/>
    <w:rsid w:val="00FA15B8"/>
    <w:rsid w:val="00FA1802"/>
    <w:rsid w:val="00FA21D0"/>
    <w:rsid w:val="00FA5F5F"/>
    <w:rsid w:val="00FB730C"/>
    <w:rsid w:val="00FC2695"/>
    <w:rsid w:val="00FC3E03"/>
    <w:rsid w:val="00FC3FC1"/>
    <w:rsid w:val="00FE1F57"/>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3505AD"/>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3505AD"/>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styleId="Textodelmarcadordeposicin">
    <w:name w:val="Placeholder Text"/>
    <w:basedOn w:val="Fuentedeprrafopredeter"/>
    <w:uiPriority w:val="99"/>
    <w:semiHidden/>
    <w:rsid w:val="00C77BC6"/>
    <w:rPr>
      <w:color w:val="808080"/>
    </w:rPr>
  </w:style>
  <w:style w:type="character" w:customStyle="1" w:styleId="UnresolvedMention1">
    <w:name w:val="Unresolved Mention1"/>
    <w:basedOn w:val="Fuentedeprrafopredeter"/>
    <w:uiPriority w:val="99"/>
    <w:semiHidden/>
    <w:unhideWhenUsed/>
    <w:rsid w:val="00216B01"/>
    <w:rPr>
      <w:color w:val="605E5C"/>
      <w:shd w:val="clear" w:color="auto" w:fill="E1DFDD"/>
    </w:rPr>
  </w:style>
  <w:style w:type="character" w:styleId="Mencinsinresolver">
    <w:name w:val="Unresolved Mention"/>
    <w:basedOn w:val="Fuentedeprrafopredeter"/>
    <w:uiPriority w:val="99"/>
    <w:semiHidden/>
    <w:unhideWhenUsed/>
    <w:rsid w:val="00995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42111">
      <w:bodyDiv w:val="1"/>
      <w:marLeft w:val="0"/>
      <w:marRight w:val="0"/>
      <w:marTop w:val="0"/>
      <w:marBottom w:val="0"/>
      <w:divBdr>
        <w:top w:val="none" w:sz="0" w:space="0" w:color="auto"/>
        <w:left w:val="none" w:sz="0" w:space="0" w:color="auto"/>
        <w:bottom w:val="none" w:sz="0" w:space="0" w:color="auto"/>
        <w:right w:val="none" w:sz="0" w:space="0" w:color="auto"/>
      </w:divBdr>
      <w:divsChild>
        <w:div w:id="1998418468">
          <w:marLeft w:val="480"/>
          <w:marRight w:val="0"/>
          <w:marTop w:val="0"/>
          <w:marBottom w:val="0"/>
          <w:divBdr>
            <w:top w:val="none" w:sz="0" w:space="0" w:color="auto"/>
            <w:left w:val="none" w:sz="0" w:space="0" w:color="auto"/>
            <w:bottom w:val="none" w:sz="0" w:space="0" w:color="auto"/>
            <w:right w:val="none" w:sz="0" w:space="0" w:color="auto"/>
          </w:divBdr>
        </w:div>
        <w:div w:id="1862278960">
          <w:marLeft w:val="480"/>
          <w:marRight w:val="0"/>
          <w:marTop w:val="0"/>
          <w:marBottom w:val="0"/>
          <w:divBdr>
            <w:top w:val="none" w:sz="0" w:space="0" w:color="auto"/>
            <w:left w:val="none" w:sz="0" w:space="0" w:color="auto"/>
            <w:bottom w:val="none" w:sz="0" w:space="0" w:color="auto"/>
            <w:right w:val="none" w:sz="0" w:space="0" w:color="auto"/>
          </w:divBdr>
        </w:div>
        <w:div w:id="154497519">
          <w:marLeft w:val="480"/>
          <w:marRight w:val="0"/>
          <w:marTop w:val="0"/>
          <w:marBottom w:val="0"/>
          <w:divBdr>
            <w:top w:val="none" w:sz="0" w:space="0" w:color="auto"/>
            <w:left w:val="none" w:sz="0" w:space="0" w:color="auto"/>
            <w:bottom w:val="none" w:sz="0" w:space="0" w:color="auto"/>
            <w:right w:val="none" w:sz="0" w:space="0" w:color="auto"/>
          </w:divBdr>
        </w:div>
      </w:divsChild>
    </w:div>
    <w:div w:id="386491689">
      <w:bodyDiv w:val="1"/>
      <w:marLeft w:val="0"/>
      <w:marRight w:val="0"/>
      <w:marTop w:val="0"/>
      <w:marBottom w:val="0"/>
      <w:divBdr>
        <w:top w:val="none" w:sz="0" w:space="0" w:color="auto"/>
        <w:left w:val="none" w:sz="0" w:space="0" w:color="auto"/>
        <w:bottom w:val="none" w:sz="0" w:space="0" w:color="auto"/>
        <w:right w:val="none" w:sz="0" w:space="0" w:color="auto"/>
      </w:divBdr>
      <w:divsChild>
        <w:div w:id="862865141">
          <w:marLeft w:val="480"/>
          <w:marRight w:val="0"/>
          <w:marTop w:val="0"/>
          <w:marBottom w:val="0"/>
          <w:divBdr>
            <w:top w:val="none" w:sz="0" w:space="0" w:color="auto"/>
            <w:left w:val="none" w:sz="0" w:space="0" w:color="auto"/>
            <w:bottom w:val="none" w:sz="0" w:space="0" w:color="auto"/>
            <w:right w:val="none" w:sz="0" w:space="0" w:color="auto"/>
          </w:divBdr>
        </w:div>
        <w:div w:id="1022782093">
          <w:marLeft w:val="480"/>
          <w:marRight w:val="0"/>
          <w:marTop w:val="0"/>
          <w:marBottom w:val="0"/>
          <w:divBdr>
            <w:top w:val="none" w:sz="0" w:space="0" w:color="auto"/>
            <w:left w:val="none" w:sz="0" w:space="0" w:color="auto"/>
            <w:bottom w:val="none" w:sz="0" w:space="0" w:color="auto"/>
            <w:right w:val="none" w:sz="0" w:space="0" w:color="auto"/>
          </w:divBdr>
        </w:div>
        <w:div w:id="1131943775">
          <w:marLeft w:val="480"/>
          <w:marRight w:val="0"/>
          <w:marTop w:val="0"/>
          <w:marBottom w:val="0"/>
          <w:divBdr>
            <w:top w:val="none" w:sz="0" w:space="0" w:color="auto"/>
            <w:left w:val="none" w:sz="0" w:space="0" w:color="auto"/>
            <w:bottom w:val="none" w:sz="0" w:space="0" w:color="auto"/>
            <w:right w:val="none" w:sz="0" w:space="0" w:color="auto"/>
          </w:divBdr>
        </w:div>
        <w:div w:id="952398819">
          <w:marLeft w:val="480"/>
          <w:marRight w:val="0"/>
          <w:marTop w:val="0"/>
          <w:marBottom w:val="0"/>
          <w:divBdr>
            <w:top w:val="none" w:sz="0" w:space="0" w:color="auto"/>
            <w:left w:val="none" w:sz="0" w:space="0" w:color="auto"/>
            <w:bottom w:val="none" w:sz="0" w:space="0" w:color="auto"/>
            <w:right w:val="none" w:sz="0" w:space="0" w:color="auto"/>
          </w:divBdr>
        </w:div>
        <w:div w:id="1700008301">
          <w:marLeft w:val="480"/>
          <w:marRight w:val="0"/>
          <w:marTop w:val="0"/>
          <w:marBottom w:val="0"/>
          <w:divBdr>
            <w:top w:val="none" w:sz="0" w:space="0" w:color="auto"/>
            <w:left w:val="none" w:sz="0" w:space="0" w:color="auto"/>
            <w:bottom w:val="none" w:sz="0" w:space="0" w:color="auto"/>
            <w:right w:val="none" w:sz="0" w:space="0" w:color="auto"/>
          </w:divBdr>
        </w:div>
        <w:div w:id="309142527">
          <w:marLeft w:val="480"/>
          <w:marRight w:val="0"/>
          <w:marTop w:val="0"/>
          <w:marBottom w:val="0"/>
          <w:divBdr>
            <w:top w:val="none" w:sz="0" w:space="0" w:color="auto"/>
            <w:left w:val="none" w:sz="0" w:space="0" w:color="auto"/>
            <w:bottom w:val="none" w:sz="0" w:space="0" w:color="auto"/>
            <w:right w:val="none" w:sz="0" w:space="0" w:color="auto"/>
          </w:divBdr>
        </w:div>
        <w:div w:id="250086796">
          <w:marLeft w:val="480"/>
          <w:marRight w:val="0"/>
          <w:marTop w:val="0"/>
          <w:marBottom w:val="0"/>
          <w:divBdr>
            <w:top w:val="none" w:sz="0" w:space="0" w:color="auto"/>
            <w:left w:val="none" w:sz="0" w:space="0" w:color="auto"/>
            <w:bottom w:val="none" w:sz="0" w:space="0" w:color="auto"/>
            <w:right w:val="none" w:sz="0" w:space="0" w:color="auto"/>
          </w:divBdr>
        </w:div>
        <w:div w:id="1387877508">
          <w:marLeft w:val="480"/>
          <w:marRight w:val="0"/>
          <w:marTop w:val="0"/>
          <w:marBottom w:val="0"/>
          <w:divBdr>
            <w:top w:val="none" w:sz="0" w:space="0" w:color="auto"/>
            <w:left w:val="none" w:sz="0" w:space="0" w:color="auto"/>
            <w:bottom w:val="none" w:sz="0" w:space="0" w:color="auto"/>
            <w:right w:val="none" w:sz="0" w:space="0" w:color="auto"/>
          </w:divBdr>
        </w:div>
        <w:div w:id="1882861769">
          <w:marLeft w:val="480"/>
          <w:marRight w:val="0"/>
          <w:marTop w:val="0"/>
          <w:marBottom w:val="0"/>
          <w:divBdr>
            <w:top w:val="none" w:sz="0" w:space="0" w:color="auto"/>
            <w:left w:val="none" w:sz="0" w:space="0" w:color="auto"/>
            <w:bottom w:val="none" w:sz="0" w:space="0" w:color="auto"/>
            <w:right w:val="none" w:sz="0" w:space="0" w:color="auto"/>
          </w:divBdr>
        </w:div>
        <w:div w:id="733816418">
          <w:marLeft w:val="480"/>
          <w:marRight w:val="0"/>
          <w:marTop w:val="0"/>
          <w:marBottom w:val="0"/>
          <w:divBdr>
            <w:top w:val="none" w:sz="0" w:space="0" w:color="auto"/>
            <w:left w:val="none" w:sz="0" w:space="0" w:color="auto"/>
            <w:bottom w:val="none" w:sz="0" w:space="0" w:color="auto"/>
            <w:right w:val="none" w:sz="0" w:space="0" w:color="auto"/>
          </w:divBdr>
        </w:div>
      </w:divsChild>
    </w:div>
    <w:div w:id="414085839">
      <w:bodyDiv w:val="1"/>
      <w:marLeft w:val="0"/>
      <w:marRight w:val="0"/>
      <w:marTop w:val="0"/>
      <w:marBottom w:val="0"/>
      <w:divBdr>
        <w:top w:val="none" w:sz="0" w:space="0" w:color="auto"/>
        <w:left w:val="none" w:sz="0" w:space="0" w:color="auto"/>
        <w:bottom w:val="none" w:sz="0" w:space="0" w:color="auto"/>
        <w:right w:val="none" w:sz="0" w:space="0" w:color="auto"/>
      </w:divBdr>
    </w:div>
    <w:div w:id="513543525">
      <w:bodyDiv w:val="1"/>
      <w:marLeft w:val="0"/>
      <w:marRight w:val="0"/>
      <w:marTop w:val="0"/>
      <w:marBottom w:val="0"/>
      <w:divBdr>
        <w:top w:val="none" w:sz="0" w:space="0" w:color="auto"/>
        <w:left w:val="none" w:sz="0" w:space="0" w:color="auto"/>
        <w:bottom w:val="none" w:sz="0" w:space="0" w:color="auto"/>
        <w:right w:val="none" w:sz="0" w:space="0" w:color="auto"/>
      </w:divBdr>
      <w:divsChild>
        <w:div w:id="1989286892">
          <w:marLeft w:val="480"/>
          <w:marRight w:val="0"/>
          <w:marTop w:val="0"/>
          <w:marBottom w:val="0"/>
          <w:divBdr>
            <w:top w:val="none" w:sz="0" w:space="0" w:color="auto"/>
            <w:left w:val="none" w:sz="0" w:space="0" w:color="auto"/>
            <w:bottom w:val="none" w:sz="0" w:space="0" w:color="auto"/>
            <w:right w:val="none" w:sz="0" w:space="0" w:color="auto"/>
          </w:divBdr>
        </w:div>
        <w:div w:id="897789199">
          <w:marLeft w:val="480"/>
          <w:marRight w:val="0"/>
          <w:marTop w:val="0"/>
          <w:marBottom w:val="0"/>
          <w:divBdr>
            <w:top w:val="none" w:sz="0" w:space="0" w:color="auto"/>
            <w:left w:val="none" w:sz="0" w:space="0" w:color="auto"/>
            <w:bottom w:val="none" w:sz="0" w:space="0" w:color="auto"/>
            <w:right w:val="none" w:sz="0" w:space="0" w:color="auto"/>
          </w:divBdr>
        </w:div>
        <w:div w:id="983461875">
          <w:marLeft w:val="480"/>
          <w:marRight w:val="0"/>
          <w:marTop w:val="0"/>
          <w:marBottom w:val="0"/>
          <w:divBdr>
            <w:top w:val="none" w:sz="0" w:space="0" w:color="auto"/>
            <w:left w:val="none" w:sz="0" w:space="0" w:color="auto"/>
            <w:bottom w:val="none" w:sz="0" w:space="0" w:color="auto"/>
            <w:right w:val="none" w:sz="0" w:space="0" w:color="auto"/>
          </w:divBdr>
        </w:div>
        <w:div w:id="1566840163">
          <w:marLeft w:val="480"/>
          <w:marRight w:val="0"/>
          <w:marTop w:val="0"/>
          <w:marBottom w:val="0"/>
          <w:divBdr>
            <w:top w:val="none" w:sz="0" w:space="0" w:color="auto"/>
            <w:left w:val="none" w:sz="0" w:space="0" w:color="auto"/>
            <w:bottom w:val="none" w:sz="0" w:space="0" w:color="auto"/>
            <w:right w:val="none" w:sz="0" w:space="0" w:color="auto"/>
          </w:divBdr>
        </w:div>
        <w:div w:id="2023895905">
          <w:marLeft w:val="480"/>
          <w:marRight w:val="0"/>
          <w:marTop w:val="0"/>
          <w:marBottom w:val="0"/>
          <w:divBdr>
            <w:top w:val="none" w:sz="0" w:space="0" w:color="auto"/>
            <w:left w:val="none" w:sz="0" w:space="0" w:color="auto"/>
            <w:bottom w:val="none" w:sz="0" w:space="0" w:color="auto"/>
            <w:right w:val="none" w:sz="0" w:space="0" w:color="auto"/>
          </w:divBdr>
        </w:div>
      </w:divsChild>
    </w:div>
    <w:div w:id="570309957">
      <w:bodyDiv w:val="1"/>
      <w:marLeft w:val="0"/>
      <w:marRight w:val="0"/>
      <w:marTop w:val="0"/>
      <w:marBottom w:val="0"/>
      <w:divBdr>
        <w:top w:val="none" w:sz="0" w:space="0" w:color="auto"/>
        <w:left w:val="none" w:sz="0" w:space="0" w:color="auto"/>
        <w:bottom w:val="none" w:sz="0" w:space="0" w:color="auto"/>
        <w:right w:val="none" w:sz="0" w:space="0" w:color="auto"/>
      </w:divBdr>
    </w:div>
    <w:div w:id="584075944">
      <w:bodyDiv w:val="1"/>
      <w:marLeft w:val="0"/>
      <w:marRight w:val="0"/>
      <w:marTop w:val="0"/>
      <w:marBottom w:val="0"/>
      <w:divBdr>
        <w:top w:val="none" w:sz="0" w:space="0" w:color="auto"/>
        <w:left w:val="none" w:sz="0" w:space="0" w:color="auto"/>
        <w:bottom w:val="none" w:sz="0" w:space="0" w:color="auto"/>
        <w:right w:val="none" w:sz="0" w:space="0" w:color="auto"/>
      </w:divBdr>
    </w:div>
    <w:div w:id="584189566">
      <w:bodyDiv w:val="1"/>
      <w:marLeft w:val="0"/>
      <w:marRight w:val="0"/>
      <w:marTop w:val="0"/>
      <w:marBottom w:val="0"/>
      <w:divBdr>
        <w:top w:val="none" w:sz="0" w:space="0" w:color="auto"/>
        <w:left w:val="none" w:sz="0" w:space="0" w:color="auto"/>
        <w:bottom w:val="none" w:sz="0" w:space="0" w:color="auto"/>
        <w:right w:val="none" w:sz="0" w:space="0" w:color="auto"/>
      </w:divBdr>
    </w:div>
    <w:div w:id="634994600">
      <w:bodyDiv w:val="1"/>
      <w:marLeft w:val="0"/>
      <w:marRight w:val="0"/>
      <w:marTop w:val="0"/>
      <w:marBottom w:val="0"/>
      <w:divBdr>
        <w:top w:val="none" w:sz="0" w:space="0" w:color="auto"/>
        <w:left w:val="none" w:sz="0" w:space="0" w:color="auto"/>
        <w:bottom w:val="none" w:sz="0" w:space="0" w:color="auto"/>
        <w:right w:val="none" w:sz="0" w:space="0" w:color="auto"/>
      </w:divBdr>
      <w:divsChild>
        <w:div w:id="738555726">
          <w:marLeft w:val="480"/>
          <w:marRight w:val="0"/>
          <w:marTop w:val="0"/>
          <w:marBottom w:val="0"/>
          <w:divBdr>
            <w:top w:val="none" w:sz="0" w:space="0" w:color="auto"/>
            <w:left w:val="none" w:sz="0" w:space="0" w:color="auto"/>
            <w:bottom w:val="none" w:sz="0" w:space="0" w:color="auto"/>
            <w:right w:val="none" w:sz="0" w:space="0" w:color="auto"/>
          </w:divBdr>
        </w:div>
        <w:div w:id="71973563">
          <w:marLeft w:val="480"/>
          <w:marRight w:val="0"/>
          <w:marTop w:val="0"/>
          <w:marBottom w:val="0"/>
          <w:divBdr>
            <w:top w:val="none" w:sz="0" w:space="0" w:color="auto"/>
            <w:left w:val="none" w:sz="0" w:space="0" w:color="auto"/>
            <w:bottom w:val="none" w:sz="0" w:space="0" w:color="auto"/>
            <w:right w:val="none" w:sz="0" w:space="0" w:color="auto"/>
          </w:divBdr>
        </w:div>
        <w:div w:id="638000084">
          <w:marLeft w:val="480"/>
          <w:marRight w:val="0"/>
          <w:marTop w:val="0"/>
          <w:marBottom w:val="0"/>
          <w:divBdr>
            <w:top w:val="none" w:sz="0" w:space="0" w:color="auto"/>
            <w:left w:val="none" w:sz="0" w:space="0" w:color="auto"/>
            <w:bottom w:val="none" w:sz="0" w:space="0" w:color="auto"/>
            <w:right w:val="none" w:sz="0" w:space="0" w:color="auto"/>
          </w:divBdr>
        </w:div>
        <w:div w:id="560602732">
          <w:marLeft w:val="480"/>
          <w:marRight w:val="0"/>
          <w:marTop w:val="0"/>
          <w:marBottom w:val="0"/>
          <w:divBdr>
            <w:top w:val="none" w:sz="0" w:space="0" w:color="auto"/>
            <w:left w:val="none" w:sz="0" w:space="0" w:color="auto"/>
            <w:bottom w:val="none" w:sz="0" w:space="0" w:color="auto"/>
            <w:right w:val="none" w:sz="0" w:space="0" w:color="auto"/>
          </w:divBdr>
        </w:div>
      </w:divsChild>
    </w:div>
    <w:div w:id="755397882">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598589">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16594584">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728">
      <w:bodyDiv w:val="1"/>
      <w:marLeft w:val="0"/>
      <w:marRight w:val="0"/>
      <w:marTop w:val="0"/>
      <w:marBottom w:val="0"/>
      <w:divBdr>
        <w:top w:val="none" w:sz="0" w:space="0" w:color="auto"/>
        <w:left w:val="none" w:sz="0" w:space="0" w:color="auto"/>
        <w:bottom w:val="none" w:sz="0" w:space="0" w:color="auto"/>
        <w:right w:val="none" w:sz="0" w:space="0" w:color="auto"/>
      </w:divBdr>
    </w:div>
    <w:div w:id="1028532223">
      <w:bodyDiv w:val="1"/>
      <w:marLeft w:val="0"/>
      <w:marRight w:val="0"/>
      <w:marTop w:val="0"/>
      <w:marBottom w:val="0"/>
      <w:divBdr>
        <w:top w:val="none" w:sz="0" w:space="0" w:color="auto"/>
        <w:left w:val="none" w:sz="0" w:space="0" w:color="auto"/>
        <w:bottom w:val="none" w:sz="0" w:space="0" w:color="auto"/>
        <w:right w:val="none" w:sz="0" w:space="0" w:color="auto"/>
      </w:divBdr>
      <w:divsChild>
        <w:div w:id="460273951">
          <w:marLeft w:val="480"/>
          <w:marRight w:val="0"/>
          <w:marTop w:val="0"/>
          <w:marBottom w:val="0"/>
          <w:divBdr>
            <w:top w:val="none" w:sz="0" w:space="0" w:color="auto"/>
            <w:left w:val="none" w:sz="0" w:space="0" w:color="auto"/>
            <w:bottom w:val="none" w:sz="0" w:space="0" w:color="auto"/>
            <w:right w:val="none" w:sz="0" w:space="0" w:color="auto"/>
          </w:divBdr>
        </w:div>
        <w:div w:id="1962220429">
          <w:marLeft w:val="480"/>
          <w:marRight w:val="0"/>
          <w:marTop w:val="0"/>
          <w:marBottom w:val="0"/>
          <w:divBdr>
            <w:top w:val="none" w:sz="0" w:space="0" w:color="auto"/>
            <w:left w:val="none" w:sz="0" w:space="0" w:color="auto"/>
            <w:bottom w:val="none" w:sz="0" w:space="0" w:color="auto"/>
            <w:right w:val="none" w:sz="0" w:space="0" w:color="auto"/>
          </w:divBdr>
        </w:div>
        <w:div w:id="22753873">
          <w:marLeft w:val="480"/>
          <w:marRight w:val="0"/>
          <w:marTop w:val="0"/>
          <w:marBottom w:val="0"/>
          <w:divBdr>
            <w:top w:val="none" w:sz="0" w:space="0" w:color="auto"/>
            <w:left w:val="none" w:sz="0" w:space="0" w:color="auto"/>
            <w:bottom w:val="none" w:sz="0" w:space="0" w:color="auto"/>
            <w:right w:val="none" w:sz="0" w:space="0" w:color="auto"/>
          </w:divBdr>
        </w:div>
        <w:div w:id="1991471333">
          <w:marLeft w:val="480"/>
          <w:marRight w:val="0"/>
          <w:marTop w:val="0"/>
          <w:marBottom w:val="0"/>
          <w:divBdr>
            <w:top w:val="none" w:sz="0" w:space="0" w:color="auto"/>
            <w:left w:val="none" w:sz="0" w:space="0" w:color="auto"/>
            <w:bottom w:val="none" w:sz="0" w:space="0" w:color="auto"/>
            <w:right w:val="none" w:sz="0" w:space="0" w:color="auto"/>
          </w:divBdr>
        </w:div>
        <w:div w:id="411046736">
          <w:marLeft w:val="480"/>
          <w:marRight w:val="0"/>
          <w:marTop w:val="0"/>
          <w:marBottom w:val="0"/>
          <w:divBdr>
            <w:top w:val="none" w:sz="0" w:space="0" w:color="auto"/>
            <w:left w:val="none" w:sz="0" w:space="0" w:color="auto"/>
            <w:bottom w:val="none" w:sz="0" w:space="0" w:color="auto"/>
            <w:right w:val="none" w:sz="0" w:space="0" w:color="auto"/>
          </w:divBdr>
        </w:div>
        <w:div w:id="2015112016">
          <w:marLeft w:val="480"/>
          <w:marRight w:val="0"/>
          <w:marTop w:val="0"/>
          <w:marBottom w:val="0"/>
          <w:divBdr>
            <w:top w:val="none" w:sz="0" w:space="0" w:color="auto"/>
            <w:left w:val="none" w:sz="0" w:space="0" w:color="auto"/>
            <w:bottom w:val="none" w:sz="0" w:space="0" w:color="auto"/>
            <w:right w:val="none" w:sz="0" w:space="0" w:color="auto"/>
          </w:divBdr>
        </w:div>
        <w:div w:id="792097564">
          <w:marLeft w:val="480"/>
          <w:marRight w:val="0"/>
          <w:marTop w:val="0"/>
          <w:marBottom w:val="0"/>
          <w:divBdr>
            <w:top w:val="none" w:sz="0" w:space="0" w:color="auto"/>
            <w:left w:val="none" w:sz="0" w:space="0" w:color="auto"/>
            <w:bottom w:val="none" w:sz="0" w:space="0" w:color="auto"/>
            <w:right w:val="none" w:sz="0" w:space="0" w:color="auto"/>
          </w:divBdr>
        </w:div>
        <w:div w:id="665479775">
          <w:marLeft w:val="480"/>
          <w:marRight w:val="0"/>
          <w:marTop w:val="0"/>
          <w:marBottom w:val="0"/>
          <w:divBdr>
            <w:top w:val="none" w:sz="0" w:space="0" w:color="auto"/>
            <w:left w:val="none" w:sz="0" w:space="0" w:color="auto"/>
            <w:bottom w:val="none" w:sz="0" w:space="0" w:color="auto"/>
            <w:right w:val="none" w:sz="0" w:space="0" w:color="auto"/>
          </w:divBdr>
        </w:div>
        <w:div w:id="1772579565">
          <w:marLeft w:val="480"/>
          <w:marRight w:val="0"/>
          <w:marTop w:val="0"/>
          <w:marBottom w:val="0"/>
          <w:divBdr>
            <w:top w:val="none" w:sz="0" w:space="0" w:color="auto"/>
            <w:left w:val="none" w:sz="0" w:space="0" w:color="auto"/>
            <w:bottom w:val="none" w:sz="0" w:space="0" w:color="auto"/>
            <w:right w:val="none" w:sz="0" w:space="0" w:color="auto"/>
          </w:divBdr>
        </w:div>
      </w:divsChild>
    </w:div>
    <w:div w:id="1201019511">
      <w:bodyDiv w:val="1"/>
      <w:marLeft w:val="0"/>
      <w:marRight w:val="0"/>
      <w:marTop w:val="0"/>
      <w:marBottom w:val="0"/>
      <w:divBdr>
        <w:top w:val="none" w:sz="0" w:space="0" w:color="auto"/>
        <w:left w:val="none" w:sz="0" w:space="0" w:color="auto"/>
        <w:bottom w:val="none" w:sz="0" w:space="0" w:color="auto"/>
        <w:right w:val="none" w:sz="0" w:space="0" w:color="auto"/>
      </w:divBdr>
    </w:div>
    <w:div w:id="1292980040">
      <w:bodyDiv w:val="1"/>
      <w:marLeft w:val="0"/>
      <w:marRight w:val="0"/>
      <w:marTop w:val="0"/>
      <w:marBottom w:val="0"/>
      <w:divBdr>
        <w:top w:val="none" w:sz="0" w:space="0" w:color="auto"/>
        <w:left w:val="none" w:sz="0" w:space="0" w:color="auto"/>
        <w:bottom w:val="none" w:sz="0" w:space="0" w:color="auto"/>
        <w:right w:val="none" w:sz="0" w:space="0" w:color="auto"/>
      </w:divBdr>
    </w:div>
    <w:div w:id="1306736573">
      <w:bodyDiv w:val="1"/>
      <w:marLeft w:val="0"/>
      <w:marRight w:val="0"/>
      <w:marTop w:val="0"/>
      <w:marBottom w:val="0"/>
      <w:divBdr>
        <w:top w:val="none" w:sz="0" w:space="0" w:color="auto"/>
        <w:left w:val="none" w:sz="0" w:space="0" w:color="auto"/>
        <w:bottom w:val="none" w:sz="0" w:space="0" w:color="auto"/>
        <w:right w:val="none" w:sz="0" w:space="0" w:color="auto"/>
      </w:divBdr>
    </w:div>
    <w:div w:id="1396079275">
      <w:bodyDiv w:val="1"/>
      <w:marLeft w:val="0"/>
      <w:marRight w:val="0"/>
      <w:marTop w:val="0"/>
      <w:marBottom w:val="0"/>
      <w:divBdr>
        <w:top w:val="none" w:sz="0" w:space="0" w:color="auto"/>
        <w:left w:val="none" w:sz="0" w:space="0" w:color="auto"/>
        <w:bottom w:val="none" w:sz="0" w:space="0" w:color="auto"/>
        <w:right w:val="none" w:sz="0" w:space="0" w:color="auto"/>
      </w:divBdr>
      <w:divsChild>
        <w:div w:id="784733978">
          <w:marLeft w:val="480"/>
          <w:marRight w:val="0"/>
          <w:marTop w:val="0"/>
          <w:marBottom w:val="0"/>
          <w:divBdr>
            <w:top w:val="none" w:sz="0" w:space="0" w:color="auto"/>
            <w:left w:val="none" w:sz="0" w:space="0" w:color="auto"/>
            <w:bottom w:val="none" w:sz="0" w:space="0" w:color="auto"/>
            <w:right w:val="none" w:sz="0" w:space="0" w:color="auto"/>
          </w:divBdr>
        </w:div>
        <w:div w:id="1388870504">
          <w:marLeft w:val="480"/>
          <w:marRight w:val="0"/>
          <w:marTop w:val="0"/>
          <w:marBottom w:val="0"/>
          <w:divBdr>
            <w:top w:val="none" w:sz="0" w:space="0" w:color="auto"/>
            <w:left w:val="none" w:sz="0" w:space="0" w:color="auto"/>
            <w:bottom w:val="none" w:sz="0" w:space="0" w:color="auto"/>
            <w:right w:val="none" w:sz="0" w:space="0" w:color="auto"/>
          </w:divBdr>
        </w:div>
        <w:div w:id="1670325388">
          <w:marLeft w:val="480"/>
          <w:marRight w:val="0"/>
          <w:marTop w:val="0"/>
          <w:marBottom w:val="0"/>
          <w:divBdr>
            <w:top w:val="none" w:sz="0" w:space="0" w:color="auto"/>
            <w:left w:val="none" w:sz="0" w:space="0" w:color="auto"/>
            <w:bottom w:val="none" w:sz="0" w:space="0" w:color="auto"/>
            <w:right w:val="none" w:sz="0" w:space="0" w:color="auto"/>
          </w:divBdr>
        </w:div>
        <w:div w:id="860165894">
          <w:marLeft w:val="480"/>
          <w:marRight w:val="0"/>
          <w:marTop w:val="0"/>
          <w:marBottom w:val="0"/>
          <w:divBdr>
            <w:top w:val="none" w:sz="0" w:space="0" w:color="auto"/>
            <w:left w:val="none" w:sz="0" w:space="0" w:color="auto"/>
            <w:bottom w:val="none" w:sz="0" w:space="0" w:color="auto"/>
            <w:right w:val="none" w:sz="0" w:space="0" w:color="auto"/>
          </w:divBdr>
        </w:div>
        <w:div w:id="1166093724">
          <w:marLeft w:val="480"/>
          <w:marRight w:val="0"/>
          <w:marTop w:val="0"/>
          <w:marBottom w:val="0"/>
          <w:divBdr>
            <w:top w:val="none" w:sz="0" w:space="0" w:color="auto"/>
            <w:left w:val="none" w:sz="0" w:space="0" w:color="auto"/>
            <w:bottom w:val="none" w:sz="0" w:space="0" w:color="auto"/>
            <w:right w:val="none" w:sz="0" w:space="0" w:color="auto"/>
          </w:divBdr>
        </w:div>
        <w:div w:id="1304047764">
          <w:marLeft w:val="480"/>
          <w:marRight w:val="0"/>
          <w:marTop w:val="0"/>
          <w:marBottom w:val="0"/>
          <w:divBdr>
            <w:top w:val="none" w:sz="0" w:space="0" w:color="auto"/>
            <w:left w:val="none" w:sz="0" w:space="0" w:color="auto"/>
            <w:bottom w:val="none" w:sz="0" w:space="0" w:color="auto"/>
            <w:right w:val="none" w:sz="0" w:space="0" w:color="auto"/>
          </w:divBdr>
        </w:div>
        <w:div w:id="1115950516">
          <w:marLeft w:val="480"/>
          <w:marRight w:val="0"/>
          <w:marTop w:val="0"/>
          <w:marBottom w:val="0"/>
          <w:divBdr>
            <w:top w:val="none" w:sz="0" w:space="0" w:color="auto"/>
            <w:left w:val="none" w:sz="0" w:space="0" w:color="auto"/>
            <w:bottom w:val="none" w:sz="0" w:space="0" w:color="auto"/>
            <w:right w:val="none" w:sz="0" w:space="0" w:color="auto"/>
          </w:divBdr>
        </w:div>
        <w:div w:id="1074281788">
          <w:marLeft w:val="48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568887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2619029">
      <w:bodyDiv w:val="1"/>
      <w:marLeft w:val="0"/>
      <w:marRight w:val="0"/>
      <w:marTop w:val="0"/>
      <w:marBottom w:val="0"/>
      <w:divBdr>
        <w:top w:val="none" w:sz="0" w:space="0" w:color="auto"/>
        <w:left w:val="none" w:sz="0" w:space="0" w:color="auto"/>
        <w:bottom w:val="none" w:sz="0" w:space="0" w:color="auto"/>
        <w:right w:val="none" w:sz="0" w:space="0" w:color="auto"/>
      </w:divBdr>
    </w:div>
    <w:div w:id="1516919232">
      <w:bodyDiv w:val="1"/>
      <w:marLeft w:val="0"/>
      <w:marRight w:val="0"/>
      <w:marTop w:val="0"/>
      <w:marBottom w:val="0"/>
      <w:divBdr>
        <w:top w:val="none" w:sz="0" w:space="0" w:color="auto"/>
        <w:left w:val="none" w:sz="0" w:space="0" w:color="auto"/>
        <w:bottom w:val="none" w:sz="0" w:space="0" w:color="auto"/>
        <w:right w:val="none" w:sz="0" w:space="0" w:color="auto"/>
      </w:divBdr>
      <w:divsChild>
        <w:div w:id="165243196">
          <w:marLeft w:val="480"/>
          <w:marRight w:val="0"/>
          <w:marTop w:val="0"/>
          <w:marBottom w:val="0"/>
          <w:divBdr>
            <w:top w:val="none" w:sz="0" w:space="0" w:color="auto"/>
            <w:left w:val="none" w:sz="0" w:space="0" w:color="auto"/>
            <w:bottom w:val="none" w:sz="0" w:space="0" w:color="auto"/>
            <w:right w:val="none" w:sz="0" w:space="0" w:color="auto"/>
          </w:divBdr>
        </w:div>
        <w:div w:id="1180319280">
          <w:marLeft w:val="480"/>
          <w:marRight w:val="0"/>
          <w:marTop w:val="0"/>
          <w:marBottom w:val="0"/>
          <w:divBdr>
            <w:top w:val="none" w:sz="0" w:space="0" w:color="auto"/>
            <w:left w:val="none" w:sz="0" w:space="0" w:color="auto"/>
            <w:bottom w:val="none" w:sz="0" w:space="0" w:color="auto"/>
            <w:right w:val="none" w:sz="0" w:space="0" w:color="auto"/>
          </w:divBdr>
        </w:div>
      </w:divsChild>
    </w:div>
    <w:div w:id="1570388375">
      <w:bodyDiv w:val="1"/>
      <w:marLeft w:val="0"/>
      <w:marRight w:val="0"/>
      <w:marTop w:val="0"/>
      <w:marBottom w:val="0"/>
      <w:divBdr>
        <w:top w:val="none" w:sz="0" w:space="0" w:color="auto"/>
        <w:left w:val="none" w:sz="0" w:space="0" w:color="auto"/>
        <w:bottom w:val="none" w:sz="0" w:space="0" w:color="auto"/>
        <w:right w:val="none" w:sz="0" w:space="0" w:color="auto"/>
      </w:divBdr>
    </w:div>
    <w:div w:id="1596548233">
      <w:bodyDiv w:val="1"/>
      <w:marLeft w:val="0"/>
      <w:marRight w:val="0"/>
      <w:marTop w:val="0"/>
      <w:marBottom w:val="0"/>
      <w:divBdr>
        <w:top w:val="none" w:sz="0" w:space="0" w:color="auto"/>
        <w:left w:val="none" w:sz="0" w:space="0" w:color="auto"/>
        <w:bottom w:val="none" w:sz="0" w:space="0" w:color="auto"/>
        <w:right w:val="none" w:sz="0" w:space="0" w:color="auto"/>
      </w:divBdr>
      <w:divsChild>
        <w:div w:id="1523124407">
          <w:marLeft w:val="480"/>
          <w:marRight w:val="0"/>
          <w:marTop w:val="0"/>
          <w:marBottom w:val="0"/>
          <w:divBdr>
            <w:top w:val="none" w:sz="0" w:space="0" w:color="auto"/>
            <w:left w:val="none" w:sz="0" w:space="0" w:color="auto"/>
            <w:bottom w:val="none" w:sz="0" w:space="0" w:color="auto"/>
            <w:right w:val="none" w:sz="0" w:space="0" w:color="auto"/>
          </w:divBdr>
        </w:div>
      </w:divsChild>
    </w:div>
    <w:div w:id="1663922087">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1596">
      <w:bodyDiv w:val="1"/>
      <w:marLeft w:val="0"/>
      <w:marRight w:val="0"/>
      <w:marTop w:val="0"/>
      <w:marBottom w:val="0"/>
      <w:divBdr>
        <w:top w:val="none" w:sz="0" w:space="0" w:color="auto"/>
        <w:left w:val="none" w:sz="0" w:space="0" w:color="auto"/>
        <w:bottom w:val="none" w:sz="0" w:space="0" w:color="auto"/>
        <w:right w:val="none" w:sz="0" w:space="0" w:color="auto"/>
      </w:divBdr>
    </w:div>
    <w:div w:id="1797986425">
      <w:bodyDiv w:val="1"/>
      <w:marLeft w:val="0"/>
      <w:marRight w:val="0"/>
      <w:marTop w:val="0"/>
      <w:marBottom w:val="0"/>
      <w:divBdr>
        <w:top w:val="none" w:sz="0" w:space="0" w:color="auto"/>
        <w:left w:val="none" w:sz="0" w:space="0" w:color="auto"/>
        <w:bottom w:val="none" w:sz="0" w:space="0" w:color="auto"/>
        <w:right w:val="none" w:sz="0" w:space="0" w:color="auto"/>
      </w:divBdr>
      <w:divsChild>
        <w:div w:id="155413878">
          <w:marLeft w:val="480"/>
          <w:marRight w:val="0"/>
          <w:marTop w:val="0"/>
          <w:marBottom w:val="0"/>
          <w:divBdr>
            <w:top w:val="none" w:sz="0" w:space="0" w:color="auto"/>
            <w:left w:val="none" w:sz="0" w:space="0" w:color="auto"/>
            <w:bottom w:val="none" w:sz="0" w:space="0" w:color="auto"/>
            <w:right w:val="none" w:sz="0" w:space="0" w:color="auto"/>
          </w:divBdr>
        </w:div>
        <w:div w:id="2049184458">
          <w:marLeft w:val="480"/>
          <w:marRight w:val="0"/>
          <w:marTop w:val="0"/>
          <w:marBottom w:val="0"/>
          <w:divBdr>
            <w:top w:val="none" w:sz="0" w:space="0" w:color="auto"/>
            <w:left w:val="none" w:sz="0" w:space="0" w:color="auto"/>
            <w:bottom w:val="none" w:sz="0" w:space="0" w:color="auto"/>
            <w:right w:val="none" w:sz="0" w:space="0" w:color="auto"/>
          </w:divBdr>
        </w:div>
        <w:div w:id="1809130678">
          <w:marLeft w:val="480"/>
          <w:marRight w:val="0"/>
          <w:marTop w:val="0"/>
          <w:marBottom w:val="0"/>
          <w:divBdr>
            <w:top w:val="none" w:sz="0" w:space="0" w:color="auto"/>
            <w:left w:val="none" w:sz="0" w:space="0" w:color="auto"/>
            <w:bottom w:val="none" w:sz="0" w:space="0" w:color="auto"/>
            <w:right w:val="none" w:sz="0" w:space="0" w:color="auto"/>
          </w:divBdr>
        </w:div>
        <w:div w:id="1875267080">
          <w:marLeft w:val="480"/>
          <w:marRight w:val="0"/>
          <w:marTop w:val="0"/>
          <w:marBottom w:val="0"/>
          <w:divBdr>
            <w:top w:val="none" w:sz="0" w:space="0" w:color="auto"/>
            <w:left w:val="none" w:sz="0" w:space="0" w:color="auto"/>
            <w:bottom w:val="none" w:sz="0" w:space="0" w:color="auto"/>
            <w:right w:val="none" w:sz="0" w:space="0" w:color="auto"/>
          </w:divBdr>
        </w:div>
        <w:div w:id="841704740">
          <w:marLeft w:val="480"/>
          <w:marRight w:val="0"/>
          <w:marTop w:val="0"/>
          <w:marBottom w:val="0"/>
          <w:divBdr>
            <w:top w:val="none" w:sz="0" w:space="0" w:color="auto"/>
            <w:left w:val="none" w:sz="0" w:space="0" w:color="auto"/>
            <w:bottom w:val="none" w:sz="0" w:space="0" w:color="auto"/>
            <w:right w:val="none" w:sz="0" w:space="0" w:color="auto"/>
          </w:divBdr>
        </w:div>
        <w:div w:id="1050229847">
          <w:marLeft w:val="480"/>
          <w:marRight w:val="0"/>
          <w:marTop w:val="0"/>
          <w:marBottom w:val="0"/>
          <w:divBdr>
            <w:top w:val="none" w:sz="0" w:space="0" w:color="auto"/>
            <w:left w:val="none" w:sz="0" w:space="0" w:color="auto"/>
            <w:bottom w:val="none" w:sz="0" w:space="0" w:color="auto"/>
            <w:right w:val="none" w:sz="0" w:space="0" w:color="auto"/>
          </w:divBdr>
        </w:div>
        <w:div w:id="1938051047">
          <w:marLeft w:val="480"/>
          <w:marRight w:val="0"/>
          <w:marTop w:val="0"/>
          <w:marBottom w:val="0"/>
          <w:divBdr>
            <w:top w:val="none" w:sz="0" w:space="0" w:color="auto"/>
            <w:left w:val="none" w:sz="0" w:space="0" w:color="auto"/>
            <w:bottom w:val="none" w:sz="0" w:space="0" w:color="auto"/>
            <w:right w:val="none" w:sz="0" w:space="0" w:color="auto"/>
          </w:divBdr>
        </w:div>
      </w:divsChild>
    </w:div>
    <w:div w:id="1806850207">
      <w:bodyDiv w:val="1"/>
      <w:marLeft w:val="0"/>
      <w:marRight w:val="0"/>
      <w:marTop w:val="0"/>
      <w:marBottom w:val="0"/>
      <w:divBdr>
        <w:top w:val="none" w:sz="0" w:space="0" w:color="auto"/>
        <w:left w:val="none" w:sz="0" w:space="0" w:color="auto"/>
        <w:bottom w:val="none" w:sz="0" w:space="0" w:color="auto"/>
        <w:right w:val="none" w:sz="0" w:space="0" w:color="auto"/>
      </w:divBdr>
    </w:div>
    <w:div w:id="1901479026">
      <w:bodyDiv w:val="1"/>
      <w:marLeft w:val="0"/>
      <w:marRight w:val="0"/>
      <w:marTop w:val="0"/>
      <w:marBottom w:val="0"/>
      <w:divBdr>
        <w:top w:val="none" w:sz="0" w:space="0" w:color="auto"/>
        <w:left w:val="none" w:sz="0" w:space="0" w:color="auto"/>
        <w:bottom w:val="none" w:sz="0" w:space="0" w:color="auto"/>
        <w:right w:val="none" w:sz="0" w:space="0" w:color="auto"/>
      </w:divBdr>
      <w:divsChild>
        <w:div w:id="2070379267">
          <w:marLeft w:val="480"/>
          <w:marRight w:val="0"/>
          <w:marTop w:val="0"/>
          <w:marBottom w:val="0"/>
          <w:divBdr>
            <w:top w:val="none" w:sz="0" w:space="0" w:color="auto"/>
            <w:left w:val="none" w:sz="0" w:space="0" w:color="auto"/>
            <w:bottom w:val="none" w:sz="0" w:space="0" w:color="auto"/>
            <w:right w:val="none" w:sz="0" w:space="0" w:color="auto"/>
          </w:divBdr>
        </w:div>
        <w:div w:id="1487480249">
          <w:marLeft w:val="480"/>
          <w:marRight w:val="0"/>
          <w:marTop w:val="0"/>
          <w:marBottom w:val="0"/>
          <w:divBdr>
            <w:top w:val="none" w:sz="0" w:space="0" w:color="auto"/>
            <w:left w:val="none" w:sz="0" w:space="0" w:color="auto"/>
            <w:bottom w:val="none" w:sz="0" w:space="0" w:color="auto"/>
            <w:right w:val="none" w:sz="0" w:space="0" w:color="auto"/>
          </w:divBdr>
        </w:div>
        <w:div w:id="762458421">
          <w:marLeft w:val="480"/>
          <w:marRight w:val="0"/>
          <w:marTop w:val="0"/>
          <w:marBottom w:val="0"/>
          <w:divBdr>
            <w:top w:val="none" w:sz="0" w:space="0" w:color="auto"/>
            <w:left w:val="none" w:sz="0" w:space="0" w:color="auto"/>
            <w:bottom w:val="none" w:sz="0" w:space="0" w:color="auto"/>
            <w:right w:val="none" w:sz="0" w:space="0" w:color="auto"/>
          </w:divBdr>
        </w:div>
        <w:div w:id="1412849547">
          <w:marLeft w:val="480"/>
          <w:marRight w:val="0"/>
          <w:marTop w:val="0"/>
          <w:marBottom w:val="0"/>
          <w:divBdr>
            <w:top w:val="none" w:sz="0" w:space="0" w:color="auto"/>
            <w:left w:val="none" w:sz="0" w:space="0" w:color="auto"/>
            <w:bottom w:val="none" w:sz="0" w:space="0" w:color="auto"/>
            <w:right w:val="none" w:sz="0" w:space="0" w:color="auto"/>
          </w:divBdr>
        </w:div>
        <w:div w:id="158280046">
          <w:marLeft w:val="480"/>
          <w:marRight w:val="0"/>
          <w:marTop w:val="0"/>
          <w:marBottom w:val="0"/>
          <w:divBdr>
            <w:top w:val="none" w:sz="0" w:space="0" w:color="auto"/>
            <w:left w:val="none" w:sz="0" w:space="0" w:color="auto"/>
            <w:bottom w:val="none" w:sz="0" w:space="0" w:color="auto"/>
            <w:right w:val="none" w:sz="0" w:space="0" w:color="auto"/>
          </w:divBdr>
        </w:div>
        <w:div w:id="13003111">
          <w:marLeft w:val="480"/>
          <w:marRight w:val="0"/>
          <w:marTop w:val="0"/>
          <w:marBottom w:val="0"/>
          <w:divBdr>
            <w:top w:val="none" w:sz="0" w:space="0" w:color="auto"/>
            <w:left w:val="none" w:sz="0" w:space="0" w:color="auto"/>
            <w:bottom w:val="none" w:sz="0" w:space="0" w:color="auto"/>
            <w:right w:val="none" w:sz="0" w:space="0" w:color="auto"/>
          </w:divBdr>
        </w:div>
        <w:div w:id="1247417327">
          <w:marLeft w:val="480"/>
          <w:marRight w:val="0"/>
          <w:marTop w:val="0"/>
          <w:marBottom w:val="0"/>
          <w:divBdr>
            <w:top w:val="none" w:sz="0" w:space="0" w:color="auto"/>
            <w:left w:val="none" w:sz="0" w:space="0" w:color="auto"/>
            <w:bottom w:val="none" w:sz="0" w:space="0" w:color="auto"/>
            <w:right w:val="none" w:sz="0" w:space="0" w:color="auto"/>
          </w:divBdr>
        </w:div>
        <w:div w:id="1103838727">
          <w:marLeft w:val="480"/>
          <w:marRight w:val="0"/>
          <w:marTop w:val="0"/>
          <w:marBottom w:val="0"/>
          <w:divBdr>
            <w:top w:val="none" w:sz="0" w:space="0" w:color="auto"/>
            <w:left w:val="none" w:sz="0" w:space="0" w:color="auto"/>
            <w:bottom w:val="none" w:sz="0" w:space="0" w:color="auto"/>
            <w:right w:val="none" w:sz="0" w:space="0" w:color="auto"/>
          </w:divBdr>
        </w:div>
        <w:div w:id="578448029">
          <w:marLeft w:val="480"/>
          <w:marRight w:val="0"/>
          <w:marTop w:val="0"/>
          <w:marBottom w:val="0"/>
          <w:divBdr>
            <w:top w:val="none" w:sz="0" w:space="0" w:color="auto"/>
            <w:left w:val="none" w:sz="0" w:space="0" w:color="auto"/>
            <w:bottom w:val="none" w:sz="0" w:space="0" w:color="auto"/>
            <w:right w:val="none" w:sz="0" w:space="0" w:color="auto"/>
          </w:divBdr>
        </w:div>
        <w:div w:id="611864763">
          <w:marLeft w:val="480"/>
          <w:marRight w:val="0"/>
          <w:marTop w:val="0"/>
          <w:marBottom w:val="0"/>
          <w:divBdr>
            <w:top w:val="none" w:sz="0" w:space="0" w:color="auto"/>
            <w:left w:val="none" w:sz="0" w:space="0" w:color="auto"/>
            <w:bottom w:val="none" w:sz="0" w:space="0" w:color="auto"/>
            <w:right w:val="none" w:sz="0" w:space="0" w:color="auto"/>
          </w:divBdr>
        </w:div>
        <w:div w:id="662053736">
          <w:marLeft w:val="480"/>
          <w:marRight w:val="0"/>
          <w:marTop w:val="0"/>
          <w:marBottom w:val="0"/>
          <w:divBdr>
            <w:top w:val="none" w:sz="0" w:space="0" w:color="auto"/>
            <w:left w:val="none" w:sz="0" w:space="0" w:color="auto"/>
            <w:bottom w:val="none" w:sz="0" w:space="0" w:color="auto"/>
            <w:right w:val="none" w:sz="0" w:space="0" w:color="auto"/>
          </w:divBdr>
          <w:divsChild>
            <w:div w:id="831524909">
              <w:marLeft w:val="0"/>
              <w:marRight w:val="0"/>
              <w:marTop w:val="0"/>
              <w:marBottom w:val="0"/>
              <w:divBdr>
                <w:top w:val="none" w:sz="0" w:space="0" w:color="auto"/>
                <w:left w:val="none" w:sz="0" w:space="0" w:color="auto"/>
                <w:bottom w:val="none" w:sz="0" w:space="0" w:color="auto"/>
                <w:right w:val="none" w:sz="0" w:space="0" w:color="auto"/>
              </w:divBdr>
              <w:divsChild>
                <w:div w:id="1094592383">
                  <w:marLeft w:val="480"/>
                  <w:marRight w:val="0"/>
                  <w:marTop w:val="0"/>
                  <w:marBottom w:val="0"/>
                  <w:divBdr>
                    <w:top w:val="none" w:sz="0" w:space="0" w:color="auto"/>
                    <w:left w:val="none" w:sz="0" w:space="0" w:color="auto"/>
                    <w:bottom w:val="none" w:sz="0" w:space="0" w:color="auto"/>
                    <w:right w:val="none" w:sz="0" w:space="0" w:color="auto"/>
                  </w:divBdr>
                </w:div>
                <w:div w:id="82722172">
                  <w:marLeft w:val="480"/>
                  <w:marRight w:val="0"/>
                  <w:marTop w:val="0"/>
                  <w:marBottom w:val="0"/>
                  <w:divBdr>
                    <w:top w:val="none" w:sz="0" w:space="0" w:color="auto"/>
                    <w:left w:val="none" w:sz="0" w:space="0" w:color="auto"/>
                    <w:bottom w:val="none" w:sz="0" w:space="0" w:color="auto"/>
                    <w:right w:val="none" w:sz="0" w:space="0" w:color="auto"/>
                  </w:divBdr>
                </w:div>
                <w:div w:id="713962375">
                  <w:marLeft w:val="480"/>
                  <w:marRight w:val="0"/>
                  <w:marTop w:val="0"/>
                  <w:marBottom w:val="0"/>
                  <w:divBdr>
                    <w:top w:val="none" w:sz="0" w:space="0" w:color="auto"/>
                    <w:left w:val="none" w:sz="0" w:space="0" w:color="auto"/>
                    <w:bottom w:val="none" w:sz="0" w:space="0" w:color="auto"/>
                    <w:right w:val="none" w:sz="0" w:space="0" w:color="auto"/>
                  </w:divBdr>
                </w:div>
                <w:div w:id="494298577">
                  <w:marLeft w:val="480"/>
                  <w:marRight w:val="0"/>
                  <w:marTop w:val="0"/>
                  <w:marBottom w:val="0"/>
                  <w:divBdr>
                    <w:top w:val="none" w:sz="0" w:space="0" w:color="auto"/>
                    <w:left w:val="none" w:sz="0" w:space="0" w:color="auto"/>
                    <w:bottom w:val="none" w:sz="0" w:space="0" w:color="auto"/>
                    <w:right w:val="none" w:sz="0" w:space="0" w:color="auto"/>
                  </w:divBdr>
                </w:div>
                <w:div w:id="108010833">
                  <w:marLeft w:val="480"/>
                  <w:marRight w:val="0"/>
                  <w:marTop w:val="0"/>
                  <w:marBottom w:val="0"/>
                  <w:divBdr>
                    <w:top w:val="none" w:sz="0" w:space="0" w:color="auto"/>
                    <w:left w:val="none" w:sz="0" w:space="0" w:color="auto"/>
                    <w:bottom w:val="none" w:sz="0" w:space="0" w:color="auto"/>
                    <w:right w:val="none" w:sz="0" w:space="0" w:color="auto"/>
                  </w:divBdr>
                </w:div>
                <w:div w:id="1428891536">
                  <w:marLeft w:val="480"/>
                  <w:marRight w:val="0"/>
                  <w:marTop w:val="0"/>
                  <w:marBottom w:val="0"/>
                  <w:divBdr>
                    <w:top w:val="none" w:sz="0" w:space="0" w:color="auto"/>
                    <w:left w:val="none" w:sz="0" w:space="0" w:color="auto"/>
                    <w:bottom w:val="none" w:sz="0" w:space="0" w:color="auto"/>
                    <w:right w:val="none" w:sz="0" w:space="0" w:color="auto"/>
                  </w:divBdr>
                </w:div>
                <w:div w:id="1709261883">
                  <w:marLeft w:val="480"/>
                  <w:marRight w:val="0"/>
                  <w:marTop w:val="0"/>
                  <w:marBottom w:val="0"/>
                  <w:divBdr>
                    <w:top w:val="none" w:sz="0" w:space="0" w:color="auto"/>
                    <w:left w:val="none" w:sz="0" w:space="0" w:color="auto"/>
                    <w:bottom w:val="none" w:sz="0" w:space="0" w:color="auto"/>
                    <w:right w:val="none" w:sz="0" w:space="0" w:color="auto"/>
                  </w:divBdr>
                </w:div>
                <w:div w:id="1250315323">
                  <w:marLeft w:val="480"/>
                  <w:marRight w:val="0"/>
                  <w:marTop w:val="0"/>
                  <w:marBottom w:val="0"/>
                  <w:divBdr>
                    <w:top w:val="none" w:sz="0" w:space="0" w:color="auto"/>
                    <w:left w:val="none" w:sz="0" w:space="0" w:color="auto"/>
                    <w:bottom w:val="none" w:sz="0" w:space="0" w:color="auto"/>
                    <w:right w:val="none" w:sz="0" w:space="0" w:color="auto"/>
                  </w:divBdr>
                </w:div>
                <w:div w:id="606541527">
                  <w:marLeft w:val="480"/>
                  <w:marRight w:val="0"/>
                  <w:marTop w:val="0"/>
                  <w:marBottom w:val="0"/>
                  <w:divBdr>
                    <w:top w:val="none" w:sz="0" w:space="0" w:color="auto"/>
                    <w:left w:val="none" w:sz="0" w:space="0" w:color="auto"/>
                    <w:bottom w:val="none" w:sz="0" w:space="0" w:color="auto"/>
                    <w:right w:val="none" w:sz="0" w:space="0" w:color="auto"/>
                  </w:divBdr>
                </w:div>
                <w:div w:id="1226841701">
                  <w:marLeft w:val="480"/>
                  <w:marRight w:val="0"/>
                  <w:marTop w:val="0"/>
                  <w:marBottom w:val="0"/>
                  <w:divBdr>
                    <w:top w:val="none" w:sz="0" w:space="0" w:color="auto"/>
                    <w:left w:val="none" w:sz="0" w:space="0" w:color="auto"/>
                    <w:bottom w:val="none" w:sz="0" w:space="0" w:color="auto"/>
                    <w:right w:val="none" w:sz="0" w:space="0" w:color="auto"/>
                  </w:divBdr>
                </w:div>
                <w:div w:id="1234200175">
                  <w:marLeft w:val="480"/>
                  <w:marRight w:val="0"/>
                  <w:marTop w:val="0"/>
                  <w:marBottom w:val="0"/>
                  <w:divBdr>
                    <w:top w:val="none" w:sz="0" w:space="0" w:color="auto"/>
                    <w:left w:val="none" w:sz="0" w:space="0" w:color="auto"/>
                    <w:bottom w:val="none" w:sz="0" w:space="0" w:color="auto"/>
                    <w:right w:val="none" w:sz="0" w:space="0" w:color="auto"/>
                  </w:divBdr>
                </w:div>
              </w:divsChild>
            </w:div>
            <w:div w:id="415589859">
              <w:marLeft w:val="0"/>
              <w:marRight w:val="0"/>
              <w:marTop w:val="0"/>
              <w:marBottom w:val="0"/>
              <w:divBdr>
                <w:top w:val="none" w:sz="0" w:space="0" w:color="auto"/>
                <w:left w:val="none" w:sz="0" w:space="0" w:color="auto"/>
                <w:bottom w:val="none" w:sz="0" w:space="0" w:color="auto"/>
                <w:right w:val="none" w:sz="0" w:space="0" w:color="auto"/>
              </w:divBdr>
              <w:divsChild>
                <w:div w:id="955603824">
                  <w:marLeft w:val="480"/>
                  <w:marRight w:val="0"/>
                  <w:marTop w:val="0"/>
                  <w:marBottom w:val="0"/>
                  <w:divBdr>
                    <w:top w:val="none" w:sz="0" w:space="0" w:color="auto"/>
                    <w:left w:val="none" w:sz="0" w:space="0" w:color="auto"/>
                    <w:bottom w:val="none" w:sz="0" w:space="0" w:color="auto"/>
                    <w:right w:val="none" w:sz="0" w:space="0" w:color="auto"/>
                  </w:divBdr>
                </w:div>
                <w:div w:id="1652563138">
                  <w:marLeft w:val="480"/>
                  <w:marRight w:val="0"/>
                  <w:marTop w:val="0"/>
                  <w:marBottom w:val="0"/>
                  <w:divBdr>
                    <w:top w:val="none" w:sz="0" w:space="0" w:color="auto"/>
                    <w:left w:val="none" w:sz="0" w:space="0" w:color="auto"/>
                    <w:bottom w:val="none" w:sz="0" w:space="0" w:color="auto"/>
                    <w:right w:val="none" w:sz="0" w:space="0" w:color="auto"/>
                  </w:divBdr>
                </w:div>
                <w:div w:id="1534198037">
                  <w:marLeft w:val="480"/>
                  <w:marRight w:val="0"/>
                  <w:marTop w:val="0"/>
                  <w:marBottom w:val="0"/>
                  <w:divBdr>
                    <w:top w:val="none" w:sz="0" w:space="0" w:color="auto"/>
                    <w:left w:val="none" w:sz="0" w:space="0" w:color="auto"/>
                    <w:bottom w:val="none" w:sz="0" w:space="0" w:color="auto"/>
                    <w:right w:val="none" w:sz="0" w:space="0" w:color="auto"/>
                  </w:divBdr>
                </w:div>
                <w:div w:id="1020428108">
                  <w:marLeft w:val="480"/>
                  <w:marRight w:val="0"/>
                  <w:marTop w:val="0"/>
                  <w:marBottom w:val="0"/>
                  <w:divBdr>
                    <w:top w:val="none" w:sz="0" w:space="0" w:color="auto"/>
                    <w:left w:val="none" w:sz="0" w:space="0" w:color="auto"/>
                    <w:bottom w:val="none" w:sz="0" w:space="0" w:color="auto"/>
                    <w:right w:val="none" w:sz="0" w:space="0" w:color="auto"/>
                  </w:divBdr>
                </w:div>
                <w:div w:id="871576377">
                  <w:marLeft w:val="480"/>
                  <w:marRight w:val="0"/>
                  <w:marTop w:val="0"/>
                  <w:marBottom w:val="0"/>
                  <w:divBdr>
                    <w:top w:val="none" w:sz="0" w:space="0" w:color="auto"/>
                    <w:left w:val="none" w:sz="0" w:space="0" w:color="auto"/>
                    <w:bottom w:val="none" w:sz="0" w:space="0" w:color="auto"/>
                    <w:right w:val="none" w:sz="0" w:space="0" w:color="auto"/>
                  </w:divBdr>
                </w:div>
                <w:div w:id="2138790929">
                  <w:marLeft w:val="480"/>
                  <w:marRight w:val="0"/>
                  <w:marTop w:val="0"/>
                  <w:marBottom w:val="0"/>
                  <w:divBdr>
                    <w:top w:val="none" w:sz="0" w:space="0" w:color="auto"/>
                    <w:left w:val="none" w:sz="0" w:space="0" w:color="auto"/>
                    <w:bottom w:val="none" w:sz="0" w:space="0" w:color="auto"/>
                    <w:right w:val="none" w:sz="0" w:space="0" w:color="auto"/>
                  </w:divBdr>
                </w:div>
                <w:div w:id="545262764">
                  <w:marLeft w:val="480"/>
                  <w:marRight w:val="0"/>
                  <w:marTop w:val="0"/>
                  <w:marBottom w:val="0"/>
                  <w:divBdr>
                    <w:top w:val="none" w:sz="0" w:space="0" w:color="auto"/>
                    <w:left w:val="none" w:sz="0" w:space="0" w:color="auto"/>
                    <w:bottom w:val="none" w:sz="0" w:space="0" w:color="auto"/>
                    <w:right w:val="none" w:sz="0" w:space="0" w:color="auto"/>
                  </w:divBdr>
                </w:div>
                <w:div w:id="1907567035">
                  <w:marLeft w:val="480"/>
                  <w:marRight w:val="0"/>
                  <w:marTop w:val="0"/>
                  <w:marBottom w:val="0"/>
                  <w:divBdr>
                    <w:top w:val="none" w:sz="0" w:space="0" w:color="auto"/>
                    <w:left w:val="none" w:sz="0" w:space="0" w:color="auto"/>
                    <w:bottom w:val="none" w:sz="0" w:space="0" w:color="auto"/>
                    <w:right w:val="none" w:sz="0" w:space="0" w:color="auto"/>
                  </w:divBdr>
                </w:div>
                <w:div w:id="1678724861">
                  <w:marLeft w:val="480"/>
                  <w:marRight w:val="0"/>
                  <w:marTop w:val="0"/>
                  <w:marBottom w:val="0"/>
                  <w:divBdr>
                    <w:top w:val="none" w:sz="0" w:space="0" w:color="auto"/>
                    <w:left w:val="none" w:sz="0" w:space="0" w:color="auto"/>
                    <w:bottom w:val="none" w:sz="0" w:space="0" w:color="auto"/>
                    <w:right w:val="none" w:sz="0" w:space="0" w:color="auto"/>
                  </w:divBdr>
                </w:div>
                <w:div w:id="1874272167">
                  <w:marLeft w:val="480"/>
                  <w:marRight w:val="0"/>
                  <w:marTop w:val="0"/>
                  <w:marBottom w:val="0"/>
                  <w:divBdr>
                    <w:top w:val="none" w:sz="0" w:space="0" w:color="auto"/>
                    <w:left w:val="none" w:sz="0" w:space="0" w:color="auto"/>
                    <w:bottom w:val="none" w:sz="0" w:space="0" w:color="auto"/>
                    <w:right w:val="none" w:sz="0" w:space="0" w:color="auto"/>
                  </w:divBdr>
                </w:div>
                <w:div w:id="1889143359">
                  <w:marLeft w:val="480"/>
                  <w:marRight w:val="0"/>
                  <w:marTop w:val="0"/>
                  <w:marBottom w:val="0"/>
                  <w:divBdr>
                    <w:top w:val="none" w:sz="0" w:space="0" w:color="auto"/>
                    <w:left w:val="none" w:sz="0" w:space="0" w:color="auto"/>
                    <w:bottom w:val="none" w:sz="0" w:space="0" w:color="auto"/>
                    <w:right w:val="none" w:sz="0" w:space="0" w:color="auto"/>
                  </w:divBdr>
                </w:div>
              </w:divsChild>
            </w:div>
            <w:div w:id="1831824439">
              <w:marLeft w:val="0"/>
              <w:marRight w:val="0"/>
              <w:marTop w:val="0"/>
              <w:marBottom w:val="0"/>
              <w:divBdr>
                <w:top w:val="none" w:sz="0" w:space="0" w:color="auto"/>
                <w:left w:val="none" w:sz="0" w:space="0" w:color="auto"/>
                <w:bottom w:val="none" w:sz="0" w:space="0" w:color="auto"/>
                <w:right w:val="none" w:sz="0" w:space="0" w:color="auto"/>
              </w:divBdr>
              <w:divsChild>
                <w:div w:id="2013606478">
                  <w:marLeft w:val="480"/>
                  <w:marRight w:val="0"/>
                  <w:marTop w:val="0"/>
                  <w:marBottom w:val="0"/>
                  <w:divBdr>
                    <w:top w:val="none" w:sz="0" w:space="0" w:color="auto"/>
                    <w:left w:val="none" w:sz="0" w:space="0" w:color="auto"/>
                    <w:bottom w:val="none" w:sz="0" w:space="0" w:color="auto"/>
                    <w:right w:val="none" w:sz="0" w:space="0" w:color="auto"/>
                  </w:divBdr>
                </w:div>
                <w:div w:id="21790385">
                  <w:marLeft w:val="480"/>
                  <w:marRight w:val="0"/>
                  <w:marTop w:val="0"/>
                  <w:marBottom w:val="0"/>
                  <w:divBdr>
                    <w:top w:val="none" w:sz="0" w:space="0" w:color="auto"/>
                    <w:left w:val="none" w:sz="0" w:space="0" w:color="auto"/>
                    <w:bottom w:val="none" w:sz="0" w:space="0" w:color="auto"/>
                    <w:right w:val="none" w:sz="0" w:space="0" w:color="auto"/>
                  </w:divBdr>
                </w:div>
                <w:div w:id="215238800">
                  <w:marLeft w:val="480"/>
                  <w:marRight w:val="0"/>
                  <w:marTop w:val="0"/>
                  <w:marBottom w:val="0"/>
                  <w:divBdr>
                    <w:top w:val="none" w:sz="0" w:space="0" w:color="auto"/>
                    <w:left w:val="none" w:sz="0" w:space="0" w:color="auto"/>
                    <w:bottom w:val="none" w:sz="0" w:space="0" w:color="auto"/>
                    <w:right w:val="none" w:sz="0" w:space="0" w:color="auto"/>
                  </w:divBdr>
                </w:div>
                <w:div w:id="1560245095">
                  <w:marLeft w:val="480"/>
                  <w:marRight w:val="0"/>
                  <w:marTop w:val="0"/>
                  <w:marBottom w:val="0"/>
                  <w:divBdr>
                    <w:top w:val="none" w:sz="0" w:space="0" w:color="auto"/>
                    <w:left w:val="none" w:sz="0" w:space="0" w:color="auto"/>
                    <w:bottom w:val="none" w:sz="0" w:space="0" w:color="auto"/>
                    <w:right w:val="none" w:sz="0" w:space="0" w:color="auto"/>
                  </w:divBdr>
                </w:div>
                <w:div w:id="1647315685">
                  <w:marLeft w:val="480"/>
                  <w:marRight w:val="0"/>
                  <w:marTop w:val="0"/>
                  <w:marBottom w:val="0"/>
                  <w:divBdr>
                    <w:top w:val="none" w:sz="0" w:space="0" w:color="auto"/>
                    <w:left w:val="none" w:sz="0" w:space="0" w:color="auto"/>
                    <w:bottom w:val="none" w:sz="0" w:space="0" w:color="auto"/>
                    <w:right w:val="none" w:sz="0" w:space="0" w:color="auto"/>
                  </w:divBdr>
                </w:div>
                <w:div w:id="2122525362">
                  <w:marLeft w:val="480"/>
                  <w:marRight w:val="0"/>
                  <w:marTop w:val="0"/>
                  <w:marBottom w:val="0"/>
                  <w:divBdr>
                    <w:top w:val="none" w:sz="0" w:space="0" w:color="auto"/>
                    <w:left w:val="none" w:sz="0" w:space="0" w:color="auto"/>
                    <w:bottom w:val="none" w:sz="0" w:space="0" w:color="auto"/>
                    <w:right w:val="none" w:sz="0" w:space="0" w:color="auto"/>
                  </w:divBdr>
                </w:div>
                <w:div w:id="175123232">
                  <w:marLeft w:val="480"/>
                  <w:marRight w:val="0"/>
                  <w:marTop w:val="0"/>
                  <w:marBottom w:val="0"/>
                  <w:divBdr>
                    <w:top w:val="none" w:sz="0" w:space="0" w:color="auto"/>
                    <w:left w:val="none" w:sz="0" w:space="0" w:color="auto"/>
                    <w:bottom w:val="none" w:sz="0" w:space="0" w:color="auto"/>
                    <w:right w:val="none" w:sz="0" w:space="0" w:color="auto"/>
                  </w:divBdr>
                </w:div>
                <w:div w:id="12652326">
                  <w:marLeft w:val="480"/>
                  <w:marRight w:val="0"/>
                  <w:marTop w:val="0"/>
                  <w:marBottom w:val="0"/>
                  <w:divBdr>
                    <w:top w:val="none" w:sz="0" w:space="0" w:color="auto"/>
                    <w:left w:val="none" w:sz="0" w:space="0" w:color="auto"/>
                    <w:bottom w:val="none" w:sz="0" w:space="0" w:color="auto"/>
                    <w:right w:val="none" w:sz="0" w:space="0" w:color="auto"/>
                  </w:divBdr>
                </w:div>
                <w:div w:id="1076248153">
                  <w:marLeft w:val="480"/>
                  <w:marRight w:val="0"/>
                  <w:marTop w:val="0"/>
                  <w:marBottom w:val="0"/>
                  <w:divBdr>
                    <w:top w:val="none" w:sz="0" w:space="0" w:color="auto"/>
                    <w:left w:val="none" w:sz="0" w:space="0" w:color="auto"/>
                    <w:bottom w:val="none" w:sz="0" w:space="0" w:color="auto"/>
                    <w:right w:val="none" w:sz="0" w:space="0" w:color="auto"/>
                  </w:divBdr>
                </w:div>
                <w:div w:id="1830054179">
                  <w:marLeft w:val="480"/>
                  <w:marRight w:val="0"/>
                  <w:marTop w:val="0"/>
                  <w:marBottom w:val="0"/>
                  <w:divBdr>
                    <w:top w:val="none" w:sz="0" w:space="0" w:color="auto"/>
                    <w:left w:val="none" w:sz="0" w:space="0" w:color="auto"/>
                    <w:bottom w:val="none" w:sz="0" w:space="0" w:color="auto"/>
                    <w:right w:val="none" w:sz="0" w:space="0" w:color="auto"/>
                  </w:divBdr>
                </w:div>
                <w:div w:id="295986493">
                  <w:marLeft w:val="480"/>
                  <w:marRight w:val="0"/>
                  <w:marTop w:val="0"/>
                  <w:marBottom w:val="0"/>
                  <w:divBdr>
                    <w:top w:val="none" w:sz="0" w:space="0" w:color="auto"/>
                    <w:left w:val="none" w:sz="0" w:space="0" w:color="auto"/>
                    <w:bottom w:val="none" w:sz="0" w:space="0" w:color="auto"/>
                    <w:right w:val="none" w:sz="0" w:space="0" w:color="auto"/>
                  </w:divBdr>
                </w:div>
              </w:divsChild>
            </w:div>
            <w:div w:id="316036469">
              <w:marLeft w:val="0"/>
              <w:marRight w:val="0"/>
              <w:marTop w:val="0"/>
              <w:marBottom w:val="0"/>
              <w:divBdr>
                <w:top w:val="none" w:sz="0" w:space="0" w:color="auto"/>
                <w:left w:val="none" w:sz="0" w:space="0" w:color="auto"/>
                <w:bottom w:val="none" w:sz="0" w:space="0" w:color="auto"/>
                <w:right w:val="none" w:sz="0" w:space="0" w:color="auto"/>
              </w:divBdr>
              <w:divsChild>
                <w:div w:id="1255702328">
                  <w:marLeft w:val="480"/>
                  <w:marRight w:val="0"/>
                  <w:marTop w:val="0"/>
                  <w:marBottom w:val="0"/>
                  <w:divBdr>
                    <w:top w:val="none" w:sz="0" w:space="0" w:color="auto"/>
                    <w:left w:val="none" w:sz="0" w:space="0" w:color="auto"/>
                    <w:bottom w:val="none" w:sz="0" w:space="0" w:color="auto"/>
                    <w:right w:val="none" w:sz="0" w:space="0" w:color="auto"/>
                  </w:divBdr>
                </w:div>
                <w:div w:id="1076977409">
                  <w:marLeft w:val="480"/>
                  <w:marRight w:val="0"/>
                  <w:marTop w:val="0"/>
                  <w:marBottom w:val="0"/>
                  <w:divBdr>
                    <w:top w:val="none" w:sz="0" w:space="0" w:color="auto"/>
                    <w:left w:val="none" w:sz="0" w:space="0" w:color="auto"/>
                    <w:bottom w:val="none" w:sz="0" w:space="0" w:color="auto"/>
                    <w:right w:val="none" w:sz="0" w:space="0" w:color="auto"/>
                  </w:divBdr>
                </w:div>
                <w:div w:id="1218008825">
                  <w:marLeft w:val="480"/>
                  <w:marRight w:val="0"/>
                  <w:marTop w:val="0"/>
                  <w:marBottom w:val="0"/>
                  <w:divBdr>
                    <w:top w:val="none" w:sz="0" w:space="0" w:color="auto"/>
                    <w:left w:val="none" w:sz="0" w:space="0" w:color="auto"/>
                    <w:bottom w:val="none" w:sz="0" w:space="0" w:color="auto"/>
                    <w:right w:val="none" w:sz="0" w:space="0" w:color="auto"/>
                  </w:divBdr>
                </w:div>
                <w:div w:id="1000045116">
                  <w:marLeft w:val="480"/>
                  <w:marRight w:val="0"/>
                  <w:marTop w:val="0"/>
                  <w:marBottom w:val="0"/>
                  <w:divBdr>
                    <w:top w:val="none" w:sz="0" w:space="0" w:color="auto"/>
                    <w:left w:val="none" w:sz="0" w:space="0" w:color="auto"/>
                    <w:bottom w:val="none" w:sz="0" w:space="0" w:color="auto"/>
                    <w:right w:val="none" w:sz="0" w:space="0" w:color="auto"/>
                  </w:divBdr>
                </w:div>
                <w:div w:id="2132092869">
                  <w:marLeft w:val="480"/>
                  <w:marRight w:val="0"/>
                  <w:marTop w:val="0"/>
                  <w:marBottom w:val="0"/>
                  <w:divBdr>
                    <w:top w:val="none" w:sz="0" w:space="0" w:color="auto"/>
                    <w:left w:val="none" w:sz="0" w:space="0" w:color="auto"/>
                    <w:bottom w:val="none" w:sz="0" w:space="0" w:color="auto"/>
                    <w:right w:val="none" w:sz="0" w:space="0" w:color="auto"/>
                  </w:divBdr>
                </w:div>
                <w:div w:id="959265101">
                  <w:marLeft w:val="480"/>
                  <w:marRight w:val="0"/>
                  <w:marTop w:val="0"/>
                  <w:marBottom w:val="0"/>
                  <w:divBdr>
                    <w:top w:val="none" w:sz="0" w:space="0" w:color="auto"/>
                    <w:left w:val="none" w:sz="0" w:space="0" w:color="auto"/>
                    <w:bottom w:val="none" w:sz="0" w:space="0" w:color="auto"/>
                    <w:right w:val="none" w:sz="0" w:space="0" w:color="auto"/>
                  </w:divBdr>
                </w:div>
                <w:div w:id="1578828900">
                  <w:marLeft w:val="480"/>
                  <w:marRight w:val="0"/>
                  <w:marTop w:val="0"/>
                  <w:marBottom w:val="0"/>
                  <w:divBdr>
                    <w:top w:val="none" w:sz="0" w:space="0" w:color="auto"/>
                    <w:left w:val="none" w:sz="0" w:space="0" w:color="auto"/>
                    <w:bottom w:val="none" w:sz="0" w:space="0" w:color="auto"/>
                    <w:right w:val="none" w:sz="0" w:space="0" w:color="auto"/>
                  </w:divBdr>
                </w:div>
                <w:div w:id="1823084278">
                  <w:marLeft w:val="480"/>
                  <w:marRight w:val="0"/>
                  <w:marTop w:val="0"/>
                  <w:marBottom w:val="0"/>
                  <w:divBdr>
                    <w:top w:val="none" w:sz="0" w:space="0" w:color="auto"/>
                    <w:left w:val="none" w:sz="0" w:space="0" w:color="auto"/>
                    <w:bottom w:val="none" w:sz="0" w:space="0" w:color="auto"/>
                    <w:right w:val="none" w:sz="0" w:space="0" w:color="auto"/>
                  </w:divBdr>
                </w:div>
                <w:div w:id="124590104">
                  <w:marLeft w:val="480"/>
                  <w:marRight w:val="0"/>
                  <w:marTop w:val="0"/>
                  <w:marBottom w:val="0"/>
                  <w:divBdr>
                    <w:top w:val="none" w:sz="0" w:space="0" w:color="auto"/>
                    <w:left w:val="none" w:sz="0" w:space="0" w:color="auto"/>
                    <w:bottom w:val="none" w:sz="0" w:space="0" w:color="auto"/>
                    <w:right w:val="none" w:sz="0" w:space="0" w:color="auto"/>
                  </w:divBdr>
                </w:div>
                <w:div w:id="1720939644">
                  <w:marLeft w:val="480"/>
                  <w:marRight w:val="0"/>
                  <w:marTop w:val="0"/>
                  <w:marBottom w:val="0"/>
                  <w:divBdr>
                    <w:top w:val="none" w:sz="0" w:space="0" w:color="auto"/>
                    <w:left w:val="none" w:sz="0" w:space="0" w:color="auto"/>
                    <w:bottom w:val="none" w:sz="0" w:space="0" w:color="auto"/>
                    <w:right w:val="none" w:sz="0" w:space="0" w:color="auto"/>
                  </w:divBdr>
                </w:div>
                <w:div w:id="1974482725">
                  <w:marLeft w:val="480"/>
                  <w:marRight w:val="0"/>
                  <w:marTop w:val="0"/>
                  <w:marBottom w:val="0"/>
                  <w:divBdr>
                    <w:top w:val="none" w:sz="0" w:space="0" w:color="auto"/>
                    <w:left w:val="none" w:sz="0" w:space="0" w:color="auto"/>
                    <w:bottom w:val="none" w:sz="0" w:space="0" w:color="auto"/>
                    <w:right w:val="none" w:sz="0" w:space="0" w:color="auto"/>
                  </w:divBdr>
                </w:div>
              </w:divsChild>
            </w:div>
            <w:div w:id="1208419775">
              <w:marLeft w:val="0"/>
              <w:marRight w:val="0"/>
              <w:marTop w:val="0"/>
              <w:marBottom w:val="0"/>
              <w:divBdr>
                <w:top w:val="none" w:sz="0" w:space="0" w:color="auto"/>
                <w:left w:val="none" w:sz="0" w:space="0" w:color="auto"/>
                <w:bottom w:val="none" w:sz="0" w:space="0" w:color="auto"/>
                <w:right w:val="none" w:sz="0" w:space="0" w:color="auto"/>
              </w:divBdr>
              <w:divsChild>
                <w:div w:id="1313176558">
                  <w:marLeft w:val="480"/>
                  <w:marRight w:val="0"/>
                  <w:marTop w:val="0"/>
                  <w:marBottom w:val="0"/>
                  <w:divBdr>
                    <w:top w:val="none" w:sz="0" w:space="0" w:color="auto"/>
                    <w:left w:val="none" w:sz="0" w:space="0" w:color="auto"/>
                    <w:bottom w:val="none" w:sz="0" w:space="0" w:color="auto"/>
                    <w:right w:val="none" w:sz="0" w:space="0" w:color="auto"/>
                  </w:divBdr>
                </w:div>
                <w:div w:id="266815958">
                  <w:marLeft w:val="480"/>
                  <w:marRight w:val="0"/>
                  <w:marTop w:val="0"/>
                  <w:marBottom w:val="0"/>
                  <w:divBdr>
                    <w:top w:val="none" w:sz="0" w:space="0" w:color="auto"/>
                    <w:left w:val="none" w:sz="0" w:space="0" w:color="auto"/>
                    <w:bottom w:val="none" w:sz="0" w:space="0" w:color="auto"/>
                    <w:right w:val="none" w:sz="0" w:space="0" w:color="auto"/>
                  </w:divBdr>
                </w:div>
                <w:div w:id="974064244">
                  <w:marLeft w:val="480"/>
                  <w:marRight w:val="0"/>
                  <w:marTop w:val="0"/>
                  <w:marBottom w:val="0"/>
                  <w:divBdr>
                    <w:top w:val="none" w:sz="0" w:space="0" w:color="auto"/>
                    <w:left w:val="none" w:sz="0" w:space="0" w:color="auto"/>
                    <w:bottom w:val="none" w:sz="0" w:space="0" w:color="auto"/>
                    <w:right w:val="none" w:sz="0" w:space="0" w:color="auto"/>
                  </w:divBdr>
                </w:div>
                <w:div w:id="2145731225">
                  <w:marLeft w:val="480"/>
                  <w:marRight w:val="0"/>
                  <w:marTop w:val="0"/>
                  <w:marBottom w:val="0"/>
                  <w:divBdr>
                    <w:top w:val="none" w:sz="0" w:space="0" w:color="auto"/>
                    <w:left w:val="none" w:sz="0" w:space="0" w:color="auto"/>
                    <w:bottom w:val="none" w:sz="0" w:space="0" w:color="auto"/>
                    <w:right w:val="none" w:sz="0" w:space="0" w:color="auto"/>
                  </w:divBdr>
                </w:div>
                <w:div w:id="2096240979">
                  <w:marLeft w:val="480"/>
                  <w:marRight w:val="0"/>
                  <w:marTop w:val="0"/>
                  <w:marBottom w:val="0"/>
                  <w:divBdr>
                    <w:top w:val="none" w:sz="0" w:space="0" w:color="auto"/>
                    <w:left w:val="none" w:sz="0" w:space="0" w:color="auto"/>
                    <w:bottom w:val="none" w:sz="0" w:space="0" w:color="auto"/>
                    <w:right w:val="none" w:sz="0" w:space="0" w:color="auto"/>
                  </w:divBdr>
                </w:div>
                <w:div w:id="589387521">
                  <w:marLeft w:val="480"/>
                  <w:marRight w:val="0"/>
                  <w:marTop w:val="0"/>
                  <w:marBottom w:val="0"/>
                  <w:divBdr>
                    <w:top w:val="none" w:sz="0" w:space="0" w:color="auto"/>
                    <w:left w:val="none" w:sz="0" w:space="0" w:color="auto"/>
                    <w:bottom w:val="none" w:sz="0" w:space="0" w:color="auto"/>
                    <w:right w:val="none" w:sz="0" w:space="0" w:color="auto"/>
                  </w:divBdr>
                </w:div>
                <w:div w:id="1543402947">
                  <w:marLeft w:val="480"/>
                  <w:marRight w:val="0"/>
                  <w:marTop w:val="0"/>
                  <w:marBottom w:val="0"/>
                  <w:divBdr>
                    <w:top w:val="none" w:sz="0" w:space="0" w:color="auto"/>
                    <w:left w:val="none" w:sz="0" w:space="0" w:color="auto"/>
                    <w:bottom w:val="none" w:sz="0" w:space="0" w:color="auto"/>
                    <w:right w:val="none" w:sz="0" w:space="0" w:color="auto"/>
                  </w:divBdr>
                </w:div>
                <w:div w:id="1486121507">
                  <w:marLeft w:val="480"/>
                  <w:marRight w:val="0"/>
                  <w:marTop w:val="0"/>
                  <w:marBottom w:val="0"/>
                  <w:divBdr>
                    <w:top w:val="none" w:sz="0" w:space="0" w:color="auto"/>
                    <w:left w:val="none" w:sz="0" w:space="0" w:color="auto"/>
                    <w:bottom w:val="none" w:sz="0" w:space="0" w:color="auto"/>
                    <w:right w:val="none" w:sz="0" w:space="0" w:color="auto"/>
                  </w:divBdr>
                </w:div>
                <w:div w:id="1484543344">
                  <w:marLeft w:val="480"/>
                  <w:marRight w:val="0"/>
                  <w:marTop w:val="0"/>
                  <w:marBottom w:val="0"/>
                  <w:divBdr>
                    <w:top w:val="none" w:sz="0" w:space="0" w:color="auto"/>
                    <w:left w:val="none" w:sz="0" w:space="0" w:color="auto"/>
                    <w:bottom w:val="none" w:sz="0" w:space="0" w:color="auto"/>
                    <w:right w:val="none" w:sz="0" w:space="0" w:color="auto"/>
                  </w:divBdr>
                </w:div>
                <w:div w:id="1175144703">
                  <w:marLeft w:val="480"/>
                  <w:marRight w:val="0"/>
                  <w:marTop w:val="0"/>
                  <w:marBottom w:val="0"/>
                  <w:divBdr>
                    <w:top w:val="none" w:sz="0" w:space="0" w:color="auto"/>
                    <w:left w:val="none" w:sz="0" w:space="0" w:color="auto"/>
                    <w:bottom w:val="none" w:sz="0" w:space="0" w:color="auto"/>
                    <w:right w:val="none" w:sz="0" w:space="0" w:color="auto"/>
                  </w:divBdr>
                </w:div>
                <w:div w:id="111560154">
                  <w:marLeft w:val="480"/>
                  <w:marRight w:val="0"/>
                  <w:marTop w:val="0"/>
                  <w:marBottom w:val="0"/>
                  <w:divBdr>
                    <w:top w:val="none" w:sz="0" w:space="0" w:color="auto"/>
                    <w:left w:val="none" w:sz="0" w:space="0" w:color="auto"/>
                    <w:bottom w:val="none" w:sz="0" w:space="0" w:color="auto"/>
                    <w:right w:val="none" w:sz="0" w:space="0" w:color="auto"/>
                  </w:divBdr>
                </w:div>
              </w:divsChild>
            </w:div>
            <w:div w:id="2004359521">
              <w:marLeft w:val="0"/>
              <w:marRight w:val="0"/>
              <w:marTop w:val="0"/>
              <w:marBottom w:val="0"/>
              <w:divBdr>
                <w:top w:val="none" w:sz="0" w:space="0" w:color="auto"/>
                <w:left w:val="none" w:sz="0" w:space="0" w:color="auto"/>
                <w:bottom w:val="none" w:sz="0" w:space="0" w:color="auto"/>
                <w:right w:val="none" w:sz="0" w:space="0" w:color="auto"/>
              </w:divBdr>
              <w:divsChild>
                <w:div w:id="697583236">
                  <w:marLeft w:val="480"/>
                  <w:marRight w:val="0"/>
                  <w:marTop w:val="0"/>
                  <w:marBottom w:val="0"/>
                  <w:divBdr>
                    <w:top w:val="none" w:sz="0" w:space="0" w:color="auto"/>
                    <w:left w:val="none" w:sz="0" w:space="0" w:color="auto"/>
                    <w:bottom w:val="none" w:sz="0" w:space="0" w:color="auto"/>
                    <w:right w:val="none" w:sz="0" w:space="0" w:color="auto"/>
                  </w:divBdr>
                </w:div>
                <w:div w:id="1172987732">
                  <w:marLeft w:val="480"/>
                  <w:marRight w:val="0"/>
                  <w:marTop w:val="0"/>
                  <w:marBottom w:val="0"/>
                  <w:divBdr>
                    <w:top w:val="none" w:sz="0" w:space="0" w:color="auto"/>
                    <w:left w:val="none" w:sz="0" w:space="0" w:color="auto"/>
                    <w:bottom w:val="none" w:sz="0" w:space="0" w:color="auto"/>
                    <w:right w:val="none" w:sz="0" w:space="0" w:color="auto"/>
                  </w:divBdr>
                </w:div>
                <w:div w:id="911937759">
                  <w:marLeft w:val="480"/>
                  <w:marRight w:val="0"/>
                  <w:marTop w:val="0"/>
                  <w:marBottom w:val="0"/>
                  <w:divBdr>
                    <w:top w:val="none" w:sz="0" w:space="0" w:color="auto"/>
                    <w:left w:val="none" w:sz="0" w:space="0" w:color="auto"/>
                    <w:bottom w:val="none" w:sz="0" w:space="0" w:color="auto"/>
                    <w:right w:val="none" w:sz="0" w:space="0" w:color="auto"/>
                  </w:divBdr>
                </w:div>
                <w:div w:id="1030843082">
                  <w:marLeft w:val="480"/>
                  <w:marRight w:val="0"/>
                  <w:marTop w:val="0"/>
                  <w:marBottom w:val="0"/>
                  <w:divBdr>
                    <w:top w:val="none" w:sz="0" w:space="0" w:color="auto"/>
                    <w:left w:val="none" w:sz="0" w:space="0" w:color="auto"/>
                    <w:bottom w:val="none" w:sz="0" w:space="0" w:color="auto"/>
                    <w:right w:val="none" w:sz="0" w:space="0" w:color="auto"/>
                  </w:divBdr>
                </w:div>
                <w:div w:id="1928689835">
                  <w:marLeft w:val="480"/>
                  <w:marRight w:val="0"/>
                  <w:marTop w:val="0"/>
                  <w:marBottom w:val="0"/>
                  <w:divBdr>
                    <w:top w:val="none" w:sz="0" w:space="0" w:color="auto"/>
                    <w:left w:val="none" w:sz="0" w:space="0" w:color="auto"/>
                    <w:bottom w:val="none" w:sz="0" w:space="0" w:color="auto"/>
                    <w:right w:val="none" w:sz="0" w:space="0" w:color="auto"/>
                  </w:divBdr>
                </w:div>
                <w:div w:id="1428309136">
                  <w:marLeft w:val="480"/>
                  <w:marRight w:val="0"/>
                  <w:marTop w:val="0"/>
                  <w:marBottom w:val="0"/>
                  <w:divBdr>
                    <w:top w:val="none" w:sz="0" w:space="0" w:color="auto"/>
                    <w:left w:val="none" w:sz="0" w:space="0" w:color="auto"/>
                    <w:bottom w:val="none" w:sz="0" w:space="0" w:color="auto"/>
                    <w:right w:val="none" w:sz="0" w:space="0" w:color="auto"/>
                  </w:divBdr>
                </w:div>
                <w:div w:id="1986658397">
                  <w:marLeft w:val="480"/>
                  <w:marRight w:val="0"/>
                  <w:marTop w:val="0"/>
                  <w:marBottom w:val="0"/>
                  <w:divBdr>
                    <w:top w:val="none" w:sz="0" w:space="0" w:color="auto"/>
                    <w:left w:val="none" w:sz="0" w:space="0" w:color="auto"/>
                    <w:bottom w:val="none" w:sz="0" w:space="0" w:color="auto"/>
                    <w:right w:val="none" w:sz="0" w:space="0" w:color="auto"/>
                  </w:divBdr>
                </w:div>
                <w:div w:id="119300098">
                  <w:marLeft w:val="480"/>
                  <w:marRight w:val="0"/>
                  <w:marTop w:val="0"/>
                  <w:marBottom w:val="0"/>
                  <w:divBdr>
                    <w:top w:val="none" w:sz="0" w:space="0" w:color="auto"/>
                    <w:left w:val="none" w:sz="0" w:space="0" w:color="auto"/>
                    <w:bottom w:val="none" w:sz="0" w:space="0" w:color="auto"/>
                    <w:right w:val="none" w:sz="0" w:space="0" w:color="auto"/>
                  </w:divBdr>
                </w:div>
                <w:div w:id="1276331844">
                  <w:marLeft w:val="480"/>
                  <w:marRight w:val="0"/>
                  <w:marTop w:val="0"/>
                  <w:marBottom w:val="0"/>
                  <w:divBdr>
                    <w:top w:val="none" w:sz="0" w:space="0" w:color="auto"/>
                    <w:left w:val="none" w:sz="0" w:space="0" w:color="auto"/>
                    <w:bottom w:val="none" w:sz="0" w:space="0" w:color="auto"/>
                    <w:right w:val="none" w:sz="0" w:space="0" w:color="auto"/>
                  </w:divBdr>
                </w:div>
                <w:div w:id="491138801">
                  <w:marLeft w:val="480"/>
                  <w:marRight w:val="0"/>
                  <w:marTop w:val="0"/>
                  <w:marBottom w:val="0"/>
                  <w:divBdr>
                    <w:top w:val="none" w:sz="0" w:space="0" w:color="auto"/>
                    <w:left w:val="none" w:sz="0" w:space="0" w:color="auto"/>
                    <w:bottom w:val="none" w:sz="0" w:space="0" w:color="auto"/>
                    <w:right w:val="none" w:sz="0" w:space="0" w:color="auto"/>
                  </w:divBdr>
                </w:div>
                <w:div w:id="1579484173">
                  <w:marLeft w:val="480"/>
                  <w:marRight w:val="0"/>
                  <w:marTop w:val="0"/>
                  <w:marBottom w:val="0"/>
                  <w:divBdr>
                    <w:top w:val="none" w:sz="0" w:space="0" w:color="auto"/>
                    <w:left w:val="none" w:sz="0" w:space="0" w:color="auto"/>
                    <w:bottom w:val="none" w:sz="0" w:space="0" w:color="auto"/>
                    <w:right w:val="none" w:sz="0" w:space="0" w:color="auto"/>
                  </w:divBdr>
                </w:div>
              </w:divsChild>
            </w:div>
            <w:div w:id="86318608">
              <w:marLeft w:val="0"/>
              <w:marRight w:val="0"/>
              <w:marTop w:val="0"/>
              <w:marBottom w:val="0"/>
              <w:divBdr>
                <w:top w:val="none" w:sz="0" w:space="0" w:color="auto"/>
                <w:left w:val="none" w:sz="0" w:space="0" w:color="auto"/>
                <w:bottom w:val="none" w:sz="0" w:space="0" w:color="auto"/>
                <w:right w:val="none" w:sz="0" w:space="0" w:color="auto"/>
              </w:divBdr>
              <w:divsChild>
                <w:div w:id="1281180811">
                  <w:marLeft w:val="480"/>
                  <w:marRight w:val="0"/>
                  <w:marTop w:val="0"/>
                  <w:marBottom w:val="0"/>
                  <w:divBdr>
                    <w:top w:val="none" w:sz="0" w:space="0" w:color="auto"/>
                    <w:left w:val="none" w:sz="0" w:space="0" w:color="auto"/>
                    <w:bottom w:val="none" w:sz="0" w:space="0" w:color="auto"/>
                    <w:right w:val="none" w:sz="0" w:space="0" w:color="auto"/>
                  </w:divBdr>
                </w:div>
                <w:div w:id="298726399">
                  <w:marLeft w:val="480"/>
                  <w:marRight w:val="0"/>
                  <w:marTop w:val="0"/>
                  <w:marBottom w:val="0"/>
                  <w:divBdr>
                    <w:top w:val="none" w:sz="0" w:space="0" w:color="auto"/>
                    <w:left w:val="none" w:sz="0" w:space="0" w:color="auto"/>
                    <w:bottom w:val="none" w:sz="0" w:space="0" w:color="auto"/>
                    <w:right w:val="none" w:sz="0" w:space="0" w:color="auto"/>
                  </w:divBdr>
                </w:div>
                <w:div w:id="1323006914">
                  <w:marLeft w:val="480"/>
                  <w:marRight w:val="0"/>
                  <w:marTop w:val="0"/>
                  <w:marBottom w:val="0"/>
                  <w:divBdr>
                    <w:top w:val="none" w:sz="0" w:space="0" w:color="auto"/>
                    <w:left w:val="none" w:sz="0" w:space="0" w:color="auto"/>
                    <w:bottom w:val="none" w:sz="0" w:space="0" w:color="auto"/>
                    <w:right w:val="none" w:sz="0" w:space="0" w:color="auto"/>
                  </w:divBdr>
                </w:div>
                <w:div w:id="1791628215">
                  <w:marLeft w:val="480"/>
                  <w:marRight w:val="0"/>
                  <w:marTop w:val="0"/>
                  <w:marBottom w:val="0"/>
                  <w:divBdr>
                    <w:top w:val="none" w:sz="0" w:space="0" w:color="auto"/>
                    <w:left w:val="none" w:sz="0" w:space="0" w:color="auto"/>
                    <w:bottom w:val="none" w:sz="0" w:space="0" w:color="auto"/>
                    <w:right w:val="none" w:sz="0" w:space="0" w:color="auto"/>
                  </w:divBdr>
                </w:div>
                <w:div w:id="1556432476">
                  <w:marLeft w:val="480"/>
                  <w:marRight w:val="0"/>
                  <w:marTop w:val="0"/>
                  <w:marBottom w:val="0"/>
                  <w:divBdr>
                    <w:top w:val="none" w:sz="0" w:space="0" w:color="auto"/>
                    <w:left w:val="none" w:sz="0" w:space="0" w:color="auto"/>
                    <w:bottom w:val="none" w:sz="0" w:space="0" w:color="auto"/>
                    <w:right w:val="none" w:sz="0" w:space="0" w:color="auto"/>
                  </w:divBdr>
                </w:div>
                <w:div w:id="1297183539">
                  <w:marLeft w:val="480"/>
                  <w:marRight w:val="0"/>
                  <w:marTop w:val="0"/>
                  <w:marBottom w:val="0"/>
                  <w:divBdr>
                    <w:top w:val="none" w:sz="0" w:space="0" w:color="auto"/>
                    <w:left w:val="none" w:sz="0" w:space="0" w:color="auto"/>
                    <w:bottom w:val="none" w:sz="0" w:space="0" w:color="auto"/>
                    <w:right w:val="none" w:sz="0" w:space="0" w:color="auto"/>
                  </w:divBdr>
                </w:div>
                <w:div w:id="586382056">
                  <w:marLeft w:val="480"/>
                  <w:marRight w:val="0"/>
                  <w:marTop w:val="0"/>
                  <w:marBottom w:val="0"/>
                  <w:divBdr>
                    <w:top w:val="none" w:sz="0" w:space="0" w:color="auto"/>
                    <w:left w:val="none" w:sz="0" w:space="0" w:color="auto"/>
                    <w:bottom w:val="none" w:sz="0" w:space="0" w:color="auto"/>
                    <w:right w:val="none" w:sz="0" w:space="0" w:color="auto"/>
                  </w:divBdr>
                </w:div>
                <w:div w:id="1289900643">
                  <w:marLeft w:val="480"/>
                  <w:marRight w:val="0"/>
                  <w:marTop w:val="0"/>
                  <w:marBottom w:val="0"/>
                  <w:divBdr>
                    <w:top w:val="none" w:sz="0" w:space="0" w:color="auto"/>
                    <w:left w:val="none" w:sz="0" w:space="0" w:color="auto"/>
                    <w:bottom w:val="none" w:sz="0" w:space="0" w:color="auto"/>
                    <w:right w:val="none" w:sz="0" w:space="0" w:color="auto"/>
                  </w:divBdr>
                </w:div>
                <w:div w:id="853613202">
                  <w:marLeft w:val="480"/>
                  <w:marRight w:val="0"/>
                  <w:marTop w:val="0"/>
                  <w:marBottom w:val="0"/>
                  <w:divBdr>
                    <w:top w:val="none" w:sz="0" w:space="0" w:color="auto"/>
                    <w:left w:val="none" w:sz="0" w:space="0" w:color="auto"/>
                    <w:bottom w:val="none" w:sz="0" w:space="0" w:color="auto"/>
                    <w:right w:val="none" w:sz="0" w:space="0" w:color="auto"/>
                  </w:divBdr>
                </w:div>
                <w:div w:id="1619295225">
                  <w:marLeft w:val="480"/>
                  <w:marRight w:val="0"/>
                  <w:marTop w:val="0"/>
                  <w:marBottom w:val="0"/>
                  <w:divBdr>
                    <w:top w:val="none" w:sz="0" w:space="0" w:color="auto"/>
                    <w:left w:val="none" w:sz="0" w:space="0" w:color="auto"/>
                    <w:bottom w:val="none" w:sz="0" w:space="0" w:color="auto"/>
                    <w:right w:val="none" w:sz="0" w:space="0" w:color="auto"/>
                  </w:divBdr>
                </w:div>
                <w:div w:id="93278845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28673">
      <w:bodyDiv w:val="1"/>
      <w:marLeft w:val="0"/>
      <w:marRight w:val="0"/>
      <w:marTop w:val="0"/>
      <w:marBottom w:val="0"/>
      <w:divBdr>
        <w:top w:val="none" w:sz="0" w:space="0" w:color="auto"/>
        <w:left w:val="none" w:sz="0" w:space="0" w:color="auto"/>
        <w:bottom w:val="none" w:sz="0" w:space="0" w:color="auto"/>
        <w:right w:val="none" w:sz="0" w:space="0" w:color="auto"/>
      </w:divBdr>
    </w:div>
    <w:div w:id="1955625546">
      <w:bodyDiv w:val="1"/>
      <w:marLeft w:val="0"/>
      <w:marRight w:val="0"/>
      <w:marTop w:val="0"/>
      <w:marBottom w:val="0"/>
      <w:divBdr>
        <w:top w:val="none" w:sz="0" w:space="0" w:color="auto"/>
        <w:left w:val="none" w:sz="0" w:space="0" w:color="auto"/>
        <w:bottom w:val="none" w:sz="0" w:space="0" w:color="auto"/>
        <w:right w:val="none" w:sz="0" w:space="0" w:color="auto"/>
      </w:divBdr>
      <w:divsChild>
        <w:div w:id="498694152">
          <w:marLeft w:val="480"/>
          <w:marRight w:val="0"/>
          <w:marTop w:val="0"/>
          <w:marBottom w:val="0"/>
          <w:divBdr>
            <w:top w:val="none" w:sz="0" w:space="0" w:color="auto"/>
            <w:left w:val="none" w:sz="0" w:space="0" w:color="auto"/>
            <w:bottom w:val="none" w:sz="0" w:space="0" w:color="auto"/>
            <w:right w:val="none" w:sz="0" w:space="0" w:color="auto"/>
          </w:divBdr>
        </w:div>
        <w:div w:id="1827084683">
          <w:marLeft w:val="480"/>
          <w:marRight w:val="0"/>
          <w:marTop w:val="0"/>
          <w:marBottom w:val="0"/>
          <w:divBdr>
            <w:top w:val="none" w:sz="0" w:space="0" w:color="auto"/>
            <w:left w:val="none" w:sz="0" w:space="0" w:color="auto"/>
            <w:bottom w:val="none" w:sz="0" w:space="0" w:color="auto"/>
            <w:right w:val="none" w:sz="0" w:space="0" w:color="auto"/>
          </w:divBdr>
        </w:div>
        <w:div w:id="10647247">
          <w:marLeft w:val="480"/>
          <w:marRight w:val="0"/>
          <w:marTop w:val="0"/>
          <w:marBottom w:val="0"/>
          <w:divBdr>
            <w:top w:val="none" w:sz="0" w:space="0" w:color="auto"/>
            <w:left w:val="none" w:sz="0" w:space="0" w:color="auto"/>
            <w:bottom w:val="none" w:sz="0" w:space="0" w:color="auto"/>
            <w:right w:val="none" w:sz="0" w:space="0" w:color="auto"/>
          </w:divBdr>
        </w:div>
        <w:div w:id="530192086">
          <w:marLeft w:val="480"/>
          <w:marRight w:val="0"/>
          <w:marTop w:val="0"/>
          <w:marBottom w:val="0"/>
          <w:divBdr>
            <w:top w:val="none" w:sz="0" w:space="0" w:color="auto"/>
            <w:left w:val="none" w:sz="0" w:space="0" w:color="auto"/>
            <w:bottom w:val="none" w:sz="0" w:space="0" w:color="auto"/>
            <w:right w:val="none" w:sz="0" w:space="0" w:color="auto"/>
          </w:divBdr>
        </w:div>
        <w:div w:id="687560341">
          <w:marLeft w:val="480"/>
          <w:marRight w:val="0"/>
          <w:marTop w:val="0"/>
          <w:marBottom w:val="0"/>
          <w:divBdr>
            <w:top w:val="none" w:sz="0" w:space="0" w:color="auto"/>
            <w:left w:val="none" w:sz="0" w:space="0" w:color="auto"/>
            <w:bottom w:val="none" w:sz="0" w:space="0" w:color="auto"/>
            <w:right w:val="none" w:sz="0" w:space="0" w:color="auto"/>
          </w:divBdr>
        </w:div>
        <w:div w:id="657733085">
          <w:marLeft w:val="480"/>
          <w:marRight w:val="0"/>
          <w:marTop w:val="0"/>
          <w:marBottom w:val="0"/>
          <w:divBdr>
            <w:top w:val="none" w:sz="0" w:space="0" w:color="auto"/>
            <w:left w:val="none" w:sz="0" w:space="0" w:color="auto"/>
            <w:bottom w:val="none" w:sz="0" w:space="0" w:color="auto"/>
            <w:right w:val="none" w:sz="0" w:space="0" w:color="auto"/>
          </w:divBdr>
        </w:div>
      </w:divsChild>
    </w:div>
    <w:div w:id="1961567633">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Acad&#233;mico\Universidad\FAC\AIDIC%20articles\sensibilidad\graficas%20Sens%20xd.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37092943506125"/>
          <c:y val="6.727342771838582E-2"/>
          <c:w val="0.65304184482755112"/>
          <c:h val="0.69911393624193396"/>
        </c:manualLayout>
      </c:layout>
      <c:barChart>
        <c:barDir val="col"/>
        <c:grouping val="clustered"/>
        <c:varyColors val="0"/>
        <c:ser>
          <c:idx val="0"/>
          <c:order val="0"/>
          <c:tx>
            <c:strRef>
              <c:f>sensibilidades!$B$91</c:f>
              <c:strCache>
                <c:ptCount val="1"/>
                <c:pt idx="0">
                  <c:v>ATJ</c:v>
                </c:pt>
              </c:strCache>
            </c:strRef>
          </c:tx>
          <c:spPr>
            <a:solidFill>
              <a:srgbClr val="156082"/>
            </a:solidFill>
            <a:ln>
              <a:noFill/>
            </a:ln>
            <a:effectLst/>
          </c:spPr>
          <c:invertIfNegative val="0"/>
          <c:cat>
            <c:strRef>
              <c:f>sensibilidades!$C$89:$E$90</c:f>
              <c:strCache>
                <c:ptCount val="3"/>
                <c:pt idx="0">
                  <c:v>1%</c:v>
                </c:pt>
                <c:pt idx="1">
                  <c:v>9%</c:v>
                </c:pt>
                <c:pt idx="2">
                  <c:v>15%</c:v>
                </c:pt>
              </c:strCache>
            </c:strRef>
          </c:cat>
          <c:val>
            <c:numRef>
              <c:f>sensibilidades!$C$91:$E$91</c:f>
              <c:numCache>
                <c:formatCode>General</c:formatCode>
                <c:ptCount val="3"/>
                <c:pt idx="0">
                  <c:v>2.58166894932035</c:v>
                </c:pt>
                <c:pt idx="1">
                  <c:v>1.95887805881655</c:v>
                </c:pt>
                <c:pt idx="2">
                  <c:v>1.1754138167141199</c:v>
                </c:pt>
              </c:numCache>
            </c:numRef>
          </c:val>
          <c:extLst>
            <c:ext xmlns:c16="http://schemas.microsoft.com/office/drawing/2014/chart" uri="{C3380CC4-5D6E-409C-BE32-E72D297353CC}">
              <c16:uniqueId val="{00000000-6F44-48BC-97DF-A9D3317D7323}"/>
            </c:ext>
          </c:extLst>
        </c:ser>
        <c:ser>
          <c:idx val="1"/>
          <c:order val="1"/>
          <c:tx>
            <c:strRef>
              <c:f>sensibilidades!$B$92</c:f>
              <c:strCache>
                <c:ptCount val="1"/>
                <c:pt idx="0">
                  <c:v>GFT</c:v>
                </c:pt>
              </c:strCache>
            </c:strRef>
          </c:tx>
          <c:spPr>
            <a:solidFill>
              <a:srgbClr val="E97132"/>
            </a:solidFill>
            <a:ln>
              <a:noFill/>
            </a:ln>
            <a:effectLst/>
          </c:spPr>
          <c:invertIfNegative val="0"/>
          <c:cat>
            <c:strRef>
              <c:f>sensibilidades!$C$89:$E$90</c:f>
              <c:strCache>
                <c:ptCount val="3"/>
                <c:pt idx="0">
                  <c:v>1%</c:v>
                </c:pt>
                <c:pt idx="1">
                  <c:v>9%</c:v>
                </c:pt>
                <c:pt idx="2">
                  <c:v>15%</c:v>
                </c:pt>
              </c:strCache>
            </c:strRef>
          </c:cat>
          <c:val>
            <c:numRef>
              <c:f>sensibilidades!$C$92:$E$92</c:f>
              <c:numCache>
                <c:formatCode>General</c:formatCode>
                <c:ptCount val="3"/>
                <c:pt idx="0">
                  <c:v>1.7264089629163299</c:v>
                </c:pt>
                <c:pt idx="1">
                  <c:v>0.528594831614695</c:v>
                </c:pt>
                <c:pt idx="2">
                  <c:v>0.444548138312925</c:v>
                </c:pt>
              </c:numCache>
            </c:numRef>
          </c:val>
          <c:extLst>
            <c:ext xmlns:c16="http://schemas.microsoft.com/office/drawing/2014/chart" uri="{C3380CC4-5D6E-409C-BE32-E72D297353CC}">
              <c16:uniqueId val="{00000001-6F44-48BC-97DF-A9D3317D7323}"/>
            </c:ext>
          </c:extLst>
        </c:ser>
        <c:dLbls>
          <c:showLegendKey val="0"/>
          <c:showVal val="0"/>
          <c:showCatName val="0"/>
          <c:showSerName val="0"/>
          <c:showPercent val="0"/>
          <c:showBubbleSize val="0"/>
        </c:dLbls>
        <c:gapWidth val="219"/>
        <c:overlap val="-27"/>
        <c:axId val="552290735"/>
        <c:axId val="422649295"/>
      </c:barChart>
      <c:catAx>
        <c:axId val="55229073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 Integration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22649295"/>
        <c:crosses val="autoZero"/>
        <c:auto val="1"/>
        <c:lblAlgn val="ctr"/>
        <c:lblOffset val="100"/>
        <c:noMultiLvlLbl val="0"/>
      </c:catAx>
      <c:valAx>
        <c:axId val="42264929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MFSP ($/L)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552290735"/>
        <c:crosses val="autoZero"/>
        <c:crossBetween val="between"/>
      </c:valAx>
      <c:spPr>
        <a:noFill/>
        <a:ln>
          <a:noFill/>
        </a:ln>
        <a:effectLst/>
      </c:spPr>
    </c:plotArea>
    <c:legend>
      <c:legendPos val="b"/>
      <c:layout>
        <c:manualLayout>
          <c:xMode val="edge"/>
          <c:yMode val="edge"/>
          <c:x val="0.81363350516827682"/>
          <c:y val="0.28584789793499549"/>
          <c:w val="0.14101875802614361"/>
          <c:h val="0.414479738463797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561B3AEE6684B1F885493DE16F0579D"/>
        <w:category>
          <w:name w:val="General"/>
          <w:gallery w:val="placeholder"/>
        </w:category>
        <w:types>
          <w:type w:val="bbPlcHdr"/>
        </w:types>
        <w:behaviors>
          <w:behavior w:val="content"/>
        </w:behaviors>
        <w:guid w:val="{0D8C1C80-870F-47C2-B92F-DFC9812A8177}"/>
      </w:docPartPr>
      <w:docPartBody>
        <w:p w:rsidR="00EF5008" w:rsidRDefault="00E47DEA" w:rsidP="00E47DEA">
          <w:pPr>
            <w:pStyle w:val="2561B3AEE6684B1F885493DE16F0579D"/>
          </w:pPr>
          <w:r w:rsidRPr="0053661B">
            <w:rPr>
              <w:rStyle w:val="Textodelmarcadordeposicin"/>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22CB106-EDE3-41BE-AFBA-D7DB44E5B667}"/>
      </w:docPartPr>
      <w:docPartBody>
        <w:p w:rsidR="00260BA2" w:rsidRDefault="00D7210E">
          <w:r w:rsidRPr="003D3053">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DEA"/>
    <w:rsid w:val="00056159"/>
    <w:rsid w:val="00062F5D"/>
    <w:rsid w:val="001C5994"/>
    <w:rsid w:val="00260BA2"/>
    <w:rsid w:val="00335F5F"/>
    <w:rsid w:val="003E2C40"/>
    <w:rsid w:val="0046701D"/>
    <w:rsid w:val="0055209F"/>
    <w:rsid w:val="005822B6"/>
    <w:rsid w:val="0060070B"/>
    <w:rsid w:val="006158B4"/>
    <w:rsid w:val="007251D4"/>
    <w:rsid w:val="00737BEE"/>
    <w:rsid w:val="00794882"/>
    <w:rsid w:val="007A3B05"/>
    <w:rsid w:val="00873827"/>
    <w:rsid w:val="00873C46"/>
    <w:rsid w:val="008F0F16"/>
    <w:rsid w:val="009919C2"/>
    <w:rsid w:val="00A33C5A"/>
    <w:rsid w:val="00B03A76"/>
    <w:rsid w:val="00C51CA2"/>
    <w:rsid w:val="00C96110"/>
    <w:rsid w:val="00CE24A3"/>
    <w:rsid w:val="00D7210E"/>
    <w:rsid w:val="00E47DEA"/>
    <w:rsid w:val="00EF500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C5994"/>
    <w:rPr>
      <w:color w:val="808080"/>
    </w:rPr>
  </w:style>
  <w:style w:type="paragraph" w:customStyle="1" w:styleId="2561B3AEE6684B1F885493DE16F0579D">
    <w:name w:val="2561B3AEE6684B1F885493DE16F0579D"/>
    <w:rsid w:val="00E47DEA"/>
  </w:style>
  <w:style w:type="paragraph" w:customStyle="1" w:styleId="F4DB8B8EF7414878BACFC772907EF088">
    <w:name w:val="F4DB8B8EF7414878BACFC772907EF088"/>
    <w:rsid w:val="001C599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338C3F6-B4A1-4903-99F6-C65CBFA8E69C}">
  <we:reference id="wa104382081" version="1.55.1.0" store="es-ES" storeType="OMEX"/>
  <we:alternateReferences>
    <we:reference id="wa104382081" version="1.55.1.0" store="es-ES" storeType="OMEX"/>
  </we:alternateReferences>
  <we:properties>
    <we:property name="MENDELEY_CITATIONS" value="[{&quot;citationID&quot;:&quot;MENDELEY_CITATION_7741e8dd-23a3-4fcc-882f-31f8ae7d262e&quot;,&quot;properties&quot;:{&quot;noteIndex&quot;:0},&quot;isEdited&quot;:false,&quot;manualOverride&quot;:{&quot;isManuallyOverridden&quot;:false,&quot;citeprocText&quot;:&quot;(López Gómez et al., 2023)&quot;,&quot;manualOverrideText&quot;:&quot;&quot;},&quot;citationTag&quot;:&quot;MENDELEY_CITATION_v3_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&quot;,&quot;citationItems&quot;:[{&quot;id&quot;:&quot;bafb34cf-a76f-39e0-bd49-c35ab6ce6c9d&quot;,&quot;itemData&quot;:{&quot;type&quot;:&quot;article-journal&quot;,&quot;id&quot;:&quot;bafb34cf-a76f-39e0-bd49-c35ab6ce6c9d&quot;,&quot;title&quot;:&quot;Diagnosis of Challenges and Uncertainties for Implementation of Sustainable Aviation Fuel (SAF) in Colombia, and Recommendations to Move Forward&quot;,&quot;groupId&quot;:&quot;1a9c7cbf-7e38-33da-a8be-cc25c7ce7224&quot;,&quot;author&quot;:[{&quot;family&quot;:&quot;López Gómez&quot;,&quot;given&quot;:&quot;Mauricio&quot;,&quot;parse-names&quot;:false,&quot;dropping-particle&quot;:&quot;&quot;,&quot;non-dropping-particle&quot;:&quot;&quot;},{&quot;family&quot;:&quot;Posada&quot;,&quot;given&quot;:&quot;John&quot;,&quot;parse-names&quot;:false,&quot;dropping-particle&quot;:&quot;&quot;,&quot;non-dropping-particle&quot;:&quot;&quot;},{&quot;family&quot;:&quot;Silva&quot;,&quot;given&quot;:&quot;Vladimir&quot;,&quot;parse-names&quot;:false,&quot;dropping-particle&quot;:&quot;&quot;,&quot;non-dropping-particle&quot;:&quot;&quot;},{&quot;family&quot;:&quot;Martínez&quot;,&quot;given&quot;:&quot;Lina&quot;,&quot;parse-names&quot;:false,&quot;dropping-particle&quot;:&quot;&quot;,&quot;non-dropping-particle&quot;:&quot;&quot;},{&quot;family&quot;:&quot;Mayorga&quot;,&quot;given&quot;:&quot;Alejandro&quot;,&quot;parse-names&quot;:false,&quot;dropping-particle&quot;:&quot;&quot;,&quot;non-dropping-particle&quot;:&quot;&quot;},{&quot;family&quot;:&quot;Álvarez&quot;,&quot;given&quot;:&quot;Oscar&quot;,&quot;parse-names&quot;:false,&quot;dropping-particle&quot;:&quot;&quot;,&quot;non-dropping-particle&quot;:&quot;&quot;}],&quot;container-title&quot;:&quot;Energies&quot;,&quot;accessed&quot;:{&quot;date-parts&quot;:[[2023,8,20]]},&quot;DOI&quot;:&quot;10.3390/en16155667&quot;,&quot;ISSN&quot;:&quot;1996-1073&quot;,&quot;URL&quot;:&quot;https://www.mdpi.com/1996-1073/16/15/5667/html&quot;,&quot;issued&quot;:{&quot;date-parts&quot;:[[2023,7,28]]},&quot;page&quot;:&quot;5667&quot;,&quot;abstract&quot;:&quot;&lt;p&gt;This article reviews the current scenario and the main uncertainties and challenges associated with implementing Sustainable Aviation Fuel (SAF) in Colombia, from which it determines the possible certified technologies under the ASTM D 7566 standard as well as co-processing technologies contemplated within the ASTM D 1655 standard, more suitable for the implementation of SAF production. Likewise, through the PESTEL tool (Political, Economic, Social, Technological, Environmental, and Legal), a diagnosis is made in order to obtain an updated overview of the implementation of SAF in Colombia. Based on the above, it provides recommendations to mitigate the uncertainties identified, and it is complemented by the ECOCANVAS tool, which applies to businesses related to the circular economy, and also include the net production potential of SAF in Colombia, considering the production of feedstock, in agricultural residue of sugarcane, oil palm, corn, and coffee. This study concludes with some policy recommendations that can make SAF implementation viable and allow responsible institutions to organize themselves for better strategic action and identify the fields of research and the need for investment in R + D + i to strengthen the supply chain.&lt;/p&gt;&quot;,&quot;issue&quot;:&quot;15&quot;,&quot;volume&quot;:&quot;16&quot;,&quot;container-title-short&quot;:&quot;Energies (Basel)&quot;},&quot;isTemporary&quot;:false}]},{&quot;citationID&quot;:&quot;MENDELEY_CITATION_ae9507c8-9835-46d5-a56e-9b28c21f3e63&quot;,&quot;properties&quot;:{&quot;noteIndex&quot;:0},&quot;isEdited&quot;:false,&quot;manualOverride&quot;:{&quot;isManuallyOverridden&quot;:false,&quot;citeprocText&quot;:&quot;(Kwakernaak, 2022)&quot;,&quot;manualOverrideText&quot;:&quot;&quot;},&quot;citationTag&quot;:&quot;MENDELEY_CITATION_v3_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&quot;,&quot;citationItems&quot;:[{&quot;id&quot;:&quot;8a534c7e-5c80-38d8-8369-e6eb0d405796&quot;,&quot;itemData&quot;:{&quot;type&quot;:&quot;report&quot;,&quot;id&quot;:&quot;8a534c7e-5c80-38d8-8369-e6eb0d405796&quot;,&quot;title&quot;:&quot;Spatial and temporal distribution of lignocellulosic biomass for marine &amp; aviation biofuel production&quot;,&quot;groupId&quot;:&quot;1a9c7cbf-7e38-33da-a8be-cc25c7ce7224&quot;,&quot;author&quot;:[{&quot;family&quot;:&quot;Kwakernaak&quot;,&quot;given&quot;:&quot;S&quot;,&quot;parse-names&quot;:false,&quot;dropping-particle&quot;:&quot;&quot;,&quot;non-dropping-particle&quot;:&quot;&quot;}],&quot;URL&quot;:&quot;http://repository.tudelft.nl/.&quot;,&quot;issued&quot;:{&quot;date-parts&quot;:[[2022]]},&quot;container-title-short&quot;:&quot;&quot;},&quot;isTemporary&quot;:false}]},{&quot;citationID&quot;:&quot;MENDELEY_CITATION_b21ed5e7-86bb-490c-a3e2-03be2ff21573&quot;,&quot;properties&quot;:{&quot;noteIndex&quot;:0},&quot;isEdited&quot;:false,&quot;manualOverride&quot;:{&quot;isManuallyOverridden&quot;:false,&quot;citeprocText&quot;:&quot;(Kreutz et al., 2020)&quot;,&quot;manualOverrideText&quot;:&quot;&quot;},&quot;citationTag&quot;:&quot;MENDELEY_CITATION_v3_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&quot;,&quot;citationItems&quot;:[{&quot;id&quot;:&quot;f264bf14-60be-339a-96ff-16b94f23340d&quot;,&quot;itemData&quot;:{&quot;type&quot;:&quot;article-journal&quot;,&quot;id&quot;:&quot;f264bf14-60be-339a-96ff-16b94f23340d&quot;,&quot;title&quot;:&quot;Techno-economic prospects for producing Fischer-Tropsch jet fuel and electricity from lignite and woody biomass with CO2 capture for EOR&quot;,&quot;author&quot;:[{&quot;family&quot;:&quot;Kreutz&quot;,&quot;given&quot;:&quot;Thomas G.&quot;,&quot;parse-names&quot;:false,&quot;dropping-particle&quot;:&quot;&quot;,&quot;non-dropping-particle&quot;:&quot;&quot;},{&quot;family&quot;:&quot;Larson&quot;,&quot;given&quot;:&quot;Eric D.&quot;,&quot;parse-names&quot;:false,&quot;dropping-particle&quot;:&quot;&quot;,&quot;non-dropping-particle&quot;:&quot;&quot;},{&quot;family&quot;:&quot;Elsido&quot;,&quot;given&quot;:&quot;Cristina&quot;,&quot;parse-names&quot;:false,&quot;dropping-particle&quot;:&quot;&quot;,&quot;non-dropping-particle&quot;:&quot;&quot;},{&quot;family&quot;:&quot;Martelli&quot;,&quot;given&quot;:&quot;Emanuele&quot;,&quot;parse-names&quot;:false,&quot;dropping-particle&quot;:&quot;&quot;,&quot;non-dropping-particle&quot;:&quot;&quot;},{&quot;family&quot;:&quot;Greig&quot;,&quot;given&quot;:&quot;Chris&quot;,&quot;parse-names&quot;:false,&quot;dropping-particle&quot;:&quot;&quot;,&quot;non-dropping-particle&quot;:&quot;&quot;},{&quot;family&quot;:&quot;Williams&quot;,&quot;given&quot;:&quot;Robert H.&quot;,&quot;parse-names&quot;:false,&quot;dropping-particle&quot;:&quot;&quot;,&quot;non-dropping-particle&quot;:&quot;&quot;}],&quot;container-title&quot;:&quot;Applied Energy&quot;,&quot;container-title-short&quot;:&quot;Appl Energy&quot;,&quot;DOI&quot;:&quot;10.1016/j.apenergy.2020.115841&quot;,&quot;ISSN&quot;:&quot;03062619&quot;,&quot;issued&quot;:{&quot;date-parts&quot;:[[2020,12]]},&quot;page&quot;:&quot;115841&quot;,&quot;volume&quot;:&quot;279&quot;},&quot;isTemporary&quot;:false}]},{&quot;citationID&quot;:&quot;MENDELEY_CITATION_296e9422-1ae8-40e0-b5f3-149d491e7b0a&quot;,&quot;properties&quot;:{&quot;noteIndex&quot;:0},&quot;isEdited&quot;:false,&quot;manualOverride&quot;:{&quot;isManuallyOverridden&quot;:false,&quot;citeprocText&quot;:&quot;(Atsonios et al., 2015)&quot;,&quot;manualOverrideText&quot;:&quot;&quot;},&quot;citationTag&quot;:&quot;MENDELEY_CITATION_v3_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&quot;,&quot;citationItems&quot;:[{&quot;id&quot;:&quot;0845ec94-fb2a-3247-9b2a-8433fc790a5f&quot;,&quot;itemData&quot;:{&quot;type&quot;:&quot;article-journal&quot;,&quot;id&quot;:&quot;0845ec94-fb2a-3247-9b2a-8433fc790a5f&quot;,&quot;title&quot;:&quot;Alternative thermochemical routes for aviation biofuels via alcohols synthesis: Process modeling, techno-economic assessment and comparison&quot;,&quot;author&quot;:[{&quot;family&quot;:&quot;Atsonios&quot;,&quot;given&quot;:&quot;Konstantinos&quot;,&quot;parse-names&quot;:false,&quot;dropping-particle&quot;:&quot;&quot;,&quot;non-dropping-particle&quot;:&quot;&quot;},{&quot;family&quot;:&quot;Kougioumtzis&quot;,&quot;given&quot;:&quot;Michael-Alexander&quot;,&quot;parse-names&quot;:false,&quot;dropping-particle&quot;:&quot;&quot;,&quot;non-dropping-particle&quot;:&quot;&quot;},{&quot;family&quot;:&quot;D. Panopoulos&quot;,&quot;given&quot;:&quot;Kyriakos&quot;,&quot;parse-names&quot;:false,&quot;dropping-particle&quot;:&quot;&quot;,&quot;non-dropping-particle&quot;:&quot;&quot;},{&quot;family&quot;:&quot;Kakaras&quot;,&quot;given&quot;:&quot;Emmanuel&quot;,&quot;parse-names&quot;:false,&quot;dropping-particle&quot;:&quot;&quot;,&quot;non-dropping-particle&quot;:&quot;&quot;}],&quot;container-title&quot;:&quot;Applied Energy&quot;,&quot;container-title-short&quot;:&quot;Appl Energy&quot;,&quot;DOI&quot;:&quot;10.1016/j.apenergy.2014.10.056&quot;,&quot;ISSN&quot;:&quot;03062619&quot;,&quot;issued&quot;:{&quot;date-parts&quot;:[[2015,1]]},&quot;page&quot;:&quot;346-366&quot;,&quot;volume&quot;:&quot;138&quot;},&quot;isTemporary&quot;:false}]},{&quot;citationID&quot;:&quot;MENDELEY_CITATION_efaa1031-0179-49d8-84ff-de7e83ed1ed2&quot;,&quot;properties&quot;:{&quot;noteIndex&quot;:0},&quot;isEdited&quot;:false,&quot;manualOverride&quot;:{&quot;isManuallyOverridden&quot;:false,&quot;citeprocText&quot;:&quot;(Shahriar &amp;#38; Khanal, 2022)&quot;,&quot;manualOverrideText&quot;:&quot;&quot;},&quot;citationTag&quot;:&quot;MENDELEY_CITATION_v3_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&quot;,&quot;citationItems&quot;:[{&quot;id&quot;:&quot;0d11d489-2bf6-3651-b2ad-28f7eb22ab22&quot;,&quot;itemData&quot;:{&quot;type&quot;:&quot;article-journal&quot;,&quot;id&quot;:&quot;0d11d489-2bf6-3651-b2ad-28f7eb22ab22&quot;,&quot;title&quot;:&quot;The current techno-economic, environmental, policy status and perspectives of sustainable aviation fuel (SAF)&quot;,&quot;groupId&quot;:&quot;1a9c7cbf-7e38-33da-a8be-cc25c7ce7224&quot;,&quot;author&quot;:[{&quot;family&quot;:&quot;Shahriar&quot;,&quot;given&quot;:&quot;Md Fahim&quot;,&quot;parse-names&quot;:false,&quot;dropping-particle&quot;:&quot;&quot;,&quot;non-dropping-particle&quot;:&quot;&quot;},{&quot;family&quot;:&quot;Khanal&quot;,&quot;given&quot;:&quot;Aaditya&quot;,&quot;parse-names&quot;:false,&quot;dropping-particle&quot;:&quot;&quot;,&quot;non-dropping-particle&quot;:&quot;&quot;}],&quot;container-title&quot;:&quot;Fuel&quot;,&quot;DOI&quot;:&quot;10.1016/j.fuel.2022.124905&quot;,&quot;ISSN&quot;:&quot;00162361&quot;,&quot;issued&quot;:{&quot;date-parts&quot;:[[2022,10,1]]},&quot;abstract&quot;:&quot;A worldwide shift towards environmentally friendly renewable fuels is required to mitigate the environmental impacts of fossil fuel use in the aviation industry. Sustainable aviation fuel (SAF), derived from renewable bio-based resources, has recently received considerable interest as a viable alternative to non-renewable fossil fuels. In addition, the SAF offers a considerably smaller CO2 emission footprint compared to fossil fuels. However, despite the environmental benefits, SAF has high production costs and is not currently economically competitive. Therefore, various organizational initiatives, government incentives, and effective policies are required to promote the widespread use of SAF by the aviation sector. The incentives are also necessary to make SAF competitive with fossil fuels by improving the technical understanding of the production processes, exploring the supply chain needs, and reducing the uncertainties and risks associated with starting commercial-scale biorefinery projects. This review examines the current techno-economic status of SAF technology worldwide. It also explores past and present organizational initiatives and policies implemented for the aviation industry's broader acceptance of SAF. The environmental aspects of SAF use, such as carbon offset and water use, are also critically analyzed in this work. A comprehensive comparative analysis of several bio-conversion methods using various feedstocks is also explored. This review also identifies several hurdles and areas that need further research to shift towards SAF from conventional fuels successfully. While technical, economic, and policy challenges remain, SAF can significantly reduce the CO2 emissions from the aviation sector and contribute substantially to climate change solutions.&quot;,&quot;publisher&quot;:&quot;Elsevier Ltd&quot;,&quot;volume&quot;:&quot;325&quot;,&quot;container-title-short&quot;:&quot;&quot;},&quot;isTemporary&quot;:false}]},{&quot;citationID&quot;:&quot;MENDELEY_CITATION_1dc444ad-9056-49cc-b3b3-664137d52277&quot;,&quot;properties&quot;:{&quot;noteIndex&quot;:0},&quot;isEdited&quot;:false,&quot;manualOverride&quot;:{&quot;isManuallyOverridden&quot;:false,&quot;citeprocText&quot;:&quot;(Capaz et al., 2020)&quot;,&quot;manualOverrideText&quot;:&quot;&quot;},&quot;citationTag&quot;:&quot;MENDELEY_CITATION_v3_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&quot;,&quot;citationItems&quot;:[{&quot;id&quot;:&quot;563653b1-dc52-38e3-823e-d5a4ba200c2f&quot;,&quot;itemData&quot;:{&quot;type&quot;:&quot;article-journal&quot;,&quot;id&quot;:&quot;563653b1-dc52-38e3-823e-d5a4ba200c2f&quot;,&quot;title&quot;:&quot;Environmental trade-offs of renewable jet fuels in Brazil: Beyond the carbon footprint&quot;,&quot;author&quot;:[{&quot;family&quot;:&quot;Capaz&quot;,&quot;given&quot;:&quot;Rafael S.&quot;,&quot;parse-names&quot;:false,&quot;dropping-particle&quot;:&quot;&quot;,&quot;non-dropping-particle&quot;:&quot;&quot;},{&quot;family&quot;:&quot;Medeiros&quot;,&quot;given&quot;:&quot;Elisa M.&quot;,&quot;parse-names&quot;:false,&quot;dropping-particle&quot;:&quot;&quot;,&quot;non-dropping-particle&quot;:&quot;de&quot;},{&quot;family&quot;:&quot;Falco&quot;,&quot;given&quot;:&quot;Daniela G.&quot;,&quot;parse-names&quot;:false,&quot;dropping-particle&quot;:&quot;&quot;,&quot;non-dropping-particle&quot;:&quot;&quot;},{&quot;family&quot;:&quot;Seabra&quot;,&quot;given&quot;:&quot;Joaquim E.A.&quot;,&quot;parse-names&quot;:false,&quot;dropping-particle&quot;:&quot;&quot;,&quot;non-dropping-particle&quot;:&quot;&quot;},{&quot;family&quot;:&quot;Osseweijer&quot;,&quot;given&quot;:&quot;Patricia&quot;,&quot;parse-names&quot;:false,&quot;dropping-particle&quot;:&quot;&quot;,&quot;non-dropping-particle&quot;:&quot;&quot;},{&quot;family&quot;:&quot;Posada&quot;,&quot;given&quot;:&quot;John A.&quot;,&quot;parse-names&quot;:false,&quot;dropping-particle&quot;:&quot;&quot;,&quot;non-dropping-particle&quot;:&quot;&quot;}],&quot;container-title&quot;:&quot;Science of The Total Environment&quot;,&quot;DOI&quot;:&quot;10.1016/j.scitotenv.2020.136696&quot;,&quot;ISSN&quot;:&quot;00489697&quot;,&quot;issued&quot;:{&quot;date-parts&quot;:[[2020,4]]},&quot;page&quot;:&quot;136696&quot;,&quot;volume&quot;:&quot;714&quot;,&quot;container-title-short&quot;:&quot;&quot;},&quot;isTemporary&quot;:false}]},{&quot;citationID&quot;:&quot;MENDELEY_CITATION_7af174e4-a9ff-4240-bf98-6989a99211cd&quot;,&quot;properties&quot;:{&quot;noteIndex&quot;:0},&quot;isEdited&quot;:false,&quot;manualOverride&quot;:{&quot;isManuallyOverridden&quot;:false,&quot;citeprocText&quot;:&quot;(ICAO, 2023)&quot;,&quot;manualOverrideText&quot;:&quot;&quot;},&quot;citationTag&quot;:&quot;MENDELEY_CITATION_v3_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&quot;,&quot;citationItems&quot;:[{&quot;id&quot;:&quot;10ba759f-622b-3059-acda-eaca99498acb&quot;,&quot;itemData&quot;:{&quot;type&quot;:&quot;webpage&quot;,&quot;id&quot;:&quot;10ba759f-622b-3059-acda-eaca99498acb&quot;,&quot;title&quot;:&quot;SAF Rules of Thumb &quot;,&quot;groupId&quot;:&quot;1a9c7cbf-7e38-33da-a8be-cc25c7ce7224&quot;,&quot;author&quot;:[{&quot;family&quot;:&quot;ICAO&quot;,&quot;given&quot;:&quot;&quot;,&quot;parse-names&quot;:false,&quot;dropping-particle&quot;:&quot;&quot;,&quot;non-dropping-particle&quot;:&quot;&quot;}],&quot;accessed&quot;:{&quot;date-parts&quot;:[[2023,9,23]]},&quot;URL&quot;:&quot;https://www.icao.int/environmental-protection/Pages/SAF_RULESOFTHUMB.aspx&quot;,&quot;issued&quot;:{&quot;date-parts&quot;:[[2023]]},&quot;container-title-short&quot;:&quot;&quot;},&quot;isTemporary&quot;:false}]},{&quot;citationID&quot;:&quot;MENDELEY_CITATION_91470048-c738-4dbb-8fc1-0ac284889df3&quot;,&quot;properties&quot;:{&quot;noteIndex&quot;:0},&quot;isEdited&quot;:false,&quot;manualOverride&quot;:{&quot;isManuallyOverridden&quot;:false,&quot;citeprocText&quot;:&quot;(de Klerk, 2016)&quot;,&quot;manualOverrideText&quot;:&quot;&quot;},&quot;citationTag&quot;:&quot;MENDELEY_CITATION_v3_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&quot;,&quot;citationItems&quot;:[{&quot;id&quot;:&quot;b5962d06-7d97-383c-8f62-272ffd66db5b&quot;,&quot;itemData&quot;:{&quot;type&quot;:&quot;chapter&quot;,&quot;id&quot;:&quot;b5962d06-7d97-383c-8f62-272ffd66db5b&quot;,&quot;title&quot;:&quot;Aviation Turbine Fuels Through the Fischer–Tropsch Process&quot;,&quot;groupId&quot;:&quot;1a9c7cbf-7e38-33da-a8be-cc25c7ce7224&quot;,&quot;author&quot;:[{&quot;family&quot;:&quot;Klerk&quot;,&quot;given&quot;:&quot;A.&quot;,&quot;parse-names&quot;:false,&quot;dropping-particle&quot;:&quot;&quot;,&quot;non-dropping-particle&quot;:&quot;de&quot;}],&quot;container-title&quot;:&quot;Biofuels for Aviation&quot;,&quot;DOI&quot;:&quot;10.1016/B978-0-12-804568-8.00010-X&quot;,&quot;issued&quot;:{&quot;date-parts&quot;:[[2016]]},&quot;page&quot;:&quot;241-259&quot;,&quot;publisher&quot;:&quot;Elsevier&quot;,&quot;container-title-short&quot;:&quot;&quot;},&quot;isTemporary&quot;:false}]},{&quot;citationID&quot;:&quot;MENDELEY_CITATION_272b3e54-8f3e-42d1-8a61-8d9c73d27c60&quot;,&quot;properties&quot;:{&quot;noteIndex&quot;:0},&quot;isEdited&quot;:false,&quot;manualOverride&quot;:{&quot;isManuallyOverridden&quot;:false,&quot;citeprocText&quot;:&quot;(Marvin et al., 2013)&quot;,&quot;manualOverrideText&quot;:&quot;&quot;},&quot;citationTag&quot;:&quot;MENDELEY_CITATION_v3_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&quot;,&quot;citationItems&quot;:[{&quot;id&quot;:&quot;7a78e607-c881-3302-b44c-1ad4edcf4e0d&quot;,&quot;itemData&quot;:{&quot;type&quot;:&quot;article-journal&quot;,&quot;id&quot;:&quot;7a78e607-c881-3302-b44c-1ad4edcf4e0d&quot;,&quot;title&quot;:&quot;Biorefinery Location and Technology Selection Through Supply Chain Optimization&quot;,&quot;groupId&quot;:&quot;1a9c7cbf-7e38-33da-a8be-cc25c7ce7224&quot;,&quot;author&quot;:[{&quot;family&quot;:&quot;Marvin&quot;,&quot;given&quot;:&quot;W. Alex&quot;,&quot;parse-names&quot;:false,&quot;dropping-particle&quot;:&quot;&quot;,&quot;non-dropping-particle&quot;:&quot;&quot;},{&quot;family&quot;:&quot;Schmidt&quot;,&quot;given&quot;:&quot;Lanny D.&quot;,&quot;parse-names&quot;:false,&quot;dropping-particle&quot;:&quot;&quot;,&quot;non-dropping-particle&quot;:&quot;&quot;},{&quot;family&quot;:&quot;Daoutidis&quot;,&quot;given&quot;:&quot;Prodromos&quot;,&quot;parse-names&quot;:false,&quot;dropping-particle&quot;:&quot;&quot;,&quot;non-dropping-particle&quot;:&quot;&quot;}],&quot;container-title&quot;:&quot;Industrial &amp; Engineering Chemistry Research&quot;,&quot;DOI&quot;:&quot;10.1021/ie3010463&quot;,&quot;ISSN&quot;:&quot;0888-5885&quot;,&quot;issued&quot;:{&quot;date-parts&quot;:[[2013,3,6]]},&quot;page&quot;:&quot;3192-3208&quot;,&quot;issue&quot;:&quot;9&quot;,&quot;volume&quot;:&quot;52&quot;,&quot;container-title-short&quot;:&quot;Ind Eng Chem Res&quot;},&quot;isTemporary&quot;:false}]},{&quot;citationID&quot;:&quot;MENDELEY_CITATION_af336dac-7866-4a14-9ad1-ee7ae9fd2b12&quot;,&quot;properties&quot;:{&quot;noteIndex&quot;:0},&quot;isEdited&quot;:false,&quot;manualOverride&quot;:{&quot;isManuallyOverridden&quot;:false,&quot;citeprocText&quot;:&quot;(Yue et al., 2014)&quot;,&quot;manualOverrideText&quot;:&quot;&quot;},&quot;citationTag&quot;:&quot;MENDELEY_CITATION_v3_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&quot;,&quot;citationItems&quot;:[{&quot;id&quot;:&quot;58891433-8894-3d49-ad66-81d04fadaea4&quot;,&quot;itemData&quot;:{&quot;type&quot;:&quot;article-journal&quot;,&quot;id&quot;:&quot;58891433-8894-3d49-ad66-81d04fadaea4&quot;,&quot;title&quot;:&quot;Biomass-to-bioenergy and biofuel supply chain optimization: Overview, key issues and challenges&quot;,&quot;groupId&quot;:&quot;1a9c7cbf-7e38-33da-a8be-cc25c7ce7224&quot;,&quot;author&quot;:[{&quot;family&quot;:&quot;Yue&quot;,&quot;given&quot;:&quot;Dajun&quot;,&quot;parse-names&quot;:false,&quot;dropping-particle&quot;:&quot;&quot;,&quot;non-dropping-particle&quot;:&quot;&quot;},{&quot;family&quot;:&quot;You&quot;,&quot;given&quot;:&quot;Fengqi&quot;,&quot;parse-names&quot;:false,&quot;dropping-particle&quot;:&quot;&quot;,&quot;non-dropping-particle&quot;:&quot;&quot;},{&quot;family&quot;:&quot;Snyder&quot;,&quot;given&quot;:&quot;Seth W.&quot;,&quot;parse-names&quot;:false,&quot;dropping-particle&quot;:&quot;&quot;,&quot;non-dropping-particle&quot;:&quot;&quot;}],&quot;container-title&quot;:&quot;Computers &amp; Chemical Engineering&quot;,&quot;DOI&quot;:&quot;10.1016/j.compchemeng.2013.11.016&quot;,&quot;ISSN&quot;:&quot;00981354&quot;,&quot;issued&quot;:{&quot;date-parts&quot;:[[2014,7]]},&quot;page&quot;:&quot;36-56&quot;,&quot;volume&quot;:&quot;66&quot;,&quot;container-title-short&quot;:&quot;Comput Chem Eng&quot;},&quot;isTemporary&quot;:false}]},{&quot;citationID&quot;:&quot;MENDELEY_CITATION_4f3c4d98-5111-4709-adeb-5c356f8e9362&quot;,&quot;properties&quot;:{&quot;noteIndex&quot;:0},&quot;isEdited&quot;:false,&quot;manualOverride&quot;:{&quot;isManuallyOverridden&quot;:false,&quot;citeprocText&quot;:&quot;(Huang et al., 2019)&quot;,&quot;manualOverrideText&quot;:&quot;&quot;},&quot;citationTag&quot;:&quot;MENDELEY_CITATION_v3_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&quot;,&quot;citationItems&quot;:[{&quot;id&quot;:&quot;017ee238-64dc-3acf-807c-d6410da30928&quot;,&quot;itemData&quot;:{&quot;type&quot;:&quot;article-journal&quot;,&quot;id&quot;:&quot;017ee238-64dc-3acf-807c-d6410da30928&quot;,&quot;title&quot;:&quot;Multi-objective optimization for sustainable renewable jet fuel production: A case study of corn stover based supply chain system in Midwestern U.S.&quot;,&quot;groupId&quot;:&quot;1a9c7cbf-7e38-33da-a8be-cc25c7ce7224&quot;,&quot;author&quot;:[{&quot;family&quot;:&quot;Huang&quot;,&quot;given&quot;:&quot;Endai&quot;,&quot;parse-names&quot;:false,&quot;dropping-particle&quot;:&quot;&quot;,&quot;non-dropping-particle&quot;:&quot;&quot;},{&quot;family&quot;:&quot;Zhang&quot;,&quot;given&quot;:&quot;Xiaolei&quot;,&quot;parse-names&quot;:false,&quot;dropping-particle&quot;:&quot;&quot;,&quot;non-dropping-particle&quot;:&quot;&quot;},{&quot;family&quot;:&quot;Rodriguez&quot;,&quot;given&quot;:&quot;Luis&quot;,&quot;parse-names&quot;:false,&quot;dropping-particle&quot;:&quot;&quot;,&quot;non-dropping-particle&quot;:&quot;&quot;},{&quot;family&quot;:&quot;Khanna&quot;,&quot;given&quot;:&quot;Madhu&quot;,&quot;parse-names&quot;:false,&quot;dropping-particle&quot;:&quot;&quot;,&quot;non-dropping-particle&quot;:&quot;&quot;},{&quot;family&quot;:&quot;Jong&quot;,&quot;given&quot;:&quot;Sierk&quot;,&quot;parse-names&quot;:false,&quot;dropping-particle&quot;:&quot;&quot;,&quot;non-dropping-particle&quot;:&quot;de&quot;},{&quot;family&quot;:&quot;Ting&quot;,&quot;given&quot;:&quot;K. C.&quot;,&quot;parse-names&quot;:false,&quot;dropping-particle&quot;:&quot;&quot;,&quot;non-dropping-particle&quot;:&quot;&quot;},{&quot;family&quot;:&quot;Ying&quot;,&quot;given&quot;:&quot;Yibin&quot;,&quot;parse-names&quot;:false,&quot;dropping-particle&quot;:&quot;&quot;,&quot;non-dropping-particle&quot;:&quot;&quot;},{&quot;family&quot;:&quot;Lin&quot;,&quot;given&quot;:&quot;Tao&quot;,&quot;parse-names&quot;:false,&quot;dropping-particle&quot;:&quot;&quot;,&quot;non-dropping-particle&quot;:&quot;&quot;}],&quot;container-title&quot;:&quot;Renewable and Sustainable Energy Reviews&quot;,&quot;DOI&quot;:&quot;10.1016/j.rser.2019.109403&quot;,&quot;ISSN&quot;:&quot;18790690&quot;,&quot;issued&quot;:{&quot;date-parts&quot;:[[2019,11,1]]},&quot;abstract&quot;:&quot;Sustainable development of biomass-based renewable jet fuel (RJF) production mitigates the environmental stress and improves rural economics. We develop a mixed-integer linear programming model to incorporate spatial, agricultural, techno-economical, and environmental data for multi-objective optimization of RJF supply chain systems. The model is applied to the Midwestern U.S. to evaluate the sustainability performance of three pathways including alcohol-to-jet (ATJ), Fischer-Tropsch (FT) and Hydrothermal liquefaction (HTL). The results show that HTL is the most cost-effective with a cost of $4.64/gal while FT is most environmental-friendly with the greenhouse gas (GHG) emissions of 0.10 kg CO2/gal. The cost-optimal analysis suggests a centralized supply chain configuration with large facilities, while the environmental optimization analysis prefers a distributed system with small biorefinery facilities. For FT approach, cost optimization analysis suggests developing a supply chain with one large biorefinery, whereas environmental optimization prefers a system with 11 small biorefineries. Considering the economic and environmental factors simultaneously, the Pareto curve demonstrates that total production costs of three pathways all increase with the more stringent constraints of GHG emissions. This indicates that RJF production costs are sensitive to the regulation of GHG emissions. Considering the carbon price at $0.22 per kg of CO2 reduction, FT yields the lowest cost of $2.83/gal among three pathways, but it is still 47% higher than that of fossil jet fuel. FT is not cost competitive with fossil jet fuel until the carbon price increases to $0.30 per kg of CO2 reduction. FT is suggested a promising sustainable RJF production pathway due to its relatively low capital investment and production costs, centralized supply chain configuration, and low GHG emissions.&quot;,&quot;publisher&quot;:&quot;Elsevier Ltd&quot;,&quot;volume&quot;:&quot;11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AD850-94B5-40A3-B6A7-9E9F4A952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3761</Words>
  <Characters>20686</Characters>
  <Application>Microsoft Office Word</Application>
  <DocSecurity>0</DocSecurity>
  <Lines>172</Lines>
  <Paragraphs>48</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Dipartimento CMIC - Politecnico di Milano</Company>
  <LinksUpToDate>false</LinksUpToDate>
  <CharactersWithSpaces>24399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Hp</cp:lastModifiedBy>
  <cp:revision>3</cp:revision>
  <cp:lastPrinted>2024-01-31T18:12:00Z</cp:lastPrinted>
  <dcterms:created xsi:type="dcterms:W3CDTF">2024-03-29T19:19:00Z</dcterms:created>
  <dcterms:modified xsi:type="dcterms:W3CDTF">2024-03-29T19:21:00Z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GrammarlyDocumentId">
    <vt:lpwstr>669455ac5df665649ef3c54fafacd80fec4f06ae2e07dfac3f471983787a9ae0</vt:lpwstr>
  </property>
</Properties>
</file>