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568A2" w14:paraId="2A131A54" w14:textId="77777777" w:rsidTr="001A06F7">
        <w:trPr>
          <w:trHeight w:val="852"/>
          <w:jc w:val="center"/>
        </w:trPr>
        <w:tc>
          <w:tcPr>
            <w:tcW w:w="6940" w:type="dxa"/>
            <w:vMerge w:val="restart"/>
            <w:tcBorders>
              <w:right w:val="single" w:sz="4" w:space="0" w:color="auto"/>
            </w:tcBorders>
          </w:tcPr>
          <w:p w14:paraId="38C3D2BA" w14:textId="77777777" w:rsidR="000A03B2" w:rsidRPr="004568A2" w:rsidRDefault="000A03B2" w:rsidP="00DE264A">
            <w:pPr>
              <w:tabs>
                <w:tab w:val="left" w:pos="-108"/>
              </w:tabs>
              <w:ind w:left="-108"/>
              <w:jc w:val="left"/>
              <w:rPr>
                <w:rFonts w:cs="Arial"/>
                <w:b/>
                <w:bCs/>
                <w:i/>
                <w:iCs/>
                <w:color w:val="000066"/>
                <w:sz w:val="12"/>
                <w:szCs w:val="12"/>
                <w:lang w:eastAsia="it-IT"/>
              </w:rPr>
            </w:pPr>
            <w:r w:rsidRPr="004568A2">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568A2">
              <w:rPr>
                <w:rFonts w:ascii="AdvP6960" w:hAnsi="AdvP6960" w:cs="AdvP6960"/>
                <w:color w:val="241F20"/>
                <w:szCs w:val="18"/>
                <w:lang w:eastAsia="it-IT"/>
              </w:rPr>
              <w:t xml:space="preserve"> </w:t>
            </w:r>
            <w:r w:rsidRPr="004568A2">
              <w:rPr>
                <w:rFonts w:cs="Arial"/>
                <w:b/>
                <w:bCs/>
                <w:i/>
                <w:iCs/>
                <w:color w:val="000066"/>
                <w:sz w:val="24"/>
                <w:szCs w:val="24"/>
                <w:lang w:eastAsia="it-IT"/>
              </w:rPr>
              <w:t>CHEMICAL ENGINEERING</w:t>
            </w:r>
            <w:r w:rsidRPr="004568A2">
              <w:rPr>
                <w:rFonts w:cs="Arial"/>
                <w:b/>
                <w:bCs/>
                <w:i/>
                <w:iCs/>
                <w:color w:val="0033FF"/>
                <w:sz w:val="24"/>
                <w:szCs w:val="24"/>
                <w:lang w:eastAsia="it-IT"/>
              </w:rPr>
              <w:t xml:space="preserve"> </w:t>
            </w:r>
            <w:r w:rsidRPr="004568A2">
              <w:rPr>
                <w:rFonts w:cs="Arial"/>
                <w:b/>
                <w:bCs/>
                <w:i/>
                <w:iCs/>
                <w:color w:val="666666"/>
                <w:sz w:val="24"/>
                <w:szCs w:val="24"/>
                <w:lang w:eastAsia="it-IT"/>
              </w:rPr>
              <w:t>TRANSACTIONS</w:t>
            </w:r>
            <w:r w:rsidRPr="004568A2">
              <w:rPr>
                <w:color w:val="333333"/>
                <w:sz w:val="24"/>
                <w:szCs w:val="24"/>
                <w:lang w:eastAsia="it-IT"/>
              </w:rPr>
              <w:t xml:space="preserve"> </w:t>
            </w:r>
            <w:r w:rsidRPr="004568A2">
              <w:rPr>
                <w:rFonts w:cs="Arial"/>
                <w:b/>
                <w:bCs/>
                <w:i/>
                <w:iCs/>
                <w:color w:val="000066"/>
                <w:sz w:val="27"/>
                <w:szCs w:val="27"/>
                <w:lang w:eastAsia="it-IT"/>
              </w:rPr>
              <w:br/>
            </w:r>
          </w:p>
          <w:p w14:paraId="4B780582" w14:textId="15DAE12D" w:rsidR="000A03B2" w:rsidRPr="004568A2" w:rsidRDefault="00A76EFC" w:rsidP="001D21AF">
            <w:pPr>
              <w:tabs>
                <w:tab w:val="left" w:pos="-108"/>
              </w:tabs>
              <w:ind w:left="-108"/>
              <w:rPr>
                <w:rFonts w:cs="Arial"/>
                <w:b/>
                <w:bCs/>
                <w:i/>
                <w:iCs/>
                <w:color w:val="000066"/>
                <w:sz w:val="22"/>
                <w:szCs w:val="22"/>
                <w:lang w:eastAsia="it-IT"/>
              </w:rPr>
            </w:pPr>
            <w:r w:rsidRPr="004568A2">
              <w:rPr>
                <w:rFonts w:cs="Arial"/>
                <w:b/>
                <w:bCs/>
                <w:i/>
                <w:iCs/>
                <w:color w:val="000066"/>
                <w:sz w:val="22"/>
                <w:szCs w:val="22"/>
                <w:lang w:eastAsia="it-IT"/>
              </w:rPr>
              <w:t>VOL.</w:t>
            </w:r>
            <w:r w:rsidR="00843EAC" w:rsidRPr="004568A2">
              <w:rPr>
                <w:rFonts w:cs="Arial"/>
                <w:b/>
                <w:bCs/>
                <w:i/>
                <w:iCs/>
                <w:color w:val="000066"/>
                <w:sz w:val="22"/>
                <w:szCs w:val="22"/>
                <w:lang w:eastAsia="it-IT"/>
              </w:rPr>
              <w:t xml:space="preserve">    </w:t>
            </w:r>
            <w:r w:rsidR="004761E9" w:rsidRPr="004568A2">
              <w:rPr>
                <w:rFonts w:cs="Arial"/>
                <w:b/>
                <w:bCs/>
                <w:i/>
                <w:iCs/>
                <w:color w:val="000066"/>
                <w:sz w:val="22"/>
                <w:szCs w:val="22"/>
                <w:lang w:eastAsia="it-IT"/>
              </w:rPr>
              <w:t xml:space="preserve"> </w:t>
            </w:r>
            <w:r w:rsidR="007B48F9" w:rsidRPr="004568A2">
              <w:rPr>
                <w:rFonts w:cs="Arial"/>
                <w:b/>
                <w:bCs/>
                <w:i/>
                <w:iCs/>
                <w:color w:val="000066"/>
                <w:sz w:val="22"/>
                <w:szCs w:val="22"/>
                <w:lang w:eastAsia="it-IT"/>
              </w:rPr>
              <w:t>,</w:t>
            </w:r>
            <w:r w:rsidR="00FA5F5F" w:rsidRPr="004568A2">
              <w:rPr>
                <w:rFonts w:cs="Arial"/>
                <w:b/>
                <w:bCs/>
                <w:i/>
                <w:iCs/>
                <w:color w:val="000066"/>
                <w:sz w:val="22"/>
                <w:szCs w:val="22"/>
                <w:lang w:eastAsia="it-IT"/>
              </w:rPr>
              <w:t xml:space="preserve"> </w:t>
            </w:r>
            <w:r w:rsidR="0030152C" w:rsidRPr="004568A2">
              <w:rPr>
                <w:rFonts w:cs="Arial"/>
                <w:b/>
                <w:bCs/>
                <w:i/>
                <w:iCs/>
                <w:color w:val="000066"/>
                <w:sz w:val="22"/>
                <w:szCs w:val="22"/>
                <w:lang w:eastAsia="it-IT"/>
              </w:rPr>
              <w:t>202</w:t>
            </w:r>
            <w:r w:rsidR="00DB3233" w:rsidRPr="004568A2">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4568A2" w:rsidRDefault="000A03B2" w:rsidP="00CD5FE2">
            <w:pPr>
              <w:spacing w:line="140" w:lineRule="atLeast"/>
              <w:jc w:val="right"/>
              <w:rPr>
                <w:rFonts w:cs="Arial"/>
                <w:sz w:val="14"/>
                <w:szCs w:val="14"/>
              </w:rPr>
            </w:pPr>
            <w:r w:rsidRPr="004568A2">
              <w:rPr>
                <w:rFonts w:cs="Arial"/>
                <w:sz w:val="14"/>
                <w:szCs w:val="14"/>
              </w:rPr>
              <w:t>A publication of</w:t>
            </w:r>
          </w:p>
          <w:p w14:paraId="599E5441" w14:textId="77777777" w:rsidR="000A03B2" w:rsidRPr="004568A2" w:rsidRDefault="000A03B2" w:rsidP="00CD5FE2">
            <w:pPr>
              <w:jc w:val="right"/>
            </w:pPr>
            <w:r w:rsidRPr="004568A2">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568A2" w14:paraId="380FA3CD" w14:textId="77777777" w:rsidTr="001A06F7">
        <w:trPr>
          <w:trHeight w:val="567"/>
          <w:jc w:val="center"/>
        </w:trPr>
        <w:tc>
          <w:tcPr>
            <w:tcW w:w="6940" w:type="dxa"/>
            <w:vMerge/>
            <w:tcBorders>
              <w:right w:val="single" w:sz="4" w:space="0" w:color="auto"/>
            </w:tcBorders>
          </w:tcPr>
          <w:p w14:paraId="39E5E4C1" w14:textId="77777777" w:rsidR="000A03B2" w:rsidRPr="004568A2"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4568A2" w:rsidRDefault="000A03B2" w:rsidP="00CD5FE2">
            <w:pPr>
              <w:spacing w:line="140" w:lineRule="atLeast"/>
              <w:jc w:val="right"/>
              <w:rPr>
                <w:rFonts w:cs="Arial"/>
                <w:sz w:val="14"/>
                <w:szCs w:val="14"/>
              </w:rPr>
            </w:pPr>
            <w:r w:rsidRPr="004568A2">
              <w:rPr>
                <w:rFonts w:cs="Arial"/>
                <w:sz w:val="14"/>
                <w:szCs w:val="14"/>
              </w:rPr>
              <w:t>The Italian Association</w:t>
            </w:r>
          </w:p>
          <w:p w14:paraId="7522B1D2" w14:textId="77777777" w:rsidR="000A03B2" w:rsidRPr="004568A2" w:rsidRDefault="000A03B2" w:rsidP="00CD5FE2">
            <w:pPr>
              <w:spacing w:line="140" w:lineRule="atLeast"/>
              <w:jc w:val="right"/>
              <w:rPr>
                <w:rFonts w:cs="Arial"/>
                <w:sz w:val="14"/>
                <w:szCs w:val="14"/>
              </w:rPr>
            </w:pPr>
            <w:r w:rsidRPr="004568A2">
              <w:rPr>
                <w:rFonts w:cs="Arial"/>
                <w:sz w:val="14"/>
                <w:szCs w:val="14"/>
              </w:rPr>
              <w:t>of Chemical Engineering</w:t>
            </w:r>
          </w:p>
          <w:p w14:paraId="4F0CC5DE" w14:textId="47FDB2FC" w:rsidR="000A03B2" w:rsidRPr="004568A2" w:rsidRDefault="000D0268" w:rsidP="00CD5FE2">
            <w:pPr>
              <w:spacing w:line="140" w:lineRule="atLeast"/>
              <w:jc w:val="right"/>
              <w:rPr>
                <w:rFonts w:cs="Arial"/>
                <w:sz w:val="13"/>
                <w:szCs w:val="13"/>
              </w:rPr>
            </w:pPr>
            <w:r w:rsidRPr="004568A2">
              <w:rPr>
                <w:rFonts w:cs="Arial"/>
                <w:sz w:val="13"/>
                <w:szCs w:val="13"/>
              </w:rPr>
              <w:t>Online at www.cetjournal.it</w:t>
            </w:r>
          </w:p>
        </w:tc>
      </w:tr>
      <w:tr w:rsidR="000A03B2" w:rsidRPr="004568A2" w14:paraId="2D1B7169" w14:textId="77777777" w:rsidTr="001A06F7">
        <w:trPr>
          <w:trHeight w:val="68"/>
          <w:jc w:val="center"/>
        </w:trPr>
        <w:tc>
          <w:tcPr>
            <w:tcW w:w="8782" w:type="dxa"/>
            <w:gridSpan w:val="2"/>
          </w:tcPr>
          <w:p w14:paraId="1D8DD3C9" w14:textId="475D992A" w:rsidR="00AA7D26" w:rsidRPr="004568A2" w:rsidRDefault="00AA7D26" w:rsidP="00AA7D26">
            <w:pPr>
              <w:ind w:left="-107"/>
              <w:outlineLvl w:val="2"/>
              <w:rPr>
                <w:rFonts w:ascii="Tahoma" w:hAnsi="Tahoma" w:cs="Tahoma"/>
                <w:bCs/>
                <w:color w:val="000000"/>
                <w:sz w:val="14"/>
                <w:szCs w:val="14"/>
                <w:lang w:val="it-IT" w:eastAsia="it-IT"/>
              </w:rPr>
            </w:pPr>
            <w:r w:rsidRPr="004568A2">
              <w:rPr>
                <w:rFonts w:ascii="Tahoma" w:hAnsi="Tahoma" w:cs="Tahoma"/>
                <w:iCs/>
                <w:color w:val="333333"/>
                <w:sz w:val="14"/>
                <w:szCs w:val="14"/>
                <w:lang w:val="it-IT" w:eastAsia="it-IT"/>
              </w:rPr>
              <w:t>Guest Editors:</w:t>
            </w:r>
            <w:r w:rsidRPr="004568A2">
              <w:rPr>
                <w:rFonts w:ascii="Tahoma" w:hAnsi="Tahoma" w:cs="Tahoma"/>
                <w:color w:val="000000"/>
                <w:sz w:val="14"/>
                <w:szCs w:val="14"/>
                <w:shd w:val="clear" w:color="auto" w:fill="FFFFFF"/>
                <w:lang w:val="it-IT"/>
              </w:rPr>
              <w:t xml:space="preserve"> </w:t>
            </w:r>
            <w:r w:rsidR="006A23E9" w:rsidRPr="004568A2">
              <w:rPr>
                <w:rFonts w:ascii="Tahoma" w:hAnsi="Tahoma" w:cs="Tahoma"/>
                <w:color w:val="000000"/>
                <w:sz w:val="14"/>
                <w:szCs w:val="14"/>
                <w:shd w:val="clear" w:color="auto" w:fill="FFFFFF"/>
                <w:lang w:val="it-IT"/>
              </w:rPr>
              <w:t xml:space="preserve">Leonardo Tognotti, </w:t>
            </w:r>
            <w:r w:rsidR="006A23E9" w:rsidRPr="004568A2">
              <w:rPr>
                <w:rFonts w:ascii="Tahoma" w:hAnsi="Tahoma" w:cs="Tahoma"/>
                <w:color w:val="000000"/>
                <w:sz w:val="14"/>
                <w:szCs w:val="14"/>
                <w:lang w:val="it-IT"/>
              </w:rPr>
              <w:t>Rubens Maciel Filho</w:t>
            </w:r>
            <w:r w:rsidR="006A23E9" w:rsidRPr="004568A2">
              <w:rPr>
                <w:rFonts w:ascii="Tahoma" w:hAnsi="Tahoma" w:cs="Tahoma"/>
                <w:color w:val="000000"/>
                <w:sz w:val="14"/>
                <w:szCs w:val="14"/>
                <w:shd w:val="clear" w:color="auto" w:fill="FFFFFF"/>
                <w:lang w:val="it-IT"/>
              </w:rPr>
              <w:t xml:space="preserve">, </w:t>
            </w:r>
            <w:r w:rsidR="006A23E9" w:rsidRPr="004568A2">
              <w:rPr>
                <w:rFonts w:ascii="Tahoma" w:hAnsi="Tahoma" w:cs="Tahoma"/>
                <w:color w:val="000000"/>
                <w:sz w:val="14"/>
                <w:szCs w:val="14"/>
                <w:lang w:val="it-IT"/>
              </w:rPr>
              <w:t>Viatcheslav Kafarov</w:t>
            </w:r>
          </w:p>
          <w:p w14:paraId="1B0F1814" w14:textId="3AD74145" w:rsidR="000A03B2" w:rsidRPr="004568A2" w:rsidRDefault="00AA7D26" w:rsidP="00AA7D26">
            <w:pPr>
              <w:tabs>
                <w:tab w:val="left" w:pos="-108"/>
              </w:tabs>
              <w:spacing w:line="140" w:lineRule="atLeast"/>
              <w:ind w:left="-107"/>
              <w:jc w:val="left"/>
            </w:pPr>
            <w:r w:rsidRPr="004568A2">
              <w:rPr>
                <w:rFonts w:ascii="Tahoma" w:hAnsi="Tahoma" w:cs="Tahoma"/>
                <w:iCs/>
                <w:color w:val="333333"/>
                <w:sz w:val="14"/>
                <w:szCs w:val="14"/>
                <w:lang w:eastAsia="it-IT"/>
              </w:rPr>
              <w:t>Copyright © 202</w:t>
            </w:r>
            <w:r w:rsidR="00843EAC" w:rsidRPr="004568A2">
              <w:rPr>
                <w:rFonts w:ascii="Tahoma" w:hAnsi="Tahoma" w:cs="Tahoma"/>
                <w:iCs/>
                <w:color w:val="333333"/>
                <w:sz w:val="14"/>
                <w:szCs w:val="14"/>
                <w:lang w:eastAsia="it-IT"/>
              </w:rPr>
              <w:t>4</w:t>
            </w:r>
            <w:r w:rsidRPr="004568A2">
              <w:rPr>
                <w:rFonts w:ascii="Tahoma" w:hAnsi="Tahoma" w:cs="Tahoma"/>
                <w:iCs/>
                <w:color w:val="333333"/>
                <w:sz w:val="14"/>
                <w:szCs w:val="14"/>
                <w:lang w:eastAsia="it-IT"/>
              </w:rPr>
              <w:t>, AIDIC Servizi S.r.l.</w:t>
            </w:r>
            <w:r w:rsidRPr="004568A2">
              <w:rPr>
                <w:rFonts w:ascii="Tahoma" w:hAnsi="Tahoma" w:cs="Tahoma"/>
                <w:iCs/>
                <w:color w:val="333333"/>
                <w:sz w:val="14"/>
                <w:szCs w:val="14"/>
                <w:lang w:eastAsia="it-IT"/>
              </w:rPr>
              <w:br/>
            </w:r>
            <w:r w:rsidRPr="004568A2">
              <w:rPr>
                <w:rFonts w:ascii="Tahoma" w:hAnsi="Tahoma" w:cs="Tahoma"/>
                <w:b/>
                <w:iCs/>
                <w:color w:val="000000"/>
                <w:sz w:val="14"/>
                <w:szCs w:val="14"/>
                <w:lang w:eastAsia="it-IT"/>
              </w:rPr>
              <w:t>ISBN</w:t>
            </w:r>
            <w:r w:rsidRPr="004568A2">
              <w:rPr>
                <w:rFonts w:ascii="Tahoma" w:hAnsi="Tahoma" w:cs="Tahoma"/>
                <w:iCs/>
                <w:color w:val="000000"/>
                <w:sz w:val="14"/>
                <w:szCs w:val="14"/>
                <w:lang w:eastAsia="it-IT"/>
              </w:rPr>
              <w:t xml:space="preserve"> </w:t>
            </w:r>
            <w:r w:rsidR="008B7C03" w:rsidRPr="004568A2">
              <w:rPr>
                <w:rFonts w:ascii="Tahoma" w:hAnsi="Tahoma" w:cs="Tahoma"/>
                <w:sz w:val="14"/>
                <w:szCs w:val="14"/>
              </w:rPr>
              <w:t>979-12-81206</w:t>
            </w:r>
            <w:r w:rsidRPr="004568A2">
              <w:rPr>
                <w:rFonts w:ascii="Tahoma" w:hAnsi="Tahoma" w:cs="Tahoma"/>
                <w:sz w:val="14"/>
                <w:szCs w:val="14"/>
              </w:rPr>
              <w:t>-</w:t>
            </w:r>
            <w:r w:rsidR="00DB3233" w:rsidRPr="004568A2">
              <w:rPr>
                <w:rFonts w:ascii="Tahoma" w:hAnsi="Tahoma" w:cs="Tahoma"/>
                <w:sz w:val="14"/>
                <w:szCs w:val="14"/>
              </w:rPr>
              <w:t>09</w:t>
            </w:r>
            <w:r w:rsidRPr="004568A2">
              <w:rPr>
                <w:rFonts w:ascii="Tahoma" w:hAnsi="Tahoma" w:cs="Tahoma"/>
                <w:sz w:val="14"/>
                <w:szCs w:val="14"/>
              </w:rPr>
              <w:t>-</w:t>
            </w:r>
            <w:r w:rsidR="00DB3233" w:rsidRPr="004568A2">
              <w:rPr>
                <w:rFonts w:ascii="Tahoma" w:hAnsi="Tahoma" w:cs="Tahoma"/>
                <w:sz w:val="14"/>
                <w:szCs w:val="14"/>
              </w:rPr>
              <w:t>0</w:t>
            </w:r>
            <w:r w:rsidRPr="004568A2">
              <w:rPr>
                <w:rFonts w:ascii="Tahoma" w:hAnsi="Tahoma" w:cs="Tahoma"/>
                <w:iCs/>
                <w:color w:val="333333"/>
                <w:sz w:val="14"/>
                <w:szCs w:val="14"/>
                <w:lang w:eastAsia="it-IT"/>
              </w:rPr>
              <w:t xml:space="preserve">; </w:t>
            </w:r>
            <w:r w:rsidRPr="004568A2">
              <w:rPr>
                <w:rFonts w:ascii="Tahoma" w:hAnsi="Tahoma" w:cs="Tahoma"/>
                <w:b/>
                <w:iCs/>
                <w:color w:val="333333"/>
                <w:sz w:val="14"/>
                <w:szCs w:val="14"/>
                <w:lang w:eastAsia="it-IT"/>
              </w:rPr>
              <w:t>ISSN</w:t>
            </w:r>
            <w:r w:rsidRPr="004568A2">
              <w:rPr>
                <w:rFonts w:ascii="Tahoma" w:hAnsi="Tahoma" w:cs="Tahoma"/>
                <w:iCs/>
                <w:color w:val="333333"/>
                <w:sz w:val="14"/>
                <w:szCs w:val="14"/>
                <w:lang w:eastAsia="it-IT"/>
              </w:rPr>
              <w:t xml:space="preserve"> 2283-9216</w:t>
            </w:r>
          </w:p>
        </w:tc>
      </w:tr>
    </w:tbl>
    <w:p w14:paraId="2E667253" w14:textId="226D8B75" w:rsidR="00E978D0" w:rsidRPr="004568A2" w:rsidRDefault="001A06F7" w:rsidP="00E978D0">
      <w:pPr>
        <w:pStyle w:val="CETTitle"/>
      </w:pPr>
      <w:r w:rsidRPr="004568A2">
        <w:t>Italian potential of residual biogenic resources for energy-driven biorefineries</w:t>
      </w:r>
    </w:p>
    <w:p w14:paraId="0488FED2" w14:textId="51BED5AE" w:rsidR="00B57E6F" w:rsidRPr="004568A2" w:rsidRDefault="00177F2F" w:rsidP="00B57E6F">
      <w:pPr>
        <w:pStyle w:val="CETAuthors"/>
        <w:rPr>
          <w:lang w:val="it-IT"/>
        </w:rPr>
      </w:pPr>
      <w:r w:rsidRPr="004568A2">
        <w:rPr>
          <w:lang w:val="it-IT"/>
        </w:rPr>
        <w:t>Nicola Pierro</w:t>
      </w:r>
      <w:r w:rsidRPr="004568A2">
        <w:rPr>
          <w:vertAlign w:val="superscript"/>
          <w:lang w:val="it-IT"/>
        </w:rPr>
        <w:t>a</w:t>
      </w:r>
      <w:r w:rsidRPr="004568A2">
        <w:rPr>
          <w:lang w:val="it-IT"/>
        </w:rPr>
        <w:t>, Aristide Giuliano</w:t>
      </w:r>
      <w:r w:rsidRPr="004568A2">
        <w:rPr>
          <w:vertAlign w:val="superscript"/>
          <w:lang w:val="it-IT"/>
        </w:rPr>
        <w:t>a</w:t>
      </w:r>
      <w:r w:rsidRPr="004568A2">
        <w:rPr>
          <w:lang w:val="it-IT"/>
        </w:rPr>
        <w:t>*, Alessandro Giocoli</w:t>
      </w:r>
      <w:r w:rsidRPr="004568A2">
        <w:rPr>
          <w:vertAlign w:val="superscript"/>
          <w:lang w:val="it-IT"/>
        </w:rPr>
        <w:t>a</w:t>
      </w:r>
      <w:r w:rsidRPr="004568A2">
        <w:rPr>
          <w:lang w:val="it-IT"/>
        </w:rPr>
        <w:t>, Arianna Baldinelli</w:t>
      </w:r>
      <w:r w:rsidRPr="004568A2">
        <w:rPr>
          <w:vertAlign w:val="superscript"/>
          <w:lang w:val="it-IT"/>
        </w:rPr>
        <w:t>b</w:t>
      </w:r>
      <w:r w:rsidRPr="004568A2">
        <w:rPr>
          <w:lang w:val="it-IT"/>
        </w:rPr>
        <w:t>, Mariangela Guastaferro</w:t>
      </w:r>
      <w:r w:rsidRPr="004568A2">
        <w:rPr>
          <w:vertAlign w:val="superscript"/>
          <w:lang w:val="it-IT"/>
        </w:rPr>
        <w:t>c</w:t>
      </w:r>
      <w:r w:rsidRPr="004568A2">
        <w:rPr>
          <w:lang w:val="it-IT"/>
        </w:rPr>
        <w:t>, Leonardo Tognotti</w:t>
      </w:r>
      <w:r w:rsidRPr="004568A2">
        <w:rPr>
          <w:vertAlign w:val="superscript"/>
          <w:lang w:val="it-IT"/>
        </w:rPr>
        <w:t>c</w:t>
      </w:r>
      <w:r w:rsidRPr="004568A2">
        <w:rPr>
          <w:lang w:val="it-IT"/>
        </w:rPr>
        <w:t>, Isabella De Bari</w:t>
      </w:r>
      <w:r w:rsidRPr="004568A2">
        <w:rPr>
          <w:vertAlign w:val="superscript"/>
          <w:lang w:val="it-IT"/>
        </w:rPr>
        <w:t>a</w:t>
      </w:r>
    </w:p>
    <w:p w14:paraId="15F06FA2" w14:textId="77777777" w:rsidR="00F43047" w:rsidRPr="004568A2" w:rsidRDefault="00F43047" w:rsidP="00F43047">
      <w:pPr>
        <w:pStyle w:val="CETAddress"/>
      </w:pPr>
      <w:r w:rsidRPr="004568A2">
        <w:rPr>
          <w:vertAlign w:val="superscript"/>
        </w:rPr>
        <w:t>a</w:t>
      </w:r>
      <w:r w:rsidRPr="004568A2">
        <w:t>ENEA, Italian National Agency for New Technologies, Energy and Sustainable Economic Development, S.S. 106 Ionica, km 419+500, Rotondella, MT, Italy</w:t>
      </w:r>
    </w:p>
    <w:p w14:paraId="43F76022" w14:textId="77777777" w:rsidR="00F43047" w:rsidRPr="004568A2" w:rsidRDefault="00F43047" w:rsidP="00F43047">
      <w:pPr>
        <w:pStyle w:val="CETAddress"/>
        <w:rPr>
          <w:lang w:val="it-IT"/>
        </w:rPr>
      </w:pPr>
      <w:r w:rsidRPr="004568A2">
        <w:rPr>
          <w:vertAlign w:val="superscript"/>
          <w:lang w:val="it-IT"/>
        </w:rPr>
        <w:t>b</w:t>
      </w:r>
      <w:r w:rsidRPr="004568A2">
        <w:rPr>
          <w:lang w:val="it-IT"/>
        </w:rPr>
        <w:t>Dipartimento di Ingegneria dell’Energia, dei Sistemi, del Territorio e del Costruito, Università di Pisa, Pisa, 56122, Italy</w:t>
      </w:r>
    </w:p>
    <w:p w14:paraId="042FE0BB" w14:textId="77777777" w:rsidR="00F43047" w:rsidRPr="004568A2" w:rsidRDefault="00F43047" w:rsidP="00F43047">
      <w:pPr>
        <w:pStyle w:val="CETAddress"/>
        <w:rPr>
          <w:lang w:val="it-IT"/>
        </w:rPr>
      </w:pPr>
      <w:r w:rsidRPr="004568A2">
        <w:rPr>
          <w:vertAlign w:val="superscript"/>
          <w:lang w:val="it-IT"/>
        </w:rPr>
        <w:t>c</w:t>
      </w:r>
      <w:r w:rsidRPr="004568A2">
        <w:rPr>
          <w:lang w:val="it-IT"/>
        </w:rPr>
        <w:t>Dipartimento di Ingegneria Civile e Industriale, Università di Pisa, Pisa, 56122, Italy</w:t>
      </w:r>
    </w:p>
    <w:p w14:paraId="3BCD1A62" w14:textId="77777777" w:rsidR="00F43047" w:rsidRPr="004568A2" w:rsidRDefault="00F43047" w:rsidP="00F43047">
      <w:pPr>
        <w:pStyle w:val="CETemail"/>
        <w:rPr>
          <w:lang w:val="en-US"/>
        </w:rPr>
      </w:pPr>
      <w:r w:rsidRPr="004568A2">
        <w:rPr>
          <w:lang w:val="en-US"/>
        </w:rPr>
        <w:t>aristide.giuliano@enea.it</w:t>
      </w:r>
    </w:p>
    <w:p w14:paraId="061948F2" w14:textId="014EA383" w:rsidR="00281E57" w:rsidRPr="004568A2" w:rsidRDefault="00C15F88" w:rsidP="00535BB0">
      <w:pPr>
        <w:pStyle w:val="CETListbullets"/>
        <w:ind w:left="0" w:firstLine="0"/>
      </w:pPr>
      <w:r w:rsidRPr="004568A2">
        <w:rPr>
          <w:rStyle w:val="normaltextrun"/>
          <w:rFonts w:cs="Arial"/>
          <w:szCs w:val="18"/>
          <w:shd w:val="clear" w:color="auto" w:fill="FFFFFF"/>
        </w:rPr>
        <w:t xml:space="preserve">A reliable assessment of the availability of bioresources represents the first step to defining local value chains of particular interest. More than 190 and 50 Mt/y of bioresources are currently available in Europe and Italy, respectively, even if they are not fully valorized. The best end use of </w:t>
      </w:r>
      <w:r w:rsidR="004B592B" w:rsidRPr="004568A2">
        <w:rPr>
          <w:rStyle w:val="normaltextrun"/>
          <w:rFonts w:cs="Arial"/>
          <w:szCs w:val="18"/>
          <w:shd w:val="clear" w:color="auto" w:fill="FFFFFF"/>
        </w:rPr>
        <w:t>these feedstocks</w:t>
      </w:r>
      <w:r w:rsidRPr="004568A2">
        <w:rPr>
          <w:rStyle w:val="normaltextrun"/>
          <w:rFonts w:cs="Arial"/>
          <w:szCs w:val="18"/>
          <w:shd w:val="clear" w:color="auto" w:fill="FFFFFF"/>
        </w:rPr>
        <w:t xml:space="preserve"> is strictly dependent on specific territorial/regional peculiarities, that consequently affect the </w:t>
      </w:r>
      <w:r w:rsidR="00BF03C6" w:rsidRPr="004568A2">
        <w:rPr>
          <w:rStyle w:val="normaltextrun"/>
          <w:rFonts w:cs="Arial"/>
          <w:szCs w:val="18"/>
          <w:shd w:val="clear" w:color="auto" w:fill="FFFFFF"/>
        </w:rPr>
        <w:t>products'</w:t>
      </w:r>
      <w:r w:rsidRPr="004568A2">
        <w:rPr>
          <w:rStyle w:val="normaltextrun"/>
          <w:rFonts w:cs="Arial"/>
          <w:szCs w:val="18"/>
          <w:shd w:val="clear" w:color="auto" w:fill="FFFFFF"/>
        </w:rPr>
        <w:t xml:space="preserve"> final properties. In this work, the Italian web-GIS-based tool “</w:t>
      </w:r>
      <w:r w:rsidRPr="004568A2">
        <w:rPr>
          <w:rStyle w:val="normaltextrun"/>
          <w:rFonts w:cs="Arial"/>
          <w:i/>
          <w:iCs/>
          <w:szCs w:val="18"/>
          <w:shd w:val="clear" w:color="auto" w:fill="FFFFFF"/>
        </w:rPr>
        <w:t>Atlante delle biomasse</w:t>
      </w:r>
      <w:r w:rsidRPr="004568A2">
        <w:rPr>
          <w:rStyle w:val="normaltextrun"/>
          <w:rFonts w:cs="Arial"/>
          <w:szCs w:val="18"/>
          <w:shd w:val="clear" w:color="auto" w:fill="FFFFFF"/>
        </w:rPr>
        <w:t xml:space="preserve">” was used to </w:t>
      </w:r>
      <w:r w:rsidR="00BF03C6" w:rsidRPr="004568A2">
        <w:rPr>
          <w:rStyle w:val="normaltextrun"/>
          <w:rFonts w:cs="Arial"/>
          <w:szCs w:val="18"/>
          <w:shd w:val="clear" w:color="auto" w:fill="FFFFFF"/>
        </w:rPr>
        <w:t>determine</w:t>
      </w:r>
      <w:r w:rsidRPr="004568A2">
        <w:rPr>
          <w:rStyle w:val="normaltextrun"/>
          <w:rFonts w:cs="Arial"/>
          <w:szCs w:val="18"/>
          <w:shd w:val="clear" w:color="auto" w:fill="FFFFFF"/>
        </w:rPr>
        <w:t xml:space="preserve"> the availability of many bioresources in Italy at the regional level. A </w:t>
      </w:r>
      <w:r w:rsidR="00437CF7" w:rsidRPr="004568A2">
        <w:rPr>
          <w:rStyle w:val="normaltextrun"/>
          <w:rFonts w:cs="Arial"/>
          <w:szCs w:val="18"/>
          <w:shd w:val="clear" w:color="auto" w:fill="FFFFFF"/>
        </w:rPr>
        <w:t>lump classification criterion</w:t>
      </w:r>
      <w:r w:rsidRPr="004568A2">
        <w:rPr>
          <w:rStyle w:val="normaltextrun"/>
          <w:rFonts w:cs="Arial"/>
          <w:szCs w:val="18"/>
          <w:shd w:val="clear" w:color="auto" w:fill="FFFFFF"/>
        </w:rPr>
        <w:t xml:space="preserve"> was used to categorize the available biomasses, and, then, an optimization algorithm based on a process superstructure was applied </w:t>
      </w:r>
      <w:r w:rsidR="00960D2F" w:rsidRPr="004568A2">
        <w:rPr>
          <w:rStyle w:val="normaltextrun"/>
          <w:rFonts w:cs="Arial"/>
          <w:szCs w:val="18"/>
          <w:shd w:val="clear" w:color="auto" w:fill="FFFFFF"/>
        </w:rPr>
        <w:t>to find</w:t>
      </w:r>
      <w:r w:rsidRPr="004568A2">
        <w:rPr>
          <w:rStyle w:val="normaltextrun"/>
          <w:rFonts w:cs="Arial"/>
          <w:szCs w:val="18"/>
          <w:shd w:val="clear" w:color="auto" w:fill="FFFFFF"/>
        </w:rPr>
        <w:t xml:space="preserve"> out the available fraction of bioresources, the amount of biofuels potentially obtainable and, consequently, the regional fuel demand coverable by biofuels. In particular, only the </w:t>
      </w:r>
      <w:r w:rsidR="00BF03C6" w:rsidRPr="004568A2">
        <w:rPr>
          <w:rStyle w:val="normaltextrun"/>
          <w:rFonts w:cs="Arial"/>
          <w:szCs w:val="18"/>
          <w:shd w:val="clear" w:color="auto" w:fill="FFFFFF"/>
        </w:rPr>
        <w:t>energy-self-sufficient</w:t>
      </w:r>
      <w:r w:rsidRPr="004568A2">
        <w:rPr>
          <w:rStyle w:val="normaltextrun"/>
          <w:rFonts w:cs="Arial"/>
          <w:szCs w:val="18"/>
          <w:shd w:val="clear" w:color="auto" w:fill="FFFFFF"/>
        </w:rPr>
        <w:t xml:space="preserve"> technologies with higher TRLs were considered </w:t>
      </w:r>
      <w:r w:rsidR="00BF03C6" w:rsidRPr="004568A2">
        <w:rPr>
          <w:rStyle w:val="normaltextrun"/>
          <w:rFonts w:cs="Arial"/>
          <w:szCs w:val="18"/>
          <w:shd w:val="clear" w:color="auto" w:fill="FFFFFF"/>
        </w:rPr>
        <w:t>in</w:t>
      </w:r>
      <w:r w:rsidRPr="004568A2">
        <w:rPr>
          <w:rStyle w:val="normaltextrun"/>
          <w:rFonts w:cs="Arial"/>
          <w:szCs w:val="18"/>
          <w:shd w:val="clear" w:color="auto" w:fill="FFFFFF"/>
        </w:rPr>
        <w:t xml:space="preserve"> the mathematical model. The integration between the different selected bioresources led to </w:t>
      </w:r>
      <w:r w:rsidR="00232BF9" w:rsidRPr="004568A2">
        <w:rPr>
          <w:rStyle w:val="normaltextrun"/>
          <w:rFonts w:cs="Arial"/>
          <w:szCs w:val="18"/>
          <w:shd w:val="clear" w:color="auto" w:fill="FFFFFF"/>
        </w:rPr>
        <w:t>three</w:t>
      </w:r>
      <w:r w:rsidRPr="004568A2">
        <w:rPr>
          <w:rStyle w:val="normaltextrun"/>
          <w:rFonts w:cs="Arial"/>
          <w:szCs w:val="18"/>
          <w:shd w:val="clear" w:color="auto" w:fill="FFFFFF"/>
        </w:rPr>
        <w:t xml:space="preserve"> biofuels to be considered</w:t>
      </w:r>
      <w:r w:rsidR="00313EAD" w:rsidRPr="004568A2">
        <w:rPr>
          <w:rStyle w:val="normaltextrun"/>
          <w:rFonts w:cs="Arial"/>
          <w:szCs w:val="18"/>
          <w:shd w:val="clear" w:color="auto" w:fill="FFFFFF"/>
        </w:rPr>
        <w:t xml:space="preserve">, evaluating the percentage of biofuel demand </w:t>
      </w:r>
      <w:r w:rsidR="00BF03C6" w:rsidRPr="004568A2">
        <w:rPr>
          <w:rStyle w:val="normaltextrun"/>
          <w:rFonts w:cs="Arial"/>
          <w:szCs w:val="18"/>
          <w:shd w:val="clear" w:color="auto" w:fill="FFFFFF"/>
        </w:rPr>
        <w:t xml:space="preserve">that </w:t>
      </w:r>
      <w:r w:rsidR="00313EAD" w:rsidRPr="004568A2">
        <w:rPr>
          <w:rStyle w:val="normaltextrun"/>
          <w:rFonts w:cs="Arial"/>
          <w:szCs w:val="18"/>
          <w:shd w:val="clear" w:color="auto" w:fill="FFFFFF"/>
        </w:rPr>
        <w:t xml:space="preserve">could be covered </w:t>
      </w:r>
      <w:r w:rsidR="00A66EDA" w:rsidRPr="004568A2">
        <w:rPr>
          <w:rStyle w:val="normaltextrun"/>
          <w:rFonts w:cs="Arial"/>
          <w:szCs w:val="18"/>
          <w:shd w:val="clear" w:color="auto" w:fill="FFFFFF"/>
        </w:rPr>
        <w:t>for each Italian region</w:t>
      </w:r>
      <w:r w:rsidRPr="004568A2">
        <w:rPr>
          <w:rStyle w:val="normaltextrun"/>
          <w:rFonts w:cs="Arial"/>
          <w:szCs w:val="18"/>
          <w:shd w:val="clear" w:color="auto" w:fill="FFFFFF"/>
        </w:rPr>
        <w:t xml:space="preserve">. </w:t>
      </w:r>
      <w:r w:rsidR="002A7FA6" w:rsidRPr="004568A2">
        <w:rPr>
          <w:rStyle w:val="normaltextrun"/>
          <w:rFonts w:cs="Arial"/>
          <w:szCs w:val="18"/>
          <w:shd w:val="clear" w:color="auto" w:fill="FFFFFF"/>
        </w:rPr>
        <w:t xml:space="preserve">The final potential production of biofuels derived </w:t>
      </w:r>
      <w:r w:rsidR="00673715" w:rsidRPr="004568A2">
        <w:rPr>
          <w:rStyle w:val="normaltextrun"/>
          <w:rFonts w:cs="Arial"/>
          <w:szCs w:val="18"/>
          <w:shd w:val="clear" w:color="auto" w:fill="FFFFFF"/>
        </w:rPr>
        <w:t xml:space="preserve">from </w:t>
      </w:r>
      <w:r w:rsidR="002A7FA6" w:rsidRPr="004568A2">
        <w:rPr>
          <w:rStyle w:val="normaltextrun"/>
          <w:rFonts w:cs="Arial"/>
          <w:szCs w:val="18"/>
          <w:shd w:val="clear" w:color="auto" w:fill="FFFFFF"/>
        </w:rPr>
        <w:t xml:space="preserve">local bioresources in Italy </w:t>
      </w:r>
      <w:r w:rsidR="00673715" w:rsidRPr="004568A2">
        <w:rPr>
          <w:rStyle w:val="normaltextrun"/>
          <w:rFonts w:cs="Arial"/>
          <w:szCs w:val="18"/>
          <w:shd w:val="clear" w:color="auto" w:fill="FFFFFF"/>
        </w:rPr>
        <w:t>settles</w:t>
      </w:r>
      <w:r w:rsidR="002A7FA6" w:rsidRPr="004568A2">
        <w:rPr>
          <w:rStyle w:val="normaltextrun"/>
          <w:rFonts w:cs="Arial"/>
          <w:szCs w:val="18"/>
          <w:shd w:val="clear" w:color="auto" w:fill="FFFFFF"/>
        </w:rPr>
        <w:t xml:space="preserve"> down on the range 9 10</w:t>
      </w:r>
      <w:r w:rsidR="002A7FA6" w:rsidRPr="004568A2">
        <w:rPr>
          <w:rStyle w:val="normaltextrun"/>
          <w:rFonts w:cs="Arial"/>
          <w:sz w:val="14"/>
          <w:szCs w:val="14"/>
          <w:shd w:val="clear" w:color="auto" w:fill="FFFFFF"/>
          <w:vertAlign w:val="superscript"/>
        </w:rPr>
        <w:t>7</w:t>
      </w:r>
      <w:r w:rsidR="002A7FA6" w:rsidRPr="004568A2">
        <w:rPr>
          <w:rStyle w:val="normaltextrun"/>
          <w:rFonts w:cs="Arial"/>
          <w:szCs w:val="18"/>
          <w:shd w:val="clear" w:color="auto" w:fill="FFFFFF"/>
        </w:rPr>
        <w:t xml:space="preserve"> – 1.6 10</w:t>
      </w:r>
      <w:r w:rsidR="002A7FA6" w:rsidRPr="004568A2">
        <w:rPr>
          <w:rStyle w:val="normaltextrun"/>
          <w:rFonts w:cs="Arial"/>
          <w:sz w:val="14"/>
          <w:szCs w:val="14"/>
          <w:shd w:val="clear" w:color="auto" w:fill="FFFFFF"/>
          <w:vertAlign w:val="superscript"/>
        </w:rPr>
        <w:t>8</w:t>
      </w:r>
      <w:r w:rsidR="002A7FA6" w:rsidRPr="004568A2">
        <w:rPr>
          <w:rStyle w:val="normaltextrun"/>
          <w:rFonts w:cs="Arial"/>
          <w:szCs w:val="18"/>
          <w:shd w:val="clear" w:color="auto" w:fill="FFFFFF"/>
        </w:rPr>
        <w:t xml:space="preserve"> GJ/y covering about 5, </w:t>
      </w:r>
      <w:r w:rsidR="00BD5221" w:rsidRPr="004568A2">
        <w:rPr>
          <w:rStyle w:val="normaltextrun"/>
          <w:rFonts w:cs="Arial"/>
          <w:szCs w:val="18"/>
          <w:shd w:val="clear" w:color="auto" w:fill="FFFFFF"/>
        </w:rPr>
        <w:t>5</w:t>
      </w:r>
      <w:r w:rsidR="002A7FA6" w:rsidRPr="004568A2">
        <w:rPr>
          <w:rStyle w:val="normaltextrun"/>
          <w:rFonts w:cs="Arial"/>
          <w:szCs w:val="18"/>
          <w:shd w:val="clear" w:color="auto" w:fill="FFFFFF"/>
        </w:rPr>
        <w:t>0</w:t>
      </w:r>
      <w:r w:rsidR="00BD5221" w:rsidRPr="004568A2">
        <w:rPr>
          <w:rStyle w:val="normaltextrun"/>
          <w:rFonts w:cs="Arial"/>
          <w:szCs w:val="18"/>
          <w:shd w:val="clear" w:color="auto" w:fill="FFFFFF"/>
        </w:rPr>
        <w:t>,</w:t>
      </w:r>
      <w:r w:rsidR="002A7FA6" w:rsidRPr="004568A2">
        <w:rPr>
          <w:rStyle w:val="normaltextrun"/>
          <w:rFonts w:cs="Arial"/>
          <w:szCs w:val="18"/>
          <w:shd w:val="clear" w:color="auto" w:fill="FFFFFF"/>
        </w:rPr>
        <w:t xml:space="preserve"> </w:t>
      </w:r>
      <w:r w:rsidR="004B592B" w:rsidRPr="004568A2">
        <w:rPr>
          <w:rStyle w:val="normaltextrun"/>
          <w:rFonts w:cs="Arial"/>
          <w:szCs w:val="18"/>
          <w:shd w:val="clear" w:color="auto" w:fill="FFFFFF"/>
        </w:rPr>
        <w:t xml:space="preserve">and </w:t>
      </w:r>
      <w:r w:rsidR="00BD5221" w:rsidRPr="004568A2">
        <w:rPr>
          <w:rStyle w:val="normaltextrun"/>
          <w:rFonts w:cs="Arial"/>
          <w:szCs w:val="18"/>
          <w:shd w:val="clear" w:color="auto" w:fill="FFFFFF"/>
        </w:rPr>
        <w:t>100</w:t>
      </w:r>
      <w:r w:rsidR="002A7FA6" w:rsidRPr="004568A2">
        <w:rPr>
          <w:rStyle w:val="normaltextrun"/>
          <w:rFonts w:cs="Arial"/>
          <w:szCs w:val="18"/>
          <w:shd w:val="clear" w:color="auto" w:fill="FFFFFF"/>
        </w:rPr>
        <w:t xml:space="preserve"> % of methane, biodiesel and bio-LPG demand respectively. </w:t>
      </w:r>
      <w:r w:rsidR="00232BF9" w:rsidRPr="004568A2">
        <w:rPr>
          <w:rStyle w:val="normaltextrun"/>
          <w:rFonts w:cs="Arial"/>
          <w:szCs w:val="18"/>
          <w:shd w:val="clear" w:color="auto" w:fill="FFFFFF"/>
        </w:rPr>
        <w:t>Bio</w:t>
      </w:r>
      <w:r w:rsidRPr="004568A2">
        <w:rPr>
          <w:rStyle w:val="normaltextrun"/>
          <w:rFonts w:cs="Arial"/>
          <w:szCs w:val="18"/>
          <w:shd w:val="clear" w:color="auto" w:fill="FFFFFF"/>
        </w:rPr>
        <w:t>-LPG demand for all regions</w:t>
      </w:r>
      <w:r w:rsidR="00A637B3" w:rsidRPr="004568A2">
        <w:rPr>
          <w:rStyle w:val="normaltextrun"/>
          <w:rFonts w:cs="Arial"/>
          <w:szCs w:val="18"/>
          <w:shd w:val="clear" w:color="auto" w:fill="FFFFFF"/>
        </w:rPr>
        <w:t xml:space="preserve"> was</w:t>
      </w:r>
      <w:r w:rsidR="00A66EDA" w:rsidRPr="004568A2">
        <w:rPr>
          <w:rStyle w:val="normaltextrun"/>
          <w:rFonts w:cs="Arial"/>
          <w:szCs w:val="18"/>
          <w:shd w:val="clear" w:color="auto" w:fill="FFFFFF"/>
        </w:rPr>
        <w:t xml:space="preserve"> to be considered</w:t>
      </w:r>
      <w:r w:rsidR="00A637B3" w:rsidRPr="004568A2">
        <w:rPr>
          <w:rStyle w:val="normaltextrun"/>
          <w:rFonts w:cs="Arial"/>
          <w:szCs w:val="18"/>
          <w:shd w:val="clear" w:color="auto" w:fill="FFFFFF"/>
        </w:rPr>
        <w:t xml:space="preserve"> completely satisfied</w:t>
      </w:r>
      <w:r w:rsidRPr="004568A2">
        <w:rPr>
          <w:rStyle w:val="normaltextrun"/>
          <w:rFonts w:cs="Arial"/>
          <w:szCs w:val="18"/>
          <w:shd w:val="clear" w:color="auto" w:fill="FFFFFF"/>
        </w:rPr>
        <w:t xml:space="preserve">, biodiesel production </w:t>
      </w:r>
      <w:r w:rsidR="00411B8E" w:rsidRPr="004568A2">
        <w:rPr>
          <w:rStyle w:val="normaltextrun"/>
          <w:rFonts w:cs="Arial"/>
          <w:szCs w:val="18"/>
          <w:shd w:val="clear" w:color="auto" w:fill="FFFFFF"/>
        </w:rPr>
        <w:t>wa</w:t>
      </w:r>
      <w:r w:rsidRPr="004568A2">
        <w:rPr>
          <w:rStyle w:val="normaltextrun"/>
          <w:rFonts w:cs="Arial"/>
          <w:szCs w:val="18"/>
          <w:shd w:val="clear" w:color="auto" w:fill="FFFFFF"/>
        </w:rPr>
        <w:t xml:space="preserve">s </w:t>
      </w:r>
      <w:r w:rsidR="00411B8E" w:rsidRPr="004568A2">
        <w:rPr>
          <w:rStyle w:val="normaltextrun"/>
          <w:rFonts w:cs="Arial"/>
          <w:szCs w:val="18"/>
          <w:shd w:val="clear" w:color="auto" w:fill="FFFFFF"/>
        </w:rPr>
        <w:t xml:space="preserve">also sufficient to cover high </w:t>
      </w:r>
      <w:r w:rsidR="00AA01BD" w:rsidRPr="004568A2">
        <w:rPr>
          <w:rStyle w:val="normaltextrun"/>
          <w:rFonts w:cs="Arial"/>
          <w:szCs w:val="18"/>
          <w:shd w:val="clear" w:color="auto" w:fill="FFFFFF"/>
        </w:rPr>
        <w:t xml:space="preserve">demands, on the other hand, </w:t>
      </w:r>
      <w:r w:rsidR="005243F3" w:rsidRPr="004568A2">
        <w:rPr>
          <w:rStyle w:val="normaltextrun"/>
          <w:rFonts w:cs="Arial"/>
          <w:szCs w:val="18"/>
          <w:shd w:val="clear" w:color="auto" w:fill="FFFFFF"/>
        </w:rPr>
        <w:t>low values of biomethane requirements coverable were obtained.</w:t>
      </w:r>
    </w:p>
    <w:p w14:paraId="16204C98" w14:textId="01FA7C27" w:rsidR="00281E57" w:rsidRPr="004568A2" w:rsidRDefault="00281E57" w:rsidP="00281E57">
      <w:pPr>
        <w:pStyle w:val="CETHeading1"/>
      </w:pPr>
      <w:r w:rsidRPr="004568A2">
        <w:t>Introduction</w:t>
      </w:r>
    </w:p>
    <w:p w14:paraId="5B37827B" w14:textId="357BFBD6" w:rsidR="003220A9" w:rsidRPr="004568A2" w:rsidRDefault="001840D9" w:rsidP="00535BB0">
      <w:pPr>
        <w:pStyle w:val="CETListbullets"/>
        <w:ind w:left="0" w:firstLine="0"/>
      </w:pPr>
      <w:r w:rsidRPr="004568A2">
        <w:t>The depletion of fossil fuel reserves, escalating environmental concerns, and the rapid growth of industrialization have spurred a keen interest in the development of sustainable liquid fuels as alternatives to traditional fossil fuels. Extensive research has been conducted to identify renewable options, with a focus on creating fuels that closely emulate the properties of conventional counterparts like gasoline, diesel, and jet fuel</w:t>
      </w:r>
      <w:r w:rsidR="001216CF" w:rsidRPr="004568A2">
        <w:t xml:space="preserve"> </w:t>
      </w:r>
      <w:r w:rsidR="00892752" w:rsidRPr="004568A2">
        <w:fldChar w:fldCharType="begin"/>
      </w:r>
      <w:r w:rsidR="00892752" w:rsidRPr="004568A2">
        <w:instrText xml:space="preserve"> ADDIN ZOTERO_ITEM CSL_CITATION {"citationID":"CVWmjp8T","properties":{"formattedCitation":"(Blasi et al., 2023)","plainCitation":"(Blasi et al., 2023)","noteIndex":0},"citationItems":[{"id":4612,"uris":["http://zotero.org/users/10649518/items/ZV6LIP7G"],"itemData":{"id":4612,"type":"article-journal","abstract":"The sustainable management of lignocellulosic agricultural waste has gained significant attention due to its potential for the production of valuable products. This paper provides an extensive overview of the valorization strategies employed to convert lignocellulosic agricultural waste into economically and environmentally valuable products. The manuscript examines the conversion routes employed for the production of valuable products from lignocellulosic agricultural waste. These include the production of biofuels, such as bioethanol and biodiesel, via biochemical and thermochemical processes. Additionally, the synthesis of platform chemicals, such as furfural, levulinic acid, and xylose, is explored, which serve as building blocks for the manufacturing of polymers, resins, and other high-value chemicals. Moreover, this overview highlights the potential of lignocellulosic agricultural waste in generating bio-based materials, including bio-based composites, bio-based plastics, and bio-based adsorbents. The utilization of lignocellulosic waste as feedstock for the production of enzymes, organic acids, and bioactive compounds is also discussed. The challenges and opportunities associated with lignocellulosic agricultural waste valorization are addressed, encompassing technological, economic, and environmental aspects. Overall, this paper provides a comprehensive overview of the valorization potential of lignocellulosic agricultural waste, highlighting its significance in transitioning towards a sustainable and circular bioeconomy. The insights presented here aim to inspire further research and development in the field of lignocellulosic waste valorization, fostering innovative approaches and promoting the utilization of this abundant resource for the production of valuable products.","container-title":"Recycling","DOI":"10.3390/recycling8040061","ISSN":"2313-4321","issue":"4","language":"en","license":"http://creativecommons.org/licenses/by/3.0/","note":"number: 4\npublisher: Multidisciplinary Digital Publishing Institute","page":"61","source":"www.mdpi.com","title":"Lignocellulosic Agricultural Waste Valorization to Obtain Valuable Products: An Overview","title-short":"Lignocellulosic Agricultural Waste Valorization to Obtain Valuable Products","volume":"8","author":[{"family":"Blasi","given":"Alessandro"},{"family":"Verardi","given":"Alessandra"},{"family":"Lopresto","given":"Catia Giovanna"},{"family":"Siciliano","given":"Sarah"},{"family":"Sangiorgio","given":"Paola"}],"issued":{"date-parts":[["2023",8]]}}}],"schema":"https://github.com/citation-style-language/schema/raw/master/csl-citation.json"} </w:instrText>
      </w:r>
      <w:r w:rsidR="00892752" w:rsidRPr="004568A2">
        <w:fldChar w:fldCharType="separate"/>
      </w:r>
      <w:r w:rsidR="00892752" w:rsidRPr="004568A2">
        <w:rPr>
          <w:rFonts w:cs="Arial"/>
        </w:rPr>
        <w:t>(Blasi et al., 2023)</w:t>
      </w:r>
      <w:r w:rsidR="00892752" w:rsidRPr="004568A2">
        <w:fldChar w:fldCharType="end"/>
      </w:r>
      <w:r w:rsidRPr="004568A2">
        <w:t xml:space="preserve">. </w:t>
      </w:r>
      <w:r w:rsidR="004F30D9" w:rsidRPr="004568A2">
        <w:t xml:space="preserve">In this overview, </w:t>
      </w:r>
      <w:r w:rsidR="00C11A4A" w:rsidRPr="004568A2">
        <w:t>t</w:t>
      </w:r>
      <w:r w:rsidR="008C129E" w:rsidRPr="004568A2">
        <w:t xml:space="preserve">he quantification of the availability of biomass is fundamental for their exploitation </w:t>
      </w:r>
      <w:r w:rsidR="004568A2">
        <w:t>of</w:t>
      </w:r>
      <w:r w:rsidR="008C129E" w:rsidRPr="004568A2">
        <w:t xml:space="preserve"> bioenergy and </w:t>
      </w:r>
      <w:r w:rsidR="004568A2">
        <w:t>for achieving</w:t>
      </w:r>
      <w:r w:rsidR="008C129E" w:rsidRPr="004568A2">
        <w:t xml:space="preserve"> the different programmatic objectives that Europe and Italy have set themselves.</w:t>
      </w:r>
      <w:r w:rsidR="00D34918" w:rsidRPr="004568A2">
        <w:t xml:space="preserve"> </w:t>
      </w:r>
      <w:r w:rsidR="003D4EB3" w:rsidRPr="004568A2">
        <w:t xml:space="preserve">Imperial College </w:t>
      </w:r>
      <w:r w:rsidR="00A929E6" w:rsidRPr="004568A2">
        <w:fldChar w:fldCharType="begin"/>
      </w:r>
      <w:r w:rsidR="00A929E6" w:rsidRPr="004568A2">
        <w:instrText xml:space="preserve"> ADDIN ZOTERO_ITEM CSL_CITATION {"citationID":"XNmkbaQ3","properties":{"formattedCitation":"(Panoutsou and Kyriakos, 2021)","plainCitation":"(Panoutsou and Kyriakos, 2021)","noteIndex":0},"citationItems":[{"id":4615,"uris":["http://zotero.org/users/10649518/items/9KZIGB9E"],"itemData":{"id":4615,"type":"report","title":"Sustainable biomass availability in the EU, to 2050","author":[{"family":"Panoutsou","given":"","suffix":"C."},{"family":"Kyriakos","given":"M."}],"issued":{"date-parts":[["2021"]]}}}],"schema":"https://github.com/citation-style-language/schema/raw/master/csl-citation.json"} </w:instrText>
      </w:r>
      <w:r w:rsidR="00A929E6" w:rsidRPr="004568A2">
        <w:fldChar w:fldCharType="separate"/>
      </w:r>
      <w:r w:rsidR="00A929E6" w:rsidRPr="004568A2">
        <w:rPr>
          <w:rFonts w:cs="Arial"/>
        </w:rPr>
        <w:t>(Panoutsou and Kyriakos, 2021)</w:t>
      </w:r>
      <w:r w:rsidR="00A929E6" w:rsidRPr="004568A2">
        <w:fldChar w:fldCharType="end"/>
      </w:r>
      <w:r w:rsidR="00F92FBB" w:rsidRPr="004568A2">
        <w:t xml:space="preserve"> </w:t>
      </w:r>
      <w:r w:rsidR="00E94F77" w:rsidRPr="004568A2">
        <w:t>estimated net biomass that can be used for biofuel production</w:t>
      </w:r>
      <w:r w:rsidR="00F92FBB" w:rsidRPr="004568A2">
        <w:t xml:space="preserve"> </w:t>
      </w:r>
      <w:r w:rsidR="00152611" w:rsidRPr="004568A2">
        <w:t>in Europe</w:t>
      </w:r>
      <w:r w:rsidR="002C4BD5" w:rsidRPr="004568A2">
        <w:t xml:space="preserve"> </w:t>
      </w:r>
      <w:r w:rsidR="00E94F77" w:rsidRPr="004568A2">
        <w:t>at 126-262 Mtoe for 2030 and 101 – 252 Mtoe for 2050.</w:t>
      </w:r>
      <w:r w:rsidR="002C4BD5" w:rsidRPr="004568A2">
        <w:t xml:space="preserve"> </w:t>
      </w:r>
      <w:r w:rsidR="006A2C09" w:rsidRPr="004568A2">
        <w:t>This corresponds to advanced and waste-based biofuel production of 46 – 97 Mtoe for 2030 and 71 – 176 Mtoe for 2050.</w:t>
      </w:r>
      <w:r w:rsidR="001F7205" w:rsidRPr="004568A2">
        <w:t xml:space="preserve"> </w:t>
      </w:r>
      <w:r w:rsidR="000B64C8" w:rsidRPr="004568A2">
        <w:t>To produce those, n</w:t>
      </w:r>
      <w:r w:rsidR="00724386" w:rsidRPr="004568A2">
        <w:t>evertheless, various methods for generating sustainable liquid fuels have been developed, predominantly utilizing first-generation biofuels with food-grade feedstock. Biomass conversion to biofuels generally follows two distinct paths: thermochemical and biochemical methods.</w:t>
      </w:r>
      <w:r w:rsidR="001F7205" w:rsidRPr="004568A2">
        <w:t xml:space="preserve"> </w:t>
      </w:r>
      <w:r w:rsidR="00724386" w:rsidRPr="004568A2">
        <w:t xml:space="preserve">Thermochemical methods yield gases (via gasification) and liquids (through pyrolysis and HTL), which require additional synthesis to obtain valuable biofuels (i.e. methanol or DME) </w:t>
      </w:r>
      <w:r w:rsidR="00CB2924" w:rsidRPr="004568A2">
        <w:fldChar w:fldCharType="begin"/>
      </w:r>
      <w:r w:rsidR="00CB2924" w:rsidRPr="004568A2">
        <w:instrText xml:space="preserve"> ADDIN ZOTERO_ITEM CSL_CITATION {"citationID":"EzCrU68j","properties":{"formattedCitation":"(Bora and You, 2020)","plainCitation":"(Bora and You, 2020)","noteIndex":0},"citationItems":[{"id":4616,"uris":["http://zotero.org/users/10649518/items/MBGYC6FX"],"itemData":{"id":4616,"type":"article-journal","abstract":"This study examines four prominent thermochemical conversion technologies such as slow pyrolysis (SP), fast pyrolysis (FP), gasification (GA) and hydrothermal liquefaction (HTL), for treating poultry litter in New York State (NYS). Nine cases involving various combinations of the four technologies and different downstream processing options such as bio-oil upgrading, Fischer-Tropsch conversion and combined heat and power generation are chosen based on the product composition and distribution. High-fidelity process simulations for each technological platform are performed to derive the mass and energy balance information. Calculations and breakdown of the equipment costs, capital costs, operating and maintenance costs and utilities are provided and compared extensively for each of the nine cases. The economic performance is further analyzed by calculating and comparing the resultant net present values (NPV), ranging from $10 M to $170 M (SP), $89 M to $314.5 M (FP), $28 M to $196 M (HTL) and $25 M to $234 M (GA). The greenhouse gas emission inventories are also compiled to understand the corresponding impacts of different downstream processing choices (ranging from 217 to 494.5 kg CO2-eq/t feedstock with both the pyrolysis technologies outperforming the others in most cases) and to highlight the trade-off with economic performance. Through sensitivity analysis, the influential factors requiring further investigation are identified and it is found that plant capacity and bio-oil yield are the most important parameters for the fast pyrolysis systems, biochar price for SP is the single most important parameter. © 2020 Italian Association of Chemical Engineering - AIDIC. All rights reserved.","archive":"Scopus","container-title":"Chemical Engineering Transactions","DOI":"10.3303/CET2081186","ISSN":"2283-9216","language":"English","page":"1111-1116","source":"Scopus","title":"Techno-economic feasibility of thermochemical conversion pathways for regional agricultural waste biomass","volume":"81","author":[{"family":"Bora","given":"R.R."},{"family":"You","given":"F."}],"issued":{"date-parts":[["2020"]]}}}],"schema":"https://github.com/citation-style-language/schema/raw/master/csl-citation.json"} </w:instrText>
      </w:r>
      <w:r w:rsidR="00CB2924" w:rsidRPr="004568A2">
        <w:fldChar w:fldCharType="separate"/>
      </w:r>
      <w:r w:rsidR="00CB2924" w:rsidRPr="004568A2">
        <w:rPr>
          <w:rFonts w:cs="Arial"/>
        </w:rPr>
        <w:t>(Bora and You, 2020)</w:t>
      </w:r>
      <w:r w:rsidR="00CB2924" w:rsidRPr="004568A2">
        <w:fldChar w:fldCharType="end"/>
      </w:r>
      <w:r w:rsidR="00724386" w:rsidRPr="004568A2">
        <w:t>. Biochemical conversion paths primarily produce liquid fuels, such as ethanol, and biogas, both of which can be upgraded to produce diesel or biomethane</w:t>
      </w:r>
      <w:r w:rsidR="007B11A4" w:rsidRPr="004568A2">
        <w:t xml:space="preserve"> </w:t>
      </w:r>
      <w:r w:rsidR="007B11A4" w:rsidRPr="004568A2">
        <w:fldChar w:fldCharType="begin"/>
      </w:r>
      <w:r w:rsidR="007B11A4" w:rsidRPr="004568A2">
        <w:instrText xml:space="preserve"> ADDIN ZOTERO_ITEM CSL_CITATION {"citationID":"C0bTUhJ7","properties":{"formattedCitation":"(Baizhumanova et al., 2022)","plainCitation":"(Baizhumanova et al., 2022)","noteIndex":0},"citationItems":[{"id":4619,"uris":["http://zotero.org/users/10649518/items/BXVXRAA6"],"itemData":{"id":4619,"type":"article-journal","abstract":"In today's world, environmental issues are becoming more and more relevant. In connection with the growing industrial activity of mankind, a large amount of CH4 and CO2 is emitted into the atmosphere. Since the start of the Industrial Revolution, CO2 concentrations have increased by more than 45 %, from 280 ppm in the mid-18th century to 415 ppm in 2019. Biogas mainly consists of 50 - 87 % methane, 13 - 50 % carbon dioxide and other gases. Conversion of biogas solves two important issues related to the utilization of greenhouse gases and the possibility of obtaining synthesis-gas with an optimal ratio of 1: 1. Carrying out the Fischer-Tropsch synthesis reaction, the production of gasoline, jet fuel, ethanol and other oxygen-containing compounds is possible at this ratio. Development of new applied catalysts, as well as optimal technological conditions for synthesis-gas production in the process of catalytic conversion of biogas, is a contribution to the petrochemical sector, namely gas processing. Optimal conditions for the oxidative conversion of a model mixture of biogas into synthesis-gas on Ni-, Co- monometallic and Ni-Co bimetallic catalysts at different ratios to obtain maximum yield of products with rational consumption of raw materials and energy were determined: T = 700 °C, GHSV = 6,000 h-1, CH4: CO2: Ar = 1: 1: 1 ratio in the reaction mixture. Copyright © 2022, AIDIC ServiziS.r.l.","archive":"Scopus","container-title":"Chemical Engineering Transactions","DOI":"10.3303/CET2294164","ISSN":"2283-9216","language":"English","page":"985-990","source":"Scopus","title":"Catalytic Reforming of Biogas to Produce Environmentally Friendly High Effective Fuels","volume":"94","author":[{"family":"Baizhumanova","given":"T.S."},{"family":"Zhumabek","given":"M."},{"family":"Kaumenova","given":"G.N."},{"family":"Tungatarova","given":"S.A."},{"family":"Talasbayeva","given":"N."},{"family":"Zhylkybek","given":"M."},{"family":"Zhang","given":"X."},{"family":"Xanthopoulou","given":"G."},{"family":"Tolembek","given":"A.Y."}],"issued":{"date-parts":[["2022"]]}}}],"schema":"https://github.com/citation-style-language/schema/raw/master/csl-citation.json"} </w:instrText>
      </w:r>
      <w:r w:rsidR="007B11A4" w:rsidRPr="004568A2">
        <w:fldChar w:fldCharType="separate"/>
      </w:r>
      <w:r w:rsidR="007B11A4" w:rsidRPr="004568A2">
        <w:rPr>
          <w:rFonts w:cs="Arial"/>
        </w:rPr>
        <w:t>(Baizhumanova et al., 2022)</w:t>
      </w:r>
      <w:r w:rsidR="007B11A4" w:rsidRPr="004568A2">
        <w:fldChar w:fldCharType="end"/>
      </w:r>
      <w:r w:rsidR="00724386" w:rsidRPr="004568A2">
        <w:t>.</w:t>
      </w:r>
      <w:r w:rsidR="00962E6A" w:rsidRPr="004568A2">
        <w:t xml:space="preserve"> </w:t>
      </w:r>
      <w:r w:rsidR="00A344B3" w:rsidRPr="004568A2">
        <w:t xml:space="preserve">For the latter issue, process optimization and integration </w:t>
      </w:r>
      <w:r w:rsidR="00DA1680" w:rsidRPr="004568A2">
        <w:t>based on</w:t>
      </w:r>
      <w:r w:rsidR="00A344B3" w:rsidRPr="004568A2">
        <w:t xml:space="preserve"> a techno-economic analysis can help to identify the </w:t>
      </w:r>
      <w:r w:rsidR="00A344B3" w:rsidRPr="004568A2">
        <w:lastRenderedPageBreak/>
        <w:t xml:space="preserve">most promising pathways and increase the profitability of a </w:t>
      </w:r>
      <w:r w:rsidR="00026935" w:rsidRPr="004568A2">
        <w:t>feedstock.</w:t>
      </w:r>
      <w:r w:rsidR="00D22EAE" w:rsidRPr="004568A2">
        <w:t xml:space="preserve"> </w:t>
      </w:r>
      <w:r w:rsidR="00A344B3" w:rsidRPr="004568A2">
        <w:t>Techno-economic analyses aimed also at assessing and predicting the limit in utilizing different feed</w:t>
      </w:r>
      <w:r w:rsidR="00CC007F" w:rsidRPr="004568A2">
        <w:t>stock</w:t>
      </w:r>
      <w:r w:rsidR="00A344B3" w:rsidRPr="004568A2">
        <w:t xml:space="preserve">s to produce different target </w:t>
      </w:r>
      <w:r w:rsidR="00CC007F" w:rsidRPr="004568A2">
        <w:t>biofuels respect to the local fuel demand</w:t>
      </w:r>
      <w:r w:rsidR="00D22EAE" w:rsidRPr="004568A2">
        <w:t xml:space="preserve"> </w:t>
      </w:r>
      <w:r w:rsidR="008A529D" w:rsidRPr="004568A2">
        <w:fldChar w:fldCharType="begin"/>
      </w:r>
      <w:r w:rsidR="008A529D" w:rsidRPr="004568A2">
        <w:instrText xml:space="preserve"> ADDIN ZOTERO_ITEM CSL_CITATION {"citationID":"WfHLTzLG","properties":{"formattedCitation":"(Galanopoulos et al., 2018)","plainCitation":"(Galanopoulos et al., 2018)","noteIndex":0},"citationItems":[{"id":3009,"uris":["http://zotero.org/users/10649518/items/VY2V4N8B"],"itemData":{"id":3009,"type":"article-journal","abstract":"In this work, a biomass supply chain model, for the region of Lower Saxony and Bremen in northern Germany, has been developed. Because of Germany's high demand for biofuels, the production and distribution of levulinic acid and bioethanol by wheat straw is studied. An illustrative bio-based supply chain model is developed and implemented in the Advanced Interactive Multidimensional Modeling (AIMMS) software. Then, this model is used to study the logistics, network optimization, transportation and inventory management, and the resulting environmental and economic impacts. In the end, a sensitivity analysis is conducted to evaluate the influence of key model parameters on these impacts. The results showed that a wheat straw supply chain network is profitable in the area of Bremen and Lower Saxony even though the bioproducts demand is not fully covered and that the transportation costs did not have a strong impact on the supply chain network.","container-title":"Computers and Chemical Engineering","DOI":"10.1016/j.compchemeng.2018.03.024","ISSN":"00981354","note":"publisher: Elsevier Ltd","page":"233–242","title":"A decision support platform for a bio-based supply chain: Application to the region of Lower Saxony and Bremen (Germany).","volume":"115","author":[{"family":"Galanopoulos","given":"Christos"},{"family":"Barletta","given":"Diego"},{"family":"Zondervan","given":"Edwin"}],"issued":{"date-parts":[["2018"]]}}}],"schema":"https://github.com/citation-style-language/schema/raw/master/csl-citation.json"} </w:instrText>
      </w:r>
      <w:r w:rsidR="008A529D" w:rsidRPr="004568A2">
        <w:fldChar w:fldCharType="separate"/>
      </w:r>
      <w:r w:rsidR="008A529D" w:rsidRPr="004568A2">
        <w:rPr>
          <w:rFonts w:cs="Arial"/>
        </w:rPr>
        <w:t>(Galanopoulos et al., 2018)</w:t>
      </w:r>
      <w:r w:rsidR="008A529D" w:rsidRPr="004568A2">
        <w:fldChar w:fldCharType="end"/>
      </w:r>
      <w:r w:rsidR="002A3563" w:rsidRPr="004568A2">
        <w:t>.</w:t>
      </w:r>
      <w:r w:rsidR="00D22EAE" w:rsidRPr="004568A2">
        <w:t xml:space="preserve"> </w:t>
      </w:r>
      <w:r w:rsidR="002A3563" w:rsidRPr="004568A2">
        <w:t>Furthermore,</w:t>
      </w:r>
      <w:r w:rsidR="00D22EAE" w:rsidRPr="004568A2">
        <w:t xml:space="preserve"> only a few</w:t>
      </w:r>
      <w:r w:rsidR="002A3563" w:rsidRPr="004568A2">
        <w:t xml:space="preserve"> s</w:t>
      </w:r>
      <w:r w:rsidR="00F77E31" w:rsidRPr="004568A2">
        <w:t>tudies reported in the literature</w:t>
      </w:r>
      <w:r w:rsidR="002A3563" w:rsidRPr="004568A2">
        <w:t xml:space="preserve"> </w:t>
      </w:r>
      <w:r w:rsidR="00F77E31" w:rsidRPr="004568A2">
        <w:t>addressed the</w:t>
      </w:r>
      <w:r w:rsidR="00161702" w:rsidRPr="004568A2">
        <w:t xml:space="preserve"> process</w:t>
      </w:r>
      <w:r w:rsidR="00F77E31" w:rsidRPr="004568A2">
        <w:t xml:space="preserve"> optimization of the biomass allocation among alternative pathways for a</w:t>
      </w:r>
      <w:r w:rsidR="002A3563" w:rsidRPr="004568A2">
        <w:t xml:space="preserve"> </w:t>
      </w:r>
      <w:r w:rsidR="00F77E31" w:rsidRPr="004568A2">
        <w:t>biorefinery co-producing several compounds</w:t>
      </w:r>
      <w:r w:rsidR="005A610C" w:rsidRPr="004568A2">
        <w:t>,</w:t>
      </w:r>
      <w:r w:rsidR="00F77E31" w:rsidRPr="004568A2">
        <w:t xml:space="preserve"> such as </w:t>
      </w:r>
      <w:r w:rsidR="00B66540">
        <w:t>butanol</w:t>
      </w:r>
      <w:r w:rsidR="00F77E31" w:rsidRPr="004568A2">
        <w:t xml:space="preserve"> </w:t>
      </w:r>
      <w:r w:rsidR="004A4239" w:rsidRPr="004568A2">
        <w:fldChar w:fldCharType="begin"/>
      </w:r>
      <w:r w:rsidR="004A4239" w:rsidRPr="004568A2">
        <w:instrText xml:space="preserve"> ADDIN ZOTERO_ITEM CSL_CITATION {"citationID":"Z5iKfIA8","properties":{"formattedCitation":"(Toth et al., 2022)","plainCitation":"(Toth et al., 2022)","noteIndex":0},"citationItems":[{"id":4609,"uris":["http://zotero.org/users/10649518/items/S6B6GUFH"],"itemData":{"id":4609,"type":"chapter","abstract":"This work has been performed in the framework of the development of the bio-based fermentation process to produce IBE (isopropanol/ n-butanol/ethanol). The so-called IBE fermentation is indeed an interesting sustainable alternative to produce fossil-based products. However, product inhibition in fermentation leads to dilute fermentation broths in water (15-25 g IBE/L) which implies high energy demand for products/water separation. In the present study focus has been put on ready-to-industrialize downstream processes for Isopropanol/n-Butanol/Ethanol separation from dilute fermentation broth, using conventional distillation and shell-and-tube heat-exchanger technologies. A reference process scheme, using 5 distillation columns, as well as an IFPEN patented distillation sequence with 3 columns only were optimized using an in-house tool. The tool allows to simultaneously optimize the heat exchanger network configuration and the distillation columns’ operating pressures for a given material balance, using Mixed Integer Linear Programming (MILP) optimization techniques. When comparing to the reference process, the optimized heat exchanger network leads to significant vapor consumption reduction and to also significant total separation cost reduction, when both investments and utilities costs are considered. The IFPEN patented scheme even without optimization is found to be more interesting than the reference scheme and is shown to be even more interesting after optimization. The tool can be applied to any distillation process, leading to significant cost savings.","collection-title":"32 European Symposium on Computer Aided Process Engineering","container-title":"Computer Aided Chemical Engineering","note":"DOI: 10.1016/B978-0-323-95879-0.50125-9","page":"745-750","publisher":"Elsevier","source":"ScienceDirect","title":"Isopropanol/n -Butanol/Ethanol separation from diluted fermentation broth by distillation. Process optimization using MILP techniques","URL":"https://www.sciencedirect.com/science/article/pii/B9780323958790501259","volume":"51","author":[{"family":"Toth","given":"Eszter"},{"family":"Mancino","given":"Gianluca"},{"family":"Raynal","given":"Ludovic"}],"editor":[{"family":"Montastruc","given":"Ludovic"},{"family":"Negny","given":"Stephane"}],"accessed":{"date-parts":[["2024",3,7]]},"issued":{"date-parts":[["2022",1,1]]}}}],"schema":"https://github.com/citation-style-language/schema/raw/master/csl-citation.json"} </w:instrText>
      </w:r>
      <w:r w:rsidR="004A4239" w:rsidRPr="004568A2">
        <w:fldChar w:fldCharType="separate"/>
      </w:r>
      <w:r w:rsidR="004A4239" w:rsidRPr="004568A2">
        <w:rPr>
          <w:rFonts w:cs="Arial"/>
        </w:rPr>
        <w:t>(Toth et al., 2022)</w:t>
      </w:r>
      <w:r w:rsidR="004A4239" w:rsidRPr="004568A2">
        <w:fldChar w:fldCharType="end"/>
      </w:r>
      <w:r w:rsidR="00F77E31" w:rsidRPr="004568A2">
        <w:t xml:space="preserve">, </w:t>
      </w:r>
      <w:r w:rsidR="00344A4F">
        <w:t>ethanol</w:t>
      </w:r>
      <w:r w:rsidR="005A610C" w:rsidRPr="004568A2">
        <w:t xml:space="preserve"> </w:t>
      </w:r>
      <w:r w:rsidR="005A610C" w:rsidRPr="004568A2">
        <w:fldChar w:fldCharType="begin"/>
      </w:r>
      <w:r w:rsidR="005A610C" w:rsidRPr="004568A2">
        <w:rPr>
          <w:lang w:val="en-US"/>
        </w:rPr>
        <w:instrText xml:space="preserve"> ADDIN ZOTERO_ITEM CSL_CITATION {"citationID":"hEW40sW7","properties":{"formattedCitation":"(Giuliano et al., 2014)","plainCitation":"(Giuliano et al., 2014)","noteIndex":0},"citationItems":[{"id":3158,"uris":["http://zotero.org/users/10649518/items/QZGM83RV"],"itemData":{"id":3158,"type":"book","abstract":"A methodology to reduce the complexity of the process optimization was applied to a multiproduct biorefinery fed by lignocellulosic biomass. A process superstructure was built to consider alternative process pathways to levulinic acid, succinic acid and ethanol. A Mixed Integer Non-Linear Problem was obtained and transformed in a Mixed Integer Linear Problem by means of a discretization procedure of the non-linear variables. Preliminary results for the base case problem yielded a biomass allocation of about 65. % to levulinic acid, 24. % to succinic acid and 11. % to ethanol. A sensitivity analysis highlighted the significant effect of the price of the high value chemicals, levulinic acid and succinic acid, and of the plant size on the optimal biomass allocation. © 2014 Elsevier B.V.","note":"ISSN: 15707946\ncontainer-title: Computer Aided Chemical Engineering\nDOI: 10.1016/B978-0-444-63455-9.50072-6","title":"Optimization of a multiproduct lignocellulosic biorefinery using a MILP Approximation","volume":"33","author":[{"family":"Giuliano","given":"A."},{"family":"Cerulli","given":"R."},{"family":"Poletto","given":"M."},{"family":"Raiconi","given":"G."},{"family":"Barletta","given":"D."}],"issued":{"date-parts":[["2014"]]}}}],"schema":"https://github.com/citation-style-language/schema/raw/master/csl-citation.json"} </w:instrText>
      </w:r>
      <w:r w:rsidR="005A610C" w:rsidRPr="004568A2">
        <w:fldChar w:fldCharType="separate"/>
      </w:r>
      <w:r w:rsidR="005A610C" w:rsidRPr="004568A2">
        <w:rPr>
          <w:rFonts w:cs="Arial"/>
          <w:lang w:val="en-US"/>
        </w:rPr>
        <w:t>(Giuliano et al., 2014)</w:t>
      </w:r>
      <w:r w:rsidR="005A610C" w:rsidRPr="004568A2">
        <w:fldChar w:fldCharType="end"/>
      </w:r>
      <w:r w:rsidR="005A610C" w:rsidRPr="004568A2">
        <w:t>.</w:t>
      </w:r>
      <w:r w:rsidR="001F7205" w:rsidRPr="004568A2">
        <w:t xml:space="preserve"> </w:t>
      </w:r>
      <w:r w:rsidR="00073A26" w:rsidRPr="004568A2">
        <w:t xml:space="preserve">In this work, </w:t>
      </w:r>
      <w:r w:rsidR="00B60871" w:rsidRPr="004568A2">
        <w:t xml:space="preserve">mathematical programming methods were used to individuate the best </w:t>
      </w:r>
      <w:r w:rsidR="00734DB0" w:rsidRPr="004568A2">
        <w:t>bioresource valorization strategies for each Italian Region</w:t>
      </w:r>
      <w:r w:rsidR="00460692" w:rsidRPr="004568A2">
        <w:t xml:space="preserve"> in order to maximize</w:t>
      </w:r>
      <w:r w:rsidR="00F60C7E" w:rsidRPr="004568A2">
        <w:t xml:space="preserve"> the regional biofuel production </w:t>
      </w:r>
      <w:r w:rsidR="00D57521" w:rsidRPr="004568A2">
        <w:t>or</w:t>
      </w:r>
      <w:r w:rsidR="00F60C7E" w:rsidRPr="004568A2">
        <w:t xml:space="preserve"> the </w:t>
      </w:r>
      <w:r w:rsidR="00F83C90" w:rsidRPr="004568A2">
        <w:t xml:space="preserve">biofuel demand can be covered by local </w:t>
      </w:r>
      <w:r w:rsidR="005F1A1C" w:rsidRPr="004568A2">
        <w:t>bioresources</w:t>
      </w:r>
      <w:r w:rsidR="00734DB0" w:rsidRPr="004568A2">
        <w:t>.</w:t>
      </w:r>
    </w:p>
    <w:p w14:paraId="5741900F" w14:textId="6382F340" w:rsidR="00453E24" w:rsidRPr="004568A2" w:rsidRDefault="009C6045" w:rsidP="00453E24">
      <w:pPr>
        <w:pStyle w:val="CETHeading1"/>
      </w:pPr>
      <w:r w:rsidRPr="004568A2">
        <w:t>Methodology</w:t>
      </w:r>
    </w:p>
    <w:p w14:paraId="09406386" w14:textId="5638CEA6" w:rsidR="00453E24" w:rsidRPr="004568A2" w:rsidRDefault="00556AD5" w:rsidP="00453E24">
      <w:pPr>
        <w:pStyle w:val="CETBodytext"/>
      </w:pPr>
      <w:r w:rsidRPr="004568A2">
        <w:t xml:space="preserve">The methodology proposed in the present work </w:t>
      </w:r>
      <w:r w:rsidR="00DB1AB0" w:rsidRPr="004568A2">
        <w:t xml:space="preserve">is shown in Figure 1. Regional Web-GIS data </w:t>
      </w:r>
      <w:r w:rsidR="00B443D6" w:rsidRPr="004568A2">
        <w:t>for the agroindustrial wastes</w:t>
      </w:r>
      <w:r w:rsidR="008254EF" w:rsidRPr="004568A2">
        <w:t xml:space="preserve"> (e.g. manure, pruning, straw,…)</w:t>
      </w:r>
      <w:r w:rsidR="00B443D6" w:rsidRPr="004568A2">
        <w:t xml:space="preserve">, </w:t>
      </w:r>
      <w:r w:rsidR="00E03513" w:rsidRPr="004568A2">
        <w:t xml:space="preserve">civil </w:t>
      </w:r>
      <w:r w:rsidR="00B443D6" w:rsidRPr="004568A2">
        <w:t>waste</w:t>
      </w:r>
      <w:r w:rsidR="00E03513" w:rsidRPr="004568A2">
        <w:t>s</w:t>
      </w:r>
      <w:r w:rsidR="00B443D6" w:rsidRPr="004568A2">
        <w:t xml:space="preserve"> </w:t>
      </w:r>
      <w:r w:rsidR="00E03513" w:rsidRPr="004568A2">
        <w:t xml:space="preserve">(e.g. waste </w:t>
      </w:r>
      <w:r w:rsidR="00B443D6" w:rsidRPr="004568A2">
        <w:t>cooking oil</w:t>
      </w:r>
      <w:r w:rsidR="00E03513" w:rsidRPr="004568A2">
        <w:t xml:space="preserve">, organic fraction of </w:t>
      </w:r>
      <w:r w:rsidR="00E03513" w:rsidRPr="00011FAE">
        <w:t>municipal solid waste</w:t>
      </w:r>
      <w:r w:rsidR="003C0369" w:rsidRPr="00011FAE">
        <w:t xml:space="preserve">) and other lignocellulosic biomass (e.g. </w:t>
      </w:r>
      <w:r w:rsidR="00142916" w:rsidRPr="00011FAE">
        <w:t>forestall residues,…)</w:t>
      </w:r>
      <w:r w:rsidR="00B443D6" w:rsidRPr="00011FAE">
        <w:t xml:space="preserve"> </w:t>
      </w:r>
      <w:r w:rsidR="00142916" w:rsidRPr="00011FAE">
        <w:t xml:space="preserve">were obtained </w:t>
      </w:r>
      <w:r w:rsidR="00152B84" w:rsidRPr="00011FAE">
        <w:t>from the Italian web-GIS-based tool “</w:t>
      </w:r>
      <w:r w:rsidR="00152B84" w:rsidRPr="00011FAE">
        <w:rPr>
          <w:i/>
          <w:iCs/>
        </w:rPr>
        <w:t>Atlante delle biomasse</w:t>
      </w:r>
      <w:r w:rsidR="00152B84" w:rsidRPr="00011FAE">
        <w:t xml:space="preserve">” (Pierro et al., 2021). </w:t>
      </w:r>
      <w:r w:rsidR="003759A1" w:rsidRPr="00011FAE">
        <w:t xml:space="preserve">Those data were merged into a lump </w:t>
      </w:r>
      <w:r w:rsidR="00BE7BAA" w:rsidRPr="00011FAE">
        <w:t xml:space="preserve">classification, dividing them into only four bioresource categories: manures, </w:t>
      </w:r>
      <w:r w:rsidR="005D198E" w:rsidRPr="00011FAE">
        <w:t xml:space="preserve">Organic Fraction of Municipal Solid Waste (OFMSW), lignocellulosic biomass and </w:t>
      </w:r>
      <w:r w:rsidR="00A215F4" w:rsidRPr="00011FAE">
        <w:t xml:space="preserve">oil. </w:t>
      </w:r>
      <w:r w:rsidR="00B66616" w:rsidRPr="00011FAE">
        <w:t xml:space="preserve">A process superstructure was built by considering all high TRL and </w:t>
      </w:r>
      <w:r w:rsidR="006D3FB7" w:rsidRPr="00011FAE">
        <w:t>energy self-sufficient technologies</w:t>
      </w:r>
      <w:r w:rsidR="00FA0C55" w:rsidRPr="00011FAE">
        <w:t xml:space="preserve"> </w:t>
      </w:r>
      <w:r w:rsidR="00FA0C55" w:rsidRPr="00011FAE">
        <w:fldChar w:fldCharType="begin"/>
      </w:r>
      <w:r w:rsidR="00FA0C55" w:rsidRPr="00011FAE">
        <w:instrText xml:space="preserve"> ADDIN ZOTERO_ITEM CSL_CITATION {"citationID":"ydCmemMW","properties":{"formattedCitation":"(Niamboonnum Sathaporn et al., 2021)","plainCitation":"(Niamboonnum Sathaporn et al., 2021)","noteIndex":0},"citationItems":[{"id":3583,"uris":["http://zotero.org/users/10649518/items/NW6YXZ5A"],"itemData":{"id":3583,"type":"article-journal","container-title":"Chemical Engineering Transactions","DOI":"10.3303/CET2188137","language":"en","page":"823-828","source":"DOI.org (CSL JSON)","title":"Thermal Self-Sufficient Operation of Hydrogen Production from Used Vegetable Oil","volume":"88","author":[{"literal":"Niamboonnum Sathaporn"},{"literal":"Panichkittikul Nitsara"},{"literal":"Saebea Dang"},{"literal":"Arpornwichanop Amornchai"},{"literal":"Patcharavorachot Yaneeporn"}],"issued":{"date-parts":[["2021",11]]}}}],"schema":"https://github.com/citation-style-language/schema/raw/master/csl-citation.json"} </w:instrText>
      </w:r>
      <w:r w:rsidR="00FA0C55" w:rsidRPr="00011FAE">
        <w:fldChar w:fldCharType="separate"/>
      </w:r>
      <w:r w:rsidR="00FA0C55" w:rsidRPr="00011FAE">
        <w:rPr>
          <w:rFonts w:cs="Arial"/>
        </w:rPr>
        <w:t>(Niamboonnum Sathaporn et al., 2021)</w:t>
      </w:r>
      <w:r w:rsidR="00FA0C55" w:rsidRPr="00011FAE">
        <w:fldChar w:fldCharType="end"/>
      </w:r>
      <w:r w:rsidR="00DE3F04" w:rsidRPr="00011FAE">
        <w:t xml:space="preserve">. </w:t>
      </w:r>
      <w:r w:rsidR="00402758" w:rsidRPr="00011FAE">
        <w:t>C</w:t>
      </w:r>
      <w:r w:rsidR="00DE3F04" w:rsidRPr="00011FAE">
        <w:t xml:space="preserve">onversion </w:t>
      </w:r>
      <w:r w:rsidR="00814D94" w:rsidRPr="00011FAE">
        <w:t xml:space="preserve">processes </w:t>
      </w:r>
      <w:r w:rsidR="00402758" w:rsidRPr="00011FAE">
        <w:t xml:space="preserve">where </w:t>
      </w:r>
      <w:r w:rsidR="00DE3F04" w:rsidRPr="00011FAE">
        <w:t>main raw material</w:t>
      </w:r>
      <w:r w:rsidR="00402758" w:rsidRPr="00011FAE">
        <w:t xml:space="preserve">s are not obtainable </w:t>
      </w:r>
      <w:r w:rsidR="001A627C" w:rsidRPr="00011FAE">
        <w:t>by other bio-based processes of the superstructure were also avoi</w:t>
      </w:r>
      <w:r w:rsidR="007A0B63" w:rsidRPr="00011FAE">
        <w:t>ded (i.e. having hydrogen as reactant</w:t>
      </w:r>
      <w:r w:rsidR="00BF6E58" w:rsidRPr="00011FAE">
        <w:t>).</w:t>
      </w:r>
      <w:r w:rsidR="00E30890">
        <w:t xml:space="preserve"> Literature </w:t>
      </w:r>
      <w:r w:rsidR="00AF6A79">
        <w:t>values were used to set the</w:t>
      </w:r>
      <w:r w:rsidR="00D21504">
        <w:t xml:space="preserve"> target </w:t>
      </w:r>
      <w:r w:rsidR="00D21504" w:rsidRPr="00D21504">
        <w:t>product</w:t>
      </w:r>
      <w:r w:rsidR="00AF6A79">
        <w:t xml:space="preserve"> yields</w:t>
      </w:r>
      <w:r w:rsidR="00D21504">
        <w:t>.</w:t>
      </w:r>
    </w:p>
    <w:p w14:paraId="0636B784" w14:textId="37836255" w:rsidR="00453E24" w:rsidRPr="004568A2" w:rsidRDefault="00BF6E58" w:rsidP="00453E24">
      <w:pPr>
        <w:pStyle w:val="CETheadingx"/>
      </w:pPr>
      <w:r w:rsidRPr="004568A2">
        <w:t xml:space="preserve">Bioresource </w:t>
      </w:r>
      <w:r w:rsidR="00C72EC6" w:rsidRPr="004568A2">
        <w:t>data assessment</w:t>
      </w:r>
    </w:p>
    <w:p w14:paraId="0750AE0C" w14:textId="632EFB87" w:rsidR="00644275" w:rsidRPr="004568A2" w:rsidRDefault="00217C7B" w:rsidP="00E02496">
      <w:pPr>
        <w:pStyle w:val="CETBodytext"/>
        <w:rPr>
          <w:lang w:val="en-GB"/>
        </w:rPr>
      </w:pPr>
      <w:r w:rsidRPr="004568A2">
        <w:t xml:space="preserve">The biomass surveyed </w:t>
      </w:r>
      <w:r w:rsidR="00CC3B1C" w:rsidRPr="004568A2">
        <w:t>were a</w:t>
      </w:r>
      <w:r w:rsidRPr="004568A2">
        <w:t xml:space="preserve">gricultural </w:t>
      </w:r>
      <w:r w:rsidR="00CC3B1C" w:rsidRPr="004568A2">
        <w:t>r</w:t>
      </w:r>
      <w:r w:rsidRPr="004568A2">
        <w:t xml:space="preserve">esidual </w:t>
      </w:r>
      <w:r w:rsidR="00CC3B1C" w:rsidRPr="004568A2">
        <w:t>b</w:t>
      </w:r>
      <w:r w:rsidRPr="004568A2">
        <w:t>iomass (</w:t>
      </w:r>
      <w:r w:rsidR="00CC3B1C" w:rsidRPr="004568A2">
        <w:t>c</w:t>
      </w:r>
      <w:r w:rsidRPr="004568A2">
        <w:t xml:space="preserve">ereal </w:t>
      </w:r>
      <w:r w:rsidR="00CC3B1C" w:rsidRPr="004568A2">
        <w:t>s</w:t>
      </w:r>
      <w:r w:rsidRPr="004568A2">
        <w:t xml:space="preserve">traws, </w:t>
      </w:r>
      <w:r w:rsidR="00CC3B1C" w:rsidRPr="004568A2">
        <w:t>p</w:t>
      </w:r>
      <w:r w:rsidRPr="004568A2">
        <w:t xml:space="preserve">runing from fruit trees), </w:t>
      </w:r>
      <w:r w:rsidR="00CC3B1C" w:rsidRPr="004568A2">
        <w:t>r</w:t>
      </w:r>
      <w:r w:rsidRPr="004568A2">
        <w:t xml:space="preserve">esidues deriving from the forestry sector, </w:t>
      </w:r>
      <w:r w:rsidR="00CC3B1C" w:rsidRPr="004568A2">
        <w:t>w</w:t>
      </w:r>
      <w:r w:rsidRPr="004568A2">
        <w:t xml:space="preserve">astes and </w:t>
      </w:r>
      <w:r w:rsidR="00CC3B1C" w:rsidRPr="004568A2">
        <w:t>b</w:t>
      </w:r>
      <w:r w:rsidRPr="004568A2">
        <w:t xml:space="preserve">y-products (Organic Fraction of Municipal Solid Waste (OFMSW). </w:t>
      </w:r>
      <w:r w:rsidR="00011FAE" w:rsidRPr="004568A2">
        <w:t>Furthermore,</w:t>
      </w:r>
      <w:r w:rsidRPr="004568A2">
        <w:t xml:space="preserve"> the availability of Used Cooking Oil</w:t>
      </w:r>
      <w:r w:rsidR="00AB4189" w:rsidRPr="004568A2">
        <w:t xml:space="preserve"> (UCO)</w:t>
      </w:r>
      <w:r w:rsidRPr="004568A2">
        <w:t xml:space="preserve"> and </w:t>
      </w:r>
      <w:r w:rsidR="00AB4189" w:rsidRPr="004568A2">
        <w:t>m</w:t>
      </w:r>
      <w:r w:rsidRPr="004568A2">
        <w:t>anure from livestock farms too</w:t>
      </w:r>
      <w:r w:rsidR="00AB4189" w:rsidRPr="004568A2">
        <w:t xml:space="preserve"> were assessed</w:t>
      </w:r>
      <w:r w:rsidRPr="004568A2">
        <w:t>. To calculate the bioenergy potential in Italy, the biomasses will be grouped into similar categories (e.g. lignocellulosics, organic wastes, etc.) and merged at a regional scale</w:t>
      </w:r>
      <w:r w:rsidR="002B15B8" w:rsidRPr="004568A2">
        <w:t>.</w:t>
      </w:r>
      <w:r w:rsidR="00962E6A" w:rsidRPr="004568A2">
        <w:t xml:space="preserve"> </w:t>
      </w:r>
      <w:r w:rsidRPr="004568A2">
        <w:tab/>
      </w:r>
      <w:r w:rsidR="00FF2412" w:rsidRPr="004568A2">
        <w:t>For the a</w:t>
      </w:r>
      <w:r w:rsidR="00962E6A" w:rsidRPr="004568A2">
        <w:t xml:space="preserve">gricultural </w:t>
      </w:r>
      <w:r w:rsidR="00FF2412" w:rsidRPr="004568A2">
        <w:t>r</w:t>
      </w:r>
      <w:r w:rsidR="00962E6A" w:rsidRPr="004568A2">
        <w:t xml:space="preserve">esidual </w:t>
      </w:r>
      <w:r w:rsidR="00FF2412" w:rsidRPr="004568A2">
        <w:t>b</w:t>
      </w:r>
      <w:r w:rsidR="00962E6A" w:rsidRPr="004568A2">
        <w:t xml:space="preserve">iomass: </w:t>
      </w:r>
      <w:r w:rsidRPr="004568A2">
        <w:t xml:space="preserve">both the theoretical and the technical potential will be evaluated. The theoretical potential will be calculated according to the following formula: </w:t>
      </w:r>
    </w:p>
    <w:tbl>
      <w:tblPr>
        <w:tblW w:w="5000" w:type="pct"/>
        <w:tblLook w:val="04A0" w:firstRow="1" w:lastRow="0" w:firstColumn="1" w:lastColumn="0" w:noHBand="0" w:noVBand="1"/>
      </w:tblPr>
      <w:tblGrid>
        <w:gridCol w:w="7986"/>
        <w:gridCol w:w="801"/>
      </w:tblGrid>
      <w:tr w:rsidR="00644275" w:rsidRPr="004568A2" w14:paraId="13004313" w14:textId="77777777" w:rsidTr="00B17E4A">
        <w:tc>
          <w:tcPr>
            <w:tcW w:w="7986" w:type="dxa"/>
            <w:shd w:val="clear" w:color="auto" w:fill="auto"/>
            <w:vAlign w:val="center"/>
          </w:tcPr>
          <w:p w14:paraId="3D31BD41" w14:textId="6EE6B0E9" w:rsidR="00644275" w:rsidRPr="004568A2" w:rsidRDefault="00644275" w:rsidP="00B17E4A">
            <w:pPr>
              <w:pStyle w:val="CETEquation"/>
              <w:keepNext/>
            </w:pPr>
            <w:r w:rsidRPr="004568A2">
              <w:rPr>
                <w:sz w:val="16"/>
                <w:szCs w:val="18"/>
              </w:rPr>
              <w:t>Theoretical Potential = (Harvested Production) * (Residue</w:t>
            </w:r>
            <w:r w:rsidR="001E2F23" w:rsidRPr="004568A2">
              <w:rPr>
                <w:sz w:val="16"/>
                <w:szCs w:val="18"/>
              </w:rPr>
              <w:t>-</w:t>
            </w:r>
            <w:r w:rsidRPr="004568A2">
              <w:rPr>
                <w:sz w:val="16"/>
                <w:szCs w:val="18"/>
              </w:rPr>
              <w:t>to</w:t>
            </w:r>
            <w:r w:rsidR="001E2F23" w:rsidRPr="004568A2">
              <w:rPr>
                <w:sz w:val="16"/>
                <w:szCs w:val="18"/>
              </w:rPr>
              <w:t>-</w:t>
            </w:r>
            <w:r w:rsidRPr="004568A2">
              <w:rPr>
                <w:sz w:val="16"/>
                <w:szCs w:val="18"/>
              </w:rPr>
              <w:t>product ratios) * (1 – (Moisture / 100)</w:t>
            </w:r>
          </w:p>
        </w:tc>
        <w:tc>
          <w:tcPr>
            <w:tcW w:w="801" w:type="dxa"/>
            <w:shd w:val="clear" w:color="auto" w:fill="auto"/>
            <w:vAlign w:val="center"/>
          </w:tcPr>
          <w:p w14:paraId="3836379D" w14:textId="77777777" w:rsidR="00644275" w:rsidRPr="004568A2" w:rsidRDefault="00644275" w:rsidP="00B17E4A">
            <w:pPr>
              <w:pStyle w:val="CETEquation"/>
              <w:keepNext/>
              <w:jc w:val="right"/>
            </w:pPr>
            <w:r w:rsidRPr="004568A2">
              <w:t>(1)</w:t>
            </w:r>
          </w:p>
        </w:tc>
      </w:tr>
    </w:tbl>
    <w:p w14:paraId="54EA6823" w14:textId="08DB5D29" w:rsidR="009A74B4" w:rsidRPr="004568A2" w:rsidRDefault="00217C7B" w:rsidP="00DB60BC">
      <w:pPr>
        <w:pStyle w:val="CETBodytext"/>
      </w:pPr>
      <w:r w:rsidRPr="004568A2">
        <w:t>Where Harvested Production is the mass of product harvested on the area under production, Residue</w:t>
      </w:r>
      <w:r w:rsidR="001E2F23" w:rsidRPr="004568A2">
        <w:t>-</w:t>
      </w:r>
      <w:r w:rsidRPr="004568A2">
        <w:t>to</w:t>
      </w:r>
      <w:r w:rsidR="001E2F23" w:rsidRPr="004568A2">
        <w:t>-</w:t>
      </w:r>
      <w:r w:rsidRPr="004568A2">
        <w:t>product ratios which is the ratio used to calculate how much unused crop residue might be left after harvesting a particular crop. The quantification of the technical potential, which represents the quantity of residues that can be collected, will be obtained by applying an availability coefficient, present in the literature.</w:t>
      </w:r>
      <w:r w:rsidR="003D2036" w:rsidRPr="004568A2">
        <w:t xml:space="preserve"> </w:t>
      </w:r>
      <w:r w:rsidR="00411025">
        <w:t>M</w:t>
      </w:r>
      <w:r w:rsidR="00DB60BC">
        <w:t>anure deriving from livestock farms was evaluated considering the regional distribution of livestock animals</w:t>
      </w:r>
      <w:r w:rsidR="00411025">
        <w:t xml:space="preserve"> (Scarlat et al., </w:t>
      </w:r>
      <w:r w:rsidR="00D8003A">
        <w:t>2018</w:t>
      </w:r>
      <w:r w:rsidR="00411025">
        <w:t>).</w:t>
      </w:r>
      <w:r w:rsidR="00411025" w:rsidRPr="004568A2" w:rsidDel="00E43B78">
        <w:t xml:space="preserve"> </w:t>
      </w:r>
    </w:p>
    <w:p w14:paraId="18BAFA6F" w14:textId="0EB4F054" w:rsidR="00453E24" w:rsidRPr="004568A2" w:rsidRDefault="000221D5" w:rsidP="00453E24">
      <w:pPr>
        <w:pStyle w:val="CETheadingx"/>
      </w:pPr>
      <w:r w:rsidRPr="004568A2">
        <w:t xml:space="preserve">Process superstructure </w:t>
      </w:r>
      <w:r w:rsidR="00787F49" w:rsidRPr="004568A2">
        <w:t>modelling</w:t>
      </w:r>
      <w:r w:rsidR="00B447B0" w:rsidRPr="004568A2">
        <w:t xml:space="preserve"> and optimization</w:t>
      </w:r>
    </w:p>
    <w:p w14:paraId="2B44C327" w14:textId="3B045A65" w:rsidR="00FF2412" w:rsidRPr="004568A2" w:rsidRDefault="0024544F" w:rsidP="00A61118">
      <w:pPr>
        <w:pStyle w:val="CETBodytext"/>
        <w:rPr>
          <w:lang w:val="en-GB"/>
        </w:rPr>
      </w:pPr>
      <w:r w:rsidRPr="004568A2">
        <w:rPr>
          <w:lang w:val="en-GB"/>
        </w:rPr>
        <w:t xml:space="preserve">The process superstructure proposed </w:t>
      </w:r>
      <w:r w:rsidR="00565261" w:rsidRPr="004568A2">
        <w:rPr>
          <w:lang w:val="en-GB"/>
        </w:rPr>
        <w:t xml:space="preserve">is shown in Figure 2, </w:t>
      </w:r>
      <w:r w:rsidR="0042520B" w:rsidRPr="004568A2">
        <w:rPr>
          <w:lang w:val="en-GB"/>
        </w:rPr>
        <w:t>fermentable</w:t>
      </w:r>
      <w:r w:rsidR="00857F1E" w:rsidRPr="004568A2">
        <w:rPr>
          <w:lang w:val="en-GB"/>
        </w:rPr>
        <w:t xml:space="preserve"> raw material was considered conver</w:t>
      </w:r>
      <w:r w:rsidR="00681AF3" w:rsidRPr="004568A2">
        <w:rPr>
          <w:lang w:val="en-GB"/>
        </w:rPr>
        <w:t>t</w:t>
      </w:r>
      <w:r w:rsidR="00857F1E" w:rsidRPr="004568A2">
        <w:rPr>
          <w:lang w:val="en-GB"/>
        </w:rPr>
        <w:t xml:space="preserve">ed </w:t>
      </w:r>
      <w:r w:rsidR="00E40DF1" w:rsidRPr="004568A2">
        <w:rPr>
          <w:lang w:val="en-GB"/>
        </w:rPr>
        <w:t>to biomethane</w:t>
      </w:r>
      <w:r w:rsidR="00857F1E" w:rsidRPr="004568A2">
        <w:rPr>
          <w:lang w:val="en-GB"/>
        </w:rPr>
        <w:t xml:space="preserve"> </w:t>
      </w:r>
      <w:r w:rsidR="00E40DF1" w:rsidRPr="004568A2">
        <w:rPr>
          <w:lang w:val="en-GB"/>
        </w:rPr>
        <w:t xml:space="preserve">by </w:t>
      </w:r>
      <w:r w:rsidR="0073748A" w:rsidRPr="004568A2">
        <w:rPr>
          <w:lang w:val="en-GB"/>
        </w:rPr>
        <w:t>anaerobic digestion</w:t>
      </w:r>
      <w:r w:rsidR="00E40DF1" w:rsidRPr="004568A2">
        <w:rPr>
          <w:lang w:val="en-GB"/>
        </w:rPr>
        <w:t xml:space="preserve"> and</w:t>
      </w:r>
      <w:r w:rsidR="002E482D" w:rsidRPr="004568A2">
        <w:rPr>
          <w:lang w:val="en-GB"/>
        </w:rPr>
        <w:t xml:space="preserve"> biogas upgrading processes</w:t>
      </w:r>
      <w:r w:rsidR="00D45DCB" w:rsidRPr="004568A2">
        <w:rPr>
          <w:lang w:val="en-GB"/>
        </w:rPr>
        <w:t xml:space="preserve"> </w:t>
      </w:r>
      <w:r w:rsidR="00D45DCB" w:rsidRPr="004568A2">
        <w:rPr>
          <w:lang w:val="en-GB"/>
        </w:rPr>
        <w:fldChar w:fldCharType="begin"/>
      </w:r>
      <w:r w:rsidR="00D45DCB" w:rsidRPr="004568A2">
        <w:rPr>
          <w:lang w:val="en-GB"/>
        </w:rPr>
        <w:instrText xml:space="preserve"> ADDIN ZOTERO_ITEM CSL_CITATION {"citationID":"ZanAFxGD","properties":{"formattedCitation":"(Scarlat et al., 2018)","plainCitation":"(Scarlat et al., 2018)","noteIndex":0},"citationItems":[{"id":4529,"uris":["http://zotero.org/users/10649518/items/N7Z3YCUM"],"itemData":{"id":4529,"type":"article-journal","abstract":"Anaerobic digestion is increasingly used worldwide to generate energy from biogas, bringing signiﬁcant economic and environmental beneﬁts. In particular, in the European Union (EU), biogas can contribute signiﬁcantly in several countries to reach the renewable energy targets. This study provides an assessment of the spatial distribution of the biogas potential of farm manure from livestock and poultry in Europe, which is a key issue for the location and economic performances of a bioenergy plant. Biogas estimates provided in this study are computed through a spatial analysis algorithm that uses data of livestock and poultry, manure production and collection, leading to the evaluation of the spatial distribution of biogas potential at 1 km spatial resolution. Following this analysis, the theoretical biogas potential of manure was estimated at 26 billion m3 biomethane in Europe (23 billion m3 biomethane in the EU) and the realistic biogas potential, counting on collectible manure, was assessed at 18 billion m3 biomethane in Europe (16 billion m3 biomethane in the EU). Several maps provide the suitable locations and capacity of manure-based biogas plants in two diﬀerent scenarios. Between 13,866 and 19,482 biogas plants could be built in Europe, with a total installed capacity between 6144 MWe and 7145 MWe, and an average capacity between 315 kWe and 515 kWe.","container-title":"Renewable and Sustainable Energy Reviews","DOI":"10.1016/j.rser.2018.06.035","ISSN":"13640321","journalAbbreviation":"Renewable and Sustainable Energy Reviews","language":"en","page":"915-930","source":"DOI.org (Crossref)","title":"A spatial analysis of biogas potential from manure in Europe","volume":"94","author":[{"family":"Scarlat","given":"Nicolae"},{"family":"Fahl","given":"Fernando"},{"family":"Dallemand","given":"Jean-François"},{"family":"Monforti","given":"Fabio"},{"family":"Motola","given":"Vicenzo"}],"issued":{"date-parts":[["2018",10]]}}}],"schema":"https://github.com/citation-style-language/schema/raw/master/csl-citation.json"} </w:instrText>
      </w:r>
      <w:r w:rsidR="00D45DCB" w:rsidRPr="004568A2">
        <w:rPr>
          <w:lang w:val="en-GB"/>
        </w:rPr>
        <w:fldChar w:fldCharType="separate"/>
      </w:r>
      <w:r w:rsidR="00D45DCB" w:rsidRPr="004568A2">
        <w:rPr>
          <w:rFonts w:cs="Arial"/>
        </w:rPr>
        <w:t>(Scarlat et al., 2018)</w:t>
      </w:r>
      <w:r w:rsidR="00D45DCB" w:rsidRPr="004568A2">
        <w:rPr>
          <w:lang w:val="en-GB"/>
        </w:rPr>
        <w:fldChar w:fldCharType="end"/>
      </w:r>
      <w:r w:rsidR="002E482D" w:rsidRPr="004568A2">
        <w:rPr>
          <w:lang w:val="en-GB"/>
        </w:rPr>
        <w:t xml:space="preserve">. </w:t>
      </w:r>
      <w:r w:rsidR="00110C9F" w:rsidRPr="004568A2">
        <w:rPr>
          <w:lang w:val="en-GB"/>
        </w:rPr>
        <w:t>Produced methane can be used as a feedstock for a steam reforming (SR) reactor</w:t>
      </w:r>
      <w:r w:rsidR="00075B17" w:rsidRPr="004568A2">
        <w:rPr>
          <w:lang w:val="en-GB"/>
        </w:rPr>
        <w:t xml:space="preserve"> producing syngas with a H</w:t>
      </w:r>
      <w:r w:rsidR="00075B17" w:rsidRPr="004568A2">
        <w:rPr>
          <w:vertAlign w:val="subscript"/>
          <w:lang w:val="en-GB"/>
        </w:rPr>
        <w:t>2</w:t>
      </w:r>
      <w:r w:rsidR="00075B17" w:rsidRPr="004568A2">
        <w:rPr>
          <w:lang w:val="en-GB"/>
        </w:rPr>
        <w:t xml:space="preserve">/CO ratio equal to 3. </w:t>
      </w:r>
      <w:r w:rsidR="002900F6" w:rsidRPr="004568A2">
        <w:rPr>
          <w:lang w:val="en-GB"/>
        </w:rPr>
        <w:t>Syngas with a H</w:t>
      </w:r>
      <w:r w:rsidR="002900F6" w:rsidRPr="004568A2">
        <w:rPr>
          <w:vertAlign w:val="subscript"/>
          <w:lang w:val="en-GB"/>
        </w:rPr>
        <w:t>2</w:t>
      </w:r>
      <w:r w:rsidR="002900F6" w:rsidRPr="004568A2">
        <w:rPr>
          <w:lang w:val="en-GB"/>
        </w:rPr>
        <w:t>/CO</w:t>
      </w:r>
      <w:r w:rsidR="00853ADC" w:rsidRPr="004568A2">
        <w:rPr>
          <w:lang w:val="en-GB"/>
        </w:rPr>
        <w:t>/CO</w:t>
      </w:r>
      <w:r w:rsidR="00853ADC" w:rsidRPr="004568A2">
        <w:rPr>
          <w:vertAlign w:val="subscript"/>
          <w:lang w:val="en-GB"/>
        </w:rPr>
        <w:t>2</w:t>
      </w:r>
      <w:r w:rsidR="00853ADC" w:rsidRPr="004568A2">
        <w:rPr>
          <w:lang w:val="en-GB"/>
        </w:rPr>
        <w:t xml:space="preserve"> composition of 1/1/1 can be obtained by lignocellulosic biomass gasification</w:t>
      </w:r>
      <w:r w:rsidR="00CB6F3B" w:rsidRPr="004568A2">
        <w:rPr>
          <w:lang w:val="en-GB"/>
        </w:rPr>
        <w:t>, that can be sent to three possible syngas conversion processes: Synthe</w:t>
      </w:r>
      <w:r w:rsidR="0097195B" w:rsidRPr="004568A2">
        <w:rPr>
          <w:lang w:val="en-GB"/>
        </w:rPr>
        <w:t>tic Natural Gas (SNG) synthesis, methanol synthesis o</w:t>
      </w:r>
      <w:r w:rsidR="005B3339" w:rsidRPr="004568A2">
        <w:rPr>
          <w:lang w:val="en-GB"/>
        </w:rPr>
        <w:t>r</w:t>
      </w:r>
      <w:r w:rsidR="0097195B" w:rsidRPr="004568A2">
        <w:rPr>
          <w:lang w:val="en-GB"/>
        </w:rPr>
        <w:t xml:space="preserve"> syngas fermentation, producing methane, </w:t>
      </w:r>
      <w:r w:rsidR="00CB7D0E" w:rsidRPr="004568A2">
        <w:rPr>
          <w:lang w:val="en-GB"/>
        </w:rPr>
        <w:t xml:space="preserve">methanol or ethanol respectively. Methanol was considered as </w:t>
      </w:r>
      <w:r w:rsidR="00E75933" w:rsidRPr="004568A2">
        <w:rPr>
          <w:lang w:val="en-GB"/>
        </w:rPr>
        <w:t xml:space="preserve">reactant into the oil transesterification reactor </w:t>
      </w:r>
      <w:r w:rsidR="00E22C36" w:rsidRPr="004568A2">
        <w:rPr>
          <w:lang w:val="en-GB"/>
        </w:rPr>
        <w:t>producing Fatty Acid Methyl Esters (FAME)</w:t>
      </w:r>
      <w:r w:rsidR="00015A87" w:rsidRPr="004568A2">
        <w:rPr>
          <w:lang w:val="en-GB"/>
        </w:rPr>
        <w:t xml:space="preserve"> </w:t>
      </w:r>
      <w:r w:rsidR="00015A87" w:rsidRPr="004568A2">
        <w:rPr>
          <w:lang w:val="en-GB"/>
        </w:rPr>
        <w:fldChar w:fldCharType="begin"/>
      </w:r>
      <w:r w:rsidR="00015A87" w:rsidRPr="004568A2">
        <w:rPr>
          <w:lang w:val="en-GB"/>
        </w:rPr>
        <w:instrText xml:space="preserve"> ADDIN ZOTERO_ITEM CSL_CITATION {"citationID":"6At7P2aQ","properties":{"formattedCitation":"(Castellini et al., 2021)","plainCitation":"(Castellini et al., 2021)","noteIndex":0},"citationItems":[{"id":5,"uris":["http://zotero.org/users/10649518/items/Z4T27894"],"itemData":{"id":5,"type":"article-journal","abstract":"Today one of the most interesting ways to produce biodiesel is based on the use of oleaginous microorganisms, which can accumulate microbial oil with a composition similar to vegetable oils. In this paper, we present a thermo-chemical numerical model of the yeast biodiesel production process, considering cardoon stalks as raw material. The simulation is performed subdividing the process into the following sections: steam explosion pre-treatment, enzymatic hydrolysis, lipid production, lipid extraction, and alkali-catalyzed transesteriﬁcation. Numerical results show that 406.4 t of biodiesel can be produced starting from 10,000 t of lignocellulosic biomass. An economic analysis indicates a biodiesel production cost of 12.8 USD/kg, thus suggesting the need to increase the capacity plant and the lipid yield to make the project economically attractive. In this regard, a sensitivity analysis is also performed considering an ideal lipid yield of 22% and 100,000 t of lignocellulosic biomass. The biodiesel production costs related to these new scenarios are 7.88 and 5.91 USD/kg, respectively. The large capacity plant combined with a great lipid yield in the fermentation stage shows a biodiesel production cost of 3.63 USD/kg making the product competitive on the current market of biofuels by microbial oil.","container-title":"Energies","DOI":"10.3390/en14051473","ISSN":"1996-1073","issue":"5","journalAbbreviation":"Energies","language":"en","page":"1473","source":"DOI.org (Crossref)","title":"Techno-Economic Analysis of Biodiesel Production from Microbial Oil Using Cardoon Stalks as Carbon Source","volume":"14","author":[{"family":"Castellini","given":"Marco"},{"family":"Ubertini","given":"Stefano"},{"family":"Barletta","given":"Diego"},{"family":"Baffo","given":"Ilaria"},{"family":"Buzzini","given":"Pietro"},{"family":"Barbanera","given":"Marco"}],"issued":{"date-parts":[["2021",3,8]]}}}],"schema":"https://github.com/citation-style-language/schema/raw/master/csl-citation.json"} </w:instrText>
      </w:r>
      <w:r w:rsidR="00015A87" w:rsidRPr="004568A2">
        <w:rPr>
          <w:lang w:val="en-GB"/>
        </w:rPr>
        <w:fldChar w:fldCharType="separate"/>
      </w:r>
      <w:r w:rsidR="00015A87" w:rsidRPr="004568A2">
        <w:rPr>
          <w:rFonts w:cs="Arial"/>
        </w:rPr>
        <w:t>(Castellini et al., 2021)</w:t>
      </w:r>
      <w:r w:rsidR="00015A87" w:rsidRPr="004568A2">
        <w:rPr>
          <w:lang w:val="en-GB"/>
        </w:rPr>
        <w:fldChar w:fldCharType="end"/>
      </w:r>
      <w:r w:rsidR="00E22C36" w:rsidRPr="004568A2">
        <w:rPr>
          <w:lang w:val="en-GB"/>
        </w:rPr>
        <w:t xml:space="preserve"> </w:t>
      </w:r>
      <w:r w:rsidR="00B074FA" w:rsidRPr="004568A2">
        <w:rPr>
          <w:lang w:val="en-GB"/>
        </w:rPr>
        <w:t xml:space="preserve">or to be converted to DyMethyl Ester (DME). </w:t>
      </w:r>
      <w:r w:rsidR="00ED0993" w:rsidRPr="004568A2">
        <w:rPr>
          <w:lang w:val="en-GB"/>
        </w:rPr>
        <w:t>Lignocellulosic biomass could be valorized also by the 2</w:t>
      </w:r>
      <w:r w:rsidR="00ED0993" w:rsidRPr="004568A2">
        <w:rPr>
          <w:vertAlign w:val="superscript"/>
          <w:lang w:val="en-GB"/>
        </w:rPr>
        <w:t>nd</w:t>
      </w:r>
      <w:r w:rsidR="00ED0993" w:rsidRPr="004568A2">
        <w:rPr>
          <w:lang w:val="en-GB"/>
        </w:rPr>
        <w:t xml:space="preserve"> generation sugars platform (e.g. steam explosion pretreatment, enzymatic hydrolysis and alcoholic fermentation) producing ethanol. The mixed ethanol stream was considered upgraded by an Alcohol-to-Diesel (AtD) process </w:t>
      </w:r>
      <w:r w:rsidR="00ED0993" w:rsidRPr="004568A2">
        <w:rPr>
          <w:lang w:val="en-GB"/>
        </w:rPr>
        <w:fldChar w:fldCharType="begin"/>
      </w:r>
      <w:r w:rsidR="00ED0993" w:rsidRPr="004568A2">
        <w:rPr>
          <w:lang w:val="en-GB"/>
        </w:rPr>
        <w:instrText xml:space="preserve"> ADDIN ZOTERO_ITEM CSL_CITATION {"citationID":"bU3X9oPw","properties":{"formattedCitation":"(Restrepo-Fl\\uc0\\u243{}rez et al., 2023)","plainCitation":"(Restrepo-Flórez et al., 2023)","noteIndex":0},"citationItems":[{"id":4530,"uris":["http://zotero.org/users/10649518/items/DI638ZVZ"],"itemData":{"id":4530,"type":"article-journal","abstract":"Ethanol is catalytically upgraded to diesel.\n          , \n            \n              The combustion of middle distillates (diesel and jet fuel) is responsible for the emission of more than 2 GTon of CO\n              2\n              per year worldwide. While sustainable alternatives exist for gasoline and jet fuel, we still lack sustainable alternatives for diesel. This fact is especially relevant if we consider that electrification of sectors where diesel is used is challenging. One sustainable approach for diesel production is the catalytic upgrading of ethanol. While most work in this field has focused on the dehydration/oligomerization of ethanol, this approach is limited to producing fuels that have a high degree of branching and low cetane number. Another approach is the sequential use of ethanol Guerbet coupling, leading to higher alcohols, followed by etherification, leading to large ethers which, importantly, result in a product with high cetane number. In this work, we explore the catalytic upgrading of ethanol into diesel following an approach based on the initial Guerbet coupling of ethanol followed by etherification. The results presented are a collaborative and synergic effort among process and systems engineers, experimentalist in the area of catalysis, and fuel property modelers. We demonstrate experimentally the feasibility of upgrading ethanol into a diesel fuel with properties that surpass its fossil counterpart. The diesel produced has a predicted cetane number of </w:instrText>
      </w:r>
      <w:r w:rsidR="00ED0993" w:rsidRPr="004568A2">
        <w:rPr>
          <w:rFonts w:ascii="Cambria Math" w:hAnsi="Cambria Math" w:cs="Cambria Math"/>
          <w:lang w:val="en-GB"/>
        </w:rPr>
        <w:instrText>∼</w:instrText>
      </w:r>
      <w:r w:rsidR="00ED0993" w:rsidRPr="004568A2">
        <w:rPr>
          <w:lang w:val="en-GB"/>
        </w:rPr>
        <w:instrText xml:space="preserve">70 and outstanding cold flow properties, while maintaining other properties (viscosity, density, and flash point) within expected ranges. A technoeconomic analysis performed based on a detailed biorefinery model shows that the MFSP is </w:instrText>
      </w:r>
      <w:r w:rsidR="00ED0993" w:rsidRPr="004568A2">
        <w:rPr>
          <w:rFonts w:ascii="Cambria Math" w:hAnsi="Cambria Math" w:cs="Cambria Math"/>
          <w:lang w:val="en-GB"/>
        </w:rPr>
        <w:instrText>∼</w:instrText>
      </w:r>
      <w:r w:rsidR="00ED0993" w:rsidRPr="004568A2">
        <w:rPr>
          <w:lang w:val="en-GB"/>
        </w:rPr>
        <w:instrText xml:space="preserve">5.89$ per Gal in 2021 dollars when lignocellulosic ethanol is used, with the most relevant economic driver the cost of the ethanol feedstock. The upgrading process can be performed with a net energy gain (EROI = 1.49 &gt; 1). An LCA analysis of greenhouse gas (GHG) emissions reveals that the use of lignocellulosic ethanol may lead to more than 50% reduction in GHG emissions compared to fossil diesel. Depending on the CO\n              2\n              emissions associated with the production of ethanol we show that in some instances the production of carbon neutral diesel fuel is possible.","container-title":"Sustainable Energy &amp; Fuels","DOI":"10.1039/D2SE01377K","ISSN":"2398-4902","issue":"3","journalAbbreviation":"Sustainable Energy Fuels","language":"en","page":"693-707","source":"DOI.org (Crossref)","title":"Ethanol to diesel: a sustainable alternative for the heavy-duty transportation sector","title-short":"Ethanol to diesel","volume":"7","author":[{"family":"Restrepo-Flórez","given":"Juan-Manuel"},{"family":"Cuello-Penaloza","given":"Paolo"},{"family":"Canales","given":"Emmanuel"},{"family":"Witkowski","given":"Dustin"},{"family":"Rothamer","given":"David A."},{"family":"Huber","given":"George W."},{"family":"Maravelias","given":"Christos T."}],"issued":{"date-parts":[["2023"]]}}}],"schema":"https://github.com/citation-style-language/schema/raw/master/csl-citation.json"} </w:instrText>
      </w:r>
      <w:r w:rsidR="00ED0993" w:rsidRPr="004568A2">
        <w:rPr>
          <w:lang w:val="en-GB"/>
        </w:rPr>
        <w:fldChar w:fldCharType="separate"/>
      </w:r>
      <w:r w:rsidR="00ED0993" w:rsidRPr="004568A2">
        <w:rPr>
          <w:rFonts w:cs="Arial"/>
        </w:rPr>
        <w:t>(Restrepo-Flórez et al., 2023)</w:t>
      </w:r>
      <w:r w:rsidR="00ED0993" w:rsidRPr="004568A2">
        <w:rPr>
          <w:lang w:val="en-GB"/>
        </w:rPr>
        <w:fldChar w:fldCharType="end"/>
      </w:r>
      <w:r w:rsidR="00ED0993" w:rsidRPr="004568A2">
        <w:rPr>
          <w:lang w:val="en-GB"/>
        </w:rPr>
        <w:t>, obtaining a biodiesel blend by mixing with FAME.</w:t>
      </w:r>
    </w:p>
    <w:p w14:paraId="5F2DA6E3" w14:textId="77777777" w:rsidR="00315A98" w:rsidRDefault="00315A98" w:rsidP="00315A98">
      <w:pPr>
        <w:pStyle w:val="CETBodytext"/>
        <w:rPr>
          <w:rStyle w:val="CETCaptionCarattere"/>
          <w:i w:val="0"/>
        </w:rPr>
      </w:pPr>
      <w:r>
        <w:rPr>
          <w:rStyle w:val="CETCaptionCarattere"/>
          <w:i w:val="0"/>
          <w:noProof/>
        </w:rPr>
        <w:drawing>
          <wp:inline distT="0" distB="0" distL="0" distR="0" wp14:anchorId="39E2ADB7" wp14:editId="482F0A57">
            <wp:extent cx="5529154" cy="635000"/>
            <wp:effectExtent l="0" t="0" r="0" b="0"/>
            <wp:docPr id="1758689370" name="Immagine 2" descr="Immagine che contiene testo, schermat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89370" name="Immagine 2" descr="Immagine che contiene testo, schermata, Carattere, Elementi grafici&#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8812" cy="645297"/>
                    </a:xfrm>
                    <a:prstGeom prst="rect">
                      <a:avLst/>
                    </a:prstGeom>
                    <a:noFill/>
                  </pic:spPr>
                </pic:pic>
              </a:graphicData>
            </a:graphic>
          </wp:inline>
        </w:drawing>
      </w:r>
    </w:p>
    <w:p w14:paraId="756835BE" w14:textId="77777777" w:rsidR="00315A98" w:rsidRPr="004568A2" w:rsidRDefault="00315A98" w:rsidP="00315A98">
      <w:pPr>
        <w:pStyle w:val="CETCaption"/>
        <w:rPr>
          <w:rStyle w:val="CETCaptionCarattere"/>
        </w:rPr>
      </w:pPr>
      <w:r w:rsidRPr="004568A2">
        <w:rPr>
          <w:rStyle w:val="CETCaptionCarattere"/>
          <w:i/>
        </w:rPr>
        <w:t>Figure 1: Data flow from input to final objective for the local valorization of bioresources</w:t>
      </w:r>
    </w:p>
    <w:p w14:paraId="582642C6" w14:textId="6A812318" w:rsidR="00453E24" w:rsidRPr="004568A2" w:rsidRDefault="0078469D" w:rsidP="00A61118">
      <w:pPr>
        <w:pStyle w:val="CETBodytext"/>
        <w:rPr>
          <w:lang w:val="en-GB"/>
        </w:rPr>
      </w:pPr>
      <w:r w:rsidRPr="004568A2">
        <w:rPr>
          <w:lang w:val="en-GB"/>
        </w:rPr>
        <w:lastRenderedPageBreak/>
        <w:t xml:space="preserve">Each conversion process was modelled </w:t>
      </w:r>
      <w:r w:rsidR="00866F28" w:rsidRPr="004568A2">
        <w:rPr>
          <w:lang w:val="en-GB"/>
        </w:rPr>
        <w:t xml:space="preserve">by linear or Non-linear </w:t>
      </w:r>
      <w:r w:rsidR="00F3052C" w:rsidRPr="004568A2">
        <w:rPr>
          <w:lang w:val="en-GB"/>
        </w:rPr>
        <w:t>equations, in order to maximize</w:t>
      </w:r>
      <w:r w:rsidR="009D4860" w:rsidRPr="004568A2">
        <w:rPr>
          <w:lang w:val="en-GB"/>
        </w:rPr>
        <w:t xml:space="preserve"> </w:t>
      </w:r>
      <w:r w:rsidR="00471BA7" w:rsidRPr="004568A2">
        <w:rPr>
          <w:lang w:val="en-GB"/>
        </w:rPr>
        <w:t>two</w:t>
      </w:r>
      <w:r w:rsidR="00927E63">
        <w:rPr>
          <w:lang w:val="en-GB"/>
        </w:rPr>
        <w:t xml:space="preserve"> original</w:t>
      </w:r>
      <w:r w:rsidR="00471BA7" w:rsidRPr="004568A2">
        <w:rPr>
          <w:lang w:val="en-GB"/>
        </w:rPr>
        <w:t xml:space="preserve"> alternative objective functions</w:t>
      </w:r>
      <w:r w:rsidR="00A117E9" w:rsidRPr="004568A2">
        <w:rPr>
          <w:lang w:val="en-GB"/>
        </w:rPr>
        <w:t xml:space="preserve"> (</w:t>
      </w:r>
      <w:r w:rsidR="00A117E9" w:rsidRPr="004568A2">
        <w:rPr>
          <w:i/>
          <w:iCs/>
          <w:lang w:val="en-GB"/>
        </w:rPr>
        <w:t>OF</w:t>
      </w:r>
      <w:r w:rsidR="00A117E9" w:rsidRPr="004568A2">
        <w:rPr>
          <w:lang w:val="en-GB"/>
        </w:rPr>
        <w:t>)</w:t>
      </w:r>
      <w:r w:rsidR="00471BA7" w:rsidRPr="004568A2">
        <w:rPr>
          <w:lang w:val="en-GB"/>
        </w:rPr>
        <w:t>: the regional production of biofuels</w:t>
      </w:r>
      <w:r w:rsidR="002F3C19" w:rsidRPr="004568A2">
        <w:rPr>
          <w:lang w:val="en-GB"/>
        </w:rPr>
        <w:t xml:space="preserve"> (in GJ/y) or</w:t>
      </w:r>
      <w:r w:rsidR="00F3052C" w:rsidRPr="004568A2">
        <w:rPr>
          <w:lang w:val="en-GB"/>
        </w:rPr>
        <w:t xml:space="preserve"> the percentage of </w:t>
      </w:r>
      <w:r w:rsidR="00841494" w:rsidRPr="004568A2">
        <w:rPr>
          <w:lang w:val="en-GB"/>
        </w:rPr>
        <w:t>covered biofuel regional demand</w:t>
      </w:r>
      <w:r w:rsidR="002F3C19" w:rsidRPr="004568A2">
        <w:rPr>
          <w:lang w:val="en-GB"/>
        </w:rPr>
        <w:t>.</w:t>
      </w:r>
    </w:p>
    <w:tbl>
      <w:tblPr>
        <w:tblW w:w="5000" w:type="pct"/>
        <w:tblLook w:val="04A0" w:firstRow="1" w:lastRow="0" w:firstColumn="1" w:lastColumn="0" w:noHBand="0" w:noVBand="1"/>
      </w:tblPr>
      <w:tblGrid>
        <w:gridCol w:w="7986"/>
        <w:gridCol w:w="801"/>
      </w:tblGrid>
      <w:tr w:rsidR="002F3C19" w:rsidRPr="004568A2" w14:paraId="003819D5" w14:textId="77777777" w:rsidTr="00E70D0A">
        <w:tc>
          <w:tcPr>
            <w:tcW w:w="7986" w:type="dxa"/>
            <w:shd w:val="clear" w:color="auto" w:fill="auto"/>
            <w:vAlign w:val="center"/>
          </w:tcPr>
          <w:p w14:paraId="66295D2D" w14:textId="1D142A6A" w:rsidR="002F3C19" w:rsidRPr="004568A2" w:rsidRDefault="002F3C19" w:rsidP="009A74B4">
            <w:pPr>
              <w:pStyle w:val="CETEquation"/>
              <w:keepNext/>
            </w:pPr>
            <m:oMathPara>
              <m:oMathParaPr>
                <m:jc m:val="left"/>
              </m:oMathParaPr>
              <m:oMath>
                <m:r>
                  <w:rPr>
                    <w:rFonts w:ascii="Cambria Math" w:hAnsi="Cambria Math"/>
                  </w:rPr>
                  <m:t>Max Z'=</m:t>
                </m:r>
                <m:nary>
                  <m:naryPr>
                    <m:chr m:val="∑"/>
                    <m:limLoc m:val="undOvr"/>
                    <m:supHide m:val="1"/>
                    <m:ctrlPr>
                      <w:rPr>
                        <w:rFonts w:ascii="Cambria Math" w:hAnsi="Cambria Math"/>
                        <w:i/>
                      </w:rPr>
                    </m:ctrlPr>
                  </m:naryPr>
                  <m:sub>
                    <m:r>
                      <w:rPr>
                        <w:rFonts w:ascii="Cambria Math" w:hAnsi="Cambria Math"/>
                      </w:rPr>
                      <m:t>r</m:t>
                    </m:r>
                  </m:sub>
                  <m:sup/>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LHV</m:t>
                            </m:r>
                          </m:e>
                          <m:sub>
                            <m:r>
                              <w:rPr>
                                <w:rFonts w:ascii="Cambria Math" w:hAnsi="Cambria Math"/>
                              </w:rPr>
                              <m:t>tot,r,i</m:t>
                            </m:r>
                          </m:sub>
                        </m:sSub>
                      </m:e>
                    </m:nary>
                  </m:e>
                </m:nary>
              </m:oMath>
            </m:oMathPara>
          </w:p>
        </w:tc>
        <w:tc>
          <w:tcPr>
            <w:tcW w:w="801" w:type="dxa"/>
            <w:shd w:val="clear" w:color="auto" w:fill="auto"/>
            <w:vAlign w:val="center"/>
          </w:tcPr>
          <w:p w14:paraId="5BE8775D" w14:textId="2E5A1B75" w:rsidR="002F3C19" w:rsidRPr="004568A2" w:rsidRDefault="00654CBA" w:rsidP="009A74B4">
            <w:pPr>
              <w:pStyle w:val="CETEquation"/>
              <w:keepNext/>
              <w:jc w:val="right"/>
            </w:pPr>
            <w:r w:rsidRPr="004568A2">
              <w:t>(</w:t>
            </w:r>
            <w:r w:rsidR="004E4787" w:rsidRPr="004568A2">
              <w:t>2</w:t>
            </w:r>
            <w:r w:rsidRPr="004568A2">
              <w:t>)</w:t>
            </w:r>
          </w:p>
        </w:tc>
      </w:tr>
      <w:tr w:rsidR="00E70D0A" w:rsidRPr="004568A2" w14:paraId="211D6E90" w14:textId="77777777" w:rsidTr="00E70D0A">
        <w:tc>
          <w:tcPr>
            <w:tcW w:w="7986" w:type="dxa"/>
            <w:shd w:val="clear" w:color="auto" w:fill="auto"/>
            <w:vAlign w:val="center"/>
          </w:tcPr>
          <w:p w14:paraId="41FE4765" w14:textId="61AE6DFE" w:rsidR="00E70D0A" w:rsidRPr="004568A2" w:rsidRDefault="000C28BF" w:rsidP="001F5722">
            <w:pPr>
              <w:pStyle w:val="CETEquation"/>
            </w:pPr>
            <m:oMathPara>
              <m:oMathParaPr>
                <m:jc m:val="left"/>
              </m:oMathParaPr>
              <m:oMath>
                <m:r>
                  <w:rPr>
                    <w:rFonts w:ascii="Cambria Math" w:hAnsi="Cambria Math"/>
                  </w:rPr>
                  <m:t>Max Z''=</m:t>
                </m:r>
                <m:nary>
                  <m:naryPr>
                    <m:chr m:val="∑"/>
                    <m:limLoc m:val="undOvr"/>
                    <m:supHide m:val="1"/>
                    <m:ctrlPr>
                      <w:rPr>
                        <w:rFonts w:ascii="Cambria Math" w:hAnsi="Cambria Math"/>
                        <w:i/>
                      </w:rPr>
                    </m:ctrlPr>
                  </m:naryPr>
                  <m:sub>
                    <m:r>
                      <w:rPr>
                        <w:rFonts w:ascii="Cambria Math" w:hAnsi="Cambria Math"/>
                      </w:rPr>
                      <m:t>r</m:t>
                    </m:r>
                  </m:sub>
                  <m:sup/>
                  <m:e>
                    <m:nary>
                      <m:naryPr>
                        <m:chr m:val="∑"/>
                        <m:limLoc m:val="undOvr"/>
                        <m:supHide m:val="1"/>
                        <m:ctrlPr>
                          <w:rPr>
                            <w:rFonts w:ascii="Cambria Math" w:hAnsi="Cambria Math"/>
                            <w:i/>
                          </w:rPr>
                        </m:ctrlPr>
                      </m:naryPr>
                      <m:sub>
                        <m:r>
                          <w:rPr>
                            <w:rFonts w:ascii="Cambria Math" w:hAnsi="Cambria Math"/>
                          </w:rPr>
                          <m:t>i</m:t>
                        </m:r>
                      </m:sub>
                      <m:sup/>
                      <m:e>
                        <m:f>
                          <m:fPr>
                            <m:ctrlPr>
                              <w:rPr>
                                <w:rFonts w:ascii="Cambria Math" w:hAnsi="Cambria Math"/>
                                <w:i/>
                              </w:rPr>
                            </m:ctrlPr>
                          </m:fPr>
                          <m:num>
                            <m:sSub>
                              <m:sSubPr>
                                <m:ctrlPr>
                                  <w:rPr>
                                    <w:rFonts w:ascii="Cambria Math" w:hAnsi="Cambria Math"/>
                                    <w:i/>
                                  </w:rPr>
                                </m:ctrlPr>
                              </m:sSubPr>
                              <m:e>
                                <m:r>
                                  <w:rPr>
                                    <w:rFonts w:ascii="Cambria Math" w:hAnsi="Cambria Math"/>
                                  </w:rPr>
                                  <m:t>LHV</m:t>
                                </m:r>
                              </m:e>
                              <m:sub>
                                <m:r>
                                  <w:rPr>
                                    <w:rFonts w:ascii="Cambria Math" w:hAnsi="Cambria Math"/>
                                  </w:rPr>
                                  <m:t>tot,r,i</m:t>
                                </m:r>
                              </m:sub>
                            </m:sSub>
                          </m:num>
                          <m:den>
                            <m:sSub>
                              <m:sSubPr>
                                <m:ctrlPr>
                                  <w:rPr>
                                    <w:rFonts w:ascii="Cambria Math" w:hAnsi="Cambria Math"/>
                                    <w:i/>
                                  </w:rPr>
                                </m:ctrlPr>
                              </m:sSubPr>
                              <m:e>
                                <m:r>
                                  <w:rPr>
                                    <w:rFonts w:ascii="Cambria Math" w:hAnsi="Cambria Math"/>
                                  </w:rPr>
                                  <m:t>RD</m:t>
                                </m:r>
                              </m:e>
                              <m:sub>
                                <m:r>
                                  <w:rPr>
                                    <w:rFonts w:ascii="Cambria Math" w:hAnsi="Cambria Math"/>
                                  </w:rPr>
                                  <m:t>r,i</m:t>
                                </m:r>
                              </m:sub>
                            </m:sSub>
                          </m:den>
                        </m:f>
                      </m:e>
                    </m:nary>
                  </m:e>
                </m:nary>
              </m:oMath>
            </m:oMathPara>
          </w:p>
        </w:tc>
        <w:tc>
          <w:tcPr>
            <w:tcW w:w="801" w:type="dxa"/>
            <w:shd w:val="clear" w:color="auto" w:fill="auto"/>
            <w:vAlign w:val="center"/>
          </w:tcPr>
          <w:p w14:paraId="5305D085" w14:textId="04167468" w:rsidR="00E70D0A" w:rsidRPr="004568A2" w:rsidRDefault="00E70D0A" w:rsidP="001F5722">
            <w:pPr>
              <w:pStyle w:val="CETEquation"/>
              <w:jc w:val="right"/>
            </w:pPr>
            <w:r w:rsidRPr="004568A2">
              <w:t>(</w:t>
            </w:r>
            <w:r w:rsidR="004E4787" w:rsidRPr="004568A2">
              <w:t>3</w:t>
            </w:r>
            <w:r w:rsidRPr="004568A2">
              <w:t>)</w:t>
            </w:r>
          </w:p>
        </w:tc>
      </w:tr>
    </w:tbl>
    <w:p w14:paraId="00C8532E" w14:textId="082EEF4E" w:rsidR="00E70D0A" w:rsidRPr="004568A2" w:rsidRDefault="00B63A42" w:rsidP="009A74B4">
      <w:pPr>
        <w:pStyle w:val="CETBodytext"/>
        <w:keepNext/>
        <w:rPr>
          <w:lang w:val="en-GB"/>
        </w:rPr>
      </w:pPr>
      <w:r w:rsidRPr="004568A2">
        <w:rPr>
          <w:lang w:val="en-GB"/>
        </w:rPr>
        <w:t xml:space="preserve">Where </w:t>
      </w:r>
      <w:r w:rsidR="00E968AF" w:rsidRPr="004568A2">
        <w:rPr>
          <w:i/>
          <w:iCs/>
          <w:lang w:val="en-GB"/>
        </w:rPr>
        <w:t>Z</w:t>
      </w:r>
      <w:r w:rsidR="00654CBA" w:rsidRPr="004568A2">
        <w:rPr>
          <w:i/>
          <w:iCs/>
          <w:lang w:val="en-GB"/>
        </w:rPr>
        <w:t xml:space="preserve">’ </w:t>
      </w:r>
      <w:r w:rsidR="00654CBA" w:rsidRPr="004568A2">
        <w:rPr>
          <w:lang w:val="en-GB"/>
        </w:rPr>
        <w:t>and</w:t>
      </w:r>
      <w:r w:rsidR="00654CBA" w:rsidRPr="004568A2">
        <w:rPr>
          <w:i/>
          <w:iCs/>
          <w:lang w:val="en-GB"/>
        </w:rPr>
        <w:t xml:space="preserve"> Z’’ are</w:t>
      </w:r>
      <w:r w:rsidR="00E968AF" w:rsidRPr="004568A2">
        <w:rPr>
          <w:lang w:val="en-GB"/>
        </w:rPr>
        <w:t xml:space="preserve"> the objective function</w:t>
      </w:r>
      <w:r w:rsidR="00654CBA" w:rsidRPr="004568A2">
        <w:rPr>
          <w:lang w:val="en-GB"/>
        </w:rPr>
        <w:t>s</w:t>
      </w:r>
      <w:r w:rsidR="00E968AF" w:rsidRPr="004568A2">
        <w:rPr>
          <w:lang w:val="en-GB"/>
        </w:rPr>
        <w:t xml:space="preserve"> to be maximized, </w:t>
      </w:r>
      <w:r w:rsidR="00E968AF" w:rsidRPr="004568A2">
        <w:rPr>
          <w:i/>
          <w:iCs/>
          <w:lang w:val="en-GB"/>
        </w:rPr>
        <w:t>r</w:t>
      </w:r>
      <w:r w:rsidR="00E968AF" w:rsidRPr="004568A2">
        <w:rPr>
          <w:lang w:val="en-GB"/>
        </w:rPr>
        <w:t xml:space="preserve"> is the Italian region, </w:t>
      </w:r>
      <w:r w:rsidR="00DB3BBD" w:rsidRPr="004568A2">
        <w:rPr>
          <w:i/>
          <w:iCs/>
          <w:lang w:val="en-GB"/>
        </w:rPr>
        <w:t>i</w:t>
      </w:r>
      <w:r w:rsidR="00BF3DA5" w:rsidRPr="004568A2">
        <w:rPr>
          <w:lang w:val="en-GB"/>
        </w:rPr>
        <w:t xml:space="preserve"> is the fuel (e.g. biomethane, biodiesel blend and DME), </w:t>
      </w:r>
      <w:r w:rsidR="007A14FE" w:rsidRPr="004568A2">
        <w:rPr>
          <w:i/>
          <w:iCs/>
          <w:lang w:val="en-GB"/>
        </w:rPr>
        <w:t>RD</w:t>
      </w:r>
      <w:r w:rsidR="00D65E26" w:rsidRPr="004568A2">
        <w:rPr>
          <w:i/>
          <w:iCs/>
          <w:vertAlign w:val="subscript"/>
          <w:lang w:val="en-GB"/>
        </w:rPr>
        <w:t>r,i</w:t>
      </w:r>
      <w:r w:rsidR="007A14FE" w:rsidRPr="004568A2">
        <w:rPr>
          <w:lang w:val="en-GB"/>
        </w:rPr>
        <w:t xml:space="preserve"> is the regional demand for each region </w:t>
      </w:r>
      <w:r w:rsidR="007A14FE" w:rsidRPr="004568A2">
        <w:rPr>
          <w:i/>
          <w:iCs/>
          <w:lang w:val="en-GB"/>
        </w:rPr>
        <w:t>r</w:t>
      </w:r>
      <w:r w:rsidR="007A14FE" w:rsidRPr="004568A2">
        <w:rPr>
          <w:lang w:val="en-GB"/>
        </w:rPr>
        <w:t xml:space="preserve"> and fuel </w:t>
      </w:r>
      <w:r w:rsidR="007A14FE" w:rsidRPr="004568A2">
        <w:rPr>
          <w:i/>
          <w:iCs/>
          <w:lang w:val="en-GB"/>
        </w:rPr>
        <w:t>i</w:t>
      </w:r>
      <w:r w:rsidR="007A14FE" w:rsidRPr="004568A2">
        <w:rPr>
          <w:lang w:val="en-GB"/>
        </w:rPr>
        <w:t xml:space="preserve"> in GJ/y, </w:t>
      </w:r>
      <w:r w:rsidR="007A14FE" w:rsidRPr="004568A2">
        <w:rPr>
          <w:i/>
          <w:iCs/>
          <w:lang w:val="en-GB"/>
        </w:rPr>
        <w:t>LHV</w:t>
      </w:r>
      <w:r w:rsidR="007417F6" w:rsidRPr="004568A2">
        <w:rPr>
          <w:i/>
          <w:iCs/>
          <w:vertAlign w:val="subscript"/>
          <w:lang w:val="en-GB"/>
        </w:rPr>
        <w:t>tot,</w:t>
      </w:r>
      <w:r w:rsidR="00D65E26" w:rsidRPr="004568A2">
        <w:rPr>
          <w:i/>
          <w:iCs/>
          <w:vertAlign w:val="subscript"/>
          <w:lang w:val="en-GB"/>
        </w:rPr>
        <w:t>r,i</w:t>
      </w:r>
      <w:r w:rsidR="007A14FE" w:rsidRPr="004568A2">
        <w:rPr>
          <w:lang w:val="en-GB"/>
        </w:rPr>
        <w:t xml:space="preserve"> is the Lower Heating Value</w:t>
      </w:r>
      <w:r w:rsidR="00D65E26" w:rsidRPr="004568A2">
        <w:rPr>
          <w:lang w:val="en-GB"/>
        </w:rPr>
        <w:t xml:space="preserve"> of producible biofuel </w:t>
      </w:r>
      <w:r w:rsidR="00DB3BBD" w:rsidRPr="004568A2">
        <w:rPr>
          <w:i/>
          <w:iCs/>
          <w:lang w:val="en-GB"/>
        </w:rPr>
        <w:t>i</w:t>
      </w:r>
      <w:r w:rsidR="00D65E26" w:rsidRPr="004568A2">
        <w:rPr>
          <w:lang w:val="en-GB"/>
        </w:rPr>
        <w:t xml:space="preserve"> in the region </w:t>
      </w:r>
      <w:r w:rsidR="00D65E26" w:rsidRPr="004568A2">
        <w:rPr>
          <w:i/>
          <w:iCs/>
          <w:lang w:val="en-GB"/>
        </w:rPr>
        <w:t>r</w:t>
      </w:r>
      <w:r w:rsidR="00D65E26" w:rsidRPr="004568A2">
        <w:rPr>
          <w:lang w:val="en-GB"/>
        </w:rPr>
        <w:t>.</w:t>
      </w:r>
      <w:r w:rsidR="00681AF3" w:rsidRPr="004568A2">
        <w:rPr>
          <w:lang w:val="en-GB"/>
        </w:rPr>
        <w:t xml:space="preserve"> The resulting NLP (</w:t>
      </w:r>
      <w:r w:rsidR="0087496B" w:rsidRPr="004568A2">
        <w:rPr>
          <w:lang w:val="en-GB"/>
        </w:rPr>
        <w:t xml:space="preserve">Non-Linear Programming) was solved by </w:t>
      </w:r>
      <w:r w:rsidR="00343C69" w:rsidRPr="004568A2">
        <w:rPr>
          <w:lang w:val="en-GB"/>
        </w:rPr>
        <w:t>Advanced Interactive Multidimensional Modelling Software (AIMMS)</w:t>
      </w:r>
      <w:r w:rsidR="00B51974" w:rsidRPr="004568A2">
        <w:rPr>
          <w:lang w:val="en-GB"/>
        </w:rPr>
        <w:t>.</w:t>
      </w:r>
      <w:r w:rsidR="00654CBA" w:rsidRPr="004568A2">
        <w:rPr>
          <w:lang w:val="en-GB"/>
        </w:rPr>
        <w:t xml:space="preserve"> </w:t>
      </w:r>
      <w:r w:rsidR="00E22D4C" w:rsidRPr="004568A2">
        <w:rPr>
          <w:lang w:val="en-GB"/>
        </w:rPr>
        <w:t xml:space="preserve">For both objective functions </w:t>
      </w:r>
      <w:r w:rsidR="00C127EC" w:rsidRPr="004568A2">
        <w:rPr>
          <w:lang w:val="en-GB"/>
        </w:rPr>
        <w:t>a constra</w:t>
      </w:r>
      <w:r w:rsidR="00FB5A27" w:rsidRPr="004568A2">
        <w:rPr>
          <w:lang w:val="en-GB"/>
        </w:rPr>
        <w:t>i</w:t>
      </w:r>
      <w:r w:rsidR="00C127EC" w:rsidRPr="004568A2">
        <w:rPr>
          <w:lang w:val="en-GB"/>
        </w:rPr>
        <w:t xml:space="preserve">nt consists in </w:t>
      </w:r>
      <w:r w:rsidR="00FB5A27" w:rsidRPr="004568A2">
        <w:rPr>
          <w:lang w:val="en-GB"/>
        </w:rPr>
        <w:t xml:space="preserve">limiting </w:t>
      </w:r>
      <w:r w:rsidR="00BA5AD7" w:rsidRPr="004568A2">
        <w:rPr>
          <w:lang w:val="en-GB"/>
        </w:rPr>
        <w:t xml:space="preserve">with an </w:t>
      </w:r>
      <w:r w:rsidR="00EA03B5" w:rsidRPr="004568A2">
        <w:rPr>
          <w:lang w:val="en-GB"/>
        </w:rPr>
        <w:t xml:space="preserve">upper bound </w:t>
      </w:r>
      <w:r w:rsidR="00BA5AD7" w:rsidRPr="004568A2">
        <w:rPr>
          <w:lang w:val="en-GB"/>
        </w:rPr>
        <w:t>the</w:t>
      </w:r>
      <w:r w:rsidR="00EA03B5" w:rsidRPr="004568A2">
        <w:rPr>
          <w:lang w:val="en-GB"/>
        </w:rPr>
        <w:t xml:space="preserve"> biofuels production </w:t>
      </w:r>
      <w:r w:rsidR="00BA5AD7" w:rsidRPr="004568A2">
        <w:rPr>
          <w:lang w:val="en-GB"/>
        </w:rPr>
        <w:t xml:space="preserve">to not </w:t>
      </w:r>
      <w:r w:rsidR="00A032BE" w:rsidRPr="004568A2">
        <w:rPr>
          <w:lang w:val="en-GB"/>
        </w:rPr>
        <w:t xml:space="preserve">exceed the regional demand of the biofuel </w:t>
      </w:r>
      <w:r w:rsidR="00A032BE" w:rsidRPr="004568A2">
        <w:rPr>
          <w:i/>
          <w:iCs/>
          <w:lang w:val="en-GB"/>
        </w:rPr>
        <w:t>i</w:t>
      </w:r>
      <w:r w:rsidR="00C84831" w:rsidRPr="004568A2">
        <w:rPr>
          <w:lang w:val="en-GB"/>
        </w:rPr>
        <w:t>:</w:t>
      </w:r>
    </w:p>
    <w:tbl>
      <w:tblPr>
        <w:tblW w:w="5000" w:type="pct"/>
        <w:tblLook w:val="04A0" w:firstRow="1" w:lastRow="0" w:firstColumn="1" w:lastColumn="0" w:noHBand="0" w:noVBand="1"/>
      </w:tblPr>
      <w:tblGrid>
        <w:gridCol w:w="7986"/>
        <w:gridCol w:w="801"/>
      </w:tblGrid>
      <w:tr w:rsidR="00C84831" w:rsidRPr="004568A2" w14:paraId="13588D3E" w14:textId="77777777" w:rsidTr="00F46C08">
        <w:tc>
          <w:tcPr>
            <w:tcW w:w="7986" w:type="dxa"/>
            <w:shd w:val="clear" w:color="auto" w:fill="auto"/>
            <w:vAlign w:val="center"/>
          </w:tcPr>
          <w:p w14:paraId="1B2AC88B" w14:textId="3FA7A842" w:rsidR="00C84831" w:rsidRPr="004568A2" w:rsidRDefault="00000000" w:rsidP="00F46C08">
            <w:pPr>
              <w:pStyle w:val="CETEquation"/>
            </w:pPr>
            <m:oMathPara>
              <m:oMathParaPr>
                <m:jc m:val="left"/>
              </m:oMathParaPr>
              <m:oMath>
                <m:sSub>
                  <m:sSubPr>
                    <m:ctrlPr>
                      <w:rPr>
                        <w:rFonts w:ascii="Cambria Math" w:hAnsi="Cambria Math"/>
                        <w:i/>
                      </w:rPr>
                    </m:ctrlPr>
                  </m:sSubPr>
                  <m:e>
                    <m:r>
                      <w:rPr>
                        <w:rFonts w:ascii="Cambria Math" w:hAnsi="Cambria Math"/>
                      </w:rPr>
                      <m:t>LHV</m:t>
                    </m:r>
                  </m:e>
                  <m:sub>
                    <m:r>
                      <w:rPr>
                        <w:rFonts w:ascii="Cambria Math" w:hAnsi="Cambria Math"/>
                      </w:rPr>
                      <m:t>tot,r,i</m:t>
                    </m:r>
                  </m:sub>
                </m:sSub>
                <m:r>
                  <w:rPr>
                    <w:rFonts w:ascii="Cambria Math" w:hAnsi="Cambria Math"/>
                  </w:rPr>
                  <m:t>≤=</m:t>
                </m:r>
                <m:sSub>
                  <m:sSubPr>
                    <m:ctrlPr>
                      <w:rPr>
                        <w:rFonts w:ascii="Cambria Math" w:hAnsi="Cambria Math"/>
                        <w:i/>
                      </w:rPr>
                    </m:ctrlPr>
                  </m:sSubPr>
                  <m:e>
                    <m:r>
                      <w:rPr>
                        <w:rFonts w:ascii="Cambria Math" w:hAnsi="Cambria Math"/>
                      </w:rPr>
                      <m:t>RD</m:t>
                    </m:r>
                  </m:e>
                  <m:sub>
                    <m:r>
                      <w:rPr>
                        <w:rFonts w:ascii="Cambria Math" w:hAnsi="Cambria Math"/>
                      </w:rPr>
                      <m:t>r,i</m:t>
                    </m:r>
                  </m:sub>
                </m:sSub>
                <m:r>
                  <w:rPr>
                    <w:rFonts w:ascii="Cambria Math" w:hAnsi="Cambria Math"/>
                  </w:rPr>
                  <m:t xml:space="preserve">      ∀ i,r</m:t>
                </m:r>
              </m:oMath>
            </m:oMathPara>
          </w:p>
        </w:tc>
        <w:tc>
          <w:tcPr>
            <w:tcW w:w="801" w:type="dxa"/>
            <w:shd w:val="clear" w:color="auto" w:fill="auto"/>
            <w:vAlign w:val="center"/>
          </w:tcPr>
          <w:p w14:paraId="535C348B" w14:textId="7E83771C" w:rsidR="00C84831" w:rsidRPr="004568A2" w:rsidRDefault="00C84831" w:rsidP="00F46C08">
            <w:pPr>
              <w:pStyle w:val="CETEquation"/>
              <w:jc w:val="right"/>
            </w:pPr>
            <w:r w:rsidRPr="004568A2">
              <w:t>(</w:t>
            </w:r>
            <w:r w:rsidR="004E4787" w:rsidRPr="004568A2">
              <w:t>4</w:t>
            </w:r>
            <w:r w:rsidRPr="004568A2">
              <w:t>)</w:t>
            </w:r>
          </w:p>
        </w:tc>
      </w:tr>
    </w:tbl>
    <w:p w14:paraId="0DD34B80" w14:textId="1ED62A1B" w:rsidR="00787F49" w:rsidRPr="004568A2" w:rsidRDefault="00787F49" w:rsidP="00787F49">
      <w:pPr>
        <w:pStyle w:val="CETheadingx"/>
      </w:pPr>
      <w:r w:rsidRPr="004568A2">
        <w:t xml:space="preserve">Regional </w:t>
      </w:r>
      <w:r w:rsidR="00B447B0" w:rsidRPr="004568A2">
        <w:t>fuel demand assessment</w:t>
      </w:r>
    </w:p>
    <w:p w14:paraId="030FBD06" w14:textId="7544E010" w:rsidR="00787F49" w:rsidRPr="004568A2" w:rsidRDefault="009F1FBD" w:rsidP="009F1FBD">
      <w:pPr>
        <w:pStyle w:val="CETBodytext"/>
      </w:pPr>
      <w:r w:rsidRPr="004568A2">
        <w:t>Bioresource data were merged into a lump classification, dividing them into only three categories: fermentable materials to produce biomethane, oils to produce biodiesel (FAME), lignocellulosic biomass to produce syngas/DME/bioethanol. Target products can replace the regional demand for fossil-based fuels. In particular, the biomethane demand was estimated in terms of the natural gas replaced in the gas distribution grid.</w:t>
      </w:r>
      <w:r w:rsidR="00633AE1" w:rsidRPr="004568A2">
        <w:t xml:space="preserve"> </w:t>
      </w:r>
      <w:r w:rsidRPr="004568A2">
        <w:t>Diesel and Liquefied Petroleum Gases (LPG) were retrieved through the analysis of the Italian petroleum product consumption. The National consumption was normalized to the regional inhabitants. Furthermore, biodiesel (FAME) was assumed in blend with diesel until to 7%, while DME was considered for the LPG replacement with a volumetric blend of 12 %. From that, the regional distribution of biofuel demand can be assessed, together with the maximal regional biofuel production in order to obtain the final regional biofuel demand using local/regional bioresources.</w:t>
      </w:r>
    </w:p>
    <w:p w14:paraId="6E449CAE" w14:textId="77777777" w:rsidR="00AC68F0" w:rsidRPr="004568A2" w:rsidRDefault="00AC68F0" w:rsidP="00AC68F0">
      <w:pPr>
        <w:pStyle w:val="CETBodytext"/>
        <w:keepNext/>
        <w:rPr>
          <w:rStyle w:val="CETCaptionCarattere"/>
        </w:rPr>
      </w:pPr>
      <w:r w:rsidRPr="004568A2">
        <w:rPr>
          <w:rStyle w:val="CETCaptionCarattere"/>
          <w:noProof/>
        </w:rPr>
        <w:drawing>
          <wp:inline distT="0" distB="0" distL="0" distR="0" wp14:anchorId="593BB8D1" wp14:editId="632E22A2">
            <wp:extent cx="5569381" cy="2816189"/>
            <wp:effectExtent l="0" t="0" r="0" b="3810"/>
            <wp:docPr id="136308360" name="Immagine 2" descr="Immagine che contiene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5495" name="Immagine 2" descr="Immagine che contiene schermata, testo&#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9491" cy="2831414"/>
                    </a:xfrm>
                    <a:prstGeom prst="rect">
                      <a:avLst/>
                    </a:prstGeom>
                    <a:noFill/>
                  </pic:spPr>
                </pic:pic>
              </a:graphicData>
            </a:graphic>
          </wp:inline>
        </w:drawing>
      </w:r>
      <w:r w:rsidRPr="004568A2">
        <w:rPr>
          <w:rStyle w:val="CETCaptionCarattere"/>
        </w:rPr>
        <w:t>Figure 2: General process superstructure converting regional bioresources to biofuels by energy self-sufficient technologies</w:t>
      </w:r>
    </w:p>
    <w:p w14:paraId="677EBFF0" w14:textId="251960A9" w:rsidR="00600535" w:rsidRPr="004568A2" w:rsidRDefault="000120AB" w:rsidP="00600535">
      <w:pPr>
        <w:pStyle w:val="CETHeading1"/>
        <w:tabs>
          <w:tab w:val="clear" w:pos="360"/>
          <w:tab w:val="right" w:pos="7100"/>
        </w:tabs>
        <w:jc w:val="both"/>
        <w:rPr>
          <w:lang w:val="en-GB"/>
        </w:rPr>
      </w:pPr>
      <w:r w:rsidRPr="004568A2">
        <w:rPr>
          <w:lang w:val="en-GB"/>
        </w:rPr>
        <w:t>Results</w:t>
      </w:r>
    </w:p>
    <w:p w14:paraId="007F91A0" w14:textId="51D85098" w:rsidR="00605585" w:rsidRPr="004568A2" w:rsidRDefault="00605585" w:rsidP="00605585">
      <w:pPr>
        <w:pStyle w:val="CETheadingx"/>
      </w:pPr>
      <w:r w:rsidRPr="004568A2">
        <w:t>Regional bioresource assessment</w:t>
      </w:r>
    </w:p>
    <w:p w14:paraId="6691AB4F" w14:textId="17DD04BF" w:rsidR="00AC68F0" w:rsidRPr="004568A2" w:rsidRDefault="0032266F" w:rsidP="00AC68F0">
      <w:pPr>
        <w:pStyle w:val="CETBodytext"/>
      </w:pPr>
      <w:r w:rsidRPr="004568A2">
        <w:rPr>
          <w:lang w:val="en-GB"/>
        </w:rPr>
        <w:t xml:space="preserve">The Italian regions with the greatest availability of both lignocellulosic residues and bioresources from zootechnical activities (manure) were Piemonte, </w:t>
      </w:r>
      <w:r>
        <w:rPr>
          <w:lang w:val="en-GB"/>
        </w:rPr>
        <w:t xml:space="preserve">Veneto and </w:t>
      </w:r>
      <w:r w:rsidRPr="004568A2">
        <w:rPr>
          <w:lang w:val="en-GB"/>
        </w:rPr>
        <w:t xml:space="preserve">Lombardia (lignocellulosic: </w:t>
      </w:r>
      <w:r w:rsidRPr="004568A2">
        <w:t xml:space="preserve">883, </w:t>
      </w:r>
      <w:r>
        <w:t>861 and</w:t>
      </w:r>
      <w:r w:rsidRPr="004568A2">
        <w:t xml:space="preserve"> </w:t>
      </w:r>
      <w:r>
        <w:t>847</w:t>
      </w:r>
      <w:r w:rsidRPr="004568A2">
        <w:t xml:space="preserve"> kt/y; manure: 10'814,</w:t>
      </w:r>
      <w:r>
        <w:t xml:space="preserve"> 11’634</w:t>
      </w:r>
      <w:r w:rsidRPr="004568A2">
        <w:t xml:space="preserve"> </w:t>
      </w:r>
      <w:r>
        <w:t xml:space="preserve">and </w:t>
      </w:r>
      <w:r w:rsidRPr="004568A2">
        <w:t xml:space="preserve">24'635 kt/y, respectively). Lombardia and </w:t>
      </w:r>
      <w:r>
        <w:t>Veneto</w:t>
      </w:r>
      <w:r w:rsidRPr="004568A2">
        <w:t xml:space="preserve"> can play a main role also for </w:t>
      </w:r>
      <w:r w:rsidRPr="004568A2">
        <w:lastRenderedPageBreak/>
        <w:t xml:space="preserve">urban wastes as OFMSW and UCO. Further, </w:t>
      </w:r>
      <w:r>
        <w:t xml:space="preserve">Lazio and </w:t>
      </w:r>
      <w:r w:rsidRPr="004568A2">
        <w:t xml:space="preserve">Campania can make available </w:t>
      </w:r>
      <w:r>
        <w:t>42</w:t>
      </w:r>
      <w:r w:rsidRPr="004568A2">
        <w:t xml:space="preserve"> and 4</w:t>
      </w:r>
      <w:r>
        <w:t>1</w:t>
      </w:r>
      <w:r w:rsidRPr="004568A2">
        <w:t xml:space="preserve"> kt/y of UCO, respectively</w:t>
      </w:r>
      <w:r w:rsidR="00AC68F0" w:rsidRPr="004568A2">
        <w:t>.</w:t>
      </w:r>
    </w:p>
    <w:p w14:paraId="463AA986" w14:textId="61581841" w:rsidR="002B79FD" w:rsidRPr="004568A2" w:rsidRDefault="002B79FD" w:rsidP="00C815F0">
      <w:pPr>
        <w:pStyle w:val="CETTabletitle"/>
      </w:pPr>
      <w:r w:rsidRPr="004568A2">
        <w:t xml:space="preserve">Table 1: </w:t>
      </w:r>
      <w:r w:rsidR="00310B71" w:rsidRPr="004568A2">
        <w:t xml:space="preserve">Bioresource availability in </w:t>
      </w:r>
      <w:r w:rsidR="00406923" w:rsidRPr="004568A2">
        <w:t>the Italian regions (Pierro et al., 2021)</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5"/>
        <w:gridCol w:w="1844"/>
        <w:gridCol w:w="1842"/>
        <w:gridCol w:w="1176"/>
        <w:gridCol w:w="1800"/>
      </w:tblGrid>
      <w:tr w:rsidR="008C147A" w:rsidRPr="004568A2" w14:paraId="691F67DB" w14:textId="77777777" w:rsidTr="00555911">
        <w:tc>
          <w:tcPr>
            <w:tcW w:w="1209" w:type="pct"/>
            <w:tcBorders>
              <w:top w:val="single" w:sz="12" w:space="0" w:color="008000"/>
              <w:bottom w:val="single" w:sz="6" w:space="0" w:color="008000"/>
            </w:tcBorders>
            <w:shd w:val="clear" w:color="auto" w:fill="FFFFFF"/>
          </w:tcPr>
          <w:p w14:paraId="53864954" w14:textId="1C16C67E" w:rsidR="00C90CE9" w:rsidRPr="004568A2" w:rsidRDefault="00C90CE9" w:rsidP="00C815F0">
            <w:pPr>
              <w:pStyle w:val="CETBodytext"/>
              <w:keepNext/>
              <w:rPr>
                <w:lang w:val="en-GB"/>
              </w:rPr>
            </w:pPr>
          </w:p>
        </w:tc>
        <w:tc>
          <w:tcPr>
            <w:tcW w:w="1049" w:type="pct"/>
            <w:tcBorders>
              <w:top w:val="single" w:sz="12" w:space="0" w:color="008000"/>
              <w:bottom w:val="single" w:sz="6" w:space="0" w:color="008000"/>
            </w:tcBorders>
            <w:shd w:val="clear" w:color="auto" w:fill="FFFFFF"/>
          </w:tcPr>
          <w:p w14:paraId="61B7F893" w14:textId="3FF06693" w:rsidR="00C90CE9" w:rsidRPr="004568A2" w:rsidRDefault="00C90CE9" w:rsidP="00C815F0">
            <w:pPr>
              <w:pStyle w:val="CETBodytext"/>
              <w:keepNext/>
              <w:rPr>
                <w:lang w:val="en-GB"/>
              </w:rPr>
            </w:pPr>
            <w:r w:rsidRPr="004568A2">
              <w:t>Manure (kt/y)</w:t>
            </w:r>
          </w:p>
        </w:tc>
        <w:tc>
          <w:tcPr>
            <w:tcW w:w="1048" w:type="pct"/>
            <w:tcBorders>
              <w:top w:val="single" w:sz="12" w:space="0" w:color="008000"/>
              <w:bottom w:val="single" w:sz="6" w:space="0" w:color="008000"/>
            </w:tcBorders>
            <w:shd w:val="clear" w:color="auto" w:fill="FFFFFF"/>
          </w:tcPr>
          <w:p w14:paraId="69C8102B" w14:textId="6CD43397" w:rsidR="00C90CE9" w:rsidRPr="004568A2" w:rsidRDefault="00C90CE9" w:rsidP="00C815F0">
            <w:pPr>
              <w:pStyle w:val="CETBodytext"/>
              <w:keepNext/>
              <w:rPr>
                <w:lang w:val="en-GB"/>
              </w:rPr>
            </w:pPr>
            <w:r w:rsidRPr="004568A2">
              <w:t>OFMSW (kt/y)</w:t>
            </w:r>
          </w:p>
        </w:tc>
        <w:tc>
          <w:tcPr>
            <w:tcW w:w="669" w:type="pct"/>
            <w:tcBorders>
              <w:top w:val="single" w:sz="12" w:space="0" w:color="008000"/>
              <w:bottom w:val="single" w:sz="6" w:space="0" w:color="008000"/>
            </w:tcBorders>
            <w:shd w:val="clear" w:color="auto" w:fill="FFFFFF"/>
          </w:tcPr>
          <w:p w14:paraId="3B21299F" w14:textId="18B62590" w:rsidR="00C90CE9" w:rsidRPr="004568A2" w:rsidRDefault="00952408" w:rsidP="00C815F0">
            <w:pPr>
              <w:pStyle w:val="CETBodytext"/>
              <w:keepNext/>
              <w:ind w:right="-1"/>
              <w:rPr>
                <w:rFonts w:cs="Arial"/>
                <w:szCs w:val="18"/>
                <w:lang w:val="en-GB"/>
              </w:rPr>
            </w:pPr>
            <w:r w:rsidRPr="004568A2">
              <w:t>UCO</w:t>
            </w:r>
            <w:r w:rsidR="00C90CE9" w:rsidRPr="004568A2">
              <w:t xml:space="preserve"> (kt/y)</w:t>
            </w:r>
          </w:p>
        </w:tc>
        <w:tc>
          <w:tcPr>
            <w:tcW w:w="1024" w:type="pct"/>
            <w:tcBorders>
              <w:top w:val="single" w:sz="12" w:space="0" w:color="008000"/>
              <w:bottom w:val="single" w:sz="6" w:space="0" w:color="008000"/>
            </w:tcBorders>
            <w:shd w:val="clear" w:color="auto" w:fill="FFFFFF"/>
          </w:tcPr>
          <w:p w14:paraId="0246971A" w14:textId="6818B0FD" w:rsidR="00C90CE9" w:rsidRPr="004568A2" w:rsidRDefault="00C90CE9" w:rsidP="00C815F0">
            <w:pPr>
              <w:pStyle w:val="CETBodytext"/>
              <w:keepNext/>
              <w:ind w:right="-1"/>
              <w:rPr>
                <w:rFonts w:cs="Arial"/>
                <w:szCs w:val="18"/>
                <w:lang w:val="en-GB"/>
              </w:rPr>
            </w:pPr>
            <w:r w:rsidRPr="004568A2">
              <w:t>Lignocellulosic biomass (kt/y)</w:t>
            </w:r>
          </w:p>
        </w:tc>
      </w:tr>
      <w:tr w:rsidR="008C147A" w:rsidRPr="004568A2" w14:paraId="55D2EEE9" w14:textId="77777777" w:rsidTr="00555911">
        <w:tc>
          <w:tcPr>
            <w:tcW w:w="1209" w:type="pct"/>
            <w:shd w:val="clear" w:color="auto" w:fill="FFFFFF"/>
          </w:tcPr>
          <w:p w14:paraId="74E02B3A" w14:textId="503F8079" w:rsidR="00C90CE9" w:rsidRPr="004568A2" w:rsidRDefault="00C90CE9" w:rsidP="00C815F0">
            <w:pPr>
              <w:pStyle w:val="CETBodytext"/>
              <w:keepNext/>
              <w:rPr>
                <w:lang w:val="en-GB"/>
              </w:rPr>
            </w:pPr>
            <w:r w:rsidRPr="004568A2">
              <w:t>ABRUZZO</w:t>
            </w:r>
          </w:p>
        </w:tc>
        <w:tc>
          <w:tcPr>
            <w:tcW w:w="1049" w:type="pct"/>
            <w:shd w:val="clear" w:color="auto" w:fill="FFFFFF"/>
          </w:tcPr>
          <w:p w14:paraId="56E74BC7" w14:textId="2F309041" w:rsidR="00C90CE9" w:rsidRPr="004568A2" w:rsidRDefault="00C90CE9" w:rsidP="00C815F0">
            <w:pPr>
              <w:pStyle w:val="CETBodytext"/>
              <w:keepNext/>
              <w:rPr>
                <w:lang w:val="en-GB"/>
              </w:rPr>
            </w:pPr>
            <w:r w:rsidRPr="004568A2">
              <w:t>1'122</w:t>
            </w:r>
          </w:p>
        </w:tc>
        <w:tc>
          <w:tcPr>
            <w:tcW w:w="1048" w:type="pct"/>
            <w:shd w:val="clear" w:color="auto" w:fill="FFFFFF"/>
          </w:tcPr>
          <w:p w14:paraId="0252E6F1" w14:textId="751ACF79" w:rsidR="00C90CE9" w:rsidRPr="004568A2" w:rsidRDefault="00C90CE9" w:rsidP="00C815F0">
            <w:pPr>
              <w:pStyle w:val="CETBodytext"/>
              <w:keepNext/>
              <w:rPr>
                <w:lang w:val="en-GB"/>
              </w:rPr>
            </w:pPr>
            <w:r w:rsidRPr="004568A2">
              <w:t>154</w:t>
            </w:r>
          </w:p>
        </w:tc>
        <w:tc>
          <w:tcPr>
            <w:tcW w:w="669" w:type="pct"/>
            <w:shd w:val="clear" w:color="auto" w:fill="FFFFFF"/>
          </w:tcPr>
          <w:p w14:paraId="41725044" w14:textId="20964833" w:rsidR="00C90CE9" w:rsidRPr="004568A2" w:rsidRDefault="00C90CE9" w:rsidP="00C815F0">
            <w:pPr>
              <w:pStyle w:val="CETBodytext"/>
              <w:keepNext/>
              <w:ind w:right="-1"/>
              <w:rPr>
                <w:rFonts w:cs="Arial"/>
                <w:szCs w:val="18"/>
                <w:lang w:val="en-GB"/>
              </w:rPr>
            </w:pPr>
            <w:r w:rsidRPr="004568A2">
              <w:t>9</w:t>
            </w:r>
          </w:p>
        </w:tc>
        <w:tc>
          <w:tcPr>
            <w:tcW w:w="1024" w:type="pct"/>
            <w:shd w:val="clear" w:color="auto" w:fill="FFFFFF"/>
          </w:tcPr>
          <w:p w14:paraId="597E1AB1" w14:textId="405C8E17" w:rsidR="00C90CE9" w:rsidRPr="004568A2" w:rsidRDefault="00C90CE9" w:rsidP="00C815F0">
            <w:pPr>
              <w:pStyle w:val="CETBodytext"/>
              <w:keepNext/>
              <w:ind w:right="-1"/>
              <w:rPr>
                <w:rFonts w:cs="Arial"/>
                <w:szCs w:val="18"/>
                <w:lang w:val="en-GB"/>
              </w:rPr>
            </w:pPr>
            <w:r w:rsidRPr="004568A2">
              <w:t>179</w:t>
            </w:r>
          </w:p>
        </w:tc>
      </w:tr>
      <w:tr w:rsidR="00C90CE9" w:rsidRPr="004568A2" w14:paraId="66DF6039" w14:textId="77777777" w:rsidTr="00555911">
        <w:tc>
          <w:tcPr>
            <w:tcW w:w="1209" w:type="pct"/>
            <w:shd w:val="clear" w:color="auto" w:fill="FFFFFF"/>
          </w:tcPr>
          <w:p w14:paraId="20A93829" w14:textId="39C3DFB9" w:rsidR="00C90CE9" w:rsidRPr="004568A2" w:rsidRDefault="00C90CE9" w:rsidP="00C815F0">
            <w:pPr>
              <w:pStyle w:val="CETBodytext"/>
              <w:keepNext/>
              <w:rPr>
                <w:lang w:val="en-GB"/>
              </w:rPr>
            </w:pPr>
            <w:r w:rsidRPr="004568A2">
              <w:t>BASILICATA</w:t>
            </w:r>
          </w:p>
        </w:tc>
        <w:tc>
          <w:tcPr>
            <w:tcW w:w="1049" w:type="pct"/>
            <w:shd w:val="clear" w:color="auto" w:fill="FFFFFF"/>
          </w:tcPr>
          <w:p w14:paraId="16DC4E6B" w14:textId="2A6A8E1B" w:rsidR="00C90CE9" w:rsidRPr="004568A2" w:rsidRDefault="00C90CE9" w:rsidP="00C815F0">
            <w:pPr>
              <w:pStyle w:val="CETBodytext"/>
              <w:keepNext/>
              <w:rPr>
                <w:lang w:val="en-GB"/>
              </w:rPr>
            </w:pPr>
            <w:r w:rsidRPr="004568A2">
              <w:t>1'211</w:t>
            </w:r>
          </w:p>
        </w:tc>
        <w:tc>
          <w:tcPr>
            <w:tcW w:w="1048" w:type="pct"/>
            <w:shd w:val="clear" w:color="auto" w:fill="FFFFFF"/>
          </w:tcPr>
          <w:p w14:paraId="1CB92A54" w14:textId="54DA69BD" w:rsidR="00C90CE9" w:rsidRPr="004568A2" w:rsidRDefault="00C90CE9" w:rsidP="00C815F0">
            <w:pPr>
              <w:pStyle w:val="CETBodytext"/>
              <w:keepNext/>
              <w:rPr>
                <w:lang w:val="en-GB"/>
              </w:rPr>
            </w:pPr>
            <w:r w:rsidRPr="004568A2">
              <w:t>50</w:t>
            </w:r>
          </w:p>
        </w:tc>
        <w:tc>
          <w:tcPr>
            <w:tcW w:w="669" w:type="pct"/>
            <w:shd w:val="clear" w:color="auto" w:fill="FFFFFF"/>
          </w:tcPr>
          <w:p w14:paraId="069988A0" w14:textId="5A175FE2" w:rsidR="00C90CE9" w:rsidRPr="004568A2" w:rsidRDefault="00C90CE9" w:rsidP="00C815F0">
            <w:pPr>
              <w:pStyle w:val="CETBodytext"/>
              <w:keepNext/>
              <w:ind w:right="-1"/>
              <w:rPr>
                <w:rFonts w:cs="Arial"/>
                <w:szCs w:val="18"/>
                <w:lang w:val="en-GB"/>
              </w:rPr>
            </w:pPr>
            <w:r w:rsidRPr="004568A2">
              <w:t>4</w:t>
            </w:r>
          </w:p>
        </w:tc>
        <w:tc>
          <w:tcPr>
            <w:tcW w:w="1024" w:type="pct"/>
            <w:shd w:val="clear" w:color="auto" w:fill="FFFFFF"/>
          </w:tcPr>
          <w:p w14:paraId="4B1B06C4" w14:textId="4DC65457" w:rsidR="00C90CE9" w:rsidRPr="004568A2" w:rsidRDefault="00C90CE9" w:rsidP="00C815F0">
            <w:pPr>
              <w:pStyle w:val="CETBodytext"/>
              <w:keepNext/>
              <w:ind w:right="-1"/>
              <w:rPr>
                <w:rFonts w:cs="Arial"/>
                <w:szCs w:val="18"/>
                <w:lang w:val="en-GB"/>
              </w:rPr>
            </w:pPr>
            <w:r w:rsidRPr="004568A2">
              <w:t>166</w:t>
            </w:r>
          </w:p>
        </w:tc>
      </w:tr>
      <w:tr w:rsidR="00C90CE9" w:rsidRPr="004568A2" w14:paraId="4BECDDFE" w14:textId="77777777" w:rsidTr="00555911">
        <w:tc>
          <w:tcPr>
            <w:tcW w:w="1209" w:type="pct"/>
            <w:shd w:val="clear" w:color="auto" w:fill="FFFFFF"/>
          </w:tcPr>
          <w:p w14:paraId="35FA2428" w14:textId="4C9E7561" w:rsidR="00C90CE9" w:rsidRPr="004568A2" w:rsidRDefault="00C90CE9" w:rsidP="00C815F0">
            <w:pPr>
              <w:pStyle w:val="CETBodytext"/>
              <w:keepNext/>
              <w:rPr>
                <w:lang w:val="en-GB"/>
              </w:rPr>
            </w:pPr>
            <w:r w:rsidRPr="004568A2">
              <w:t>CALABRIA</w:t>
            </w:r>
          </w:p>
        </w:tc>
        <w:tc>
          <w:tcPr>
            <w:tcW w:w="1049" w:type="pct"/>
            <w:shd w:val="clear" w:color="auto" w:fill="FFFFFF"/>
          </w:tcPr>
          <w:p w14:paraId="5849DE82" w14:textId="7609FA07" w:rsidR="00C90CE9" w:rsidRPr="004568A2" w:rsidRDefault="00C90CE9" w:rsidP="00C815F0">
            <w:pPr>
              <w:pStyle w:val="CETBodytext"/>
              <w:keepNext/>
              <w:rPr>
                <w:lang w:val="en-GB"/>
              </w:rPr>
            </w:pPr>
            <w:r w:rsidRPr="004568A2">
              <w:t>1'360</w:t>
            </w:r>
          </w:p>
        </w:tc>
        <w:tc>
          <w:tcPr>
            <w:tcW w:w="1048" w:type="pct"/>
            <w:shd w:val="clear" w:color="auto" w:fill="FFFFFF"/>
          </w:tcPr>
          <w:p w14:paraId="24EA021C" w14:textId="77C9DF0B" w:rsidR="00C90CE9" w:rsidRPr="004568A2" w:rsidRDefault="00C90CE9" w:rsidP="00C815F0">
            <w:pPr>
              <w:pStyle w:val="CETBodytext"/>
              <w:keepNext/>
              <w:rPr>
                <w:lang w:val="en-GB"/>
              </w:rPr>
            </w:pPr>
            <w:r w:rsidRPr="004568A2">
              <w:t>176</w:t>
            </w:r>
          </w:p>
        </w:tc>
        <w:tc>
          <w:tcPr>
            <w:tcW w:w="669" w:type="pct"/>
            <w:shd w:val="clear" w:color="auto" w:fill="FFFFFF"/>
          </w:tcPr>
          <w:p w14:paraId="405FC0B1" w14:textId="167E969E" w:rsidR="00C90CE9" w:rsidRPr="004568A2" w:rsidRDefault="00C90CE9" w:rsidP="00C815F0">
            <w:pPr>
              <w:pStyle w:val="CETBodytext"/>
              <w:keepNext/>
              <w:ind w:right="-1"/>
              <w:rPr>
                <w:rFonts w:cs="Arial"/>
                <w:szCs w:val="18"/>
                <w:lang w:val="en-GB"/>
              </w:rPr>
            </w:pPr>
            <w:r w:rsidRPr="004568A2">
              <w:t>13</w:t>
            </w:r>
          </w:p>
        </w:tc>
        <w:tc>
          <w:tcPr>
            <w:tcW w:w="1024" w:type="pct"/>
            <w:shd w:val="clear" w:color="auto" w:fill="FFFFFF"/>
          </w:tcPr>
          <w:p w14:paraId="34701BF2" w14:textId="1164FB5A" w:rsidR="00C90CE9" w:rsidRPr="004568A2" w:rsidRDefault="00C90CE9" w:rsidP="00C815F0">
            <w:pPr>
              <w:pStyle w:val="CETBodytext"/>
              <w:keepNext/>
              <w:ind w:right="-1"/>
              <w:rPr>
                <w:rFonts w:cs="Arial"/>
                <w:szCs w:val="18"/>
                <w:lang w:val="en-GB"/>
              </w:rPr>
            </w:pPr>
            <w:r w:rsidRPr="004568A2">
              <w:t>395</w:t>
            </w:r>
          </w:p>
        </w:tc>
      </w:tr>
      <w:tr w:rsidR="00C90CE9" w:rsidRPr="004568A2" w14:paraId="4D307ABE" w14:textId="77777777" w:rsidTr="00555911">
        <w:tc>
          <w:tcPr>
            <w:tcW w:w="1209" w:type="pct"/>
            <w:shd w:val="clear" w:color="auto" w:fill="FFFFFF"/>
          </w:tcPr>
          <w:p w14:paraId="2BA018AB" w14:textId="6A0B57E7" w:rsidR="00C90CE9" w:rsidRPr="004568A2" w:rsidRDefault="00C90CE9" w:rsidP="00C815F0">
            <w:pPr>
              <w:pStyle w:val="CETBodytext"/>
              <w:keepNext/>
              <w:rPr>
                <w:lang w:val="en-GB"/>
              </w:rPr>
            </w:pPr>
            <w:r w:rsidRPr="004568A2">
              <w:t>CAMPANIA</w:t>
            </w:r>
          </w:p>
        </w:tc>
        <w:tc>
          <w:tcPr>
            <w:tcW w:w="1049" w:type="pct"/>
            <w:shd w:val="clear" w:color="auto" w:fill="FFFFFF"/>
          </w:tcPr>
          <w:p w14:paraId="37DF1663" w14:textId="50381933" w:rsidR="00C90CE9" w:rsidRPr="004568A2" w:rsidRDefault="00C90CE9" w:rsidP="00C815F0">
            <w:pPr>
              <w:pStyle w:val="CETBodytext"/>
              <w:keepNext/>
              <w:rPr>
                <w:lang w:val="en-GB"/>
              </w:rPr>
            </w:pPr>
            <w:r w:rsidRPr="004568A2">
              <w:t>4'886</w:t>
            </w:r>
          </w:p>
        </w:tc>
        <w:tc>
          <w:tcPr>
            <w:tcW w:w="1048" w:type="pct"/>
            <w:shd w:val="clear" w:color="auto" w:fill="FFFFFF"/>
          </w:tcPr>
          <w:p w14:paraId="046AABA3" w14:textId="132BA308" w:rsidR="00C90CE9" w:rsidRPr="004568A2" w:rsidRDefault="00C90CE9" w:rsidP="00C815F0">
            <w:pPr>
              <w:pStyle w:val="CETBodytext"/>
              <w:keepNext/>
              <w:rPr>
                <w:lang w:val="en-GB"/>
              </w:rPr>
            </w:pPr>
            <w:r w:rsidRPr="004568A2">
              <w:t>634</w:t>
            </w:r>
          </w:p>
        </w:tc>
        <w:tc>
          <w:tcPr>
            <w:tcW w:w="669" w:type="pct"/>
            <w:shd w:val="clear" w:color="auto" w:fill="FFFFFF"/>
          </w:tcPr>
          <w:p w14:paraId="0B472D43" w14:textId="0C1A13CB" w:rsidR="00C90CE9" w:rsidRPr="004568A2" w:rsidRDefault="00C90CE9" w:rsidP="00C815F0">
            <w:pPr>
              <w:pStyle w:val="CETBodytext"/>
              <w:keepNext/>
              <w:ind w:right="-1"/>
              <w:rPr>
                <w:rFonts w:cs="Arial"/>
                <w:szCs w:val="18"/>
                <w:lang w:val="en-GB"/>
              </w:rPr>
            </w:pPr>
            <w:r w:rsidRPr="004568A2">
              <w:t>41</w:t>
            </w:r>
          </w:p>
        </w:tc>
        <w:tc>
          <w:tcPr>
            <w:tcW w:w="1024" w:type="pct"/>
            <w:shd w:val="clear" w:color="auto" w:fill="FFFFFF"/>
          </w:tcPr>
          <w:p w14:paraId="44A01AC9" w14:textId="5F761AD3" w:rsidR="00C90CE9" w:rsidRPr="004568A2" w:rsidRDefault="00C90CE9" w:rsidP="00C815F0">
            <w:pPr>
              <w:pStyle w:val="CETBodytext"/>
              <w:keepNext/>
              <w:ind w:right="-1"/>
              <w:rPr>
                <w:rFonts w:cs="Arial"/>
                <w:szCs w:val="18"/>
                <w:lang w:val="en-GB"/>
              </w:rPr>
            </w:pPr>
            <w:r w:rsidRPr="004568A2">
              <w:t>232</w:t>
            </w:r>
          </w:p>
        </w:tc>
      </w:tr>
      <w:tr w:rsidR="00C90CE9" w:rsidRPr="004568A2" w14:paraId="03759A4E" w14:textId="77777777" w:rsidTr="00555911">
        <w:tc>
          <w:tcPr>
            <w:tcW w:w="1209" w:type="pct"/>
            <w:shd w:val="clear" w:color="auto" w:fill="FFFFFF"/>
          </w:tcPr>
          <w:p w14:paraId="4DDB5879" w14:textId="50F006D0" w:rsidR="00C90CE9" w:rsidRPr="004568A2" w:rsidRDefault="00C90CE9" w:rsidP="00C815F0">
            <w:pPr>
              <w:pStyle w:val="CETBodytext"/>
              <w:keepNext/>
              <w:rPr>
                <w:lang w:val="en-GB"/>
              </w:rPr>
            </w:pPr>
            <w:r w:rsidRPr="004568A2">
              <w:t>EMILIA ROMAGNA</w:t>
            </w:r>
          </w:p>
        </w:tc>
        <w:tc>
          <w:tcPr>
            <w:tcW w:w="1049" w:type="pct"/>
            <w:shd w:val="clear" w:color="auto" w:fill="FFFFFF"/>
          </w:tcPr>
          <w:p w14:paraId="72DE0926" w14:textId="23424490" w:rsidR="00C90CE9" w:rsidRPr="004568A2" w:rsidRDefault="00C90CE9" w:rsidP="00C815F0">
            <w:pPr>
              <w:pStyle w:val="CETBodytext"/>
              <w:keepNext/>
              <w:rPr>
                <w:lang w:val="en-GB"/>
              </w:rPr>
            </w:pPr>
            <w:r w:rsidRPr="004568A2">
              <w:t>9'070</w:t>
            </w:r>
          </w:p>
        </w:tc>
        <w:tc>
          <w:tcPr>
            <w:tcW w:w="1048" w:type="pct"/>
            <w:shd w:val="clear" w:color="auto" w:fill="FFFFFF"/>
          </w:tcPr>
          <w:p w14:paraId="4B11E5EC" w14:textId="404D0A79" w:rsidR="00C90CE9" w:rsidRPr="004568A2" w:rsidRDefault="00C90CE9" w:rsidP="00C815F0">
            <w:pPr>
              <w:pStyle w:val="CETBodytext"/>
              <w:keepNext/>
              <w:rPr>
                <w:lang w:val="en-GB"/>
              </w:rPr>
            </w:pPr>
            <w:r w:rsidRPr="004568A2">
              <w:t>797</w:t>
            </w:r>
          </w:p>
        </w:tc>
        <w:tc>
          <w:tcPr>
            <w:tcW w:w="669" w:type="pct"/>
            <w:shd w:val="clear" w:color="auto" w:fill="FFFFFF"/>
          </w:tcPr>
          <w:p w14:paraId="08AE76F7" w14:textId="6697ACB4" w:rsidR="00C90CE9" w:rsidRPr="004568A2" w:rsidRDefault="00C90CE9" w:rsidP="00C815F0">
            <w:pPr>
              <w:pStyle w:val="CETBodytext"/>
              <w:keepNext/>
              <w:ind w:right="-1"/>
              <w:rPr>
                <w:rFonts w:cs="Arial"/>
                <w:szCs w:val="18"/>
                <w:lang w:val="en-GB"/>
              </w:rPr>
            </w:pPr>
            <w:r w:rsidRPr="004568A2">
              <w:t>32</w:t>
            </w:r>
          </w:p>
        </w:tc>
        <w:tc>
          <w:tcPr>
            <w:tcW w:w="1024" w:type="pct"/>
            <w:shd w:val="clear" w:color="auto" w:fill="FFFFFF"/>
          </w:tcPr>
          <w:p w14:paraId="2816883F" w14:textId="63C9730B" w:rsidR="00C90CE9" w:rsidRPr="004568A2" w:rsidRDefault="00C90CE9" w:rsidP="00C815F0">
            <w:pPr>
              <w:pStyle w:val="CETBodytext"/>
              <w:keepNext/>
              <w:ind w:right="-1"/>
              <w:rPr>
                <w:rFonts w:cs="Arial"/>
                <w:szCs w:val="18"/>
                <w:lang w:val="en-GB"/>
              </w:rPr>
            </w:pPr>
            <w:r w:rsidRPr="004568A2">
              <w:t>690</w:t>
            </w:r>
          </w:p>
        </w:tc>
      </w:tr>
      <w:tr w:rsidR="00C90CE9" w:rsidRPr="004568A2" w14:paraId="1FBC0C70" w14:textId="77777777" w:rsidTr="00555911">
        <w:tc>
          <w:tcPr>
            <w:tcW w:w="1209" w:type="pct"/>
            <w:shd w:val="clear" w:color="auto" w:fill="FFFFFF"/>
          </w:tcPr>
          <w:p w14:paraId="564ABDD7" w14:textId="424F5E4A" w:rsidR="00C90CE9" w:rsidRPr="004568A2" w:rsidRDefault="00C90CE9" w:rsidP="00C815F0">
            <w:pPr>
              <w:pStyle w:val="CETBodytext"/>
              <w:keepNext/>
              <w:rPr>
                <w:lang w:val="en-GB"/>
              </w:rPr>
            </w:pPr>
            <w:r w:rsidRPr="004568A2">
              <w:t>FRIULI V. G.</w:t>
            </w:r>
          </w:p>
        </w:tc>
        <w:tc>
          <w:tcPr>
            <w:tcW w:w="1049" w:type="pct"/>
            <w:shd w:val="clear" w:color="auto" w:fill="FFFFFF"/>
          </w:tcPr>
          <w:p w14:paraId="0C61BF24" w14:textId="79E108EF" w:rsidR="00C90CE9" w:rsidRPr="004568A2" w:rsidRDefault="00C90CE9" w:rsidP="00C815F0">
            <w:pPr>
              <w:pStyle w:val="CETBodytext"/>
              <w:keepNext/>
              <w:rPr>
                <w:lang w:val="en-GB"/>
              </w:rPr>
            </w:pPr>
            <w:r w:rsidRPr="004568A2">
              <w:t>1'711</w:t>
            </w:r>
          </w:p>
        </w:tc>
        <w:tc>
          <w:tcPr>
            <w:tcW w:w="1048" w:type="pct"/>
            <w:shd w:val="clear" w:color="auto" w:fill="FFFFFF"/>
          </w:tcPr>
          <w:p w14:paraId="1CEE7257" w14:textId="4920A0AD" w:rsidR="00C90CE9" w:rsidRPr="004568A2" w:rsidRDefault="00C90CE9" w:rsidP="00C815F0">
            <w:pPr>
              <w:pStyle w:val="CETBodytext"/>
              <w:keepNext/>
              <w:rPr>
                <w:lang w:val="en-GB"/>
              </w:rPr>
            </w:pPr>
            <w:r w:rsidRPr="004568A2">
              <w:t>155</w:t>
            </w:r>
          </w:p>
        </w:tc>
        <w:tc>
          <w:tcPr>
            <w:tcW w:w="669" w:type="pct"/>
            <w:shd w:val="clear" w:color="auto" w:fill="FFFFFF"/>
          </w:tcPr>
          <w:p w14:paraId="02A5382B" w14:textId="03C0DD66" w:rsidR="00C90CE9" w:rsidRPr="004568A2" w:rsidRDefault="00C90CE9" w:rsidP="00C815F0">
            <w:pPr>
              <w:pStyle w:val="CETBodytext"/>
              <w:keepNext/>
              <w:ind w:right="-1"/>
              <w:rPr>
                <w:rFonts w:cs="Arial"/>
                <w:szCs w:val="18"/>
                <w:lang w:val="en-GB"/>
              </w:rPr>
            </w:pPr>
            <w:r w:rsidRPr="004568A2">
              <w:t>9</w:t>
            </w:r>
          </w:p>
        </w:tc>
        <w:tc>
          <w:tcPr>
            <w:tcW w:w="1024" w:type="pct"/>
            <w:shd w:val="clear" w:color="auto" w:fill="FFFFFF"/>
          </w:tcPr>
          <w:p w14:paraId="176884D1" w14:textId="18FA4FA6" w:rsidR="00C90CE9" w:rsidRPr="004568A2" w:rsidRDefault="00C90CE9" w:rsidP="00C815F0">
            <w:pPr>
              <w:pStyle w:val="CETBodytext"/>
              <w:keepNext/>
              <w:ind w:right="-1"/>
              <w:rPr>
                <w:rFonts w:cs="Arial"/>
                <w:szCs w:val="18"/>
                <w:lang w:val="en-GB"/>
              </w:rPr>
            </w:pPr>
            <w:r w:rsidRPr="004568A2">
              <w:t>282</w:t>
            </w:r>
          </w:p>
        </w:tc>
      </w:tr>
      <w:tr w:rsidR="00C90CE9" w:rsidRPr="004568A2" w14:paraId="6399FFB5" w14:textId="77777777" w:rsidTr="00555911">
        <w:tc>
          <w:tcPr>
            <w:tcW w:w="1209" w:type="pct"/>
            <w:shd w:val="clear" w:color="auto" w:fill="FFFFFF"/>
          </w:tcPr>
          <w:p w14:paraId="178DF6D1" w14:textId="55CE529E" w:rsidR="00C90CE9" w:rsidRPr="004568A2" w:rsidRDefault="00C90CE9" w:rsidP="00C815F0">
            <w:pPr>
              <w:pStyle w:val="CETBodytext"/>
              <w:keepNext/>
              <w:rPr>
                <w:lang w:val="en-GB"/>
              </w:rPr>
            </w:pPr>
            <w:r w:rsidRPr="004568A2">
              <w:t>LAZIO</w:t>
            </w:r>
          </w:p>
        </w:tc>
        <w:tc>
          <w:tcPr>
            <w:tcW w:w="1049" w:type="pct"/>
            <w:shd w:val="clear" w:color="auto" w:fill="FFFFFF"/>
          </w:tcPr>
          <w:p w14:paraId="3C426DBE" w14:textId="674463E4" w:rsidR="00C90CE9" w:rsidRPr="004568A2" w:rsidRDefault="00C90CE9" w:rsidP="00C815F0">
            <w:pPr>
              <w:pStyle w:val="CETBodytext"/>
              <w:keepNext/>
              <w:rPr>
                <w:lang w:val="en-GB"/>
              </w:rPr>
            </w:pPr>
            <w:r w:rsidRPr="004568A2">
              <w:t>3'264</w:t>
            </w:r>
          </w:p>
        </w:tc>
        <w:tc>
          <w:tcPr>
            <w:tcW w:w="1048" w:type="pct"/>
            <w:shd w:val="clear" w:color="auto" w:fill="FFFFFF"/>
          </w:tcPr>
          <w:p w14:paraId="5B78E63E" w14:textId="45B922A1" w:rsidR="00C90CE9" w:rsidRPr="004568A2" w:rsidRDefault="00C90CE9" w:rsidP="00C815F0">
            <w:pPr>
              <w:pStyle w:val="CETBodytext"/>
              <w:keepNext/>
              <w:rPr>
                <w:lang w:val="en-GB"/>
              </w:rPr>
            </w:pPr>
            <w:r w:rsidRPr="004568A2">
              <w:t>581</w:t>
            </w:r>
          </w:p>
        </w:tc>
        <w:tc>
          <w:tcPr>
            <w:tcW w:w="669" w:type="pct"/>
            <w:shd w:val="clear" w:color="auto" w:fill="FFFFFF"/>
          </w:tcPr>
          <w:p w14:paraId="4825B8A8" w14:textId="6A725D8B" w:rsidR="00C90CE9" w:rsidRPr="004568A2" w:rsidRDefault="00C90CE9" w:rsidP="00C815F0">
            <w:pPr>
              <w:pStyle w:val="CETBodytext"/>
              <w:keepNext/>
              <w:ind w:right="-1"/>
              <w:rPr>
                <w:rFonts w:cs="Arial"/>
                <w:szCs w:val="18"/>
                <w:lang w:val="en-GB"/>
              </w:rPr>
            </w:pPr>
            <w:r w:rsidRPr="004568A2">
              <w:t>42</w:t>
            </w:r>
          </w:p>
        </w:tc>
        <w:tc>
          <w:tcPr>
            <w:tcW w:w="1024" w:type="pct"/>
            <w:shd w:val="clear" w:color="auto" w:fill="FFFFFF"/>
          </w:tcPr>
          <w:p w14:paraId="6A29E097" w14:textId="407B7C48" w:rsidR="00C90CE9" w:rsidRPr="004568A2" w:rsidRDefault="00C90CE9" w:rsidP="00C815F0">
            <w:pPr>
              <w:pStyle w:val="CETBodytext"/>
              <w:keepNext/>
              <w:ind w:right="-1"/>
              <w:rPr>
                <w:rFonts w:cs="Arial"/>
                <w:szCs w:val="18"/>
                <w:lang w:val="en-GB"/>
              </w:rPr>
            </w:pPr>
            <w:r w:rsidRPr="004568A2">
              <w:t>203</w:t>
            </w:r>
          </w:p>
        </w:tc>
      </w:tr>
      <w:tr w:rsidR="00C90CE9" w:rsidRPr="004568A2" w14:paraId="17C606B5" w14:textId="77777777" w:rsidTr="00555911">
        <w:tc>
          <w:tcPr>
            <w:tcW w:w="1209" w:type="pct"/>
            <w:shd w:val="clear" w:color="auto" w:fill="FFFFFF"/>
          </w:tcPr>
          <w:p w14:paraId="6011AFCD" w14:textId="5C5BA761" w:rsidR="00C90CE9" w:rsidRPr="004568A2" w:rsidRDefault="00C90CE9" w:rsidP="00C815F0">
            <w:pPr>
              <w:pStyle w:val="CETBodytext"/>
              <w:keepNext/>
              <w:rPr>
                <w:lang w:val="en-GB"/>
              </w:rPr>
            </w:pPr>
            <w:r w:rsidRPr="004568A2">
              <w:t>LIGURIA</w:t>
            </w:r>
          </w:p>
        </w:tc>
        <w:tc>
          <w:tcPr>
            <w:tcW w:w="1049" w:type="pct"/>
            <w:shd w:val="clear" w:color="auto" w:fill="FFFFFF"/>
          </w:tcPr>
          <w:p w14:paraId="2192316A" w14:textId="43310A2E" w:rsidR="00C90CE9" w:rsidRPr="004568A2" w:rsidRDefault="00C90CE9" w:rsidP="00C815F0">
            <w:pPr>
              <w:pStyle w:val="CETBodytext"/>
              <w:keepNext/>
              <w:rPr>
                <w:lang w:val="en-GB"/>
              </w:rPr>
            </w:pPr>
            <w:r w:rsidRPr="004568A2">
              <w:t>129</w:t>
            </w:r>
          </w:p>
        </w:tc>
        <w:tc>
          <w:tcPr>
            <w:tcW w:w="1048" w:type="pct"/>
            <w:shd w:val="clear" w:color="auto" w:fill="FFFFFF"/>
          </w:tcPr>
          <w:p w14:paraId="007E7AE4" w14:textId="4B606DA9" w:rsidR="00C90CE9" w:rsidRPr="004568A2" w:rsidRDefault="00C90CE9" w:rsidP="00C815F0">
            <w:pPr>
              <w:pStyle w:val="CETBodytext"/>
              <w:keepNext/>
              <w:rPr>
                <w:lang w:val="en-GB"/>
              </w:rPr>
            </w:pPr>
            <w:r w:rsidRPr="004568A2">
              <w:t>150</w:t>
            </w:r>
          </w:p>
        </w:tc>
        <w:tc>
          <w:tcPr>
            <w:tcW w:w="669" w:type="pct"/>
            <w:shd w:val="clear" w:color="auto" w:fill="FFFFFF"/>
          </w:tcPr>
          <w:p w14:paraId="0F3D25F8" w14:textId="4D5BDC43" w:rsidR="00C90CE9" w:rsidRPr="004568A2" w:rsidRDefault="00C90CE9" w:rsidP="00C815F0">
            <w:pPr>
              <w:pStyle w:val="CETBodytext"/>
              <w:keepNext/>
              <w:ind w:right="-1"/>
              <w:rPr>
                <w:rFonts w:cs="Arial"/>
                <w:szCs w:val="18"/>
                <w:lang w:val="en-GB"/>
              </w:rPr>
            </w:pPr>
            <w:r w:rsidRPr="004568A2">
              <w:t>11</w:t>
            </w:r>
          </w:p>
        </w:tc>
        <w:tc>
          <w:tcPr>
            <w:tcW w:w="1024" w:type="pct"/>
            <w:shd w:val="clear" w:color="auto" w:fill="FFFFFF"/>
          </w:tcPr>
          <w:p w14:paraId="37E643DB" w14:textId="581DD772" w:rsidR="00C90CE9" w:rsidRPr="004568A2" w:rsidRDefault="00C90CE9" w:rsidP="00C815F0">
            <w:pPr>
              <w:pStyle w:val="CETBodytext"/>
              <w:keepNext/>
              <w:ind w:right="-1"/>
              <w:rPr>
                <w:rFonts w:cs="Arial"/>
                <w:szCs w:val="18"/>
                <w:lang w:val="en-GB"/>
              </w:rPr>
            </w:pPr>
            <w:r w:rsidRPr="004568A2">
              <w:t>19</w:t>
            </w:r>
          </w:p>
        </w:tc>
      </w:tr>
      <w:tr w:rsidR="00C90CE9" w:rsidRPr="004568A2" w14:paraId="2D6134C7" w14:textId="77777777" w:rsidTr="00555911">
        <w:tc>
          <w:tcPr>
            <w:tcW w:w="1209" w:type="pct"/>
            <w:shd w:val="clear" w:color="auto" w:fill="FFFFFF"/>
          </w:tcPr>
          <w:p w14:paraId="30794E6A" w14:textId="0BDF19D7" w:rsidR="00C90CE9" w:rsidRPr="004568A2" w:rsidRDefault="00C90CE9" w:rsidP="00C815F0">
            <w:pPr>
              <w:pStyle w:val="CETBodytext"/>
              <w:keepNext/>
              <w:rPr>
                <w:lang w:val="en-GB"/>
              </w:rPr>
            </w:pPr>
            <w:r w:rsidRPr="004568A2">
              <w:t>LOMBARDIA</w:t>
            </w:r>
          </w:p>
        </w:tc>
        <w:tc>
          <w:tcPr>
            <w:tcW w:w="1049" w:type="pct"/>
            <w:shd w:val="clear" w:color="auto" w:fill="FFFFFF"/>
          </w:tcPr>
          <w:p w14:paraId="38C211D3" w14:textId="08EF1664" w:rsidR="00C90CE9" w:rsidRPr="004568A2" w:rsidRDefault="00C90CE9" w:rsidP="00C815F0">
            <w:pPr>
              <w:pStyle w:val="CETBodytext"/>
              <w:keepNext/>
              <w:rPr>
                <w:lang w:val="en-GB"/>
              </w:rPr>
            </w:pPr>
            <w:r w:rsidRPr="004568A2">
              <w:t>24'635</w:t>
            </w:r>
          </w:p>
        </w:tc>
        <w:tc>
          <w:tcPr>
            <w:tcW w:w="1048" w:type="pct"/>
            <w:shd w:val="clear" w:color="auto" w:fill="FFFFFF"/>
          </w:tcPr>
          <w:p w14:paraId="083292EA" w14:textId="573AA02A" w:rsidR="00C90CE9" w:rsidRPr="004568A2" w:rsidRDefault="00C90CE9" w:rsidP="00C815F0">
            <w:pPr>
              <w:pStyle w:val="CETBodytext"/>
              <w:keepNext/>
              <w:rPr>
                <w:lang w:val="en-GB"/>
              </w:rPr>
            </w:pPr>
            <w:r w:rsidRPr="004568A2">
              <w:t>1'147</w:t>
            </w:r>
          </w:p>
        </w:tc>
        <w:tc>
          <w:tcPr>
            <w:tcW w:w="669" w:type="pct"/>
            <w:shd w:val="clear" w:color="auto" w:fill="FFFFFF"/>
          </w:tcPr>
          <w:p w14:paraId="173AC485" w14:textId="7F1F610B" w:rsidR="00C90CE9" w:rsidRPr="004568A2" w:rsidRDefault="00C90CE9" w:rsidP="00C815F0">
            <w:pPr>
              <w:pStyle w:val="CETBodytext"/>
              <w:keepNext/>
              <w:ind w:right="-1"/>
              <w:rPr>
                <w:rFonts w:cs="Arial"/>
                <w:szCs w:val="18"/>
                <w:lang w:val="en-GB"/>
              </w:rPr>
            </w:pPr>
            <w:r w:rsidRPr="004568A2">
              <w:t>73</w:t>
            </w:r>
          </w:p>
        </w:tc>
        <w:tc>
          <w:tcPr>
            <w:tcW w:w="1024" w:type="pct"/>
            <w:shd w:val="clear" w:color="auto" w:fill="FFFFFF"/>
          </w:tcPr>
          <w:p w14:paraId="4491EDEB" w14:textId="71DAD183" w:rsidR="00C90CE9" w:rsidRPr="004568A2" w:rsidRDefault="00C90CE9" w:rsidP="00C815F0">
            <w:pPr>
              <w:pStyle w:val="CETBodytext"/>
              <w:keepNext/>
              <w:ind w:right="-1"/>
              <w:rPr>
                <w:rFonts w:cs="Arial"/>
                <w:szCs w:val="18"/>
                <w:lang w:val="en-GB"/>
              </w:rPr>
            </w:pPr>
            <w:r w:rsidRPr="004568A2">
              <w:t>847</w:t>
            </w:r>
          </w:p>
        </w:tc>
      </w:tr>
      <w:tr w:rsidR="00C90CE9" w:rsidRPr="004568A2" w14:paraId="752D740F" w14:textId="77777777" w:rsidTr="00555911">
        <w:tc>
          <w:tcPr>
            <w:tcW w:w="1209" w:type="pct"/>
            <w:shd w:val="clear" w:color="auto" w:fill="FFFFFF"/>
          </w:tcPr>
          <w:p w14:paraId="3B5E4730" w14:textId="72A48BCB" w:rsidR="00C90CE9" w:rsidRPr="004568A2" w:rsidRDefault="00C90CE9" w:rsidP="00C815F0">
            <w:pPr>
              <w:pStyle w:val="CETBodytext"/>
              <w:keepNext/>
              <w:rPr>
                <w:lang w:val="en-GB"/>
              </w:rPr>
            </w:pPr>
            <w:r w:rsidRPr="004568A2">
              <w:t>MARCHE</w:t>
            </w:r>
          </w:p>
        </w:tc>
        <w:tc>
          <w:tcPr>
            <w:tcW w:w="1049" w:type="pct"/>
            <w:shd w:val="clear" w:color="auto" w:fill="FFFFFF"/>
          </w:tcPr>
          <w:p w14:paraId="2ADDDC33" w14:textId="2D93D8AB" w:rsidR="00C90CE9" w:rsidRPr="004568A2" w:rsidRDefault="00C90CE9" w:rsidP="00C815F0">
            <w:pPr>
              <w:pStyle w:val="CETBodytext"/>
              <w:keepNext/>
              <w:rPr>
                <w:lang w:val="en-GB"/>
              </w:rPr>
            </w:pPr>
            <w:r w:rsidRPr="004568A2">
              <w:t>1'040</w:t>
            </w:r>
          </w:p>
        </w:tc>
        <w:tc>
          <w:tcPr>
            <w:tcW w:w="1048" w:type="pct"/>
            <w:shd w:val="clear" w:color="auto" w:fill="FFFFFF"/>
          </w:tcPr>
          <w:p w14:paraId="1C556041" w14:textId="1BEBDD95" w:rsidR="00C90CE9" w:rsidRPr="004568A2" w:rsidRDefault="00C90CE9" w:rsidP="00C815F0">
            <w:pPr>
              <w:pStyle w:val="CETBodytext"/>
              <w:keepNext/>
              <w:rPr>
                <w:lang w:val="en-GB"/>
              </w:rPr>
            </w:pPr>
            <w:r w:rsidRPr="004568A2">
              <w:t>224</w:t>
            </w:r>
          </w:p>
        </w:tc>
        <w:tc>
          <w:tcPr>
            <w:tcW w:w="669" w:type="pct"/>
            <w:shd w:val="clear" w:color="auto" w:fill="FFFFFF"/>
          </w:tcPr>
          <w:p w14:paraId="125A5B48" w14:textId="42A05F37" w:rsidR="00C90CE9" w:rsidRPr="004568A2" w:rsidRDefault="00C90CE9" w:rsidP="00C815F0">
            <w:pPr>
              <w:pStyle w:val="CETBodytext"/>
              <w:keepNext/>
              <w:ind w:right="-1"/>
              <w:rPr>
                <w:rFonts w:cs="Arial"/>
                <w:szCs w:val="18"/>
                <w:lang w:val="en-GB"/>
              </w:rPr>
            </w:pPr>
            <w:r w:rsidRPr="004568A2">
              <w:t>11</w:t>
            </w:r>
          </w:p>
        </w:tc>
        <w:tc>
          <w:tcPr>
            <w:tcW w:w="1024" w:type="pct"/>
            <w:shd w:val="clear" w:color="auto" w:fill="FFFFFF"/>
          </w:tcPr>
          <w:p w14:paraId="2F6C9F71" w14:textId="1D71A2C4" w:rsidR="00C90CE9" w:rsidRPr="004568A2" w:rsidRDefault="00C90CE9" w:rsidP="00C815F0">
            <w:pPr>
              <w:pStyle w:val="CETBodytext"/>
              <w:keepNext/>
              <w:ind w:right="-1"/>
              <w:rPr>
                <w:rFonts w:cs="Arial"/>
                <w:szCs w:val="18"/>
                <w:lang w:val="en-GB"/>
              </w:rPr>
            </w:pPr>
            <w:r w:rsidRPr="004568A2">
              <w:t>208</w:t>
            </w:r>
          </w:p>
        </w:tc>
      </w:tr>
      <w:tr w:rsidR="00C90CE9" w:rsidRPr="004568A2" w14:paraId="515E1A36" w14:textId="77777777" w:rsidTr="00555911">
        <w:tc>
          <w:tcPr>
            <w:tcW w:w="1209" w:type="pct"/>
            <w:shd w:val="clear" w:color="auto" w:fill="FFFFFF"/>
          </w:tcPr>
          <w:p w14:paraId="1BE89099" w14:textId="2B7DEE41" w:rsidR="00C90CE9" w:rsidRPr="004568A2" w:rsidRDefault="00C90CE9" w:rsidP="00C815F0">
            <w:pPr>
              <w:pStyle w:val="CETBodytext"/>
              <w:keepNext/>
              <w:rPr>
                <w:lang w:val="en-GB"/>
              </w:rPr>
            </w:pPr>
            <w:r w:rsidRPr="004568A2">
              <w:t>MOLISE</w:t>
            </w:r>
          </w:p>
        </w:tc>
        <w:tc>
          <w:tcPr>
            <w:tcW w:w="1049" w:type="pct"/>
            <w:shd w:val="clear" w:color="auto" w:fill="FFFFFF"/>
          </w:tcPr>
          <w:p w14:paraId="44000CEE" w14:textId="1929FE2B" w:rsidR="00C90CE9" w:rsidRPr="004568A2" w:rsidRDefault="00C90CE9" w:rsidP="00C815F0">
            <w:pPr>
              <w:pStyle w:val="CETBodytext"/>
              <w:keepNext/>
              <w:rPr>
                <w:lang w:val="en-GB"/>
              </w:rPr>
            </w:pPr>
            <w:r w:rsidRPr="004568A2">
              <w:t>803</w:t>
            </w:r>
          </w:p>
        </w:tc>
        <w:tc>
          <w:tcPr>
            <w:tcW w:w="1048" w:type="pct"/>
            <w:shd w:val="clear" w:color="auto" w:fill="FFFFFF"/>
          </w:tcPr>
          <w:p w14:paraId="50FCEE03" w14:textId="7B088731" w:rsidR="00C90CE9" w:rsidRPr="004568A2" w:rsidRDefault="00C90CE9" w:rsidP="00C815F0">
            <w:pPr>
              <w:pStyle w:val="CETBodytext"/>
              <w:keepNext/>
              <w:rPr>
                <w:lang w:val="en-GB"/>
              </w:rPr>
            </w:pPr>
            <w:r w:rsidRPr="004568A2">
              <w:t>26</w:t>
            </w:r>
          </w:p>
        </w:tc>
        <w:tc>
          <w:tcPr>
            <w:tcW w:w="669" w:type="pct"/>
            <w:shd w:val="clear" w:color="auto" w:fill="FFFFFF"/>
          </w:tcPr>
          <w:p w14:paraId="1243C3FB" w14:textId="11375F43" w:rsidR="00C90CE9" w:rsidRPr="004568A2" w:rsidRDefault="00C90CE9" w:rsidP="00C815F0">
            <w:pPr>
              <w:pStyle w:val="CETBodytext"/>
              <w:keepNext/>
              <w:ind w:right="-1"/>
              <w:rPr>
                <w:rFonts w:cs="Arial"/>
                <w:szCs w:val="18"/>
                <w:lang w:val="en-GB"/>
              </w:rPr>
            </w:pPr>
            <w:r w:rsidRPr="004568A2">
              <w:t>2</w:t>
            </w:r>
          </w:p>
        </w:tc>
        <w:tc>
          <w:tcPr>
            <w:tcW w:w="1024" w:type="pct"/>
            <w:shd w:val="clear" w:color="auto" w:fill="FFFFFF"/>
          </w:tcPr>
          <w:p w14:paraId="4CC23452" w14:textId="144E3594" w:rsidR="00C90CE9" w:rsidRPr="004568A2" w:rsidRDefault="00C90CE9" w:rsidP="00C815F0">
            <w:pPr>
              <w:pStyle w:val="CETBodytext"/>
              <w:keepNext/>
              <w:ind w:right="-1"/>
              <w:rPr>
                <w:rFonts w:cs="Arial"/>
                <w:szCs w:val="18"/>
                <w:lang w:val="en-GB"/>
              </w:rPr>
            </w:pPr>
            <w:r w:rsidRPr="004568A2">
              <w:t>65</w:t>
            </w:r>
          </w:p>
        </w:tc>
      </w:tr>
      <w:tr w:rsidR="00C90CE9" w:rsidRPr="004568A2" w14:paraId="0BD16B1C" w14:textId="77777777" w:rsidTr="00555911">
        <w:tc>
          <w:tcPr>
            <w:tcW w:w="1209" w:type="pct"/>
            <w:shd w:val="clear" w:color="auto" w:fill="FFFFFF"/>
          </w:tcPr>
          <w:p w14:paraId="02F3BD47" w14:textId="176A3700" w:rsidR="00C90CE9" w:rsidRPr="004568A2" w:rsidRDefault="00C90CE9" w:rsidP="00C815F0">
            <w:pPr>
              <w:pStyle w:val="CETBodytext"/>
              <w:keepNext/>
              <w:rPr>
                <w:lang w:val="en-GB"/>
              </w:rPr>
            </w:pPr>
            <w:r w:rsidRPr="004568A2">
              <w:t>PIEMONTE</w:t>
            </w:r>
          </w:p>
        </w:tc>
        <w:tc>
          <w:tcPr>
            <w:tcW w:w="1049" w:type="pct"/>
            <w:shd w:val="clear" w:color="auto" w:fill="FFFFFF"/>
          </w:tcPr>
          <w:p w14:paraId="5BB1019E" w14:textId="60CCB25F" w:rsidR="00C90CE9" w:rsidRPr="004568A2" w:rsidRDefault="00C90CE9" w:rsidP="00C815F0">
            <w:pPr>
              <w:pStyle w:val="CETBodytext"/>
              <w:keepNext/>
              <w:rPr>
                <w:lang w:val="en-GB"/>
              </w:rPr>
            </w:pPr>
            <w:r w:rsidRPr="004568A2">
              <w:t>10'814</w:t>
            </w:r>
          </w:p>
        </w:tc>
        <w:tc>
          <w:tcPr>
            <w:tcW w:w="1048" w:type="pct"/>
            <w:shd w:val="clear" w:color="auto" w:fill="FFFFFF"/>
          </w:tcPr>
          <w:p w14:paraId="3097E66A" w14:textId="27E3C945" w:rsidR="00C90CE9" w:rsidRPr="004568A2" w:rsidRDefault="00C90CE9" w:rsidP="00C815F0">
            <w:pPr>
              <w:pStyle w:val="CETBodytext"/>
              <w:keepNext/>
              <w:rPr>
                <w:lang w:val="en-GB"/>
              </w:rPr>
            </w:pPr>
            <w:r w:rsidRPr="004568A2">
              <w:t>446</w:t>
            </w:r>
          </w:p>
        </w:tc>
        <w:tc>
          <w:tcPr>
            <w:tcW w:w="669" w:type="pct"/>
            <w:shd w:val="clear" w:color="auto" w:fill="FFFFFF"/>
          </w:tcPr>
          <w:p w14:paraId="4E6F3D15" w14:textId="68AD1EFA" w:rsidR="00C90CE9" w:rsidRPr="004568A2" w:rsidRDefault="00C90CE9" w:rsidP="00C815F0">
            <w:pPr>
              <w:pStyle w:val="CETBodytext"/>
              <w:keepNext/>
              <w:ind w:right="-1"/>
              <w:rPr>
                <w:rFonts w:cs="Arial"/>
                <w:szCs w:val="18"/>
                <w:lang w:val="en-GB"/>
              </w:rPr>
            </w:pPr>
            <w:r w:rsidRPr="004568A2">
              <w:t>31</w:t>
            </w:r>
          </w:p>
        </w:tc>
        <w:tc>
          <w:tcPr>
            <w:tcW w:w="1024" w:type="pct"/>
            <w:shd w:val="clear" w:color="auto" w:fill="FFFFFF"/>
          </w:tcPr>
          <w:p w14:paraId="1C8740E6" w14:textId="548A3E87" w:rsidR="00C90CE9" w:rsidRPr="004568A2" w:rsidRDefault="00C90CE9" w:rsidP="00C815F0">
            <w:pPr>
              <w:pStyle w:val="CETBodytext"/>
              <w:keepNext/>
              <w:ind w:right="-1"/>
              <w:rPr>
                <w:rFonts w:cs="Arial"/>
                <w:szCs w:val="18"/>
                <w:lang w:val="en-GB"/>
              </w:rPr>
            </w:pPr>
            <w:r w:rsidRPr="004568A2">
              <w:t>883</w:t>
            </w:r>
          </w:p>
        </w:tc>
      </w:tr>
      <w:tr w:rsidR="00C90CE9" w:rsidRPr="004568A2" w14:paraId="5574109F" w14:textId="77777777" w:rsidTr="00555911">
        <w:tc>
          <w:tcPr>
            <w:tcW w:w="1209" w:type="pct"/>
            <w:shd w:val="clear" w:color="auto" w:fill="FFFFFF"/>
          </w:tcPr>
          <w:p w14:paraId="77125C95" w14:textId="568D957C" w:rsidR="00C90CE9" w:rsidRPr="004568A2" w:rsidRDefault="00C90CE9" w:rsidP="00C815F0">
            <w:pPr>
              <w:pStyle w:val="CETBodytext"/>
              <w:keepNext/>
              <w:rPr>
                <w:lang w:val="en-GB"/>
              </w:rPr>
            </w:pPr>
            <w:r w:rsidRPr="004568A2">
              <w:t>PUGLIA</w:t>
            </w:r>
          </w:p>
        </w:tc>
        <w:tc>
          <w:tcPr>
            <w:tcW w:w="1049" w:type="pct"/>
            <w:shd w:val="clear" w:color="auto" w:fill="FFFFFF"/>
          </w:tcPr>
          <w:p w14:paraId="1676C8BA" w14:textId="10ACAB17" w:rsidR="00C90CE9" w:rsidRPr="004568A2" w:rsidRDefault="00C90CE9" w:rsidP="00C815F0">
            <w:pPr>
              <w:pStyle w:val="CETBodytext"/>
              <w:keepNext/>
              <w:rPr>
                <w:lang w:val="en-GB"/>
              </w:rPr>
            </w:pPr>
            <w:r w:rsidRPr="004568A2">
              <w:t>2'285</w:t>
            </w:r>
          </w:p>
        </w:tc>
        <w:tc>
          <w:tcPr>
            <w:tcW w:w="1048" w:type="pct"/>
            <w:shd w:val="clear" w:color="auto" w:fill="FFFFFF"/>
          </w:tcPr>
          <w:p w14:paraId="65FF4024" w14:textId="4B2C3A31" w:rsidR="00C90CE9" w:rsidRPr="004568A2" w:rsidRDefault="00C90CE9" w:rsidP="00C815F0">
            <w:pPr>
              <w:pStyle w:val="CETBodytext"/>
              <w:keepNext/>
              <w:rPr>
                <w:lang w:val="en-GB"/>
              </w:rPr>
            </w:pPr>
            <w:r w:rsidRPr="004568A2">
              <w:t>432</w:t>
            </w:r>
          </w:p>
        </w:tc>
        <w:tc>
          <w:tcPr>
            <w:tcW w:w="669" w:type="pct"/>
            <w:shd w:val="clear" w:color="auto" w:fill="FFFFFF"/>
          </w:tcPr>
          <w:p w14:paraId="0C4C843E" w14:textId="7AC14369" w:rsidR="00C90CE9" w:rsidRPr="004568A2" w:rsidRDefault="00C90CE9" w:rsidP="00C815F0">
            <w:pPr>
              <w:pStyle w:val="CETBodytext"/>
              <w:keepNext/>
              <w:ind w:right="-1"/>
              <w:rPr>
                <w:rFonts w:cs="Arial"/>
                <w:szCs w:val="18"/>
                <w:lang w:val="en-GB"/>
              </w:rPr>
            </w:pPr>
            <w:r w:rsidRPr="004568A2">
              <w:t>29</w:t>
            </w:r>
          </w:p>
        </w:tc>
        <w:tc>
          <w:tcPr>
            <w:tcW w:w="1024" w:type="pct"/>
            <w:shd w:val="clear" w:color="auto" w:fill="FFFFFF"/>
          </w:tcPr>
          <w:p w14:paraId="6E79E5DC" w14:textId="63441CA3" w:rsidR="00C90CE9" w:rsidRPr="004568A2" w:rsidRDefault="00C90CE9" w:rsidP="00C815F0">
            <w:pPr>
              <w:pStyle w:val="CETBodytext"/>
              <w:keepNext/>
              <w:ind w:right="-1"/>
              <w:rPr>
                <w:rFonts w:cs="Arial"/>
                <w:szCs w:val="18"/>
                <w:lang w:val="en-GB"/>
              </w:rPr>
            </w:pPr>
            <w:r w:rsidRPr="004568A2">
              <w:t>679</w:t>
            </w:r>
          </w:p>
        </w:tc>
      </w:tr>
      <w:tr w:rsidR="00C90CE9" w:rsidRPr="004568A2" w14:paraId="6EFB863A" w14:textId="77777777" w:rsidTr="00555911">
        <w:tc>
          <w:tcPr>
            <w:tcW w:w="1209" w:type="pct"/>
            <w:shd w:val="clear" w:color="auto" w:fill="FFFFFF"/>
          </w:tcPr>
          <w:p w14:paraId="0BB399DE" w14:textId="470B7F0B" w:rsidR="00C90CE9" w:rsidRPr="004568A2" w:rsidRDefault="00C90CE9" w:rsidP="00C815F0">
            <w:pPr>
              <w:pStyle w:val="CETBodytext"/>
              <w:keepNext/>
              <w:rPr>
                <w:lang w:val="en-GB"/>
              </w:rPr>
            </w:pPr>
            <w:r w:rsidRPr="004568A2">
              <w:t>SARDEGNA</w:t>
            </w:r>
          </w:p>
        </w:tc>
        <w:tc>
          <w:tcPr>
            <w:tcW w:w="1049" w:type="pct"/>
            <w:shd w:val="clear" w:color="auto" w:fill="FFFFFF"/>
          </w:tcPr>
          <w:p w14:paraId="04228B2E" w14:textId="1F159D11" w:rsidR="00C90CE9" w:rsidRPr="004568A2" w:rsidRDefault="00C90CE9" w:rsidP="00C815F0">
            <w:pPr>
              <w:pStyle w:val="CETBodytext"/>
              <w:keepNext/>
              <w:rPr>
                <w:lang w:val="en-GB"/>
              </w:rPr>
            </w:pPr>
            <w:r w:rsidRPr="004568A2">
              <w:t>4'641</w:t>
            </w:r>
          </w:p>
        </w:tc>
        <w:tc>
          <w:tcPr>
            <w:tcW w:w="1048" w:type="pct"/>
            <w:shd w:val="clear" w:color="auto" w:fill="FFFFFF"/>
          </w:tcPr>
          <w:p w14:paraId="3C4219A9" w14:textId="1B376760" w:rsidR="00C90CE9" w:rsidRPr="004568A2" w:rsidRDefault="00C90CE9" w:rsidP="00C815F0">
            <w:pPr>
              <w:pStyle w:val="CETBodytext"/>
              <w:keepNext/>
              <w:rPr>
                <w:lang w:val="en-GB"/>
              </w:rPr>
            </w:pPr>
            <w:r w:rsidRPr="004568A2">
              <w:t>234</w:t>
            </w:r>
          </w:p>
        </w:tc>
        <w:tc>
          <w:tcPr>
            <w:tcW w:w="669" w:type="pct"/>
            <w:shd w:val="clear" w:color="auto" w:fill="FFFFFF"/>
          </w:tcPr>
          <w:p w14:paraId="4EDF39D7" w14:textId="37858B51" w:rsidR="00C90CE9" w:rsidRPr="004568A2" w:rsidRDefault="00C90CE9" w:rsidP="00C815F0">
            <w:pPr>
              <w:pStyle w:val="CETBodytext"/>
              <w:keepNext/>
              <w:ind w:right="-1"/>
              <w:rPr>
                <w:rFonts w:cs="Arial"/>
                <w:szCs w:val="18"/>
                <w:lang w:val="en-GB"/>
              </w:rPr>
            </w:pPr>
            <w:r w:rsidRPr="004568A2">
              <w:t>12</w:t>
            </w:r>
          </w:p>
        </w:tc>
        <w:tc>
          <w:tcPr>
            <w:tcW w:w="1024" w:type="pct"/>
            <w:shd w:val="clear" w:color="auto" w:fill="FFFFFF"/>
          </w:tcPr>
          <w:p w14:paraId="64BAD7F4" w14:textId="193E7A2B" w:rsidR="00C90CE9" w:rsidRPr="004568A2" w:rsidRDefault="00C90CE9" w:rsidP="00C815F0">
            <w:pPr>
              <w:pStyle w:val="CETBodytext"/>
              <w:keepNext/>
              <w:ind w:right="-1"/>
              <w:rPr>
                <w:rFonts w:cs="Arial"/>
                <w:szCs w:val="18"/>
                <w:lang w:val="en-GB"/>
              </w:rPr>
            </w:pPr>
            <w:r w:rsidRPr="004568A2">
              <w:t>109</w:t>
            </w:r>
          </w:p>
        </w:tc>
      </w:tr>
      <w:tr w:rsidR="00C90CE9" w:rsidRPr="004568A2" w14:paraId="72F90009" w14:textId="77777777" w:rsidTr="00555911">
        <w:tc>
          <w:tcPr>
            <w:tcW w:w="1209" w:type="pct"/>
            <w:shd w:val="clear" w:color="auto" w:fill="FFFFFF"/>
          </w:tcPr>
          <w:p w14:paraId="671A5695" w14:textId="0CE19200" w:rsidR="00C90CE9" w:rsidRPr="004568A2" w:rsidRDefault="00C90CE9" w:rsidP="00C815F0">
            <w:pPr>
              <w:pStyle w:val="CETBodytext"/>
              <w:keepNext/>
              <w:rPr>
                <w:lang w:val="en-GB"/>
              </w:rPr>
            </w:pPr>
            <w:r w:rsidRPr="004568A2">
              <w:t>SICILIA</w:t>
            </w:r>
          </w:p>
        </w:tc>
        <w:tc>
          <w:tcPr>
            <w:tcW w:w="1049" w:type="pct"/>
            <w:shd w:val="clear" w:color="auto" w:fill="FFFFFF"/>
          </w:tcPr>
          <w:p w14:paraId="78787721" w14:textId="44AABD53" w:rsidR="00C90CE9" w:rsidRPr="004568A2" w:rsidRDefault="00C90CE9" w:rsidP="00C815F0">
            <w:pPr>
              <w:pStyle w:val="CETBodytext"/>
              <w:keepNext/>
              <w:rPr>
                <w:lang w:val="en-GB"/>
              </w:rPr>
            </w:pPr>
            <w:r w:rsidRPr="004568A2">
              <w:t>4'060</w:t>
            </w:r>
          </w:p>
        </w:tc>
        <w:tc>
          <w:tcPr>
            <w:tcW w:w="1048" w:type="pct"/>
            <w:shd w:val="clear" w:color="auto" w:fill="FFFFFF"/>
          </w:tcPr>
          <w:p w14:paraId="407F277F" w14:textId="652E0340" w:rsidR="00C90CE9" w:rsidRPr="004568A2" w:rsidRDefault="00C90CE9" w:rsidP="00C815F0">
            <w:pPr>
              <w:pStyle w:val="CETBodytext"/>
              <w:keepNext/>
              <w:rPr>
                <w:lang w:val="en-GB"/>
              </w:rPr>
            </w:pPr>
            <w:r w:rsidRPr="004568A2">
              <w:t>516</w:t>
            </w:r>
          </w:p>
        </w:tc>
        <w:tc>
          <w:tcPr>
            <w:tcW w:w="669" w:type="pct"/>
            <w:shd w:val="clear" w:color="auto" w:fill="FFFFFF"/>
          </w:tcPr>
          <w:p w14:paraId="691B0C60" w14:textId="313F8FE2" w:rsidR="00C90CE9" w:rsidRPr="004568A2" w:rsidRDefault="00C90CE9" w:rsidP="00C815F0">
            <w:pPr>
              <w:pStyle w:val="CETBodytext"/>
              <w:keepNext/>
              <w:ind w:right="-1"/>
              <w:rPr>
                <w:rFonts w:cs="Arial"/>
                <w:szCs w:val="18"/>
                <w:lang w:val="en-GB"/>
              </w:rPr>
            </w:pPr>
            <w:r w:rsidRPr="004568A2">
              <w:t>35</w:t>
            </w:r>
          </w:p>
        </w:tc>
        <w:tc>
          <w:tcPr>
            <w:tcW w:w="1024" w:type="pct"/>
            <w:shd w:val="clear" w:color="auto" w:fill="FFFFFF"/>
          </w:tcPr>
          <w:p w14:paraId="4DB6A587" w14:textId="6E7F9E93" w:rsidR="00C90CE9" w:rsidRPr="004568A2" w:rsidRDefault="00C90CE9" w:rsidP="00C815F0">
            <w:pPr>
              <w:pStyle w:val="CETBodytext"/>
              <w:keepNext/>
              <w:ind w:right="-1"/>
              <w:rPr>
                <w:rFonts w:cs="Arial"/>
                <w:szCs w:val="18"/>
                <w:lang w:val="en-GB"/>
              </w:rPr>
            </w:pPr>
            <w:r w:rsidRPr="004568A2">
              <w:t>533</w:t>
            </w:r>
          </w:p>
        </w:tc>
      </w:tr>
      <w:tr w:rsidR="00C90CE9" w:rsidRPr="004568A2" w14:paraId="58C7FB4A" w14:textId="77777777" w:rsidTr="00555911">
        <w:tc>
          <w:tcPr>
            <w:tcW w:w="1209" w:type="pct"/>
            <w:shd w:val="clear" w:color="auto" w:fill="FFFFFF"/>
          </w:tcPr>
          <w:p w14:paraId="6103AF44" w14:textId="30F36690" w:rsidR="00C90CE9" w:rsidRPr="004568A2" w:rsidRDefault="00C90CE9" w:rsidP="00C815F0">
            <w:pPr>
              <w:pStyle w:val="CETBodytext"/>
              <w:keepNext/>
              <w:rPr>
                <w:lang w:val="en-GB"/>
              </w:rPr>
            </w:pPr>
            <w:r w:rsidRPr="004568A2">
              <w:t>TOSCANA</w:t>
            </w:r>
          </w:p>
        </w:tc>
        <w:tc>
          <w:tcPr>
            <w:tcW w:w="1049" w:type="pct"/>
            <w:shd w:val="clear" w:color="auto" w:fill="FFFFFF"/>
          </w:tcPr>
          <w:p w14:paraId="6567B6F1" w14:textId="04B27137" w:rsidR="00C90CE9" w:rsidRPr="004568A2" w:rsidRDefault="00C90CE9" w:rsidP="00C815F0">
            <w:pPr>
              <w:pStyle w:val="CETBodytext"/>
              <w:keepNext/>
              <w:rPr>
                <w:lang w:val="en-GB"/>
              </w:rPr>
            </w:pPr>
            <w:r w:rsidRPr="004568A2">
              <w:t>1'255</w:t>
            </w:r>
          </w:p>
        </w:tc>
        <w:tc>
          <w:tcPr>
            <w:tcW w:w="1048" w:type="pct"/>
            <w:shd w:val="clear" w:color="auto" w:fill="FFFFFF"/>
          </w:tcPr>
          <w:p w14:paraId="56E22ECA" w14:textId="4CAE08B9" w:rsidR="00C90CE9" w:rsidRPr="004568A2" w:rsidRDefault="00C90CE9" w:rsidP="00C815F0">
            <w:pPr>
              <w:pStyle w:val="CETBodytext"/>
              <w:keepNext/>
              <w:rPr>
                <w:lang w:val="en-GB"/>
              </w:rPr>
            </w:pPr>
            <w:r w:rsidRPr="004568A2">
              <w:t>525</w:t>
            </w:r>
          </w:p>
        </w:tc>
        <w:tc>
          <w:tcPr>
            <w:tcW w:w="669" w:type="pct"/>
            <w:shd w:val="clear" w:color="auto" w:fill="FFFFFF"/>
          </w:tcPr>
          <w:p w14:paraId="3E29E329" w14:textId="4B916E75" w:rsidR="00C90CE9" w:rsidRPr="004568A2" w:rsidRDefault="00C90CE9" w:rsidP="00C815F0">
            <w:pPr>
              <w:pStyle w:val="CETBodytext"/>
              <w:keepNext/>
              <w:ind w:right="-1"/>
              <w:rPr>
                <w:rFonts w:cs="Arial"/>
                <w:szCs w:val="18"/>
                <w:lang w:val="en-GB"/>
              </w:rPr>
            </w:pPr>
            <w:r w:rsidRPr="004568A2">
              <w:t>27</w:t>
            </w:r>
          </w:p>
        </w:tc>
        <w:tc>
          <w:tcPr>
            <w:tcW w:w="1024" w:type="pct"/>
            <w:shd w:val="clear" w:color="auto" w:fill="FFFFFF"/>
          </w:tcPr>
          <w:p w14:paraId="67FC6552" w14:textId="254762C3" w:rsidR="00C90CE9" w:rsidRPr="004568A2" w:rsidRDefault="00C90CE9" w:rsidP="00C815F0">
            <w:pPr>
              <w:pStyle w:val="CETBodytext"/>
              <w:keepNext/>
              <w:ind w:right="-1"/>
              <w:rPr>
                <w:rFonts w:cs="Arial"/>
                <w:szCs w:val="18"/>
                <w:lang w:val="en-GB"/>
              </w:rPr>
            </w:pPr>
            <w:r w:rsidRPr="004568A2">
              <w:t>297</w:t>
            </w:r>
          </w:p>
        </w:tc>
      </w:tr>
      <w:tr w:rsidR="00C90CE9" w:rsidRPr="004568A2" w14:paraId="58655954" w14:textId="77777777" w:rsidTr="00555911">
        <w:tc>
          <w:tcPr>
            <w:tcW w:w="1209" w:type="pct"/>
            <w:shd w:val="clear" w:color="auto" w:fill="FFFFFF"/>
          </w:tcPr>
          <w:p w14:paraId="0D91EBAC" w14:textId="3EA487AA" w:rsidR="00C90CE9" w:rsidRPr="004568A2" w:rsidRDefault="00C90CE9" w:rsidP="00C815F0">
            <w:pPr>
              <w:pStyle w:val="CETBodytext"/>
              <w:keepNext/>
              <w:rPr>
                <w:lang w:val="en-GB"/>
              </w:rPr>
            </w:pPr>
            <w:r w:rsidRPr="004568A2">
              <w:t>TRENTINO A. A.</w:t>
            </w:r>
          </w:p>
        </w:tc>
        <w:tc>
          <w:tcPr>
            <w:tcW w:w="1049" w:type="pct"/>
            <w:shd w:val="clear" w:color="auto" w:fill="FFFFFF"/>
          </w:tcPr>
          <w:p w14:paraId="320AD9EF" w14:textId="48F560C5" w:rsidR="00C90CE9" w:rsidRPr="004568A2" w:rsidRDefault="00C90CE9" w:rsidP="00C815F0">
            <w:pPr>
              <w:pStyle w:val="CETBodytext"/>
              <w:keepNext/>
              <w:rPr>
                <w:lang w:val="en-GB"/>
              </w:rPr>
            </w:pPr>
            <w:r w:rsidRPr="004568A2">
              <w:t>1'702</w:t>
            </w:r>
          </w:p>
        </w:tc>
        <w:tc>
          <w:tcPr>
            <w:tcW w:w="1048" w:type="pct"/>
            <w:shd w:val="clear" w:color="auto" w:fill="FFFFFF"/>
          </w:tcPr>
          <w:p w14:paraId="6557855B" w14:textId="088E4182" w:rsidR="00C90CE9" w:rsidRPr="004568A2" w:rsidRDefault="00C90CE9" w:rsidP="00C815F0">
            <w:pPr>
              <w:pStyle w:val="CETBodytext"/>
              <w:keepNext/>
              <w:rPr>
                <w:lang w:val="en-GB"/>
              </w:rPr>
            </w:pPr>
            <w:r w:rsidRPr="004568A2">
              <w:t>137</w:t>
            </w:r>
          </w:p>
        </w:tc>
        <w:tc>
          <w:tcPr>
            <w:tcW w:w="669" w:type="pct"/>
            <w:shd w:val="clear" w:color="auto" w:fill="FFFFFF"/>
          </w:tcPr>
          <w:p w14:paraId="69A3E499" w14:textId="5473C6D5" w:rsidR="00C90CE9" w:rsidRPr="004568A2" w:rsidRDefault="00C90CE9" w:rsidP="00C815F0">
            <w:pPr>
              <w:pStyle w:val="CETBodytext"/>
              <w:keepNext/>
              <w:ind w:right="-1"/>
              <w:rPr>
                <w:rFonts w:cs="Arial"/>
                <w:szCs w:val="18"/>
                <w:lang w:val="en-GB"/>
              </w:rPr>
            </w:pPr>
            <w:r w:rsidRPr="004568A2">
              <w:t>8</w:t>
            </w:r>
          </w:p>
        </w:tc>
        <w:tc>
          <w:tcPr>
            <w:tcW w:w="1024" w:type="pct"/>
            <w:shd w:val="clear" w:color="auto" w:fill="FFFFFF"/>
          </w:tcPr>
          <w:p w14:paraId="4F85BB0A" w14:textId="789FB277" w:rsidR="00C90CE9" w:rsidRPr="004568A2" w:rsidRDefault="00C90CE9" w:rsidP="00C815F0">
            <w:pPr>
              <w:pStyle w:val="CETBodytext"/>
              <w:keepNext/>
              <w:ind w:right="-1"/>
              <w:rPr>
                <w:rFonts w:cs="Arial"/>
                <w:szCs w:val="18"/>
                <w:lang w:val="en-GB"/>
              </w:rPr>
            </w:pPr>
            <w:r w:rsidRPr="004568A2">
              <w:t>33</w:t>
            </w:r>
          </w:p>
        </w:tc>
      </w:tr>
      <w:tr w:rsidR="00C90CE9" w:rsidRPr="004568A2" w14:paraId="0FFF2066" w14:textId="77777777" w:rsidTr="00555911">
        <w:tc>
          <w:tcPr>
            <w:tcW w:w="1209" w:type="pct"/>
            <w:shd w:val="clear" w:color="auto" w:fill="FFFFFF"/>
          </w:tcPr>
          <w:p w14:paraId="58B34ED1" w14:textId="218E7E50" w:rsidR="00C90CE9" w:rsidRPr="004568A2" w:rsidRDefault="00C90CE9" w:rsidP="00C815F0">
            <w:pPr>
              <w:pStyle w:val="CETBodytext"/>
              <w:keepNext/>
              <w:rPr>
                <w:lang w:val="en-GB"/>
              </w:rPr>
            </w:pPr>
            <w:r w:rsidRPr="004568A2">
              <w:t>UMBRIA</w:t>
            </w:r>
          </w:p>
        </w:tc>
        <w:tc>
          <w:tcPr>
            <w:tcW w:w="1049" w:type="pct"/>
            <w:shd w:val="clear" w:color="auto" w:fill="FFFFFF"/>
          </w:tcPr>
          <w:p w14:paraId="71E38908" w14:textId="729078EF" w:rsidR="00C90CE9" w:rsidRPr="004568A2" w:rsidRDefault="00C90CE9" w:rsidP="00C815F0">
            <w:pPr>
              <w:pStyle w:val="CETBodytext"/>
              <w:keepNext/>
              <w:rPr>
                <w:lang w:val="en-GB"/>
              </w:rPr>
            </w:pPr>
            <w:r w:rsidRPr="004568A2">
              <w:t>1'133</w:t>
            </w:r>
          </w:p>
        </w:tc>
        <w:tc>
          <w:tcPr>
            <w:tcW w:w="1048" w:type="pct"/>
            <w:shd w:val="clear" w:color="auto" w:fill="FFFFFF"/>
          </w:tcPr>
          <w:p w14:paraId="410CE155" w14:textId="2B7C59AB" w:rsidR="00C90CE9" w:rsidRPr="004568A2" w:rsidRDefault="00C90CE9" w:rsidP="00C815F0">
            <w:pPr>
              <w:pStyle w:val="CETBodytext"/>
              <w:keepNext/>
              <w:rPr>
                <w:lang w:val="en-GB"/>
              </w:rPr>
            </w:pPr>
            <w:r w:rsidRPr="004568A2">
              <w:t>119</w:t>
            </w:r>
          </w:p>
        </w:tc>
        <w:tc>
          <w:tcPr>
            <w:tcW w:w="669" w:type="pct"/>
            <w:shd w:val="clear" w:color="auto" w:fill="FFFFFF"/>
          </w:tcPr>
          <w:p w14:paraId="262D433C" w14:textId="5C88BDE0" w:rsidR="00C90CE9" w:rsidRPr="004568A2" w:rsidRDefault="00C90CE9" w:rsidP="00C815F0">
            <w:pPr>
              <w:pStyle w:val="CETBodytext"/>
              <w:keepNext/>
              <w:ind w:right="-1"/>
              <w:rPr>
                <w:rFonts w:cs="Arial"/>
                <w:szCs w:val="18"/>
                <w:lang w:val="en-GB"/>
              </w:rPr>
            </w:pPr>
            <w:r w:rsidRPr="004568A2">
              <w:t>6</w:t>
            </w:r>
          </w:p>
        </w:tc>
        <w:tc>
          <w:tcPr>
            <w:tcW w:w="1024" w:type="pct"/>
            <w:shd w:val="clear" w:color="auto" w:fill="FFFFFF"/>
          </w:tcPr>
          <w:p w14:paraId="317927F8" w14:textId="04E92287" w:rsidR="00C90CE9" w:rsidRPr="004568A2" w:rsidRDefault="00C90CE9" w:rsidP="00C815F0">
            <w:pPr>
              <w:pStyle w:val="CETBodytext"/>
              <w:keepNext/>
              <w:ind w:right="-1"/>
              <w:rPr>
                <w:rFonts w:cs="Arial"/>
                <w:szCs w:val="18"/>
                <w:lang w:val="en-GB"/>
              </w:rPr>
            </w:pPr>
            <w:r w:rsidRPr="004568A2">
              <w:t>134</w:t>
            </w:r>
          </w:p>
        </w:tc>
      </w:tr>
      <w:tr w:rsidR="008C147A" w:rsidRPr="004568A2" w14:paraId="53FB0912" w14:textId="77777777" w:rsidTr="00555911">
        <w:tc>
          <w:tcPr>
            <w:tcW w:w="1209" w:type="pct"/>
            <w:shd w:val="clear" w:color="auto" w:fill="FFFFFF"/>
          </w:tcPr>
          <w:p w14:paraId="18244F17" w14:textId="1F3482F8" w:rsidR="00C90CE9" w:rsidRPr="004568A2" w:rsidRDefault="00C90CE9" w:rsidP="00C90CE9">
            <w:pPr>
              <w:pStyle w:val="CETBodytext"/>
              <w:ind w:right="-1"/>
              <w:rPr>
                <w:rFonts w:cs="Arial"/>
                <w:szCs w:val="18"/>
                <w:lang w:val="en-GB"/>
              </w:rPr>
            </w:pPr>
            <w:r w:rsidRPr="004568A2">
              <w:t>VALLE D'AOSTA</w:t>
            </w:r>
          </w:p>
        </w:tc>
        <w:tc>
          <w:tcPr>
            <w:tcW w:w="1049" w:type="pct"/>
            <w:shd w:val="clear" w:color="auto" w:fill="FFFFFF"/>
          </w:tcPr>
          <w:p w14:paraId="43FAF527" w14:textId="25F72591" w:rsidR="00C90CE9" w:rsidRPr="004568A2" w:rsidRDefault="00C90CE9" w:rsidP="00C90CE9">
            <w:pPr>
              <w:pStyle w:val="CETBodytext"/>
              <w:ind w:right="-1"/>
              <w:rPr>
                <w:rFonts w:cs="Arial"/>
                <w:szCs w:val="18"/>
                <w:lang w:val="en-GB"/>
              </w:rPr>
            </w:pPr>
            <w:r w:rsidRPr="004568A2">
              <w:t>311</w:t>
            </w:r>
          </w:p>
        </w:tc>
        <w:tc>
          <w:tcPr>
            <w:tcW w:w="1048" w:type="pct"/>
            <w:shd w:val="clear" w:color="auto" w:fill="FFFFFF"/>
          </w:tcPr>
          <w:p w14:paraId="0D9BC42B" w14:textId="748A7E39" w:rsidR="00C90CE9" w:rsidRPr="004568A2" w:rsidRDefault="00C90CE9" w:rsidP="00C90CE9">
            <w:pPr>
              <w:pStyle w:val="CETBodytext"/>
              <w:ind w:right="-1"/>
              <w:rPr>
                <w:rFonts w:cs="Arial"/>
                <w:szCs w:val="18"/>
                <w:lang w:val="en-GB"/>
              </w:rPr>
            </w:pPr>
            <w:r w:rsidRPr="004568A2">
              <w:t>12</w:t>
            </w:r>
          </w:p>
        </w:tc>
        <w:tc>
          <w:tcPr>
            <w:tcW w:w="669" w:type="pct"/>
            <w:shd w:val="clear" w:color="auto" w:fill="FFFFFF"/>
          </w:tcPr>
          <w:p w14:paraId="2BC167C9" w14:textId="6564766C" w:rsidR="00C90CE9" w:rsidRPr="004568A2" w:rsidRDefault="00C90CE9" w:rsidP="00C90CE9">
            <w:pPr>
              <w:pStyle w:val="CETBodytext"/>
              <w:ind w:right="-1"/>
              <w:rPr>
                <w:rFonts w:cs="Arial"/>
                <w:szCs w:val="18"/>
                <w:lang w:val="en-GB"/>
              </w:rPr>
            </w:pPr>
            <w:r w:rsidRPr="004568A2">
              <w:t>1</w:t>
            </w:r>
          </w:p>
        </w:tc>
        <w:tc>
          <w:tcPr>
            <w:tcW w:w="1024" w:type="pct"/>
            <w:shd w:val="clear" w:color="auto" w:fill="FFFFFF"/>
          </w:tcPr>
          <w:p w14:paraId="35B74C68" w14:textId="188599F5" w:rsidR="00C90CE9" w:rsidRPr="004568A2" w:rsidRDefault="00C90CE9" w:rsidP="00C90CE9">
            <w:pPr>
              <w:pStyle w:val="CETBodytext"/>
              <w:ind w:right="-1"/>
              <w:rPr>
                <w:rFonts w:cs="Arial"/>
                <w:szCs w:val="18"/>
                <w:lang w:val="en-GB"/>
              </w:rPr>
            </w:pPr>
            <w:r w:rsidRPr="004568A2">
              <w:t>1</w:t>
            </w:r>
          </w:p>
        </w:tc>
      </w:tr>
      <w:tr w:rsidR="00555911" w:rsidRPr="004568A2" w14:paraId="5EFC329E" w14:textId="77777777" w:rsidTr="00555911">
        <w:tc>
          <w:tcPr>
            <w:tcW w:w="1209" w:type="pct"/>
            <w:shd w:val="clear" w:color="auto" w:fill="FFFFFF"/>
          </w:tcPr>
          <w:p w14:paraId="36DEB1AE" w14:textId="39C6E70F" w:rsidR="00555911" w:rsidRPr="004568A2" w:rsidRDefault="00555911" w:rsidP="00555911">
            <w:pPr>
              <w:pStyle w:val="CETBodytext"/>
              <w:ind w:right="-1"/>
            </w:pPr>
            <w:r>
              <w:t>VENETO</w:t>
            </w:r>
          </w:p>
        </w:tc>
        <w:tc>
          <w:tcPr>
            <w:tcW w:w="1049" w:type="pct"/>
            <w:shd w:val="clear" w:color="auto" w:fill="FFFFFF"/>
          </w:tcPr>
          <w:p w14:paraId="18532B4B" w14:textId="30EFCDC8" w:rsidR="00555911" w:rsidRPr="004568A2" w:rsidRDefault="00555911" w:rsidP="00555911">
            <w:pPr>
              <w:pStyle w:val="CETBodytext"/>
              <w:ind w:right="-1"/>
            </w:pPr>
            <w:r>
              <w:t>11’634</w:t>
            </w:r>
          </w:p>
        </w:tc>
        <w:tc>
          <w:tcPr>
            <w:tcW w:w="1048" w:type="pct"/>
            <w:shd w:val="clear" w:color="auto" w:fill="FFFFFF"/>
          </w:tcPr>
          <w:p w14:paraId="49B08FDF" w14:textId="7AB62ECB" w:rsidR="00555911" w:rsidRPr="004568A2" w:rsidRDefault="00555911" w:rsidP="00555911">
            <w:pPr>
              <w:pStyle w:val="CETBodytext"/>
              <w:ind w:right="-1"/>
            </w:pPr>
            <w:r>
              <w:t>729</w:t>
            </w:r>
          </w:p>
        </w:tc>
        <w:tc>
          <w:tcPr>
            <w:tcW w:w="669" w:type="pct"/>
            <w:shd w:val="clear" w:color="auto" w:fill="FFFFFF"/>
          </w:tcPr>
          <w:p w14:paraId="158C3DA0" w14:textId="3A2E2A57" w:rsidR="00555911" w:rsidRPr="004568A2" w:rsidRDefault="00555911" w:rsidP="00555911">
            <w:pPr>
              <w:pStyle w:val="CETBodytext"/>
              <w:ind w:right="-1"/>
            </w:pPr>
            <w:r>
              <w:t>35</w:t>
            </w:r>
          </w:p>
        </w:tc>
        <w:tc>
          <w:tcPr>
            <w:tcW w:w="1024" w:type="pct"/>
            <w:shd w:val="clear" w:color="auto" w:fill="FFFFFF"/>
          </w:tcPr>
          <w:p w14:paraId="4024CDE9" w14:textId="181B2A8B" w:rsidR="00555911" w:rsidRPr="004568A2" w:rsidRDefault="00555911" w:rsidP="00555911">
            <w:pPr>
              <w:pStyle w:val="CETBodytext"/>
              <w:ind w:right="-1"/>
            </w:pPr>
            <w:r>
              <w:t>861</w:t>
            </w:r>
          </w:p>
        </w:tc>
      </w:tr>
    </w:tbl>
    <w:p w14:paraId="53C048AA" w14:textId="2E0D8070" w:rsidR="006E1BD8" w:rsidRPr="004568A2" w:rsidRDefault="006E1BD8" w:rsidP="006E1BD8">
      <w:pPr>
        <w:pStyle w:val="CETheadingx"/>
      </w:pPr>
      <w:r w:rsidRPr="004568A2">
        <w:t>Regional biofuel demand</w:t>
      </w:r>
    </w:p>
    <w:p w14:paraId="2F0140C9" w14:textId="0A645752" w:rsidR="006E1BD8" w:rsidRPr="004568A2" w:rsidRDefault="00DB7327" w:rsidP="00BA3B77">
      <w:pPr>
        <w:pStyle w:val="CETBodytext"/>
        <w:rPr>
          <w:lang w:val="en-GB"/>
        </w:rPr>
      </w:pPr>
      <w:r w:rsidRPr="004568A2">
        <w:rPr>
          <w:lang w:val="en-GB"/>
        </w:rPr>
        <w:t>The</w:t>
      </w:r>
      <w:r w:rsidR="00106EDB" w:rsidRPr="004568A2">
        <w:rPr>
          <w:lang w:val="en-GB"/>
        </w:rPr>
        <w:t xml:space="preserve"> fuel</w:t>
      </w:r>
      <w:r w:rsidRPr="004568A2">
        <w:rPr>
          <w:lang w:val="en-GB"/>
        </w:rPr>
        <w:t xml:space="preserve"> </w:t>
      </w:r>
      <w:r w:rsidR="00445886" w:rsidRPr="004568A2">
        <w:rPr>
          <w:lang w:val="en-GB"/>
        </w:rPr>
        <w:t>Italian</w:t>
      </w:r>
      <w:r w:rsidRPr="004568A2">
        <w:rPr>
          <w:lang w:val="en-GB"/>
        </w:rPr>
        <w:t xml:space="preserve"> demand </w:t>
      </w:r>
      <w:r w:rsidR="00445886" w:rsidRPr="004568A2">
        <w:rPr>
          <w:lang w:val="en-GB"/>
        </w:rPr>
        <w:t xml:space="preserve">resulted in </w:t>
      </w:r>
      <w:r w:rsidR="0091026B" w:rsidRPr="004568A2">
        <w:rPr>
          <w:lang w:val="en-GB"/>
        </w:rPr>
        <w:t>2</w:t>
      </w:r>
      <w:r w:rsidR="00CC34E9" w:rsidRPr="004568A2">
        <w:rPr>
          <w:lang w:val="en-GB"/>
        </w:rPr>
        <w:t>.</w:t>
      </w:r>
      <w:r w:rsidR="0091026B" w:rsidRPr="004568A2">
        <w:rPr>
          <w:lang w:val="en-GB"/>
        </w:rPr>
        <w:t>27</w:t>
      </w:r>
      <w:r w:rsidR="00CC34E9" w:rsidRPr="004568A2">
        <w:rPr>
          <w:lang w:val="en-GB"/>
        </w:rPr>
        <w:t xml:space="preserve"> 10</w:t>
      </w:r>
      <w:r w:rsidR="00CC34E9" w:rsidRPr="004568A2">
        <w:rPr>
          <w:vertAlign w:val="superscript"/>
          <w:lang w:val="en-GB"/>
        </w:rPr>
        <w:t>9</w:t>
      </w:r>
      <w:r w:rsidR="00CC34E9" w:rsidRPr="004568A2">
        <w:rPr>
          <w:lang w:val="en-GB"/>
        </w:rPr>
        <w:t xml:space="preserve">, </w:t>
      </w:r>
      <w:r w:rsidR="00587C7B" w:rsidRPr="004568A2">
        <w:rPr>
          <w:lang w:val="en-GB"/>
        </w:rPr>
        <w:t>1.18 10</w:t>
      </w:r>
      <w:r w:rsidR="00587C7B" w:rsidRPr="004568A2">
        <w:rPr>
          <w:vertAlign w:val="superscript"/>
          <w:lang w:val="en-GB"/>
        </w:rPr>
        <w:t>9</w:t>
      </w:r>
      <w:r w:rsidR="00587C7B" w:rsidRPr="004568A2">
        <w:rPr>
          <w:lang w:val="en-GB"/>
        </w:rPr>
        <w:t xml:space="preserve"> and 1.44 10</w:t>
      </w:r>
      <w:r w:rsidR="00587C7B" w:rsidRPr="004568A2">
        <w:rPr>
          <w:vertAlign w:val="superscript"/>
          <w:lang w:val="en-GB"/>
        </w:rPr>
        <w:t>8</w:t>
      </w:r>
      <w:r w:rsidR="00587C7B" w:rsidRPr="004568A2">
        <w:rPr>
          <w:lang w:val="en-GB"/>
        </w:rPr>
        <w:t xml:space="preserve"> GJ/y for methane</w:t>
      </w:r>
      <w:r w:rsidR="00106EDB" w:rsidRPr="004568A2">
        <w:rPr>
          <w:lang w:val="en-GB"/>
        </w:rPr>
        <w:t xml:space="preserve">, diesel and LPG respectively. </w:t>
      </w:r>
      <w:r w:rsidR="0091026B" w:rsidRPr="004568A2">
        <w:rPr>
          <w:lang w:val="en-GB"/>
        </w:rPr>
        <w:t xml:space="preserve">Figure 3 shows </w:t>
      </w:r>
      <w:r w:rsidR="00537EC7" w:rsidRPr="004568A2">
        <w:rPr>
          <w:lang w:val="en-GB"/>
        </w:rPr>
        <w:t xml:space="preserve">the regional demand </w:t>
      </w:r>
      <w:r w:rsidR="00482D62" w:rsidRPr="004568A2">
        <w:rPr>
          <w:lang w:val="en-GB"/>
        </w:rPr>
        <w:t xml:space="preserve">calculated as </w:t>
      </w:r>
      <w:r w:rsidR="00B95363" w:rsidRPr="004568A2">
        <w:rPr>
          <w:lang w:val="en-GB"/>
        </w:rPr>
        <w:t xml:space="preserve">explained in the section 2.3, </w:t>
      </w:r>
      <w:r w:rsidR="00011FAE" w:rsidRPr="004568A2">
        <w:rPr>
          <w:lang w:val="en-GB"/>
        </w:rPr>
        <w:t>highlighting</w:t>
      </w:r>
      <w:r w:rsidR="00B95363" w:rsidRPr="004568A2">
        <w:rPr>
          <w:lang w:val="en-GB"/>
        </w:rPr>
        <w:t xml:space="preserve"> </w:t>
      </w:r>
      <w:r w:rsidR="00B5733E" w:rsidRPr="004568A2">
        <w:rPr>
          <w:lang w:val="en-GB"/>
        </w:rPr>
        <w:t xml:space="preserve">methane consumption is </w:t>
      </w:r>
      <w:r w:rsidR="00E81887" w:rsidRPr="004568A2">
        <w:rPr>
          <w:lang w:val="en-GB"/>
        </w:rPr>
        <w:t xml:space="preserve">higher for Lombardia, Emilia Romagna and Piemonte, </w:t>
      </w:r>
      <w:r w:rsidR="00AA28DC" w:rsidRPr="004568A2">
        <w:rPr>
          <w:lang w:val="en-GB"/>
        </w:rPr>
        <w:t xml:space="preserve">while diesel demand is higher for Lombardia, Lazio and Campania. </w:t>
      </w:r>
      <w:r w:rsidR="00112B99" w:rsidRPr="004568A2">
        <w:rPr>
          <w:lang w:val="en-GB"/>
        </w:rPr>
        <w:t xml:space="preserve">LPG presents lower consumption for </w:t>
      </w:r>
      <w:r w:rsidR="00240218" w:rsidRPr="004568A2">
        <w:rPr>
          <w:lang w:val="en-GB"/>
        </w:rPr>
        <w:t>every region with a maximum demand for Lombardia</w:t>
      </w:r>
      <w:r w:rsidR="00DB2AE7" w:rsidRPr="004568A2">
        <w:rPr>
          <w:lang w:val="en-GB"/>
        </w:rPr>
        <w:t xml:space="preserve"> (</w:t>
      </w:r>
      <w:r w:rsidR="00C70FA5" w:rsidRPr="004568A2">
        <w:rPr>
          <w:lang w:val="en-GB"/>
        </w:rPr>
        <w:t>24 10</w:t>
      </w:r>
      <w:r w:rsidR="00C70FA5" w:rsidRPr="004568A2">
        <w:rPr>
          <w:vertAlign w:val="superscript"/>
          <w:lang w:val="en-GB"/>
        </w:rPr>
        <w:t>6</w:t>
      </w:r>
      <w:r w:rsidR="00C70FA5" w:rsidRPr="004568A2">
        <w:rPr>
          <w:lang w:val="en-GB"/>
        </w:rPr>
        <w:t xml:space="preserve"> GJ/y). Sardegna is the only one region without methane </w:t>
      </w:r>
      <w:r w:rsidR="004131E4" w:rsidRPr="004568A2">
        <w:rPr>
          <w:lang w:val="en-GB"/>
        </w:rPr>
        <w:t>consumption due to absence of the methane distribution grid</w:t>
      </w:r>
      <w:r w:rsidR="009442CC" w:rsidRPr="004568A2">
        <w:rPr>
          <w:lang w:val="en-GB"/>
        </w:rPr>
        <w:t xml:space="preserve"> and a very low LP</w:t>
      </w:r>
      <w:r w:rsidR="00510C84" w:rsidRPr="004568A2">
        <w:rPr>
          <w:lang w:val="en-GB"/>
        </w:rPr>
        <w:t>G</w:t>
      </w:r>
      <w:r w:rsidR="009442CC" w:rsidRPr="004568A2">
        <w:rPr>
          <w:lang w:val="en-GB"/>
        </w:rPr>
        <w:t xml:space="preserve"> demand (about 4 10</w:t>
      </w:r>
      <w:r w:rsidR="009442CC" w:rsidRPr="004568A2">
        <w:rPr>
          <w:vertAlign w:val="superscript"/>
          <w:lang w:val="en-GB"/>
        </w:rPr>
        <w:t>6</w:t>
      </w:r>
      <w:r w:rsidR="009442CC" w:rsidRPr="004568A2">
        <w:rPr>
          <w:lang w:val="en-GB"/>
        </w:rPr>
        <w:t xml:space="preserve"> GJ/y)</w:t>
      </w:r>
      <w:r w:rsidR="004131E4" w:rsidRPr="004568A2">
        <w:rPr>
          <w:lang w:val="en-GB"/>
        </w:rPr>
        <w:t>.</w:t>
      </w:r>
    </w:p>
    <w:p w14:paraId="76EDC8F8" w14:textId="10F17E5C" w:rsidR="004B1823" w:rsidRPr="004568A2" w:rsidRDefault="004B1823" w:rsidP="004B1823">
      <w:pPr>
        <w:pStyle w:val="CETheadingx"/>
      </w:pPr>
      <w:r w:rsidRPr="004568A2">
        <w:t xml:space="preserve">Regional demand coverable by </w:t>
      </w:r>
      <w:r w:rsidR="005911FF" w:rsidRPr="004568A2">
        <w:t xml:space="preserve">locally produced </w:t>
      </w:r>
      <w:r w:rsidRPr="004568A2">
        <w:t>biofuel</w:t>
      </w:r>
      <w:r w:rsidR="005911FF" w:rsidRPr="004568A2">
        <w:t>s</w:t>
      </w:r>
    </w:p>
    <w:p w14:paraId="7409BCF9" w14:textId="75912C2E" w:rsidR="00B400DF" w:rsidRPr="004568A2" w:rsidRDefault="005911FF" w:rsidP="00655AFA">
      <w:pPr>
        <w:pStyle w:val="CETBodytext"/>
      </w:pPr>
      <w:r w:rsidRPr="004568A2">
        <w:t xml:space="preserve">Finally, for each region </w:t>
      </w:r>
      <w:r w:rsidR="00B53F13" w:rsidRPr="004568A2">
        <w:t xml:space="preserve">the percentage of the fuel demand </w:t>
      </w:r>
      <w:r w:rsidR="00B2130F" w:rsidRPr="004568A2">
        <w:t xml:space="preserve">that </w:t>
      </w:r>
      <w:r w:rsidR="00B53F13" w:rsidRPr="004568A2">
        <w:t>could be covered by biofuel produced from regional bioresources was calculated by a NLP optimization strategy.</w:t>
      </w:r>
      <w:r w:rsidR="00554CD6" w:rsidRPr="004568A2">
        <w:t xml:space="preserve"> </w:t>
      </w:r>
      <w:r w:rsidR="00541695" w:rsidRPr="004568A2">
        <w:t>Figure 4 shows</w:t>
      </w:r>
      <w:r w:rsidR="007D6219" w:rsidRPr="004568A2">
        <w:t xml:space="preserve"> </w:t>
      </w:r>
      <w:r w:rsidR="00E81609" w:rsidRPr="004568A2">
        <w:t xml:space="preserve">decreasing the total biofuel demand </w:t>
      </w:r>
      <w:r w:rsidR="00551E35" w:rsidRPr="004568A2">
        <w:t>can be covered by local bioresource valorization.</w:t>
      </w:r>
      <w:r w:rsidR="00554CD6" w:rsidRPr="004568A2">
        <w:t xml:space="preserve"> </w:t>
      </w:r>
      <w:r w:rsidR="003E60A0" w:rsidRPr="004568A2">
        <w:t xml:space="preserve">By maximization of </w:t>
      </w:r>
      <w:r w:rsidR="00401ECF" w:rsidRPr="004568A2">
        <w:t xml:space="preserve">both </w:t>
      </w:r>
      <w:r w:rsidR="00A117E9" w:rsidRPr="004568A2">
        <w:rPr>
          <w:i/>
          <w:iCs/>
        </w:rPr>
        <w:t>OF</w:t>
      </w:r>
      <w:r w:rsidR="00401ECF" w:rsidRPr="004568A2">
        <w:rPr>
          <w:i/>
          <w:iCs/>
        </w:rPr>
        <w:t xml:space="preserve">s </w:t>
      </w:r>
      <w:r w:rsidR="009E248D" w:rsidRPr="004568A2">
        <w:t>Sardegna</w:t>
      </w:r>
      <w:r w:rsidR="00401ECF" w:rsidRPr="004568A2">
        <w:t xml:space="preserve"> </w:t>
      </w:r>
      <w:r w:rsidR="0024679B" w:rsidRPr="004568A2">
        <w:t>presents the best performances</w:t>
      </w:r>
      <w:r w:rsidR="0036115F" w:rsidRPr="004568A2">
        <w:t xml:space="preserve"> with more than </w:t>
      </w:r>
      <w:r w:rsidR="00A018F9" w:rsidRPr="004568A2">
        <w:t>7</w:t>
      </w:r>
      <w:r w:rsidR="00B16826" w:rsidRPr="004568A2">
        <w:t>0% of biofuel demand satisfied</w:t>
      </w:r>
      <w:r w:rsidR="00A018F9" w:rsidRPr="004568A2">
        <w:t xml:space="preserve">. Basilicata </w:t>
      </w:r>
      <w:r w:rsidR="00990EB8" w:rsidRPr="004568A2">
        <w:t xml:space="preserve">can reach a 18-20 % of covering, </w:t>
      </w:r>
      <w:r w:rsidR="00862961" w:rsidRPr="004568A2">
        <w:t xml:space="preserve">Marche and Molise </w:t>
      </w:r>
      <w:r w:rsidR="006A2411" w:rsidRPr="004568A2">
        <w:t>a</w:t>
      </w:r>
      <w:r w:rsidR="003C1212" w:rsidRPr="004568A2">
        <w:t>tt</w:t>
      </w:r>
      <w:r w:rsidR="006A2411" w:rsidRPr="004568A2">
        <w:t>es</w:t>
      </w:r>
      <w:r w:rsidR="003C1212" w:rsidRPr="004568A2">
        <w:t>t</w:t>
      </w:r>
      <w:r w:rsidR="006A2411" w:rsidRPr="004568A2">
        <w:t>ed</w:t>
      </w:r>
      <w:r w:rsidR="00862961" w:rsidRPr="004568A2">
        <w:t xml:space="preserve"> to more than</w:t>
      </w:r>
      <w:r w:rsidR="002F5C0F" w:rsidRPr="004568A2">
        <w:t xml:space="preserve"> 6 %</w:t>
      </w:r>
      <w:r w:rsidR="001C4BB2" w:rsidRPr="004568A2">
        <w:t>.</w:t>
      </w:r>
    </w:p>
    <w:p w14:paraId="6824A32E" w14:textId="4DCF3911" w:rsidR="00B400DF" w:rsidRPr="004568A2" w:rsidRDefault="0097383C" w:rsidP="00B400DF">
      <w:pPr>
        <w:pStyle w:val="CETBodytext"/>
        <w:keepNext/>
        <w:rPr>
          <w:lang w:val="en-GB"/>
        </w:rPr>
      </w:pPr>
      <w:r>
        <w:rPr>
          <w:noProof/>
          <w:lang w:val="en-GB"/>
        </w:rPr>
        <w:drawing>
          <wp:inline distT="0" distB="0" distL="0" distR="0" wp14:anchorId="1AE5DCF2" wp14:editId="3C0DEC54">
            <wp:extent cx="4163392" cy="2169994"/>
            <wp:effectExtent l="0" t="0" r="8890" b="1905"/>
            <wp:docPr id="872213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855" t="4409" r="2136" b="2690"/>
                    <a:stretch/>
                  </pic:blipFill>
                  <pic:spPr bwMode="auto">
                    <a:xfrm>
                      <a:off x="0" y="0"/>
                      <a:ext cx="4175104" cy="2176099"/>
                    </a:xfrm>
                    <a:prstGeom prst="rect">
                      <a:avLst/>
                    </a:prstGeom>
                    <a:noFill/>
                    <a:ln>
                      <a:noFill/>
                    </a:ln>
                    <a:extLst>
                      <a:ext uri="{53640926-AAD7-44D8-BBD7-CCE9431645EC}">
                        <a14:shadowObscured xmlns:a14="http://schemas.microsoft.com/office/drawing/2010/main"/>
                      </a:ext>
                    </a:extLst>
                  </pic:spPr>
                </pic:pic>
              </a:graphicData>
            </a:graphic>
          </wp:inline>
        </w:drawing>
      </w:r>
    </w:p>
    <w:p w14:paraId="60950C07" w14:textId="77777777" w:rsidR="00B400DF" w:rsidRPr="004568A2" w:rsidRDefault="00B400DF" w:rsidP="00B400DF">
      <w:pPr>
        <w:pStyle w:val="CETCaption"/>
      </w:pPr>
      <w:r w:rsidRPr="004568A2">
        <w:rPr>
          <w:rStyle w:val="CETCaptionCarattere"/>
          <w:i/>
        </w:rPr>
        <w:t>Figure 3: Regional demand of methane, diesel and LPG</w:t>
      </w:r>
      <w:r w:rsidRPr="004568A2">
        <w:t xml:space="preserve"> </w:t>
      </w:r>
    </w:p>
    <w:p w14:paraId="45B4A9E5" w14:textId="02C9D2BF" w:rsidR="001B4BA6" w:rsidRPr="004568A2" w:rsidRDefault="003177DB" w:rsidP="00655AFA">
      <w:pPr>
        <w:pStyle w:val="CETBodytext"/>
        <w:rPr>
          <w:lang w:val="en-GB"/>
        </w:rPr>
      </w:pPr>
      <w:r w:rsidRPr="004568A2">
        <w:lastRenderedPageBreak/>
        <w:t>These regions have low fuel consumption but consolidated rural activities producing residual biomass.</w:t>
      </w:r>
      <w:r w:rsidR="009865BF" w:rsidRPr="004568A2">
        <w:t xml:space="preserve"> </w:t>
      </w:r>
      <w:r w:rsidR="003C1212" w:rsidRPr="004568A2">
        <w:t>Also,</w:t>
      </w:r>
      <w:r w:rsidR="001C4BB2" w:rsidRPr="004568A2">
        <w:t xml:space="preserve"> the big regions </w:t>
      </w:r>
      <w:r w:rsidR="00B54548" w:rsidRPr="004568A2">
        <w:t>Campania, Sicilia and Veneto can have 5-11 % of biofuel demand satisfied.</w:t>
      </w:r>
      <w:r w:rsidR="009865BF" w:rsidRPr="004568A2">
        <w:t xml:space="preserve"> </w:t>
      </w:r>
      <w:r w:rsidR="00655AFA" w:rsidRPr="004568A2">
        <w:rPr>
          <w:lang w:val="en-GB"/>
        </w:rPr>
        <w:t>Figure 4 shows a methane demand can be covered by biomethane less than 1</w:t>
      </w:r>
      <w:r w:rsidR="0073098E" w:rsidRPr="004568A2">
        <w:rPr>
          <w:lang w:val="en-GB"/>
        </w:rPr>
        <w:t>5</w:t>
      </w:r>
      <w:r w:rsidR="00655AFA" w:rsidRPr="004568A2">
        <w:rPr>
          <w:lang w:val="en-GB"/>
        </w:rPr>
        <w:t xml:space="preserve">% everywhere. </w:t>
      </w:r>
      <w:r w:rsidR="008B6C21" w:rsidRPr="004568A2">
        <w:rPr>
          <w:lang w:val="en-GB"/>
        </w:rPr>
        <w:t xml:space="preserve">When </w:t>
      </w:r>
      <w:r w:rsidR="00FB2268" w:rsidRPr="004568A2">
        <w:rPr>
          <w:lang w:val="en-GB"/>
        </w:rPr>
        <w:t>the total biofuel production was maximized</w:t>
      </w:r>
      <w:r w:rsidR="0012134A" w:rsidRPr="004568A2">
        <w:rPr>
          <w:lang w:val="en-GB"/>
        </w:rPr>
        <w:t xml:space="preserve"> (eq. </w:t>
      </w:r>
      <w:r w:rsidR="006C0440" w:rsidRPr="004568A2">
        <w:rPr>
          <w:lang w:val="en-GB"/>
        </w:rPr>
        <w:t>2</w:t>
      </w:r>
      <w:r w:rsidR="005E30AB" w:rsidRPr="004568A2">
        <w:rPr>
          <w:lang w:val="en-GB"/>
        </w:rPr>
        <w:t>)</w:t>
      </w:r>
      <w:r w:rsidR="00FB2268" w:rsidRPr="004568A2">
        <w:rPr>
          <w:lang w:val="en-GB"/>
        </w:rPr>
        <w:t>, h</w:t>
      </w:r>
      <w:r w:rsidR="00655AFA" w:rsidRPr="004568A2">
        <w:rPr>
          <w:lang w:val="en-GB"/>
        </w:rPr>
        <w:t>igher biomethane coverage</w:t>
      </w:r>
      <w:r w:rsidR="00FB2268" w:rsidRPr="004568A2">
        <w:rPr>
          <w:lang w:val="en-GB"/>
        </w:rPr>
        <w:t>s</w:t>
      </w:r>
      <w:r w:rsidR="00655AFA" w:rsidRPr="004568A2">
        <w:rPr>
          <w:lang w:val="en-GB"/>
        </w:rPr>
        <w:t xml:space="preserve"> are found for Basilicata, </w:t>
      </w:r>
      <w:r w:rsidR="004F5F2C" w:rsidRPr="004568A2">
        <w:rPr>
          <w:lang w:val="en-GB"/>
        </w:rPr>
        <w:t xml:space="preserve">Campania e Veneto </w:t>
      </w:r>
      <w:r w:rsidR="00655AFA" w:rsidRPr="004568A2">
        <w:rPr>
          <w:lang w:val="en-GB"/>
        </w:rPr>
        <w:t>(</w:t>
      </w:r>
      <w:r w:rsidR="006A7B94" w:rsidRPr="004568A2">
        <w:rPr>
          <w:lang w:val="en-GB"/>
        </w:rPr>
        <w:t>14.8</w:t>
      </w:r>
      <w:r w:rsidR="00655AFA" w:rsidRPr="004568A2">
        <w:rPr>
          <w:lang w:val="en-GB"/>
        </w:rPr>
        <w:t xml:space="preserve">, </w:t>
      </w:r>
      <w:r w:rsidR="006A7B94" w:rsidRPr="004568A2">
        <w:rPr>
          <w:lang w:val="en-GB"/>
        </w:rPr>
        <w:t>9</w:t>
      </w:r>
      <w:r w:rsidR="00655AFA" w:rsidRPr="004568A2">
        <w:rPr>
          <w:lang w:val="en-GB"/>
        </w:rPr>
        <w:t>.</w:t>
      </w:r>
      <w:r w:rsidR="006A7B94" w:rsidRPr="004568A2">
        <w:rPr>
          <w:lang w:val="en-GB"/>
        </w:rPr>
        <w:t>4</w:t>
      </w:r>
      <w:r w:rsidR="00655AFA" w:rsidRPr="004568A2">
        <w:rPr>
          <w:lang w:val="en-GB"/>
        </w:rPr>
        <w:t xml:space="preserve">, </w:t>
      </w:r>
      <w:r w:rsidR="00246135" w:rsidRPr="004568A2">
        <w:rPr>
          <w:lang w:val="en-GB"/>
        </w:rPr>
        <w:t>7</w:t>
      </w:r>
      <w:r w:rsidR="00655AFA" w:rsidRPr="004568A2">
        <w:rPr>
          <w:lang w:val="en-GB"/>
        </w:rPr>
        <w:t>.</w:t>
      </w:r>
      <w:r w:rsidR="00246135" w:rsidRPr="004568A2">
        <w:rPr>
          <w:lang w:val="en-GB"/>
        </w:rPr>
        <w:t>8</w:t>
      </w:r>
      <w:r w:rsidR="00655AFA" w:rsidRPr="004568A2">
        <w:rPr>
          <w:lang w:val="en-GB"/>
        </w:rPr>
        <w:t xml:space="preserve"> % respectively), </w:t>
      </w:r>
      <w:r w:rsidR="007277EA" w:rsidRPr="004568A2">
        <w:rPr>
          <w:lang w:val="en-GB"/>
        </w:rPr>
        <w:t xml:space="preserve">for Basilicata region </w:t>
      </w:r>
      <w:r w:rsidR="00655AFA" w:rsidRPr="004568A2">
        <w:rPr>
          <w:lang w:val="en-GB"/>
        </w:rPr>
        <w:t>due to very low methane consumptions</w:t>
      </w:r>
      <w:r w:rsidR="007277EA" w:rsidRPr="004568A2">
        <w:rPr>
          <w:lang w:val="en-GB"/>
        </w:rPr>
        <w:t xml:space="preserve"> (Figure 3)</w:t>
      </w:r>
      <w:r w:rsidR="00655AFA" w:rsidRPr="004568A2">
        <w:rPr>
          <w:lang w:val="en-GB"/>
        </w:rPr>
        <w:t xml:space="preserve"> and on the other hand a manure availability in the same range of the other regions. </w:t>
      </w:r>
      <w:r w:rsidR="00281D8E" w:rsidRPr="004568A2">
        <w:rPr>
          <w:lang w:val="en-GB"/>
        </w:rPr>
        <w:t xml:space="preserve">Campania and </w:t>
      </w:r>
      <w:r w:rsidR="00655AFA" w:rsidRPr="004568A2">
        <w:rPr>
          <w:lang w:val="en-GB"/>
        </w:rPr>
        <w:t>Veneto ha</w:t>
      </w:r>
      <w:r w:rsidR="00281D8E" w:rsidRPr="004568A2">
        <w:rPr>
          <w:lang w:val="en-GB"/>
        </w:rPr>
        <w:t>ve</w:t>
      </w:r>
      <w:r w:rsidR="00655AFA" w:rsidRPr="004568A2">
        <w:rPr>
          <w:lang w:val="en-GB"/>
        </w:rPr>
        <w:t xml:space="preserve"> </w:t>
      </w:r>
      <w:r w:rsidR="00281D8E" w:rsidRPr="004568A2">
        <w:rPr>
          <w:lang w:val="en-GB"/>
        </w:rPr>
        <w:t xml:space="preserve">high </w:t>
      </w:r>
      <w:r w:rsidR="00655AFA" w:rsidRPr="004568A2">
        <w:rPr>
          <w:lang w:val="en-GB"/>
        </w:rPr>
        <w:t xml:space="preserve">available manure and OFMSW </w:t>
      </w:r>
      <w:r w:rsidR="007D3899" w:rsidRPr="004568A2">
        <w:rPr>
          <w:lang w:val="en-GB"/>
        </w:rPr>
        <w:t xml:space="preserve">(Table 1) </w:t>
      </w:r>
      <w:r w:rsidR="00655AFA" w:rsidRPr="004568A2">
        <w:rPr>
          <w:lang w:val="en-GB"/>
        </w:rPr>
        <w:t>with a methane consumption of</w:t>
      </w:r>
      <w:r w:rsidR="004917C7" w:rsidRPr="004568A2">
        <w:rPr>
          <w:lang w:val="en-GB"/>
        </w:rPr>
        <w:t xml:space="preserve"> 8</w:t>
      </w:r>
      <w:r w:rsidR="001D5AA5" w:rsidRPr="004568A2">
        <w:rPr>
          <w:lang w:val="en-GB"/>
        </w:rPr>
        <w:t>.</w:t>
      </w:r>
      <w:r w:rsidR="004917C7" w:rsidRPr="004568A2">
        <w:rPr>
          <w:lang w:val="en-GB"/>
        </w:rPr>
        <w:t>3</w:t>
      </w:r>
      <w:r w:rsidR="001D5AA5" w:rsidRPr="004568A2">
        <w:rPr>
          <w:lang w:val="en-GB"/>
        </w:rPr>
        <w:t xml:space="preserve"> 10</w:t>
      </w:r>
      <w:r w:rsidR="001D5AA5" w:rsidRPr="004568A2">
        <w:rPr>
          <w:vertAlign w:val="superscript"/>
          <w:lang w:val="en-GB"/>
        </w:rPr>
        <w:t>7</w:t>
      </w:r>
      <w:r w:rsidR="004917C7" w:rsidRPr="004568A2">
        <w:rPr>
          <w:lang w:val="en-GB"/>
        </w:rPr>
        <w:t xml:space="preserve"> and</w:t>
      </w:r>
      <w:r w:rsidR="00655AFA" w:rsidRPr="004568A2">
        <w:rPr>
          <w:lang w:val="en-GB"/>
        </w:rPr>
        <w:t xml:space="preserve"> 1.85 10</w:t>
      </w:r>
      <w:r w:rsidR="00655AFA" w:rsidRPr="004568A2">
        <w:rPr>
          <w:vertAlign w:val="superscript"/>
          <w:lang w:val="en-GB"/>
        </w:rPr>
        <w:t>8</w:t>
      </w:r>
      <w:r w:rsidR="00655AFA" w:rsidRPr="004568A2">
        <w:rPr>
          <w:lang w:val="en-GB"/>
        </w:rPr>
        <w:t xml:space="preserve"> GJ/y</w:t>
      </w:r>
      <w:r w:rsidR="007277EA" w:rsidRPr="004568A2">
        <w:rPr>
          <w:lang w:val="en-GB"/>
        </w:rPr>
        <w:t xml:space="preserve"> respectively</w:t>
      </w:r>
      <w:r w:rsidR="00655AFA" w:rsidRPr="004568A2">
        <w:rPr>
          <w:lang w:val="en-GB"/>
        </w:rPr>
        <w:t>, lower than methane demand of other big regions as Piemonte (2.47 108 GJ/y)</w:t>
      </w:r>
      <w:r w:rsidR="00D604C0" w:rsidRPr="004568A2">
        <w:rPr>
          <w:lang w:val="en-GB"/>
        </w:rPr>
        <w:t>, Emilia Romagna (</w:t>
      </w:r>
      <w:r w:rsidR="00D37C09" w:rsidRPr="004568A2">
        <w:rPr>
          <w:lang w:val="en-GB"/>
        </w:rPr>
        <w:t>3.18 10</w:t>
      </w:r>
      <w:r w:rsidR="00D37C09" w:rsidRPr="004568A2">
        <w:rPr>
          <w:vertAlign w:val="superscript"/>
          <w:lang w:val="en-GB"/>
        </w:rPr>
        <w:t>8</w:t>
      </w:r>
      <w:r w:rsidR="00D37C09" w:rsidRPr="004568A2">
        <w:rPr>
          <w:lang w:val="en-GB"/>
        </w:rPr>
        <w:t xml:space="preserve"> GJ/y</w:t>
      </w:r>
      <w:r w:rsidR="00D604C0" w:rsidRPr="004568A2">
        <w:rPr>
          <w:lang w:val="en-GB"/>
        </w:rPr>
        <w:t>)</w:t>
      </w:r>
      <w:r w:rsidR="00655AFA" w:rsidRPr="004568A2">
        <w:rPr>
          <w:lang w:val="en-GB"/>
        </w:rPr>
        <w:t xml:space="preserve"> and Lombardia (5.44 10</w:t>
      </w:r>
      <w:r w:rsidR="00655AFA" w:rsidRPr="004568A2">
        <w:rPr>
          <w:vertAlign w:val="superscript"/>
          <w:lang w:val="en-GB"/>
        </w:rPr>
        <w:t>8</w:t>
      </w:r>
      <w:r w:rsidR="00655AFA" w:rsidRPr="004568A2">
        <w:rPr>
          <w:lang w:val="en-GB"/>
        </w:rPr>
        <w:t xml:space="preserve"> GJ/y</w:t>
      </w:r>
      <w:r w:rsidR="00D37C09" w:rsidRPr="004568A2">
        <w:rPr>
          <w:lang w:val="en-GB"/>
        </w:rPr>
        <w:t>)</w:t>
      </w:r>
      <w:r w:rsidR="00655AFA" w:rsidRPr="004568A2">
        <w:rPr>
          <w:lang w:val="en-GB"/>
        </w:rPr>
        <w:t>.</w:t>
      </w:r>
      <w:r w:rsidR="00512EF1" w:rsidRPr="004568A2">
        <w:rPr>
          <w:lang w:val="en-GB"/>
        </w:rPr>
        <w:t xml:space="preserve"> </w:t>
      </w:r>
      <w:r w:rsidR="006021F0" w:rsidRPr="004568A2">
        <w:rPr>
          <w:lang w:val="en-GB"/>
        </w:rPr>
        <w:t xml:space="preserve">Considering the second </w:t>
      </w:r>
      <w:r w:rsidR="006021F0" w:rsidRPr="004568A2">
        <w:rPr>
          <w:i/>
          <w:iCs/>
          <w:lang w:val="en-GB"/>
        </w:rPr>
        <w:t>OF</w:t>
      </w:r>
      <w:r w:rsidR="006021F0" w:rsidRPr="004568A2">
        <w:rPr>
          <w:lang w:val="en-GB"/>
        </w:rPr>
        <w:t xml:space="preserve"> </w:t>
      </w:r>
      <w:r w:rsidR="00231CDA" w:rsidRPr="004568A2">
        <w:rPr>
          <w:lang w:val="en-GB"/>
        </w:rPr>
        <w:t xml:space="preserve">(eq. </w:t>
      </w:r>
      <w:r w:rsidR="005D1AD1" w:rsidRPr="004568A2">
        <w:rPr>
          <w:lang w:val="en-GB"/>
        </w:rPr>
        <w:t>3</w:t>
      </w:r>
      <w:r w:rsidR="00231CDA" w:rsidRPr="004568A2">
        <w:rPr>
          <w:lang w:val="en-GB"/>
        </w:rPr>
        <w:t xml:space="preserve">) </w:t>
      </w:r>
      <w:r w:rsidR="006021F0" w:rsidRPr="004568A2">
        <w:rPr>
          <w:lang w:val="en-GB"/>
        </w:rPr>
        <w:t>to</w:t>
      </w:r>
      <w:r w:rsidR="00F52048" w:rsidRPr="004568A2">
        <w:rPr>
          <w:lang w:val="en-GB"/>
        </w:rPr>
        <w:t xml:space="preserve"> be maximized</w:t>
      </w:r>
      <w:r w:rsidR="00EB26C4" w:rsidRPr="004568A2">
        <w:rPr>
          <w:lang w:val="en-GB"/>
        </w:rPr>
        <w:t xml:space="preserve"> (Figure 4.b)</w:t>
      </w:r>
      <w:r w:rsidR="006021F0" w:rsidRPr="004568A2">
        <w:rPr>
          <w:lang w:val="en-GB"/>
        </w:rPr>
        <w:t xml:space="preserve">, </w:t>
      </w:r>
      <w:r w:rsidR="002C295D" w:rsidRPr="004568A2">
        <w:rPr>
          <w:lang w:val="en-GB"/>
        </w:rPr>
        <w:t xml:space="preserve">the methane demand covering is </w:t>
      </w:r>
      <w:r w:rsidR="00EB26C4" w:rsidRPr="004568A2">
        <w:rPr>
          <w:lang w:val="en-GB"/>
        </w:rPr>
        <w:t xml:space="preserve">minimized because </w:t>
      </w:r>
      <w:r w:rsidR="00D74BD3" w:rsidRPr="004568A2">
        <w:rPr>
          <w:lang w:val="en-GB"/>
        </w:rPr>
        <w:t xml:space="preserve">an </w:t>
      </w:r>
      <w:r w:rsidR="00BB63CB" w:rsidRPr="004568A2">
        <w:rPr>
          <w:lang w:val="en-GB"/>
        </w:rPr>
        <w:t>increase</w:t>
      </w:r>
      <w:r w:rsidR="00D74BD3" w:rsidRPr="004568A2">
        <w:rPr>
          <w:lang w:val="en-GB"/>
        </w:rPr>
        <w:t xml:space="preserve"> </w:t>
      </w:r>
      <w:r w:rsidR="00BB63CB" w:rsidRPr="004568A2">
        <w:rPr>
          <w:lang w:val="en-GB"/>
        </w:rPr>
        <w:t>in</w:t>
      </w:r>
      <w:r w:rsidR="00D74BD3" w:rsidRPr="004568A2">
        <w:rPr>
          <w:lang w:val="en-GB"/>
        </w:rPr>
        <w:t xml:space="preserve"> biomethane production </w:t>
      </w:r>
      <w:r w:rsidR="00BB63CB" w:rsidRPr="004568A2">
        <w:rPr>
          <w:lang w:val="en-GB"/>
        </w:rPr>
        <w:t>corresponds</w:t>
      </w:r>
      <w:r w:rsidR="00D74BD3" w:rsidRPr="004568A2">
        <w:rPr>
          <w:lang w:val="en-GB"/>
        </w:rPr>
        <w:t xml:space="preserve"> </w:t>
      </w:r>
      <w:r w:rsidR="00BB63CB" w:rsidRPr="004568A2">
        <w:rPr>
          <w:lang w:val="en-GB"/>
        </w:rPr>
        <w:t xml:space="preserve">to </w:t>
      </w:r>
      <w:r w:rsidR="00D74BD3" w:rsidRPr="004568A2">
        <w:rPr>
          <w:lang w:val="en-GB"/>
        </w:rPr>
        <w:t xml:space="preserve">a little </w:t>
      </w:r>
      <w:r w:rsidR="00BB63CB" w:rsidRPr="004568A2">
        <w:rPr>
          <w:lang w:val="en-GB"/>
        </w:rPr>
        <w:t>increase</w:t>
      </w:r>
      <w:r w:rsidR="00D74BD3" w:rsidRPr="004568A2">
        <w:rPr>
          <w:lang w:val="en-GB"/>
        </w:rPr>
        <w:t xml:space="preserve"> of the </w:t>
      </w:r>
      <w:r w:rsidR="009A1B26" w:rsidRPr="004568A2">
        <w:rPr>
          <w:lang w:val="en-GB"/>
        </w:rPr>
        <w:t>methane demand covering, due to two factors</w:t>
      </w:r>
      <w:r w:rsidR="00BB63CB" w:rsidRPr="004568A2">
        <w:rPr>
          <w:lang w:val="en-GB"/>
        </w:rPr>
        <w:t>:</w:t>
      </w:r>
      <w:r w:rsidR="009A1B26" w:rsidRPr="004568A2">
        <w:rPr>
          <w:lang w:val="en-GB"/>
        </w:rPr>
        <w:t xml:space="preserve"> the first</w:t>
      </w:r>
      <w:r w:rsidR="00BB63CB" w:rsidRPr="004568A2">
        <w:rPr>
          <w:lang w:val="en-GB"/>
        </w:rPr>
        <w:t xml:space="preserve"> one,</w:t>
      </w:r>
      <w:r w:rsidR="009A1B26" w:rsidRPr="004568A2">
        <w:rPr>
          <w:lang w:val="en-GB"/>
        </w:rPr>
        <w:t xml:space="preserve"> higher methane consumption</w:t>
      </w:r>
      <w:r w:rsidR="009066A4" w:rsidRPr="004568A2">
        <w:rPr>
          <w:lang w:val="en-GB"/>
        </w:rPr>
        <w:t xml:space="preserve"> (as from Figure 3)</w:t>
      </w:r>
      <w:r w:rsidR="009A1B26" w:rsidRPr="004568A2">
        <w:rPr>
          <w:lang w:val="en-GB"/>
        </w:rPr>
        <w:t xml:space="preserve"> and the second</w:t>
      </w:r>
      <w:r w:rsidR="009066A4" w:rsidRPr="004568A2">
        <w:rPr>
          <w:lang w:val="en-GB"/>
        </w:rPr>
        <w:t xml:space="preserve"> one</w:t>
      </w:r>
      <w:r w:rsidR="009A1B26" w:rsidRPr="004568A2">
        <w:rPr>
          <w:lang w:val="en-GB"/>
        </w:rPr>
        <w:t xml:space="preserve"> </w:t>
      </w:r>
      <w:r w:rsidR="00553D67" w:rsidRPr="004568A2">
        <w:rPr>
          <w:lang w:val="en-GB"/>
        </w:rPr>
        <w:t>biomethane can potentially cover 100 % of the demand</w:t>
      </w:r>
      <w:r w:rsidR="00606AD8" w:rsidRPr="004568A2">
        <w:rPr>
          <w:lang w:val="en-GB"/>
        </w:rPr>
        <w:t xml:space="preserve"> being a drop-in fuel.</w:t>
      </w:r>
      <w:r w:rsidR="00380DF4" w:rsidRPr="004568A2">
        <w:rPr>
          <w:lang w:val="en-GB"/>
        </w:rPr>
        <w:t xml:space="preserve"> </w:t>
      </w:r>
      <w:r w:rsidR="00983350" w:rsidRPr="004568A2">
        <w:rPr>
          <w:lang w:val="en-GB"/>
        </w:rPr>
        <w:t>However, Basilicata can reach 1</w:t>
      </w:r>
      <w:r w:rsidR="009A76C6" w:rsidRPr="004568A2">
        <w:rPr>
          <w:lang w:val="en-GB"/>
        </w:rPr>
        <w:t>1</w:t>
      </w:r>
      <w:r w:rsidR="00983350" w:rsidRPr="004568A2">
        <w:rPr>
          <w:lang w:val="en-GB"/>
        </w:rPr>
        <w:t>.</w:t>
      </w:r>
      <w:r w:rsidR="009A76C6" w:rsidRPr="004568A2">
        <w:rPr>
          <w:lang w:val="en-GB"/>
        </w:rPr>
        <w:t>2</w:t>
      </w:r>
      <w:r w:rsidR="00983350" w:rsidRPr="004568A2">
        <w:rPr>
          <w:lang w:val="en-GB"/>
        </w:rPr>
        <w:t xml:space="preserve"> % of methane demand by biomethane</w:t>
      </w:r>
      <w:r w:rsidR="009614DF" w:rsidRPr="004568A2">
        <w:rPr>
          <w:lang w:val="en-GB"/>
        </w:rPr>
        <w:t xml:space="preserve">, Molise, Piemonte e </w:t>
      </w:r>
      <w:r w:rsidR="002E4182" w:rsidRPr="004568A2">
        <w:rPr>
          <w:lang w:val="en-GB"/>
        </w:rPr>
        <w:t>Veneto</w:t>
      </w:r>
      <w:r w:rsidR="009614DF" w:rsidRPr="004568A2">
        <w:rPr>
          <w:lang w:val="en-GB"/>
        </w:rPr>
        <w:t xml:space="preserve"> (</w:t>
      </w:r>
      <w:r w:rsidR="00DC675B" w:rsidRPr="004568A2">
        <w:rPr>
          <w:lang w:val="en-GB"/>
        </w:rPr>
        <w:t>3.5, 2.0, 1.</w:t>
      </w:r>
      <w:r w:rsidR="002E4182" w:rsidRPr="004568A2">
        <w:rPr>
          <w:lang w:val="en-GB"/>
        </w:rPr>
        <w:t>6</w:t>
      </w:r>
      <w:r w:rsidR="00DC675B" w:rsidRPr="004568A2">
        <w:rPr>
          <w:lang w:val="en-GB"/>
        </w:rPr>
        <w:t xml:space="preserve"> % </w:t>
      </w:r>
      <w:r w:rsidR="009614DF" w:rsidRPr="004568A2">
        <w:rPr>
          <w:lang w:val="en-GB"/>
        </w:rPr>
        <w:t>respectively).</w:t>
      </w:r>
      <w:r w:rsidR="009865BF" w:rsidRPr="004568A2">
        <w:rPr>
          <w:lang w:val="en-GB"/>
        </w:rPr>
        <w:t xml:space="preserve"> </w:t>
      </w:r>
      <w:r w:rsidR="007C3678" w:rsidRPr="004568A2">
        <w:rPr>
          <w:lang w:val="en-GB"/>
        </w:rPr>
        <w:t xml:space="preserve">By maximizing </w:t>
      </w:r>
      <w:r w:rsidR="007C3678" w:rsidRPr="004568A2">
        <w:rPr>
          <w:i/>
          <w:iCs/>
          <w:lang w:val="en-GB"/>
        </w:rPr>
        <w:t>OF</w:t>
      </w:r>
      <w:r w:rsidR="007C3678" w:rsidRPr="004568A2">
        <w:rPr>
          <w:lang w:val="en-GB"/>
        </w:rPr>
        <w:t xml:space="preserve"> (eq. 2), the biodiesel demand has higher coverable values, due to lower diesel demand (Figure 3) and also a low percentage of tolerable biofuel blending (7%). Considering that two small regions can reach very high covering by local biodiesel: Basilicata and Sardegna (73 % both). </w:t>
      </w:r>
      <w:r w:rsidR="007C3678" w:rsidRPr="004568A2">
        <w:t xml:space="preserve">A particular case is </w:t>
      </w:r>
      <w:r w:rsidR="00697073" w:rsidRPr="004568A2">
        <w:t>represented</w:t>
      </w:r>
      <w:r w:rsidR="007C3678" w:rsidRPr="004568A2">
        <w:t xml:space="preserve"> by Sardegna, due to absence of methane demand, so all biomethane produced was considered to produce syngas by SR and then ethanol by SF for diesel. Basilicata (53%) thanks to lignocellulosic biomass availability and low diesel consumptions. </w:t>
      </w:r>
      <w:r w:rsidR="007C3678" w:rsidRPr="004568A2">
        <w:rPr>
          <w:lang w:val="en-GB"/>
        </w:rPr>
        <w:t xml:space="preserve">Higher values can be found maximizing the sum of the biofuel demand covering (eq. 3) with four small regions (Basilicata, </w:t>
      </w:r>
      <w:r w:rsidR="007C3678" w:rsidRPr="004568A2">
        <w:t>Molise, Friuli V. G., Calabria)</w:t>
      </w:r>
      <w:r w:rsidR="007C3678" w:rsidRPr="004568A2">
        <w:rPr>
          <w:lang w:val="en-GB"/>
        </w:rPr>
        <w:t xml:space="preserve"> and three big regions (</w:t>
      </w:r>
      <w:r w:rsidR="007C3678" w:rsidRPr="004568A2">
        <w:t>Piemonte, Veneto, Emilia Romagna</w:t>
      </w:r>
      <w:r w:rsidR="007C3678" w:rsidRPr="004568A2">
        <w:rPr>
          <w:lang w:val="en-GB"/>
        </w:rPr>
        <w:t>) reaching 100 % of covering. That is possible thanks to the high availability of lignocellulosic biomass convertible by 2</w:t>
      </w:r>
      <w:r w:rsidR="007C3678" w:rsidRPr="004568A2">
        <w:rPr>
          <w:vertAlign w:val="superscript"/>
          <w:lang w:val="en-GB"/>
        </w:rPr>
        <w:t>nd</w:t>
      </w:r>
      <w:r w:rsidR="007C3678" w:rsidRPr="004568A2">
        <w:rPr>
          <w:lang w:val="en-GB"/>
        </w:rPr>
        <w:t xml:space="preserve"> generation sugars platform to ethanol, and then to diesel: 131, 120 and 15 kt of diesel from ethanol for Veneto, Emilia Romagna and Piemonte respectively.  </w:t>
      </w:r>
      <w:r w:rsidR="007C3678" w:rsidRPr="004568A2">
        <w:t xml:space="preserve">Considering only the </w:t>
      </w:r>
      <w:r w:rsidR="007C3678" w:rsidRPr="004568A2">
        <w:rPr>
          <w:lang w:val="en-GB"/>
        </w:rPr>
        <w:t>FAME production, that is everywhere in the range 19-24 GJ</w:t>
      </w:r>
      <w:r w:rsidR="007C3678" w:rsidRPr="004568A2">
        <w:rPr>
          <w:vertAlign w:val="subscript"/>
          <w:lang w:val="en-GB"/>
        </w:rPr>
        <w:t>FAME</w:t>
      </w:r>
      <w:r w:rsidR="007C3678" w:rsidRPr="004568A2">
        <w:rPr>
          <w:lang w:val="en-GB"/>
        </w:rPr>
        <w:t>/GJ</w:t>
      </w:r>
      <w:r w:rsidR="007C3678" w:rsidRPr="004568A2">
        <w:rPr>
          <w:vertAlign w:val="subscript"/>
          <w:lang w:val="en-GB"/>
        </w:rPr>
        <w:t>DEMAND,BIODIESEL</w:t>
      </w:r>
      <w:r w:rsidR="007C3678" w:rsidRPr="004568A2">
        <w:rPr>
          <w:lang w:val="en-GB"/>
        </w:rPr>
        <w:t xml:space="preserve"> due to waste cooking oil distribution and diesel consumption directly proportional to regional population. Finally, the bio-LPG demand is the simplest to cover by DME, nothing region surpasses 3 10</w:t>
      </w:r>
      <w:r w:rsidR="007C3678" w:rsidRPr="004568A2">
        <w:rPr>
          <w:vertAlign w:val="superscript"/>
          <w:lang w:val="en-GB"/>
        </w:rPr>
        <w:t>6</w:t>
      </w:r>
      <w:r w:rsidR="007C3678" w:rsidRPr="004568A2">
        <w:rPr>
          <w:lang w:val="en-GB"/>
        </w:rPr>
        <w:t xml:space="preserve"> GJ/y of consumption. By maximization of eq .2, only five regions cannot cover completely the bio-DME demand: Campania (47 %), Lazio (39 %), Trentino A. A. (32 %), Liguria (7 %) and Valle d’Aosta (0 %).</w:t>
      </w:r>
    </w:p>
    <w:p w14:paraId="78C23DF4" w14:textId="77777777" w:rsidR="001B4BA6" w:rsidRPr="004568A2" w:rsidRDefault="001B4BA6" w:rsidP="001B4BA6">
      <w:pPr>
        <w:pStyle w:val="CETBodytext"/>
        <w:keepNext/>
        <w:rPr>
          <w:lang w:val="en-GB"/>
        </w:rPr>
      </w:pPr>
      <w:r w:rsidRPr="004568A2">
        <w:rPr>
          <w:noProof/>
          <w:lang w:val="en-GB"/>
        </w:rPr>
        <mc:AlternateContent>
          <mc:Choice Requires="wps">
            <w:drawing>
              <wp:anchor distT="45720" distB="45720" distL="114300" distR="114300" simplePos="0" relativeHeight="251659264" behindDoc="0" locked="0" layoutInCell="1" allowOverlap="1" wp14:anchorId="51DCC46B" wp14:editId="1D682759">
                <wp:simplePos x="0" y="0"/>
                <wp:positionH relativeFrom="column">
                  <wp:posOffset>3902406</wp:posOffset>
                </wp:positionH>
                <wp:positionV relativeFrom="paragraph">
                  <wp:posOffset>5715</wp:posOffset>
                </wp:positionV>
                <wp:extent cx="361950" cy="1404620"/>
                <wp:effectExtent l="0" t="0" r="0" b="254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7F56D91B" w14:textId="77777777" w:rsidR="001B4BA6" w:rsidRPr="009D4860" w:rsidRDefault="001B4BA6" w:rsidP="001B4BA6">
                            <w:pPr>
                              <w:rPr>
                                <w:i/>
                                <w:iCs/>
                              </w:rPr>
                            </w:pPr>
                            <w:r w:rsidRPr="009D4860">
                              <w:rPr>
                                <w:i/>
                                <w:iCs/>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DCC46B" id="_x0000_t202" coordsize="21600,21600" o:spt="202" path="m,l,21600r21600,l21600,xe">
                <v:stroke joinstyle="miter"/>
                <v:path gradientshapeok="t" o:connecttype="rect"/>
              </v:shapetype>
              <v:shape id="Casella di testo 2" o:spid="_x0000_s1026" type="#_x0000_t202" style="position:absolute;left:0;text-align:left;margin-left:307.3pt;margin-top:.45pt;width: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" filled="f" stroked="f">
                <v:textbox style="mso-fit-shape-to-text:t">
                  <w:txbxContent>
                    <w:p w14:paraId="7F56D91B" w14:textId="77777777" w:rsidR="001B4BA6" w:rsidRPr="009D4860" w:rsidRDefault="001B4BA6" w:rsidP="001B4BA6">
                      <w:pPr>
                        <w:rPr>
                          <w:i/>
                          <w:iCs/>
                        </w:rPr>
                      </w:pPr>
                      <w:r w:rsidRPr="009D4860">
                        <w:rPr>
                          <w:i/>
                          <w:iCs/>
                        </w:rPr>
                        <w:t>(a)</w:t>
                      </w:r>
                    </w:p>
                  </w:txbxContent>
                </v:textbox>
              </v:shape>
            </w:pict>
          </mc:Fallback>
        </mc:AlternateContent>
      </w:r>
      <w:r w:rsidRPr="004568A2">
        <w:rPr>
          <w:noProof/>
          <w:lang w:val="en-GB"/>
        </w:rPr>
        <mc:AlternateContent>
          <mc:Choice Requires="wps">
            <w:drawing>
              <wp:anchor distT="45720" distB="45720" distL="114300" distR="114300" simplePos="0" relativeHeight="251660288" behindDoc="0" locked="0" layoutInCell="1" allowOverlap="1" wp14:anchorId="3FBA3914" wp14:editId="662C937F">
                <wp:simplePos x="0" y="0"/>
                <wp:positionH relativeFrom="column">
                  <wp:posOffset>3964057</wp:posOffset>
                </wp:positionH>
                <wp:positionV relativeFrom="paragraph">
                  <wp:posOffset>1971206</wp:posOffset>
                </wp:positionV>
                <wp:extent cx="361950" cy="1404620"/>
                <wp:effectExtent l="0" t="0" r="0" b="2540"/>
                <wp:wrapNone/>
                <wp:docPr id="185653425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41D3E342" w14:textId="77777777" w:rsidR="001B4BA6" w:rsidRPr="009D4860" w:rsidRDefault="001B4BA6" w:rsidP="001B4BA6">
                            <w:pPr>
                              <w:rPr>
                                <w:i/>
                                <w:iCs/>
                              </w:rPr>
                            </w:pPr>
                            <w:r w:rsidRPr="009D4860">
                              <w:rPr>
                                <w:i/>
                                <w:iC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BA3914" id="_x0000_s1027" type="#_x0000_t202" style="position:absolute;left:0;text-align:left;margin-left:312.15pt;margin-top:155.2pt;width:2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" filled="f" stroked="f">
                <v:textbox style="mso-fit-shape-to-text:t">
                  <w:txbxContent>
                    <w:p w14:paraId="41D3E342" w14:textId="77777777" w:rsidR="001B4BA6" w:rsidRPr="009D4860" w:rsidRDefault="001B4BA6" w:rsidP="001B4BA6">
                      <w:pPr>
                        <w:rPr>
                          <w:i/>
                          <w:iCs/>
                        </w:rPr>
                      </w:pPr>
                      <w:r w:rsidRPr="009D4860">
                        <w:rPr>
                          <w:i/>
                          <w:iCs/>
                        </w:rPr>
                        <w:t>(b)</w:t>
                      </w:r>
                    </w:p>
                  </w:txbxContent>
                </v:textbox>
              </v:shape>
            </w:pict>
          </mc:Fallback>
        </mc:AlternateContent>
      </w:r>
      <w:r w:rsidRPr="004568A2">
        <w:rPr>
          <w:noProof/>
          <w:lang w:val="en-GB"/>
        </w:rPr>
        <w:drawing>
          <wp:inline distT="0" distB="0" distL="0" distR="0" wp14:anchorId="57236A2B" wp14:editId="04ACD734">
            <wp:extent cx="4068780" cy="2030868"/>
            <wp:effectExtent l="0" t="0" r="8255" b="7620"/>
            <wp:docPr id="797444279" name="Immagine 8"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44279" name="Immagine 8" descr="Immagine che contiene testo, schermata, Carattere, linea&#10;&#10;Descrizione generata automa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1382" t="3308" r="1048" b="1313"/>
                    <a:stretch/>
                  </pic:blipFill>
                  <pic:spPr bwMode="auto">
                    <a:xfrm>
                      <a:off x="0" y="0"/>
                      <a:ext cx="4096948" cy="2044928"/>
                    </a:xfrm>
                    <a:prstGeom prst="rect">
                      <a:avLst/>
                    </a:prstGeom>
                    <a:noFill/>
                    <a:ln>
                      <a:noFill/>
                    </a:ln>
                    <a:extLst>
                      <a:ext uri="{53640926-AAD7-44D8-BBD7-CCE9431645EC}">
                        <a14:shadowObscured xmlns:a14="http://schemas.microsoft.com/office/drawing/2010/main"/>
                      </a:ext>
                    </a:extLst>
                  </pic:spPr>
                </pic:pic>
              </a:graphicData>
            </a:graphic>
          </wp:inline>
        </w:drawing>
      </w:r>
    </w:p>
    <w:p w14:paraId="4ECFB7D2" w14:textId="77777777" w:rsidR="001B4BA6" w:rsidRPr="004568A2" w:rsidRDefault="001B4BA6" w:rsidP="001B4BA6">
      <w:pPr>
        <w:pStyle w:val="CETBodytext"/>
        <w:keepNext/>
        <w:rPr>
          <w:lang w:val="en-GB"/>
        </w:rPr>
      </w:pPr>
      <w:r w:rsidRPr="004568A2">
        <w:rPr>
          <w:noProof/>
          <w:lang w:val="en-GB"/>
        </w:rPr>
        <w:drawing>
          <wp:inline distT="0" distB="0" distL="0" distR="0" wp14:anchorId="75C8A8B9" wp14:editId="2DFDC24F">
            <wp:extent cx="4072846" cy="1882360"/>
            <wp:effectExtent l="0" t="0" r="4445" b="3810"/>
            <wp:docPr id="236119419" name="Immagine 9"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19419" name="Immagine 9" descr="Immagine che contiene testo, schermata, Carattere, linea&#10;&#10;Descrizione generata automa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l="1074" t="9593" r="1396" b="2317"/>
                    <a:stretch/>
                  </pic:blipFill>
                  <pic:spPr bwMode="auto">
                    <a:xfrm>
                      <a:off x="0" y="0"/>
                      <a:ext cx="4102284" cy="1895966"/>
                    </a:xfrm>
                    <a:prstGeom prst="rect">
                      <a:avLst/>
                    </a:prstGeom>
                    <a:noFill/>
                    <a:ln>
                      <a:noFill/>
                    </a:ln>
                    <a:extLst>
                      <a:ext uri="{53640926-AAD7-44D8-BBD7-CCE9431645EC}">
                        <a14:shadowObscured xmlns:a14="http://schemas.microsoft.com/office/drawing/2010/main"/>
                      </a:ext>
                    </a:extLst>
                  </pic:spPr>
                </pic:pic>
              </a:graphicData>
            </a:graphic>
          </wp:inline>
        </w:drawing>
      </w:r>
    </w:p>
    <w:p w14:paraId="11CBC8A3" w14:textId="77777777" w:rsidR="001B4BA6" w:rsidRPr="004568A2" w:rsidRDefault="001B4BA6" w:rsidP="001B4BA6">
      <w:pPr>
        <w:pStyle w:val="CETCaption"/>
      </w:pPr>
      <w:r w:rsidRPr="004568A2">
        <w:rPr>
          <w:rStyle w:val="CETCaptionCarattere"/>
          <w:i/>
        </w:rPr>
        <w:t xml:space="preserve">Figure 4: Biofuel regional demand covered by biomethane (on right axes), biodiesel blends and bio-DME, </w:t>
      </w:r>
      <w:r w:rsidRPr="004568A2">
        <w:t xml:space="preserve">maximizing the production of biofuels in GJ/y </w:t>
      </w:r>
      <w:r w:rsidRPr="004568A2">
        <w:rPr>
          <w:rStyle w:val="CETCaptionCarattere"/>
          <w:i/>
        </w:rPr>
        <w:t>(a)</w:t>
      </w:r>
      <w:r w:rsidRPr="004568A2">
        <w:t xml:space="preserve"> or </w:t>
      </w:r>
      <w:r w:rsidRPr="004568A2">
        <w:rPr>
          <w:rStyle w:val="CETCaptionCarattere"/>
          <w:i/>
        </w:rPr>
        <w:t xml:space="preserve">the sum of covered biofuel demand </w:t>
      </w:r>
      <w:r w:rsidRPr="004568A2">
        <w:t>(b)</w:t>
      </w:r>
    </w:p>
    <w:p w14:paraId="4488F957" w14:textId="3B6010DF" w:rsidR="00657133" w:rsidRPr="004568A2" w:rsidRDefault="009865BF" w:rsidP="00655AFA">
      <w:pPr>
        <w:pStyle w:val="CETBodytext"/>
        <w:rPr>
          <w:lang w:val="en-GB"/>
        </w:rPr>
      </w:pPr>
      <w:r w:rsidRPr="004568A2">
        <w:rPr>
          <w:lang w:val="en-GB"/>
        </w:rPr>
        <w:lastRenderedPageBreak/>
        <w:t>These</w:t>
      </w:r>
      <w:r w:rsidR="008E79E1" w:rsidRPr="004568A2">
        <w:rPr>
          <w:lang w:val="en-GB"/>
        </w:rPr>
        <w:t xml:space="preserve"> results derived by </w:t>
      </w:r>
      <w:r w:rsidR="007C74B2" w:rsidRPr="004568A2">
        <w:rPr>
          <w:lang w:val="en-GB"/>
        </w:rPr>
        <w:t>raw material valorization to produce high quantity of methane</w:t>
      </w:r>
      <w:r w:rsidR="00657133" w:rsidRPr="004568A2">
        <w:rPr>
          <w:lang w:val="en-GB"/>
        </w:rPr>
        <w:t xml:space="preserve"> to increase the global biofuel production.</w:t>
      </w:r>
      <w:r w:rsidR="00B411D4" w:rsidRPr="004568A2">
        <w:rPr>
          <w:lang w:val="en-GB"/>
        </w:rPr>
        <w:t xml:space="preserve"> </w:t>
      </w:r>
      <w:r w:rsidR="00657133" w:rsidRPr="004568A2">
        <w:rPr>
          <w:lang w:val="en-GB"/>
        </w:rPr>
        <w:t xml:space="preserve">On the other hand, if the percentage of demand to be covered was maximized (eq. </w:t>
      </w:r>
      <w:r w:rsidR="006C5447" w:rsidRPr="004568A2">
        <w:rPr>
          <w:lang w:val="en-GB"/>
        </w:rPr>
        <w:t>3</w:t>
      </w:r>
      <w:r w:rsidR="00657133" w:rsidRPr="004568A2">
        <w:rPr>
          <w:lang w:val="en-GB"/>
        </w:rPr>
        <w:t xml:space="preserve">) all Italian regions reach </w:t>
      </w:r>
      <w:r w:rsidR="008667B5" w:rsidRPr="004568A2">
        <w:rPr>
          <w:lang w:val="en-GB"/>
        </w:rPr>
        <w:t xml:space="preserve">100 % of bio-DME demand. For this case, </w:t>
      </w:r>
      <w:r w:rsidR="00A76CD8" w:rsidRPr="004568A2">
        <w:rPr>
          <w:lang w:val="en-GB"/>
        </w:rPr>
        <w:t>a large ratio of biomethane was used to produce syngas and then methanol and DME.</w:t>
      </w:r>
    </w:p>
    <w:p w14:paraId="68D26B83" w14:textId="77777777" w:rsidR="00600535" w:rsidRPr="004568A2" w:rsidRDefault="00600535" w:rsidP="00600535">
      <w:pPr>
        <w:pStyle w:val="CETHeading1"/>
        <w:rPr>
          <w:lang w:val="en-GB"/>
        </w:rPr>
      </w:pPr>
      <w:r w:rsidRPr="004568A2">
        <w:rPr>
          <w:lang w:val="en-GB"/>
        </w:rPr>
        <w:t>Conclusions</w:t>
      </w:r>
    </w:p>
    <w:p w14:paraId="6B736956" w14:textId="0F4084A9" w:rsidR="00625A88" w:rsidRPr="004568A2" w:rsidRDefault="00EF2844" w:rsidP="00625A88">
      <w:pPr>
        <w:pStyle w:val="CETBodytext"/>
        <w:rPr>
          <w:lang w:val="en-GB"/>
        </w:rPr>
      </w:pPr>
      <w:r w:rsidRPr="004568A2">
        <w:rPr>
          <w:lang w:val="en-GB"/>
        </w:rPr>
        <w:t xml:space="preserve">The work highlighted </w:t>
      </w:r>
      <w:r w:rsidR="002B1BE0" w:rsidRPr="004568A2">
        <w:rPr>
          <w:lang w:val="en-GB"/>
        </w:rPr>
        <w:t xml:space="preserve">a large part of the regional biofuel demand can be covered by </w:t>
      </w:r>
      <w:r w:rsidR="00C73B2F" w:rsidRPr="004568A2">
        <w:rPr>
          <w:lang w:val="en-GB"/>
        </w:rPr>
        <w:t>local bioresource conversion. In particular</w:t>
      </w:r>
      <w:r w:rsidR="00A3588A" w:rsidRPr="004568A2">
        <w:rPr>
          <w:lang w:val="en-GB"/>
        </w:rPr>
        <w:t xml:space="preserve">, </w:t>
      </w:r>
      <w:r w:rsidR="008626F9" w:rsidRPr="004568A2">
        <w:rPr>
          <w:lang w:val="en-GB"/>
        </w:rPr>
        <w:t xml:space="preserve">maximization of two objective functions led to two different </w:t>
      </w:r>
      <w:r w:rsidR="007F4113" w:rsidRPr="004568A2">
        <w:rPr>
          <w:lang w:val="en-GB"/>
        </w:rPr>
        <w:t>bioresource allocation producing globally</w:t>
      </w:r>
      <w:r w:rsidR="00511EA9" w:rsidRPr="004568A2">
        <w:rPr>
          <w:lang w:val="en-GB"/>
        </w:rPr>
        <w:t xml:space="preserve"> in Italy</w:t>
      </w:r>
      <w:r w:rsidR="007F4113" w:rsidRPr="004568A2">
        <w:rPr>
          <w:lang w:val="en-GB"/>
        </w:rPr>
        <w:t xml:space="preserve"> about</w:t>
      </w:r>
      <w:r w:rsidR="003C0E12" w:rsidRPr="004568A2">
        <w:rPr>
          <w:lang w:val="en-GB"/>
        </w:rPr>
        <w:t xml:space="preserve"> 1.6 108 GJ/y </w:t>
      </w:r>
      <w:r w:rsidR="00697073" w:rsidRPr="004568A2">
        <w:rPr>
          <w:lang w:val="en-GB"/>
        </w:rPr>
        <w:t>maximizing</w:t>
      </w:r>
      <w:r w:rsidR="00511EA9" w:rsidRPr="004568A2">
        <w:rPr>
          <w:lang w:val="en-GB"/>
        </w:rPr>
        <w:t xml:space="preserve"> the regional biofuel production and</w:t>
      </w:r>
      <w:r w:rsidR="007F4113" w:rsidRPr="004568A2">
        <w:rPr>
          <w:lang w:val="en-GB"/>
        </w:rPr>
        <w:t xml:space="preserve"> </w:t>
      </w:r>
      <w:r w:rsidR="003C0E12" w:rsidRPr="004568A2">
        <w:rPr>
          <w:lang w:val="en-GB"/>
        </w:rPr>
        <w:t>8.9 107</w:t>
      </w:r>
      <w:r w:rsidR="00511EA9" w:rsidRPr="004568A2">
        <w:rPr>
          <w:lang w:val="en-GB"/>
        </w:rPr>
        <w:t xml:space="preserve"> GJ/y </w:t>
      </w:r>
      <w:r w:rsidR="00697073" w:rsidRPr="004568A2">
        <w:rPr>
          <w:lang w:val="en-GB"/>
        </w:rPr>
        <w:t>maximizing</w:t>
      </w:r>
      <w:r w:rsidR="00126739" w:rsidRPr="004568A2">
        <w:rPr>
          <w:lang w:val="en-GB"/>
        </w:rPr>
        <w:t xml:space="preserve"> the biofuel demand covered</w:t>
      </w:r>
      <w:r w:rsidR="00B13F63" w:rsidRPr="004568A2">
        <w:rPr>
          <w:lang w:val="en-GB"/>
        </w:rPr>
        <w:t xml:space="preserve">. The main difference consists in a different allocation of fermentable raw materials (manure and OFMSW), </w:t>
      </w:r>
      <w:r w:rsidR="00FE29D3" w:rsidRPr="004568A2">
        <w:rPr>
          <w:lang w:val="en-GB"/>
        </w:rPr>
        <w:t xml:space="preserve">biomethane produced was converted to methanol and diesel when </w:t>
      </w:r>
      <w:r w:rsidR="002E136D" w:rsidRPr="004568A2">
        <w:rPr>
          <w:lang w:val="en-GB"/>
        </w:rPr>
        <w:t>the diesel demand had to be covered. Fu</w:t>
      </w:r>
      <w:r w:rsidR="001346DF" w:rsidRPr="004568A2">
        <w:rPr>
          <w:lang w:val="en-GB"/>
        </w:rPr>
        <w:t>ture</w:t>
      </w:r>
      <w:r w:rsidR="002E136D" w:rsidRPr="004568A2">
        <w:rPr>
          <w:lang w:val="en-GB"/>
        </w:rPr>
        <w:t xml:space="preserve"> development will be </w:t>
      </w:r>
      <w:r w:rsidR="001346DF" w:rsidRPr="004568A2">
        <w:rPr>
          <w:lang w:val="en-GB"/>
        </w:rPr>
        <w:t>increas</w:t>
      </w:r>
      <w:r w:rsidR="00DC57FF" w:rsidRPr="004568A2">
        <w:rPr>
          <w:lang w:val="en-GB"/>
        </w:rPr>
        <w:t>ing</w:t>
      </w:r>
      <w:r w:rsidR="001346DF" w:rsidRPr="004568A2">
        <w:rPr>
          <w:lang w:val="en-GB"/>
        </w:rPr>
        <w:t xml:space="preserve"> the bioresource conversion processes </w:t>
      </w:r>
      <w:r w:rsidR="00DC57FF" w:rsidRPr="004568A2">
        <w:rPr>
          <w:lang w:val="en-GB"/>
        </w:rPr>
        <w:t>considering also the integration with (green) hydrogen</w:t>
      </w:r>
      <w:r w:rsidR="00C53CDE" w:rsidRPr="004568A2">
        <w:rPr>
          <w:lang w:val="en-GB"/>
        </w:rPr>
        <w:t xml:space="preserve"> and evaluating also the capital and operating costs of the biorefineries.</w:t>
      </w:r>
    </w:p>
    <w:p w14:paraId="07A6D20F" w14:textId="7D6EDCE0" w:rsidR="00280FAF" w:rsidRPr="004568A2" w:rsidRDefault="001D0CFB" w:rsidP="00C5134F">
      <w:pPr>
        <w:pStyle w:val="CETBodytext"/>
        <w:rPr>
          <w:lang w:val="en-GB"/>
        </w:rPr>
        <w:sectPr w:rsidR="00280FAF" w:rsidRPr="004568A2" w:rsidSect="00BD31AA">
          <w:type w:val="continuous"/>
          <w:pgSz w:w="11906" w:h="16838" w:code="9"/>
          <w:pgMar w:top="1701" w:right="1418" w:bottom="1701" w:left="1701" w:header="1701" w:footer="0" w:gutter="0"/>
          <w:cols w:space="708"/>
          <w:formProt w:val="0"/>
          <w:titlePg/>
          <w:docGrid w:linePitch="360"/>
        </w:sectPr>
      </w:pPr>
      <w:r w:rsidRPr="004568A2">
        <w:rPr>
          <w:lang w:val="en-GB"/>
        </w:rPr>
        <w:t>.</w:t>
      </w:r>
    </w:p>
    <w:p w14:paraId="459D05E6" w14:textId="77777777" w:rsidR="00600535" w:rsidRPr="004568A2" w:rsidRDefault="00600535" w:rsidP="00600535">
      <w:pPr>
        <w:pStyle w:val="CETAcknowledgementstitle"/>
      </w:pPr>
      <w:r w:rsidRPr="004568A2">
        <w:t>Acknowledgments</w:t>
      </w:r>
    </w:p>
    <w:p w14:paraId="33F8138F" w14:textId="4ECCDDD4" w:rsidR="00600535" w:rsidRPr="004568A2" w:rsidRDefault="00532129" w:rsidP="00600535">
      <w:pPr>
        <w:pStyle w:val="CETBodytext"/>
        <w:rPr>
          <w:lang w:val="en-GB"/>
        </w:rPr>
      </w:pPr>
      <w:r w:rsidRPr="004568A2">
        <w:rPr>
          <w:lang w:val="en-GB"/>
        </w:rPr>
        <w:t xml:space="preserve">This research was funded by </w:t>
      </w:r>
      <w:r w:rsidR="00625A88" w:rsidRPr="004568A2">
        <w:rPr>
          <w:lang w:val="en-GB"/>
        </w:rPr>
        <w:t>PNRR PE0000021 / PE2 – Network 4 Energy Sustainable Transition (NEST)</w:t>
      </w:r>
      <w:r w:rsidRPr="004568A2">
        <w:rPr>
          <w:lang w:val="en-GB"/>
        </w:rPr>
        <w:t>.</w:t>
      </w:r>
      <w:r w:rsidR="00625A88" w:rsidRPr="004568A2">
        <w:rPr>
          <w:lang w:val="en-GB"/>
        </w:rPr>
        <w:t xml:space="preserve"> </w:t>
      </w:r>
      <w:r w:rsidR="0005404C" w:rsidRPr="004568A2">
        <w:rPr>
          <w:lang w:val="en-GB"/>
        </w:rPr>
        <w:t>The authors deeply acknowledge the current national representatives of IEA task 42 ‘Biorefining in a Circular Economy’ from Austria, Denmark Germany, Ireland, the Netherlands and USA for useful debate and discussions. Prepared by Aristide Giuliano, Nicola Pierro, Isabella De Bari (ENEA, Italy), on behalf of IEA Bioenergy Task42.</w:t>
      </w:r>
      <w:r w:rsidR="0023139F" w:rsidRPr="004568A2">
        <w:rPr>
          <w:lang w:val="en-GB"/>
        </w:rPr>
        <w:t xml:space="preserve"> </w:t>
      </w:r>
    </w:p>
    <w:p w14:paraId="4F1327F8" w14:textId="77777777" w:rsidR="00600535" w:rsidRPr="004568A2" w:rsidRDefault="00600535" w:rsidP="00600535">
      <w:pPr>
        <w:pStyle w:val="CETReference"/>
      </w:pPr>
      <w:r w:rsidRPr="004568A2">
        <w:t>References</w:t>
      </w:r>
    </w:p>
    <w:p w14:paraId="4188AC57" w14:textId="4FC90BF4" w:rsidR="0050081E" w:rsidRPr="0050081E" w:rsidRDefault="002A2280" w:rsidP="0050081E">
      <w:pPr>
        <w:pStyle w:val="Bibliografia"/>
        <w:rPr>
          <w:rFonts w:cs="Arial"/>
        </w:rPr>
      </w:pPr>
      <w:r w:rsidRPr="004568A2">
        <w:fldChar w:fldCharType="begin"/>
      </w:r>
      <w:r w:rsidR="0050081E">
        <w:instrText xml:space="preserve"> ADDIN ZOTERO_BIBL {"uncited":[],"omitted":[],"custom":[]} CSL_BIBLIOGRAPHY </w:instrText>
      </w:r>
      <w:r w:rsidRPr="004568A2">
        <w:fldChar w:fldCharType="separate"/>
      </w:r>
      <w:r w:rsidR="0050081E" w:rsidRPr="0050081E">
        <w:rPr>
          <w:rFonts w:cs="Arial"/>
        </w:rPr>
        <w:t>Baizhumanova T.S., Zhumabek M., Kaumenova G.N., Tungatarova S.A., Talasbayeva N., Zhylkybek M., Zhang, X., Xanthopoulou G., Tolembek A.Y., 2022. Catalytic Reforming of Biogas to Produce Environmentally Friendly High Effective Fuels. Chemical Engineering Transactions 94, 985–990. https://doi.org/10.3303/CET2294164</w:t>
      </w:r>
    </w:p>
    <w:p w14:paraId="33486CA2" w14:textId="60F0D462" w:rsidR="0050081E" w:rsidRPr="0050081E" w:rsidRDefault="0050081E" w:rsidP="0050081E">
      <w:pPr>
        <w:pStyle w:val="Bibliografia"/>
        <w:rPr>
          <w:rFonts w:cs="Arial"/>
        </w:rPr>
      </w:pPr>
      <w:r w:rsidRPr="00DF46DB">
        <w:rPr>
          <w:rFonts w:cs="Arial"/>
          <w:lang w:val="en-US"/>
        </w:rPr>
        <w:t xml:space="preserve">Blasi A., Verardi A., Lopresto C.G., Siciliano S., Sangiorgio P., 2023. </w:t>
      </w:r>
      <w:r w:rsidRPr="0050081E">
        <w:rPr>
          <w:rFonts w:cs="Arial"/>
        </w:rPr>
        <w:t>Lignocellulosic Agricultural Waste Valorization to Obtain Valuable Products: An Overview. Recycling 8, 61. https://doi.org/10.3390/recycling8040061</w:t>
      </w:r>
    </w:p>
    <w:p w14:paraId="7C7C5352" w14:textId="220BC2D6" w:rsidR="0050081E" w:rsidRPr="0050081E" w:rsidRDefault="0050081E" w:rsidP="0050081E">
      <w:pPr>
        <w:pStyle w:val="Bibliografia"/>
        <w:rPr>
          <w:rFonts w:cs="Arial"/>
        </w:rPr>
      </w:pPr>
      <w:r w:rsidRPr="0050081E">
        <w:rPr>
          <w:rFonts w:cs="Arial"/>
        </w:rPr>
        <w:t>Bora R.R., You F., 2020. Techno-economic feasibility of thermochemical conversion pathways for regional agricultural waste biomass. Chemical Engineering Transactions 81, 1111–1116. https://doi.org/10.3303/CET2081186</w:t>
      </w:r>
    </w:p>
    <w:p w14:paraId="48957423" w14:textId="28483611" w:rsidR="0050081E" w:rsidRPr="0050081E" w:rsidRDefault="0050081E" w:rsidP="0050081E">
      <w:pPr>
        <w:pStyle w:val="Bibliografia"/>
        <w:rPr>
          <w:rFonts w:cs="Arial"/>
          <w:lang w:val="sv-SE"/>
        </w:rPr>
      </w:pPr>
      <w:r w:rsidRPr="00DF46DB">
        <w:rPr>
          <w:rFonts w:cs="Arial"/>
          <w:lang w:val="en-US"/>
        </w:rPr>
        <w:t xml:space="preserve">Castellini M., Ubertini S., Barletta D., Baffo I., Buzzini P., Barbanera M., 2021. </w:t>
      </w:r>
      <w:r w:rsidRPr="0050081E">
        <w:rPr>
          <w:rFonts w:cs="Arial"/>
        </w:rPr>
        <w:t xml:space="preserve">Techno-Economic Analysis of Biodiesel Production from Microbial Oil Using Cardoon Stalks as Carbon Source. </w:t>
      </w:r>
      <w:r w:rsidRPr="0050081E">
        <w:rPr>
          <w:rFonts w:cs="Arial"/>
          <w:lang w:val="sv-SE"/>
        </w:rPr>
        <w:t>Energies 14, 1473. https://doi.org/10.3390/en14051473</w:t>
      </w:r>
    </w:p>
    <w:p w14:paraId="28954C97" w14:textId="58481B58" w:rsidR="0050081E" w:rsidRPr="0050081E" w:rsidRDefault="0050081E" w:rsidP="0050081E">
      <w:pPr>
        <w:pStyle w:val="Bibliografia"/>
        <w:rPr>
          <w:rFonts w:cs="Arial"/>
        </w:rPr>
      </w:pPr>
      <w:r w:rsidRPr="0050081E">
        <w:rPr>
          <w:rFonts w:cs="Arial"/>
          <w:lang w:val="sv-SE"/>
        </w:rPr>
        <w:t xml:space="preserve">Galanopoulos C., Barletta D., Zondervan E., 2018. </w:t>
      </w:r>
      <w:r w:rsidRPr="0050081E">
        <w:rPr>
          <w:rFonts w:cs="Arial"/>
        </w:rPr>
        <w:t>A decision support platform for a bio-based supply chain: Application to the region of Lower Saxony and Bremen (Germany). Computers and Chemical Engineering 115, 233–242. https://doi.org/10.1016/j.compchemeng.2018.03.024</w:t>
      </w:r>
    </w:p>
    <w:p w14:paraId="02A80996" w14:textId="158ACEC7" w:rsidR="0050081E" w:rsidRPr="0050081E" w:rsidRDefault="0050081E" w:rsidP="0050081E">
      <w:pPr>
        <w:pStyle w:val="Bibliografia"/>
        <w:rPr>
          <w:rFonts w:cs="Arial"/>
        </w:rPr>
      </w:pPr>
      <w:r w:rsidRPr="00DF46DB">
        <w:rPr>
          <w:rFonts w:cs="Arial"/>
          <w:lang w:val="en-US"/>
        </w:rPr>
        <w:t xml:space="preserve">Giuliano A., Cerulli R., Poletto M., Raiconi G., Barletta D., 2014. </w:t>
      </w:r>
      <w:r w:rsidRPr="0050081E">
        <w:rPr>
          <w:rFonts w:cs="Arial"/>
        </w:rPr>
        <w:t>Optimization of a multiproduct lignocellulosic biorefinery using a MILP Approximation, Computer Aided Chemical Engineering. https://doi.org/10.1016/B978-0-444-63455-9.50072-6</w:t>
      </w:r>
    </w:p>
    <w:p w14:paraId="038472F9" w14:textId="77777777" w:rsidR="0050081E" w:rsidRPr="0050081E" w:rsidRDefault="0050081E" w:rsidP="0050081E">
      <w:pPr>
        <w:pStyle w:val="Bibliografia"/>
        <w:rPr>
          <w:rFonts w:cs="Arial"/>
        </w:rPr>
      </w:pPr>
      <w:r w:rsidRPr="0050081E">
        <w:rPr>
          <w:rFonts w:cs="Arial"/>
        </w:rPr>
        <w:t>Niamboonnum Sathaporn, Panichkittikul Nitsara, Saebea Dang, Arpornwichanop Amornchai, Patcharavorachot Yaneeporn, 2021. Thermal Self-Sufficient Operation of Hydrogen Production from Used Vegetable Oil. Chemical Engineering Transactions 88, 823–828. https://doi.org/10.3303/CET2188137</w:t>
      </w:r>
    </w:p>
    <w:p w14:paraId="0B3B65C5" w14:textId="5E1095E3" w:rsidR="0050081E" w:rsidRPr="0050081E" w:rsidRDefault="0050081E" w:rsidP="0050081E">
      <w:pPr>
        <w:pStyle w:val="Bibliografia"/>
        <w:rPr>
          <w:rFonts w:cs="Arial"/>
        </w:rPr>
      </w:pPr>
      <w:r w:rsidRPr="0050081E">
        <w:rPr>
          <w:rFonts w:cs="Arial"/>
        </w:rPr>
        <w:t>Panoutsou C., Kyriakos M., 2021. Sustainable biomass availability in the EU, to 2050.</w:t>
      </w:r>
    </w:p>
    <w:p w14:paraId="00BC0097" w14:textId="065215C9" w:rsidR="0050081E" w:rsidRPr="0050081E" w:rsidRDefault="0050081E" w:rsidP="0050081E">
      <w:pPr>
        <w:pStyle w:val="Bibliografia"/>
        <w:rPr>
          <w:rFonts w:cs="Arial"/>
        </w:rPr>
      </w:pPr>
      <w:r w:rsidRPr="0050081E">
        <w:rPr>
          <w:rFonts w:cs="Arial"/>
        </w:rPr>
        <w:t>Restrepo-Flórez J.-M., Cuello-Penaloza P., Canales E., Witkowski D., Rothamer D.A., Huber G.W., Maravelias C.T., 2023. Ethanol to diesel: a sustainable alternative for the heavy-duty transportation sector. Sustainable Energy Fuels 7, 693–707. https://doi.org/10.1039/D2SE01377K</w:t>
      </w:r>
    </w:p>
    <w:p w14:paraId="476F56C2" w14:textId="70E65923" w:rsidR="0050081E" w:rsidRPr="0050081E" w:rsidRDefault="0050081E" w:rsidP="0050081E">
      <w:pPr>
        <w:pStyle w:val="Bibliografia"/>
        <w:rPr>
          <w:rFonts w:cs="Arial"/>
        </w:rPr>
      </w:pPr>
      <w:r w:rsidRPr="00DF46DB">
        <w:rPr>
          <w:rFonts w:cs="Arial"/>
          <w:lang w:val="en-US"/>
        </w:rPr>
        <w:t xml:space="preserve">Scarlat N., Fahl F., Dallemand J.-F., Monforti F., Motola V., 2018. </w:t>
      </w:r>
      <w:r w:rsidRPr="0050081E">
        <w:rPr>
          <w:rFonts w:cs="Arial"/>
        </w:rPr>
        <w:t>A spatial analysis of biogas potential from manure in Europe. Renewable and Sustainable Energy Reviews 94, 915–930. https://doi.org/10.1016/j.rser.2018.06.035</w:t>
      </w:r>
    </w:p>
    <w:p w14:paraId="1560225E" w14:textId="24B89C7E" w:rsidR="0050081E" w:rsidRPr="0050081E" w:rsidRDefault="0050081E" w:rsidP="0050081E">
      <w:pPr>
        <w:pStyle w:val="Bibliografia"/>
        <w:rPr>
          <w:rFonts w:cs="Arial"/>
        </w:rPr>
      </w:pPr>
      <w:r w:rsidRPr="0050081E">
        <w:rPr>
          <w:rFonts w:cs="Arial"/>
        </w:rPr>
        <w:t>Toth E., Mancino G., Raynal L., 2022. Isopropanol/n -Butanol/Ethanol separation from diluted fermentation broth by distillation. Process optimization using MILP techniques, in: Montastruc, L., Negny, S. (Eds.), Computer Aided Chemical Engineering, 32 European Symposium on Computer Aided Process Engineering. Elsevier, pp. 745–750. https://doi.org/10.1016/B978-0-323-95879-0.50125-9</w:t>
      </w:r>
    </w:p>
    <w:p w14:paraId="08B0DAF6" w14:textId="0FCB85F6" w:rsidR="002A2280" w:rsidRDefault="002A2280" w:rsidP="00E65B91">
      <w:pPr>
        <w:pStyle w:val="CETReferencetext"/>
      </w:pPr>
      <w:r w:rsidRPr="004568A2">
        <w:fldChar w:fldCharType="end"/>
      </w:r>
    </w:p>
    <w:sectPr w:rsidR="002A2280" w:rsidSect="00BD31A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8DC20" w14:textId="77777777" w:rsidR="00BD31AA" w:rsidRDefault="00BD31AA" w:rsidP="004F5E36">
      <w:r>
        <w:separator/>
      </w:r>
    </w:p>
  </w:endnote>
  <w:endnote w:type="continuationSeparator" w:id="0">
    <w:p w14:paraId="45730835" w14:textId="77777777" w:rsidR="00BD31AA" w:rsidRDefault="00BD31A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9CC5E" w14:textId="77777777" w:rsidR="00BD31AA" w:rsidRDefault="00BD31AA" w:rsidP="004F5E36">
      <w:r>
        <w:separator/>
      </w:r>
    </w:p>
  </w:footnote>
  <w:footnote w:type="continuationSeparator" w:id="0">
    <w:p w14:paraId="21515A54" w14:textId="77777777" w:rsidR="00BD31AA" w:rsidRDefault="00BD31A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65E"/>
    <w:rsid w:val="00011583"/>
    <w:rsid w:val="000117CB"/>
    <w:rsid w:val="00011FAE"/>
    <w:rsid w:val="000120AB"/>
    <w:rsid w:val="00014640"/>
    <w:rsid w:val="00014EB9"/>
    <w:rsid w:val="00015A87"/>
    <w:rsid w:val="0001614A"/>
    <w:rsid w:val="000221D5"/>
    <w:rsid w:val="00026935"/>
    <w:rsid w:val="0003148D"/>
    <w:rsid w:val="00031EEC"/>
    <w:rsid w:val="0003565A"/>
    <w:rsid w:val="00041855"/>
    <w:rsid w:val="00043127"/>
    <w:rsid w:val="00051316"/>
    <w:rsid w:val="00051566"/>
    <w:rsid w:val="000516E5"/>
    <w:rsid w:val="0005404C"/>
    <w:rsid w:val="000562A9"/>
    <w:rsid w:val="00062A9A"/>
    <w:rsid w:val="00065058"/>
    <w:rsid w:val="00065536"/>
    <w:rsid w:val="00073A26"/>
    <w:rsid w:val="00075B17"/>
    <w:rsid w:val="00084A3E"/>
    <w:rsid w:val="00086C39"/>
    <w:rsid w:val="00087BE4"/>
    <w:rsid w:val="00090800"/>
    <w:rsid w:val="00093DCE"/>
    <w:rsid w:val="000A03B2"/>
    <w:rsid w:val="000A46B9"/>
    <w:rsid w:val="000A7CE5"/>
    <w:rsid w:val="000B4B92"/>
    <w:rsid w:val="000B556F"/>
    <w:rsid w:val="000B64C8"/>
    <w:rsid w:val="000C0AB0"/>
    <w:rsid w:val="000C1907"/>
    <w:rsid w:val="000C28BF"/>
    <w:rsid w:val="000D0268"/>
    <w:rsid w:val="000D34BE"/>
    <w:rsid w:val="000D4BCC"/>
    <w:rsid w:val="000D52AE"/>
    <w:rsid w:val="000E102F"/>
    <w:rsid w:val="000E36F1"/>
    <w:rsid w:val="000E3A73"/>
    <w:rsid w:val="000E414A"/>
    <w:rsid w:val="000E580F"/>
    <w:rsid w:val="000E69CB"/>
    <w:rsid w:val="000F093C"/>
    <w:rsid w:val="000F1944"/>
    <w:rsid w:val="000F4B7D"/>
    <w:rsid w:val="000F787B"/>
    <w:rsid w:val="00106479"/>
    <w:rsid w:val="00106EDB"/>
    <w:rsid w:val="00107F8F"/>
    <w:rsid w:val="00110C9F"/>
    <w:rsid w:val="00112B99"/>
    <w:rsid w:val="0011369C"/>
    <w:rsid w:val="00114F3D"/>
    <w:rsid w:val="0012091F"/>
    <w:rsid w:val="0012134A"/>
    <w:rsid w:val="001216CF"/>
    <w:rsid w:val="00126739"/>
    <w:rsid w:val="00126BC2"/>
    <w:rsid w:val="001275A9"/>
    <w:rsid w:val="001308B6"/>
    <w:rsid w:val="0013121F"/>
    <w:rsid w:val="00131FE6"/>
    <w:rsid w:val="0013263F"/>
    <w:rsid w:val="001331DF"/>
    <w:rsid w:val="00133963"/>
    <w:rsid w:val="001346DF"/>
    <w:rsid w:val="00134DE4"/>
    <w:rsid w:val="00136402"/>
    <w:rsid w:val="0014034D"/>
    <w:rsid w:val="00141BDB"/>
    <w:rsid w:val="00142916"/>
    <w:rsid w:val="00143893"/>
    <w:rsid w:val="00144D16"/>
    <w:rsid w:val="00150E59"/>
    <w:rsid w:val="00152611"/>
    <w:rsid w:val="00152B84"/>
    <w:rsid w:val="00152DE3"/>
    <w:rsid w:val="00152E02"/>
    <w:rsid w:val="00155FA6"/>
    <w:rsid w:val="00156F74"/>
    <w:rsid w:val="00161702"/>
    <w:rsid w:val="0016371E"/>
    <w:rsid w:val="00164CF9"/>
    <w:rsid w:val="001667A6"/>
    <w:rsid w:val="00174B38"/>
    <w:rsid w:val="00176A69"/>
    <w:rsid w:val="00177F2F"/>
    <w:rsid w:val="001840D9"/>
    <w:rsid w:val="00184AD6"/>
    <w:rsid w:val="001A06F7"/>
    <w:rsid w:val="001A4AF7"/>
    <w:rsid w:val="001A627C"/>
    <w:rsid w:val="001B0349"/>
    <w:rsid w:val="001B1E93"/>
    <w:rsid w:val="001B4BA6"/>
    <w:rsid w:val="001B65C1"/>
    <w:rsid w:val="001C25EE"/>
    <w:rsid w:val="001C4BB2"/>
    <w:rsid w:val="001C684B"/>
    <w:rsid w:val="001C69E9"/>
    <w:rsid w:val="001D0CFB"/>
    <w:rsid w:val="001D21AF"/>
    <w:rsid w:val="001D53FC"/>
    <w:rsid w:val="001D5AA5"/>
    <w:rsid w:val="001E2F23"/>
    <w:rsid w:val="001E581F"/>
    <w:rsid w:val="001E6E8F"/>
    <w:rsid w:val="001F42A5"/>
    <w:rsid w:val="001F7205"/>
    <w:rsid w:val="001F7B9D"/>
    <w:rsid w:val="00201C93"/>
    <w:rsid w:val="002031F7"/>
    <w:rsid w:val="002163E3"/>
    <w:rsid w:val="00217C7B"/>
    <w:rsid w:val="002224B4"/>
    <w:rsid w:val="00225FBB"/>
    <w:rsid w:val="0023139F"/>
    <w:rsid w:val="00231ABD"/>
    <w:rsid w:val="00231CDA"/>
    <w:rsid w:val="00232BF9"/>
    <w:rsid w:val="00234489"/>
    <w:rsid w:val="00237439"/>
    <w:rsid w:val="00240218"/>
    <w:rsid w:val="00242BB2"/>
    <w:rsid w:val="002447EF"/>
    <w:rsid w:val="0024544F"/>
    <w:rsid w:val="00245585"/>
    <w:rsid w:val="00246135"/>
    <w:rsid w:val="0024679B"/>
    <w:rsid w:val="00250233"/>
    <w:rsid w:val="00251550"/>
    <w:rsid w:val="0025218C"/>
    <w:rsid w:val="002525CE"/>
    <w:rsid w:val="00252ABA"/>
    <w:rsid w:val="00263B05"/>
    <w:rsid w:val="0027221A"/>
    <w:rsid w:val="00275B61"/>
    <w:rsid w:val="00280FAF"/>
    <w:rsid w:val="00281D8E"/>
    <w:rsid w:val="00281E57"/>
    <w:rsid w:val="00282656"/>
    <w:rsid w:val="002900F6"/>
    <w:rsid w:val="00296B83"/>
    <w:rsid w:val="002A2280"/>
    <w:rsid w:val="002A3563"/>
    <w:rsid w:val="002A7FA6"/>
    <w:rsid w:val="002B15B8"/>
    <w:rsid w:val="002B1BE0"/>
    <w:rsid w:val="002B4015"/>
    <w:rsid w:val="002B6AD4"/>
    <w:rsid w:val="002B78CE"/>
    <w:rsid w:val="002B79FD"/>
    <w:rsid w:val="002C295D"/>
    <w:rsid w:val="002C2FB6"/>
    <w:rsid w:val="002C4BD5"/>
    <w:rsid w:val="002C7C9E"/>
    <w:rsid w:val="002D3E52"/>
    <w:rsid w:val="002D5C3E"/>
    <w:rsid w:val="002E136D"/>
    <w:rsid w:val="002E4182"/>
    <w:rsid w:val="002E482D"/>
    <w:rsid w:val="002E4E01"/>
    <w:rsid w:val="002E5FA7"/>
    <w:rsid w:val="002F3309"/>
    <w:rsid w:val="002F3C19"/>
    <w:rsid w:val="002F5C0F"/>
    <w:rsid w:val="003008CE"/>
    <w:rsid w:val="003009B7"/>
    <w:rsid w:val="00300E56"/>
    <w:rsid w:val="0030152C"/>
    <w:rsid w:val="0030469C"/>
    <w:rsid w:val="00306CFB"/>
    <w:rsid w:val="00310B71"/>
    <w:rsid w:val="00313EAD"/>
    <w:rsid w:val="0031458C"/>
    <w:rsid w:val="00315A98"/>
    <w:rsid w:val="003177DB"/>
    <w:rsid w:val="00321509"/>
    <w:rsid w:val="003215F7"/>
    <w:rsid w:val="00321CA6"/>
    <w:rsid w:val="003220A9"/>
    <w:rsid w:val="0032266F"/>
    <w:rsid w:val="00323763"/>
    <w:rsid w:val="00323C5F"/>
    <w:rsid w:val="00324F19"/>
    <w:rsid w:val="00325F23"/>
    <w:rsid w:val="0033014D"/>
    <w:rsid w:val="00334C09"/>
    <w:rsid w:val="00340589"/>
    <w:rsid w:val="00341553"/>
    <w:rsid w:val="00343C69"/>
    <w:rsid w:val="00344A4F"/>
    <w:rsid w:val="003509CE"/>
    <w:rsid w:val="0036115F"/>
    <w:rsid w:val="003723D4"/>
    <w:rsid w:val="00373093"/>
    <w:rsid w:val="003759A1"/>
    <w:rsid w:val="00377862"/>
    <w:rsid w:val="00380DF4"/>
    <w:rsid w:val="00381905"/>
    <w:rsid w:val="00384CC8"/>
    <w:rsid w:val="003871FD"/>
    <w:rsid w:val="003A1E30"/>
    <w:rsid w:val="003A2829"/>
    <w:rsid w:val="003A45D3"/>
    <w:rsid w:val="003A6FC6"/>
    <w:rsid w:val="003A7D1C"/>
    <w:rsid w:val="003B304B"/>
    <w:rsid w:val="003B3146"/>
    <w:rsid w:val="003B61AE"/>
    <w:rsid w:val="003C0369"/>
    <w:rsid w:val="003C0E12"/>
    <w:rsid w:val="003C1212"/>
    <w:rsid w:val="003D2036"/>
    <w:rsid w:val="003D46B7"/>
    <w:rsid w:val="003D4EB3"/>
    <w:rsid w:val="003E60A0"/>
    <w:rsid w:val="003F015E"/>
    <w:rsid w:val="00400414"/>
    <w:rsid w:val="00401ECF"/>
    <w:rsid w:val="00402758"/>
    <w:rsid w:val="00406923"/>
    <w:rsid w:val="00411025"/>
    <w:rsid w:val="00411B8E"/>
    <w:rsid w:val="004131E4"/>
    <w:rsid w:val="0041446B"/>
    <w:rsid w:val="00417BF4"/>
    <w:rsid w:val="0042520B"/>
    <w:rsid w:val="00426F02"/>
    <w:rsid w:val="00437CF7"/>
    <w:rsid w:val="004405EC"/>
    <w:rsid w:val="0044071E"/>
    <w:rsid w:val="0044329C"/>
    <w:rsid w:val="00445886"/>
    <w:rsid w:val="004519D4"/>
    <w:rsid w:val="00451EA8"/>
    <w:rsid w:val="00452225"/>
    <w:rsid w:val="00453E24"/>
    <w:rsid w:val="004568A2"/>
    <w:rsid w:val="00457456"/>
    <w:rsid w:val="004577FE"/>
    <w:rsid w:val="00457B9C"/>
    <w:rsid w:val="00460692"/>
    <w:rsid w:val="0046164A"/>
    <w:rsid w:val="004628D2"/>
    <w:rsid w:val="00462DCD"/>
    <w:rsid w:val="004648AD"/>
    <w:rsid w:val="00466FBF"/>
    <w:rsid w:val="004703A9"/>
    <w:rsid w:val="00471BA7"/>
    <w:rsid w:val="004760DE"/>
    <w:rsid w:val="004761E9"/>
    <w:rsid w:val="004763D7"/>
    <w:rsid w:val="004769B7"/>
    <w:rsid w:val="00482D62"/>
    <w:rsid w:val="004877FC"/>
    <w:rsid w:val="004917C7"/>
    <w:rsid w:val="00491BFC"/>
    <w:rsid w:val="00497E48"/>
    <w:rsid w:val="004A004E"/>
    <w:rsid w:val="004A1942"/>
    <w:rsid w:val="004A1995"/>
    <w:rsid w:val="004A1CA3"/>
    <w:rsid w:val="004A24CF"/>
    <w:rsid w:val="004A4239"/>
    <w:rsid w:val="004A795D"/>
    <w:rsid w:val="004B1823"/>
    <w:rsid w:val="004B592B"/>
    <w:rsid w:val="004B59C0"/>
    <w:rsid w:val="004C3D1D"/>
    <w:rsid w:val="004C3D84"/>
    <w:rsid w:val="004C7913"/>
    <w:rsid w:val="004D270D"/>
    <w:rsid w:val="004E4787"/>
    <w:rsid w:val="004E4DD6"/>
    <w:rsid w:val="004E5524"/>
    <w:rsid w:val="004E6AEB"/>
    <w:rsid w:val="004F2D77"/>
    <w:rsid w:val="004F2E62"/>
    <w:rsid w:val="004F30D9"/>
    <w:rsid w:val="004F5E36"/>
    <w:rsid w:val="004F5F2C"/>
    <w:rsid w:val="0050081E"/>
    <w:rsid w:val="00505AC0"/>
    <w:rsid w:val="005061F0"/>
    <w:rsid w:val="00507B47"/>
    <w:rsid w:val="00507BEF"/>
    <w:rsid w:val="00507CC9"/>
    <w:rsid w:val="00510C84"/>
    <w:rsid w:val="005119A5"/>
    <w:rsid w:val="00511EA9"/>
    <w:rsid w:val="005128DF"/>
    <w:rsid w:val="00512BBC"/>
    <w:rsid w:val="00512EF1"/>
    <w:rsid w:val="00516AAC"/>
    <w:rsid w:val="00523C2E"/>
    <w:rsid w:val="005243F3"/>
    <w:rsid w:val="005278B7"/>
    <w:rsid w:val="0053065D"/>
    <w:rsid w:val="00532016"/>
    <w:rsid w:val="00532129"/>
    <w:rsid w:val="005346C8"/>
    <w:rsid w:val="00535BB0"/>
    <w:rsid w:val="005376D7"/>
    <w:rsid w:val="00537EC7"/>
    <w:rsid w:val="00541695"/>
    <w:rsid w:val="005418A5"/>
    <w:rsid w:val="00543E7D"/>
    <w:rsid w:val="00547A68"/>
    <w:rsid w:val="00551E35"/>
    <w:rsid w:val="005531C9"/>
    <w:rsid w:val="00553D67"/>
    <w:rsid w:val="00553E9C"/>
    <w:rsid w:val="00554CD6"/>
    <w:rsid w:val="00555911"/>
    <w:rsid w:val="00556AD5"/>
    <w:rsid w:val="00565261"/>
    <w:rsid w:val="00565591"/>
    <w:rsid w:val="00570C43"/>
    <w:rsid w:val="00575D9B"/>
    <w:rsid w:val="005831DF"/>
    <w:rsid w:val="00587C7B"/>
    <w:rsid w:val="005911FF"/>
    <w:rsid w:val="00594A22"/>
    <w:rsid w:val="005A2EEC"/>
    <w:rsid w:val="005A610C"/>
    <w:rsid w:val="005B2110"/>
    <w:rsid w:val="005B3339"/>
    <w:rsid w:val="005B61E6"/>
    <w:rsid w:val="005C77E1"/>
    <w:rsid w:val="005C79C6"/>
    <w:rsid w:val="005D0396"/>
    <w:rsid w:val="005D198E"/>
    <w:rsid w:val="005D1AD1"/>
    <w:rsid w:val="005D4D8E"/>
    <w:rsid w:val="005D668A"/>
    <w:rsid w:val="005D6A2F"/>
    <w:rsid w:val="005E1A82"/>
    <w:rsid w:val="005E30AB"/>
    <w:rsid w:val="005E794C"/>
    <w:rsid w:val="005F075F"/>
    <w:rsid w:val="005F0A28"/>
    <w:rsid w:val="005F0E5E"/>
    <w:rsid w:val="005F1A1C"/>
    <w:rsid w:val="00600535"/>
    <w:rsid w:val="006021F0"/>
    <w:rsid w:val="00605585"/>
    <w:rsid w:val="00606AD8"/>
    <w:rsid w:val="00607CF1"/>
    <w:rsid w:val="00610CD6"/>
    <w:rsid w:val="00620DEE"/>
    <w:rsid w:val="00621F92"/>
    <w:rsid w:val="0062280A"/>
    <w:rsid w:val="00625639"/>
    <w:rsid w:val="00625A88"/>
    <w:rsid w:val="00625AAC"/>
    <w:rsid w:val="00631B33"/>
    <w:rsid w:val="00633AE1"/>
    <w:rsid w:val="006400C5"/>
    <w:rsid w:val="0064184D"/>
    <w:rsid w:val="00641FA7"/>
    <w:rsid w:val="006422CC"/>
    <w:rsid w:val="00644275"/>
    <w:rsid w:val="00647A44"/>
    <w:rsid w:val="006519E7"/>
    <w:rsid w:val="0065329D"/>
    <w:rsid w:val="00653EC8"/>
    <w:rsid w:val="00654CBA"/>
    <w:rsid w:val="00655AFA"/>
    <w:rsid w:val="00657133"/>
    <w:rsid w:val="0066093B"/>
    <w:rsid w:val="00660C90"/>
    <w:rsid w:val="00660C98"/>
    <w:rsid w:val="00660E3E"/>
    <w:rsid w:val="00662E74"/>
    <w:rsid w:val="006676A6"/>
    <w:rsid w:val="00673715"/>
    <w:rsid w:val="0067626C"/>
    <w:rsid w:val="00680C23"/>
    <w:rsid w:val="0068194F"/>
    <w:rsid w:val="00681AF3"/>
    <w:rsid w:val="00693766"/>
    <w:rsid w:val="00697073"/>
    <w:rsid w:val="00697F71"/>
    <w:rsid w:val="006A23E9"/>
    <w:rsid w:val="006A2411"/>
    <w:rsid w:val="006A2678"/>
    <w:rsid w:val="006A2C09"/>
    <w:rsid w:val="006A3281"/>
    <w:rsid w:val="006A78D2"/>
    <w:rsid w:val="006A7B94"/>
    <w:rsid w:val="006B4888"/>
    <w:rsid w:val="006B5B9A"/>
    <w:rsid w:val="006C0440"/>
    <w:rsid w:val="006C1703"/>
    <w:rsid w:val="006C21DE"/>
    <w:rsid w:val="006C2E45"/>
    <w:rsid w:val="006C359C"/>
    <w:rsid w:val="006C5447"/>
    <w:rsid w:val="006C5579"/>
    <w:rsid w:val="006D3FB7"/>
    <w:rsid w:val="006D6E8B"/>
    <w:rsid w:val="006E01EA"/>
    <w:rsid w:val="006E1BD8"/>
    <w:rsid w:val="006E5612"/>
    <w:rsid w:val="006E737D"/>
    <w:rsid w:val="006F3ABE"/>
    <w:rsid w:val="00700653"/>
    <w:rsid w:val="007036E4"/>
    <w:rsid w:val="00710CC8"/>
    <w:rsid w:val="00713973"/>
    <w:rsid w:val="00716F02"/>
    <w:rsid w:val="00720A24"/>
    <w:rsid w:val="00720AC2"/>
    <w:rsid w:val="00724386"/>
    <w:rsid w:val="00724E94"/>
    <w:rsid w:val="007277EA"/>
    <w:rsid w:val="0073098E"/>
    <w:rsid w:val="00731E2A"/>
    <w:rsid w:val="00732386"/>
    <w:rsid w:val="00734DB0"/>
    <w:rsid w:val="0073514D"/>
    <w:rsid w:val="0073748A"/>
    <w:rsid w:val="007417F6"/>
    <w:rsid w:val="0074305C"/>
    <w:rsid w:val="007447F3"/>
    <w:rsid w:val="00745289"/>
    <w:rsid w:val="0074639D"/>
    <w:rsid w:val="007532F7"/>
    <w:rsid w:val="0075339E"/>
    <w:rsid w:val="0075499F"/>
    <w:rsid w:val="00754F98"/>
    <w:rsid w:val="00755049"/>
    <w:rsid w:val="0076218C"/>
    <w:rsid w:val="007661C8"/>
    <w:rsid w:val="00767701"/>
    <w:rsid w:val="0077063E"/>
    <w:rsid w:val="0077098D"/>
    <w:rsid w:val="00771093"/>
    <w:rsid w:val="00773F9E"/>
    <w:rsid w:val="00774B59"/>
    <w:rsid w:val="00777C2D"/>
    <w:rsid w:val="0078469D"/>
    <w:rsid w:val="00785B15"/>
    <w:rsid w:val="00786127"/>
    <w:rsid w:val="00787F49"/>
    <w:rsid w:val="00792883"/>
    <w:rsid w:val="007931FA"/>
    <w:rsid w:val="00797C5E"/>
    <w:rsid w:val="007A0B63"/>
    <w:rsid w:val="007A14FE"/>
    <w:rsid w:val="007A1986"/>
    <w:rsid w:val="007A4861"/>
    <w:rsid w:val="007A510E"/>
    <w:rsid w:val="007A68B2"/>
    <w:rsid w:val="007A7BBA"/>
    <w:rsid w:val="007B0C50"/>
    <w:rsid w:val="007B11A4"/>
    <w:rsid w:val="007B48F9"/>
    <w:rsid w:val="007C0E97"/>
    <w:rsid w:val="007C1A43"/>
    <w:rsid w:val="007C31C4"/>
    <w:rsid w:val="007C3678"/>
    <w:rsid w:val="007C6297"/>
    <w:rsid w:val="007C74B2"/>
    <w:rsid w:val="007D0951"/>
    <w:rsid w:val="007D3899"/>
    <w:rsid w:val="007D429D"/>
    <w:rsid w:val="007D4C17"/>
    <w:rsid w:val="007D6219"/>
    <w:rsid w:val="007E00B0"/>
    <w:rsid w:val="007E0B7F"/>
    <w:rsid w:val="007E62DC"/>
    <w:rsid w:val="007F4113"/>
    <w:rsid w:val="007F5D14"/>
    <w:rsid w:val="007F7C83"/>
    <w:rsid w:val="0080013E"/>
    <w:rsid w:val="008024AB"/>
    <w:rsid w:val="00807B68"/>
    <w:rsid w:val="00811B0A"/>
    <w:rsid w:val="00813288"/>
    <w:rsid w:val="0081481C"/>
    <w:rsid w:val="00814D94"/>
    <w:rsid w:val="008168FC"/>
    <w:rsid w:val="00817495"/>
    <w:rsid w:val="008254EF"/>
    <w:rsid w:val="00830996"/>
    <w:rsid w:val="00832E23"/>
    <w:rsid w:val="008345F1"/>
    <w:rsid w:val="00841494"/>
    <w:rsid w:val="00843EAC"/>
    <w:rsid w:val="008441E3"/>
    <w:rsid w:val="0084723E"/>
    <w:rsid w:val="00853ADC"/>
    <w:rsid w:val="00857F1E"/>
    <w:rsid w:val="0086022F"/>
    <w:rsid w:val="008626F9"/>
    <w:rsid w:val="00862961"/>
    <w:rsid w:val="00865B07"/>
    <w:rsid w:val="008667B5"/>
    <w:rsid w:val="008667EA"/>
    <w:rsid w:val="00866C5A"/>
    <w:rsid w:val="00866F28"/>
    <w:rsid w:val="0087496B"/>
    <w:rsid w:val="0087637F"/>
    <w:rsid w:val="008924A2"/>
    <w:rsid w:val="00892591"/>
    <w:rsid w:val="00892752"/>
    <w:rsid w:val="00892AD5"/>
    <w:rsid w:val="008A1512"/>
    <w:rsid w:val="008A529D"/>
    <w:rsid w:val="008B5A33"/>
    <w:rsid w:val="008B6C21"/>
    <w:rsid w:val="008B7C03"/>
    <w:rsid w:val="008C129E"/>
    <w:rsid w:val="008C147A"/>
    <w:rsid w:val="008D251A"/>
    <w:rsid w:val="008D32B9"/>
    <w:rsid w:val="008D433B"/>
    <w:rsid w:val="008D4A16"/>
    <w:rsid w:val="008D71E6"/>
    <w:rsid w:val="008E566E"/>
    <w:rsid w:val="008E77FF"/>
    <w:rsid w:val="008E79E1"/>
    <w:rsid w:val="0090161A"/>
    <w:rsid w:val="00901EB6"/>
    <w:rsid w:val="00902EDA"/>
    <w:rsid w:val="0090373A"/>
    <w:rsid w:val="00904C62"/>
    <w:rsid w:val="009054A3"/>
    <w:rsid w:val="009066A4"/>
    <w:rsid w:val="0091026B"/>
    <w:rsid w:val="00912428"/>
    <w:rsid w:val="00912BA1"/>
    <w:rsid w:val="00914CD0"/>
    <w:rsid w:val="00915B94"/>
    <w:rsid w:val="009215E6"/>
    <w:rsid w:val="00922BA8"/>
    <w:rsid w:val="00924DAC"/>
    <w:rsid w:val="00926C5C"/>
    <w:rsid w:val="00927058"/>
    <w:rsid w:val="00927E63"/>
    <w:rsid w:val="00942750"/>
    <w:rsid w:val="00943C81"/>
    <w:rsid w:val="009442CC"/>
    <w:rsid w:val="009450CE"/>
    <w:rsid w:val="009459BB"/>
    <w:rsid w:val="009466D4"/>
    <w:rsid w:val="00947179"/>
    <w:rsid w:val="0095164B"/>
    <w:rsid w:val="00952408"/>
    <w:rsid w:val="00954090"/>
    <w:rsid w:val="009573E7"/>
    <w:rsid w:val="00960D2F"/>
    <w:rsid w:val="009614DF"/>
    <w:rsid w:val="0096178A"/>
    <w:rsid w:val="00961D26"/>
    <w:rsid w:val="00962E6A"/>
    <w:rsid w:val="00963E05"/>
    <w:rsid w:val="00964A45"/>
    <w:rsid w:val="00967843"/>
    <w:rsid w:val="00967D54"/>
    <w:rsid w:val="00971028"/>
    <w:rsid w:val="0097195B"/>
    <w:rsid w:val="0097383C"/>
    <w:rsid w:val="009820D0"/>
    <w:rsid w:val="00982531"/>
    <w:rsid w:val="00983350"/>
    <w:rsid w:val="00983614"/>
    <w:rsid w:val="009865BF"/>
    <w:rsid w:val="00990EB8"/>
    <w:rsid w:val="00993B84"/>
    <w:rsid w:val="009952CA"/>
    <w:rsid w:val="00995A29"/>
    <w:rsid w:val="00996483"/>
    <w:rsid w:val="00996F5A"/>
    <w:rsid w:val="009A1B26"/>
    <w:rsid w:val="009A74B4"/>
    <w:rsid w:val="009A76C6"/>
    <w:rsid w:val="009B041A"/>
    <w:rsid w:val="009B3CD9"/>
    <w:rsid w:val="009B4B12"/>
    <w:rsid w:val="009B55D6"/>
    <w:rsid w:val="009C37C3"/>
    <w:rsid w:val="009C6045"/>
    <w:rsid w:val="009C7C86"/>
    <w:rsid w:val="009D11B7"/>
    <w:rsid w:val="009D1602"/>
    <w:rsid w:val="009D2FF7"/>
    <w:rsid w:val="009D4860"/>
    <w:rsid w:val="009D5D55"/>
    <w:rsid w:val="009E248D"/>
    <w:rsid w:val="009E68E1"/>
    <w:rsid w:val="009E6EDB"/>
    <w:rsid w:val="009E7018"/>
    <w:rsid w:val="009E7884"/>
    <w:rsid w:val="009E788A"/>
    <w:rsid w:val="009F0E08"/>
    <w:rsid w:val="009F1FBD"/>
    <w:rsid w:val="009F412D"/>
    <w:rsid w:val="00A018F9"/>
    <w:rsid w:val="00A032BE"/>
    <w:rsid w:val="00A06CD6"/>
    <w:rsid w:val="00A117E9"/>
    <w:rsid w:val="00A1763D"/>
    <w:rsid w:val="00A17CEC"/>
    <w:rsid w:val="00A215F4"/>
    <w:rsid w:val="00A2569E"/>
    <w:rsid w:val="00A27C80"/>
    <w:rsid w:val="00A27EF0"/>
    <w:rsid w:val="00A30967"/>
    <w:rsid w:val="00A344B3"/>
    <w:rsid w:val="00A34F35"/>
    <w:rsid w:val="00A3588A"/>
    <w:rsid w:val="00A403AF"/>
    <w:rsid w:val="00A42361"/>
    <w:rsid w:val="00A50B20"/>
    <w:rsid w:val="00A51390"/>
    <w:rsid w:val="00A5413E"/>
    <w:rsid w:val="00A54D13"/>
    <w:rsid w:val="00A57627"/>
    <w:rsid w:val="00A60D13"/>
    <w:rsid w:val="00A60E28"/>
    <w:rsid w:val="00A61118"/>
    <w:rsid w:val="00A637B3"/>
    <w:rsid w:val="00A66EDA"/>
    <w:rsid w:val="00A67D55"/>
    <w:rsid w:val="00A7223D"/>
    <w:rsid w:val="00A72745"/>
    <w:rsid w:val="00A7384A"/>
    <w:rsid w:val="00A76CD8"/>
    <w:rsid w:val="00A76EFC"/>
    <w:rsid w:val="00A87D50"/>
    <w:rsid w:val="00A91010"/>
    <w:rsid w:val="00A929E6"/>
    <w:rsid w:val="00A935D1"/>
    <w:rsid w:val="00A97F29"/>
    <w:rsid w:val="00AA01BD"/>
    <w:rsid w:val="00AA28DC"/>
    <w:rsid w:val="00AA35AE"/>
    <w:rsid w:val="00AA702E"/>
    <w:rsid w:val="00AA7D26"/>
    <w:rsid w:val="00AB0964"/>
    <w:rsid w:val="00AB4189"/>
    <w:rsid w:val="00AB4217"/>
    <w:rsid w:val="00AB5011"/>
    <w:rsid w:val="00AC68F0"/>
    <w:rsid w:val="00AC7368"/>
    <w:rsid w:val="00AD16B9"/>
    <w:rsid w:val="00AD2B84"/>
    <w:rsid w:val="00AE1BB9"/>
    <w:rsid w:val="00AE377D"/>
    <w:rsid w:val="00AE4257"/>
    <w:rsid w:val="00AF0EBA"/>
    <w:rsid w:val="00AF6A79"/>
    <w:rsid w:val="00B011F1"/>
    <w:rsid w:val="00B02C8A"/>
    <w:rsid w:val="00B05F6F"/>
    <w:rsid w:val="00B074FA"/>
    <w:rsid w:val="00B078C1"/>
    <w:rsid w:val="00B10971"/>
    <w:rsid w:val="00B13F63"/>
    <w:rsid w:val="00B15EBF"/>
    <w:rsid w:val="00B16826"/>
    <w:rsid w:val="00B17FBD"/>
    <w:rsid w:val="00B2130F"/>
    <w:rsid w:val="00B24898"/>
    <w:rsid w:val="00B315A6"/>
    <w:rsid w:val="00B31813"/>
    <w:rsid w:val="00B33365"/>
    <w:rsid w:val="00B345B0"/>
    <w:rsid w:val="00B346FC"/>
    <w:rsid w:val="00B37526"/>
    <w:rsid w:val="00B400DF"/>
    <w:rsid w:val="00B411D4"/>
    <w:rsid w:val="00B43808"/>
    <w:rsid w:val="00B443D6"/>
    <w:rsid w:val="00B447B0"/>
    <w:rsid w:val="00B51974"/>
    <w:rsid w:val="00B53F13"/>
    <w:rsid w:val="00B54548"/>
    <w:rsid w:val="00B5733E"/>
    <w:rsid w:val="00B57B36"/>
    <w:rsid w:val="00B57E6F"/>
    <w:rsid w:val="00B60871"/>
    <w:rsid w:val="00B61386"/>
    <w:rsid w:val="00B620D1"/>
    <w:rsid w:val="00B63A42"/>
    <w:rsid w:val="00B66540"/>
    <w:rsid w:val="00B66616"/>
    <w:rsid w:val="00B72109"/>
    <w:rsid w:val="00B8686D"/>
    <w:rsid w:val="00B91AC9"/>
    <w:rsid w:val="00B93F69"/>
    <w:rsid w:val="00B94107"/>
    <w:rsid w:val="00B95363"/>
    <w:rsid w:val="00B95C8D"/>
    <w:rsid w:val="00B964B5"/>
    <w:rsid w:val="00BA3B77"/>
    <w:rsid w:val="00BA5AD7"/>
    <w:rsid w:val="00BB1DDC"/>
    <w:rsid w:val="00BB260A"/>
    <w:rsid w:val="00BB40BC"/>
    <w:rsid w:val="00BB63CB"/>
    <w:rsid w:val="00BC30C9"/>
    <w:rsid w:val="00BD077D"/>
    <w:rsid w:val="00BD31AA"/>
    <w:rsid w:val="00BD5221"/>
    <w:rsid w:val="00BD7A88"/>
    <w:rsid w:val="00BE3E58"/>
    <w:rsid w:val="00BE7BAA"/>
    <w:rsid w:val="00BE7EA6"/>
    <w:rsid w:val="00BF03C6"/>
    <w:rsid w:val="00BF3DA5"/>
    <w:rsid w:val="00BF6E58"/>
    <w:rsid w:val="00C01616"/>
    <w:rsid w:val="00C0162B"/>
    <w:rsid w:val="00C068ED"/>
    <w:rsid w:val="00C11A4A"/>
    <w:rsid w:val="00C127EC"/>
    <w:rsid w:val="00C15F88"/>
    <w:rsid w:val="00C22E0C"/>
    <w:rsid w:val="00C233F3"/>
    <w:rsid w:val="00C345B1"/>
    <w:rsid w:val="00C37468"/>
    <w:rsid w:val="00C37B64"/>
    <w:rsid w:val="00C40142"/>
    <w:rsid w:val="00C4165A"/>
    <w:rsid w:val="00C5134F"/>
    <w:rsid w:val="00C51CAD"/>
    <w:rsid w:val="00C52C3C"/>
    <w:rsid w:val="00C53940"/>
    <w:rsid w:val="00C53CDE"/>
    <w:rsid w:val="00C56D71"/>
    <w:rsid w:val="00C57182"/>
    <w:rsid w:val="00C57863"/>
    <w:rsid w:val="00C6084B"/>
    <w:rsid w:val="00C63455"/>
    <w:rsid w:val="00C640AF"/>
    <w:rsid w:val="00C650A9"/>
    <w:rsid w:val="00C655FD"/>
    <w:rsid w:val="00C65EBC"/>
    <w:rsid w:val="00C6605B"/>
    <w:rsid w:val="00C6756F"/>
    <w:rsid w:val="00C70FA5"/>
    <w:rsid w:val="00C71A17"/>
    <w:rsid w:val="00C722BD"/>
    <w:rsid w:val="00C72EC6"/>
    <w:rsid w:val="00C73B2F"/>
    <w:rsid w:val="00C75407"/>
    <w:rsid w:val="00C76801"/>
    <w:rsid w:val="00C815F0"/>
    <w:rsid w:val="00C82F50"/>
    <w:rsid w:val="00C84831"/>
    <w:rsid w:val="00C870A8"/>
    <w:rsid w:val="00C90CE9"/>
    <w:rsid w:val="00C9266C"/>
    <w:rsid w:val="00C9334D"/>
    <w:rsid w:val="00C94434"/>
    <w:rsid w:val="00C94896"/>
    <w:rsid w:val="00CA0D4A"/>
    <w:rsid w:val="00CA0D75"/>
    <w:rsid w:val="00CA1C95"/>
    <w:rsid w:val="00CA5A9C"/>
    <w:rsid w:val="00CB25A6"/>
    <w:rsid w:val="00CB2924"/>
    <w:rsid w:val="00CB3404"/>
    <w:rsid w:val="00CB4E04"/>
    <w:rsid w:val="00CB6F3B"/>
    <w:rsid w:val="00CB7D0E"/>
    <w:rsid w:val="00CC007F"/>
    <w:rsid w:val="00CC1487"/>
    <w:rsid w:val="00CC34E9"/>
    <w:rsid w:val="00CC3B1C"/>
    <w:rsid w:val="00CC4C20"/>
    <w:rsid w:val="00CC7D61"/>
    <w:rsid w:val="00CD3517"/>
    <w:rsid w:val="00CD59D0"/>
    <w:rsid w:val="00CD5FE2"/>
    <w:rsid w:val="00CE7C68"/>
    <w:rsid w:val="00CF4241"/>
    <w:rsid w:val="00CF623A"/>
    <w:rsid w:val="00D02B4C"/>
    <w:rsid w:val="00D040C4"/>
    <w:rsid w:val="00D20AD1"/>
    <w:rsid w:val="00D21504"/>
    <w:rsid w:val="00D22EAE"/>
    <w:rsid w:val="00D34918"/>
    <w:rsid w:val="00D36F98"/>
    <w:rsid w:val="00D375DD"/>
    <w:rsid w:val="00D37C09"/>
    <w:rsid w:val="00D437C3"/>
    <w:rsid w:val="00D45DCB"/>
    <w:rsid w:val="00D46B7E"/>
    <w:rsid w:val="00D54E94"/>
    <w:rsid w:val="00D550FC"/>
    <w:rsid w:val="00D56E87"/>
    <w:rsid w:val="00D57521"/>
    <w:rsid w:val="00D57C84"/>
    <w:rsid w:val="00D604C0"/>
    <w:rsid w:val="00D6057D"/>
    <w:rsid w:val="00D648EC"/>
    <w:rsid w:val="00D65E26"/>
    <w:rsid w:val="00D71640"/>
    <w:rsid w:val="00D74BD3"/>
    <w:rsid w:val="00D766AF"/>
    <w:rsid w:val="00D8003A"/>
    <w:rsid w:val="00D836C5"/>
    <w:rsid w:val="00D84576"/>
    <w:rsid w:val="00D95304"/>
    <w:rsid w:val="00D95E75"/>
    <w:rsid w:val="00D96517"/>
    <w:rsid w:val="00D9729C"/>
    <w:rsid w:val="00DA1399"/>
    <w:rsid w:val="00DA1680"/>
    <w:rsid w:val="00DA24C6"/>
    <w:rsid w:val="00DA4D7B"/>
    <w:rsid w:val="00DA637F"/>
    <w:rsid w:val="00DA658F"/>
    <w:rsid w:val="00DB0B2E"/>
    <w:rsid w:val="00DB0C63"/>
    <w:rsid w:val="00DB0CD1"/>
    <w:rsid w:val="00DB1AB0"/>
    <w:rsid w:val="00DB2AE7"/>
    <w:rsid w:val="00DB3233"/>
    <w:rsid w:val="00DB3BBD"/>
    <w:rsid w:val="00DB60BC"/>
    <w:rsid w:val="00DB7327"/>
    <w:rsid w:val="00DC57FF"/>
    <w:rsid w:val="00DC675B"/>
    <w:rsid w:val="00DD271C"/>
    <w:rsid w:val="00DD4F82"/>
    <w:rsid w:val="00DE264A"/>
    <w:rsid w:val="00DE2B27"/>
    <w:rsid w:val="00DE3F04"/>
    <w:rsid w:val="00DF0E06"/>
    <w:rsid w:val="00DF2654"/>
    <w:rsid w:val="00DF46DB"/>
    <w:rsid w:val="00DF5072"/>
    <w:rsid w:val="00DF6A60"/>
    <w:rsid w:val="00E00140"/>
    <w:rsid w:val="00E02496"/>
    <w:rsid w:val="00E02BAF"/>
    <w:rsid w:val="00E02D18"/>
    <w:rsid w:val="00E03513"/>
    <w:rsid w:val="00E041E7"/>
    <w:rsid w:val="00E12686"/>
    <w:rsid w:val="00E15AD8"/>
    <w:rsid w:val="00E2086D"/>
    <w:rsid w:val="00E208E6"/>
    <w:rsid w:val="00E22C36"/>
    <w:rsid w:val="00E22D4C"/>
    <w:rsid w:val="00E23CA1"/>
    <w:rsid w:val="00E30890"/>
    <w:rsid w:val="00E33DD7"/>
    <w:rsid w:val="00E409A8"/>
    <w:rsid w:val="00E40DF1"/>
    <w:rsid w:val="00E43B78"/>
    <w:rsid w:val="00E45E49"/>
    <w:rsid w:val="00E50C12"/>
    <w:rsid w:val="00E549BC"/>
    <w:rsid w:val="00E65B91"/>
    <w:rsid w:val="00E663AF"/>
    <w:rsid w:val="00E70D0A"/>
    <w:rsid w:val="00E7209D"/>
    <w:rsid w:val="00E72EAD"/>
    <w:rsid w:val="00E75933"/>
    <w:rsid w:val="00E75FD9"/>
    <w:rsid w:val="00E77223"/>
    <w:rsid w:val="00E81609"/>
    <w:rsid w:val="00E81887"/>
    <w:rsid w:val="00E83917"/>
    <w:rsid w:val="00E8528B"/>
    <w:rsid w:val="00E85B94"/>
    <w:rsid w:val="00E9229C"/>
    <w:rsid w:val="00E92721"/>
    <w:rsid w:val="00E92CEE"/>
    <w:rsid w:val="00E94F77"/>
    <w:rsid w:val="00E95B05"/>
    <w:rsid w:val="00E968AF"/>
    <w:rsid w:val="00E978D0"/>
    <w:rsid w:val="00EA03B5"/>
    <w:rsid w:val="00EA11AC"/>
    <w:rsid w:val="00EA14BA"/>
    <w:rsid w:val="00EA4613"/>
    <w:rsid w:val="00EA7F91"/>
    <w:rsid w:val="00EB0A29"/>
    <w:rsid w:val="00EB1523"/>
    <w:rsid w:val="00EB24E0"/>
    <w:rsid w:val="00EB26C4"/>
    <w:rsid w:val="00EB27F2"/>
    <w:rsid w:val="00EB27FD"/>
    <w:rsid w:val="00EB629A"/>
    <w:rsid w:val="00EC0E49"/>
    <w:rsid w:val="00EC101F"/>
    <w:rsid w:val="00EC111D"/>
    <w:rsid w:val="00EC1D9F"/>
    <w:rsid w:val="00EC537D"/>
    <w:rsid w:val="00ED0993"/>
    <w:rsid w:val="00ED3366"/>
    <w:rsid w:val="00ED4369"/>
    <w:rsid w:val="00ED79AF"/>
    <w:rsid w:val="00EE0131"/>
    <w:rsid w:val="00EE17B0"/>
    <w:rsid w:val="00EF06D9"/>
    <w:rsid w:val="00EF2844"/>
    <w:rsid w:val="00EF6120"/>
    <w:rsid w:val="00F00B17"/>
    <w:rsid w:val="00F01D2E"/>
    <w:rsid w:val="00F11EF1"/>
    <w:rsid w:val="00F1685C"/>
    <w:rsid w:val="00F17EFD"/>
    <w:rsid w:val="00F3049E"/>
    <w:rsid w:val="00F3052C"/>
    <w:rsid w:val="00F30876"/>
    <w:rsid w:val="00F30C64"/>
    <w:rsid w:val="00F32BA2"/>
    <w:rsid w:val="00F32CDB"/>
    <w:rsid w:val="00F43047"/>
    <w:rsid w:val="00F458D9"/>
    <w:rsid w:val="00F52048"/>
    <w:rsid w:val="00F565FE"/>
    <w:rsid w:val="00F57157"/>
    <w:rsid w:val="00F60C7E"/>
    <w:rsid w:val="00F63A70"/>
    <w:rsid w:val="00F63D8C"/>
    <w:rsid w:val="00F678DB"/>
    <w:rsid w:val="00F67F24"/>
    <w:rsid w:val="00F74966"/>
    <w:rsid w:val="00F7534E"/>
    <w:rsid w:val="00F75A9D"/>
    <w:rsid w:val="00F77E31"/>
    <w:rsid w:val="00F83C90"/>
    <w:rsid w:val="00F84E7A"/>
    <w:rsid w:val="00F85143"/>
    <w:rsid w:val="00F92FBB"/>
    <w:rsid w:val="00F93EDF"/>
    <w:rsid w:val="00FA0C55"/>
    <w:rsid w:val="00FA1802"/>
    <w:rsid w:val="00FA21D0"/>
    <w:rsid w:val="00FA5F5F"/>
    <w:rsid w:val="00FB0D2A"/>
    <w:rsid w:val="00FB102B"/>
    <w:rsid w:val="00FB2268"/>
    <w:rsid w:val="00FB5A27"/>
    <w:rsid w:val="00FB6A8B"/>
    <w:rsid w:val="00FB730C"/>
    <w:rsid w:val="00FB76C2"/>
    <w:rsid w:val="00FC005E"/>
    <w:rsid w:val="00FC2522"/>
    <w:rsid w:val="00FC2695"/>
    <w:rsid w:val="00FC3E03"/>
    <w:rsid w:val="00FC3FC1"/>
    <w:rsid w:val="00FD14DE"/>
    <w:rsid w:val="00FD2E12"/>
    <w:rsid w:val="00FE29D3"/>
    <w:rsid w:val="00FF2412"/>
    <w:rsid w:val="00FF70C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2767"/>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4E6AEB"/>
    <w:rPr>
      <w:color w:val="666666"/>
    </w:rPr>
  </w:style>
  <w:style w:type="character" w:customStyle="1" w:styleId="normaltextrun">
    <w:name w:val="normaltextrun"/>
    <w:basedOn w:val="Carpredefinitoparagrafo"/>
    <w:rsid w:val="00C15F88"/>
  </w:style>
  <w:style w:type="character" w:customStyle="1" w:styleId="eop">
    <w:name w:val="eop"/>
    <w:basedOn w:val="Carpredefinitoparagrafo"/>
    <w:rsid w:val="00C15F88"/>
  </w:style>
  <w:style w:type="paragraph" w:styleId="Revisione">
    <w:name w:val="Revision"/>
    <w:hidden/>
    <w:uiPriority w:val="99"/>
    <w:semiHidden/>
    <w:rsid w:val="00505AC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6508</Words>
  <Characters>38469</Characters>
  <Application>Microsoft Office Word</Application>
  <DocSecurity>0</DocSecurity>
  <Lines>754</Lines>
  <Paragraphs>432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Aristide Giuliano</cp:lastModifiedBy>
  <cp:revision>11</cp:revision>
  <cp:lastPrinted>2015-05-12T18:31:00Z</cp:lastPrinted>
  <dcterms:created xsi:type="dcterms:W3CDTF">2024-04-02T09:16:00Z</dcterms:created>
  <dcterms:modified xsi:type="dcterms:W3CDTF">2024-04-02T09:26:00Z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id="Gz0LOIQE"/&gt;&lt;style id="http://www.zotero.org/styles/computers-and-chemical-engineering" hasBibliography="1" bibliographyStyleHasBeenSet="1"/&gt;&lt;prefs&gt;&lt;pref name="fieldType" value="Field"/&gt;&lt;pref name</vt:lpwstr>
  </property>
  <property fmtid="{D5CDD505-2E9C-101B-9397-08002B2CF9AE}" pid="3" name="ZOTERO_PREF_2">
    <vt:lpwstr>="storeReferences" value="true"/&gt;&lt;/prefs&gt;&lt;/data&gt;</vt:lpwstr>
  </property>
  <property fmtid="{D5CDD505-2E9C-101B-9397-08002B2CF9AE}" pid="4" name="GrammarlyDocumentId">
    <vt:lpwstr>6ac788537d6342beb48a2a1619d3df6f9f03a32f6735c703211037e096166001</vt:lpwstr>
  </property>
</Properties>
</file>