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502BDC" w14:paraId="2A131A54" w14:textId="77777777" w:rsidTr="00725EBC">
        <w:trPr>
          <w:trHeight w:val="852"/>
          <w:jc w:val="center"/>
        </w:trPr>
        <w:tc>
          <w:tcPr>
            <w:tcW w:w="6940" w:type="dxa"/>
            <w:vMerge w:val="restart"/>
            <w:tcBorders>
              <w:right w:val="single" w:sz="4" w:space="0" w:color="auto"/>
            </w:tcBorders>
          </w:tcPr>
          <w:p w14:paraId="38C3D2BA" w14:textId="77777777" w:rsidR="000A03B2" w:rsidRPr="00502BDC" w:rsidRDefault="000A03B2" w:rsidP="00DE264A">
            <w:pPr>
              <w:tabs>
                <w:tab w:val="left" w:pos="-108"/>
              </w:tabs>
              <w:ind w:left="-108"/>
              <w:jc w:val="left"/>
              <w:rPr>
                <w:rFonts w:cs="Arial"/>
                <w:b/>
                <w:bCs/>
                <w:i/>
                <w:iCs/>
                <w:color w:val="000066"/>
                <w:sz w:val="12"/>
                <w:szCs w:val="12"/>
                <w:lang w:eastAsia="it-IT"/>
              </w:rPr>
            </w:pPr>
            <w:r w:rsidRPr="00502BDC">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502BDC">
              <w:rPr>
                <w:rFonts w:ascii="AdvP6960" w:hAnsi="AdvP6960" w:cs="AdvP6960"/>
                <w:color w:val="241F20"/>
                <w:szCs w:val="18"/>
                <w:lang w:eastAsia="it-IT"/>
              </w:rPr>
              <w:t xml:space="preserve"> </w:t>
            </w:r>
            <w:r w:rsidRPr="00502BDC">
              <w:rPr>
                <w:rFonts w:cs="Arial"/>
                <w:b/>
                <w:bCs/>
                <w:i/>
                <w:iCs/>
                <w:color w:val="000066"/>
                <w:sz w:val="24"/>
                <w:szCs w:val="24"/>
                <w:lang w:eastAsia="it-IT"/>
              </w:rPr>
              <w:t>CHEMICAL ENGINEERING</w:t>
            </w:r>
            <w:r w:rsidRPr="00502BDC">
              <w:rPr>
                <w:rFonts w:cs="Arial"/>
                <w:b/>
                <w:bCs/>
                <w:i/>
                <w:iCs/>
                <w:color w:val="0033FF"/>
                <w:sz w:val="24"/>
                <w:szCs w:val="24"/>
                <w:lang w:eastAsia="it-IT"/>
              </w:rPr>
              <w:t xml:space="preserve"> </w:t>
            </w:r>
            <w:r w:rsidRPr="00502BDC">
              <w:rPr>
                <w:rFonts w:cs="Arial"/>
                <w:b/>
                <w:bCs/>
                <w:i/>
                <w:iCs/>
                <w:color w:val="666666"/>
                <w:sz w:val="24"/>
                <w:szCs w:val="24"/>
                <w:lang w:eastAsia="it-IT"/>
              </w:rPr>
              <w:t>PROCEEDINGS</w:t>
            </w:r>
            <w:r w:rsidRPr="00502BDC">
              <w:rPr>
                <w:color w:val="333333"/>
                <w:sz w:val="24"/>
                <w:szCs w:val="24"/>
                <w:lang w:eastAsia="it-IT"/>
              </w:rPr>
              <w:t xml:space="preserve"> </w:t>
            </w:r>
            <w:r w:rsidRPr="00502BDC">
              <w:rPr>
                <w:rFonts w:cs="Arial"/>
                <w:b/>
                <w:bCs/>
                <w:i/>
                <w:iCs/>
                <w:color w:val="000066"/>
                <w:sz w:val="27"/>
                <w:szCs w:val="27"/>
                <w:lang w:eastAsia="it-IT"/>
              </w:rPr>
              <w:br/>
            </w:r>
          </w:p>
          <w:p w14:paraId="4B780582" w14:textId="15DAE12D" w:rsidR="000A03B2" w:rsidRPr="00502BDC" w:rsidRDefault="00A76EFC" w:rsidP="001D21AF">
            <w:pPr>
              <w:tabs>
                <w:tab w:val="left" w:pos="-108"/>
              </w:tabs>
              <w:ind w:left="-108"/>
              <w:rPr>
                <w:rFonts w:cs="Arial"/>
                <w:b/>
                <w:bCs/>
                <w:i/>
                <w:iCs/>
                <w:color w:val="000066"/>
                <w:sz w:val="22"/>
                <w:szCs w:val="22"/>
                <w:lang w:eastAsia="it-IT"/>
              </w:rPr>
            </w:pPr>
            <w:proofErr w:type="gramStart"/>
            <w:r w:rsidRPr="00502BDC">
              <w:rPr>
                <w:rFonts w:cs="Arial"/>
                <w:b/>
                <w:bCs/>
                <w:i/>
                <w:iCs/>
                <w:color w:val="000066"/>
                <w:sz w:val="22"/>
                <w:szCs w:val="22"/>
                <w:lang w:eastAsia="it-IT"/>
              </w:rPr>
              <w:t>VOL. ,</w:t>
            </w:r>
            <w:proofErr w:type="gramEnd"/>
            <w:r w:rsidRPr="00502BDC">
              <w:rPr>
                <w:rFonts w:cs="Arial"/>
                <w:b/>
                <w:bCs/>
                <w:i/>
                <w:iCs/>
                <w:color w:val="000066"/>
                <w:sz w:val="22"/>
                <w:szCs w:val="22"/>
                <w:lang w:eastAsia="it-IT"/>
              </w:rPr>
              <w:t xml:space="preserve"> </w:t>
            </w:r>
            <w:r w:rsidR="00843EAC" w:rsidRPr="00502BDC">
              <w:rPr>
                <w:rFonts w:cs="Arial"/>
                <w:b/>
                <w:bCs/>
                <w:i/>
                <w:iCs/>
                <w:color w:val="000066"/>
                <w:sz w:val="22"/>
                <w:szCs w:val="22"/>
                <w:lang w:eastAsia="it-IT"/>
              </w:rPr>
              <w:t>2024</w:t>
            </w:r>
          </w:p>
        </w:tc>
        <w:tc>
          <w:tcPr>
            <w:tcW w:w="1842" w:type="dxa"/>
            <w:tcBorders>
              <w:left w:val="single" w:sz="4" w:space="0" w:color="auto"/>
              <w:bottom w:val="nil"/>
              <w:right w:val="single" w:sz="4" w:space="0" w:color="auto"/>
            </w:tcBorders>
          </w:tcPr>
          <w:p w14:paraId="56782132" w14:textId="77777777" w:rsidR="000A03B2" w:rsidRPr="00502BDC" w:rsidRDefault="000A03B2" w:rsidP="00CD5FE2">
            <w:pPr>
              <w:spacing w:line="140" w:lineRule="atLeast"/>
              <w:jc w:val="right"/>
              <w:rPr>
                <w:rFonts w:cs="Arial"/>
                <w:sz w:val="14"/>
                <w:szCs w:val="14"/>
              </w:rPr>
            </w:pPr>
            <w:r w:rsidRPr="00502BDC">
              <w:rPr>
                <w:rFonts w:cs="Arial"/>
                <w:sz w:val="14"/>
                <w:szCs w:val="14"/>
              </w:rPr>
              <w:t>a publication of</w:t>
            </w:r>
          </w:p>
          <w:p w14:paraId="599E5441" w14:textId="77777777" w:rsidR="000A03B2" w:rsidRPr="00502BDC" w:rsidRDefault="000A03B2" w:rsidP="00CD5FE2">
            <w:pPr>
              <w:jc w:val="right"/>
            </w:pPr>
            <w:r w:rsidRPr="00502BDC">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02BDC" w14:paraId="380FA3CD" w14:textId="77777777" w:rsidTr="00725EBC">
        <w:trPr>
          <w:trHeight w:val="567"/>
          <w:jc w:val="center"/>
        </w:trPr>
        <w:tc>
          <w:tcPr>
            <w:tcW w:w="6940" w:type="dxa"/>
            <w:vMerge/>
            <w:tcBorders>
              <w:right w:val="single" w:sz="4" w:space="0" w:color="auto"/>
            </w:tcBorders>
          </w:tcPr>
          <w:p w14:paraId="39E5E4C1" w14:textId="77777777" w:rsidR="000A03B2" w:rsidRPr="00502BDC"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502BDC" w:rsidRDefault="000A03B2" w:rsidP="00CD5FE2">
            <w:pPr>
              <w:spacing w:line="140" w:lineRule="atLeast"/>
              <w:jc w:val="right"/>
              <w:rPr>
                <w:rFonts w:cs="Arial"/>
                <w:sz w:val="14"/>
                <w:szCs w:val="14"/>
              </w:rPr>
            </w:pPr>
            <w:r w:rsidRPr="00502BDC">
              <w:rPr>
                <w:rFonts w:cs="Arial"/>
                <w:sz w:val="14"/>
                <w:szCs w:val="14"/>
              </w:rPr>
              <w:t>The Italian association</w:t>
            </w:r>
          </w:p>
          <w:p w14:paraId="7522B1D2" w14:textId="77777777" w:rsidR="000A03B2" w:rsidRPr="00502BDC" w:rsidRDefault="000A03B2" w:rsidP="00CD5FE2">
            <w:pPr>
              <w:spacing w:line="140" w:lineRule="atLeast"/>
              <w:jc w:val="right"/>
              <w:rPr>
                <w:rFonts w:cs="Arial"/>
                <w:sz w:val="14"/>
                <w:szCs w:val="14"/>
              </w:rPr>
            </w:pPr>
            <w:r w:rsidRPr="00502BDC">
              <w:rPr>
                <w:rFonts w:cs="Arial"/>
                <w:sz w:val="14"/>
                <w:szCs w:val="14"/>
              </w:rPr>
              <w:t>of Chemical Engineering</w:t>
            </w:r>
          </w:p>
          <w:p w14:paraId="4F0CC5DE" w14:textId="47FDB2FC" w:rsidR="000A03B2" w:rsidRPr="00502BDC" w:rsidRDefault="000D0268" w:rsidP="00CD5FE2">
            <w:pPr>
              <w:spacing w:line="140" w:lineRule="atLeast"/>
              <w:jc w:val="right"/>
              <w:rPr>
                <w:rFonts w:cs="Arial"/>
                <w:sz w:val="13"/>
                <w:szCs w:val="13"/>
              </w:rPr>
            </w:pPr>
            <w:r w:rsidRPr="00502BDC">
              <w:rPr>
                <w:rFonts w:cs="Arial"/>
                <w:sz w:val="13"/>
                <w:szCs w:val="13"/>
              </w:rPr>
              <w:t>Online at www.cetjournal.it</w:t>
            </w:r>
          </w:p>
        </w:tc>
      </w:tr>
      <w:tr w:rsidR="000A03B2" w:rsidRPr="00502BDC" w14:paraId="2D1B7169" w14:textId="77777777" w:rsidTr="00725EBC">
        <w:trPr>
          <w:trHeight w:val="68"/>
          <w:jc w:val="center"/>
        </w:trPr>
        <w:tc>
          <w:tcPr>
            <w:tcW w:w="8782" w:type="dxa"/>
            <w:gridSpan w:val="2"/>
          </w:tcPr>
          <w:p w14:paraId="1D8DD3C9" w14:textId="475D992A" w:rsidR="00AA7D26" w:rsidRPr="00502BDC" w:rsidRDefault="00AA7D26" w:rsidP="00AA7D26">
            <w:pPr>
              <w:ind w:left="-107"/>
              <w:outlineLvl w:val="2"/>
              <w:rPr>
                <w:rFonts w:ascii="Tahoma" w:hAnsi="Tahoma" w:cs="Tahoma"/>
                <w:bCs/>
                <w:color w:val="000000"/>
                <w:sz w:val="14"/>
                <w:szCs w:val="14"/>
                <w:lang w:eastAsia="it-IT"/>
              </w:rPr>
            </w:pPr>
            <w:r w:rsidRPr="00502BDC">
              <w:rPr>
                <w:rFonts w:ascii="Tahoma" w:hAnsi="Tahoma" w:cs="Tahoma"/>
                <w:iCs/>
                <w:color w:val="333333"/>
                <w:sz w:val="14"/>
                <w:szCs w:val="14"/>
                <w:lang w:eastAsia="it-IT"/>
              </w:rPr>
              <w:t xml:space="preserve">Guest editors: </w:t>
            </w:r>
            <w:r w:rsidRPr="00502BDC">
              <w:rPr>
                <w:rFonts w:ascii="Tahoma" w:hAnsi="Tahoma" w:cs="Tahoma"/>
                <w:color w:val="000000"/>
                <w:sz w:val="14"/>
                <w:szCs w:val="14"/>
                <w:shd w:val="clear" w:color="auto" w:fill="FFFFFF"/>
              </w:rPr>
              <w:t xml:space="preserve">Leonardo </w:t>
            </w:r>
            <w:proofErr w:type="spellStart"/>
            <w:r w:rsidRPr="00502BDC">
              <w:rPr>
                <w:rFonts w:ascii="Tahoma" w:hAnsi="Tahoma" w:cs="Tahoma"/>
                <w:color w:val="000000"/>
                <w:sz w:val="14"/>
                <w:szCs w:val="14"/>
                <w:shd w:val="clear" w:color="auto" w:fill="FFFFFF"/>
              </w:rPr>
              <w:t>Tognotti</w:t>
            </w:r>
            <w:proofErr w:type="spellEnd"/>
            <w:r w:rsidRPr="00502BDC">
              <w:rPr>
                <w:rFonts w:ascii="Tahoma" w:hAnsi="Tahoma" w:cs="Tahoma"/>
                <w:color w:val="000000"/>
                <w:sz w:val="14"/>
                <w:szCs w:val="14"/>
                <w:shd w:val="clear" w:color="auto" w:fill="FFFFFF"/>
              </w:rPr>
              <w:t xml:space="preserve">, </w:t>
            </w:r>
            <w:r w:rsidR="006A23E9" w:rsidRPr="00502BDC">
              <w:rPr>
                <w:rFonts w:ascii="Tahoma" w:hAnsi="Tahoma" w:cs="Tahoma"/>
                <w:color w:val="000000"/>
                <w:sz w:val="14"/>
                <w:szCs w:val="14"/>
              </w:rPr>
              <w:t xml:space="preserve">Rubens Maciel </w:t>
            </w:r>
            <w:proofErr w:type="gramStart"/>
            <w:r w:rsidR="006A23E9" w:rsidRPr="00502BDC">
              <w:rPr>
                <w:rFonts w:ascii="Tahoma" w:hAnsi="Tahoma" w:cs="Tahoma"/>
                <w:color w:val="000000"/>
                <w:sz w:val="14"/>
                <w:szCs w:val="14"/>
              </w:rPr>
              <w:t xml:space="preserve">Filho </w:t>
            </w:r>
            <w:r w:rsidR="006A23E9" w:rsidRPr="00502BDC">
              <w:rPr>
                <w:rFonts w:ascii="Tahoma" w:hAnsi="Tahoma" w:cs="Tahoma"/>
                <w:color w:val="000000"/>
                <w:sz w:val="14"/>
                <w:szCs w:val="14"/>
                <w:shd w:val="clear" w:color="auto" w:fill="FFFFFF"/>
              </w:rPr>
              <w:t>,</w:t>
            </w:r>
            <w:proofErr w:type="gramEnd"/>
            <w:r w:rsidR="006A23E9" w:rsidRPr="00502BDC">
              <w:rPr>
                <w:rFonts w:ascii="Tahoma" w:hAnsi="Tahoma" w:cs="Tahoma"/>
                <w:color w:val="000000"/>
                <w:sz w:val="14"/>
                <w:szCs w:val="14"/>
                <w:shd w:val="clear" w:color="auto" w:fill="FFFFFF"/>
              </w:rPr>
              <w:t xml:space="preserve"> </w:t>
            </w:r>
            <w:r w:rsidR="006A23E9" w:rsidRPr="00502BDC">
              <w:rPr>
                <w:rFonts w:ascii="Tahoma" w:hAnsi="Tahoma" w:cs="Tahoma"/>
                <w:color w:val="000000"/>
                <w:sz w:val="14"/>
                <w:szCs w:val="14"/>
              </w:rPr>
              <w:t xml:space="preserve">Viatcheslav </w:t>
            </w:r>
            <w:proofErr w:type="spellStart"/>
            <w:r w:rsidR="006A23E9" w:rsidRPr="00502BDC">
              <w:rPr>
                <w:rFonts w:ascii="Tahoma" w:hAnsi="Tahoma" w:cs="Tahoma"/>
                <w:color w:val="000000"/>
                <w:sz w:val="14"/>
                <w:szCs w:val="14"/>
              </w:rPr>
              <w:t>Kafarov</w:t>
            </w:r>
            <w:proofErr w:type="spellEnd"/>
          </w:p>
          <w:p w14:paraId="1B0F1814" w14:textId="3AD74145" w:rsidR="000A03B2" w:rsidRPr="00502BDC" w:rsidRDefault="00AA7D26" w:rsidP="00AA7D26">
            <w:pPr>
              <w:tabs>
                <w:tab w:val="left" w:pos="-108"/>
              </w:tabs>
              <w:spacing w:line="140" w:lineRule="atLeast"/>
              <w:ind w:left="-107"/>
              <w:jc w:val="left"/>
            </w:pPr>
            <w:r w:rsidRPr="00502BDC">
              <w:rPr>
                <w:rFonts w:ascii="Tahoma" w:hAnsi="Tahoma" w:cs="Tahoma"/>
                <w:iCs/>
                <w:color w:val="333333"/>
                <w:sz w:val="14"/>
                <w:szCs w:val="14"/>
                <w:lang w:eastAsia="it-IT"/>
              </w:rPr>
              <w:t xml:space="preserve">Copyright © 2024, AIDIC Services </w:t>
            </w:r>
            <w:proofErr w:type="spellStart"/>
            <w:proofErr w:type="gramStart"/>
            <w:r w:rsidRPr="00502BDC">
              <w:rPr>
                <w:rFonts w:ascii="Tahoma" w:hAnsi="Tahoma" w:cs="Tahoma"/>
                <w:iCs/>
                <w:color w:val="333333"/>
                <w:sz w:val="14"/>
                <w:szCs w:val="14"/>
                <w:lang w:eastAsia="it-IT"/>
              </w:rPr>
              <w:t>srl</w:t>
            </w:r>
            <w:proofErr w:type="spellEnd"/>
            <w:r w:rsidRPr="00502BDC">
              <w:rPr>
                <w:rFonts w:ascii="Tahoma" w:hAnsi="Tahoma" w:cs="Tahoma"/>
                <w:iCs/>
                <w:color w:val="333333"/>
                <w:sz w:val="14"/>
                <w:szCs w:val="14"/>
                <w:lang w:eastAsia="it-IT"/>
              </w:rPr>
              <w:t xml:space="preserve"> .</w:t>
            </w:r>
            <w:proofErr w:type="gramEnd"/>
            <w:r w:rsidRPr="00502BDC">
              <w:rPr>
                <w:rFonts w:ascii="Tahoma" w:hAnsi="Tahoma" w:cs="Tahoma"/>
                <w:iCs/>
                <w:color w:val="333333"/>
                <w:sz w:val="14"/>
                <w:szCs w:val="14"/>
                <w:lang w:eastAsia="it-IT"/>
              </w:rPr>
              <w:t xml:space="preserve"> </w:t>
            </w:r>
            <w:r w:rsidRPr="00502BDC">
              <w:rPr>
                <w:rFonts w:ascii="Tahoma" w:hAnsi="Tahoma" w:cs="Tahoma"/>
                <w:iCs/>
                <w:color w:val="333333"/>
                <w:sz w:val="14"/>
                <w:szCs w:val="14"/>
                <w:lang w:eastAsia="it-IT"/>
              </w:rPr>
              <w:br/>
            </w:r>
            <w:r w:rsidRPr="00502BDC">
              <w:rPr>
                <w:rFonts w:ascii="Tahoma" w:hAnsi="Tahoma" w:cs="Tahoma"/>
                <w:b/>
                <w:iCs/>
                <w:color w:val="000000"/>
                <w:sz w:val="14"/>
                <w:szCs w:val="14"/>
                <w:lang w:eastAsia="it-IT"/>
              </w:rPr>
              <w:t>ISBN</w:t>
            </w:r>
            <w:r w:rsidRPr="00502BDC">
              <w:rPr>
                <w:rFonts w:ascii="Tahoma" w:hAnsi="Tahoma" w:cs="Tahoma"/>
                <w:iCs/>
                <w:color w:val="000000"/>
                <w:sz w:val="14"/>
                <w:szCs w:val="14"/>
                <w:lang w:eastAsia="it-IT"/>
              </w:rPr>
              <w:t xml:space="preserve"> </w:t>
            </w:r>
            <w:r w:rsidR="008B7C03" w:rsidRPr="00502BDC">
              <w:rPr>
                <w:rFonts w:ascii="Tahoma" w:hAnsi="Tahoma" w:cs="Tahoma"/>
                <w:sz w:val="14"/>
                <w:szCs w:val="14"/>
              </w:rPr>
              <w:t xml:space="preserve">979-12-81206-09- </w:t>
            </w:r>
            <w:proofErr w:type="gramStart"/>
            <w:r w:rsidR="008B7C03" w:rsidRPr="00502BDC">
              <w:rPr>
                <w:rFonts w:ascii="Tahoma" w:hAnsi="Tahoma" w:cs="Tahoma"/>
                <w:sz w:val="14"/>
                <w:szCs w:val="14"/>
              </w:rPr>
              <w:t xml:space="preserve">0 </w:t>
            </w:r>
            <w:r w:rsidRPr="00502BDC">
              <w:rPr>
                <w:rFonts w:ascii="Tahoma" w:hAnsi="Tahoma" w:cs="Tahoma"/>
                <w:iCs/>
                <w:color w:val="333333"/>
                <w:sz w:val="14"/>
                <w:szCs w:val="14"/>
                <w:lang w:eastAsia="it-IT"/>
              </w:rPr>
              <w:t>;</w:t>
            </w:r>
            <w:proofErr w:type="gramEnd"/>
            <w:r w:rsidRPr="00502BDC">
              <w:rPr>
                <w:rFonts w:ascii="Tahoma" w:hAnsi="Tahoma" w:cs="Tahoma"/>
                <w:iCs/>
                <w:color w:val="333333"/>
                <w:sz w:val="14"/>
                <w:szCs w:val="14"/>
                <w:lang w:eastAsia="it-IT"/>
              </w:rPr>
              <w:t xml:space="preserve"> </w:t>
            </w:r>
            <w:r w:rsidRPr="00502BDC">
              <w:rPr>
                <w:rFonts w:ascii="Tahoma" w:hAnsi="Tahoma" w:cs="Tahoma"/>
                <w:b/>
                <w:iCs/>
                <w:color w:val="333333"/>
                <w:sz w:val="14"/>
                <w:szCs w:val="14"/>
                <w:lang w:eastAsia="it-IT"/>
              </w:rPr>
              <w:t xml:space="preserve">ISSN </w:t>
            </w:r>
            <w:r w:rsidRPr="00502BDC">
              <w:rPr>
                <w:rFonts w:ascii="Tahoma" w:hAnsi="Tahoma" w:cs="Tahoma"/>
                <w:iCs/>
                <w:color w:val="333333"/>
                <w:sz w:val="14"/>
                <w:szCs w:val="14"/>
                <w:lang w:eastAsia="it-IT"/>
              </w:rPr>
              <w:t>2283-9216</w:t>
            </w:r>
          </w:p>
        </w:tc>
      </w:tr>
    </w:tbl>
    <w:p w14:paraId="518142B8" w14:textId="77777777" w:rsidR="00033A59" w:rsidRPr="00502BDC" w:rsidRDefault="00033A59" w:rsidP="00033A59">
      <w:pPr>
        <w:pStyle w:val="CETAuthors"/>
        <w:spacing w:after="0" w:line="240" w:lineRule="auto"/>
        <w:jc w:val="center"/>
        <w:rPr>
          <w:noProof w:val="0"/>
          <w:sz w:val="32"/>
          <w:lang w:val="en-US"/>
        </w:rPr>
      </w:pPr>
      <w:bookmarkStart w:id="0" w:name="_Hlk155776176"/>
    </w:p>
    <w:p w14:paraId="532239B7" w14:textId="35D20A2D" w:rsidR="00725EBC" w:rsidRPr="00502BDC" w:rsidRDefault="00725EBC" w:rsidP="00033A59">
      <w:pPr>
        <w:pStyle w:val="CETAuthors"/>
        <w:jc w:val="center"/>
        <w:rPr>
          <w:noProof w:val="0"/>
          <w:sz w:val="32"/>
          <w:lang w:val="en-US"/>
        </w:rPr>
      </w:pPr>
      <w:r w:rsidRPr="00502BDC">
        <w:rPr>
          <w:noProof w:val="0"/>
          <w:sz w:val="32"/>
          <w:lang w:val="en-US"/>
        </w:rPr>
        <w:t>Immobilization of Peruvian Chlorella Microalgae for the Elimination of Nitrates and Phosphates in Municipal Wastewater</w:t>
      </w:r>
    </w:p>
    <w:bookmarkEnd w:id="0"/>
    <w:p w14:paraId="07018F8C" w14:textId="166342BD" w:rsidR="00725EBC" w:rsidRPr="00B2000F" w:rsidRDefault="00DD4671" w:rsidP="00707568">
      <w:pPr>
        <w:pStyle w:val="CETAddress"/>
        <w:jc w:val="both"/>
        <w:rPr>
          <w:noProof w:val="0"/>
          <w:sz w:val="24"/>
          <w:lang w:val="es-PE"/>
        </w:rPr>
      </w:pPr>
      <w:r w:rsidRPr="00B2000F">
        <w:rPr>
          <w:noProof w:val="0"/>
          <w:sz w:val="24"/>
          <w:lang w:val="es-PE"/>
        </w:rPr>
        <w:t xml:space="preserve">Junior A. Morales Zorrilla, </w:t>
      </w:r>
      <w:proofErr w:type="spellStart"/>
      <w:r w:rsidRPr="00B2000F">
        <w:rPr>
          <w:noProof w:val="0"/>
          <w:sz w:val="24"/>
          <w:lang w:val="es-PE"/>
        </w:rPr>
        <w:t>Eusterio</w:t>
      </w:r>
      <w:proofErr w:type="spellEnd"/>
      <w:r w:rsidRPr="00B2000F">
        <w:rPr>
          <w:noProof w:val="0"/>
          <w:sz w:val="24"/>
          <w:lang w:val="es-PE"/>
        </w:rPr>
        <w:t xml:space="preserve"> H. Acosta Suasnabar*, Elmer Benites-Alfaro, Carlos A. Castañeda Olivera, Verónica Tello Mendívil, Danny Lizarzaburu-Aguinaga</w:t>
      </w:r>
    </w:p>
    <w:p w14:paraId="3B0A29E8" w14:textId="77777777" w:rsidR="00725EBC" w:rsidRPr="00B2000F" w:rsidRDefault="00725EBC" w:rsidP="00B57E6F">
      <w:pPr>
        <w:pStyle w:val="CETAddress"/>
        <w:rPr>
          <w:noProof w:val="0"/>
          <w:sz w:val="24"/>
          <w:lang w:val="es-PE"/>
        </w:rPr>
      </w:pPr>
    </w:p>
    <w:p w14:paraId="555BD73A" w14:textId="3D36DFA7" w:rsidR="00725EBC" w:rsidRPr="00B2000F" w:rsidRDefault="00F36860" w:rsidP="00725EBC">
      <w:pPr>
        <w:pStyle w:val="CETAddress"/>
        <w:rPr>
          <w:noProof w:val="0"/>
          <w:szCs w:val="16"/>
          <w:lang w:val="es-PE"/>
        </w:rPr>
      </w:pPr>
      <w:r w:rsidRPr="00502BDC">
        <w:rPr>
          <w:noProof w:val="0"/>
          <w:szCs w:val="16"/>
          <w:lang w:val="en-US"/>
        </w:rPr>
        <w:t>Universidad César Vallejo</w:t>
      </w:r>
      <w:r w:rsidR="00725EBC" w:rsidRPr="00502BDC">
        <w:rPr>
          <w:noProof w:val="0"/>
          <w:szCs w:val="16"/>
          <w:lang w:val="en-US"/>
        </w:rPr>
        <w:t xml:space="preserve">, School of Environmental Engineering, Av. </w:t>
      </w:r>
      <w:r w:rsidR="00725EBC" w:rsidRPr="00B2000F">
        <w:rPr>
          <w:noProof w:val="0"/>
          <w:szCs w:val="16"/>
          <w:lang w:val="es-PE"/>
        </w:rPr>
        <w:t>Alfredo Mendiola 6232 Los Olivos, Lima-</w:t>
      </w:r>
      <w:proofErr w:type="spellStart"/>
      <w:r w:rsidR="00725EBC" w:rsidRPr="00B2000F">
        <w:rPr>
          <w:noProof w:val="0"/>
          <w:szCs w:val="16"/>
          <w:lang w:val="es-PE"/>
        </w:rPr>
        <w:t>Peru</w:t>
      </w:r>
      <w:proofErr w:type="spellEnd"/>
      <w:r w:rsidR="00725EBC" w:rsidRPr="00B2000F">
        <w:rPr>
          <w:noProof w:val="0"/>
          <w:szCs w:val="16"/>
          <w:lang w:val="es-PE"/>
        </w:rPr>
        <w:t>.</w:t>
      </w:r>
    </w:p>
    <w:p w14:paraId="0ED3B486" w14:textId="5CE432C4" w:rsidR="00A03939" w:rsidRPr="00B2000F" w:rsidRDefault="00F36860" w:rsidP="00725EBC">
      <w:pPr>
        <w:pStyle w:val="CETAddress"/>
        <w:rPr>
          <w:noProof w:val="0"/>
          <w:szCs w:val="16"/>
          <w:lang w:val="es-PE"/>
        </w:rPr>
      </w:pPr>
      <w:r w:rsidRPr="00B2000F">
        <w:rPr>
          <w:noProof w:val="0"/>
          <w:szCs w:val="16"/>
          <w:lang w:val="es-PE"/>
        </w:rPr>
        <w:t>Universidad César Vallejo</w:t>
      </w:r>
      <w:r w:rsidR="00A03939" w:rsidRPr="00B2000F">
        <w:rPr>
          <w:noProof w:val="0"/>
          <w:szCs w:val="16"/>
          <w:lang w:val="es-PE"/>
        </w:rPr>
        <w:t xml:space="preserve">, </w:t>
      </w:r>
      <w:r w:rsidRPr="00B2000F">
        <w:rPr>
          <w:noProof w:val="0"/>
          <w:szCs w:val="16"/>
          <w:lang w:val="es-PE"/>
        </w:rPr>
        <w:t xml:space="preserve">Formative </w:t>
      </w:r>
      <w:proofErr w:type="spellStart"/>
      <w:r w:rsidRPr="00B2000F">
        <w:rPr>
          <w:noProof w:val="0"/>
          <w:szCs w:val="16"/>
          <w:lang w:val="es-PE"/>
        </w:rPr>
        <w:t>Research</w:t>
      </w:r>
      <w:proofErr w:type="spellEnd"/>
      <w:r w:rsidRPr="00B2000F">
        <w:rPr>
          <w:noProof w:val="0"/>
          <w:szCs w:val="16"/>
          <w:lang w:val="es-PE"/>
        </w:rPr>
        <w:t xml:space="preserve"> </w:t>
      </w:r>
      <w:proofErr w:type="spellStart"/>
      <w:r w:rsidRPr="00B2000F">
        <w:rPr>
          <w:noProof w:val="0"/>
          <w:szCs w:val="16"/>
          <w:lang w:val="es-PE"/>
        </w:rPr>
        <w:t>Program</w:t>
      </w:r>
      <w:proofErr w:type="spellEnd"/>
      <w:r w:rsidR="00A03939" w:rsidRPr="00B2000F">
        <w:rPr>
          <w:noProof w:val="0"/>
          <w:szCs w:val="16"/>
          <w:lang w:val="es-PE"/>
        </w:rPr>
        <w:t>, Av. Argentina 1795, Callao-</w:t>
      </w:r>
      <w:proofErr w:type="spellStart"/>
      <w:r w:rsidR="00A03939" w:rsidRPr="00B2000F">
        <w:rPr>
          <w:noProof w:val="0"/>
          <w:szCs w:val="16"/>
          <w:lang w:val="es-PE"/>
        </w:rPr>
        <w:t>Peru</w:t>
      </w:r>
      <w:proofErr w:type="spellEnd"/>
    </w:p>
    <w:p w14:paraId="5F3C8C72" w14:textId="78EA0715" w:rsidR="00725EBC" w:rsidRPr="00B2000F" w:rsidRDefault="00725EBC" w:rsidP="00725EBC">
      <w:pPr>
        <w:pStyle w:val="CETAddress"/>
        <w:rPr>
          <w:noProof w:val="0"/>
          <w:szCs w:val="16"/>
          <w:lang w:val="es-PE"/>
        </w:rPr>
      </w:pPr>
      <w:proofErr w:type="spellStart"/>
      <w:r w:rsidRPr="00B2000F">
        <w:rPr>
          <w:noProof w:val="0"/>
          <w:szCs w:val="16"/>
          <w:lang w:val="es-PE"/>
        </w:rPr>
        <w:t>Correspondent</w:t>
      </w:r>
      <w:proofErr w:type="spellEnd"/>
      <w:r w:rsidRPr="00B2000F">
        <w:rPr>
          <w:noProof w:val="0"/>
          <w:szCs w:val="16"/>
          <w:lang w:val="es-PE"/>
        </w:rPr>
        <w:t xml:space="preserve">: </w:t>
      </w:r>
      <w:hyperlink r:id="rId10" w:history="1">
        <w:r w:rsidRPr="00B2000F">
          <w:rPr>
            <w:rStyle w:val="Hipervnculo"/>
            <w:noProof w:val="0"/>
            <w:szCs w:val="16"/>
            <w:lang w:val="es-PE"/>
          </w:rPr>
          <w:t>eacostas@ucv.edu.pe</w:t>
        </w:r>
      </w:hyperlink>
    </w:p>
    <w:p w14:paraId="7B793751" w14:textId="77777777" w:rsidR="00725EBC" w:rsidRPr="00B2000F" w:rsidRDefault="00725EBC" w:rsidP="00725EBC">
      <w:pPr>
        <w:pStyle w:val="CETAddress"/>
        <w:rPr>
          <w:noProof w:val="0"/>
          <w:szCs w:val="16"/>
          <w:lang w:val="es-PE"/>
        </w:rPr>
      </w:pPr>
    </w:p>
    <w:p w14:paraId="192E4871" w14:textId="097B7B44" w:rsidR="00725EBC" w:rsidRPr="00502BDC" w:rsidRDefault="00033A59" w:rsidP="00600535">
      <w:pPr>
        <w:pStyle w:val="CETBodytext"/>
        <w:rPr>
          <w:lang w:val="en-US"/>
        </w:rPr>
      </w:pPr>
      <w:r w:rsidRPr="00502BDC">
        <w:rPr>
          <w:lang w:val="en-US"/>
        </w:rPr>
        <w:t>Microalgae are microscopic organisms found in marine and freshwater environments. They can carry out photosynthesis in a similar way to land plants, allowing them to use nitrogen (N) and phosphorus (P) as nutrients for their growth. In conventional wastewater treatment (tertiary treatment), Chlorella peruviana, a relatively understudied native species, is used for the removal of nutrients such as phosphates and nitrates to prevent pollution of water bodies. The objective of the study was to evaluate the immobilization of the microalga Chlorella peruviana for the elimination of nitrates and phosphates in the wastewater of the main collector of the San Gabriel neighborhood (AA.HH. San Gabriel), in the district of Comas, Lima. Eleven liters of wastewater were used to analyze its physical and chemical properties. To eliminate nitrates and phosphates, 1 liter of the wastewater sample was poured into 9 one-liter bioreactors and three different doses of microalgae immobilized in calcium alginate were added: 50, 100</w:t>
      </w:r>
      <w:r w:rsidR="00E06B36" w:rsidRPr="00502BDC">
        <w:rPr>
          <w:lang w:val="en-US"/>
        </w:rPr>
        <w:t>,</w:t>
      </w:r>
      <w:r w:rsidRPr="00502BDC">
        <w:rPr>
          <w:lang w:val="en-US"/>
        </w:rPr>
        <w:t xml:space="preserve"> and 150 g/L. After 5 days, the results were the following: at a dose of 150 g/L, 83.14% of the nitrates and 85.58% of the phosphates were removed. Finally, the effects of different doses of Chlorella peruviana microalgae immobilized on calcium alginate beads for the removal of nitrates and phosphates in wastewater were explained.</w:t>
      </w:r>
    </w:p>
    <w:p w14:paraId="3E302D6B" w14:textId="77777777" w:rsidR="00033A59" w:rsidRPr="00502BDC" w:rsidRDefault="00033A59" w:rsidP="00600535">
      <w:pPr>
        <w:pStyle w:val="CETBodytext"/>
        <w:rPr>
          <w:lang w:val="en-US"/>
        </w:rPr>
      </w:pPr>
    </w:p>
    <w:p w14:paraId="05387A28" w14:textId="1B56848C" w:rsidR="00725EBC" w:rsidRPr="00502BDC" w:rsidRDefault="00725EBC" w:rsidP="006E1222">
      <w:pPr>
        <w:pStyle w:val="CETBodytext"/>
        <w:numPr>
          <w:ilvl w:val="0"/>
          <w:numId w:val="23"/>
        </w:numPr>
        <w:spacing w:line="360" w:lineRule="auto"/>
        <w:ind w:left="284" w:hanging="284"/>
        <w:rPr>
          <w:b/>
          <w:bCs/>
          <w:sz w:val="20"/>
          <w:lang w:val="en-US"/>
        </w:rPr>
      </w:pPr>
      <w:r w:rsidRPr="00502BDC">
        <w:rPr>
          <w:b/>
          <w:bCs/>
          <w:sz w:val="20"/>
          <w:lang w:val="en-US"/>
        </w:rPr>
        <w:t>Introduction</w:t>
      </w:r>
    </w:p>
    <w:p w14:paraId="2D25D636" w14:textId="465D4222" w:rsidR="00AF00D9" w:rsidRPr="00502BDC" w:rsidRDefault="00343BC6" w:rsidP="00BF0461">
      <w:pPr>
        <w:pStyle w:val="CETBodytext"/>
        <w:rPr>
          <w:szCs w:val="18"/>
          <w:lang w:val="en-US"/>
        </w:rPr>
      </w:pPr>
      <w:r w:rsidRPr="00502BDC">
        <w:rPr>
          <w:szCs w:val="18"/>
          <w:lang w:val="en-US"/>
        </w:rPr>
        <w:t>The rapid growth of both the human population and the global economy has caused a shortage of water resources suitable for direct consumption. Therefore, water remediation inevitably becomes a central objective globally (Abdelfattah et al., 2022). Water is an essential resource and a fundamental raw material in various industries and for domestic purposes (</w:t>
      </w:r>
      <w:proofErr w:type="spellStart"/>
      <w:r w:rsidRPr="00502BDC">
        <w:rPr>
          <w:szCs w:val="18"/>
          <w:lang w:val="en-US"/>
        </w:rPr>
        <w:t>Morseletto</w:t>
      </w:r>
      <w:proofErr w:type="spellEnd"/>
      <w:r w:rsidRPr="00502BDC">
        <w:rPr>
          <w:szCs w:val="18"/>
          <w:lang w:val="en-US"/>
        </w:rPr>
        <w:t xml:space="preserve"> et al., 2022). Wastewater contains various toxic compounds harmful to organisms and releases organic and inorganic nutrients into the environment, increasing chemical oxygen demand (COD) and biological oxygen demand (BOD). Aquatic eutrophication, caused by phosphorus (P) and nitrogen (N) loads, generates environmental impacts, solid waste production, and air emissions (Chen et al., 2020; Wang et al., 2022). There are various mechanisms to treat wastewater loaded with nitrate and phosphate ions; smoke dust from industrial waste has been used, removing more than 52.74% </w:t>
      </w:r>
      <w:r w:rsidR="00E06B36" w:rsidRPr="00502BDC">
        <w:rPr>
          <w:szCs w:val="18"/>
          <w:lang w:val="en-US"/>
        </w:rPr>
        <w:t>of</w:t>
      </w:r>
      <w:r w:rsidRPr="00502BDC">
        <w:rPr>
          <w:szCs w:val="18"/>
          <w:lang w:val="en-US"/>
        </w:rPr>
        <w:t xml:space="preserve"> nitrate and 92.38% </w:t>
      </w:r>
      <w:r w:rsidR="00E06B36" w:rsidRPr="00502BDC">
        <w:rPr>
          <w:szCs w:val="18"/>
          <w:lang w:val="en-US"/>
        </w:rPr>
        <w:t>of</w:t>
      </w:r>
      <w:r w:rsidRPr="00502BDC">
        <w:rPr>
          <w:szCs w:val="18"/>
          <w:lang w:val="en-US"/>
        </w:rPr>
        <w:t xml:space="preserve"> phosphate </w:t>
      </w:r>
      <w:r w:rsidR="00EC278C" w:rsidRPr="00502BDC">
        <w:rPr>
          <w:szCs w:val="18"/>
          <w:lang w:val="en-US"/>
        </w:rPr>
        <w:fldChar w:fldCharType="begin" w:fldLock="1"/>
      </w:r>
      <w:r w:rsidR="005B21C8" w:rsidRPr="00502BDC">
        <w:rPr>
          <w:szCs w:val="18"/>
          <w:lang w:val="en-US"/>
        </w:rPr>
        <w:instrText>ADDIN CSL_CITATION {"citationItems":[{"id":"ITEM-1","itemData":{"DOI":"10.3303/CET2188004","ISBN":"9788895608860","ISSN":"22839216","abstract":"The removal of nitrate and phosphate ions from wastewater has a major concern nowadays. It is necessary to remove nitrate and phosphate ions from wastewater. Adsorption becomes a promising method for phosphate and nitrate ions removal from wastewater because of their availability, low cost, stability and high adsorption capacity. Fume Dust from an Electric Arc Furnace is an industrial waste produced from El-Masryeen Steel factory which is used as an adsorbent for simultaneous removal of nitrate and phosphate ions from an aqueous solution. Surface characterization is performed for the Fume Dust from an Electric Arc Furnace waste before and after adsorption process to ensure nitrate and phosphate ions adsorption and to predict the adsorption mechanisms for each of them. The effects of changing pH, initial nitrate ion concentration, initial phosphate ion concentration and adsorbent dose on the adsorption process efficiency are studied. Response-Surface Methodology-Central Composite Design statistical method is performed to reach the best conditions of the nitrate and phosphate ions removal percentages at neutral pH using Design Expert Software. The maximum nitrate and phosphate ions removal percentages (52.74 % and 92.38 %) are achieved using Fume Dust from an Electric Arc Furnace waste under these conditions; pH ~ 7, initial nitrate ion concentration = 6 mg/L, initial phosphate ion concentration = 1 mg/L, adsorbent dose = 6.5 g/L and contact time = 90 min.","author":[{"dropping-particle":"","family":"Ali","given":"Dalia Amer","non-dropping-particle":"","parse-names":false,"suffix":""},{"dropping-particle":"","family":"Al-Mansi","given":"Nagwa Mahmoud","non-dropping-particle":"","parse-names":false,"suffix":""},{"dropping-particle":"","family":"Sadek","given":"Mohamed Amin","non-dropping-particle":"","parse-names":false,"suffix":""},{"dropping-particle":"","family":"Aboelnasr","given":"Ahmad Wafiq","non-dropping-particle":"","parse-names":false,"suffix":""}],"container-title":"Chemical Engineering Transactions","id":"ITEM-1","issue":"June","issued":{"date-parts":[["2021"]]},"page":"25-30","title":"Simultaneous Removal of Nitrate and Phosphate Ions from Aqueous Solutions Using Fume Dust from Electric Arc Furnace Industrial Waste","type":"article-journal","volume":"88"},"uris":["http://www.mendeley.com/documents/?uuid=6bccf863-eda3-4134-a4c4-f4046f7ac907"]}],"mendeley":{"formattedCitation":"(Ali et al., 2021)","plainTextFormattedCitation":"(Ali et al., 2021)","previouslyFormattedCitation":"(Ali et al., 2021)"},"properties":{"noteIndex":0},"schema":"https://github.com/citation-style-language/schema/raw/master/csl-citation.json"}</w:instrText>
      </w:r>
      <w:r w:rsidR="00EC278C" w:rsidRPr="00502BDC">
        <w:rPr>
          <w:szCs w:val="18"/>
          <w:lang w:val="en-US"/>
        </w:rPr>
        <w:fldChar w:fldCharType="separate"/>
      </w:r>
      <w:r w:rsidR="00EC278C" w:rsidRPr="00502BDC">
        <w:rPr>
          <w:szCs w:val="18"/>
          <w:lang w:val="en-US"/>
        </w:rPr>
        <w:t>(Ali et al., 2021)</w:t>
      </w:r>
      <w:r w:rsidR="00EC278C" w:rsidRPr="00502BDC">
        <w:rPr>
          <w:szCs w:val="18"/>
          <w:lang w:val="en-US"/>
        </w:rPr>
        <w:fldChar w:fldCharType="end"/>
      </w:r>
      <w:r w:rsidR="00CA6B4F" w:rsidRPr="00502BDC">
        <w:rPr>
          <w:szCs w:val="18"/>
          <w:lang w:val="en-US"/>
        </w:rPr>
        <w:t xml:space="preserve">; The </w:t>
      </w:r>
      <w:proofErr w:type="spellStart"/>
      <w:r w:rsidR="008868D9" w:rsidRPr="00502BDC">
        <w:rPr>
          <w:szCs w:val="18"/>
          <w:lang w:val="en-US"/>
        </w:rPr>
        <w:t>electrosorption</w:t>
      </w:r>
      <w:proofErr w:type="spellEnd"/>
      <w:r w:rsidR="008868D9" w:rsidRPr="00502BDC">
        <w:rPr>
          <w:szCs w:val="18"/>
          <w:lang w:val="en-US"/>
        </w:rPr>
        <w:t xml:space="preserve"> </w:t>
      </w:r>
      <w:r w:rsidR="00CA6B4F" w:rsidRPr="00502BDC">
        <w:rPr>
          <w:szCs w:val="18"/>
          <w:lang w:val="en-US"/>
        </w:rPr>
        <w:t xml:space="preserve">process has been applied </w:t>
      </w:r>
      <w:r w:rsidR="008868D9" w:rsidRPr="00502BDC">
        <w:rPr>
          <w:szCs w:val="18"/>
          <w:lang w:val="en-US"/>
        </w:rPr>
        <w:t xml:space="preserve">to remove phosphates and nitrates from wastewater with good possibilities, however, there are reserves for higher concentrations </w:t>
      </w:r>
      <w:r w:rsidR="005B21C8" w:rsidRPr="00502BDC">
        <w:rPr>
          <w:szCs w:val="18"/>
          <w:lang w:val="en-US"/>
        </w:rPr>
        <w:fldChar w:fldCharType="begin" w:fldLock="1"/>
      </w:r>
      <w:r w:rsidR="004320FE" w:rsidRPr="00502BDC">
        <w:rPr>
          <w:szCs w:val="18"/>
          <w:lang w:val="en-US"/>
        </w:rPr>
        <w:instrText>ADDIN CSL_CITATION {"citationItems":[{"id":"ITEM-1","itemData":{"DOI":"10.3303/CET2296014","ISBN":"9788895608952","ISSN":"22839216","abstract":"The present work is dedicated to the preparation and characterization of carbon-based electrodes for the removal of phosphates and nitrate ions from wastewater by CDI method. Carbons obtained from the pyrolysis were used to prepare electrodes and these electrodes were characterized using a number of experimental techniques. Based on the experimental results, the electrodes showed a strong affinity towards the nitrates than phosphates. This was evident from the kinetic constants and significantly higher capacity of electrosorption. At 1mM solutions, representative of a typical wastewater, nitrate exhibited about 3.5 times higher concentration than phosphates on a molar basis. The electrodes were reasonably stable under low concentrations of nitrates. At higher concentrations, the electrodes were not completely regenerable when the desorption step was carried out at 0V. These results are covered in this manuscript.","author":[{"dropping-particle":"","family":"Krishnamurthy","given":"Shreenath","non-dropping-particle":"","parse-names":false,"suffix":""},{"dropping-particle":"","family":"Jayasayee","given":"Kaushik","non-dropping-particle":"","parse-names":false,"suffix":""},{"dropping-particle":"","family":"Eide","given":"Tom Andre Enebakk","non-dropping-particle":"","parse-names":false,"suffix":""},{"dropping-particle":"","family":"McKay","given":"Katie","non-dropping-particle":"","parse-names":false,"suffix":""},{"dropping-particle":"","family":"Tschentscher","given":"Roman","non-dropping-particle":"","parse-names":false,"suffix":""},{"dropping-particle":"","family":"Stensrød","given":"Ruth Elisabeth","non-dropping-particle":"","parse-names":false,"suffix":""},{"dropping-particle":"","family":"Sundig","given":"Martin Fleissner","non-dropping-particle":"","parse-names":false,"suffix":""}],"container-title":"Chemical Engineering Transactions","id":"ITEM-1","issue":"3","issued":{"date-parts":[["2022"]]},"page":"79-84","title":"Evaluation of Electrosorption Process for Phosphate and Nitrate Removal from Wastewater","type":"article-journal","volume":"96"},"uris":["http://www.mendeley.com/documents/?uuid=c70664e7-156d-4838-b198-f4a05550f1f1"]}],"mendeley":{"formattedCitation":"(Krishnamurthy et al., 2022)","plainTextFormattedCitation":"(Krishnamurthy et al., 2022)","previouslyFormattedCitation":"(Krishnamurthy et al., 2022)"},"properties":{"noteIndex":0},"schema":"https://github.com/citation-style-language/schema/raw/master/csl-citation.json"}</w:instrText>
      </w:r>
      <w:r w:rsidR="005B21C8" w:rsidRPr="00502BDC">
        <w:rPr>
          <w:szCs w:val="18"/>
          <w:lang w:val="en-US"/>
        </w:rPr>
        <w:fldChar w:fldCharType="separate"/>
      </w:r>
      <w:r w:rsidR="005B21C8" w:rsidRPr="00502BDC">
        <w:rPr>
          <w:szCs w:val="18"/>
          <w:lang w:val="en-US"/>
        </w:rPr>
        <w:t xml:space="preserve">(Krishnamurthy et al., 2022) </w:t>
      </w:r>
      <w:r w:rsidR="005B21C8" w:rsidRPr="00502BDC">
        <w:rPr>
          <w:szCs w:val="18"/>
          <w:lang w:val="en-US"/>
        </w:rPr>
        <w:fldChar w:fldCharType="end"/>
      </w:r>
      <w:r w:rsidR="00307E7F" w:rsidRPr="00502BDC">
        <w:rPr>
          <w:szCs w:val="18"/>
          <w:lang w:val="en-US"/>
        </w:rPr>
        <w:t xml:space="preserve">; The sustainable removal of nitrates has also been sought by combining biological treatment with the use of membranes, with results of up to 98% removal efficiency </w:t>
      </w:r>
      <w:r w:rsidR="004320FE" w:rsidRPr="00502BDC">
        <w:rPr>
          <w:szCs w:val="18"/>
          <w:lang w:val="en-US"/>
        </w:rPr>
        <w:fldChar w:fldCharType="begin" w:fldLock="1"/>
      </w:r>
      <w:r w:rsidR="004C6E2A" w:rsidRPr="00502BDC">
        <w:rPr>
          <w:szCs w:val="18"/>
          <w:lang w:val="en-US"/>
        </w:rPr>
        <w:instrText>ADDIN CSL_CITATION {"citationItems":[{"id":"ITEM-1","itemData":{"DOI":"10.3303/CET2291037","ISBN":"9788895608891","ISSN":"22839216","abstract":"The presence of nitrogen compounds in surface and groundwater is a serious concern. The treatment technologies currently used, based mainly on membrane and ion exchange processes, are expensive, complex and above all not very selective. On the other hand, biological processes are very efficient and selective towards nitrate, but the phases following denitrification, in which the treated water is separated from the biomass (potentially harmful to public health), are still very expensive. In this work, an original solution is proposed that combines biological treatment with the use of membranes to keep the water to be treated separate from bacterial cultures, thus limiting or eliminating the subsequent disinfection stages. As a result, efficiencies of up to 98% are achieved depending on operating conditions, while keeping costs low.","author":[{"dropping-particle":"","family":"Pietrelli","given":"Loris","non-dropping-particle":"","parse-names":false,"suffix":""},{"dropping-particle":"","family":"Ferro","given":"Sergio","non-dropping-particle":"","parse-names":false,"suffix":""},{"dropping-particle":"","family":"Reverberi","given":"Andrea P.","non-dropping-particle":"","parse-names":false,"suffix":""},{"dropping-particle":"","family":"Vocciante","given":"Marco","non-dropping-particle":"","parse-names":false,"suffix":""}],"container-title":"Chemical Engineering Transactions","id":"ITEM-1","issue":"3","issued":{"date-parts":[["2022"]]},"page":"217-222","title":"Sustainable Removal of Nitrates from Wastewater using Membrane Bioreactors","type":"article-journal","volume":"91"},"uris":["http://www.mendeley.com/documents/?uuid=9de36e4e-79cd-4cb7-9734-c8075947e2f8"]}],"mendeley":{"formattedCitation":"(Pietrelli et al., 2022)","plainTextFormattedCitation":"(Pietrelli et al., 2022)","previouslyFormattedCitation":"(Pietrelli et al., 2022)"},"properties":{"noteIndex":0},"schema":"https://github.com/citation-style-language/schema/raw/master/csl-citation.json"}</w:instrText>
      </w:r>
      <w:r w:rsidR="004320FE" w:rsidRPr="00502BDC">
        <w:rPr>
          <w:szCs w:val="18"/>
          <w:lang w:val="en-US"/>
        </w:rPr>
        <w:fldChar w:fldCharType="separate"/>
      </w:r>
      <w:r w:rsidR="004320FE" w:rsidRPr="00502BDC">
        <w:rPr>
          <w:szCs w:val="18"/>
          <w:lang w:val="en-US"/>
        </w:rPr>
        <w:t xml:space="preserve">(Pietrelli et al., 2022) </w:t>
      </w:r>
      <w:r w:rsidR="004320FE" w:rsidRPr="00502BDC">
        <w:rPr>
          <w:szCs w:val="18"/>
          <w:lang w:val="en-US"/>
        </w:rPr>
        <w:fldChar w:fldCharType="end"/>
      </w:r>
      <w:r w:rsidR="004320FE" w:rsidRPr="00502BDC">
        <w:rPr>
          <w:szCs w:val="18"/>
          <w:lang w:val="en-US"/>
        </w:rPr>
        <w:t>. All these contributions gave rise to the question: What would the results be like with the use of microorganisms to treat these waters?</w:t>
      </w:r>
    </w:p>
    <w:p w14:paraId="006930CC" w14:textId="5E2155D2" w:rsidR="00343BC6" w:rsidRDefault="00343BC6" w:rsidP="00343BC6">
      <w:pPr>
        <w:pStyle w:val="CETBodytext"/>
        <w:rPr>
          <w:szCs w:val="18"/>
          <w:lang w:val="en-US"/>
        </w:rPr>
      </w:pPr>
      <w:r w:rsidRPr="00502BDC">
        <w:rPr>
          <w:szCs w:val="18"/>
          <w:lang w:val="en-US"/>
        </w:rPr>
        <w:t xml:space="preserve">Microalgae can be cultivated in various type of wastewater and show great potential to remove pollutants from industrial and urban effluents (Abdelfattah et al., 2022). Several species of microalgae including Scenedesmus, Chlorella, </w:t>
      </w:r>
      <w:proofErr w:type="spellStart"/>
      <w:r w:rsidRPr="00502BDC">
        <w:rPr>
          <w:szCs w:val="18"/>
          <w:lang w:val="en-US"/>
        </w:rPr>
        <w:t>Botryococcus</w:t>
      </w:r>
      <w:proofErr w:type="spellEnd"/>
      <w:r w:rsidRPr="00502BDC">
        <w:rPr>
          <w:szCs w:val="18"/>
          <w:lang w:val="en-US"/>
        </w:rPr>
        <w:t xml:space="preserve">, </w:t>
      </w:r>
      <w:proofErr w:type="spellStart"/>
      <w:r w:rsidRPr="00502BDC">
        <w:rPr>
          <w:szCs w:val="18"/>
          <w:lang w:val="en-US"/>
        </w:rPr>
        <w:t>Phormidium</w:t>
      </w:r>
      <w:proofErr w:type="spellEnd"/>
      <w:r w:rsidRPr="00502BDC">
        <w:rPr>
          <w:szCs w:val="18"/>
          <w:lang w:val="en-US"/>
        </w:rPr>
        <w:t xml:space="preserve">, </w:t>
      </w:r>
      <w:proofErr w:type="spellStart"/>
      <w:r w:rsidRPr="00502BDC">
        <w:rPr>
          <w:szCs w:val="18"/>
          <w:lang w:val="en-US"/>
        </w:rPr>
        <w:t>Limnospira</w:t>
      </w:r>
      <w:proofErr w:type="spellEnd"/>
      <w:r w:rsidRPr="00502BDC">
        <w:rPr>
          <w:szCs w:val="18"/>
          <w:lang w:val="en-US"/>
        </w:rPr>
        <w:t xml:space="preserve"> (formerly </w:t>
      </w:r>
      <w:proofErr w:type="spellStart"/>
      <w:r w:rsidRPr="00502BDC">
        <w:rPr>
          <w:szCs w:val="18"/>
          <w:lang w:val="en-US"/>
        </w:rPr>
        <w:t>Arthrospira</w:t>
      </w:r>
      <w:proofErr w:type="spellEnd"/>
      <w:r w:rsidRPr="00502BDC">
        <w:rPr>
          <w:szCs w:val="18"/>
          <w:lang w:val="en-US"/>
        </w:rPr>
        <w:t>, Spirulina)</w:t>
      </w:r>
      <w:r w:rsidR="00DF5E5A">
        <w:rPr>
          <w:szCs w:val="18"/>
          <w:lang w:val="en-US"/>
        </w:rPr>
        <w:t>,</w:t>
      </w:r>
      <w:r w:rsidRPr="00502BDC">
        <w:rPr>
          <w:szCs w:val="18"/>
          <w:lang w:val="en-US"/>
        </w:rPr>
        <w:t xml:space="preserve"> and Chlamydomonas, have been shown to exhibit outstanding capacity in wastewater bioremediation, removing nutrients, heavy metals, </w:t>
      </w:r>
      <w:r w:rsidRPr="00502BDC">
        <w:rPr>
          <w:szCs w:val="18"/>
          <w:lang w:val="en-US"/>
        </w:rPr>
        <w:lastRenderedPageBreak/>
        <w:t xml:space="preserve">emerging </w:t>
      </w:r>
      <w:r w:rsidR="00DF5E5A" w:rsidRPr="00502BDC">
        <w:rPr>
          <w:szCs w:val="18"/>
          <w:lang w:val="en-US"/>
        </w:rPr>
        <w:t>contaminants,</w:t>
      </w:r>
      <w:r w:rsidRPr="00502BDC">
        <w:rPr>
          <w:szCs w:val="18"/>
          <w:lang w:val="en-US"/>
        </w:rPr>
        <w:t xml:space="preserve"> and pathogens. (López-Sánchez et al., 2022, and Ahmad et al., 2021). The presence of microalgae can reduce the risk of eutrophication by removing phosphorus (P) and nitrogen (N) components (Priyadharshini et al., 2021).</w:t>
      </w:r>
    </w:p>
    <w:p w14:paraId="416FEAED" w14:textId="1863FF4C" w:rsidR="00343BC6" w:rsidRPr="00502BDC" w:rsidRDefault="00343BC6" w:rsidP="00343BC6">
      <w:pPr>
        <w:pStyle w:val="CETBodytext"/>
        <w:rPr>
          <w:lang w:val="en-US"/>
        </w:rPr>
      </w:pPr>
      <w:r w:rsidRPr="00502BDC">
        <w:rPr>
          <w:lang w:val="en-US"/>
        </w:rPr>
        <w:t>A promising strategy to improve the efficiency of Wastewater Treatment Plants (WWTP) is the co-culture of microalgae with other microorganisms. In this approach, microalgae collaborate symbiotically with heterotrophic microorganisms such as yeast, bacteria</w:t>
      </w:r>
      <w:r w:rsidR="00E06B36" w:rsidRPr="00502BDC">
        <w:rPr>
          <w:lang w:val="en-US"/>
        </w:rPr>
        <w:t>,</w:t>
      </w:r>
      <w:r w:rsidRPr="00502BDC">
        <w:rPr>
          <w:lang w:val="en-US"/>
        </w:rPr>
        <w:t xml:space="preserve"> and fungi. This process results in the exchange of nutrients and metabolites, which increases algal biomass yield and improves bioremediation (Chia et al., 2020; Li et al., 2022). The nitrogen absorption process in microalgae begins at the plasma membrane, where </w:t>
      </w:r>
      <m:oMath>
        <m:sSubSup>
          <m:sSubSupPr>
            <m:ctrlPr>
              <w:rPr>
                <w:rFonts w:ascii="Cambria Math" w:hAnsi="Cambria Math" w:cs="Arial"/>
                <w:iCs/>
                <w:szCs w:val="18"/>
                <w:lang w:val="en-US"/>
              </w:rPr>
            </m:ctrlPr>
          </m:sSubSupPr>
          <m:e>
            <m:r>
              <m:rPr>
                <m:sty m:val="p"/>
              </m:rPr>
              <w:rPr>
                <w:rFonts w:ascii="Cambria Math" w:hAnsi="Cambria Math" w:cs="Arial"/>
                <w:szCs w:val="18"/>
                <w:lang w:val="en-US"/>
              </w:rPr>
              <m:t>NO</m:t>
            </m:r>
          </m:e>
          <m:sub>
            <m:r>
              <m:rPr>
                <m:sty m:val="p"/>
              </m:rPr>
              <w:rPr>
                <w:rFonts w:ascii="Cambria Math" w:hAnsi="Cambria Math" w:cs="Arial"/>
                <w:szCs w:val="18"/>
                <w:lang w:val="en-US"/>
              </w:rPr>
              <m:t>3</m:t>
            </m:r>
          </m:sub>
          <m:sup>
            <m:r>
              <m:rPr>
                <m:sty m:val="p"/>
              </m:rPr>
              <w:rPr>
                <w:rFonts w:ascii="Cambria Math" w:hAnsi="Cambria Math" w:cs="Arial"/>
                <w:szCs w:val="18"/>
                <w:lang w:val="en-US"/>
              </w:rPr>
              <m:t>-</m:t>
            </m:r>
          </m:sup>
        </m:sSubSup>
      </m:oMath>
      <w:r w:rsidR="00785323">
        <w:rPr>
          <w:iCs/>
          <w:szCs w:val="18"/>
          <w:lang w:val="en-US"/>
        </w:rPr>
        <w:t xml:space="preserve"> </w:t>
      </w:r>
      <w:r w:rsidRPr="00502BDC">
        <w:rPr>
          <w:lang w:val="en-US"/>
        </w:rPr>
        <w:t xml:space="preserve">it is reduced to </w:t>
      </w:r>
      <m:oMath>
        <m:sSubSup>
          <m:sSubSupPr>
            <m:ctrlPr>
              <w:rPr>
                <w:rFonts w:ascii="Cambria Math" w:hAnsi="Cambria Math" w:cs="Arial"/>
                <w:iCs/>
                <w:szCs w:val="18"/>
                <w:lang w:val="en-US"/>
              </w:rPr>
            </m:ctrlPr>
          </m:sSubSupPr>
          <m:e>
            <m:r>
              <m:rPr>
                <m:sty m:val="p"/>
              </m:rPr>
              <w:rPr>
                <w:rFonts w:ascii="Cambria Math" w:hAnsi="Cambria Math" w:cs="Arial"/>
                <w:szCs w:val="18"/>
                <w:lang w:val="en-US"/>
              </w:rPr>
              <m:t>NO</m:t>
            </m:r>
          </m:e>
          <m:sub>
            <m:r>
              <m:rPr>
                <m:sty m:val="p"/>
              </m:rPr>
              <w:rPr>
                <w:rFonts w:ascii="Cambria Math" w:hAnsi="Cambria Math" w:cs="Arial"/>
                <w:szCs w:val="18"/>
                <w:lang w:val="en-US"/>
              </w:rPr>
              <m:t>2</m:t>
            </m:r>
          </m:sub>
          <m:sup>
            <m:r>
              <m:rPr>
                <m:sty m:val="p"/>
              </m:rPr>
              <w:rPr>
                <w:rFonts w:ascii="Cambria Math" w:hAnsi="Cambria Math" w:cs="Arial"/>
                <w:szCs w:val="18"/>
                <w:lang w:val="en-US"/>
              </w:rPr>
              <m:t>-</m:t>
            </m:r>
          </m:sup>
        </m:sSubSup>
      </m:oMath>
      <w:r w:rsidRPr="00502BDC">
        <w:rPr>
          <w:szCs w:val="18"/>
          <w:lang w:val="en-US"/>
        </w:rPr>
        <w:t xml:space="preserve">. </w:t>
      </w:r>
      <w:r w:rsidRPr="00502BDC">
        <w:rPr>
          <w:lang w:val="en-US"/>
        </w:rPr>
        <w:t xml:space="preserve">A part of </w:t>
      </w:r>
      <m:oMath>
        <m:sSubSup>
          <m:sSubSupPr>
            <m:ctrlPr>
              <w:rPr>
                <w:rFonts w:ascii="Cambria Math" w:hAnsi="Cambria Math" w:cs="Arial"/>
                <w:iCs/>
                <w:szCs w:val="18"/>
                <w:lang w:val="en-US"/>
              </w:rPr>
            </m:ctrlPr>
          </m:sSubSupPr>
          <m:e>
            <m:r>
              <m:rPr>
                <m:sty m:val="p"/>
              </m:rPr>
              <w:rPr>
                <w:rFonts w:ascii="Cambria Math" w:hAnsi="Cambria Math" w:cs="Arial"/>
                <w:szCs w:val="18"/>
                <w:lang w:val="en-US"/>
              </w:rPr>
              <m:t>NO</m:t>
            </m:r>
          </m:e>
          <m:sub>
            <m:r>
              <m:rPr>
                <m:sty m:val="p"/>
              </m:rPr>
              <w:rPr>
                <w:rFonts w:ascii="Cambria Math" w:hAnsi="Cambria Math" w:cs="Arial"/>
                <w:szCs w:val="18"/>
                <w:lang w:val="en-US"/>
              </w:rPr>
              <m:t>2</m:t>
            </m:r>
          </m:sub>
          <m:sup>
            <m:r>
              <m:rPr>
                <m:sty m:val="p"/>
              </m:rPr>
              <w:rPr>
                <w:rFonts w:ascii="Cambria Math" w:hAnsi="Cambria Math" w:cs="Arial"/>
                <w:szCs w:val="18"/>
                <w:lang w:val="en-US"/>
              </w:rPr>
              <m:t>-</m:t>
            </m:r>
          </m:sup>
        </m:sSubSup>
      </m:oMath>
      <w:r w:rsidR="005323DF" w:rsidRPr="00502BDC">
        <w:rPr>
          <w:szCs w:val="18"/>
          <w:lang w:val="en-US"/>
        </w:rPr>
        <w:t xml:space="preserve"> </w:t>
      </w:r>
      <w:r w:rsidRPr="00502BDC">
        <w:rPr>
          <w:lang w:val="en-US"/>
        </w:rPr>
        <w:t>was pr</w:t>
      </w:r>
      <w:r w:rsidR="00E06B36" w:rsidRPr="00502BDC">
        <w:rPr>
          <w:lang w:val="en-US"/>
        </w:rPr>
        <w:t>oduced</w:t>
      </w:r>
      <w:r w:rsidR="005323DF">
        <w:rPr>
          <w:lang w:val="en-US"/>
        </w:rPr>
        <w:t xml:space="preserve"> </w:t>
      </w:r>
      <w:r w:rsidRPr="00502BDC">
        <w:rPr>
          <w:lang w:val="en-US"/>
        </w:rPr>
        <w:t>is</w:t>
      </w:r>
      <w:r w:rsidR="00E06B36" w:rsidRPr="00502BDC">
        <w:rPr>
          <w:lang w:val="en-US"/>
        </w:rPr>
        <w:t xml:space="preserve"> </w:t>
      </w:r>
      <w:r w:rsidRPr="00502BDC">
        <w:rPr>
          <w:lang w:val="en-US"/>
        </w:rPr>
        <w:t xml:space="preserve">released into the aquatic environment, while another fraction of </w:t>
      </w:r>
      <m:oMath>
        <m:sSubSup>
          <m:sSubSupPr>
            <m:ctrlPr>
              <w:rPr>
                <w:rFonts w:ascii="Cambria Math" w:hAnsi="Cambria Math" w:cs="Arial"/>
                <w:iCs/>
                <w:szCs w:val="18"/>
                <w:lang w:val="en-US"/>
              </w:rPr>
            </m:ctrlPr>
          </m:sSubSupPr>
          <m:e>
            <m:r>
              <m:rPr>
                <m:sty m:val="p"/>
              </m:rPr>
              <w:rPr>
                <w:rFonts w:ascii="Cambria Math" w:hAnsi="Cambria Math" w:cs="Arial"/>
                <w:szCs w:val="18"/>
                <w:lang w:val="en-US"/>
              </w:rPr>
              <m:t>NO</m:t>
            </m:r>
          </m:e>
          <m:sub>
            <m:r>
              <m:rPr>
                <m:sty m:val="p"/>
              </m:rPr>
              <w:rPr>
                <w:rFonts w:ascii="Cambria Math" w:hAnsi="Cambria Math" w:cs="Arial"/>
                <w:szCs w:val="18"/>
                <w:lang w:val="en-US"/>
              </w:rPr>
              <m:t>2</m:t>
            </m:r>
          </m:sub>
          <m:sup>
            <m:r>
              <m:rPr>
                <m:sty m:val="p"/>
              </m:rPr>
              <w:rPr>
                <w:rFonts w:ascii="Cambria Math" w:hAnsi="Cambria Math" w:cs="Arial"/>
                <w:szCs w:val="18"/>
                <w:lang w:val="en-US"/>
              </w:rPr>
              <m:t>-</m:t>
            </m:r>
          </m:sup>
        </m:sSubSup>
      </m:oMath>
      <w:r w:rsidRPr="00502BDC">
        <w:rPr>
          <w:lang w:val="en-US"/>
        </w:rPr>
        <w:t xml:space="preserve"> is further reduced in the chloroplast, </w:t>
      </w:r>
      <w:r w:rsidR="00E06B36" w:rsidRPr="00502BDC">
        <w:rPr>
          <w:lang w:val="en-US"/>
        </w:rPr>
        <w:t xml:space="preserve">forming </w:t>
      </w:r>
      <m:oMath>
        <m:sSubSup>
          <m:sSubSupPr>
            <m:ctrlPr>
              <w:rPr>
                <w:rFonts w:ascii="Cambria Math" w:hAnsi="Cambria Math" w:cs="Arial"/>
                <w:iCs/>
                <w:szCs w:val="18"/>
                <w:lang w:val="en-US"/>
              </w:rPr>
            </m:ctrlPr>
          </m:sSubSupPr>
          <m:e>
            <m:r>
              <m:rPr>
                <m:sty m:val="p"/>
              </m:rPr>
              <w:rPr>
                <w:rFonts w:ascii="Cambria Math" w:hAnsi="Cambria Math" w:cs="Arial"/>
                <w:szCs w:val="18"/>
                <w:lang w:val="en-US"/>
              </w:rPr>
              <m:t>NH</m:t>
            </m:r>
          </m:e>
          <m:sub>
            <m:r>
              <m:rPr>
                <m:sty m:val="p"/>
              </m:rPr>
              <w:rPr>
                <w:rFonts w:ascii="Cambria Math" w:hAnsi="Cambria Math" w:cs="Arial"/>
                <w:szCs w:val="18"/>
                <w:lang w:val="en-US"/>
              </w:rPr>
              <m:t>4</m:t>
            </m:r>
          </m:sub>
          <m:sup>
            <m:r>
              <m:rPr>
                <m:sty m:val="p"/>
              </m:rPr>
              <w:rPr>
                <w:rFonts w:ascii="Cambria Math" w:hAnsi="Cambria Math" w:cs="Arial"/>
                <w:szCs w:val="18"/>
                <w:lang w:val="en-US"/>
              </w:rPr>
              <m:t>+</m:t>
            </m:r>
          </m:sup>
        </m:sSubSup>
      </m:oMath>
      <w:r w:rsidRPr="00502BDC">
        <w:rPr>
          <w:lang w:val="en-US"/>
        </w:rPr>
        <w:t>. This ammonium is then incorporated into the synthesis of amino acids (Burhenne and Tischner, 2000; Wang et al., 2010; Umamaheswari and Shanthakumar, 2016). During metabolism, the phosphate ion (</w:t>
      </w:r>
      <m:oMath>
        <m:sSubSup>
          <m:sSubSupPr>
            <m:ctrlPr>
              <w:rPr>
                <w:rFonts w:ascii="Cambria Math" w:hAnsi="Cambria Math" w:cs="Arial"/>
                <w:iCs/>
                <w:szCs w:val="18"/>
                <w:lang w:val="en-US"/>
              </w:rPr>
            </m:ctrlPr>
          </m:sSubSupPr>
          <m:e>
            <m:r>
              <m:rPr>
                <m:sty m:val="p"/>
              </m:rPr>
              <w:rPr>
                <w:rFonts w:ascii="Cambria Math" w:hAnsi="Cambria Math" w:cs="Arial"/>
                <w:szCs w:val="18"/>
                <w:lang w:val="en-US"/>
              </w:rPr>
              <m:t>PO</m:t>
            </m:r>
          </m:e>
          <m:sub>
            <m:r>
              <m:rPr>
                <m:sty m:val="p"/>
              </m:rPr>
              <w:rPr>
                <w:rFonts w:ascii="Cambria Math" w:hAnsi="Cambria Math" w:cs="Arial"/>
                <w:szCs w:val="18"/>
                <w:lang w:val="en-US"/>
              </w:rPr>
              <m:t>4</m:t>
            </m:r>
          </m:sub>
          <m:sup>
            <m:r>
              <m:rPr>
                <m:sty m:val="p"/>
              </m:rPr>
              <w:rPr>
                <w:rFonts w:ascii="Cambria Math" w:hAnsi="Cambria Math" w:cs="Arial"/>
                <w:szCs w:val="18"/>
                <w:lang w:val="en-US"/>
              </w:rPr>
              <m:t>3-</m:t>
            </m:r>
          </m:sup>
        </m:sSubSup>
      </m:oMath>
      <w:r w:rsidRPr="00502BDC">
        <w:rPr>
          <w:lang w:val="en-US"/>
        </w:rPr>
        <w:t xml:space="preserve">) is assimilated into forms </w:t>
      </w:r>
      <m:oMath>
        <m:sSubSup>
          <m:sSubSupPr>
            <m:ctrlPr>
              <w:rPr>
                <w:rFonts w:ascii="Cambria Math" w:hAnsi="Cambria Math" w:cs="Arial"/>
                <w:iCs/>
                <w:szCs w:val="18"/>
                <w:lang w:val="en-US"/>
              </w:rPr>
            </m:ctrlPr>
          </m:sSubSupPr>
          <m:e>
            <m:sSub>
              <m:sSubPr>
                <m:ctrlPr>
                  <w:rPr>
                    <w:rFonts w:ascii="Cambria Math" w:hAnsi="Cambria Math" w:cs="Arial"/>
                    <w:iCs/>
                    <w:szCs w:val="18"/>
                    <w:lang w:val="en-US"/>
                  </w:rPr>
                </m:ctrlPr>
              </m:sSubPr>
              <m:e>
                <m:r>
                  <m:rPr>
                    <m:sty m:val="p"/>
                  </m:rPr>
                  <w:rPr>
                    <w:rFonts w:ascii="Cambria Math" w:hAnsi="Cambria Math" w:cs="Arial"/>
                    <w:szCs w:val="18"/>
                    <w:lang w:val="en-US"/>
                  </w:rPr>
                  <m:t>H</m:t>
                </m:r>
              </m:e>
              <m:sub>
                <m:r>
                  <m:rPr>
                    <m:sty m:val="p"/>
                  </m:rPr>
                  <w:rPr>
                    <w:rFonts w:ascii="Cambria Math" w:hAnsi="Cambria Math" w:cs="Arial"/>
                    <w:szCs w:val="18"/>
                    <w:lang w:val="en-US"/>
                  </w:rPr>
                  <m:t>2</m:t>
                </m:r>
              </m:sub>
            </m:sSub>
            <m:r>
              <m:rPr>
                <m:sty m:val="p"/>
              </m:rPr>
              <w:rPr>
                <w:rFonts w:ascii="Cambria Math" w:hAnsi="Cambria Math" w:cs="Arial"/>
                <w:szCs w:val="18"/>
                <w:lang w:val="en-US"/>
              </w:rPr>
              <m:t>PO</m:t>
            </m:r>
          </m:e>
          <m:sub>
            <m:r>
              <m:rPr>
                <m:sty m:val="p"/>
              </m:rPr>
              <w:rPr>
                <w:rFonts w:ascii="Cambria Math" w:hAnsi="Cambria Math" w:cs="Arial"/>
                <w:szCs w:val="18"/>
                <w:lang w:val="en-US"/>
              </w:rPr>
              <m:t>4</m:t>
            </m:r>
          </m:sub>
          <m:sup>
            <m:r>
              <m:rPr>
                <m:sty m:val="p"/>
              </m:rPr>
              <w:rPr>
                <w:rFonts w:ascii="Cambria Math" w:hAnsi="Cambria Math" w:cs="Arial"/>
                <w:szCs w:val="18"/>
                <w:lang w:val="en-US"/>
              </w:rPr>
              <m:t>-</m:t>
            </m:r>
          </m:sup>
        </m:sSubSup>
      </m:oMath>
      <w:r w:rsidR="005323DF">
        <w:rPr>
          <w:iCs/>
          <w:szCs w:val="18"/>
          <w:lang w:val="en-US"/>
        </w:rPr>
        <w:t xml:space="preserve"> </w:t>
      </w:r>
      <w:r w:rsidRPr="00502BDC">
        <w:rPr>
          <w:lang w:val="en-US"/>
        </w:rPr>
        <w:t xml:space="preserve">and </w:t>
      </w:r>
      <m:oMath>
        <m:sSubSup>
          <m:sSubSupPr>
            <m:ctrlPr>
              <w:rPr>
                <w:rFonts w:ascii="Cambria Math" w:hAnsi="Cambria Math" w:cs="Arial"/>
                <w:iCs/>
                <w:szCs w:val="18"/>
                <w:lang w:val="en-US"/>
              </w:rPr>
            </m:ctrlPr>
          </m:sSubSupPr>
          <m:e>
            <m:r>
              <m:rPr>
                <m:sty m:val="p"/>
              </m:rPr>
              <w:rPr>
                <w:rFonts w:ascii="Cambria Math" w:hAnsi="Cambria Math" w:cs="Arial"/>
                <w:szCs w:val="18"/>
                <w:lang w:val="en-US"/>
              </w:rPr>
              <m:t>HPO</m:t>
            </m:r>
          </m:e>
          <m:sub>
            <m:r>
              <m:rPr>
                <m:sty m:val="p"/>
              </m:rPr>
              <w:rPr>
                <w:rFonts w:ascii="Cambria Math" w:hAnsi="Cambria Math" w:cs="Arial"/>
                <w:szCs w:val="18"/>
                <w:lang w:val="en-US"/>
              </w:rPr>
              <m:t>4</m:t>
            </m:r>
          </m:sub>
          <m:sup>
            <m:r>
              <m:rPr>
                <m:sty m:val="p"/>
              </m:rPr>
              <w:rPr>
                <w:rFonts w:ascii="Cambria Math" w:hAnsi="Cambria Math" w:cs="Arial"/>
                <w:szCs w:val="18"/>
                <w:lang w:val="en-US"/>
              </w:rPr>
              <m:t>2-</m:t>
            </m:r>
          </m:sup>
        </m:sSubSup>
      </m:oMath>
      <w:r w:rsidR="005323DF">
        <w:rPr>
          <w:iCs/>
          <w:szCs w:val="18"/>
          <w:lang w:val="en-US"/>
        </w:rPr>
        <w:t xml:space="preserve"> </w:t>
      </w:r>
      <w:r w:rsidRPr="00502BDC">
        <w:rPr>
          <w:lang w:val="en-US"/>
        </w:rPr>
        <w:t xml:space="preserve">subsequently incorporated into organic compounds through the process of phosphorylation. At this stage, an </w:t>
      </w:r>
      <w:r w:rsidR="00E06B36" w:rsidRPr="00502BDC">
        <w:rPr>
          <w:lang w:val="en-US"/>
        </w:rPr>
        <w:t>important</w:t>
      </w:r>
      <w:r w:rsidRPr="00502BDC">
        <w:rPr>
          <w:lang w:val="en-US"/>
        </w:rPr>
        <w:t xml:space="preserve"> part</w:t>
      </w:r>
      <w:r w:rsidR="00E06B36" w:rsidRPr="00502BDC">
        <w:rPr>
          <w:lang w:val="en-US"/>
        </w:rPr>
        <w:t xml:space="preserve"> of </w:t>
      </w:r>
      <m:oMath>
        <m:sSubSup>
          <m:sSubSupPr>
            <m:ctrlPr>
              <w:rPr>
                <w:rFonts w:ascii="Cambria Math" w:hAnsi="Cambria Math" w:cs="Arial"/>
                <w:iCs/>
                <w:szCs w:val="18"/>
                <w:lang w:val="en-US"/>
              </w:rPr>
            </m:ctrlPr>
          </m:sSubSupPr>
          <m:e>
            <m:r>
              <m:rPr>
                <m:sty m:val="p"/>
              </m:rPr>
              <w:rPr>
                <w:rFonts w:ascii="Cambria Math" w:hAnsi="Cambria Math" w:cs="Arial"/>
                <w:szCs w:val="18"/>
                <w:lang w:val="en-US"/>
              </w:rPr>
              <m:t>PO</m:t>
            </m:r>
          </m:e>
          <m:sub>
            <m:r>
              <m:rPr>
                <m:sty m:val="p"/>
              </m:rPr>
              <w:rPr>
                <w:rFonts w:ascii="Cambria Math" w:hAnsi="Cambria Math" w:cs="Arial"/>
                <w:szCs w:val="18"/>
                <w:lang w:val="en-US"/>
              </w:rPr>
              <m:t>4</m:t>
            </m:r>
          </m:sub>
          <m:sup>
            <m:r>
              <m:rPr>
                <m:sty m:val="p"/>
              </m:rPr>
              <w:rPr>
                <w:rFonts w:ascii="Cambria Math" w:hAnsi="Cambria Math" w:cs="Arial"/>
                <w:szCs w:val="18"/>
                <w:lang w:val="en-US"/>
              </w:rPr>
              <m:t>3-</m:t>
            </m:r>
          </m:sup>
        </m:sSubSup>
        <m:r>
          <w:rPr>
            <w:rFonts w:ascii="Cambria Math" w:hAnsi="Cambria Math" w:cs="Arial"/>
            <w:szCs w:val="18"/>
            <w:lang w:val="en-US"/>
          </w:rPr>
          <m:t xml:space="preserve"> </m:t>
        </m:r>
      </m:oMath>
      <w:r w:rsidRPr="00502BDC">
        <w:rPr>
          <w:lang w:val="en-US"/>
        </w:rPr>
        <w:t>is used for the synthesis of adenosine triphosphate (ATP) from adenosine diphosphate (ADP), providing the energy necessary for cellular functions (Martínez et al., 1999, Cai et al., 2013).</w:t>
      </w:r>
    </w:p>
    <w:p w14:paraId="6484F2DC" w14:textId="77777777" w:rsidR="005323DF" w:rsidRDefault="000D0302" w:rsidP="000D0302">
      <w:pPr>
        <w:pStyle w:val="CETBodytext"/>
        <w:rPr>
          <w:szCs w:val="18"/>
          <w:lang w:val="en-US"/>
        </w:rPr>
      </w:pPr>
      <w:r w:rsidRPr="00502BDC">
        <w:rPr>
          <w:szCs w:val="18"/>
          <w:lang w:val="en-US"/>
        </w:rPr>
        <w:t>Microalgae are used in wastewater treatment not only for their effectiveness in removing nitrogen and phosphorus but also for their ability to eradicate pathogenic organisms. This is attributed to the generation of extreme pH levels and the production of substances with antibacterial effects that can be secreted by these microalgae (Ramírez-Mérida et al., 2015).</w:t>
      </w:r>
      <w:r w:rsidR="005323DF">
        <w:rPr>
          <w:szCs w:val="18"/>
          <w:lang w:val="en-US"/>
        </w:rPr>
        <w:t xml:space="preserve"> </w:t>
      </w:r>
    </w:p>
    <w:p w14:paraId="5D4A8C1B" w14:textId="5B65BD68" w:rsidR="00331D18" w:rsidRPr="00502BDC" w:rsidRDefault="000D0302" w:rsidP="000D0302">
      <w:pPr>
        <w:pStyle w:val="CETBodytext"/>
        <w:rPr>
          <w:szCs w:val="18"/>
          <w:lang w:val="en-US"/>
        </w:rPr>
      </w:pPr>
      <w:r w:rsidRPr="00502BDC">
        <w:rPr>
          <w:szCs w:val="18"/>
          <w:lang w:val="en-US"/>
        </w:rPr>
        <w:t>Wastewater treatment using microalgae has become a serious alternative to conventional technology. The objective of the study was to use the immobilized Chlorella peruviana microalgae for the elimination of nitrates and phosphates in wastewater from the main collector of the Comas district, Lima.</w:t>
      </w:r>
    </w:p>
    <w:p w14:paraId="3122299C" w14:textId="77777777" w:rsidR="000D0302" w:rsidRPr="00502BDC" w:rsidRDefault="000D0302" w:rsidP="000D0302">
      <w:pPr>
        <w:pStyle w:val="CETBodytext"/>
        <w:rPr>
          <w:szCs w:val="18"/>
          <w:lang w:val="en-US"/>
        </w:rPr>
      </w:pPr>
    </w:p>
    <w:p w14:paraId="6D48C265" w14:textId="6109EBA1" w:rsidR="003935C9" w:rsidRPr="00502BDC" w:rsidRDefault="004410A1" w:rsidP="000D0302">
      <w:pPr>
        <w:pStyle w:val="CETBodytext"/>
        <w:numPr>
          <w:ilvl w:val="0"/>
          <w:numId w:val="23"/>
        </w:numPr>
        <w:spacing w:line="360" w:lineRule="auto"/>
        <w:ind w:left="284" w:hanging="284"/>
        <w:rPr>
          <w:b/>
          <w:bCs/>
          <w:sz w:val="20"/>
          <w:lang w:val="en-US"/>
        </w:rPr>
      </w:pPr>
      <w:r w:rsidRPr="00502BDC">
        <w:rPr>
          <w:b/>
          <w:bCs/>
          <w:sz w:val="20"/>
          <w:lang w:val="en-US"/>
        </w:rPr>
        <w:t>Methodology</w:t>
      </w:r>
    </w:p>
    <w:p w14:paraId="3B9FBE81" w14:textId="139A8B4F" w:rsidR="004410A1" w:rsidRPr="00502BDC" w:rsidRDefault="004410A1" w:rsidP="004410A1">
      <w:pPr>
        <w:pStyle w:val="CETBodytext"/>
        <w:spacing w:line="360" w:lineRule="auto"/>
        <w:rPr>
          <w:b/>
          <w:bCs/>
          <w:sz w:val="20"/>
          <w:lang w:val="en-US"/>
        </w:rPr>
      </w:pPr>
      <w:r w:rsidRPr="00502BDC">
        <w:rPr>
          <w:b/>
          <w:bCs/>
          <w:sz w:val="20"/>
          <w:lang w:val="en-US"/>
        </w:rPr>
        <w:t>2.1. Preparation of Chlorella peruviana Microalgae</w:t>
      </w:r>
    </w:p>
    <w:p w14:paraId="4B51C92D" w14:textId="13F90C6E" w:rsidR="004410A1" w:rsidRPr="00502BDC" w:rsidRDefault="00D360A5" w:rsidP="004410A1">
      <w:pPr>
        <w:pStyle w:val="CETBodytext"/>
        <w:tabs>
          <w:tab w:val="left" w:pos="0"/>
        </w:tabs>
        <w:rPr>
          <w:szCs w:val="18"/>
          <w:lang w:val="en-US"/>
        </w:rPr>
      </w:pPr>
      <w:r w:rsidRPr="00502BDC">
        <w:rPr>
          <w:szCs w:val="18"/>
          <w:lang w:val="en-US"/>
        </w:rPr>
        <w:t xml:space="preserve">A 200 </w:t>
      </w:r>
      <w:r w:rsidR="004410A1" w:rsidRPr="00502BDC">
        <w:rPr>
          <w:szCs w:val="18"/>
          <w:lang w:val="en-US"/>
        </w:rPr>
        <w:t xml:space="preserve">mL sample of Chlorella peruviana was used. This species was selected because it is considered a </w:t>
      </w:r>
      <w:r w:rsidR="00093034" w:rsidRPr="00502BDC">
        <w:rPr>
          <w:szCs w:val="18"/>
          <w:lang w:val="en-US"/>
        </w:rPr>
        <w:t>native microalga</w:t>
      </w:r>
      <w:r w:rsidR="004410A1" w:rsidRPr="00502BDC">
        <w:rPr>
          <w:szCs w:val="18"/>
          <w:lang w:val="en-US"/>
        </w:rPr>
        <w:t xml:space="preserve"> that is easily accessible in the region, so it can be used at </w:t>
      </w:r>
      <w:r w:rsidRPr="00502BDC">
        <w:rPr>
          <w:szCs w:val="18"/>
          <w:lang w:val="en-US"/>
        </w:rPr>
        <w:t xml:space="preserve">a </w:t>
      </w:r>
      <w:r w:rsidR="004410A1" w:rsidRPr="00502BDC">
        <w:rPr>
          <w:szCs w:val="18"/>
          <w:lang w:val="en-US"/>
        </w:rPr>
        <w:t>low cost. The microalgae culture was developed in 1.5 L of salt water obtained from the Peruvian Sea Institute (IMARPE).</w:t>
      </w:r>
    </w:p>
    <w:p w14:paraId="6EFA1C39" w14:textId="33B720B0" w:rsidR="00CB7896" w:rsidRPr="00502BDC" w:rsidRDefault="004410A1" w:rsidP="004410A1">
      <w:pPr>
        <w:pStyle w:val="CETBodytext"/>
        <w:tabs>
          <w:tab w:val="left" w:pos="0"/>
        </w:tabs>
        <w:rPr>
          <w:szCs w:val="18"/>
          <w:lang w:val="en-US"/>
        </w:rPr>
      </w:pPr>
      <w:r w:rsidRPr="00502BDC">
        <w:rPr>
          <w:szCs w:val="18"/>
          <w:lang w:val="en-US"/>
        </w:rPr>
        <w:t xml:space="preserve">The cultivation of Chlorella peruviana involved introducing the entire sample into a 1000 mL capacity bioreactor. 800 ml of seawater was added, resulting in 1 liter of solution. Subsequently, 5 g of </w:t>
      </w:r>
      <w:proofErr w:type="spellStart"/>
      <w:r w:rsidRPr="00502BDC">
        <w:rPr>
          <w:szCs w:val="18"/>
          <w:lang w:val="en-US"/>
        </w:rPr>
        <w:t>Nitrofert</w:t>
      </w:r>
      <w:proofErr w:type="spellEnd"/>
      <w:r w:rsidRPr="00502BDC">
        <w:rPr>
          <w:szCs w:val="18"/>
          <w:lang w:val="en-US"/>
        </w:rPr>
        <w:t xml:space="preserve"> 20-20-20 foliar fertilizer was added. Throughout the growth process, the Chlorella peruviana culture was subjected to constant aeration, with a photoperiod of 16 hours of light and 8 hours of darkness, at a light intensity of 1060 lumens and a temperature of 20 °C. This process was carried out during a cultivation period of 2 and a half months, without altering the conditions.</w:t>
      </w:r>
    </w:p>
    <w:p w14:paraId="59A484A7" w14:textId="77777777" w:rsidR="004410A1" w:rsidRPr="00502BDC" w:rsidRDefault="004410A1" w:rsidP="004410A1">
      <w:pPr>
        <w:pStyle w:val="CETBodytext"/>
        <w:tabs>
          <w:tab w:val="left" w:pos="0"/>
        </w:tabs>
        <w:rPr>
          <w:sz w:val="20"/>
          <w:lang w:val="en-US"/>
        </w:rPr>
      </w:pPr>
    </w:p>
    <w:p w14:paraId="57EC618F" w14:textId="1019081D" w:rsidR="00CB7896" w:rsidRPr="00502BDC" w:rsidRDefault="00481487" w:rsidP="004410A1">
      <w:pPr>
        <w:pStyle w:val="CETBodytext"/>
        <w:numPr>
          <w:ilvl w:val="1"/>
          <w:numId w:val="24"/>
        </w:numPr>
        <w:spacing w:line="360" w:lineRule="auto"/>
        <w:ind w:left="426" w:hanging="426"/>
        <w:rPr>
          <w:b/>
          <w:bCs/>
          <w:sz w:val="20"/>
          <w:lang w:val="en-US"/>
        </w:rPr>
      </w:pPr>
      <w:r w:rsidRPr="00502BDC">
        <w:rPr>
          <w:b/>
          <w:bCs/>
          <w:sz w:val="20"/>
          <w:lang w:val="en-US"/>
        </w:rPr>
        <w:t>Monitoring Point Selection</w:t>
      </w:r>
    </w:p>
    <w:p w14:paraId="5F7A6A81" w14:textId="3CB20B3B" w:rsidR="00E26983" w:rsidRPr="00502BDC" w:rsidRDefault="004410A1" w:rsidP="004410A1">
      <w:pPr>
        <w:pStyle w:val="CETBodytext"/>
        <w:spacing w:line="240" w:lineRule="auto"/>
        <w:rPr>
          <w:szCs w:val="18"/>
          <w:lang w:val="en-US"/>
        </w:rPr>
      </w:pPr>
      <w:r w:rsidRPr="00502BDC">
        <w:rPr>
          <w:szCs w:val="18"/>
          <w:lang w:val="en-US"/>
        </w:rPr>
        <w:t xml:space="preserve">The appropriate sampling point for the investigation was defined as the effluent from the sewer pipes of the community of San Gabriel, located in the district of Comas, </w:t>
      </w:r>
      <w:proofErr w:type="gramStart"/>
      <w:r w:rsidRPr="00502BDC">
        <w:rPr>
          <w:szCs w:val="18"/>
          <w:lang w:val="en-US"/>
        </w:rPr>
        <w:t>province</w:t>
      </w:r>
      <w:proofErr w:type="gramEnd"/>
      <w:r w:rsidRPr="00502BDC">
        <w:rPr>
          <w:szCs w:val="18"/>
          <w:lang w:val="en-US"/>
        </w:rPr>
        <w:t xml:space="preserve"> and department of Lima.</w:t>
      </w:r>
    </w:p>
    <w:p w14:paraId="0D2BB90F" w14:textId="77777777" w:rsidR="00481487" w:rsidRPr="00502BDC" w:rsidRDefault="00481487" w:rsidP="004410A1">
      <w:pPr>
        <w:pStyle w:val="CETBodytext"/>
        <w:spacing w:line="240" w:lineRule="auto"/>
        <w:rPr>
          <w:szCs w:val="18"/>
          <w:lang w:val="en-US"/>
        </w:rPr>
      </w:pPr>
    </w:p>
    <w:p w14:paraId="60D9F650" w14:textId="3E8B31CC" w:rsidR="00481487" w:rsidRPr="00502BDC" w:rsidRDefault="00481487" w:rsidP="00481487">
      <w:pPr>
        <w:pStyle w:val="CETBodytext"/>
        <w:numPr>
          <w:ilvl w:val="1"/>
          <w:numId w:val="24"/>
        </w:numPr>
        <w:spacing w:line="360" w:lineRule="auto"/>
        <w:ind w:left="426" w:hanging="426"/>
        <w:rPr>
          <w:szCs w:val="18"/>
          <w:lang w:val="en-US"/>
        </w:rPr>
      </w:pPr>
      <w:r w:rsidRPr="00502BDC">
        <w:rPr>
          <w:b/>
          <w:bCs/>
          <w:sz w:val="20"/>
          <w:lang w:val="en-US"/>
        </w:rPr>
        <w:t>water sampling</w:t>
      </w:r>
    </w:p>
    <w:p w14:paraId="619EC87E" w14:textId="23ECB32B" w:rsidR="0014794B" w:rsidRPr="00502BDC" w:rsidRDefault="00481487" w:rsidP="00481487">
      <w:pPr>
        <w:pStyle w:val="CETBodytext"/>
        <w:spacing w:line="240" w:lineRule="auto"/>
        <w:rPr>
          <w:szCs w:val="18"/>
          <w:lang w:val="en-US"/>
        </w:rPr>
      </w:pPr>
      <w:r w:rsidRPr="00502BDC">
        <w:rPr>
          <w:szCs w:val="18"/>
          <w:lang w:val="en-US"/>
        </w:rPr>
        <w:t>The water sample was collected using a pick to lift the well cover. Since the stream was at a height of 2 meters, a bucket and rope were used to collect the water sample. It was then poured into a 20 L volume drum. Once the required volume was reached, the manhole was closed and finally</w:t>
      </w:r>
      <w:r w:rsidR="00D360A5" w:rsidRPr="00502BDC">
        <w:rPr>
          <w:szCs w:val="18"/>
          <w:lang w:val="en-US"/>
        </w:rPr>
        <w:t>,</w:t>
      </w:r>
      <w:r w:rsidRPr="00502BDC">
        <w:rPr>
          <w:szCs w:val="18"/>
          <w:lang w:val="en-US"/>
        </w:rPr>
        <w:t xml:space="preserve"> the water samples were transported to the laboratory for initial analysis and subsequent treatment.</w:t>
      </w:r>
    </w:p>
    <w:p w14:paraId="29237DE4" w14:textId="77777777" w:rsidR="00481487" w:rsidRPr="00502BDC" w:rsidRDefault="00481487" w:rsidP="00481487">
      <w:pPr>
        <w:pStyle w:val="CETBodytext"/>
        <w:spacing w:line="240" w:lineRule="auto"/>
        <w:rPr>
          <w:szCs w:val="18"/>
          <w:lang w:val="en-US"/>
        </w:rPr>
      </w:pPr>
    </w:p>
    <w:p w14:paraId="1A8F0353" w14:textId="61F91436" w:rsidR="00E26983" w:rsidRPr="00502BDC" w:rsidRDefault="00481487" w:rsidP="004410A1">
      <w:pPr>
        <w:pStyle w:val="CETBodytext"/>
        <w:numPr>
          <w:ilvl w:val="1"/>
          <w:numId w:val="24"/>
        </w:numPr>
        <w:spacing w:line="360" w:lineRule="auto"/>
        <w:ind w:left="426" w:hanging="426"/>
        <w:rPr>
          <w:b/>
          <w:bCs/>
          <w:sz w:val="20"/>
          <w:lang w:val="en-US"/>
        </w:rPr>
      </w:pPr>
      <w:r w:rsidRPr="00502BDC">
        <w:rPr>
          <w:b/>
          <w:bCs/>
          <w:sz w:val="20"/>
          <w:lang w:val="en-US"/>
        </w:rPr>
        <w:t>Microalgae cell count</w:t>
      </w:r>
    </w:p>
    <w:p w14:paraId="44DA4BB5" w14:textId="76F0DEFF" w:rsidR="00481487" w:rsidRDefault="00481487" w:rsidP="00481487">
      <w:pPr>
        <w:pStyle w:val="CETBodytext"/>
        <w:spacing w:line="240" w:lineRule="auto"/>
        <w:rPr>
          <w:szCs w:val="18"/>
          <w:lang w:val="en-US"/>
        </w:rPr>
      </w:pPr>
      <w:r w:rsidRPr="00502BDC">
        <w:rPr>
          <w:szCs w:val="18"/>
          <w:lang w:val="en-US"/>
        </w:rPr>
        <w:t>The cell count was carried out in the laboratory using the Neubauer chamber, allowing the number of Chlorella peruviana cells in the culture to be quantified. The counting was carried out under a microscope with 10x and 40x lenses for better appreciation.</w:t>
      </w:r>
    </w:p>
    <w:p w14:paraId="482222DF" w14:textId="77777777" w:rsidR="005323DF" w:rsidRDefault="005323DF" w:rsidP="00481487">
      <w:pPr>
        <w:pStyle w:val="CETBodytext"/>
        <w:spacing w:line="240" w:lineRule="auto"/>
        <w:rPr>
          <w:szCs w:val="18"/>
          <w:lang w:val="en-US"/>
        </w:rPr>
      </w:pPr>
    </w:p>
    <w:p w14:paraId="1368A776" w14:textId="678E17F4" w:rsidR="00072A84" w:rsidRPr="00502BDC" w:rsidRDefault="004A1EB9" w:rsidP="004410A1">
      <w:pPr>
        <w:pStyle w:val="CETBodytext"/>
        <w:numPr>
          <w:ilvl w:val="1"/>
          <w:numId w:val="24"/>
        </w:numPr>
        <w:spacing w:line="360" w:lineRule="auto"/>
        <w:ind w:left="426" w:hanging="426"/>
        <w:rPr>
          <w:b/>
          <w:bCs/>
          <w:sz w:val="20"/>
          <w:lang w:val="en-US"/>
        </w:rPr>
      </w:pPr>
      <w:r w:rsidRPr="00502BDC">
        <w:rPr>
          <w:b/>
          <w:bCs/>
          <w:sz w:val="20"/>
          <w:lang w:val="en-US"/>
        </w:rPr>
        <w:t>Preparation of calcium alginate beads with microalgae.</w:t>
      </w:r>
    </w:p>
    <w:p w14:paraId="57204FE7" w14:textId="0E6385A2" w:rsidR="005323DF" w:rsidRDefault="006B6CBE" w:rsidP="004A1EB9">
      <w:pPr>
        <w:pStyle w:val="CETBodytext"/>
        <w:spacing w:line="240" w:lineRule="auto"/>
        <w:rPr>
          <w:szCs w:val="18"/>
          <w:lang w:val="en-US"/>
        </w:rPr>
      </w:pPr>
      <w:r w:rsidRPr="006B6CBE">
        <w:rPr>
          <w:szCs w:val="18"/>
          <w:lang w:val="en-US"/>
        </w:rPr>
        <w:t>To the Chlorella peruviana culture with 1 L volume, 15 g of sodium alginate was added. It was stirred continuously until a homogeneous and dense solution was obtained. Then, using a syringe, it was slowly dripped into a 2% calcium chloride solution, which was stirred gently, until small green spheres formed (see Figure 1). These spheres were immersed for 1 minute in the calcium chloride solution and then rinsed with distilled water.</w:t>
      </w:r>
    </w:p>
    <w:p w14:paraId="1C895544" w14:textId="77777777" w:rsidR="00B2000F" w:rsidRDefault="00B2000F" w:rsidP="004A1EB9">
      <w:pPr>
        <w:pStyle w:val="CETBodytext"/>
        <w:spacing w:line="240" w:lineRule="auto"/>
        <w:rPr>
          <w:szCs w:val="18"/>
          <w:lang w:val="en-US"/>
        </w:rPr>
      </w:pPr>
    </w:p>
    <w:p w14:paraId="1385B133" w14:textId="77777777" w:rsidR="00B2000F" w:rsidRDefault="00B2000F" w:rsidP="004A1EB9">
      <w:pPr>
        <w:pStyle w:val="CETBodytext"/>
        <w:spacing w:line="240" w:lineRule="auto"/>
        <w:rPr>
          <w:szCs w:val="18"/>
          <w:lang w:val="en-US"/>
        </w:rPr>
      </w:pPr>
    </w:p>
    <w:p w14:paraId="15F34B84" w14:textId="00188851" w:rsidR="007B27B2" w:rsidRPr="00502BDC" w:rsidRDefault="004A1EB9" w:rsidP="004410A1">
      <w:pPr>
        <w:pStyle w:val="CETBodytext"/>
        <w:numPr>
          <w:ilvl w:val="1"/>
          <w:numId w:val="24"/>
        </w:numPr>
        <w:spacing w:line="360" w:lineRule="auto"/>
        <w:ind w:left="426" w:hanging="426"/>
        <w:rPr>
          <w:b/>
          <w:bCs/>
          <w:sz w:val="20"/>
          <w:lang w:val="en-US"/>
        </w:rPr>
      </w:pPr>
      <w:r w:rsidRPr="00502BDC">
        <w:rPr>
          <w:b/>
          <w:bCs/>
          <w:sz w:val="20"/>
          <w:lang w:val="en-US"/>
        </w:rPr>
        <w:lastRenderedPageBreak/>
        <w:t>Dose</w:t>
      </w:r>
    </w:p>
    <w:p w14:paraId="23862EBC" w14:textId="6A05F9BD" w:rsidR="004A1EB9" w:rsidRPr="00502BDC" w:rsidRDefault="004A1EB9" w:rsidP="004A1EB9">
      <w:pPr>
        <w:pStyle w:val="CETBodytext"/>
        <w:spacing w:line="240" w:lineRule="auto"/>
        <w:rPr>
          <w:szCs w:val="18"/>
          <w:lang w:val="en-US"/>
        </w:rPr>
      </w:pPr>
      <w:r w:rsidRPr="00502BDC">
        <w:rPr>
          <w:szCs w:val="18"/>
          <w:lang w:val="en-US"/>
        </w:rPr>
        <w:t>50, 100</w:t>
      </w:r>
      <w:r w:rsidR="00D360A5" w:rsidRPr="00502BDC">
        <w:rPr>
          <w:szCs w:val="18"/>
          <w:lang w:val="en-US"/>
        </w:rPr>
        <w:t>,</w:t>
      </w:r>
      <w:r w:rsidRPr="00502BDC">
        <w:rPr>
          <w:szCs w:val="18"/>
          <w:lang w:val="en-US"/>
        </w:rPr>
        <w:t xml:space="preserve"> and 150 g of microalgae immobilized on calcium alginate beads were obtained </w:t>
      </w:r>
      <w:r w:rsidR="006B6CBE">
        <w:rPr>
          <w:szCs w:val="18"/>
          <w:lang w:val="en-US"/>
        </w:rPr>
        <w:t>for</w:t>
      </w:r>
      <w:r w:rsidRPr="00502BDC">
        <w:rPr>
          <w:szCs w:val="18"/>
          <w:lang w:val="en-US"/>
        </w:rPr>
        <w:t xml:space="preserve"> triplicate using a balance. These quantities were added to the wastewater samples, carrying out the treatment in triplicate, resulting in a total of 9 experimental units.</w:t>
      </w:r>
    </w:p>
    <w:p w14:paraId="049764B0" w14:textId="77777777" w:rsidR="007B27B2" w:rsidRPr="00502BDC" w:rsidRDefault="007B27B2" w:rsidP="007B27B2">
      <w:pPr>
        <w:pStyle w:val="CETBodytext"/>
        <w:spacing w:line="240" w:lineRule="auto"/>
        <w:rPr>
          <w:szCs w:val="18"/>
          <w:lang w:val="en-US"/>
        </w:rPr>
      </w:pPr>
    </w:p>
    <w:p w14:paraId="29A3D590" w14:textId="5D8C4156" w:rsidR="007B27B2" w:rsidRPr="00502BDC" w:rsidRDefault="004A1EB9" w:rsidP="004410A1">
      <w:pPr>
        <w:pStyle w:val="CETBodytext"/>
        <w:numPr>
          <w:ilvl w:val="1"/>
          <w:numId w:val="24"/>
        </w:numPr>
        <w:spacing w:line="360" w:lineRule="auto"/>
        <w:ind w:left="426" w:hanging="426"/>
        <w:rPr>
          <w:szCs w:val="18"/>
          <w:lang w:val="en-US"/>
        </w:rPr>
      </w:pPr>
      <w:r w:rsidRPr="00502BDC">
        <w:rPr>
          <w:b/>
          <w:bCs/>
          <w:sz w:val="20"/>
          <w:lang w:val="en-US"/>
        </w:rPr>
        <w:t>Treatment</w:t>
      </w:r>
    </w:p>
    <w:p w14:paraId="722CA0D7" w14:textId="4DA1A8CD" w:rsidR="00441C0F" w:rsidRPr="00502BDC" w:rsidRDefault="00441C0F" w:rsidP="007B27B2">
      <w:pPr>
        <w:pStyle w:val="CETBodytext"/>
        <w:rPr>
          <w:szCs w:val="18"/>
          <w:lang w:val="en-US"/>
        </w:rPr>
      </w:pPr>
      <w:r w:rsidRPr="00502BDC">
        <w:rPr>
          <w:szCs w:val="18"/>
          <w:lang w:val="en-US"/>
        </w:rPr>
        <w:t>The immobilized microalgae were subjected to the same growth conditions, as mentioned in the previous section on cultivation. This involved providing constant aeration with photoperiods of 16 hours of light and 8 hours of darkness, a light intensity of 1060 lumens</w:t>
      </w:r>
      <w:r w:rsidR="00D360A5" w:rsidRPr="00502BDC">
        <w:rPr>
          <w:szCs w:val="18"/>
          <w:lang w:val="en-US"/>
        </w:rPr>
        <w:t>,</w:t>
      </w:r>
      <w:r w:rsidRPr="00502BDC">
        <w:rPr>
          <w:szCs w:val="18"/>
          <w:lang w:val="en-US"/>
        </w:rPr>
        <w:t xml:space="preserve"> and an ambient temperature of 20 °C (see Figure 2). This growth period lasted 5 days.</w:t>
      </w:r>
    </w:p>
    <w:p w14:paraId="7177F477" w14:textId="77777777" w:rsidR="00441C0F" w:rsidRPr="00502BDC" w:rsidRDefault="00441C0F" w:rsidP="007B27B2">
      <w:pPr>
        <w:pStyle w:val="CETBodytext"/>
        <w:rPr>
          <w:szCs w:val="18"/>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379"/>
      </w:tblGrid>
      <w:tr w:rsidR="001C4EDA" w:rsidRPr="00502BDC" w14:paraId="648CB05F" w14:textId="77777777" w:rsidTr="00441C0F">
        <w:tc>
          <w:tcPr>
            <w:tcW w:w="4408" w:type="dxa"/>
          </w:tcPr>
          <w:p w14:paraId="14B438B1" w14:textId="7A0FC5B4" w:rsidR="00711CE2" w:rsidRPr="00502BDC" w:rsidRDefault="00711CE2" w:rsidP="007B27B2">
            <w:pPr>
              <w:pStyle w:val="CETBodytext"/>
              <w:rPr>
                <w:szCs w:val="18"/>
                <w:lang w:val="en-US"/>
              </w:rPr>
            </w:pPr>
            <w:r w:rsidRPr="00502BDC">
              <w:rPr>
                <w:noProof/>
                <w:lang w:val="en-US"/>
              </w:rPr>
              <w:drawing>
                <wp:inline distT="0" distB="0" distL="0" distR="0" wp14:anchorId="4A207B15" wp14:editId="472082C6">
                  <wp:extent cx="2667000" cy="2225040"/>
                  <wp:effectExtent l="0" t="0" r="0" b="3810"/>
                  <wp:docPr id="19958703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870374" name=""/>
                          <pic:cNvPicPr/>
                        </pic:nvPicPr>
                        <pic:blipFill>
                          <a:blip r:embed="rId11"/>
                          <a:stretch>
                            <a:fillRect/>
                          </a:stretch>
                        </pic:blipFill>
                        <pic:spPr>
                          <a:xfrm>
                            <a:off x="0" y="0"/>
                            <a:ext cx="2667000" cy="2225040"/>
                          </a:xfrm>
                          <a:prstGeom prst="rect">
                            <a:avLst/>
                          </a:prstGeom>
                        </pic:spPr>
                      </pic:pic>
                    </a:graphicData>
                  </a:graphic>
                </wp:inline>
              </w:drawing>
            </w:r>
          </w:p>
        </w:tc>
        <w:tc>
          <w:tcPr>
            <w:tcW w:w="4379" w:type="dxa"/>
          </w:tcPr>
          <w:p w14:paraId="60EFA4A8" w14:textId="4F7F1D0F" w:rsidR="00711CE2" w:rsidRPr="00502BDC" w:rsidRDefault="001C4EDA" w:rsidP="007B27B2">
            <w:pPr>
              <w:pStyle w:val="CETBodytext"/>
              <w:rPr>
                <w:szCs w:val="18"/>
                <w:lang w:val="en-US"/>
              </w:rPr>
            </w:pPr>
            <w:r w:rsidRPr="00502BDC">
              <w:rPr>
                <w:noProof/>
                <w:lang w:val="en-US"/>
              </w:rPr>
              <w:drawing>
                <wp:inline distT="0" distB="0" distL="0" distR="0" wp14:anchorId="5A8AA1FD" wp14:editId="658B78FB">
                  <wp:extent cx="2644140" cy="2232660"/>
                  <wp:effectExtent l="0" t="0" r="3810" b="0"/>
                  <wp:docPr id="16137783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78394" name=""/>
                          <pic:cNvPicPr/>
                        </pic:nvPicPr>
                        <pic:blipFill>
                          <a:blip r:embed="rId12"/>
                          <a:stretch>
                            <a:fillRect/>
                          </a:stretch>
                        </pic:blipFill>
                        <pic:spPr>
                          <a:xfrm>
                            <a:off x="0" y="0"/>
                            <a:ext cx="2644140" cy="2232660"/>
                          </a:xfrm>
                          <a:prstGeom prst="rect">
                            <a:avLst/>
                          </a:prstGeom>
                        </pic:spPr>
                      </pic:pic>
                    </a:graphicData>
                  </a:graphic>
                </wp:inline>
              </w:drawing>
            </w:r>
          </w:p>
        </w:tc>
      </w:tr>
      <w:tr w:rsidR="001C4EDA" w:rsidRPr="00502BDC" w14:paraId="72456426" w14:textId="77777777" w:rsidTr="00441C0F">
        <w:tc>
          <w:tcPr>
            <w:tcW w:w="4408" w:type="dxa"/>
          </w:tcPr>
          <w:p w14:paraId="04572992" w14:textId="5A270AF8" w:rsidR="00711CE2" w:rsidRPr="00502BDC" w:rsidRDefault="00441C0F" w:rsidP="001C4EDA">
            <w:pPr>
              <w:pStyle w:val="CETBodytext"/>
              <w:spacing w:line="240" w:lineRule="auto"/>
              <w:jc w:val="center"/>
              <w:rPr>
                <w:szCs w:val="18"/>
                <w:lang w:val="en-US"/>
              </w:rPr>
            </w:pPr>
            <w:r w:rsidRPr="00502BDC">
              <w:rPr>
                <w:szCs w:val="18"/>
                <w:lang w:val="en-US"/>
              </w:rPr>
              <w:t>Figure 1. Chlorella peruviana immobilized in calcium alginate.</w:t>
            </w:r>
          </w:p>
        </w:tc>
        <w:tc>
          <w:tcPr>
            <w:tcW w:w="4379" w:type="dxa"/>
          </w:tcPr>
          <w:p w14:paraId="1EE27F96" w14:textId="0F6B1DD0" w:rsidR="00711CE2" w:rsidRPr="00502BDC" w:rsidRDefault="00441C0F" w:rsidP="001C4EDA">
            <w:pPr>
              <w:pStyle w:val="CETBodytext"/>
              <w:spacing w:line="240" w:lineRule="auto"/>
              <w:jc w:val="center"/>
              <w:rPr>
                <w:szCs w:val="18"/>
                <w:lang w:val="en-US"/>
              </w:rPr>
            </w:pPr>
            <w:r w:rsidRPr="00502BDC">
              <w:rPr>
                <w:szCs w:val="18"/>
                <w:lang w:val="en-US"/>
              </w:rPr>
              <w:t>Figure 2. Wastewater treatment process.</w:t>
            </w:r>
          </w:p>
        </w:tc>
      </w:tr>
    </w:tbl>
    <w:p w14:paraId="6B80BF5C" w14:textId="77777777" w:rsidR="007B27B2" w:rsidRPr="00502BDC" w:rsidRDefault="007B27B2" w:rsidP="007B27B2">
      <w:pPr>
        <w:pStyle w:val="CETBodytext"/>
        <w:rPr>
          <w:szCs w:val="18"/>
          <w:lang w:val="en-US"/>
        </w:rPr>
      </w:pPr>
    </w:p>
    <w:p w14:paraId="1B839062" w14:textId="69B86D7A" w:rsidR="007B27B2" w:rsidRPr="00502BDC" w:rsidRDefault="00441C0F" w:rsidP="004410A1">
      <w:pPr>
        <w:pStyle w:val="CETBodytext"/>
        <w:numPr>
          <w:ilvl w:val="1"/>
          <w:numId w:val="24"/>
        </w:numPr>
        <w:spacing w:line="360" w:lineRule="auto"/>
        <w:ind w:left="426" w:hanging="426"/>
        <w:rPr>
          <w:b/>
          <w:bCs/>
          <w:sz w:val="20"/>
          <w:lang w:val="en-US"/>
        </w:rPr>
      </w:pPr>
      <w:r w:rsidRPr="00502BDC">
        <w:rPr>
          <w:b/>
          <w:bCs/>
          <w:sz w:val="20"/>
          <w:lang w:val="en-US"/>
        </w:rPr>
        <w:t>Final parameter analysis</w:t>
      </w:r>
    </w:p>
    <w:p w14:paraId="6D489E7E" w14:textId="2E9EC8A1" w:rsidR="007B27B2" w:rsidRPr="00502BDC" w:rsidRDefault="00441C0F" w:rsidP="00441C0F">
      <w:pPr>
        <w:pStyle w:val="CETBodytext"/>
        <w:spacing w:line="240" w:lineRule="auto"/>
        <w:rPr>
          <w:szCs w:val="18"/>
          <w:lang w:val="en-US"/>
        </w:rPr>
      </w:pPr>
      <w:r w:rsidRPr="00502BDC">
        <w:rPr>
          <w:szCs w:val="18"/>
          <w:lang w:val="en-US"/>
        </w:rPr>
        <w:t xml:space="preserve">The microalgae beads were </w:t>
      </w:r>
      <w:r w:rsidR="006B6CBE" w:rsidRPr="00502BDC">
        <w:rPr>
          <w:szCs w:val="18"/>
          <w:lang w:val="en-US"/>
        </w:rPr>
        <w:t>removed,</w:t>
      </w:r>
      <w:r w:rsidRPr="00502BDC">
        <w:rPr>
          <w:szCs w:val="18"/>
          <w:lang w:val="en-US"/>
        </w:rPr>
        <w:t xml:space="preserve"> and the water was poured into a clean flask. Subsequently, 50 mL of the sample was taken and transferred to a 250 mL beaker to measure the </w:t>
      </w:r>
      <w:proofErr w:type="spellStart"/>
      <w:r w:rsidRPr="00502BDC">
        <w:rPr>
          <w:szCs w:val="18"/>
          <w:lang w:val="en-US"/>
        </w:rPr>
        <w:t>pH.</w:t>
      </w:r>
      <w:proofErr w:type="spellEnd"/>
      <w:r w:rsidRPr="00502BDC">
        <w:rPr>
          <w:szCs w:val="18"/>
          <w:lang w:val="en-US"/>
        </w:rPr>
        <w:t xml:space="preserve"> Finally, samples from the 9 experimental units were sent to the laboratory for analysis of nitrate (</w:t>
      </w:r>
      <m:oMath>
        <m:sSubSup>
          <m:sSubSupPr>
            <m:ctrlPr>
              <w:rPr>
                <w:rFonts w:ascii="Cambria Math" w:hAnsi="Cambria Math" w:cs="Arial"/>
                <w:iCs/>
                <w:szCs w:val="18"/>
                <w:lang w:val="en-US"/>
              </w:rPr>
            </m:ctrlPr>
          </m:sSubSupPr>
          <m:e>
            <m:r>
              <m:rPr>
                <m:sty m:val="p"/>
              </m:rPr>
              <w:rPr>
                <w:rFonts w:ascii="Cambria Math" w:hAnsi="Cambria Math" w:cs="Arial"/>
                <w:szCs w:val="18"/>
                <w:lang w:val="en-US"/>
              </w:rPr>
              <m:t>NO</m:t>
            </m:r>
          </m:e>
          <m:sub>
            <m:r>
              <m:rPr>
                <m:sty m:val="p"/>
              </m:rPr>
              <w:rPr>
                <w:rFonts w:ascii="Cambria Math" w:hAnsi="Cambria Math" w:cs="Arial"/>
                <w:szCs w:val="18"/>
                <w:lang w:val="en-US"/>
              </w:rPr>
              <m:t>3</m:t>
            </m:r>
          </m:sub>
          <m:sup>
            <m:r>
              <m:rPr>
                <m:sty m:val="p"/>
              </m:rPr>
              <w:rPr>
                <w:rFonts w:ascii="Cambria Math" w:hAnsi="Cambria Math" w:cs="Arial"/>
                <w:szCs w:val="18"/>
                <w:lang w:val="en-US"/>
              </w:rPr>
              <m:t>-</m:t>
            </m:r>
          </m:sup>
        </m:sSubSup>
      </m:oMath>
      <w:r w:rsidRPr="00502BDC">
        <w:rPr>
          <w:szCs w:val="18"/>
          <w:lang w:val="en-US"/>
        </w:rPr>
        <w:t>) and phosphate (</w:t>
      </w:r>
      <m:oMath>
        <m:sSubSup>
          <m:sSubSupPr>
            <m:ctrlPr>
              <w:rPr>
                <w:rFonts w:ascii="Cambria Math" w:hAnsi="Cambria Math" w:cs="Arial"/>
                <w:iCs/>
                <w:szCs w:val="18"/>
                <w:lang w:val="en-US"/>
              </w:rPr>
            </m:ctrlPr>
          </m:sSubSupPr>
          <m:e>
            <m:r>
              <m:rPr>
                <m:sty m:val="p"/>
              </m:rPr>
              <w:rPr>
                <w:rFonts w:ascii="Cambria Math" w:hAnsi="Cambria Math" w:cs="Arial"/>
                <w:szCs w:val="18"/>
                <w:lang w:val="en-US"/>
              </w:rPr>
              <m:t>PO</m:t>
            </m:r>
          </m:e>
          <m:sub>
            <m:r>
              <m:rPr>
                <m:sty m:val="p"/>
              </m:rPr>
              <w:rPr>
                <w:rFonts w:ascii="Cambria Math" w:hAnsi="Cambria Math" w:cs="Arial"/>
                <w:szCs w:val="18"/>
                <w:lang w:val="en-US"/>
              </w:rPr>
              <m:t>4</m:t>
            </m:r>
          </m:sub>
          <m:sup>
            <m:r>
              <m:rPr>
                <m:sty m:val="p"/>
              </m:rPr>
              <w:rPr>
                <w:rFonts w:ascii="Cambria Math" w:hAnsi="Cambria Math" w:cs="Arial"/>
                <w:szCs w:val="18"/>
                <w:lang w:val="en-US"/>
              </w:rPr>
              <m:t>3-</m:t>
            </m:r>
          </m:sup>
        </m:sSubSup>
      </m:oMath>
      <w:r w:rsidRPr="00502BDC">
        <w:rPr>
          <w:szCs w:val="18"/>
          <w:lang w:val="en-US"/>
        </w:rPr>
        <w:t>) levels.</w:t>
      </w:r>
    </w:p>
    <w:p w14:paraId="70311F3A" w14:textId="77777777" w:rsidR="00441C0F" w:rsidRPr="00502BDC" w:rsidRDefault="00441C0F" w:rsidP="007B27B2">
      <w:pPr>
        <w:pStyle w:val="CETBodytext"/>
        <w:ind w:left="284" w:hanging="284"/>
        <w:rPr>
          <w:szCs w:val="18"/>
          <w:lang w:val="en-US"/>
        </w:rPr>
      </w:pPr>
    </w:p>
    <w:p w14:paraId="7824BFBA" w14:textId="4B687235" w:rsidR="00441C0F" w:rsidRPr="00502BDC" w:rsidRDefault="00924E44" w:rsidP="00441C0F">
      <w:pPr>
        <w:pStyle w:val="CETBodytext"/>
        <w:numPr>
          <w:ilvl w:val="0"/>
          <w:numId w:val="24"/>
        </w:numPr>
        <w:spacing w:line="360" w:lineRule="auto"/>
        <w:ind w:left="284" w:hanging="284"/>
        <w:rPr>
          <w:b/>
          <w:bCs/>
          <w:sz w:val="20"/>
          <w:lang w:val="en-US"/>
        </w:rPr>
      </w:pPr>
      <w:r w:rsidRPr="00502BDC">
        <w:rPr>
          <w:b/>
          <w:bCs/>
          <w:sz w:val="20"/>
          <w:lang w:val="en-US"/>
        </w:rPr>
        <w:t>Results</w:t>
      </w:r>
    </w:p>
    <w:p w14:paraId="6E249D0F" w14:textId="2678AFC9" w:rsidR="00AC2539" w:rsidRPr="00502BDC" w:rsidRDefault="00AC2539" w:rsidP="00924E44">
      <w:pPr>
        <w:pStyle w:val="CETBodytext"/>
        <w:spacing w:line="360" w:lineRule="auto"/>
        <w:rPr>
          <w:b/>
          <w:bCs/>
          <w:sz w:val="20"/>
          <w:lang w:val="en-US"/>
        </w:rPr>
      </w:pPr>
      <w:r w:rsidRPr="00502BDC">
        <w:rPr>
          <w:b/>
          <w:bCs/>
          <w:sz w:val="20"/>
          <w:lang w:val="en-US"/>
        </w:rPr>
        <w:t>3.1 Characterization of Microalgae</w:t>
      </w:r>
    </w:p>
    <w:p w14:paraId="464B5FBF" w14:textId="072CF231" w:rsidR="00924E44" w:rsidRPr="00502BDC" w:rsidRDefault="00924E44" w:rsidP="00924E44">
      <w:pPr>
        <w:pStyle w:val="CETBodytext"/>
        <w:spacing w:line="240" w:lineRule="auto"/>
        <w:rPr>
          <w:szCs w:val="18"/>
          <w:lang w:val="en-US"/>
        </w:rPr>
      </w:pPr>
      <w:r w:rsidRPr="00502BDC">
        <w:rPr>
          <w:szCs w:val="18"/>
          <w:lang w:val="en-US"/>
        </w:rPr>
        <w:t>In Table 1 it was observed that the Chlorella peruviana microalgae culture exhibited the typical characteristics of microalgae.</w:t>
      </w:r>
    </w:p>
    <w:p w14:paraId="55F78B10" w14:textId="77777777" w:rsidR="00924E44" w:rsidRPr="00502BDC" w:rsidRDefault="00924E44" w:rsidP="00AC2539">
      <w:pPr>
        <w:pStyle w:val="CETBodytext"/>
        <w:rPr>
          <w:szCs w:val="18"/>
          <w:lang w:val="en-US"/>
        </w:rPr>
      </w:pPr>
    </w:p>
    <w:p w14:paraId="302A3793" w14:textId="7EAFDC7A" w:rsidR="00AC2539" w:rsidRPr="00502BDC" w:rsidRDefault="00AC2539" w:rsidP="00AC2539">
      <w:pPr>
        <w:pStyle w:val="CETBodytext"/>
        <w:rPr>
          <w:lang w:val="en-US"/>
        </w:rPr>
      </w:pPr>
      <w:bookmarkStart w:id="1" w:name="_Hlk156034441"/>
      <w:r w:rsidRPr="00502BDC">
        <w:rPr>
          <w:i/>
          <w:iCs/>
          <w:lang w:val="en-US"/>
        </w:rPr>
        <w:t>Table 1: Characteristics of microalgae cultivation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1418"/>
        <w:gridCol w:w="1417"/>
        <w:gridCol w:w="1417"/>
      </w:tblGrid>
      <w:tr w:rsidR="00D60D99" w:rsidRPr="00502BDC" w14:paraId="4F3DE245" w14:textId="77777777" w:rsidTr="004565A9">
        <w:tc>
          <w:tcPr>
            <w:tcW w:w="1843" w:type="dxa"/>
            <w:tcBorders>
              <w:top w:val="single" w:sz="12" w:space="0" w:color="008000"/>
              <w:bottom w:val="single" w:sz="6" w:space="0" w:color="008000"/>
            </w:tcBorders>
            <w:shd w:val="clear" w:color="auto" w:fill="FFFFFF"/>
          </w:tcPr>
          <w:p w14:paraId="5EA2D858" w14:textId="7FB11EFA" w:rsidR="00D60D99" w:rsidRPr="00502BDC" w:rsidRDefault="00924E44" w:rsidP="00AC2539">
            <w:pPr>
              <w:pStyle w:val="CETBodytext"/>
              <w:spacing w:line="240" w:lineRule="auto"/>
              <w:jc w:val="center"/>
              <w:rPr>
                <w:lang w:val="en-US"/>
              </w:rPr>
            </w:pPr>
            <w:bookmarkStart w:id="2" w:name="_Hlk156034501"/>
            <w:bookmarkEnd w:id="1"/>
            <w:r w:rsidRPr="00502BDC">
              <w:rPr>
                <w:lang w:val="en-US"/>
              </w:rPr>
              <w:t>Cell concentration (Number of cells/mL)</w:t>
            </w:r>
          </w:p>
        </w:tc>
        <w:tc>
          <w:tcPr>
            <w:tcW w:w="1418" w:type="dxa"/>
            <w:tcBorders>
              <w:top w:val="single" w:sz="12" w:space="0" w:color="008000"/>
              <w:bottom w:val="single" w:sz="6" w:space="0" w:color="008000"/>
            </w:tcBorders>
            <w:shd w:val="clear" w:color="auto" w:fill="FFFFFF"/>
          </w:tcPr>
          <w:p w14:paraId="28528EEC" w14:textId="5EF18BF6" w:rsidR="00D60D99" w:rsidRPr="00502BDC" w:rsidRDefault="00D60D99" w:rsidP="00AC2539">
            <w:pPr>
              <w:pStyle w:val="CETBodytext"/>
              <w:spacing w:line="240" w:lineRule="auto"/>
              <w:jc w:val="center"/>
              <w:rPr>
                <w:lang w:val="en-US"/>
              </w:rPr>
            </w:pPr>
            <w:r w:rsidRPr="00502BDC">
              <w:rPr>
                <w:lang w:val="en-US"/>
              </w:rPr>
              <w:t>pH</w:t>
            </w:r>
          </w:p>
        </w:tc>
        <w:tc>
          <w:tcPr>
            <w:tcW w:w="1417" w:type="dxa"/>
            <w:tcBorders>
              <w:top w:val="single" w:sz="12" w:space="0" w:color="008000"/>
              <w:bottom w:val="single" w:sz="6" w:space="0" w:color="008000"/>
            </w:tcBorders>
            <w:shd w:val="clear" w:color="auto" w:fill="FFFFFF"/>
          </w:tcPr>
          <w:p w14:paraId="1250E55F" w14:textId="77777777" w:rsidR="00924E44" w:rsidRPr="00502BDC" w:rsidRDefault="00924E44" w:rsidP="00AC2539">
            <w:pPr>
              <w:pStyle w:val="CETBodytext"/>
              <w:spacing w:line="240" w:lineRule="auto"/>
              <w:jc w:val="center"/>
              <w:rPr>
                <w:lang w:val="en-US"/>
              </w:rPr>
            </w:pPr>
            <w:r w:rsidRPr="00502BDC">
              <w:rPr>
                <w:lang w:val="en-US"/>
              </w:rPr>
              <w:t>Length</w:t>
            </w:r>
          </w:p>
          <w:p w14:paraId="05006C90" w14:textId="4CCA9207" w:rsidR="00D60D99" w:rsidRPr="00502BDC" w:rsidRDefault="00D60D99" w:rsidP="00AC2539">
            <w:pPr>
              <w:pStyle w:val="CETBodytext"/>
              <w:spacing w:line="240" w:lineRule="auto"/>
              <w:jc w:val="center"/>
              <w:rPr>
                <w:lang w:val="en-US"/>
              </w:rPr>
            </w:pPr>
            <w:r w:rsidRPr="00502BDC">
              <w:rPr>
                <w:lang w:val="en-US"/>
              </w:rPr>
              <w:t>(mm)</w:t>
            </w:r>
          </w:p>
        </w:tc>
        <w:tc>
          <w:tcPr>
            <w:tcW w:w="1417" w:type="dxa"/>
            <w:tcBorders>
              <w:top w:val="single" w:sz="12" w:space="0" w:color="008000"/>
              <w:bottom w:val="single" w:sz="6" w:space="0" w:color="008000"/>
            </w:tcBorders>
            <w:shd w:val="clear" w:color="auto" w:fill="FFFFFF"/>
          </w:tcPr>
          <w:p w14:paraId="0CE9EE0D" w14:textId="6988D5E4" w:rsidR="00D60D99" w:rsidRPr="00502BDC" w:rsidRDefault="00D60D99" w:rsidP="00AC2539">
            <w:pPr>
              <w:pStyle w:val="CETBodytext"/>
              <w:spacing w:line="240" w:lineRule="auto"/>
              <w:jc w:val="center"/>
              <w:rPr>
                <w:lang w:val="en-US"/>
              </w:rPr>
            </w:pPr>
            <w:r w:rsidRPr="00502BDC">
              <w:rPr>
                <w:lang w:val="en-US"/>
              </w:rPr>
              <w:t>Temperature</w:t>
            </w:r>
          </w:p>
          <w:p w14:paraId="0241BD3E" w14:textId="53F8DAAC" w:rsidR="00D60D99" w:rsidRPr="00502BDC" w:rsidRDefault="00D60D99" w:rsidP="00AC2539">
            <w:pPr>
              <w:pStyle w:val="CETBodytext"/>
              <w:spacing w:line="240" w:lineRule="auto"/>
              <w:jc w:val="center"/>
              <w:rPr>
                <w:lang w:val="en-US"/>
              </w:rPr>
            </w:pPr>
            <w:r w:rsidRPr="00502BDC">
              <w:rPr>
                <w:lang w:val="en-US"/>
              </w:rPr>
              <w:t>(ºC)</w:t>
            </w:r>
          </w:p>
        </w:tc>
      </w:tr>
      <w:bookmarkEnd w:id="2"/>
      <w:tr w:rsidR="00D60D99" w:rsidRPr="00502BDC" w14:paraId="062600E3" w14:textId="77777777" w:rsidTr="004565A9">
        <w:tc>
          <w:tcPr>
            <w:tcW w:w="1843" w:type="dxa"/>
            <w:shd w:val="clear" w:color="auto" w:fill="FFFFFF"/>
          </w:tcPr>
          <w:p w14:paraId="141E5A92" w14:textId="2C7F0B71" w:rsidR="00D60D99" w:rsidRPr="00502BDC" w:rsidRDefault="00D60D99" w:rsidP="00AC2539">
            <w:pPr>
              <w:pStyle w:val="CETBodytext"/>
              <w:jc w:val="center"/>
              <w:rPr>
                <w:lang w:val="en-US"/>
              </w:rPr>
            </w:pPr>
            <w:r w:rsidRPr="00502BDC">
              <w:rPr>
                <w:lang w:val="en-US"/>
              </w:rPr>
              <w:t>30.1x106</w:t>
            </w:r>
          </w:p>
        </w:tc>
        <w:tc>
          <w:tcPr>
            <w:tcW w:w="1418" w:type="dxa"/>
            <w:shd w:val="clear" w:color="auto" w:fill="FFFFFF"/>
          </w:tcPr>
          <w:p w14:paraId="6B853CEC" w14:textId="6AF8E022" w:rsidR="00D60D99" w:rsidRPr="00502BDC" w:rsidRDefault="00D60D99" w:rsidP="00AC2539">
            <w:pPr>
              <w:pStyle w:val="CETBodytext"/>
              <w:jc w:val="center"/>
              <w:rPr>
                <w:lang w:val="en-US"/>
              </w:rPr>
            </w:pPr>
            <w:r w:rsidRPr="00502BDC">
              <w:rPr>
                <w:lang w:val="en-US"/>
              </w:rPr>
              <w:t>8.8</w:t>
            </w:r>
          </w:p>
        </w:tc>
        <w:tc>
          <w:tcPr>
            <w:tcW w:w="1417" w:type="dxa"/>
            <w:shd w:val="clear" w:color="auto" w:fill="FFFFFF"/>
          </w:tcPr>
          <w:p w14:paraId="5B87CD17" w14:textId="0D121FF3" w:rsidR="00D60D99" w:rsidRPr="00502BDC" w:rsidRDefault="00D60D99" w:rsidP="00AC2539">
            <w:pPr>
              <w:pStyle w:val="CETBodytext"/>
              <w:jc w:val="center"/>
              <w:rPr>
                <w:lang w:val="en-US"/>
              </w:rPr>
            </w:pPr>
            <w:r w:rsidRPr="00502BDC">
              <w:rPr>
                <w:lang w:val="en-US"/>
              </w:rPr>
              <w:t>5</w:t>
            </w:r>
          </w:p>
        </w:tc>
        <w:tc>
          <w:tcPr>
            <w:tcW w:w="1417" w:type="dxa"/>
            <w:shd w:val="clear" w:color="auto" w:fill="FFFFFF"/>
          </w:tcPr>
          <w:p w14:paraId="717F182D" w14:textId="7C5171CD" w:rsidR="00D60D99" w:rsidRPr="00502BDC" w:rsidRDefault="00D60D99" w:rsidP="00AC2539">
            <w:pPr>
              <w:pStyle w:val="CETBodytext"/>
              <w:jc w:val="center"/>
              <w:rPr>
                <w:lang w:val="en-US"/>
              </w:rPr>
            </w:pPr>
            <w:r w:rsidRPr="00502BDC">
              <w:rPr>
                <w:lang w:val="en-US"/>
              </w:rPr>
              <w:t>19.5</w:t>
            </w:r>
          </w:p>
        </w:tc>
      </w:tr>
    </w:tbl>
    <w:p w14:paraId="4E4C4E59" w14:textId="77777777" w:rsidR="008C2ED8" w:rsidRPr="00502BDC" w:rsidRDefault="008C2ED8" w:rsidP="008C2ED8">
      <w:pPr>
        <w:pStyle w:val="CETBodytext"/>
        <w:ind w:left="284"/>
        <w:rPr>
          <w:sz w:val="20"/>
          <w:lang w:val="en-US"/>
        </w:rPr>
      </w:pPr>
    </w:p>
    <w:p w14:paraId="5AAE7B34" w14:textId="5A654B24" w:rsidR="008C2ED8" w:rsidRPr="00502BDC" w:rsidRDefault="00FF676D" w:rsidP="00E2693C">
      <w:pPr>
        <w:pStyle w:val="CETBodytext"/>
        <w:spacing w:line="360" w:lineRule="auto"/>
        <w:ind w:left="284" w:hanging="284"/>
        <w:rPr>
          <w:b/>
          <w:bCs/>
          <w:sz w:val="20"/>
          <w:lang w:val="en-US"/>
        </w:rPr>
      </w:pPr>
      <w:r w:rsidRPr="00502BDC">
        <w:rPr>
          <w:b/>
          <w:bCs/>
          <w:sz w:val="20"/>
          <w:lang w:val="en-US"/>
        </w:rPr>
        <w:t>3.2 Initial Water Characterization</w:t>
      </w:r>
    </w:p>
    <w:p w14:paraId="64168762" w14:textId="7DC4B2C5" w:rsidR="00E2693C" w:rsidRPr="00502BDC" w:rsidRDefault="00E2693C" w:rsidP="00E2693C">
      <w:pPr>
        <w:pStyle w:val="CETBodytext"/>
        <w:rPr>
          <w:szCs w:val="18"/>
          <w:lang w:val="en-US"/>
        </w:rPr>
      </w:pPr>
      <w:r w:rsidRPr="00502BDC">
        <w:rPr>
          <w:szCs w:val="18"/>
          <w:lang w:val="en-US"/>
        </w:rPr>
        <w:t>Table 2 presents the results of the initial water analysis, showing the initial concentrations of nitrates and phosphates, as well as the pH and temperature values.</w:t>
      </w:r>
    </w:p>
    <w:p w14:paraId="59A4ED78" w14:textId="77777777" w:rsidR="00E2693C" w:rsidRPr="00502BDC" w:rsidRDefault="00E2693C" w:rsidP="00952B7E">
      <w:pPr>
        <w:pStyle w:val="CETTabletitle"/>
        <w:spacing w:before="0" w:after="0" w:line="240" w:lineRule="auto"/>
        <w:jc w:val="both"/>
        <w:rPr>
          <w:i w:val="0"/>
          <w:szCs w:val="18"/>
          <w:lang w:val="en-US"/>
        </w:rPr>
      </w:pPr>
    </w:p>
    <w:p w14:paraId="7A4F1338" w14:textId="3316F9F6" w:rsidR="00952B7E" w:rsidRPr="00502BDC" w:rsidRDefault="00952B7E" w:rsidP="00952B7E">
      <w:pPr>
        <w:pStyle w:val="CETTabletitle"/>
        <w:spacing w:before="0" w:line="240" w:lineRule="auto"/>
        <w:rPr>
          <w:lang w:val="en-US"/>
        </w:rPr>
      </w:pPr>
      <w:r w:rsidRPr="00502BDC">
        <w:rPr>
          <w:lang w:val="en-US"/>
        </w:rPr>
        <w:t>Table 2: Wastewater characteristics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tblGrid>
      <w:tr w:rsidR="00952B7E" w:rsidRPr="00502BDC" w14:paraId="74A1F32C" w14:textId="77777777" w:rsidTr="00AB3142">
        <w:tc>
          <w:tcPr>
            <w:tcW w:w="1134" w:type="dxa"/>
            <w:tcBorders>
              <w:top w:val="single" w:sz="12" w:space="0" w:color="008000"/>
              <w:bottom w:val="single" w:sz="6" w:space="0" w:color="008000"/>
            </w:tcBorders>
            <w:shd w:val="clear" w:color="auto" w:fill="FFFFFF"/>
          </w:tcPr>
          <w:p w14:paraId="46A143AE" w14:textId="39384629" w:rsidR="00952B7E" w:rsidRPr="00502BDC" w:rsidRDefault="00E2693C" w:rsidP="00E2693C">
            <w:pPr>
              <w:pStyle w:val="CETBodytext"/>
              <w:spacing w:line="240" w:lineRule="auto"/>
              <w:jc w:val="center"/>
              <w:rPr>
                <w:lang w:val="en-US"/>
              </w:rPr>
            </w:pPr>
            <w:r w:rsidRPr="00502BDC">
              <w:rPr>
                <w:lang w:val="en-US"/>
              </w:rPr>
              <w:t>Nitrate concentration (mg/L)</w:t>
            </w:r>
          </w:p>
        </w:tc>
        <w:tc>
          <w:tcPr>
            <w:tcW w:w="1134" w:type="dxa"/>
            <w:tcBorders>
              <w:top w:val="single" w:sz="12" w:space="0" w:color="008000"/>
              <w:bottom w:val="single" w:sz="6" w:space="0" w:color="008000"/>
            </w:tcBorders>
            <w:shd w:val="clear" w:color="auto" w:fill="FFFFFF"/>
          </w:tcPr>
          <w:p w14:paraId="33AE3943" w14:textId="40D0AC56" w:rsidR="00952B7E" w:rsidRPr="00502BDC" w:rsidRDefault="00E2693C" w:rsidP="00E2693C">
            <w:pPr>
              <w:pStyle w:val="CETBodytext"/>
              <w:spacing w:line="240" w:lineRule="auto"/>
              <w:jc w:val="center"/>
              <w:rPr>
                <w:lang w:val="en-US"/>
              </w:rPr>
            </w:pPr>
            <w:r w:rsidRPr="00502BDC">
              <w:rPr>
                <w:lang w:val="en-US"/>
              </w:rPr>
              <w:t>Phosphate concentration (mg/L)</w:t>
            </w:r>
          </w:p>
        </w:tc>
        <w:tc>
          <w:tcPr>
            <w:tcW w:w="1134" w:type="dxa"/>
            <w:tcBorders>
              <w:top w:val="single" w:sz="12" w:space="0" w:color="008000"/>
              <w:bottom w:val="single" w:sz="6" w:space="0" w:color="008000"/>
            </w:tcBorders>
            <w:shd w:val="clear" w:color="auto" w:fill="FFFFFF"/>
          </w:tcPr>
          <w:p w14:paraId="3DD78B05" w14:textId="15C1F0E7" w:rsidR="00952B7E" w:rsidRPr="00502BDC" w:rsidRDefault="00952B7E" w:rsidP="00E2693C">
            <w:pPr>
              <w:pStyle w:val="CETBodytext"/>
              <w:spacing w:line="240" w:lineRule="auto"/>
              <w:jc w:val="center"/>
              <w:rPr>
                <w:lang w:val="en-US"/>
              </w:rPr>
            </w:pPr>
            <w:r w:rsidRPr="00502BDC">
              <w:rPr>
                <w:lang w:val="en-US"/>
              </w:rPr>
              <w:t>pH</w:t>
            </w:r>
          </w:p>
        </w:tc>
        <w:tc>
          <w:tcPr>
            <w:tcW w:w="1134" w:type="dxa"/>
            <w:tcBorders>
              <w:top w:val="single" w:sz="12" w:space="0" w:color="008000"/>
              <w:bottom w:val="single" w:sz="6" w:space="0" w:color="008000"/>
            </w:tcBorders>
            <w:shd w:val="clear" w:color="auto" w:fill="FFFFFF"/>
          </w:tcPr>
          <w:p w14:paraId="10FD03D4" w14:textId="36B55C10" w:rsidR="00952B7E" w:rsidRPr="00502BDC" w:rsidRDefault="00952B7E" w:rsidP="00E2693C">
            <w:pPr>
              <w:pStyle w:val="CETBodytext"/>
              <w:spacing w:line="240" w:lineRule="auto"/>
              <w:ind w:right="-1"/>
              <w:jc w:val="center"/>
              <w:rPr>
                <w:rFonts w:cs="Arial"/>
                <w:szCs w:val="18"/>
                <w:lang w:val="en-US"/>
              </w:rPr>
            </w:pPr>
            <w:r w:rsidRPr="00502BDC">
              <w:rPr>
                <w:lang w:val="en-US"/>
              </w:rPr>
              <w:t>Temperature (°C)</w:t>
            </w:r>
          </w:p>
        </w:tc>
      </w:tr>
      <w:tr w:rsidR="00952B7E" w:rsidRPr="00502BDC" w14:paraId="2CCD2906" w14:textId="77777777" w:rsidTr="00AB3142">
        <w:tc>
          <w:tcPr>
            <w:tcW w:w="1134" w:type="dxa"/>
            <w:shd w:val="clear" w:color="auto" w:fill="FFFFFF"/>
          </w:tcPr>
          <w:p w14:paraId="03FADE84" w14:textId="244ABC41" w:rsidR="00952B7E" w:rsidRPr="00502BDC" w:rsidRDefault="00952B7E" w:rsidP="00E2693C">
            <w:pPr>
              <w:pStyle w:val="CETBodytext"/>
              <w:spacing w:line="360" w:lineRule="auto"/>
              <w:jc w:val="center"/>
              <w:rPr>
                <w:lang w:val="en-US"/>
              </w:rPr>
            </w:pPr>
            <w:r w:rsidRPr="00502BDC">
              <w:rPr>
                <w:lang w:val="en-US"/>
              </w:rPr>
              <w:t>23.9</w:t>
            </w:r>
          </w:p>
        </w:tc>
        <w:tc>
          <w:tcPr>
            <w:tcW w:w="1134" w:type="dxa"/>
            <w:shd w:val="clear" w:color="auto" w:fill="FFFFFF"/>
          </w:tcPr>
          <w:p w14:paraId="4A37276C" w14:textId="74B1DF2E" w:rsidR="00952B7E" w:rsidRPr="00502BDC" w:rsidRDefault="00952B7E" w:rsidP="00E2693C">
            <w:pPr>
              <w:pStyle w:val="CETBodytext"/>
              <w:spacing w:line="360" w:lineRule="auto"/>
              <w:jc w:val="center"/>
              <w:rPr>
                <w:lang w:val="en-US"/>
              </w:rPr>
            </w:pPr>
            <w:r w:rsidRPr="00502BDC">
              <w:rPr>
                <w:lang w:val="en-US"/>
              </w:rPr>
              <w:t>22.4</w:t>
            </w:r>
          </w:p>
        </w:tc>
        <w:tc>
          <w:tcPr>
            <w:tcW w:w="1134" w:type="dxa"/>
            <w:shd w:val="clear" w:color="auto" w:fill="FFFFFF"/>
          </w:tcPr>
          <w:p w14:paraId="40F04049" w14:textId="24EF8FF0" w:rsidR="00952B7E" w:rsidRPr="00502BDC" w:rsidRDefault="00952B7E" w:rsidP="00E2693C">
            <w:pPr>
              <w:pStyle w:val="CETBodytext"/>
              <w:spacing w:line="360" w:lineRule="auto"/>
              <w:jc w:val="center"/>
              <w:rPr>
                <w:lang w:val="en-US"/>
              </w:rPr>
            </w:pPr>
            <w:r w:rsidRPr="00502BDC">
              <w:rPr>
                <w:lang w:val="en-US"/>
              </w:rPr>
              <w:t>8.2</w:t>
            </w:r>
          </w:p>
        </w:tc>
        <w:tc>
          <w:tcPr>
            <w:tcW w:w="1134" w:type="dxa"/>
            <w:shd w:val="clear" w:color="auto" w:fill="FFFFFF"/>
          </w:tcPr>
          <w:p w14:paraId="5BDF197E" w14:textId="44DBD641" w:rsidR="00952B7E" w:rsidRPr="00502BDC" w:rsidRDefault="00952B7E" w:rsidP="00E2693C">
            <w:pPr>
              <w:pStyle w:val="CETBodytext"/>
              <w:spacing w:line="360" w:lineRule="auto"/>
              <w:ind w:right="-1"/>
              <w:jc w:val="center"/>
              <w:rPr>
                <w:rFonts w:cs="Arial"/>
                <w:szCs w:val="18"/>
                <w:lang w:val="en-US"/>
              </w:rPr>
            </w:pPr>
            <w:r w:rsidRPr="00502BDC">
              <w:rPr>
                <w:rFonts w:cs="Arial"/>
                <w:szCs w:val="18"/>
                <w:lang w:val="en-US"/>
              </w:rPr>
              <w:t>twenty</w:t>
            </w:r>
          </w:p>
        </w:tc>
      </w:tr>
    </w:tbl>
    <w:p w14:paraId="4CD92711" w14:textId="77777777" w:rsidR="008C2ED8" w:rsidRDefault="008C2ED8" w:rsidP="00E2693C">
      <w:pPr>
        <w:pStyle w:val="CETBodytext"/>
        <w:spacing w:line="360" w:lineRule="auto"/>
        <w:ind w:left="284" w:hanging="284"/>
        <w:rPr>
          <w:szCs w:val="18"/>
          <w:lang w:val="en-US"/>
        </w:rPr>
      </w:pPr>
    </w:p>
    <w:p w14:paraId="4AD898A8" w14:textId="77777777" w:rsidR="00F23A4A" w:rsidRPr="00502BDC" w:rsidRDefault="00F23A4A" w:rsidP="00E2693C">
      <w:pPr>
        <w:pStyle w:val="CETBodytext"/>
        <w:spacing w:line="360" w:lineRule="auto"/>
        <w:ind w:left="284" w:hanging="284"/>
        <w:rPr>
          <w:szCs w:val="18"/>
          <w:lang w:val="en-US"/>
        </w:rPr>
      </w:pPr>
    </w:p>
    <w:p w14:paraId="29F3C672" w14:textId="1610E69F" w:rsidR="000E2DA3" w:rsidRPr="00502BDC" w:rsidRDefault="00952B7E" w:rsidP="000E2DA3">
      <w:pPr>
        <w:pStyle w:val="CETBodytext"/>
        <w:spacing w:line="360" w:lineRule="auto"/>
        <w:ind w:left="284" w:hanging="284"/>
        <w:rPr>
          <w:b/>
          <w:bCs/>
          <w:sz w:val="20"/>
          <w:lang w:val="en-US"/>
        </w:rPr>
      </w:pPr>
      <w:r w:rsidRPr="00502BDC">
        <w:rPr>
          <w:b/>
          <w:bCs/>
          <w:sz w:val="20"/>
          <w:lang w:val="en-US"/>
        </w:rPr>
        <w:lastRenderedPageBreak/>
        <w:t>3.3 Final results</w:t>
      </w:r>
    </w:p>
    <w:p w14:paraId="2E723155" w14:textId="4DD59F1B" w:rsidR="000E2DA3" w:rsidRPr="00502BDC" w:rsidRDefault="000E2DA3" w:rsidP="000E2DA3">
      <w:pPr>
        <w:pStyle w:val="CETBodytext"/>
        <w:rPr>
          <w:szCs w:val="18"/>
          <w:lang w:val="en-US"/>
        </w:rPr>
      </w:pPr>
      <w:r w:rsidRPr="00502BDC">
        <w:rPr>
          <w:szCs w:val="18"/>
          <w:lang w:val="en-US"/>
        </w:rPr>
        <w:t>Table 3 shows the concentrations of nitrates, phosphates</w:t>
      </w:r>
      <w:r w:rsidR="00D360A5" w:rsidRPr="00502BDC">
        <w:rPr>
          <w:szCs w:val="18"/>
          <w:lang w:val="en-US"/>
        </w:rPr>
        <w:t>,</w:t>
      </w:r>
      <w:r w:rsidRPr="00502BDC">
        <w:rPr>
          <w:szCs w:val="18"/>
          <w:lang w:val="en-US"/>
        </w:rPr>
        <w:t xml:space="preserve"> and pH after applying doses of Chlorella peruviana immobilized in calcium alginate to wastewater, using three doses and the average of the three treatments.</w:t>
      </w:r>
      <w:bookmarkStart w:id="3" w:name="_Hlk155685780"/>
    </w:p>
    <w:p w14:paraId="14D2586A" w14:textId="77777777" w:rsidR="000E2DA3" w:rsidRPr="00502BDC" w:rsidRDefault="000E2DA3" w:rsidP="000E2DA3">
      <w:pPr>
        <w:pStyle w:val="CETBodytext"/>
        <w:rPr>
          <w:szCs w:val="18"/>
          <w:lang w:val="en-US"/>
        </w:rPr>
      </w:pPr>
    </w:p>
    <w:p w14:paraId="49133233" w14:textId="68C23EB0" w:rsidR="00952B7E" w:rsidRPr="00502BDC" w:rsidRDefault="003B0B26" w:rsidP="000E2DA3">
      <w:pPr>
        <w:pStyle w:val="CETBodytext"/>
        <w:rPr>
          <w:lang w:val="en-US"/>
        </w:rPr>
      </w:pPr>
      <w:r w:rsidRPr="00502BDC">
        <w:rPr>
          <w:i/>
          <w:iCs/>
          <w:lang w:val="en-US"/>
        </w:rPr>
        <w:t>Table 3: Nitrate concentration, phosphate concentration</w:t>
      </w:r>
      <w:r w:rsidR="00D360A5" w:rsidRPr="00502BDC">
        <w:rPr>
          <w:i/>
          <w:iCs/>
          <w:lang w:val="en-US"/>
        </w:rPr>
        <w:t>,</w:t>
      </w:r>
      <w:r w:rsidRPr="00502BDC">
        <w:rPr>
          <w:i/>
          <w:iCs/>
          <w:lang w:val="en-US"/>
        </w:rPr>
        <w:t xml:space="preserve"> and pH after applying the doses</w:t>
      </w:r>
      <w:r w:rsidRPr="00502BDC">
        <w:rPr>
          <w:lang w:val="en-US"/>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1417"/>
        <w:gridCol w:w="1276"/>
        <w:gridCol w:w="1276"/>
        <w:gridCol w:w="1276"/>
        <w:gridCol w:w="1276"/>
      </w:tblGrid>
      <w:tr w:rsidR="002C53EB" w:rsidRPr="00502BDC" w14:paraId="7858B3F2" w14:textId="3CDAB53E" w:rsidTr="00711637">
        <w:trPr>
          <w:trHeight w:val="724"/>
        </w:trPr>
        <w:tc>
          <w:tcPr>
            <w:tcW w:w="2127" w:type="dxa"/>
            <w:tcBorders>
              <w:top w:val="single" w:sz="12" w:space="0" w:color="008000"/>
            </w:tcBorders>
            <w:shd w:val="clear" w:color="auto" w:fill="FFFFFF"/>
          </w:tcPr>
          <w:p w14:paraId="17477996" w14:textId="77777777" w:rsidR="002C53EB" w:rsidRPr="00502BDC" w:rsidRDefault="002C53EB" w:rsidP="003B0B26">
            <w:pPr>
              <w:pStyle w:val="CETBodytext"/>
              <w:spacing w:line="240" w:lineRule="auto"/>
              <w:jc w:val="center"/>
              <w:rPr>
                <w:lang w:val="en-US"/>
              </w:rPr>
            </w:pPr>
          </w:p>
          <w:p w14:paraId="619E51E4" w14:textId="6496882D" w:rsidR="00E2693C" w:rsidRPr="00502BDC" w:rsidRDefault="003B0B26" w:rsidP="003B0B26">
            <w:pPr>
              <w:pStyle w:val="CETBodytext"/>
              <w:spacing w:line="240" w:lineRule="auto"/>
              <w:jc w:val="center"/>
              <w:rPr>
                <w:lang w:val="en-US"/>
              </w:rPr>
            </w:pPr>
            <w:r w:rsidRPr="00502BDC">
              <w:rPr>
                <w:lang w:val="en-US"/>
              </w:rPr>
              <w:t>Dose</w:t>
            </w:r>
          </w:p>
          <w:p w14:paraId="18C7ED00" w14:textId="5830C264" w:rsidR="002C53EB" w:rsidRPr="00502BDC" w:rsidRDefault="00E2693C" w:rsidP="003B0B26">
            <w:pPr>
              <w:pStyle w:val="CETBodytext"/>
              <w:spacing w:line="240" w:lineRule="auto"/>
              <w:jc w:val="center"/>
              <w:rPr>
                <w:lang w:val="en-US"/>
              </w:rPr>
            </w:pPr>
            <w:r w:rsidRPr="00502BDC">
              <w:rPr>
                <w:lang w:val="en-US"/>
              </w:rPr>
              <w:t>(g/L)</w:t>
            </w:r>
          </w:p>
        </w:tc>
        <w:tc>
          <w:tcPr>
            <w:tcW w:w="1417" w:type="dxa"/>
            <w:tcBorders>
              <w:top w:val="single" w:sz="12" w:space="0" w:color="008000"/>
            </w:tcBorders>
            <w:shd w:val="clear" w:color="auto" w:fill="FFFFFF"/>
          </w:tcPr>
          <w:p w14:paraId="48DBD3D2" w14:textId="151AC80D" w:rsidR="002C53EB" w:rsidRPr="00502BDC" w:rsidRDefault="003B0B26" w:rsidP="003B0B26">
            <w:pPr>
              <w:pStyle w:val="CETBodytext"/>
              <w:spacing w:line="240" w:lineRule="auto"/>
              <w:ind w:right="-1"/>
              <w:jc w:val="center"/>
              <w:rPr>
                <w:lang w:val="en-US"/>
              </w:rPr>
            </w:pPr>
            <w:r w:rsidRPr="00502BDC">
              <w:rPr>
                <w:lang w:val="en-US"/>
              </w:rPr>
              <w:t>Nitrate concentration (mg/L)</w:t>
            </w:r>
          </w:p>
        </w:tc>
        <w:tc>
          <w:tcPr>
            <w:tcW w:w="1276" w:type="dxa"/>
            <w:tcBorders>
              <w:top w:val="single" w:sz="12" w:space="0" w:color="008000"/>
            </w:tcBorders>
            <w:shd w:val="clear" w:color="auto" w:fill="FFFFFF"/>
          </w:tcPr>
          <w:p w14:paraId="374A8077" w14:textId="77777777" w:rsidR="00417ED8" w:rsidRPr="00502BDC" w:rsidRDefault="00417ED8" w:rsidP="003B0B26">
            <w:pPr>
              <w:pStyle w:val="CETBodytext"/>
              <w:spacing w:line="240" w:lineRule="auto"/>
              <w:ind w:right="-1"/>
              <w:jc w:val="center"/>
              <w:rPr>
                <w:rFonts w:cs="Arial"/>
                <w:szCs w:val="18"/>
                <w:lang w:val="en-US"/>
              </w:rPr>
            </w:pPr>
          </w:p>
          <w:p w14:paraId="14B3B4B4" w14:textId="77777777" w:rsidR="003B0B26" w:rsidRPr="00502BDC" w:rsidRDefault="003B0B26" w:rsidP="003B0B26">
            <w:pPr>
              <w:pStyle w:val="CETBodytext"/>
              <w:spacing w:line="240" w:lineRule="auto"/>
              <w:ind w:right="-1"/>
              <w:jc w:val="center"/>
              <w:rPr>
                <w:rFonts w:cs="Arial"/>
                <w:szCs w:val="18"/>
                <w:lang w:val="en-US"/>
              </w:rPr>
            </w:pPr>
            <w:r w:rsidRPr="00502BDC">
              <w:rPr>
                <w:rFonts w:cs="Arial"/>
                <w:szCs w:val="18"/>
                <w:lang w:val="en-US"/>
              </w:rPr>
              <w:t>Elimination</w:t>
            </w:r>
          </w:p>
          <w:p w14:paraId="36F9AF1D" w14:textId="1BAE9C6D" w:rsidR="002C53EB" w:rsidRPr="00502BDC" w:rsidRDefault="002C53EB" w:rsidP="003B0B26">
            <w:pPr>
              <w:pStyle w:val="CETBodytext"/>
              <w:spacing w:line="240" w:lineRule="auto"/>
              <w:ind w:right="-1"/>
              <w:jc w:val="center"/>
              <w:rPr>
                <w:rFonts w:cs="Arial"/>
                <w:szCs w:val="18"/>
                <w:lang w:val="en-US"/>
              </w:rPr>
            </w:pPr>
            <w:r w:rsidRPr="00502BDC">
              <w:rPr>
                <w:rFonts w:cs="Arial"/>
                <w:szCs w:val="18"/>
                <w:lang w:val="en-US"/>
              </w:rPr>
              <w:t>(%)</w:t>
            </w:r>
          </w:p>
        </w:tc>
        <w:tc>
          <w:tcPr>
            <w:tcW w:w="1276" w:type="dxa"/>
            <w:tcBorders>
              <w:top w:val="single" w:sz="12" w:space="0" w:color="008000"/>
            </w:tcBorders>
            <w:shd w:val="clear" w:color="auto" w:fill="FFFFFF"/>
          </w:tcPr>
          <w:p w14:paraId="3B0230C9" w14:textId="0645369D" w:rsidR="002C53EB" w:rsidRPr="00502BDC" w:rsidRDefault="003B0B26" w:rsidP="003B0B26">
            <w:pPr>
              <w:pStyle w:val="CETBodytext"/>
              <w:spacing w:line="240" w:lineRule="auto"/>
              <w:ind w:right="-1"/>
              <w:jc w:val="center"/>
              <w:rPr>
                <w:rFonts w:cs="Arial"/>
                <w:szCs w:val="18"/>
                <w:lang w:val="en-US"/>
              </w:rPr>
            </w:pPr>
            <w:r w:rsidRPr="00502BDC">
              <w:rPr>
                <w:rFonts w:cs="Arial"/>
                <w:szCs w:val="18"/>
                <w:lang w:val="en-US"/>
              </w:rPr>
              <w:t>Phosphate concentration</w:t>
            </w:r>
          </w:p>
          <w:p w14:paraId="3459E952" w14:textId="5E166CE7" w:rsidR="002C53EB" w:rsidRPr="00502BDC" w:rsidRDefault="002C53EB" w:rsidP="003B0B26">
            <w:pPr>
              <w:pStyle w:val="CETBodytext"/>
              <w:spacing w:line="240" w:lineRule="auto"/>
              <w:ind w:right="-1"/>
              <w:jc w:val="center"/>
              <w:rPr>
                <w:rFonts w:cs="Arial"/>
                <w:szCs w:val="18"/>
                <w:lang w:val="en-US"/>
              </w:rPr>
            </w:pPr>
            <w:r w:rsidRPr="00502BDC">
              <w:rPr>
                <w:rFonts w:cs="Arial"/>
                <w:szCs w:val="18"/>
                <w:lang w:val="en-US"/>
              </w:rPr>
              <w:t>(mg/L)</w:t>
            </w:r>
          </w:p>
        </w:tc>
        <w:tc>
          <w:tcPr>
            <w:tcW w:w="1276" w:type="dxa"/>
            <w:tcBorders>
              <w:top w:val="single" w:sz="12" w:space="0" w:color="008000"/>
            </w:tcBorders>
            <w:shd w:val="clear" w:color="auto" w:fill="FFFFFF"/>
          </w:tcPr>
          <w:p w14:paraId="6AFA308E" w14:textId="77777777" w:rsidR="00417ED8" w:rsidRPr="00502BDC" w:rsidRDefault="00417ED8" w:rsidP="003B0B26">
            <w:pPr>
              <w:pStyle w:val="CETBodytext"/>
              <w:spacing w:line="240" w:lineRule="auto"/>
              <w:ind w:right="-1"/>
              <w:jc w:val="center"/>
              <w:rPr>
                <w:rFonts w:cs="Arial"/>
                <w:szCs w:val="18"/>
                <w:lang w:val="en-US"/>
              </w:rPr>
            </w:pPr>
          </w:p>
          <w:p w14:paraId="1469AE57" w14:textId="77777777" w:rsidR="003B0B26" w:rsidRPr="00502BDC" w:rsidRDefault="003B0B26" w:rsidP="003B0B26">
            <w:pPr>
              <w:pStyle w:val="CETBodytext"/>
              <w:spacing w:line="240" w:lineRule="auto"/>
              <w:ind w:right="-1"/>
              <w:jc w:val="center"/>
              <w:rPr>
                <w:rFonts w:cs="Arial"/>
                <w:szCs w:val="18"/>
                <w:lang w:val="en-US"/>
              </w:rPr>
            </w:pPr>
            <w:r w:rsidRPr="00502BDC">
              <w:rPr>
                <w:rFonts w:cs="Arial"/>
                <w:szCs w:val="18"/>
                <w:lang w:val="en-US"/>
              </w:rPr>
              <w:t>Elimination</w:t>
            </w:r>
          </w:p>
          <w:p w14:paraId="6ACDAF58" w14:textId="4D280C38" w:rsidR="002C53EB" w:rsidRPr="00502BDC" w:rsidRDefault="002C53EB" w:rsidP="003B0B26">
            <w:pPr>
              <w:pStyle w:val="CETBodytext"/>
              <w:spacing w:line="240" w:lineRule="auto"/>
              <w:ind w:right="-1"/>
              <w:jc w:val="center"/>
              <w:rPr>
                <w:rFonts w:cs="Arial"/>
                <w:szCs w:val="18"/>
                <w:lang w:val="en-US"/>
              </w:rPr>
            </w:pPr>
            <w:r w:rsidRPr="00502BDC">
              <w:rPr>
                <w:rFonts w:cs="Arial"/>
                <w:szCs w:val="18"/>
                <w:lang w:val="en-US"/>
              </w:rPr>
              <w:t>(%)</w:t>
            </w:r>
          </w:p>
        </w:tc>
        <w:tc>
          <w:tcPr>
            <w:tcW w:w="1276" w:type="dxa"/>
            <w:tcBorders>
              <w:top w:val="single" w:sz="12" w:space="0" w:color="008000"/>
            </w:tcBorders>
            <w:shd w:val="clear" w:color="auto" w:fill="FFFFFF"/>
          </w:tcPr>
          <w:p w14:paraId="5A090985" w14:textId="629E37C0" w:rsidR="002C53EB" w:rsidRPr="00502BDC" w:rsidRDefault="002C53EB" w:rsidP="003B0B26">
            <w:pPr>
              <w:pStyle w:val="CETBodytext"/>
              <w:spacing w:line="240" w:lineRule="auto"/>
              <w:ind w:right="-1"/>
              <w:jc w:val="center"/>
              <w:rPr>
                <w:rFonts w:cs="Arial"/>
                <w:szCs w:val="18"/>
                <w:lang w:val="en-US"/>
              </w:rPr>
            </w:pPr>
          </w:p>
          <w:p w14:paraId="2D67D721" w14:textId="06AA9B00" w:rsidR="002C53EB" w:rsidRPr="00502BDC" w:rsidRDefault="002C53EB" w:rsidP="003B0B26">
            <w:pPr>
              <w:pStyle w:val="CETBodytext"/>
              <w:spacing w:line="240" w:lineRule="auto"/>
              <w:ind w:right="-1"/>
              <w:jc w:val="center"/>
              <w:rPr>
                <w:rFonts w:cs="Arial"/>
                <w:szCs w:val="18"/>
                <w:lang w:val="en-US"/>
              </w:rPr>
            </w:pPr>
            <w:r w:rsidRPr="00502BDC">
              <w:rPr>
                <w:rFonts w:cs="Arial"/>
                <w:szCs w:val="18"/>
                <w:lang w:val="en-US"/>
              </w:rPr>
              <w:t>pH</w:t>
            </w:r>
          </w:p>
        </w:tc>
      </w:tr>
      <w:tr w:rsidR="002C53EB" w:rsidRPr="00502BDC" w14:paraId="3A9EF817" w14:textId="03B4CB08" w:rsidTr="00711637">
        <w:tc>
          <w:tcPr>
            <w:tcW w:w="2127" w:type="dxa"/>
            <w:shd w:val="clear" w:color="auto" w:fill="FFFFFF"/>
          </w:tcPr>
          <w:p w14:paraId="482921A0" w14:textId="17CC0E93" w:rsidR="002C53EB" w:rsidRPr="00502BDC" w:rsidRDefault="002C53EB" w:rsidP="00DF6A69">
            <w:pPr>
              <w:pStyle w:val="CETBodytext"/>
              <w:jc w:val="center"/>
              <w:rPr>
                <w:lang w:val="en-US"/>
              </w:rPr>
            </w:pPr>
            <w:r w:rsidRPr="00502BDC">
              <w:rPr>
                <w:lang w:val="en-US"/>
              </w:rPr>
              <w:t>Make = Initial Sample</w:t>
            </w:r>
          </w:p>
        </w:tc>
        <w:tc>
          <w:tcPr>
            <w:tcW w:w="1417" w:type="dxa"/>
            <w:shd w:val="clear" w:color="auto" w:fill="FFFFFF"/>
          </w:tcPr>
          <w:p w14:paraId="68A7CD96" w14:textId="71493F30" w:rsidR="002C53EB" w:rsidRPr="00502BDC" w:rsidRDefault="002C53EB" w:rsidP="00DF6A69">
            <w:pPr>
              <w:pStyle w:val="CETBodytext"/>
              <w:ind w:right="-1"/>
              <w:jc w:val="center"/>
              <w:rPr>
                <w:rFonts w:cs="Arial"/>
                <w:szCs w:val="18"/>
                <w:lang w:val="en-US"/>
              </w:rPr>
            </w:pPr>
            <w:r w:rsidRPr="00502BDC">
              <w:rPr>
                <w:rFonts w:cs="Arial"/>
                <w:szCs w:val="18"/>
                <w:lang w:val="en-US"/>
              </w:rPr>
              <w:t>23.90</w:t>
            </w:r>
          </w:p>
        </w:tc>
        <w:tc>
          <w:tcPr>
            <w:tcW w:w="1276" w:type="dxa"/>
            <w:shd w:val="clear" w:color="auto" w:fill="FFFFFF"/>
          </w:tcPr>
          <w:p w14:paraId="0E8B0AFB" w14:textId="77777777" w:rsidR="002C53EB" w:rsidRPr="00502BDC" w:rsidRDefault="002C53EB" w:rsidP="00DF6A69">
            <w:pPr>
              <w:pStyle w:val="CETBodytext"/>
              <w:ind w:right="-1"/>
              <w:jc w:val="center"/>
              <w:rPr>
                <w:rFonts w:cs="Arial"/>
                <w:szCs w:val="18"/>
                <w:lang w:val="en-US"/>
              </w:rPr>
            </w:pPr>
          </w:p>
        </w:tc>
        <w:tc>
          <w:tcPr>
            <w:tcW w:w="1276" w:type="dxa"/>
            <w:shd w:val="clear" w:color="auto" w:fill="FFFFFF"/>
          </w:tcPr>
          <w:p w14:paraId="0886E8D5" w14:textId="23BFC23B" w:rsidR="002C53EB" w:rsidRPr="00502BDC" w:rsidRDefault="002C53EB" w:rsidP="00DF6A69">
            <w:pPr>
              <w:pStyle w:val="CETBodytext"/>
              <w:ind w:right="-1"/>
              <w:jc w:val="center"/>
              <w:rPr>
                <w:rFonts w:cs="Arial"/>
                <w:szCs w:val="18"/>
                <w:lang w:val="en-US"/>
              </w:rPr>
            </w:pPr>
            <w:r w:rsidRPr="00502BDC">
              <w:rPr>
                <w:rFonts w:cs="Arial"/>
                <w:szCs w:val="18"/>
                <w:lang w:val="en-US"/>
              </w:rPr>
              <w:t>22.4</w:t>
            </w:r>
          </w:p>
        </w:tc>
        <w:tc>
          <w:tcPr>
            <w:tcW w:w="1276" w:type="dxa"/>
            <w:shd w:val="clear" w:color="auto" w:fill="FFFFFF"/>
          </w:tcPr>
          <w:p w14:paraId="183DFC39" w14:textId="77777777" w:rsidR="002C53EB" w:rsidRPr="00502BDC" w:rsidRDefault="002C53EB" w:rsidP="00DF6A69">
            <w:pPr>
              <w:pStyle w:val="CETBodytext"/>
              <w:ind w:right="-1"/>
              <w:jc w:val="center"/>
              <w:rPr>
                <w:rFonts w:cs="Arial"/>
                <w:szCs w:val="18"/>
                <w:lang w:val="en-US"/>
              </w:rPr>
            </w:pPr>
          </w:p>
        </w:tc>
        <w:tc>
          <w:tcPr>
            <w:tcW w:w="1276" w:type="dxa"/>
            <w:shd w:val="clear" w:color="auto" w:fill="FFFFFF"/>
          </w:tcPr>
          <w:p w14:paraId="49DDB4AB" w14:textId="6FCCA0B4" w:rsidR="002C53EB" w:rsidRPr="00502BDC" w:rsidRDefault="002C53EB" w:rsidP="00DF6A69">
            <w:pPr>
              <w:pStyle w:val="CETBodytext"/>
              <w:ind w:right="-1"/>
              <w:jc w:val="center"/>
              <w:rPr>
                <w:rFonts w:cs="Arial"/>
                <w:szCs w:val="18"/>
                <w:lang w:val="en-US"/>
              </w:rPr>
            </w:pPr>
            <w:r w:rsidRPr="00502BDC">
              <w:rPr>
                <w:rFonts w:cs="Arial"/>
                <w:szCs w:val="18"/>
                <w:lang w:val="en-US"/>
              </w:rPr>
              <w:t>8.20</w:t>
            </w:r>
          </w:p>
        </w:tc>
      </w:tr>
      <w:tr w:rsidR="002C53EB" w:rsidRPr="00502BDC" w14:paraId="0CA1775D" w14:textId="5968D7E4" w:rsidTr="00711637">
        <w:tc>
          <w:tcPr>
            <w:tcW w:w="2127" w:type="dxa"/>
            <w:shd w:val="clear" w:color="auto" w:fill="FFFFFF"/>
          </w:tcPr>
          <w:p w14:paraId="7FA0537B" w14:textId="2430C48E" w:rsidR="002C53EB" w:rsidRPr="00502BDC" w:rsidRDefault="002C53EB" w:rsidP="00DF6A69">
            <w:pPr>
              <w:pStyle w:val="CETBodytext"/>
              <w:ind w:right="-1"/>
              <w:jc w:val="center"/>
              <w:rPr>
                <w:rFonts w:cs="Arial"/>
                <w:szCs w:val="18"/>
                <w:lang w:val="en-US"/>
              </w:rPr>
            </w:pPr>
            <w:r w:rsidRPr="00502BDC">
              <w:rPr>
                <w:rFonts w:cs="Arial"/>
                <w:szCs w:val="18"/>
                <w:lang w:val="en-US"/>
              </w:rPr>
              <w:t>D1 = 50</w:t>
            </w:r>
          </w:p>
        </w:tc>
        <w:tc>
          <w:tcPr>
            <w:tcW w:w="1417" w:type="dxa"/>
            <w:shd w:val="clear" w:color="auto" w:fill="FFFFFF"/>
          </w:tcPr>
          <w:p w14:paraId="3055433B" w14:textId="2209FDF0" w:rsidR="002C53EB" w:rsidRPr="00502BDC" w:rsidRDefault="002C53EB" w:rsidP="00DF6A69">
            <w:pPr>
              <w:pStyle w:val="CETBodytext"/>
              <w:ind w:right="-1"/>
              <w:jc w:val="center"/>
              <w:rPr>
                <w:rFonts w:cs="Arial"/>
                <w:szCs w:val="18"/>
                <w:lang w:val="en-US"/>
              </w:rPr>
            </w:pPr>
            <w:r w:rsidRPr="00502BDC">
              <w:rPr>
                <w:rFonts w:cs="Arial"/>
                <w:szCs w:val="18"/>
                <w:lang w:val="en-US"/>
              </w:rPr>
              <w:t>18.23</w:t>
            </w:r>
          </w:p>
        </w:tc>
        <w:tc>
          <w:tcPr>
            <w:tcW w:w="1276" w:type="dxa"/>
            <w:shd w:val="clear" w:color="auto" w:fill="FFFFFF"/>
          </w:tcPr>
          <w:p w14:paraId="7EB9EDF5" w14:textId="34FB732F" w:rsidR="002C53EB" w:rsidRPr="00502BDC" w:rsidRDefault="002C53EB" w:rsidP="00DF6A69">
            <w:pPr>
              <w:pStyle w:val="CETBodytext"/>
              <w:ind w:right="-1"/>
              <w:jc w:val="center"/>
              <w:rPr>
                <w:rFonts w:cs="Arial"/>
                <w:szCs w:val="18"/>
                <w:lang w:val="en-US"/>
              </w:rPr>
            </w:pPr>
            <w:r w:rsidRPr="00502BDC">
              <w:rPr>
                <w:rFonts w:cs="Arial"/>
                <w:szCs w:val="18"/>
                <w:lang w:val="en-US"/>
              </w:rPr>
              <w:t>23.72</w:t>
            </w:r>
          </w:p>
        </w:tc>
        <w:tc>
          <w:tcPr>
            <w:tcW w:w="1276" w:type="dxa"/>
            <w:shd w:val="clear" w:color="auto" w:fill="FFFFFF"/>
          </w:tcPr>
          <w:p w14:paraId="5201081F" w14:textId="073105D8" w:rsidR="002C53EB" w:rsidRPr="00502BDC" w:rsidRDefault="002C53EB" w:rsidP="00DF6A69">
            <w:pPr>
              <w:pStyle w:val="CETBodytext"/>
              <w:ind w:right="-1"/>
              <w:jc w:val="center"/>
              <w:rPr>
                <w:rFonts w:cs="Arial"/>
                <w:szCs w:val="18"/>
                <w:lang w:val="en-US"/>
              </w:rPr>
            </w:pPr>
            <w:r w:rsidRPr="00502BDC">
              <w:rPr>
                <w:rFonts w:cs="Arial"/>
                <w:szCs w:val="18"/>
                <w:lang w:val="en-US"/>
              </w:rPr>
              <w:t>13.54</w:t>
            </w:r>
          </w:p>
        </w:tc>
        <w:tc>
          <w:tcPr>
            <w:tcW w:w="1276" w:type="dxa"/>
            <w:shd w:val="clear" w:color="auto" w:fill="FFFFFF"/>
          </w:tcPr>
          <w:p w14:paraId="6C1497F2" w14:textId="1D4C5731" w:rsidR="002C53EB" w:rsidRPr="00502BDC" w:rsidRDefault="00417ED8" w:rsidP="00DF6A69">
            <w:pPr>
              <w:pStyle w:val="CETBodytext"/>
              <w:ind w:right="-1"/>
              <w:jc w:val="center"/>
              <w:rPr>
                <w:rFonts w:cs="Arial"/>
                <w:szCs w:val="18"/>
                <w:lang w:val="en-US"/>
              </w:rPr>
            </w:pPr>
            <w:r w:rsidRPr="00502BDC">
              <w:rPr>
                <w:rFonts w:cs="Arial"/>
                <w:szCs w:val="18"/>
                <w:lang w:val="en-US"/>
              </w:rPr>
              <w:t>39.55</w:t>
            </w:r>
          </w:p>
        </w:tc>
        <w:tc>
          <w:tcPr>
            <w:tcW w:w="1276" w:type="dxa"/>
            <w:shd w:val="clear" w:color="auto" w:fill="FFFFFF"/>
          </w:tcPr>
          <w:p w14:paraId="262F2284" w14:textId="1D01E0AA" w:rsidR="002C53EB" w:rsidRPr="00502BDC" w:rsidRDefault="002C53EB" w:rsidP="00DF6A69">
            <w:pPr>
              <w:pStyle w:val="CETBodytext"/>
              <w:ind w:right="-1"/>
              <w:jc w:val="center"/>
              <w:rPr>
                <w:rFonts w:cs="Arial"/>
                <w:szCs w:val="18"/>
                <w:lang w:val="en-US"/>
              </w:rPr>
            </w:pPr>
            <w:r w:rsidRPr="00502BDC">
              <w:rPr>
                <w:rFonts w:cs="Arial"/>
                <w:szCs w:val="18"/>
                <w:lang w:val="en-US"/>
              </w:rPr>
              <w:t>8.33</w:t>
            </w:r>
          </w:p>
        </w:tc>
      </w:tr>
      <w:tr w:rsidR="002C53EB" w:rsidRPr="00502BDC" w14:paraId="67E99C75" w14:textId="794BEFE0" w:rsidTr="00711637">
        <w:tc>
          <w:tcPr>
            <w:tcW w:w="2127" w:type="dxa"/>
            <w:shd w:val="clear" w:color="auto" w:fill="FFFFFF"/>
          </w:tcPr>
          <w:p w14:paraId="5AC6CBB5" w14:textId="00B31BBB" w:rsidR="002C53EB" w:rsidRPr="00502BDC" w:rsidRDefault="002C53EB" w:rsidP="00DF6A69">
            <w:pPr>
              <w:pStyle w:val="CETBodytext"/>
              <w:ind w:right="-1"/>
              <w:jc w:val="center"/>
              <w:rPr>
                <w:rFonts w:cs="Arial"/>
                <w:szCs w:val="18"/>
                <w:lang w:val="en-US"/>
              </w:rPr>
            </w:pPr>
            <w:r w:rsidRPr="00502BDC">
              <w:rPr>
                <w:rFonts w:cs="Arial"/>
                <w:szCs w:val="18"/>
                <w:lang w:val="en-US"/>
              </w:rPr>
              <w:t>D2 = 100</w:t>
            </w:r>
          </w:p>
        </w:tc>
        <w:tc>
          <w:tcPr>
            <w:tcW w:w="1417" w:type="dxa"/>
            <w:shd w:val="clear" w:color="auto" w:fill="FFFFFF"/>
          </w:tcPr>
          <w:p w14:paraId="31AB1F48" w14:textId="745FB06F" w:rsidR="002C53EB" w:rsidRPr="00502BDC" w:rsidRDefault="002C53EB" w:rsidP="00DF6A69">
            <w:pPr>
              <w:pStyle w:val="CETBodytext"/>
              <w:ind w:right="-1"/>
              <w:jc w:val="center"/>
              <w:rPr>
                <w:rFonts w:cs="Arial"/>
                <w:szCs w:val="18"/>
                <w:lang w:val="en-US"/>
              </w:rPr>
            </w:pPr>
            <w:r w:rsidRPr="00502BDC">
              <w:rPr>
                <w:rFonts w:cs="Arial"/>
                <w:szCs w:val="18"/>
                <w:lang w:val="en-US"/>
              </w:rPr>
              <w:t>10.50</w:t>
            </w:r>
          </w:p>
        </w:tc>
        <w:tc>
          <w:tcPr>
            <w:tcW w:w="1276" w:type="dxa"/>
            <w:shd w:val="clear" w:color="auto" w:fill="FFFFFF"/>
          </w:tcPr>
          <w:p w14:paraId="715134E2" w14:textId="083A2484" w:rsidR="002C53EB" w:rsidRPr="00502BDC" w:rsidRDefault="002C53EB" w:rsidP="00DF6A69">
            <w:pPr>
              <w:pStyle w:val="CETBodytext"/>
              <w:ind w:right="-1"/>
              <w:jc w:val="center"/>
              <w:rPr>
                <w:rFonts w:cs="Arial"/>
                <w:szCs w:val="18"/>
                <w:lang w:val="en-US"/>
              </w:rPr>
            </w:pPr>
            <w:r w:rsidRPr="00502BDC">
              <w:rPr>
                <w:rFonts w:cs="Arial"/>
                <w:szCs w:val="18"/>
                <w:lang w:val="en-US"/>
              </w:rPr>
              <w:t>56.07</w:t>
            </w:r>
          </w:p>
        </w:tc>
        <w:tc>
          <w:tcPr>
            <w:tcW w:w="1276" w:type="dxa"/>
            <w:shd w:val="clear" w:color="auto" w:fill="FFFFFF"/>
          </w:tcPr>
          <w:p w14:paraId="0CDBD0E5" w14:textId="3DEABC93" w:rsidR="002C53EB" w:rsidRPr="00502BDC" w:rsidRDefault="002C53EB" w:rsidP="00DF6A69">
            <w:pPr>
              <w:pStyle w:val="CETBodytext"/>
              <w:ind w:right="-1"/>
              <w:jc w:val="center"/>
              <w:rPr>
                <w:rFonts w:cs="Arial"/>
                <w:szCs w:val="18"/>
                <w:lang w:val="en-US"/>
              </w:rPr>
            </w:pPr>
            <w:r w:rsidRPr="00502BDC">
              <w:rPr>
                <w:rFonts w:cs="Arial"/>
                <w:szCs w:val="18"/>
                <w:lang w:val="en-US"/>
              </w:rPr>
              <w:t>7.97</w:t>
            </w:r>
          </w:p>
        </w:tc>
        <w:tc>
          <w:tcPr>
            <w:tcW w:w="1276" w:type="dxa"/>
            <w:shd w:val="clear" w:color="auto" w:fill="FFFFFF"/>
          </w:tcPr>
          <w:p w14:paraId="0355E36D" w14:textId="0B526299" w:rsidR="002C53EB" w:rsidRPr="00502BDC" w:rsidRDefault="00417ED8" w:rsidP="00DF6A69">
            <w:pPr>
              <w:pStyle w:val="CETBodytext"/>
              <w:ind w:right="-1"/>
              <w:jc w:val="center"/>
              <w:rPr>
                <w:rFonts w:cs="Arial"/>
                <w:szCs w:val="18"/>
                <w:lang w:val="en-US"/>
              </w:rPr>
            </w:pPr>
            <w:r w:rsidRPr="00502BDC">
              <w:rPr>
                <w:rFonts w:cs="Arial"/>
                <w:szCs w:val="18"/>
                <w:lang w:val="en-US"/>
              </w:rPr>
              <w:t>64.42</w:t>
            </w:r>
          </w:p>
        </w:tc>
        <w:tc>
          <w:tcPr>
            <w:tcW w:w="1276" w:type="dxa"/>
            <w:shd w:val="clear" w:color="auto" w:fill="FFFFFF"/>
          </w:tcPr>
          <w:p w14:paraId="713E60FA" w14:textId="6D1615F9" w:rsidR="002C53EB" w:rsidRPr="00502BDC" w:rsidRDefault="002C53EB" w:rsidP="00DF6A69">
            <w:pPr>
              <w:pStyle w:val="CETBodytext"/>
              <w:ind w:right="-1"/>
              <w:jc w:val="center"/>
              <w:rPr>
                <w:rFonts w:cs="Arial"/>
                <w:szCs w:val="18"/>
                <w:lang w:val="en-US"/>
              </w:rPr>
            </w:pPr>
            <w:r w:rsidRPr="00502BDC">
              <w:rPr>
                <w:rFonts w:cs="Arial"/>
                <w:szCs w:val="18"/>
                <w:lang w:val="en-US"/>
              </w:rPr>
              <w:t>8.50</w:t>
            </w:r>
          </w:p>
        </w:tc>
      </w:tr>
      <w:tr w:rsidR="002C53EB" w:rsidRPr="00502BDC" w14:paraId="1BB28D03" w14:textId="011B59B9" w:rsidTr="00711637">
        <w:tc>
          <w:tcPr>
            <w:tcW w:w="2127" w:type="dxa"/>
            <w:shd w:val="clear" w:color="auto" w:fill="FFFFFF"/>
          </w:tcPr>
          <w:p w14:paraId="08242859" w14:textId="0474A41C" w:rsidR="002C53EB" w:rsidRPr="00502BDC" w:rsidRDefault="002C53EB" w:rsidP="00DF6A69">
            <w:pPr>
              <w:pStyle w:val="CETBodytext"/>
              <w:ind w:right="-1"/>
              <w:jc w:val="center"/>
              <w:rPr>
                <w:rFonts w:cs="Arial"/>
                <w:szCs w:val="18"/>
                <w:lang w:val="en-US"/>
              </w:rPr>
            </w:pPr>
            <w:r w:rsidRPr="00502BDC">
              <w:rPr>
                <w:rFonts w:cs="Arial"/>
                <w:szCs w:val="18"/>
                <w:lang w:val="en-US"/>
              </w:rPr>
              <w:t>D3 = 150</w:t>
            </w:r>
          </w:p>
        </w:tc>
        <w:tc>
          <w:tcPr>
            <w:tcW w:w="1417" w:type="dxa"/>
            <w:shd w:val="clear" w:color="auto" w:fill="FFFFFF"/>
          </w:tcPr>
          <w:p w14:paraId="150EF9AF" w14:textId="160080C5" w:rsidR="002C53EB" w:rsidRPr="00502BDC" w:rsidRDefault="002C53EB" w:rsidP="00DF6A69">
            <w:pPr>
              <w:pStyle w:val="CETBodytext"/>
              <w:ind w:right="-1"/>
              <w:jc w:val="center"/>
              <w:rPr>
                <w:rFonts w:cs="Arial"/>
                <w:szCs w:val="18"/>
                <w:lang w:val="en-US"/>
              </w:rPr>
            </w:pPr>
            <w:r w:rsidRPr="00502BDC">
              <w:rPr>
                <w:rFonts w:cs="Arial"/>
                <w:szCs w:val="18"/>
                <w:lang w:val="en-US"/>
              </w:rPr>
              <w:t>4.03</w:t>
            </w:r>
          </w:p>
        </w:tc>
        <w:tc>
          <w:tcPr>
            <w:tcW w:w="1276" w:type="dxa"/>
            <w:shd w:val="clear" w:color="auto" w:fill="FFFFFF"/>
          </w:tcPr>
          <w:p w14:paraId="24480967" w14:textId="406ABDB2" w:rsidR="002C53EB" w:rsidRPr="00502BDC" w:rsidRDefault="002C53EB" w:rsidP="00DF6A69">
            <w:pPr>
              <w:pStyle w:val="CETBodytext"/>
              <w:ind w:right="-1"/>
              <w:jc w:val="center"/>
              <w:rPr>
                <w:rFonts w:cs="Arial"/>
                <w:szCs w:val="18"/>
                <w:lang w:val="en-US"/>
              </w:rPr>
            </w:pPr>
            <w:r w:rsidRPr="00502BDC">
              <w:rPr>
                <w:rFonts w:cs="Arial"/>
                <w:szCs w:val="18"/>
                <w:lang w:val="en-US"/>
              </w:rPr>
              <w:t>83.14</w:t>
            </w:r>
          </w:p>
        </w:tc>
        <w:tc>
          <w:tcPr>
            <w:tcW w:w="1276" w:type="dxa"/>
            <w:shd w:val="clear" w:color="auto" w:fill="FFFFFF"/>
          </w:tcPr>
          <w:p w14:paraId="7A8D5994" w14:textId="5366A801" w:rsidR="002C53EB" w:rsidRPr="00502BDC" w:rsidRDefault="002C53EB" w:rsidP="00DF6A69">
            <w:pPr>
              <w:pStyle w:val="CETBodytext"/>
              <w:ind w:right="-1"/>
              <w:jc w:val="center"/>
              <w:rPr>
                <w:rFonts w:cs="Arial"/>
                <w:szCs w:val="18"/>
                <w:lang w:val="en-US"/>
              </w:rPr>
            </w:pPr>
            <w:r w:rsidRPr="00502BDC">
              <w:rPr>
                <w:rFonts w:cs="Arial"/>
                <w:szCs w:val="18"/>
                <w:lang w:val="en-US"/>
              </w:rPr>
              <w:t>3.23</w:t>
            </w:r>
          </w:p>
        </w:tc>
        <w:tc>
          <w:tcPr>
            <w:tcW w:w="1276" w:type="dxa"/>
            <w:shd w:val="clear" w:color="auto" w:fill="FFFFFF"/>
          </w:tcPr>
          <w:p w14:paraId="29905836" w14:textId="6B5020F8" w:rsidR="002C53EB" w:rsidRPr="00502BDC" w:rsidRDefault="00417ED8" w:rsidP="00DF6A69">
            <w:pPr>
              <w:pStyle w:val="CETBodytext"/>
              <w:ind w:right="-1"/>
              <w:jc w:val="center"/>
              <w:rPr>
                <w:rFonts w:cs="Arial"/>
                <w:szCs w:val="18"/>
                <w:lang w:val="en-US"/>
              </w:rPr>
            </w:pPr>
            <w:r w:rsidRPr="00502BDC">
              <w:rPr>
                <w:rFonts w:cs="Arial"/>
                <w:szCs w:val="18"/>
                <w:lang w:val="en-US"/>
              </w:rPr>
              <w:t>85.58</w:t>
            </w:r>
          </w:p>
        </w:tc>
        <w:tc>
          <w:tcPr>
            <w:tcW w:w="1276" w:type="dxa"/>
            <w:shd w:val="clear" w:color="auto" w:fill="FFFFFF"/>
          </w:tcPr>
          <w:p w14:paraId="114DCE46" w14:textId="11028AB7" w:rsidR="002C53EB" w:rsidRPr="00502BDC" w:rsidRDefault="002C53EB" w:rsidP="00DF6A69">
            <w:pPr>
              <w:pStyle w:val="CETBodytext"/>
              <w:ind w:right="-1"/>
              <w:jc w:val="center"/>
              <w:rPr>
                <w:rFonts w:cs="Arial"/>
                <w:szCs w:val="18"/>
                <w:lang w:val="en-US"/>
              </w:rPr>
            </w:pPr>
            <w:r w:rsidRPr="00502BDC">
              <w:rPr>
                <w:rFonts w:cs="Arial"/>
                <w:szCs w:val="18"/>
                <w:lang w:val="en-US"/>
              </w:rPr>
              <w:t>8.70</w:t>
            </w:r>
          </w:p>
        </w:tc>
      </w:tr>
      <w:bookmarkEnd w:id="3"/>
    </w:tbl>
    <w:p w14:paraId="31C13259" w14:textId="77777777" w:rsidR="00952B7E" w:rsidRPr="00502BDC" w:rsidRDefault="00952B7E" w:rsidP="003B0B26">
      <w:pPr>
        <w:pStyle w:val="CETBodytext"/>
        <w:spacing w:line="240" w:lineRule="auto"/>
        <w:ind w:left="284" w:hanging="284"/>
        <w:rPr>
          <w:b/>
          <w:bCs/>
          <w:sz w:val="20"/>
          <w:lang w:val="en-US"/>
        </w:rPr>
      </w:pPr>
    </w:p>
    <w:p w14:paraId="27A1935E" w14:textId="370351A0" w:rsidR="003B0B26" w:rsidRPr="00502BDC" w:rsidRDefault="003B0B26" w:rsidP="002C06F8">
      <w:pPr>
        <w:pStyle w:val="CETBodytext"/>
        <w:rPr>
          <w:szCs w:val="18"/>
          <w:lang w:val="en-US"/>
        </w:rPr>
      </w:pPr>
      <w:r w:rsidRPr="00502BDC">
        <w:rPr>
          <w:szCs w:val="18"/>
          <w:lang w:val="en-US"/>
        </w:rPr>
        <w:t xml:space="preserve">According to Table 3, it was observed that with higher doses of Chlorella peruviana immobilized in calcium alginate applied to wastewater, average values were obtained that </w:t>
      </w:r>
      <w:r w:rsidR="00D360A5" w:rsidRPr="00502BDC">
        <w:rPr>
          <w:szCs w:val="18"/>
          <w:lang w:val="en-US"/>
        </w:rPr>
        <w:t>reduced</w:t>
      </w:r>
      <w:r w:rsidRPr="00502BDC">
        <w:rPr>
          <w:szCs w:val="18"/>
          <w:lang w:val="en-US"/>
        </w:rPr>
        <w:t xml:space="preserve"> the concentration of nitrates and phosphates, while the pH showed an increase.</w:t>
      </w:r>
    </w:p>
    <w:p w14:paraId="049E2F87" w14:textId="77777777" w:rsidR="003B0B26" w:rsidRPr="00502BDC" w:rsidRDefault="003B0B26" w:rsidP="002C06F8">
      <w:pPr>
        <w:pStyle w:val="CETBodytext"/>
        <w:rPr>
          <w:szCs w:val="18"/>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511"/>
        <w:gridCol w:w="4266"/>
      </w:tblGrid>
      <w:tr w:rsidR="00057640" w:rsidRPr="00502BDC" w14:paraId="322C04E9" w14:textId="77777777" w:rsidTr="003F2AE1">
        <w:tc>
          <w:tcPr>
            <w:tcW w:w="4511" w:type="dxa"/>
          </w:tcPr>
          <w:p w14:paraId="2D9524FA" w14:textId="63820050" w:rsidR="00D57E52" w:rsidRPr="00502BDC" w:rsidRDefault="00057640" w:rsidP="00057640">
            <w:pPr>
              <w:pStyle w:val="CETBodytext"/>
              <w:spacing w:line="276" w:lineRule="auto"/>
              <w:rPr>
                <w:szCs w:val="18"/>
                <w:lang w:val="en-US"/>
              </w:rPr>
            </w:pPr>
            <w:r w:rsidRPr="00502BDC">
              <w:rPr>
                <w:noProof/>
                <w:lang w:val="en-US"/>
              </w:rPr>
              <w:drawing>
                <wp:inline distT="0" distB="0" distL="0" distR="0" wp14:anchorId="0D52E391" wp14:editId="57CC87EF">
                  <wp:extent cx="2575560" cy="2286815"/>
                  <wp:effectExtent l="0" t="0" r="0" b="0"/>
                  <wp:docPr id="1852890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9074" name=""/>
                          <pic:cNvPicPr/>
                        </pic:nvPicPr>
                        <pic:blipFill rotWithShape="1">
                          <a:blip r:embed="rId13"/>
                          <a:srcRect t="7404"/>
                          <a:stretch/>
                        </pic:blipFill>
                        <pic:spPr bwMode="auto">
                          <a:xfrm>
                            <a:off x="0" y="0"/>
                            <a:ext cx="2614531" cy="2321417"/>
                          </a:xfrm>
                          <a:prstGeom prst="rect">
                            <a:avLst/>
                          </a:prstGeom>
                          <a:ln>
                            <a:noFill/>
                          </a:ln>
                          <a:extLst>
                            <a:ext uri="{53640926-AAD7-44D8-BBD7-CCE9431645EC}">
                              <a14:shadowObscured xmlns:a14="http://schemas.microsoft.com/office/drawing/2010/main"/>
                            </a:ext>
                          </a:extLst>
                        </pic:spPr>
                      </pic:pic>
                    </a:graphicData>
                  </a:graphic>
                </wp:inline>
              </w:drawing>
            </w:r>
          </w:p>
        </w:tc>
        <w:tc>
          <w:tcPr>
            <w:tcW w:w="4266" w:type="dxa"/>
          </w:tcPr>
          <w:p w14:paraId="4DB84B42" w14:textId="0174ABA7" w:rsidR="00D57E52" w:rsidRPr="00502BDC" w:rsidRDefault="00057640" w:rsidP="00057640">
            <w:pPr>
              <w:pStyle w:val="CETBodytext"/>
              <w:spacing w:line="276" w:lineRule="auto"/>
              <w:rPr>
                <w:sz w:val="16"/>
                <w:szCs w:val="16"/>
                <w:lang w:val="en-US"/>
              </w:rPr>
            </w:pPr>
            <w:r w:rsidRPr="00502BDC">
              <w:rPr>
                <w:noProof/>
                <w:lang w:val="en-US"/>
              </w:rPr>
              <w:drawing>
                <wp:inline distT="0" distB="0" distL="0" distR="0" wp14:anchorId="73E9C609" wp14:editId="39EDE196">
                  <wp:extent cx="2453640" cy="2287979"/>
                  <wp:effectExtent l="0" t="0" r="3810" b="0"/>
                  <wp:docPr id="810672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7223" name=""/>
                          <pic:cNvPicPr/>
                        </pic:nvPicPr>
                        <pic:blipFill rotWithShape="1">
                          <a:blip r:embed="rId14"/>
                          <a:srcRect t="7445"/>
                          <a:stretch/>
                        </pic:blipFill>
                        <pic:spPr bwMode="auto">
                          <a:xfrm>
                            <a:off x="0" y="0"/>
                            <a:ext cx="2456362" cy="2290517"/>
                          </a:xfrm>
                          <a:prstGeom prst="rect">
                            <a:avLst/>
                          </a:prstGeom>
                          <a:ln>
                            <a:noFill/>
                          </a:ln>
                          <a:extLst>
                            <a:ext uri="{53640926-AAD7-44D8-BBD7-CCE9431645EC}">
                              <a14:shadowObscured xmlns:a14="http://schemas.microsoft.com/office/drawing/2010/main"/>
                            </a:ext>
                          </a:extLst>
                        </pic:spPr>
                      </pic:pic>
                    </a:graphicData>
                  </a:graphic>
                </wp:inline>
              </w:drawing>
            </w:r>
          </w:p>
        </w:tc>
      </w:tr>
      <w:tr w:rsidR="00057640" w:rsidRPr="00502BDC" w14:paraId="69D24FF0" w14:textId="77777777" w:rsidTr="003F2AE1">
        <w:tblPrEx>
          <w:tblCellMar>
            <w:left w:w="108" w:type="dxa"/>
            <w:right w:w="108" w:type="dxa"/>
          </w:tblCellMar>
        </w:tblPrEx>
        <w:tc>
          <w:tcPr>
            <w:tcW w:w="4511" w:type="dxa"/>
          </w:tcPr>
          <w:p w14:paraId="7571FE08" w14:textId="52D5C97C" w:rsidR="00D57E52" w:rsidRPr="00502BDC" w:rsidRDefault="005851AD" w:rsidP="00057640">
            <w:pPr>
              <w:pStyle w:val="CETBodytext"/>
              <w:spacing w:line="276" w:lineRule="auto"/>
              <w:jc w:val="center"/>
              <w:rPr>
                <w:szCs w:val="18"/>
                <w:lang w:val="en-US"/>
              </w:rPr>
            </w:pPr>
            <w:r w:rsidRPr="00502BDC">
              <w:rPr>
                <w:szCs w:val="18"/>
                <w:lang w:val="en-US"/>
              </w:rPr>
              <w:t>Figure 3. Dosage and Final Nitrate</w:t>
            </w:r>
          </w:p>
        </w:tc>
        <w:tc>
          <w:tcPr>
            <w:tcW w:w="4266" w:type="dxa"/>
          </w:tcPr>
          <w:p w14:paraId="312B6BC6" w14:textId="604992DB" w:rsidR="00D57E52" w:rsidRPr="00502BDC" w:rsidRDefault="005851AD" w:rsidP="00057640">
            <w:pPr>
              <w:pStyle w:val="CETBodytext"/>
              <w:spacing w:line="276" w:lineRule="auto"/>
              <w:jc w:val="center"/>
              <w:rPr>
                <w:szCs w:val="18"/>
                <w:lang w:val="en-US"/>
              </w:rPr>
            </w:pPr>
            <w:r w:rsidRPr="00502BDC">
              <w:rPr>
                <w:szCs w:val="18"/>
                <w:lang w:val="en-US"/>
              </w:rPr>
              <w:t>Figure 4. Dosage and Final Phosphate</w:t>
            </w:r>
          </w:p>
        </w:tc>
      </w:tr>
    </w:tbl>
    <w:p w14:paraId="7642B230" w14:textId="77777777" w:rsidR="00D57E52" w:rsidRPr="00502BDC" w:rsidRDefault="00D57E52" w:rsidP="002C06F8">
      <w:pPr>
        <w:pStyle w:val="CETBodytext"/>
        <w:rPr>
          <w:szCs w:val="18"/>
          <w:lang w:val="en-US"/>
        </w:rPr>
      </w:pPr>
    </w:p>
    <w:p w14:paraId="5EA7D2F0" w14:textId="21862DE8" w:rsidR="000931D8" w:rsidRPr="00502BDC" w:rsidRDefault="000931D8" w:rsidP="000931D8">
      <w:pPr>
        <w:pStyle w:val="CETBodytext"/>
        <w:rPr>
          <w:rFonts w:cs="Arial"/>
          <w:iCs/>
          <w:szCs w:val="18"/>
          <w:lang w:val="en-US"/>
        </w:rPr>
      </w:pPr>
      <w:r w:rsidRPr="00502BDC">
        <w:rPr>
          <w:rFonts w:cs="Arial"/>
          <w:iCs/>
          <w:szCs w:val="18"/>
          <w:lang w:val="en-US"/>
        </w:rPr>
        <w:t xml:space="preserve">In Figure 3, the average nitrate concentration values ranged from 18.23 mg/L to 4.03 mg/L. Similarly, in Figure 4, the average phosphate concentration values varied between 13.54 mg/L and 3.23 mg/L. The microalgae were immobilized in 2% calcium alginate. </w:t>
      </w:r>
      <w:r w:rsidR="00F840E4" w:rsidRPr="00F840E4">
        <w:rPr>
          <w:rFonts w:cs="Arial"/>
          <w:iCs/>
          <w:szCs w:val="18"/>
          <w:lang w:val="en-US"/>
        </w:rPr>
        <w:t xml:space="preserve">According to Table 3, the maximum percentage removal of </w:t>
      </w:r>
      <m:oMath>
        <m:sSubSup>
          <m:sSubSupPr>
            <m:ctrlPr>
              <w:rPr>
                <w:rFonts w:ascii="Cambria Math" w:hAnsi="Cambria Math" w:cs="Arial"/>
                <w:iCs/>
                <w:szCs w:val="18"/>
                <w:lang w:val="en-US"/>
              </w:rPr>
            </m:ctrlPr>
          </m:sSubSupPr>
          <m:e>
            <m:r>
              <m:rPr>
                <m:sty m:val="p"/>
              </m:rPr>
              <w:rPr>
                <w:rFonts w:ascii="Cambria Math" w:hAnsi="Cambria Math" w:cs="Arial"/>
                <w:szCs w:val="18"/>
                <w:lang w:val="en-US"/>
              </w:rPr>
              <m:t>N-NO</m:t>
            </m:r>
          </m:e>
          <m:sub>
            <m:r>
              <m:rPr>
                <m:sty m:val="p"/>
              </m:rPr>
              <w:rPr>
                <w:rFonts w:ascii="Cambria Math" w:hAnsi="Cambria Math" w:cs="Arial"/>
                <w:szCs w:val="18"/>
                <w:lang w:val="en-US"/>
              </w:rPr>
              <m:t>3</m:t>
            </m:r>
          </m:sub>
          <m:sup>
            <m:r>
              <m:rPr>
                <m:sty m:val="p"/>
              </m:rPr>
              <w:rPr>
                <w:rFonts w:ascii="Cambria Math" w:hAnsi="Cambria Math" w:cs="Arial"/>
                <w:szCs w:val="18"/>
                <w:lang w:val="en-US"/>
              </w:rPr>
              <m:t>-</m:t>
            </m:r>
          </m:sup>
        </m:sSubSup>
      </m:oMath>
      <w:r w:rsidR="00F840E4" w:rsidRPr="00F840E4">
        <w:rPr>
          <w:rFonts w:cs="Arial"/>
          <w:iCs/>
          <w:szCs w:val="18"/>
          <w:lang w:val="en-US"/>
        </w:rPr>
        <w:t xml:space="preserve"> was recorded in 83.14%, and the highest elimination value of </w:t>
      </w:r>
      <m:oMath>
        <m:sSubSup>
          <m:sSubSupPr>
            <m:ctrlPr>
              <w:rPr>
                <w:rFonts w:ascii="Cambria Math" w:hAnsi="Cambria Math"/>
                <w:i/>
                <w:szCs w:val="18"/>
                <w:lang w:val="en-US"/>
              </w:rPr>
            </m:ctrlPr>
          </m:sSubSupPr>
          <m:e>
            <m:r>
              <w:rPr>
                <w:rFonts w:ascii="Cambria Math" w:hAnsi="Cambria Math"/>
                <w:szCs w:val="18"/>
                <w:lang w:val="en-US"/>
              </w:rPr>
              <m:t>PO</m:t>
            </m:r>
          </m:e>
          <m:sub>
            <m:r>
              <w:rPr>
                <w:rFonts w:ascii="Cambria Math" w:hAnsi="Cambria Math"/>
                <w:szCs w:val="18"/>
                <w:lang w:val="en-US"/>
              </w:rPr>
              <m:t>4</m:t>
            </m:r>
          </m:sub>
          <m:sup>
            <m:r>
              <w:rPr>
                <w:rFonts w:ascii="Cambria Math" w:hAnsi="Cambria Math"/>
                <w:szCs w:val="18"/>
                <w:lang w:val="en-US"/>
              </w:rPr>
              <m:t>3-</m:t>
            </m:r>
          </m:sup>
        </m:sSubSup>
      </m:oMath>
      <w:r w:rsidR="00F840E4" w:rsidRPr="00F840E4">
        <w:rPr>
          <w:rFonts w:cs="Arial"/>
          <w:iCs/>
          <w:szCs w:val="18"/>
          <w:lang w:val="en-US"/>
        </w:rPr>
        <w:t xml:space="preserve"> was observed in 85.58%</w:t>
      </w:r>
      <w:r w:rsidR="00F840E4">
        <w:rPr>
          <w:rFonts w:cs="Arial"/>
          <w:iCs/>
          <w:szCs w:val="18"/>
          <w:lang w:val="en-US"/>
        </w:rPr>
        <w:t xml:space="preserve">. </w:t>
      </w:r>
      <w:r w:rsidR="00F840E4" w:rsidRPr="00F840E4">
        <w:rPr>
          <w:rFonts w:cs="Arial"/>
          <w:iCs/>
          <w:szCs w:val="18"/>
          <w:lang w:val="en-US"/>
        </w:rPr>
        <w:t xml:space="preserve">In the most algae cultures it was observed that more than 50% </w:t>
      </w:r>
      <w:r w:rsidRPr="00502BDC">
        <w:rPr>
          <w:rFonts w:cs="Arial"/>
          <w:iCs/>
          <w:szCs w:val="18"/>
          <w:lang w:val="en-US"/>
        </w:rPr>
        <w:t xml:space="preserve">and 70% of </w:t>
      </w:r>
      <m:oMath>
        <m:sSubSup>
          <m:sSubSupPr>
            <m:ctrlPr>
              <w:rPr>
                <w:rFonts w:ascii="Cambria Math" w:hAnsi="Cambria Math" w:cs="Arial"/>
                <w:iCs/>
                <w:szCs w:val="18"/>
                <w:lang w:val="en-US"/>
              </w:rPr>
            </m:ctrlPr>
          </m:sSubSupPr>
          <m:e>
            <m:r>
              <m:rPr>
                <m:sty m:val="p"/>
              </m:rPr>
              <w:rPr>
                <w:rFonts w:ascii="Cambria Math" w:hAnsi="Cambria Math" w:cs="Arial"/>
                <w:szCs w:val="18"/>
                <w:lang w:val="en-US"/>
              </w:rPr>
              <m:t>N-NO</m:t>
            </m:r>
          </m:e>
          <m:sub>
            <m:r>
              <m:rPr>
                <m:sty m:val="p"/>
              </m:rPr>
              <w:rPr>
                <w:rFonts w:ascii="Cambria Math" w:hAnsi="Cambria Math" w:cs="Arial"/>
                <w:szCs w:val="18"/>
                <w:lang w:val="en-US"/>
              </w:rPr>
              <m:t>3</m:t>
            </m:r>
          </m:sub>
          <m:sup>
            <m:r>
              <m:rPr>
                <m:sty m:val="p"/>
              </m:rPr>
              <w:rPr>
                <w:rFonts w:ascii="Cambria Math" w:hAnsi="Cambria Math" w:cs="Arial"/>
                <w:szCs w:val="18"/>
                <w:lang w:val="en-US"/>
              </w:rPr>
              <m:t>-</m:t>
            </m:r>
          </m:sup>
        </m:sSubSup>
      </m:oMath>
      <w:r w:rsidR="00F840E4">
        <w:rPr>
          <w:rFonts w:cs="Arial"/>
          <w:iCs/>
          <w:szCs w:val="18"/>
          <w:lang w:val="en-US"/>
        </w:rPr>
        <w:t xml:space="preserve"> </w:t>
      </w:r>
      <w:r w:rsidRPr="00502BDC">
        <w:rPr>
          <w:rFonts w:cs="Arial"/>
          <w:iCs/>
          <w:szCs w:val="18"/>
          <w:lang w:val="en-US"/>
        </w:rPr>
        <w:t xml:space="preserve">and </w:t>
      </w:r>
      <m:oMath>
        <m:sSubSup>
          <m:sSubSupPr>
            <m:ctrlPr>
              <w:rPr>
                <w:rFonts w:ascii="Cambria Math" w:hAnsi="Cambria Math"/>
                <w:i/>
                <w:szCs w:val="18"/>
                <w:lang w:val="en-US"/>
              </w:rPr>
            </m:ctrlPr>
          </m:sSubSupPr>
          <m:e>
            <m:r>
              <w:rPr>
                <w:rFonts w:ascii="Cambria Math" w:hAnsi="Cambria Math"/>
                <w:szCs w:val="18"/>
                <w:lang w:val="en-US"/>
              </w:rPr>
              <m:t>PO</m:t>
            </m:r>
          </m:e>
          <m:sub>
            <m:r>
              <w:rPr>
                <w:rFonts w:ascii="Cambria Math" w:hAnsi="Cambria Math"/>
                <w:szCs w:val="18"/>
                <w:lang w:val="en-US"/>
              </w:rPr>
              <m:t>4</m:t>
            </m:r>
          </m:sub>
          <m:sup>
            <m:r>
              <w:rPr>
                <w:rFonts w:ascii="Cambria Math" w:hAnsi="Cambria Math"/>
                <w:szCs w:val="18"/>
                <w:lang w:val="en-US"/>
              </w:rPr>
              <m:t>3-</m:t>
            </m:r>
          </m:sup>
        </m:sSubSup>
      </m:oMath>
      <w:r w:rsidRPr="00502BDC">
        <w:rPr>
          <w:rFonts w:cs="Arial"/>
          <w:iCs/>
          <w:szCs w:val="18"/>
          <w:lang w:val="en-US"/>
        </w:rPr>
        <w:t xml:space="preserve">, respectively, were eliminated during dose 2. Although immobilization had a negative impact on nutrient removal, the values obtained exceeded or fell within the high elimination ranges reported in previous studies. In this context, it is worth noting that both strains, whether freely grown or immobilized, show significant potential for use in the removal of inorganic nutrients in municipal wastewater, especially in the case of </w:t>
      </w:r>
      <m:oMath>
        <m:sSubSup>
          <m:sSubSupPr>
            <m:ctrlPr>
              <w:rPr>
                <w:rFonts w:ascii="Cambria Math" w:hAnsi="Cambria Math"/>
                <w:i/>
                <w:szCs w:val="18"/>
                <w:lang w:val="en-US"/>
              </w:rPr>
            </m:ctrlPr>
          </m:sSubSupPr>
          <m:e>
            <m:r>
              <w:rPr>
                <w:rFonts w:ascii="Cambria Math" w:hAnsi="Cambria Math"/>
                <w:szCs w:val="18"/>
                <w:lang w:val="en-US"/>
              </w:rPr>
              <m:t>PO</m:t>
            </m:r>
          </m:e>
          <m:sub>
            <m:r>
              <w:rPr>
                <w:rFonts w:ascii="Cambria Math" w:hAnsi="Cambria Math"/>
                <w:szCs w:val="18"/>
                <w:lang w:val="en-US"/>
              </w:rPr>
              <m:t>4</m:t>
            </m:r>
          </m:sub>
          <m:sup>
            <m:r>
              <w:rPr>
                <w:rFonts w:ascii="Cambria Math" w:hAnsi="Cambria Math"/>
                <w:szCs w:val="18"/>
                <w:lang w:val="en-US"/>
              </w:rPr>
              <m:t>3-</m:t>
            </m:r>
          </m:sup>
        </m:sSubSup>
      </m:oMath>
      <w:r w:rsidRPr="00502BDC">
        <w:rPr>
          <w:rFonts w:cs="Arial"/>
          <w:iCs/>
          <w:szCs w:val="18"/>
          <w:lang w:val="en-US"/>
        </w:rPr>
        <w:t>(Ávila et al., 2018).</w:t>
      </w:r>
    </w:p>
    <w:p w14:paraId="2E732095" w14:textId="77777777" w:rsidR="000931D8" w:rsidRPr="00502BDC" w:rsidRDefault="000931D8" w:rsidP="000931D8">
      <w:pPr>
        <w:pStyle w:val="CETBodytext"/>
        <w:rPr>
          <w:rFonts w:cs="Arial"/>
          <w:iCs/>
          <w:szCs w:val="18"/>
          <w:lang w:val="en-US"/>
        </w:rPr>
      </w:pPr>
    </w:p>
    <w:p w14:paraId="334202CA" w14:textId="77777777" w:rsidR="00093034" w:rsidRPr="00502BDC" w:rsidRDefault="00093034" w:rsidP="00093034">
      <w:pPr>
        <w:pStyle w:val="CETBodytext"/>
        <w:ind w:left="284"/>
        <w:jc w:val="center"/>
        <w:rPr>
          <w:szCs w:val="18"/>
          <w:lang w:val="en-US"/>
        </w:rPr>
      </w:pPr>
      <w:r w:rsidRPr="00502BDC">
        <w:rPr>
          <w:noProof/>
          <w:lang w:val="en-US"/>
        </w:rPr>
        <w:drawing>
          <wp:inline distT="0" distB="0" distL="0" distR="0" wp14:anchorId="55C47E1E" wp14:editId="6FD1FB21">
            <wp:extent cx="3028793" cy="1714500"/>
            <wp:effectExtent l="0" t="0" r="635" b="0"/>
            <wp:docPr id="1092692552"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692552" name="Imagen 1" descr="Gráfico, Gráfico de barras&#10;&#10;Descripción generada automáticamente"/>
                    <pic:cNvPicPr/>
                  </pic:nvPicPr>
                  <pic:blipFill rotWithShape="1">
                    <a:blip r:embed="rId15"/>
                    <a:srcRect t="5582"/>
                    <a:stretch/>
                  </pic:blipFill>
                  <pic:spPr bwMode="auto">
                    <a:xfrm>
                      <a:off x="0" y="0"/>
                      <a:ext cx="3046716" cy="1724646"/>
                    </a:xfrm>
                    <a:prstGeom prst="rect">
                      <a:avLst/>
                    </a:prstGeom>
                    <a:ln>
                      <a:noFill/>
                    </a:ln>
                    <a:extLst>
                      <a:ext uri="{53640926-AAD7-44D8-BBD7-CCE9431645EC}">
                        <a14:shadowObscured xmlns:a14="http://schemas.microsoft.com/office/drawing/2010/main"/>
                      </a:ext>
                    </a:extLst>
                  </pic:spPr>
                </pic:pic>
              </a:graphicData>
            </a:graphic>
          </wp:inline>
        </w:drawing>
      </w:r>
    </w:p>
    <w:p w14:paraId="0671C5F8" w14:textId="77777777" w:rsidR="00093034" w:rsidRPr="00502BDC" w:rsidRDefault="00093034" w:rsidP="00093034">
      <w:pPr>
        <w:pStyle w:val="CETBodytext"/>
        <w:ind w:left="284"/>
        <w:jc w:val="center"/>
        <w:rPr>
          <w:szCs w:val="18"/>
          <w:lang w:val="en-US"/>
        </w:rPr>
      </w:pPr>
      <w:r w:rsidRPr="00502BDC">
        <w:rPr>
          <w:szCs w:val="18"/>
          <w:lang w:val="en-US"/>
        </w:rPr>
        <w:t xml:space="preserve">Figure 5. Dose and </w:t>
      </w:r>
      <w:proofErr w:type="gramStart"/>
      <w:r w:rsidRPr="00502BDC">
        <w:rPr>
          <w:szCs w:val="18"/>
          <w:lang w:val="en-US"/>
        </w:rPr>
        <w:t>pH</w:t>
      </w:r>
      <w:proofErr w:type="gramEnd"/>
    </w:p>
    <w:p w14:paraId="1E8AC8B3" w14:textId="456851B0" w:rsidR="000931D8" w:rsidRPr="00502BDC" w:rsidRDefault="000931D8" w:rsidP="000931D8">
      <w:pPr>
        <w:pStyle w:val="CETBodytext"/>
        <w:rPr>
          <w:rFonts w:cs="Arial"/>
          <w:szCs w:val="18"/>
          <w:lang w:val="en-US"/>
        </w:rPr>
      </w:pPr>
      <w:r w:rsidRPr="00502BDC">
        <w:rPr>
          <w:szCs w:val="18"/>
          <w:lang w:val="en-US"/>
        </w:rPr>
        <w:lastRenderedPageBreak/>
        <w:t xml:space="preserve">In Figure 5 </w:t>
      </w:r>
      <w:r w:rsidR="00093034" w:rsidRPr="00502BDC">
        <w:rPr>
          <w:szCs w:val="18"/>
          <w:lang w:val="en-US"/>
        </w:rPr>
        <w:t>the</w:t>
      </w:r>
      <w:r w:rsidRPr="00502BDC">
        <w:rPr>
          <w:szCs w:val="18"/>
          <w:lang w:val="en-US"/>
        </w:rPr>
        <w:t xml:space="preserve"> pH obtained average values that ranged between 8.33 and 8.70. When increasing the dose of Chlorella peruviana there was a slight average increase up to 8.7 with dose 3. This increase is attributed to the photosynthesis process carried out by Chlorella, where the inorganic carbon present in the water is consumed (Bobadilla and Alvarez, 2018).</w:t>
      </w:r>
    </w:p>
    <w:p w14:paraId="36D94F4E" w14:textId="77777777" w:rsidR="00877247" w:rsidRPr="00502BDC" w:rsidRDefault="00877247" w:rsidP="00877247">
      <w:pPr>
        <w:pStyle w:val="CETBodytext"/>
        <w:ind w:left="284"/>
        <w:jc w:val="center"/>
        <w:rPr>
          <w:szCs w:val="18"/>
          <w:lang w:val="en-US"/>
        </w:rPr>
      </w:pPr>
    </w:p>
    <w:p w14:paraId="615A71E5" w14:textId="545578A7" w:rsidR="007F53AE" w:rsidRPr="00502BDC" w:rsidRDefault="00710F56" w:rsidP="004410A1">
      <w:pPr>
        <w:pStyle w:val="CETBodytext"/>
        <w:numPr>
          <w:ilvl w:val="0"/>
          <w:numId w:val="24"/>
        </w:numPr>
        <w:spacing w:line="360" w:lineRule="auto"/>
        <w:ind w:left="284" w:hanging="284"/>
        <w:rPr>
          <w:b/>
          <w:bCs/>
          <w:sz w:val="20"/>
          <w:lang w:val="en-US"/>
        </w:rPr>
      </w:pPr>
      <w:r w:rsidRPr="00502BDC">
        <w:rPr>
          <w:b/>
          <w:bCs/>
          <w:sz w:val="20"/>
          <w:lang w:val="en-US"/>
        </w:rPr>
        <w:t>Discussion</w:t>
      </w:r>
    </w:p>
    <w:p w14:paraId="66DB5F16" w14:textId="650E5ED7" w:rsidR="00710F56" w:rsidRDefault="00710F56" w:rsidP="007F53AE">
      <w:pPr>
        <w:pStyle w:val="CETBodytext"/>
        <w:rPr>
          <w:szCs w:val="18"/>
          <w:lang w:val="en-US"/>
        </w:rPr>
      </w:pPr>
      <w:r w:rsidRPr="00502BDC">
        <w:rPr>
          <w:szCs w:val="18"/>
          <w:lang w:val="en-US"/>
        </w:rPr>
        <w:t>In the research, a significant decrease in nitrate and phosphate concentrations was observed when adding doses of immobilized Chlorella peruviana microalgae as detailed in Table 3. These results support the effectiveness of the application of microalgae for the removal of nutrients in wastewater</w:t>
      </w:r>
      <w:r w:rsidR="00D360A5" w:rsidRPr="00502BDC">
        <w:rPr>
          <w:szCs w:val="18"/>
          <w:lang w:val="en-US"/>
        </w:rPr>
        <w:t>.</w:t>
      </w:r>
      <w:r w:rsidRPr="00502BDC">
        <w:rPr>
          <w:szCs w:val="18"/>
          <w:lang w:val="en-US"/>
        </w:rPr>
        <w:t xml:space="preserve"> Comparing our results with previous research, Acevedo et al. (2017) achieved 65% phosphorus and 80% nitrogen removal using the microalgae Scenedesmus sp. This suggests that different microalgae species may have variations in their nutrient removal capacity, highlighting the importance of carefully selecting microalgae species for each specific application. </w:t>
      </w:r>
      <w:r w:rsidR="00B27CFF" w:rsidRPr="00B27CFF">
        <w:rPr>
          <w:szCs w:val="18"/>
          <w:lang w:val="en-US"/>
        </w:rPr>
        <w:t xml:space="preserve">Furthermore, Sayadi et al. (2016) used several species of microalgae in their study. Spirulina platensis achieved a removal of 81.49% of phosphate with a treatment of 0.45 g/L, while Chlorella vulgaris achieved a removal of 88% with the same treatment. It was also found that in the case of pearls in Chlorella </w:t>
      </w:r>
      <w:proofErr w:type="spellStart"/>
      <w:r w:rsidR="00B27CFF" w:rsidRPr="00B27CFF">
        <w:rPr>
          <w:szCs w:val="18"/>
          <w:lang w:val="en-US"/>
        </w:rPr>
        <w:t>minutissima</w:t>
      </w:r>
      <w:proofErr w:type="spellEnd"/>
      <w:r w:rsidR="00B27CFF" w:rsidRPr="00B27CFF">
        <w:rPr>
          <w:szCs w:val="18"/>
          <w:lang w:val="en-US"/>
        </w:rPr>
        <w:t xml:space="preserve"> (CM) and dairy wastewater algae (DWA) showed a nitrate removal efficiency of 94 % and 77% in that order; In the case of phosphate removal, CM removed 67.5% and DWA 100%, demonstrating outstanding efficiency for this contaminant (Kumar Singh et al., 2011). These results suggest that the effectiveness of different microalgae species may vary, and Chlorella peruviana used in our study demonstrates notable performance in removing nitrates and phosphates.</w:t>
      </w:r>
    </w:p>
    <w:p w14:paraId="17FA53E8" w14:textId="2E0E2389" w:rsidR="00710F56" w:rsidRDefault="00D360A5" w:rsidP="00710F56">
      <w:pPr>
        <w:pStyle w:val="CETBodytext"/>
        <w:rPr>
          <w:szCs w:val="18"/>
          <w:lang w:val="en-US"/>
        </w:rPr>
      </w:pPr>
      <w:r w:rsidRPr="00502BDC">
        <w:rPr>
          <w:szCs w:val="18"/>
          <w:lang w:val="en-US"/>
        </w:rPr>
        <w:t>Compared</w:t>
      </w:r>
      <w:r w:rsidR="00710F56" w:rsidRPr="00502BDC">
        <w:rPr>
          <w:szCs w:val="18"/>
          <w:lang w:val="en-US"/>
        </w:rPr>
        <w:t xml:space="preserve"> with the results of Ávila et al. (2018), we noted some differences in nitrate and phosphate removal rates using microalgae. In their study, the free-form microalgae Chlamydomonas sp. reported a nitrate removal of 75.08%, while Chlorella sp. In its free form</w:t>
      </w:r>
      <w:r w:rsidRPr="00502BDC">
        <w:rPr>
          <w:szCs w:val="18"/>
          <w:lang w:val="en-US"/>
        </w:rPr>
        <w:t>,</w:t>
      </w:r>
      <w:r w:rsidR="00710F56" w:rsidRPr="00502BDC">
        <w:rPr>
          <w:szCs w:val="18"/>
          <w:lang w:val="en-US"/>
        </w:rPr>
        <w:t xml:space="preserve"> it achieved the highest removal of phosphates, with an impressive 83.69%. These results suggest that different strains of microalgae may present variations in their nutrient removal capacity. In our study, with immobilized Chlorella peruviana, we observed notable effectiveness in reducing nitrate and phosphate concentrations in wastewater. Immobilization of microalgae could have a positive impact by improving the retention and removal capacity of inorganic nutrients, as demonstrated in our research.</w:t>
      </w:r>
    </w:p>
    <w:p w14:paraId="48EC1AE2" w14:textId="4E2A49B8" w:rsidR="00710F56" w:rsidRPr="00502BDC" w:rsidRDefault="00710F56" w:rsidP="00710F56">
      <w:pPr>
        <w:pStyle w:val="CETBodytext"/>
        <w:rPr>
          <w:szCs w:val="18"/>
          <w:lang w:val="en-US"/>
        </w:rPr>
      </w:pPr>
      <w:r w:rsidRPr="00502BDC">
        <w:rPr>
          <w:szCs w:val="18"/>
          <w:lang w:val="en-US"/>
        </w:rPr>
        <w:t>Regarding pH, it is important to consider that the growth and development of microalgae are linked to temperature, so determining the optimal temperature for adequate development and growth is essential, considering the species of microalgae used (</w:t>
      </w:r>
      <w:proofErr w:type="spellStart"/>
      <w:r w:rsidRPr="00502BDC">
        <w:rPr>
          <w:szCs w:val="18"/>
          <w:lang w:val="en-US"/>
        </w:rPr>
        <w:t>Bholase</w:t>
      </w:r>
      <w:proofErr w:type="spellEnd"/>
      <w:r w:rsidRPr="00502BDC">
        <w:rPr>
          <w:szCs w:val="18"/>
          <w:lang w:val="en-US"/>
        </w:rPr>
        <w:t>, 2004).</w:t>
      </w:r>
    </w:p>
    <w:p w14:paraId="06E27928" w14:textId="77777777" w:rsidR="00F01F38" w:rsidRPr="00502BDC" w:rsidRDefault="00F01F38" w:rsidP="00710F56">
      <w:pPr>
        <w:pStyle w:val="CETBodytext"/>
        <w:rPr>
          <w:b/>
          <w:bCs/>
          <w:sz w:val="20"/>
          <w:lang w:val="en-US"/>
        </w:rPr>
      </w:pPr>
    </w:p>
    <w:p w14:paraId="17EB7A9A" w14:textId="28B0A78F" w:rsidR="00F01F38" w:rsidRPr="00502BDC" w:rsidRDefault="00F01F38" w:rsidP="00F01F38">
      <w:pPr>
        <w:pStyle w:val="CETBodytext"/>
        <w:numPr>
          <w:ilvl w:val="0"/>
          <w:numId w:val="24"/>
        </w:numPr>
        <w:spacing w:line="360" w:lineRule="auto"/>
        <w:ind w:left="284" w:hanging="284"/>
        <w:rPr>
          <w:b/>
          <w:bCs/>
          <w:sz w:val="20"/>
          <w:lang w:val="en-US"/>
        </w:rPr>
      </w:pPr>
      <w:r w:rsidRPr="00502BDC">
        <w:rPr>
          <w:b/>
          <w:bCs/>
          <w:sz w:val="20"/>
          <w:lang w:val="en-US"/>
        </w:rPr>
        <w:t>Conclusions</w:t>
      </w:r>
    </w:p>
    <w:p w14:paraId="3869FE4E" w14:textId="77BA28BD" w:rsidR="00F01F38" w:rsidRPr="00502BDC" w:rsidRDefault="00F01F38" w:rsidP="00F01F38">
      <w:pPr>
        <w:pStyle w:val="CETBodytext"/>
        <w:rPr>
          <w:szCs w:val="18"/>
          <w:lang w:val="en-US"/>
        </w:rPr>
      </w:pPr>
      <w:r w:rsidRPr="00502BDC">
        <w:rPr>
          <w:szCs w:val="18"/>
          <w:lang w:val="en-US"/>
        </w:rPr>
        <w:t xml:space="preserve">Immobilized microalgae in the form of beads, with an approximate dimension of 5 mm and a concentration of 30.1x10 </w:t>
      </w:r>
      <w:r w:rsidRPr="00502BDC">
        <w:rPr>
          <w:sz w:val="20"/>
          <w:vertAlign w:val="superscript"/>
          <w:lang w:val="en-US"/>
        </w:rPr>
        <w:t xml:space="preserve">6 </w:t>
      </w:r>
      <w:r w:rsidRPr="00502BDC">
        <w:rPr>
          <w:szCs w:val="18"/>
          <w:lang w:val="en-US"/>
        </w:rPr>
        <w:t>cells per milliliter, can eliminate nitrates and phosphates present in wastewater. The microalga Chlorella peruviana successfully removed nitrates and phosphates from the wastewater of the collector by applying doses 1, 2</w:t>
      </w:r>
      <w:r w:rsidR="00D360A5" w:rsidRPr="00502BDC">
        <w:rPr>
          <w:szCs w:val="18"/>
          <w:lang w:val="en-US"/>
        </w:rPr>
        <w:t>,</w:t>
      </w:r>
      <w:r w:rsidRPr="00502BDC">
        <w:rPr>
          <w:szCs w:val="18"/>
          <w:lang w:val="en-US"/>
        </w:rPr>
        <w:t xml:space="preserve"> and 3. For nitrates, removals of 23.72%, 56.07%</w:t>
      </w:r>
      <w:r w:rsidR="00D360A5" w:rsidRPr="00502BDC">
        <w:rPr>
          <w:szCs w:val="18"/>
          <w:lang w:val="en-US"/>
        </w:rPr>
        <w:t>,</w:t>
      </w:r>
      <w:r w:rsidRPr="00502BDC">
        <w:rPr>
          <w:szCs w:val="18"/>
          <w:lang w:val="en-US"/>
        </w:rPr>
        <w:t xml:space="preserve"> and 83.14% were achieved, while for phosphates, removals of 39.55%</w:t>
      </w:r>
      <w:r w:rsidR="00B27CFF">
        <w:rPr>
          <w:szCs w:val="18"/>
          <w:lang w:val="en-US"/>
        </w:rPr>
        <w:t>,</w:t>
      </w:r>
      <w:r w:rsidRPr="00502BDC">
        <w:rPr>
          <w:szCs w:val="18"/>
          <w:lang w:val="en-US"/>
        </w:rPr>
        <w:t xml:space="preserve"> 64.42% and 85.58% were achieved. With dose 3, </w:t>
      </w:r>
      <w:r w:rsidR="00D360A5" w:rsidRPr="00502BDC">
        <w:rPr>
          <w:szCs w:val="18"/>
          <w:lang w:val="en-US"/>
        </w:rPr>
        <w:t xml:space="preserve">the </w:t>
      </w:r>
      <w:r w:rsidRPr="00502BDC">
        <w:rPr>
          <w:szCs w:val="18"/>
          <w:lang w:val="en-US"/>
        </w:rPr>
        <w:t>removal of 83.14% and 85.58% of nitrates and phosphates, respectively</w:t>
      </w:r>
      <w:r w:rsidR="00B27CFF">
        <w:rPr>
          <w:szCs w:val="18"/>
          <w:lang w:val="en-US"/>
        </w:rPr>
        <w:t>, showed a good performance</w:t>
      </w:r>
      <w:r w:rsidRPr="00502BDC">
        <w:rPr>
          <w:szCs w:val="18"/>
          <w:lang w:val="en-US"/>
        </w:rPr>
        <w:t xml:space="preserve">. These results demonstrate the reducing capacity </w:t>
      </w:r>
      <w:r w:rsidR="00D360A5" w:rsidRPr="00502BDC">
        <w:rPr>
          <w:szCs w:val="18"/>
          <w:lang w:val="en-US"/>
        </w:rPr>
        <w:t>of</w:t>
      </w:r>
      <w:r w:rsidRPr="00502BDC">
        <w:rPr>
          <w:szCs w:val="18"/>
          <w:lang w:val="en-US"/>
        </w:rPr>
        <w:t xml:space="preserve"> nitrates and phosphates can be used in water treatment industries, distilleries, sugar factories, textile industries, and fertilizer industries </w:t>
      </w:r>
      <w:r w:rsidR="004D6DA0" w:rsidRPr="00502BDC">
        <w:rPr>
          <w:szCs w:val="18"/>
          <w:lang w:val="en-US"/>
        </w:rPr>
        <w:fldChar w:fldCharType="begin" w:fldLock="1"/>
      </w:r>
      <w:r w:rsidR="004D6DA0" w:rsidRPr="00502BDC">
        <w:rPr>
          <w:szCs w:val="18"/>
          <w:lang w:val="en-US"/>
        </w:rPr>
        <w:instrText>ADDIN CSL_CITATION {"citationItems":[{"id":"ITEM-1","itemData":{"DOI":"10.2166/aqua.2021.146","ISSN":"27098036","abstract":"Nitrogen and phosphorus removal and recovery are considered as one of the interventions to control water bodies' eutrophication by application of various methods. Adsorption is an effective method for phosphate and nitrate removal from wastewater. It is efficient, quick, easy, low-cost and environmentally friendly. Even though different adsorbents have been developed with excellent properties, lack of compilation, lack of consistency in operational conditions, and lack of other important parameters used for direct comparison and practical use selection were observed. The first aim of this review is to provide facts and figures on novel adsorbents used for nitrate, phosphate, and simultaneous nitrate-phosphate removal and recovery. Second, various adsorbents applied for nitrate and phosphate removal have been compared in terms of the number of cycles that the adsorbent used; retained removal capacity (RR); the removal capacity of the adsorbent considering the threshold limit settled by EU and EPA as equilibrium concentration for phosphate (q0.1) and nitrate (q10); and time to reach the equilibrium capacity (t90). Third, based on the aforementioned criteria, the best adsorbents are proposed and this is the key novelty of this review work. Moreover, future aspects and challenges regarding nitrate and phosphate removal and recovery are presented.","author":[{"dropping-particle":"","family":"Gizaw","given":"Alemu","non-dropping-particle":"","parse-names":false,"suffix":""},{"dropping-particle":"","family":"Zewge","given":"Feleke","non-dropping-particle":"","parse-names":false,"suffix":""},{"dropping-particle":"","family":"Kumar","given":"Arun","non-dropping-particle":"","parse-names":false,"suffix":""},{"dropping-particle":"","family":"Mekonnen","given":"Andualem","non-dropping-particle":"","parse-names":false,"suffix":""},{"dropping-particle":"","family":"Tesfaye","given":"Melakuu","non-dropping-particle":"","parse-names":false,"suffix":""}],"container-title":"Aqua Water Infrastructure, Ecosystems and Society","id":"ITEM-1","issue":"7","issued":{"date-parts":[["2021"]]},"page":"921-947","title":"A comprehensive review on nitrate and phosphate removal and recovery from aqueous solutions by adsorption","type":"article-journal","volume":"70"},"uris":["http://www.mendeley.com/documents/?uuid=307ced04-963f-4400-a9fc-b45b8beeafc4"]}],"mendeley":{"formattedCitation":"(Gizaw et al., 2021)","plainTextFormattedCitation":"(Gizaw et al., 2021)"},"properties":{"noteIndex":0},"schema":"https://github.com/citation-style-language/schema/raw/master/csl-citation.json"}</w:instrText>
      </w:r>
      <w:r w:rsidR="004D6DA0" w:rsidRPr="00502BDC">
        <w:rPr>
          <w:szCs w:val="18"/>
          <w:lang w:val="en-US"/>
        </w:rPr>
        <w:fldChar w:fldCharType="separate"/>
      </w:r>
      <w:r w:rsidR="004D6DA0" w:rsidRPr="00502BDC">
        <w:rPr>
          <w:szCs w:val="18"/>
          <w:lang w:val="en-US"/>
        </w:rPr>
        <w:t>(Gizaw et al., 2021)</w:t>
      </w:r>
      <w:r w:rsidR="004D6DA0" w:rsidRPr="00502BDC">
        <w:rPr>
          <w:szCs w:val="18"/>
          <w:lang w:val="en-US"/>
        </w:rPr>
        <w:fldChar w:fldCharType="end"/>
      </w:r>
      <w:r w:rsidR="00114FAE" w:rsidRPr="00502BDC">
        <w:rPr>
          <w:szCs w:val="18"/>
          <w:lang w:val="en-US"/>
        </w:rPr>
        <w:t>. The final pH increased slightly from 8.20 to 8.70. Thus, the immobilized Chlorella peruviana microalgae emerges as a promising alternative for the removal of nutrients in wastewater.</w:t>
      </w:r>
    </w:p>
    <w:p w14:paraId="26AF5ED8" w14:textId="77777777" w:rsidR="00F23A4A" w:rsidRDefault="00F23A4A" w:rsidP="00F01F38">
      <w:pPr>
        <w:pStyle w:val="CETBodytext"/>
        <w:spacing w:line="360" w:lineRule="auto"/>
        <w:ind w:left="284" w:hanging="284"/>
        <w:rPr>
          <w:b/>
          <w:bCs/>
          <w:sz w:val="20"/>
          <w:lang w:val="en-US"/>
        </w:rPr>
      </w:pPr>
    </w:p>
    <w:p w14:paraId="2FC379D5" w14:textId="75FA8438" w:rsidR="00F01F38" w:rsidRPr="00502BDC" w:rsidRDefault="00F01F38" w:rsidP="00F01F38">
      <w:pPr>
        <w:pStyle w:val="CETBodytext"/>
        <w:spacing w:line="360" w:lineRule="auto"/>
        <w:ind w:left="284" w:hanging="284"/>
        <w:rPr>
          <w:b/>
          <w:bCs/>
          <w:sz w:val="20"/>
          <w:lang w:val="en-US"/>
        </w:rPr>
      </w:pPr>
      <w:r w:rsidRPr="00502BDC">
        <w:rPr>
          <w:b/>
          <w:bCs/>
          <w:sz w:val="20"/>
          <w:lang w:val="en-US"/>
        </w:rPr>
        <w:t>Recognition</w:t>
      </w:r>
    </w:p>
    <w:p w14:paraId="7CBA9FF8" w14:textId="6DE12764" w:rsidR="00F01F38" w:rsidRPr="00502BDC" w:rsidRDefault="00AA4A56" w:rsidP="00AA4A56">
      <w:pPr>
        <w:pStyle w:val="CETBodytext"/>
        <w:spacing w:line="240" w:lineRule="auto"/>
        <w:rPr>
          <w:szCs w:val="18"/>
          <w:lang w:val="en-US"/>
        </w:rPr>
      </w:pPr>
      <w:r w:rsidRPr="00502BDC">
        <w:rPr>
          <w:szCs w:val="18"/>
          <w:lang w:val="en-US"/>
        </w:rPr>
        <w:t>The authors and GIGATRE thank “</w:t>
      </w:r>
      <w:proofErr w:type="spellStart"/>
      <w:r w:rsidRPr="00502BDC">
        <w:rPr>
          <w:szCs w:val="18"/>
          <w:lang w:val="en-US"/>
        </w:rPr>
        <w:t>Investiga</w:t>
      </w:r>
      <w:proofErr w:type="spellEnd"/>
      <w:r w:rsidRPr="00502BDC">
        <w:rPr>
          <w:szCs w:val="18"/>
          <w:lang w:val="en-US"/>
        </w:rPr>
        <w:t xml:space="preserve"> UCV” of the César Vallejo University for the financial support for the publication of this research.</w:t>
      </w:r>
    </w:p>
    <w:p w14:paraId="776DA3FA" w14:textId="77777777" w:rsidR="000472F2" w:rsidRPr="00502BDC" w:rsidRDefault="000472F2" w:rsidP="00F01F38">
      <w:pPr>
        <w:pStyle w:val="CETBodytext"/>
        <w:spacing w:line="360" w:lineRule="auto"/>
        <w:ind w:left="284" w:hanging="284"/>
        <w:rPr>
          <w:b/>
          <w:bCs/>
          <w:sz w:val="20"/>
          <w:lang w:val="en-US"/>
        </w:rPr>
      </w:pPr>
    </w:p>
    <w:p w14:paraId="6858A530" w14:textId="72A6789A" w:rsidR="00257EAD" w:rsidRPr="00502BDC" w:rsidRDefault="00F01F38" w:rsidP="00F01F38">
      <w:pPr>
        <w:pStyle w:val="CETBodytext"/>
        <w:spacing w:line="360" w:lineRule="auto"/>
        <w:ind w:left="284" w:hanging="284"/>
        <w:rPr>
          <w:b/>
          <w:bCs/>
          <w:sz w:val="20"/>
          <w:lang w:val="en-US"/>
        </w:rPr>
      </w:pPr>
      <w:r w:rsidRPr="00502BDC">
        <w:rPr>
          <w:b/>
          <w:bCs/>
          <w:sz w:val="20"/>
          <w:lang w:val="en-US"/>
        </w:rPr>
        <w:t>References</w:t>
      </w:r>
    </w:p>
    <w:p w14:paraId="508D46BE" w14:textId="77777777" w:rsidR="00257EAD" w:rsidRPr="00502BDC" w:rsidRDefault="00257EAD" w:rsidP="006452A0">
      <w:pPr>
        <w:pStyle w:val="CETBodytext"/>
        <w:spacing w:line="240" w:lineRule="auto"/>
        <w:ind w:left="284" w:hanging="284"/>
        <w:rPr>
          <w:szCs w:val="18"/>
          <w:lang w:val="en-US"/>
        </w:rPr>
      </w:pPr>
      <w:r w:rsidRPr="00502BDC">
        <w:rPr>
          <w:szCs w:val="18"/>
          <w:lang w:val="en-US"/>
        </w:rPr>
        <w:t>Abdelfattah A., Ali SS, Ramadan H., El-</w:t>
      </w:r>
      <w:proofErr w:type="spellStart"/>
      <w:r w:rsidRPr="00502BDC">
        <w:rPr>
          <w:szCs w:val="18"/>
          <w:lang w:val="en-US"/>
        </w:rPr>
        <w:t>Aswar</w:t>
      </w:r>
      <w:proofErr w:type="spellEnd"/>
      <w:r w:rsidRPr="00502BDC">
        <w:rPr>
          <w:szCs w:val="18"/>
          <w:lang w:val="en-US"/>
        </w:rPr>
        <w:t xml:space="preserve"> EI, </w:t>
      </w:r>
      <w:proofErr w:type="spellStart"/>
      <w:r w:rsidRPr="00502BDC">
        <w:rPr>
          <w:szCs w:val="18"/>
          <w:lang w:val="en-US"/>
        </w:rPr>
        <w:t>Eltawab</w:t>
      </w:r>
      <w:proofErr w:type="spellEnd"/>
      <w:r w:rsidRPr="00502BDC">
        <w:rPr>
          <w:szCs w:val="18"/>
          <w:lang w:val="en-US"/>
        </w:rPr>
        <w:t xml:space="preserve"> R., Ho SH, </w:t>
      </w:r>
      <w:proofErr w:type="spellStart"/>
      <w:r w:rsidRPr="00502BDC">
        <w:rPr>
          <w:szCs w:val="18"/>
          <w:lang w:val="en-US"/>
        </w:rPr>
        <w:t>Elsamahy</w:t>
      </w:r>
      <w:proofErr w:type="spellEnd"/>
      <w:r w:rsidRPr="00502BDC">
        <w:rPr>
          <w:szCs w:val="18"/>
          <w:lang w:val="en-US"/>
        </w:rPr>
        <w:t xml:space="preserve"> T., Li S., El-</w:t>
      </w:r>
      <w:proofErr w:type="spellStart"/>
      <w:r w:rsidRPr="00502BDC">
        <w:rPr>
          <w:szCs w:val="18"/>
          <w:lang w:val="en-US"/>
        </w:rPr>
        <w:t>Sheekh</w:t>
      </w:r>
      <w:proofErr w:type="spellEnd"/>
      <w:r w:rsidRPr="00502BDC">
        <w:rPr>
          <w:szCs w:val="18"/>
          <w:lang w:val="en-US"/>
        </w:rPr>
        <w:t xml:space="preserve"> MM, </w:t>
      </w:r>
      <w:proofErr w:type="spellStart"/>
      <w:r w:rsidRPr="00502BDC">
        <w:rPr>
          <w:szCs w:val="18"/>
          <w:lang w:val="en-US"/>
        </w:rPr>
        <w:t>Schagerl</w:t>
      </w:r>
      <w:proofErr w:type="spellEnd"/>
      <w:r w:rsidRPr="00502BDC">
        <w:rPr>
          <w:szCs w:val="18"/>
          <w:lang w:val="en-US"/>
        </w:rPr>
        <w:t xml:space="preserve"> M., </w:t>
      </w:r>
      <w:proofErr w:type="spellStart"/>
      <w:r w:rsidRPr="00502BDC">
        <w:rPr>
          <w:szCs w:val="18"/>
          <w:lang w:val="en-US"/>
        </w:rPr>
        <w:t>Kornaros</w:t>
      </w:r>
      <w:proofErr w:type="spellEnd"/>
      <w:r w:rsidRPr="00502BDC">
        <w:rPr>
          <w:szCs w:val="18"/>
          <w:lang w:val="en-US"/>
        </w:rPr>
        <w:t xml:space="preserve"> M., Sun J., 2022, Microalgae-based wastewater treatment: mechanisms, challenges, recent </w:t>
      </w:r>
      <w:proofErr w:type="gramStart"/>
      <w:r w:rsidRPr="00502BDC">
        <w:rPr>
          <w:szCs w:val="18"/>
          <w:lang w:val="en-US"/>
        </w:rPr>
        <w:t>advances</w:t>
      </w:r>
      <w:proofErr w:type="gramEnd"/>
      <w:r w:rsidRPr="00502BDC">
        <w:rPr>
          <w:szCs w:val="18"/>
          <w:lang w:val="en-US"/>
        </w:rPr>
        <w:t xml:space="preserve"> and future perspectives. Environment Science </w:t>
      </w:r>
      <w:proofErr w:type="spellStart"/>
      <w:proofErr w:type="gramStart"/>
      <w:r w:rsidRPr="00502BDC">
        <w:rPr>
          <w:szCs w:val="18"/>
          <w:lang w:val="en-US"/>
        </w:rPr>
        <w:t>Ecotecnol</w:t>
      </w:r>
      <w:proofErr w:type="spellEnd"/>
      <w:r w:rsidRPr="00502BDC">
        <w:rPr>
          <w:szCs w:val="18"/>
          <w:lang w:val="en-US"/>
        </w:rPr>
        <w:t xml:space="preserve"> .</w:t>
      </w:r>
      <w:proofErr w:type="gramEnd"/>
      <w:r w:rsidRPr="00502BDC">
        <w:rPr>
          <w:szCs w:val="18"/>
          <w:lang w:val="en-US"/>
        </w:rPr>
        <w:t xml:space="preserve"> 8, 13, 100205.</w:t>
      </w:r>
    </w:p>
    <w:p w14:paraId="5E2CE354" w14:textId="48EA72E6" w:rsidR="00F01F38" w:rsidRPr="00502BDC" w:rsidRDefault="00F01F38" w:rsidP="006452A0">
      <w:pPr>
        <w:pStyle w:val="CETReference"/>
        <w:spacing w:before="0" w:after="0"/>
        <w:ind w:left="284" w:hanging="284"/>
        <w:rPr>
          <w:b w:val="0"/>
          <w:bCs/>
          <w:lang w:val="en-US"/>
        </w:rPr>
      </w:pPr>
      <w:r w:rsidRPr="00502BDC">
        <w:rPr>
          <w:b w:val="0"/>
          <w:bCs/>
          <w:lang w:val="en-US"/>
        </w:rPr>
        <w:t xml:space="preserve">Acevedo S., Pino NJ, Peñuela GA, 2017, Nitrogen and phosphorus removal and biomass production of Scenedesmus </w:t>
      </w:r>
      <w:proofErr w:type="spellStart"/>
      <w:r w:rsidRPr="00502BDC">
        <w:rPr>
          <w:b w:val="0"/>
          <w:bCs/>
          <w:lang w:val="en-US"/>
        </w:rPr>
        <w:t>sp</w:t>
      </w:r>
      <w:proofErr w:type="spellEnd"/>
      <w:r w:rsidRPr="00502BDC">
        <w:rPr>
          <w:b w:val="0"/>
          <w:bCs/>
          <w:lang w:val="en-US"/>
        </w:rPr>
        <w:t xml:space="preserve"> in domestic wastewater. Spanish. </w:t>
      </w:r>
    </w:p>
    <w:p w14:paraId="5FA93EF5" w14:textId="47E4DA61" w:rsidR="00257EAD" w:rsidRPr="00502BDC" w:rsidRDefault="00257EAD" w:rsidP="006452A0">
      <w:pPr>
        <w:pStyle w:val="CETReference"/>
        <w:spacing w:before="0" w:after="0"/>
        <w:ind w:left="284" w:hanging="284"/>
        <w:rPr>
          <w:b w:val="0"/>
          <w:bCs/>
          <w:lang w:val="en-US"/>
        </w:rPr>
      </w:pPr>
      <w:r w:rsidRPr="00502BDC">
        <w:rPr>
          <w:b w:val="0"/>
          <w:bCs/>
          <w:lang w:val="en-US"/>
        </w:rPr>
        <w:t xml:space="preserve">Ahmad I., Abdullah N., Koji I., </w:t>
      </w:r>
      <w:proofErr w:type="spellStart"/>
      <w:r w:rsidRPr="00502BDC">
        <w:rPr>
          <w:b w:val="0"/>
          <w:bCs/>
          <w:lang w:val="en-US"/>
        </w:rPr>
        <w:t>Yuzir</w:t>
      </w:r>
      <w:proofErr w:type="spellEnd"/>
      <w:r w:rsidRPr="00502BDC">
        <w:rPr>
          <w:b w:val="0"/>
          <w:bCs/>
          <w:lang w:val="en-US"/>
        </w:rPr>
        <w:t xml:space="preserve"> A., Mohamad SE, 2021, Potential of microalgae in wastewater bioremediation. Bull. Chemistry. React. </w:t>
      </w:r>
      <w:proofErr w:type="spellStart"/>
      <w:r w:rsidRPr="00502BDC">
        <w:rPr>
          <w:b w:val="0"/>
          <w:bCs/>
          <w:lang w:val="en-US"/>
        </w:rPr>
        <w:t>Catal</w:t>
      </w:r>
      <w:proofErr w:type="spellEnd"/>
      <w:r w:rsidRPr="00502BDC">
        <w:rPr>
          <w:b w:val="0"/>
          <w:bCs/>
          <w:lang w:val="en-US"/>
        </w:rPr>
        <w:t xml:space="preserve"> Eng, 16, 413–429.</w:t>
      </w:r>
    </w:p>
    <w:p w14:paraId="5145DC80" w14:textId="26162692" w:rsidR="00F36860" w:rsidRPr="00502BDC" w:rsidRDefault="00F36860" w:rsidP="00F36860">
      <w:pPr>
        <w:widowControl w:val="0"/>
        <w:autoSpaceDE w:val="0"/>
        <w:autoSpaceDN w:val="0"/>
        <w:adjustRightInd w:val="0"/>
        <w:spacing w:line="240" w:lineRule="auto"/>
        <w:ind w:left="480" w:hanging="480"/>
        <w:rPr>
          <w:rFonts w:cs="Arial"/>
        </w:rPr>
      </w:pPr>
      <w:r w:rsidRPr="00502BDC">
        <w:rPr>
          <w:rFonts w:cs="Arial"/>
        </w:rPr>
        <w:lastRenderedPageBreak/>
        <w:t xml:space="preserve">Ali DA, Al-Mansi NM, Sadek MA, and </w:t>
      </w:r>
      <w:proofErr w:type="spellStart"/>
      <w:r w:rsidRPr="00502BDC">
        <w:rPr>
          <w:rFonts w:cs="Arial"/>
        </w:rPr>
        <w:t>Aboelnasr</w:t>
      </w:r>
      <w:proofErr w:type="spellEnd"/>
      <w:r w:rsidRPr="00502BDC">
        <w:rPr>
          <w:rFonts w:cs="Arial"/>
        </w:rPr>
        <w:t xml:space="preserve"> AW., 2021, Simultaneous Removal of Nitrate and Phosphate Ions from Aqueous Solutions Using Fume Dust from Electric Arc Furnace Industrial Waste. </w:t>
      </w:r>
      <w:r w:rsidRPr="00502BDC">
        <w:rPr>
          <w:rFonts w:cs="Arial"/>
          <w:i/>
          <w:iCs/>
        </w:rPr>
        <w:t>Chemical Engineering Transactions</w:t>
      </w:r>
      <w:r w:rsidRPr="00502BDC">
        <w:rPr>
          <w:rFonts w:cs="Arial"/>
        </w:rPr>
        <w:t xml:space="preserve">, </w:t>
      </w:r>
      <w:r w:rsidRPr="00502BDC">
        <w:rPr>
          <w:rFonts w:cs="Arial"/>
          <w:i/>
          <w:iCs/>
        </w:rPr>
        <w:t xml:space="preserve">88 </w:t>
      </w:r>
      <w:r w:rsidRPr="00502BDC">
        <w:rPr>
          <w:rFonts w:cs="Arial"/>
        </w:rPr>
        <w:t xml:space="preserve">(June), 25–30. &lt;doi.org/10.3303/CET2188004˃ </w:t>
      </w:r>
      <w:r w:rsidRPr="00502BDC">
        <w:rPr>
          <w:bCs/>
        </w:rPr>
        <w:t>accessed 28.03.2024.</w:t>
      </w:r>
      <w:r w:rsidRPr="00502BDC">
        <w:rPr>
          <w:rFonts w:cs="Arial"/>
        </w:rPr>
        <w:t xml:space="preserve"> </w:t>
      </w:r>
    </w:p>
    <w:p w14:paraId="58B91B6C" w14:textId="78CEBCBA" w:rsidR="009D3619" w:rsidRPr="00502BDC" w:rsidRDefault="009D3619" w:rsidP="006452A0">
      <w:pPr>
        <w:pStyle w:val="CETReferencetext"/>
        <w:spacing w:line="240" w:lineRule="auto"/>
        <w:rPr>
          <w:lang w:val="en-US"/>
        </w:rPr>
      </w:pPr>
      <w:r w:rsidRPr="00502BDC">
        <w:rPr>
          <w:lang w:val="en-US"/>
        </w:rPr>
        <w:t>Ávila, J., Laos, A., Verano, R., 2018, Removal of nitrates and phosphates by native strains of Chlorella sp</w:t>
      </w:r>
      <w:r w:rsidR="00D360A5" w:rsidRPr="00502BDC">
        <w:rPr>
          <w:lang w:val="en-US"/>
        </w:rPr>
        <w:t xml:space="preserve">. </w:t>
      </w:r>
      <w:r w:rsidRPr="00502BDC">
        <w:rPr>
          <w:lang w:val="en-US"/>
        </w:rPr>
        <w:t>(</w:t>
      </w:r>
      <w:proofErr w:type="spellStart"/>
      <w:r w:rsidRPr="00502BDC">
        <w:rPr>
          <w:lang w:val="en-US"/>
        </w:rPr>
        <w:t>Chlorellaceae</w:t>
      </w:r>
      <w:proofErr w:type="spellEnd"/>
      <w:r w:rsidRPr="00502BDC">
        <w:rPr>
          <w:lang w:val="en-US"/>
        </w:rPr>
        <w:t xml:space="preserve">) and Chlamydomonas sp. (Chlamydomonadaceae) in free and immobilized form in municipal wastewater. </w:t>
      </w:r>
      <w:proofErr w:type="spellStart"/>
      <w:proofErr w:type="gramStart"/>
      <w:r w:rsidRPr="00502BDC">
        <w:rPr>
          <w:lang w:val="en-US"/>
        </w:rPr>
        <w:t>Arnaldoa</w:t>
      </w:r>
      <w:proofErr w:type="spellEnd"/>
      <w:r w:rsidRPr="00502BDC">
        <w:rPr>
          <w:lang w:val="en-US"/>
        </w:rPr>
        <w:t xml:space="preserve"> .</w:t>
      </w:r>
      <w:proofErr w:type="gramEnd"/>
      <w:r w:rsidRPr="00502BDC">
        <w:rPr>
          <w:lang w:val="en-US"/>
        </w:rPr>
        <w:t xml:space="preserve"> 25, 2, 499-514. Spanish.</w:t>
      </w:r>
    </w:p>
    <w:p w14:paraId="2ACB5066" w14:textId="77777777" w:rsidR="00257EAD" w:rsidRPr="00502BDC" w:rsidRDefault="00257EAD" w:rsidP="00257EAD">
      <w:pPr>
        <w:pStyle w:val="CETBodytext"/>
        <w:ind w:left="284" w:hanging="284"/>
        <w:rPr>
          <w:lang w:val="en-US"/>
        </w:rPr>
      </w:pPr>
      <w:proofErr w:type="spellStart"/>
      <w:r w:rsidRPr="00502BDC">
        <w:rPr>
          <w:lang w:val="en-US"/>
        </w:rPr>
        <w:t>Bholase</w:t>
      </w:r>
      <w:proofErr w:type="spellEnd"/>
      <w:r w:rsidRPr="00502BDC">
        <w:rPr>
          <w:lang w:val="en-US"/>
        </w:rPr>
        <w:t xml:space="preserve"> P., 2004, Environmental and cultural stimulants in carotenoid production from microorganisms. Applied Microbiology and Biotechnology, 63, 4, 351 – 361.</w:t>
      </w:r>
    </w:p>
    <w:p w14:paraId="4C25986B" w14:textId="14B1206E" w:rsidR="009D3619" w:rsidRPr="00502BDC" w:rsidRDefault="009D3619" w:rsidP="00257EAD">
      <w:pPr>
        <w:pStyle w:val="CETBodytext"/>
        <w:ind w:left="284" w:hanging="284"/>
        <w:rPr>
          <w:lang w:val="en-US"/>
        </w:rPr>
      </w:pPr>
      <w:r w:rsidRPr="00502BDC">
        <w:rPr>
          <w:lang w:val="en-US"/>
        </w:rPr>
        <w:t>Bobadilla A., Alvarez P., 2018, Evaluation of the use of Chlorella vulgaris in the removal of hexavalent chromium, chemical oxygen demand in wastewater from paper industries at laboratory level. Bachelor's Thesis, University of Guayaquil, Guayaquil, Ecuador. Spanish.</w:t>
      </w:r>
    </w:p>
    <w:p w14:paraId="01037C76" w14:textId="77777777" w:rsidR="00257EAD" w:rsidRPr="00502BDC" w:rsidRDefault="00257EAD" w:rsidP="006452A0">
      <w:pPr>
        <w:pStyle w:val="CETHeading1"/>
        <w:numPr>
          <w:ilvl w:val="0"/>
          <w:numId w:val="0"/>
        </w:numPr>
        <w:spacing w:before="0" w:after="0"/>
        <w:ind w:left="284" w:hanging="284"/>
        <w:jc w:val="both"/>
        <w:rPr>
          <w:b w:val="0"/>
          <w:bCs/>
          <w:sz w:val="18"/>
          <w:szCs w:val="18"/>
          <w:lang w:val="en-US"/>
        </w:rPr>
      </w:pPr>
      <w:r w:rsidRPr="00502BDC">
        <w:rPr>
          <w:b w:val="0"/>
          <w:bCs/>
          <w:sz w:val="18"/>
          <w:szCs w:val="18"/>
          <w:lang w:val="en-US"/>
        </w:rPr>
        <w:t xml:space="preserve">Burhenne N., Tischner R., 2000. Isolation and characterization of nitrite-reductase-deficient mutants of Chlorella </w:t>
      </w:r>
      <w:proofErr w:type="spellStart"/>
      <w:r w:rsidRPr="00502BDC">
        <w:rPr>
          <w:b w:val="0"/>
          <w:bCs/>
          <w:sz w:val="18"/>
          <w:szCs w:val="18"/>
          <w:lang w:val="en-US"/>
        </w:rPr>
        <w:t>sorokiniana</w:t>
      </w:r>
      <w:proofErr w:type="spellEnd"/>
      <w:r w:rsidRPr="00502BDC">
        <w:rPr>
          <w:b w:val="0"/>
          <w:bCs/>
          <w:sz w:val="18"/>
          <w:szCs w:val="18"/>
          <w:lang w:val="en-US"/>
        </w:rPr>
        <w:t xml:space="preserve"> (strain 211-8k). Plant 211: 440-445.</w:t>
      </w:r>
    </w:p>
    <w:p w14:paraId="7DCA5BE8" w14:textId="77777777" w:rsidR="00257EAD" w:rsidRPr="00502BDC" w:rsidRDefault="00257EAD" w:rsidP="006452A0">
      <w:pPr>
        <w:pStyle w:val="CETBodytext"/>
        <w:spacing w:line="240" w:lineRule="auto"/>
        <w:ind w:left="284" w:hanging="284"/>
        <w:rPr>
          <w:lang w:val="en-US"/>
        </w:rPr>
      </w:pPr>
      <w:r w:rsidRPr="00502BDC">
        <w:rPr>
          <w:lang w:val="en-US"/>
        </w:rPr>
        <w:t>Cai T., SY Park SY, Li Y., 2013. Nutrient recovery from wastewater streams by microalgae: status and prospects. Renewable and Sustainable Energy Reviews 19: 360-369.</w:t>
      </w:r>
    </w:p>
    <w:p w14:paraId="5734D774" w14:textId="3B8D7EE7" w:rsidR="00257EAD" w:rsidRPr="00502BDC" w:rsidRDefault="00257EAD" w:rsidP="006452A0">
      <w:pPr>
        <w:pStyle w:val="CETBodytext"/>
        <w:spacing w:line="240" w:lineRule="auto"/>
        <w:ind w:left="284" w:hanging="284"/>
        <w:rPr>
          <w:lang w:val="en-US"/>
        </w:rPr>
      </w:pPr>
      <w:r w:rsidRPr="00502BDC">
        <w:rPr>
          <w:lang w:val="en-US"/>
        </w:rPr>
        <w:t xml:space="preserve">Chen M., Chang L., Zhang J., Guo F., </w:t>
      </w:r>
      <w:proofErr w:type="spellStart"/>
      <w:r w:rsidRPr="00502BDC">
        <w:rPr>
          <w:lang w:val="en-US"/>
        </w:rPr>
        <w:t>Vymazal</w:t>
      </w:r>
      <w:proofErr w:type="spellEnd"/>
      <w:r w:rsidRPr="00502BDC">
        <w:rPr>
          <w:lang w:val="en-US"/>
        </w:rPr>
        <w:t xml:space="preserve"> J., He Q., Chen Y., 2020, Global nitrogen input in wetland ecosystem: the driving mechanism of labile carbon and nitrogen soil in greenhouse gas </w:t>
      </w:r>
      <w:r w:rsidR="00F36860" w:rsidRPr="00502BDC">
        <w:rPr>
          <w:lang w:val="en-US"/>
        </w:rPr>
        <w:t>emissions.</w:t>
      </w:r>
      <w:r w:rsidRPr="00502BDC">
        <w:rPr>
          <w:lang w:val="en-US"/>
        </w:rPr>
        <w:t xml:space="preserve"> Reign. Science. </w:t>
      </w:r>
      <w:proofErr w:type="spellStart"/>
      <w:r w:rsidRPr="00502BDC">
        <w:rPr>
          <w:lang w:val="en-US"/>
        </w:rPr>
        <w:t>Ecotecnol</w:t>
      </w:r>
      <w:proofErr w:type="spellEnd"/>
      <w:r w:rsidRPr="00502BDC">
        <w:rPr>
          <w:lang w:val="en-US"/>
        </w:rPr>
        <w:t>, 4.</w:t>
      </w:r>
    </w:p>
    <w:p w14:paraId="213A7268" w14:textId="2E2B1B5D" w:rsidR="00257EAD" w:rsidRPr="00502BDC" w:rsidRDefault="00257EAD" w:rsidP="006452A0">
      <w:pPr>
        <w:pStyle w:val="CETReference"/>
        <w:spacing w:before="0" w:after="0"/>
        <w:ind w:left="284" w:hanging="284"/>
        <w:rPr>
          <w:b w:val="0"/>
          <w:bCs/>
          <w:lang w:val="en-US"/>
        </w:rPr>
      </w:pPr>
      <w:r w:rsidRPr="00502BDC">
        <w:rPr>
          <w:b w:val="0"/>
          <w:bCs/>
          <w:lang w:val="en-US"/>
        </w:rPr>
        <w:t xml:space="preserve">Chia WY, Tang DY, Khoo KS, </w:t>
      </w:r>
      <w:proofErr w:type="spellStart"/>
      <w:r w:rsidRPr="00502BDC">
        <w:rPr>
          <w:b w:val="0"/>
          <w:bCs/>
          <w:lang w:val="en-US"/>
        </w:rPr>
        <w:t>Lup</w:t>
      </w:r>
      <w:proofErr w:type="spellEnd"/>
      <w:r w:rsidRPr="00502BDC">
        <w:rPr>
          <w:b w:val="0"/>
          <w:bCs/>
          <w:lang w:val="en-US"/>
        </w:rPr>
        <w:t xml:space="preserve"> AN, Chew KW, 2020, Nature's fight against plastic pollution: algae for plastic biodegradation and bioplastic production. Reign. Science. </w:t>
      </w:r>
      <w:proofErr w:type="spellStart"/>
      <w:proofErr w:type="gramStart"/>
      <w:r w:rsidRPr="00502BDC">
        <w:rPr>
          <w:b w:val="0"/>
          <w:bCs/>
          <w:lang w:val="en-US"/>
        </w:rPr>
        <w:t>Ecotecnol</w:t>
      </w:r>
      <w:proofErr w:type="spellEnd"/>
      <w:r w:rsidRPr="00502BDC">
        <w:rPr>
          <w:b w:val="0"/>
          <w:bCs/>
          <w:lang w:val="en-US"/>
        </w:rPr>
        <w:t xml:space="preserve"> .</w:t>
      </w:r>
      <w:proofErr w:type="gramEnd"/>
      <w:r w:rsidRPr="00502BDC">
        <w:rPr>
          <w:b w:val="0"/>
          <w:bCs/>
          <w:lang w:val="en-US"/>
        </w:rPr>
        <w:t>, 4.</w:t>
      </w:r>
    </w:p>
    <w:p w14:paraId="49FB3A53" w14:textId="0487E08B" w:rsidR="00F36860" w:rsidRPr="00502BDC" w:rsidRDefault="00F36860" w:rsidP="006452A0">
      <w:pPr>
        <w:pStyle w:val="CETReference"/>
        <w:spacing w:before="0" w:after="0"/>
        <w:ind w:left="284" w:hanging="284"/>
        <w:rPr>
          <w:b w:val="0"/>
          <w:bCs/>
          <w:lang w:val="en-US"/>
        </w:rPr>
      </w:pPr>
      <w:r w:rsidRPr="00502BDC">
        <w:rPr>
          <w:b w:val="0"/>
          <w:bCs/>
          <w:lang w:val="en-US"/>
        </w:rPr>
        <w:t xml:space="preserve">Gizaw A., </w:t>
      </w:r>
      <w:proofErr w:type="spellStart"/>
      <w:r w:rsidRPr="00502BDC">
        <w:rPr>
          <w:b w:val="0"/>
          <w:bCs/>
          <w:lang w:val="en-US"/>
        </w:rPr>
        <w:t>Zewge</w:t>
      </w:r>
      <w:proofErr w:type="spellEnd"/>
      <w:r w:rsidRPr="00502BDC">
        <w:rPr>
          <w:b w:val="0"/>
          <w:bCs/>
          <w:lang w:val="en-US"/>
        </w:rPr>
        <w:t xml:space="preserve"> F., Kumar A., Mekonnen A., and Tesfaye M., 2021, A comprehensive review on nitrate and phosphate removal and recovery from aqueous solutions by adsorption. Aqua Water Infrastructure, Ecosystems and Society, 70 (7), 921–947. </w:t>
      </w:r>
      <w:r w:rsidRPr="00502BDC">
        <w:rPr>
          <w:rFonts w:cs="Arial"/>
          <w:b w:val="0"/>
          <w:bCs/>
          <w:lang w:val="en-US"/>
        </w:rPr>
        <w:t>&lt;</w:t>
      </w:r>
      <w:r w:rsidRPr="00502BDC">
        <w:rPr>
          <w:b w:val="0"/>
          <w:bCs/>
          <w:lang w:val="en-US"/>
        </w:rPr>
        <w:t>doi.org/10.2166/aqua.2021.146</w:t>
      </w:r>
      <w:r w:rsidRPr="00502BDC">
        <w:rPr>
          <w:rFonts w:cs="Arial"/>
          <w:b w:val="0"/>
          <w:bCs/>
          <w:lang w:val="en-US"/>
        </w:rPr>
        <w:t>˃</w:t>
      </w:r>
      <w:r w:rsidRPr="00502BDC">
        <w:rPr>
          <w:b w:val="0"/>
          <w:bCs/>
          <w:lang w:val="en-US"/>
        </w:rPr>
        <w:t xml:space="preserve"> accessed</w:t>
      </w:r>
      <w:r w:rsidR="00D360A5" w:rsidRPr="00502BDC">
        <w:rPr>
          <w:b w:val="0"/>
          <w:bCs/>
          <w:lang w:val="en-US"/>
        </w:rPr>
        <w:t xml:space="preserve"> 03</w:t>
      </w:r>
      <w:r w:rsidRPr="00502BDC">
        <w:rPr>
          <w:b w:val="0"/>
          <w:bCs/>
          <w:lang w:val="en-US"/>
        </w:rPr>
        <w:t>.</w:t>
      </w:r>
      <w:r w:rsidR="00D360A5" w:rsidRPr="00502BDC">
        <w:rPr>
          <w:b w:val="0"/>
          <w:bCs/>
          <w:lang w:val="en-US"/>
        </w:rPr>
        <w:t>28</w:t>
      </w:r>
      <w:r w:rsidRPr="00502BDC">
        <w:rPr>
          <w:b w:val="0"/>
          <w:bCs/>
          <w:lang w:val="en-US"/>
        </w:rPr>
        <w:t>.2024.</w:t>
      </w:r>
    </w:p>
    <w:p w14:paraId="428EC457" w14:textId="44D61DBB" w:rsidR="00F36860" w:rsidRPr="00502BDC" w:rsidRDefault="00F36860" w:rsidP="00F36860">
      <w:pPr>
        <w:widowControl w:val="0"/>
        <w:autoSpaceDE w:val="0"/>
        <w:autoSpaceDN w:val="0"/>
        <w:adjustRightInd w:val="0"/>
        <w:spacing w:line="240" w:lineRule="auto"/>
        <w:ind w:left="480" w:hanging="480"/>
        <w:rPr>
          <w:rFonts w:cs="Arial"/>
        </w:rPr>
      </w:pPr>
      <w:r w:rsidRPr="00502BDC">
        <w:rPr>
          <w:rFonts w:cs="Arial"/>
        </w:rPr>
        <w:t xml:space="preserve">Krishnamurthy S., </w:t>
      </w:r>
      <w:proofErr w:type="spellStart"/>
      <w:r w:rsidRPr="00502BDC">
        <w:rPr>
          <w:rFonts w:cs="Arial"/>
        </w:rPr>
        <w:t>Jayasayee</w:t>
      </w:r>
      <w:proofErr w:type="spellEnd"/>
      <w:r w:rsidRPr="00502BDC">
        <w:rPr>
          <w:rFonts w:cs="Arial"/>
        </w:rPr>
        <w:t xml:space="preserve"> K., Eide TAE, McKay K., Tschentscher R., Stensrød RE, and </w:t>
      </w:r>
      <w:proofErr w:type="spellStart"/>
      <w:r w:rsidRPr="00502BDC">
        <w:rPr>
          <w:rFonts w:cs="Arial"/>
        </w:rPr>
        <w:t>Sundig</w:t>
      </w:r>
      <w:proofErr w:type="spellEnd"/>
      <w:r w:rsidRPr="00502BDC">
        <w:rPr>
          <w:rFonts w:cs="Arial"/>
        </w:rPr>
        <w:t xml:space="preserve"> MF., 2022, Evaluation of </w:t>
      </w:r>
      <w:proofErr w:type="spellStart"/>
      <w:r w:rsidRPr="00502BDC">
        <w:rPr>
          <w:rFonts w:cs="Arial"/>
        </w:rPr>
        <w:t>Electrosorption</w:t>
      </w:r>
      <w:proofErr w:type="spellEnd"/>
      <w:r w:rsidRPr="00502BDC">
        <w:rPr>
          <w:rFonts w:cs="Arial"/>
        </w:rPr>
        <w:t xml:space="preserve"> Process for Phosphate and Nitrate Removal from Wastewater. </w:t>
      </w:r>
      <w:r w:rsidRPr="00502BDC">
        <w:rPr>
          <w:rFonts w:cs="Arial"/>
          <w:i/>
          <w:iCs/>
        </w:rPr>
        <w:t>Chemical Engineering Transactions</w:t>
      </w:r>
      <w:r w:rsidRPr="00502BDC">
        <w:rPr>
          <w:rFonts w:cs="Arial"/>
        </w:rPr>
        <w:t xml:space="preserve">, </w:t>
      </w:r>
      <w:r w:rsidRPr="00502BDC">
        <w:rPr>
          <w:rFonts w:cs="Arial"/>
          <w:i/>
          <w:iCs/>
        </w:rPr>
        <w:t xml:space="preserve">96 </w:t>
      </w:r>
      <w:r w:rsidRPr="00502BDC">
        <w:rPr>
          <w:rFonts w:cs="Arial"/>
        </w:rPr>
        <w:t>(3), 79–84. &lt;doi.org/10.3303/CET2296014˃ accessed 0</w:t>
      </w:r>
      <w:r w:rsidR="00E27136" w:rsidRPr="00502BDC">
        <w:rPr>
          <w:rFonts w:cs="Arial"/>
        </w:rPr>
        <w:t>3</w:t>
      </w:r>
      <w:r w:rsidR="00D360A5" w:rsidRPr="00502BDC">
        <w:rPr>
          <w:rFonts w:cs="Arial"/>
        </w:rPr>
        <w:t>.27.</w:t>
      </w:r>
      <w:r w:rsidRPr="00502BDC">
        <w:rPr>
          <w:rFonts w:cs="Arial"/>
        </w:rPr>
        <w:t>2024.</w:t>
      </w:r>
    </w:p>
    <w:p w14:paraId="331F1F3B" w14:textId="781EC6E0" w:rsidR="00782F53" w:rsidRPr="00502BDC" w:rsidRDefault="00782F53" w:rsidP="006452A0">
      <w:pPr>
        <w:pStyle w:val="CETReference"/>
        <w:spacing w:before="0" w:after="0"/>
        <w:ind w:left="284" w:hanging="284"/>
        <w:rPr>
          <w:b w:val="0"/>
          <w:bCs/>
          <w:lang w:val="en-US"/>
        </w:rPr>
      </w:pPr>
      <w:r w:rsidRPr="00502BDC">
        <w:rPr>
          <w:b w:val="0"/>
          <w:bCs/>
          <w:lang w:val="en-US"/>
        </w:rPr>
        <w:t xml:space="preserve">Kumar Singh S., Bansal A., Jha MK </w:t>
      </w:r>
      <w:r w:rsidR="00BF3C24" w:rsidRPr="00502BDC">
        <w:rPr>
          <w:b w:val="0"/>
          <w:bCs/>
          <w:lang w:val="en-US"/>
        </w:rPr>
        <w:t xml:space="preserve">and Dey A., 2011, Comparative Studies on Uptake of Wastewater Nutrients by Immobilized Cells of Chlorella </w:t>
      </w:r>
      <w:proofErr w:type="spellStart"/>
      <w:r w:rsidRPr="00502BDC">
        <w:rPr>
          <w:b w:val="0"/>
          <w:bCs/>
          <w:lang w:val="en-US"/>
        </w:rPr>
        <w:t>minutissima</w:t>
      </w:r>
      <w:proofErr w:type="spellEnd"/>
      <w:r w:rsidRPr="00502BDC">
        <w:rPr>
          <w:b w:val="0"/>
          <w:bCs/>
          <w:lang w:val="en-US"/>
        </w:rPr>
        <w:t xml:space="preserve"> and Dairy Waste Isolated Algae. Indian Chemical Engineer, 53(4), 211–219. </w:t>
      </w:r>
      <w:r w:rsidR="00BF3C24" w:rsidRPr="00502BDC">
        <w:rPr>
          <w:rFonts w:cs="Arial"/>
          <w:b w:val="0"/>
          <w:bCs/>
          <w:lang w:val="en-US"/>
        </w:rPr>
        <w:t xml:space="preserve">&lt; </w:t>
      </w:r>
      <w:r w:rsidRPr="00502BDC">
        <w:rPr>
          <w:b w:val="0"/>
          <w:bCs/>
          <w:lang w:val="en-US"/>
        </w:rPr>
        <w:t>doi.org/10.1080/00194506.2011.70644</w:t>
      </w:r>
      <w:r w:rsidR="00BF3C24" w:rsidRPr="00502BDC">
        <w:rPr>
          <w:b w:val="0"/>
          <w:bCs/>
          <w:lang w:val="en-US"/>
        </w:rPr>
        <w:sym w:font="Symbol" w:char="F03E"/>
      </w:r>
      <w:r w:rsidR="00576E0D" w:rsidRPr="00502BDC">
        <w:rPr>
          <w:b w:val="0"/>
          <w:bCs/>
          <w:lang w:val="en-US"/>
        </w:rPr>
        <w:t xml:space="preserve"> </w:t>
      </w:r>
      <w:r w:rsidR="00D360A5" w:rsidRPr="00502BDC">
        <w:rPr>
          <w:b w:val="0"/>
          <w:bCs/>
          <w:lang w:val="en-US"/>
        </w:rPr>
        <w:t xml:space="preserve">accessed </w:t>
      </w:r>
      <w:r w:rsidR="00576E0D" w:rsidRPr="00502BDC">
        <w:rPr>
          <w:b w:val="0"/>
          <w:bCs/>
          <w:lang w:val="en-US"/>
        </w:rPr>
        <w:t>03</w:t>
      </w:r>
      <w:r w:rsidR="00D360A5" w:rsidRPr="00502BDC">
        <w:rPr>
          <w:b w:val="0"/>
          <w:bCs/>
          <w:lang w:val="en-US"/>
        </w:rPr>
        <w:t>.</w:t>
      </w:r>
      <w:r w:rsidR="00576E0D" w:rsidRPr="00502BDC">
        <w:rPr>
          <w:b w:val="0"/>
          <w:bCs/>
          <w:lang w:val="en-US"/>
        </w:rPr>
        <w:t>27</w:t>
      </w:r>
      <w:r w:rsidR="00D360A5" w:rsidRPr="00502BDC">
        <w:rPr>
          <w:b w:val="0"/>
          <w:bCs/>
          <w:lang w:val="en-US"/>
        </w:rPr>
        <w:t>.</w:t>
      </w:r>
      <w:r w:rsidR="00576E0D" w:rsidRPr="00502BDC">
        <w:rPr>
          <w:b w:val="0"/>
          <w:bCs/>
          <w:lang w:val="en-US"/>
        </w:rPr>
        <w:t>2024.</w:t>
      </w:r>
    </w:p>
    <w:p w14:paraId="5A43BD85" w14:textId="01212A11" w:rsidR="00257EAD" w:rsidRPr="00502BDC" w:rsidRDefault="00257EAD" w:rsidP="006452A0">
      <w:pPr>
        <w:pStyle w:val="CETReference"/>
        <w:spacing w:before="0" w:after="0"/>
        <w:ind w:left="284" w:hanging="284"/>
        <w:rPr>
          <w:b w:val="0"/>
          <w:bCs/>
          <w:lang w:val="en-US"/>
        </w:rPr>
      </w:pPr>
      <w:r w:rsidRPr="00502BDC">
        <w:rPr>
          <w:b w:val="0"/>
          <w:bCs/>
          <w:lang w:val="en-US"/>
        </w:rPr>
        <w:t xml:space="preserve">Li S., Show PL, Ngo HH, Ho SH, 2022, Algal-mediated antibiotic wastewater treatment: a critical review. Reign. Science. </w:t>
      </w:r>
      <w:proofErr w:type="spellStart"/>
      <w:r w:rsidRPr="00502BDC">
        <w:rPr>
          <w:b w:val="0"/>
          <w:bCs/>
          <w:lang w:val="en-US"/>
        </w:rPr>
        <w:t>Ecotecnol</w:t>
      </w:r>
      <w:proofErr w:type="spellEnd"/>
      <w:r w:rsidRPr="00502BDC">
        <w:rPr>
          <w:b w:val="0"/>
          <w:bCs/>
          <w:lang w:val="en-US"/>
        </w:rPr>
        <w:t>, 9.</w:t>
      </w:r>
    </w:p>
    <w:p w14:paraId="73CA8AEE" w14:textId="552F0F31" w:rsidR="00257EAD" w:rsidRPr="00502BDC" w:rsidRDefault="00257EAD" w:rsidP="00257EAD">
      <w:pPr>
        <w:pStyle w:val="CETReference"/>
        <w:spacing w:before="0" w:after="0"/>
        <w:ind w:left="284" w:hanging="284"/>
        <w:rPr>
          <w:b w:val="0"/>
          <w:bCs/>
          <w:lang w:val="en-US"/>
        </w:rPr>
      </w:pPr>
      <w:r w:rsidRPr="00502BDC">
        <w:rPr>
          <w:b w:val="0"/>
          <w:bCs/>
          <w:lang w:val="en-US"/>
        </w:rPr>
        <w:t xml:space="preserve">López-Sánchez A., Silva-Gálvez AL, Aguilar-Juárez Ó., </w:t>
      </w:r>
      <w:proofErr w:type="spellStart"/>
      <w:r w:rsidRPr="00502BDC">
        <w:rPr>
          <w:b w:val="0"/>
          <w:bCs/>
          <w:lang w:val="en-US"/>
        </w:rPr>
        <w:t>Senés</w:t>
      </w:r>
      <w:proofErr w:type="spellEnd"/>
      <w:r w:rsidRPr="00502BDC">
        <w:rPr>
          <w:b w:val="0"/>
          <w:bCs/>
          <w:lang w:val="en-US"/>
        </w:rPr>
        <w:t>-Guerrero C., Orozco-Nunnelly DA, Carrillo-Nieves D., Gradilla-Hernández MS, 2022, Treatment of livestock wastewater based on microalgae (</w:t>
      </w:r>
      <w:proofErr w:type="spellStart"/>
      <w:r w:rsidRPr="00502BDC">
        <w:rPr>
          <w:b w:val="0"/>
          <w:bCs/>
          <w:lang w:val="en-US"/>
        </w:rPr>
        <w:t>MbWT</w:t>
      </w:r>
      <w:proofErr w:type="spellEnd"/>
      <w:r w:rsidRPr="00502BDC">
        <w:rPr>
          <w:b w:val="0"/>
          <w:bCs/>
          <w:lang w:val="en-US"/>
        </w:rPr>
        <w:t xml:space="preserve">) as a circular bioeconomy approach: improving biomass productivity, removing </w:t>
      </w:r>
      <w:r w:rsidR="00D360A5" w:rsidRPr="00502BDC">
        <w:rPr>
          <w:b w:val="0"/>
          <w:bCs/>
          <w:lang w:val="en-US"/>
        </w:rPr>
        <w:t>contaminants,</w:t>
      </w:r>
      <w:r w:rsidRPr="00502BDC">
        <w:rPr>
          <w:b w:val="0"/>
          <w:bCs/>
          <w:lang w:val="en-US"/>
        </w:rPr>
        <w:t xml:space="preserve"> and producing high-value compounds. J. Environment. Manager, 308</w:t>
      </w:r>
    </w:p>
    <w:p w14:paraId="3C40B0B7" w14:textId="77777777" w:rsidR="00257EAD" w:rsidRPr="00502BDC" w:rsidRDefault="00257EAD" w:rsidP="006452A0">
      <w:pPr>
        <w:pStyle w:val="CETBodytext"/>
        <w:spacing w:line="240" w:lineRule="auto"/>
        <w:ind w:left="284" w:hanging="284"/>
        <w:rPr>
          <w:lang w:val="en-US"/>
        </w:rPr>
      </w:pPr>
      <w:r w:rsidRPr="00502BDC">
        <w:rPr>
          <w:lang w:val="en-US"/>
        </w:rPr>
        <w:t xml:space="preserve">Martinez ME, Jiménez JM, El </w:t>
      </w:r>
      <w:proofErr w:type="spellStart"/>
      <w:r w:rsidRPr="00502BDC">
        <w:rPr>
          <w:lang w:val="en-US"/>
        </w:rPr>
        <w:t>Yousfi</w:t>
      </w:r>
      <w:proofErr w:type="spellEnd"/>
      <w:r w:rsidRPr="00502BDC">
        <w:rPr>
          <w:lang w:val="en-US"/>
        </w:rPr>
        <w:t xml:space="preserve"> E., 1999, Influence of phosphorus concentration and temperature on the growth and absorption of phosphorus by the microalgae Scenedesmus obliquus. Biological Resources Technology 67(3): 233-240.</w:t>
      </w:r>
    </w:p>
    <w:p w14:paraId="18C837D2" w14:textId="77777777" w:rsidR="00257EAD" w:rsidRPr="00502BDC" w:rsidRDefault="00257EAD" w:rsidP="006452A0">
      <w:pPr>
        <w:pStyle w:val="CETBodytext"/>
        <w:spacing w:line="240" w:lineRule="auto"/>
        <w:ind w:left="284" w:hanging="284"/>
        <w:rPr>
          <w:lang w:val="en-US"/>
        </w:rPr>
      </w:pPr>
      <w:proofErr w:type="spellStart"/>
      <w:r w:rsidRPr="00502BDC">
        <w:rPr>
          <w:lang w:val="en-US"/>
        </w:rPr>
        <w:t>Morseletto</w:t>
      </w:r>
      <w:proofErr w:type="spellEnd"/>
      <w:r w:rsidRPr="00502BDC">
        <w:rPr>
          <w:lang w:val="en-US"/>
        </w:rPr>
        <w:t xml:space="preserve"> P., Mooren CE, </w:t>
      </w:r>
      <w:proofErr w:type="spellStart"/>
      <w:r w:rsidRPr="00502BDC">
        <w:rPr>
          <w:lang w:val="en-US"/>
        </w:rPr>
        <w:t>Munaretto</w:t>
      </w:r>
      <w:proofErr w:type="spellEnd"/>
      <w:r w:rsidRPr="00502BDC">
        <w:rPr>
          <w:lang w:val="en-US"/>
        </w:rPr>
        <w:t xml:space="preserve"> S., 2022, Circular water economy: definition, strategies and challenges, Circ. Economy. Hold, 1–5.</w:t>
      </w:r>
    </w:p>
    <w:p w14:paraId="4EF7697D" w14:textId="53659102" w:rsidR="00E27136" w:rsidRPr="00502BDC" w:rsidRDefault="00E27136" w:rsidP="00E27136">
      <w:pPr>
        <w:widowControl w:val="0"/>
        <w:autoSpaceDE w:val="0"/>
        <w:autoSpaceDN w:val="0"/>
        <w:adjustRightInd w:val="0"/>
        <w:spacing w:line="240" w:lineRule="auto"/>
        <w:ind w:left="480" w:hanging="480"/>
        <w:rPr>
          <w:rFonts w:cs="Arial"/>
        </w:rPr>
      </w:pPr>
      <w:proofErr w:type="spellStart"/>
      <w:r w:rsidRPr="00502BDC">
        <w:rPr>
          <w:rFonts w:cs="Arial"/>
        </w:rPr>
        <w:t>Pietrelli</w:t>
      </w:r>
      <w:proofErr w:type="spellEnd"/>
      <w:r w:rsidRPr="00502BDC">
        <w:rPr>
          <w:rFonts w:cs="Arial"/>
        </w:rPr>
        <w:t xml:space="preserve"> L., Ferro S., </w:t>
      </w:r>
      <w:proofErr w:type="spellStart"/>
      <w:r w:rsidRPr="00502BDC">
        <w:rPr>
          <w:rFonts w:cs="Arial"/>
        </w:rPr>
        <w:t>Reverberi</w:t>
      </w:r>
      <w:proofErr w:type="spellEnd"/>
      <w:r w:rsidRPr="00502BDC">
        <w:rPr>
          <w:rFonts w:cs="Arial"/>
        </w:rPr>
        <w:t xml:space="preserve"> A.P., and </w:t>
      </w:r>
      <w:proofErr w:type="spellStart"/>
      <w:r w:rsidRPr="00502BDC">
        <w:rPr>
          <w:rFonts w:cs="Arial"/>
        </w:rPr>
        <w:t>Vocciante</w:t>
      </w:r>
      <w:proofErr w:type="spellEnd"/>
      <w:r w:rsidRPr="00502BDC">
        <w:rPr>
          <w:rFonts w:cs="Arial"/>
        </w:rPr>
        <w:t xml:space="preserve"> M., 2022, Sustainable Removal of Nitrates from Wastewater using Membrane Bioreactors. </w:t>
      </w:r>
      <w:r w:rsidRPr="00502BDC">
        <w:rPr>
          <w:rFonts w:cs="Arial"/>
          <w:i/>
          <w:iCs/>
        </w:rPr>
        <w:t>Chemical Engineering Transactions</w:t>
      </w:r>
      <w:r w:rsidRPr="00502BDC">
        <w:rPr>
          <w:rFonts w:cs="Arial"/>
        </w:rPr>
        <w:t xml:space="preserve">, </w:t>
      </w:r>
      <w:r w:rsidRPr="00502BDC">
        <w:rPr>
          <w:rFonts w:cs="Arial"/>
          <w:i/>
          <w:iCs/>
        </w:rPr>
        <w:t xml:space="preserve">91 </w:t>
      </w:r>
      <w:r w:rsidRPr="00502BDC">
        <w:rPr>
          <w:rFonts w:cs="Arial"/>
        </w:rPr>
        <w:t xml:space="preserve">(3), 217–222. &lt;doi.org/10.3303/CET2291037˃ accessed </w:t>
      </w:r>
      <w:r w:rsidR="00D360A5" w:rsidRPr="00502BDC">
        <w:rPr>
          <w:rFonts w:cs="Arial"/>
        </w:rPr>
        <w:t>03</w:t>
      </w:r>
      <w:r w:rsidRPr="00502BDC">
        <w:rPr>
          <w:rFonts w:cs="Arial"/>
        </w:rPr>
        <w:t>/</w:t>
      </w:r>
      <w:r w:rsidR="00D360A5" w:rsidRPr="00502BDC">
        <w:rPr>
          <w:rFonts w:cs="Arial"/>
        </w:rPr>
        <w:t>27</w:t>
      </w:r>
      <w:r w:rsidRPr="00502BDC">
        <w:rPr>
          <w:rFonts w:cs="Arial"/>
        </w:rPr>
        <w:t>/2024.</w:t>
      </w:r>
    </w:p>
    <w:p w14:paraId="541236E0" w14:textId="6691A6CC" w:rsidR="00257EAD" w:rsidRPr="00502BDC" w:rsidRDefault="00257EAD" w:rsidP="006452A0">
      <w:pPr>
        <w:pStyle w:val="CETBodytext"/>
        <w:spacing w:line="240" w:lineRule="auto"/>
        <w:ind w:left="284" w:hanging="284"/>
        <w:rPr>
          <w:lang w:val="en-US"/>
        </w:rPr>
      </w:pPr>
      <w:r w:rsidRPr="00502BDC">
        <w:rPr>
          <w:lang w:val="en-US"/>
        </w:rPr>
        <w:t xml:space="preserve">Priyadharshini SD, Babu PS, Manikandan S., </w:t>
      </w:r>
      <w:proofErr w:type="spellStart"/>
      <w:r w:rsidRPr="00502BDC">
        <w:rPr>
          <w:lang w:val="en-US"/>
        </w:rPr>
        <w:t>Subbaiya</w:t>
      </w:r>
      <w:proofErr w:type="spellEnd"/>
      <w:r w:rsidRPr="00502BDC">
        <w:rPr>
          <w:lang w:val="en-US"/>
        </w:rPr>
        <w:t xml:space="preserve"> R., Govarthanan M., Karmegam N., 2021, Wastewater </w:t>
      </w:r>
      <w:r w:rsidR="00D360A5" w:rsidRPr="00502BDC">
        <w:rPr>
          <w:lang w:val="en-US"/>
        </w:rPr>
        <w:t>Phytoremediation</w:t>
      </w:r>
      <w:r w:rsidRPr="00502BDC">
        <w:rPr>
          <w:lang w:val="en-US"/>
        </w:rPr>
        <w:t xml:space="preserve"> for Pollutant Removal: An Ecological Approach for Long-Term Environmental Protection and Remediation. Reign. Pollution., 290.</w:t>
      </w:r>
    </w:p>
    <w:p w14:paraId="59D00312" w14:textId="77777777" w:rsidR="00257EAD" w:rsidRPr="00502BDC" w:rsidRDefault="00257EAD" w:rsidP="006452A0">
      <w:pPr>
        <w:pStyle w:val="CETBodytext"/>
        <w:spacing w:line="240" w:lineRule="auto"/>
        <w:ind w:left="284" w:hanging="284"/>
        <w:rPr>
          <w:lang w:val="en-US"/>
        </w:rPr>
      </w:pPr>
      <w:r w:rsidRPr="00502BDC">
        <w:rPr>
          <w:lang w:val="en-US"/>
        </w:rPr>
        <w:t xml:space="preserve">Ramírez-Mérida LG, Zepka LQ, Menezes CR, Jacob-Lopes E. 2015, Microalgae as a </w:t>
      </w:r>
      <w:proofErr w:type="spellStart"/>
      <w:r w:rsidRPr="00502BDC">
        <w:rPr>
          <w:lang w:val="en-US"/>
        </w:rPr>
        <w:t>nanofactory</w:t>
      </w:r>
      <w:proofErr w:type="spellEnd"/>
      <w:r w:rsidRPr="00502BDC">
        <w:rPr>
          <w:lang w:val="en-US"/>
        </w:rPr>
        <w:t xml:space="preserve"> </w:t>
      </w:r>
      <w:proofErr w:type="gramStart"/>
      <w:r w:rsidRPr="00502BDC">
        <w:rPr>
          <w:lang w:val="en-US"/>
        </w:rPr>
        <w:t>for the production of</w:t>
      </w:r>
      <w:proofErr w:type="gramEnd"/>
      <w:r w:rsidRPr="00502BDC">
        <w:rPr>
          <w:lang w:val="en-US"/>
        </w:rPr>
        <w:t xml:space="preserve"> antimicrobial molecules. Nanomedicine and Nanotechnology Magazine, S6-004.</w:t>
      </w:r>
    </w:p>
    <w:p w14:paraId="1C129F42" w14:textId="5A517C71" w:rsidR="00257EAD" w:rsidRPr="00502BDC" w:rsidRDefault="00257EAD" w:rsidP="006452A0">
      <w:pPr>
        <w:pStyle w:val="CETReference"/>
        <w:spacing w:before="0" w:after="0"/>
        <w:ind w:left="284" w:hanging="284"/>
        <w:jc w:val="both"/>
        <w:rPr>
          <w:b w:val="0"/>
          <w:bCs/>
          <w:lang w:val="en-US"/>
        </w:rPr>
      </w:pPr>
      <w:r w:rsidRPr="00502BDC">
        <w:rPr>
          <w:b w:val="0"/>
          <w:bCs/>
          <w:lang w:val="en-US"/>
        </w:rPr>
        <w:t>Sayadi, M., Ahmadpour, N., Fallahi CM, Rezaei M., 2016, Removal of nitrate and phosphate from aqueous solutions by microalgae: an experimental study. Global Journal of Environmental Science and Management., 2, 3, 357 – 364.</w:t>
      </w:r>
    </w:p>
    <w:p w14:paraId="11747907" w14:textId="77777777" w:rsidR="00257EAD" w:rsidRPr="00502BDC" w:rsidRDefault="00257EAD" w:rsidP="006452A0">
      <w:pPr>
        <w:pStyle w:val="CETHeading1"/>
        <w:numPr>
          <w:ilvl w:val="0"/>
          <w:numId w:val="0"/>
        </w:numPr>
        <w:spacing w:before="0" w:after="0"/>
        <w:ind w:left="284" w:hanging="284"/>
        <w:jc w:val="both"/>
        <w:rPr>
          <w:b w:val="0"/>
          <w:bCs/>
          <w:sz w:val="18"/>
          <w:szCs w:val="18"/>
          <w:lang w:val="en-US"/>
        </w:rPr>
      </w:pPr>
      <w:proofErr w:type="spellStart"/>
      <w:r w:rsidRPr="00502BDC">
        <w:rPr>
          <w:b w:val="0"/>
          <w:bCs/>
          <w:sz w:val="18"/>
          <w:szCs w:val="18"/>
          <w:lang w:val="en-US"/>
        </w:rPr>
        <w:t>Umamaheswari</w:t>
      </w:r>
      <w:proofErr w:type="spellEnd"/>
      <w:r w:rsidRPr="00502BDC">
        <w:rPr>
          <w:b w:val="0"/>
          <w:bCs/>
          <w:sz w:val="18"/>
          <w:szCs w:val="18"/>
          <w:lang w:val="en-US"/>
        </w:rPr>
        <w:t xml:space="preserve"> J., Shanthakumar S., 2016, Efficacy of microalgae for industrial wastewater treatment: a review of operating conditions, treatment efficiency and biomass productivity. Reviews in Environmental Sciences and Bio/Technology 15(2): 265-284.</w:t>
      </w:r>
    </w:p>
    <w:p w14:paraId="3C53B10C" w14:textId="031FE348" w:rsidR="00257EAD" w:rsidRPr="00502BDC" w:rsidRDefault="00257EAD" w:rsidP="006452A0">
      <w:pPr>
        <w:pStyle w:val="CETBodytext"/>
        <w:spacing w:line="240" w:lineRule="auto"/>
        <w:ind w:left="284" w:hanging="284"/>
        <w:rPr>
          <w:lang w:val="en-US"/>
        </w:rPr>
      </w:pPr>
      <w:r w:rsidRPr="00502BDC">
        <w:rPr>
          <w:lang w:val="en-US"/>
        </w:rPr>
        <w:t xml:space="preserve">Wang C., Luo D., Zhang X., Huang R., Cao Y., Liu G., Zhang Y., Wang H., 2022, Biochar-based </w:t>
      </w:r>
      <w:proofErr w:type="gramStart"/>
      <w:r w:rsidRPr="00502BDC">
        <w:rPr>
          <w:lang w:val="en-US"/>
        </w:rPr>
        <w:t>slow release</w:t>
      </w:r>
      <w:proofErr w:type="gramEnd"/>
      <w:r w:rsidRPr="00502BDC">
        <w:rPr>
          <w:lang w:val="en-US"/>
        </w:rPr>
        <w:t xml:space="preserve"> fertilizers for sustainable agriculture: a mini review. Reign. Science. </w:t>
      </w:r>
      <w:proofErr w:type="spellStart"/>
      <w:r w:rsidRPr="00502BDC">
        <w:rPr>
          <w:lang w:val="en-US"/>
        </w:rPr>
        <w:t>Ecotecnol</w:t>
      </w:r>
      <w:proofErr w:type="spellEnd"/>
      <w:r w:rsidRPr="00502BDC">
        <w:rPr>
          <w:lang w:val="en-US"/>
        </w:rPr>
        <w:t>, 10</w:t>
      </w:r>
    </w:p>
    <w:p w14:paraId="39959C60" w14:textId="74F3A994" w:rsidR="004C6E2A" w:rsidRPr="00E27136" w:rsidRDefault="00257EAD" w:rsidP="00E27136">
      <w:pPr>
        <w:pStyle w:val="CETHeading1"/>
        <w:numPr>
          <w:ilvl w:val="0"/>
          <w:numId w:val="0"/>
        </w:numPr>
        <w:spacing w:before="0" w:after="0"/>
        <w:ind w:left="284" w:hanging="284"/>
        <w:jc w:val="both"/>
        <w:rPr>
          <w:b w:val="0"/>
          <w:bCs/>
          <w:sz w:val="18"/>
          <w:szCs w:val="18"/>
          <w:lang w:val="en-US"/>
        </w:rPr>
      </w:pPr>
      <w:r w:rsidRPr="00502BDC">
        <w:rPr>
          <w:b w:val="0"/>
          <w:bCs/>
          <w:sz w:val="18"/>
          <w:szCs w:val="18"/>
          <w:lang w:val="en-US"/>
        </w:rPr>
        <w:t>Wang L., Min M., Li y., Chen P., Chen Y., Liu Y., Wang Y., Ruan R., 2010. Cultivation of green algae Chlorella sp. in different wastewater from the municipal wastewater treatment plant. Applied Biochemistry and Biotechnology, 162(4),1174-1186.</w:t>
      </w:r>
    </w:p>
    <w:sectPr w:rsidR="004C6E2A" w:rsidRPr="00E27136" w:rsidSect="007301C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C3C0" w14:textId="77777777" w:rsidR="007301CD" w:rsidRPr="00502BDC" w:rsidRDefault="007301CD" w:rsidP="004F5E36">
      <w:r w:rsidRPr="00502BDC">
        <w:separator/>
      </w:r>
    </w:p>
  </w:endnote>
  <w:endnote w:type="continuationSeparator" w:id="0">
    <w:p w14:paraId="0A21DA6B" w14:textId="77777777" w:rsidR="007301CD" w:rsidRPr="00502BDC" w:rsidRDefault="007301CD" w:rsidP="004F5E36">
      <w:r w:rsidRPr="00502BDC">
        <w:continuationSeparator/>
      </w:r>
    </w:p>
  </w:endnote>
  <w:endnote w:type="continuationNotice" w:id="1">
    <w:p w14:paraId="4EC81739" w14:textId="77777777" w:rsidR="007301CD" w:rsidRPr="00502BDC" w:rsidRDefault="007301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7CF9" w14:textId="77777777" w:rsidR="007301CD" w:rsidRPr="00502BDC" w:rsidRDefault="007301CD" w:rsidP="004F5E36">
      <w:r w:rsidRPr="00502BDC">
        <w:separator/>
      </w:r>
    </w:p>
  </w:footnote>
  <w:footnote w:type="continuationSeparator" w:id="0">
    <w:p w14:paraId="7016E201" w14:textId="77777777" w:rsidR="007301CD" w:rsidRPr="00502BDC" w:rsidRDefault="007301CD" w:rsidP="004F5E36">
      <w:r w:rsidRPr="00502BDC">
        <w:continuationSeparator/>
      </w:r>
    </w:p>
  </w:footnote>
  <w:footnote w:type="continuationNotice" w:id="1">
    <w:p w14:paraId="66AC9470" w14:textId="77777777" w:rsidR="007301CD" w:rsidRPr="00502BDC" w:rsidRDefault="007301C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CA76603"/>
    <w:multiLevelType w:val="multilevel"/>
    <w:tmpl w:val="4DE83706"/>
    <w:lvl w:ilvl="0">
      <w:start w:val="2"/>
      <w:numFmt w:val="decimal"/>
      <w:lvlText w:val="%1."/>
      <w:lvlJc w:val="left"/>
      <w:pPr>
        <w:ind w:left="4046" w:hanging="360"/>
      </w:pPr>
      <w:rPr>
        <w:rFonts w:hint="default"/>
      </w:rPr>
    </w:lvl>
    <w:lvl w:ilvl="1">
      <w:start w:val="2"/>
      <w:numFmt w:val="decimal"/>
      <w:lvlText w:val="%1.%2."/>
      <w:lvlJc w:val="left"/>
      <w:pPr>
        <w:ind w:left="1778"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503731E"/>
    <w:multiLevelType w:val="multilevel"/>
    <w:tmpl w:val="16A2A856"/>
    <w:lvl w:ilvl="0">
      <w:start w:val="1"/>
      <w:numFmt w:val="decimal"/>
      <w:lvlText w:val="%1."/>
      <w:lvlJc w:val="left"/>
      <w:pPr>
        <w:ind w:left="1637" w:hanging="360"/>
      </w:pPr>
      <w:rPr>
        <w:rFonts w:hint="default"/>
      </w:rPr>
    </w:lvl>
    <w:lvl w:ilvl="1">
      <w:start w:val="1"/>
      <w:numFmt w:val="decimal"/>
      <w:isLgl/>
      <w:lvlText w:val="%1.%2."/>
      <w:lvlJc w:val="left"/>
      <w:pPr>
        <w:ind w:left="1519" w:hanging="384"/>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2"/>
  </w:num>
  <w:num w:numId="14" w16cid:durableId="145903400">
    <w:abstractNumId w:val="19"/>
  </w:num>
  <w:num w:numId="15" w16cid:durableId="19162326">
    <w:abstractNumId w:val="22"/>
  </w:num>
  <w:num w:numId="16" w16cid:durableId="1977102699">
    <w:abstractNumId w:val="21"/>
  </w:num>
  <w:num w:numId="17" w16cid:durableId="860774865">
    <w:abstractNumId w:val="11"/>
  </w:num>
  <w:num w:numId="18" w16cid:durableId="313221457">
    <w:abstractNumId w:val="12"/>
    <w:lvlOverride w:ilvl="0">
      <w:startOverride w:val="1"/>
    </w:lvlOverride>
  </w:num>
  <w:num w:numId="19" w16cid:durableId="534971577">
    <w:abstractNumId w:val="17"/>
  </w:num>
  <w:num w:numId="20" w16cid:durableId="1150947773">
    <w:abstractNumId w:val="16"/>
  </w:num>
  <w:num w:numId="21" w16cid:durableId="124660497">
    <w:abstractNumId w:val="14"/>
  </w:num>
  <w:num w:numId="22" w16cid:durableId="2099861471">
    <w:abstractNumId w:val="13"/>
  </w:num>
  <w:num w:numId="23" w16cid:durableId="1666779852">
    <w:abstractNumId w:val="20"/>
  </w:num>
  <w:num w:numId="24" w16cid:durableId="15427396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9F1"/>
    <w:rsid w:val="000052FB"/>
    <w:rsid w:val="00005406"/>
    <w:rsid w:val="000117CB"/>
    <w:rsid w:val="000238FB"/>
    <w:rsid w:val="0003148D"/>
    <w:rsid w:val="00031EEC"/>
    <w:rsid w:val="00033A59"/>
    <w:rsid w:val="00046A39"/>
    <w:rsid w:val="000472F2"/>
    <w:rsid w:val="00051566"/>
    <w:rsid w:val="000562A9"/>
    <w:rsid w:val="00057640"/>
    <w:rsid w:val="00062A9A"/>
    <w:rsid w:val="00065058"/>
    <w:rsid w:val="00072A84"/>
    <w:rsid w:val="00073BAD"/>
    <w:rsid w:val="00086C39"/>
    <w:rsid w:val="00092BBC"/>
    <w:rsid w:val="00093034"/>
    <w:rsid w:val="000931D8"/>
    <w:rsid w:val="000A03B2"/>
    <w:rsid w:val="000A29D4"/>
    <w:rsid w:val="000A5919"/>
    <w:rsid w:val="000D0268"/>
    <w:rsid w:val="000D0302"/>
    <w:rsid w:val="000D34BE"/>
    <w:rsid w:val="000E102F"/>
    <w:rsid w:val="000E2DA3"/>
    <w:rsid w:val="000E36F1"/>
    <w:rsid w:val="000E3A73"/>
    <w:rsid w:val="000E414A"/>
    <w:rsid w:val="000F093C"/>
    <w:rsid w:val="000F787B"/>
    <w:rsid w:val="00114FAE"/>
    <w:rsid w:val="0012091F"/>
    <w:rsid w:val="00126BC2"/>
    <w:rsid w:val="001308B6"/>
    <w:rsid w:val="0013121F"/>
    <w:rsid w:val="00131FE6"/>
    <w:rsid w:val="0013263F"/>
    <w:rsid w:val="001327BB"/>
    <w:rsid w:val="001331DF"/>
    <w:rsid w:val="00134DE4"/>
    <w:rsid w:val="0014034D"/>
    <w:rsid w:val="00144D16"/>
    <w:rsid w:val="0014794B"/>
    <w:rsid w:val="00150E59"/>
    <w:rsid w:val="00152DE3"/>
    <w:rsid w:val="00156F74"/>
    <w:rsid w:val="00164CF9"/>
    <w:rsid w:val="001667A6"/>
    <w:rsid w:val="00180666"/>
    <w:rsid w:val="00182A46"/>
    <w:rsid w:val="00184AD6"/>
    <w:rsid w:val="001923AB"/>
    <w:rsid w:val="00193E14"/>
    <w:rsid w:val="001A4AF7"/>
    <w:rsid w:val="001B0349"/>
    <w:rsid w:val="001B1E93"/>
    <w:rsid w:val="001B65C1"/>
    <w:rsid w:val="001C4EDA"/>
    <w:rsid w:val="001C684B"/>
    <w:rsid w:val="001D0CFB"/>
    <w:rsid w:val="001D21AF"/>
    <w:rsid w:val="001D53FC"/>
    <w:rsid w:val="001E4360"/>
    <w:rsid w:val="001F42A5"/>
    <w:rsid w:val="001F7B9D"/>
    <w:rsid w:val="00201C93"/>
    <w:rsid w:val="002224B4"/>
    <w:rsid w:val="002238DF"/>
    <w:rsid w:val="0023003B"/>
    <w:rsid w:val="002447EF"/>
    <w:rsid w:val="00251550"/>
    <w:rsid w:val="0025452A"/>
    <w:rsid w:val="00257EAD"/>
    <w:rsid w:val="00263B05"/>
    <w:rsid w:val="00264FA4"/>
    <w:rsid w:val="0027221A"/>
    <w:rsid w:val="002753EA"/>
    <w:rsid w:val="00275B61"/>
    <w:rsid w:val="002761A3"/>
    <w:rsid w:val="00280FAF"/>
    <w:rsid w:val="00282656"/>
    <w:rsid w:val="00296B83"/>
    <w:rsid w:val="002B4015"/>
    <w:rsid w:val="002B78CE"/>
    <w:rsid w:val="002C06F8"/>
    <w:rsid w:val="002C2FB6"/>
    <w:rsid w:val="002C53EB"/>
    <w:rsid w:val="002E5FA7"/>
    <w:rsid w:val="002F3169"/>
    <w:rsid w:val="002F3309"/>
    <w:rsid w:val="003008CE"/>
    <w:rsid w:val="003009B7"/>
    <w:rsid w:val="00300E56"/>
    <w:rsid w:val="0030152C"/>
    <w:rsid w:val="0030239E"/>
    <w:rsid w:val="0030469C"/>
    <w:rsid w:val="00307E7F"/>
    <w:rsid w:val="00316930"/>
    <w:rsid w:val="00321CA6"/>
    <w:rsid w:val="00323763"/>
    <w:rsid w:val="00323C5F"/>
    <w:rsid w:val="0032468D"/>
    <w:rsid w:val="0032789E"/>
    <w:rsid w:val="00331D18"/>
    <w:rsid w:val="00334C09"/>
    <w:rsid w:val="00341AEA"/>
    <w:rsid w:val="00343BC6"/>
    <w:rsid w:val="00351593"/>
    <w:rsid w:val="003723D4"/>
    <w:rsid w:val="00381905"/>
    <w:rsid w:val="00384CC8"/>
    <w:rsid w:val="003871FD"/>
    <w:rsid w:val="003935C9"/>
    <w:rsid w:val="003A1E30"/>
    <w:rsid w:val="003A2829"/>
    <w:rsid w:val="003A6FC6"/>
    <w:rsid w:val="003A74C1"/>
    <w:rsid w:val="003A7D1C"/>
    <w:rsid w:val="003B0B26"/>
    <w:rsid w:val="003B304B"/>
    <w:rsid w:val="003B3146"/>
    <w:rsid w:val="003F015E"/>
    <w:rsid w:val="003F2AE1"/>
    <w:rsid w:val="00400414"/>
    <w:rsid w:val="00407EC3"/>
    <w:rsid w:val="0041446B"/>
    <w:rsid w:val="0041559D"/>
    <w:rsid w:val="00417ED8"/>
    <w:rsid w:val="004320FE"/>
    <w:rsid w:val="0044071E"/>
    <w:rsid w:val="004410A1"/>
    <w:rsid w:val="00441C0F"/>
    <w:rsid w:val="0044329C"/>
    <w:rsid w:val="00453E24"/>
    <w:rsid w:val="00457456"/>
    <w:rsid w:val="004577FE"/>
    <w:rsid w:val="00457B9C"/>
    <w:rsid w:val="0046164A"/>
    <w:rsid w:val="004628D2"/>
    <w:rsid w:val="00462DCD"/>
    <w:rsid w:val="004648AD"/>
    <w:rsid w:val="004703A9"/>
    <w:rsid w:val="00470E13"/>
    <w:rsid w:val="004760DE"/>
    <w:rsid w:val="004761E9"/>
    <w:rsid w:val="004763D7"/>
    <w:rsid w:val="00476F38"/>
    <w:rsid w:val="00481487"/>
    <w:rsid w:val="0048208B"/>
    <w:rsid w:val="00483495"/>
    <w:rsid w:val="004A004E"/>
    <w:rsid w:val="004A1EB9"/>
    <w:rsid w:val="004A24CF"/>
    <w:rsid w:val="004C3D1D"/>
    <w:rsid w:val="004C3D84"/>
    <w:rsid w:val="004C6E2A"/>
    <w:rsid w:val="004C7913"/>
    <w:rsid w:val="004D6DA0"/>
    <w:rsid w:val="004E4DD6"/>
    <w:rsid w:val="004F043F"/>
    <w:rsid w:val="004F5E36"/>
    <w:rsid w:val="00502BDC"/>
    <w:rsid w:val="00507B47"/>
    <w:rsid w:val="00507BEF"/>
    <w:rsid w:val="00507CC9"/>
    <w:rsid w:val="005119A5"/>
    <w:rsid w:val="00515B7E"/>
    <w:rsid w:val="00516AAC"/>
    <w:rsid w:val="00526165"/>
    <w:rsid w:val="005278B7"/>
    <w:rsid w:val="00532016"/>
    <w:rsid w:val="005323DF"/>
    <w:rsid w:val="005346C8"/>
    <w:rsid w:val="00543E7D"/>
    <w:rsid w:val="00547A68"/>
    <w:rsid w:val="00551522"/>
    <w:rsid w:val="005531C9"/>
    <w:rsid w:val="00564BD7"/>
    <w:rsid w:val="00570C43"/>
    <w:rsid w:val="00570F93"/>
    <w:rsid w:val="00576E0D"/>
    <w:rsid w:val="005851AD"/>
    <w:rsid w:val="005A3597"/>
    <w:rsid w:val="005B2110"/>
    <w:rsid w:val="005B21C8"/>
    <w:rsid w:val="005B61E6"/>
    <w:rsid w:val="005B7ABC"/>
    <w:rsid w:val="005C77E1"/>
    <w:rsid w:val="005D668A"/>
    <w:rsid w:val="005D6A2F"/>
    <w:rsid w:val="005E1A82"/>
    <w:rsid w:val="005E794C"/>
    <w:rsid w:val="005F0A28"/>
    <w:rsid w:val="005F0E5E"/>
    <w:rsid w:val="005F6147"/>
    <w:rsid w:val="00600535"/>
    <w:rsid w:val="006075A5"/>
    <w:rsid w:val="00610CD6"/>
    <w:rsid w:val="00613DD2"/>
    <w:rsid w:val="00620DEE"/>
    <w:rsid w:val="00621F92"/>
    <w:rsid w:val="0062280A"/>
    <w:rsid w:val="00625639"/>
    <w:rsid w:val="00631B33"/>
    <w:rsid w:val="0064184D"/>
    <w:rsid w:val="006422CC"/>
    <w:rsid w:val="00644ACE"/>
    <w:rsid w:val="006452A0"/>
    <w:rsid w:val="006466E2"/>
    <w:rsid w:val="00660E3E"/>
    <w:rsid w:val="00662E74"/>
    <w:rsid w:val="0066640C"/>
    <w:rsid w:val="00680C23"/>
    <w:rsid w:val="00693766"/>
    <w:rsid w:val="00697E8B"/>
    <w:rsid w:val="006A23E9"/>
    <w:rsid w:val="006A3281"/>
    <w:rsid w:val="006B4888"/>
    <w:rsid w:val="006B6CBE"/>
    <w:rsid w:val="006C2E45"/>
    <w:rsid w:val="006C359C"/>
    <w:rsid w:val="006C5579"/>
    <w:rsid w:val="006D6E8B"/>
    <w:rsid w:val="006E1222"/>
    <w:rsid w:val="006E1C26"/>
    <w:rsid w:val="006E4E51"/>
    <w:rsid w:val="006E737D"/>
    <w:rsid w:val="00707568"/>
    <w:rsid w:val="00710F56"/>
    <w:rsid w:val="00711CE2"/>
    <w:rsid w:val="00713973"/>
    <w:rsid w:val="00720A24"/>
    <w:rsid w:val="00725EBC"/>
    <w:rsid w:val="007301CD"/>
    <w:rsid w:val="00732386"/>
    <w:rsid w:val="00733B17"/>
    <w:rsid w:val="0073514D"/>
    <w:rsid w:val="007447F3"/>
    <w:rsid w:val="00750037"/>
    <w:rsid w:val="0075499F"/>
    <w:rsid w:val="007661C8"/>
    <w:rsid w:val="0077098D"/>
    <w:rsid w:val="00781FCE"/>
    <w:rsid w:val="00782F53"/>
    <w:rsid w:val="00785323"/>
    <w:rsid w:val="007931FA"/>
    <w:rsid w:val="00797C5E"/>
    <w:rsid w:val="007A180E"/>
    <w:rsid w:val="007A4861"/>
    <w:rsid w:val="007A7BBA"/>
    <w:rsid w:val="007B0C50"/>
    <w:rsid w:val="007B27B2"/>
    <w:rsid w:val="007B48F9"/>
    <w:rsid w:val="007B7A01"/>
    <w:rsid w:val="007C1A43"/>
    <w:rsid w:val="007D0951"/>
    <w:rsid w:val="007E4B88"/>
    <w:rsid w:val="007F05BE"/>
    <w:rsid w:val="007F53AE"/>
    <w:rsid w:val="0080013E"/>
    <w:rsid w:val="00813288"/>
    <w:rsid w:val="008168FC"/>
    <w:rsid w:val="00830996"/>
    <w:rsid w:val="008345F1"/>
    <w:rsid w:val="00843EAC"/>
    <w:rsid w:val="00851F1F"/>
    <w:rsid w:val="00865B07"/>
    <w:rsid w:val="008667EA"/>
    <w:rsid w:val="0087637F"/>
    <w:rsid w:val="00877247"/>
    <w:rsid w:val="008868D9"/>
    <w:rsid w:val="00892AD5"/>
    <w:rsid w:val="008A1512"/>
    <w:rsid w:val="008B7C03"/>
    <w:rsid w:val="008C2ED8"/>
    <w:rsid w:val="008D32B9"/>
    <w:rsid w:val="008D433B"/>
    <w:rsid w:val="008D4A16"/>
    <w:rsid w:val="008E0056"/>
    <w:rsid w:val="008E2E07"/>
    <w:rsid w:val="008E566E"/>
    <w:rsid w:val="0090161A"/>
    <w:rsid w:val="00901EB6"/>
    <w:rsid w:val="00902EDA"/>
    <w:rsid w:val="00904C62"/>
    <w:rsid w:val="00920F7F"/>
    <w:rsid w:val="00922BA8"/>
    <w:rsid w:val="00924DAC"/>
    <w:rsid w:val="00924E44"/>
    <w:rsid w:val="00927058"/>
    <w:rsid w:val="00930EA8"/>
    <w:rsid w:val="00942750"/>
    <w:rsid w:val="009442FB"/>
    <w:rsid w:val="009450CE"/>
    <w:rsid w:val="009459BB"/>
    <w:rsid w:val="00947179"/>
    <w:rsid w:val="0095164B"/>
    <w:rsid w:val="00952B7E"/>
    <w:rsid w:val="00954090"/>
    <w:rsid w:val="009573E7"/>
    <w:rsid w:val="0096178A"/>
    <w:rsid w:val="00963E05"/>
    <w:rsid w:val="00964A45"/>
    <w:rsid w:val="00967843"/>
    <w:rsid w:val="00967D54"/>
    <w:rsid w:val="00971028"/>
    <w:rsid w:val="009819DF"/>
    <w:rsid w:val="00985C08"/>
    <w:rsid w:val="009923C9"/>
    <w:rsid w:val="00993947"/>
    <w:rsid w:val="00993B84"/>
    <w:rsid w:val="00996483"/>
    <w:rsid w:val="00996F5A"/>
    <w:rsid w:val="009A2E5F"/>
    <w:rsid w:val="009B041A"/>
    <w:rsid w:val="009C37C3"/>
    <w:rsid w:val="009C5E54"/>
    <w:rsid w:val="009C7C86"/>
    <w:rsid w:val="009D2FF7"/>
    <w:rsid w:val="009D3619"/>
    <w:rsid w:val="009E02A4"/>
    <w:rsid w:val="009E7884"/>
    <w:rsid w:val="009E788A"/>
    <w:rsid w:val="009F0E08"/>
    <w:rsid w:val="00A03939"/>
    <w:rsid w:val="00A1763D"/>
    <w:rsid w:val="00A17CEC"/>
    <w:rsid w:val="00A27EF0"/>
    <w:rsid w:val="00A33544"/>
    <w:rsid w:val="00A36977"/>
    <w:rsid w:val="00A41CAF"/>
    <w:rsid w:val="00A42361"/>
    <w:rsid w:val="00A50B20"/>
    <w:rsid w:val="00A51390"/>
    <w:rsid w:val="00A55998"/>
    <w:rsid w:val="00A60D13"/>
    <w:rsid w:val="00A654A8"/>
    <w:rsid w:val="00A7223D"/>
    <w:rsid w:val="00A72745"/>
    <w:rsid w:val="00A76EFC"/>
    <w:rsid w:val="00A83960"/>
    <w:rsid w:val="00A87D50"/>
    <w:rsid w:val="00A91010"/>
    <w:rsid w:val="00A97F29"/>
    <w:rsid w:val="00AA4A56"/>
    <w:rsid w:val="00AA702E"/>
    <w:rsid w:val="00AA7D26"/>
    <w:rsid w:val="00AB0964"/>
    <w:rsid w:val="00AB4BB1"/>
    <w:rsid w:val="00AB5011"/>
    <w:rsid w:val="00AC001A"/>
    <w:rsid w:val="00AC2539"/>
    <w:rsid w:val="00AC7368"/>
    <w:rsid w:val="00AC76D6"/>
    <w:rsid w:val="00AD16B9"/>
    <w:rsid w:val="00AD63C5"/>
    <w:rsid w:val="00AE09F2"/>
    <w:rsid w:val="00AE377D"/>
    <w:rsid w:val="00AE5C20"/>
    <w:rsid w:val="00AF00D9"/>
    <w:rsid w:val="00AF0EBA"/>
    <w:rsid w:val="00AF6B10"/>
    <w:rsid w:val="00B01FC6"/>
    <w:rsid w:val="00B02C8A"/>
    <w:rsid w:val="00B15EBF"/>
    <w:rsid w:val="00B17FBD"/>
    <w:rsid w:val="00B2000F"/>
    <w:rsid w:val="00B27CFF"/>
    <w:rsid w:val="00B315A6"/>
    <w:rsid w:val="00B31813"/>
    <w:rsid w:val="00B32BC4"/>
    <w:rsid w:val="00B33365"/>
    <w:rsid w:val="00B3362D"/>
    <w:rsid w:val="00B37975"/>
    <w:rsid w:val="00B53F7E"/>
    <w:rsid w:val="00B5422F"/>
    <w:rsid w:val="00B57B36"/>
    <w:rsid w:val="00B57E6F"/>
    <w:rsid w:val="00B8686D"/>
    <w:rsid w:val="00B87B13"/>
    <w:rsid w:val="00B93F69"/>
    <w:rsid w:val="00BB1DDC"/>
    <w:rsid w:val="00BC30C9"/>
    <w:rsid w:val="00BD077D"/>
    <w:rsid w:val="00BE293D"/>
    <w:rsid w:val="00BE3E58"/>
    <w:rsid w:val="00BF0461"/>
    <w:rsid w:val="00BF3C24"/>
    <w:rsid w:val="00BF4B6A"/>
    <w:rsid w:val="00C01616"/>
    <w:rsid w:val="00C0162B"/>
    <w:rsid w:val="00C04707"/>
    <w:rsid w:val="00C04FAB"/>
    <w:rsid w:val="00C068ED"/>
    <w:rsid w:val="00C22E0C"/>
    <w:rsid w:val="00C345B1"/>
    <w:rsid w:val="00C375F9"/>
    <w:rsid w:val="00C40142"/>
    <w:rsid w:val="00C4165A"/>
    <w:rsid w:val="00C52C3C"/>
    <w:rsid w:val="00C56A78"/>
    <w:rsid w:val="00C57182"/>
    <w:rsid w:val="00C57863"/>
    <w:rsid w:val="00C640AF"/>
    <w:rsid w:val="00C655FD"/>
    <w:rsid w:val="00C734BF"/>
    <w:rsid w:val="00C75407"/>
    <w:rsid w:val="00C870A8"/>
    <w:rsid w:val="00C94434"/>
    <w:rsid w:val="00CA0D4A"/>
    <w:rsid w:val="00CA0D75"/>
    <w:rsid w:val="00CA1C95"/>
    <w:rsid w:val="00CA5A9C"/>
    <w:rsid w:val="00CA6B4F"/>
    <w:rsid w:val="00CA7EBA"/>
    <w:rsid w:val="00CB7030"/>
    <w:rsid w:val="00CB7896"/>
    <w:rsid w:val="00CC4C20"/>
    <w:rsid w:val="00CD3517"/>
    <w:rsid w:val="00CD5FE2"/>
    <w:rsid w:val="00CE5440"/>
    <w:rsid w:val="00CE7C68"/>
    <w:rsid w:val="00CF2EB3"/>
    <w:rsid w:val="00D01488"/>
    <w:rsid w:val="00D02B4C"/>
    <w:rsid w:val="00D040C4"/>
    <w:rsid w:val="00D14480"/>
    <w:rsid w:val="00D20AD1"/>
    <w:rsid w:val="00D360A5"/>
    <w:rsid w:val="00D46B7E"/>
    <w:rsid w:val="00D57C84"/>
    <w:rsid w:val="00D57E52"/>
    <w:rsid w:val="00D6057D"/>
    <w:rsid w:val="00D60D99"/>
    <w:rsid w:val="00D648EC"/>
    <w:rsid w:val="00D71640"/>
    <w:rsid w:val="00D77AC1"/>
    <w:rsid w:val="00D836C5"/>
    <w:rsid w:val="00D84576"/>
    <w:rsid w:val="00DA1399"/>
    <w:rsid w:val="00DA24C6"/>
    <w:rsid w:val="00DA4D7B"/>
    <w:rsid w:val="00DB3233"/>
    <w:rsid w:val="00DB7C8F"/>
    <w:rsid w:val="00DD1173"/>
    <w:rsid w:val="00DD271C"/>
    <w:rsid w:val="00DD4671"/>
    <w:rsid w:val="00DE264A"/>
    <w:rsid w:val="00DF5072"/>
    <w:rsid w:val="00DF5E5A"/>
    <w:rsid w:val="00DF6A69"/>
    <w:rsid w:val="00E02D18"/>
    <w:rsid w:val="00E041E7"/>
    <w:rsid w:val="00E06B36"/>
    <w:rsid w:val="00E23CA1"/>
    <w:rsid w:val="00E2693C"/>
    <w:rsid w:val="00E26983"/>
    <w:rsid w:val="00E27136"/>
    <w:rsid w:val="00E30F4D"/>
    <w:rsid w:val="00E33DD7"/>
    <w:rsid w:val="00E369ED"/>
    <w:rsid w:val="00E409A8"/>
    <w:rsid w:val="00E50C12"/>
    <w:rsid w:val="00E50E1A"/>
    <w:rsid w:val="00E65B91"/>
    <w:rsid w:val="00E72045"/>
    <w:rsid w:val="00E7209D"/>
    <w:rsid w:val="00E72EAD"/>
    <w:rsid w:val="00E77223"/>
    <w:rsid w:val="00E8528B"/>
    <w:rsid w:val="00E85B94"/>
    <w:rsid w:val="00E978D0"/>
    <w:rsid w:val="00EA1F83"/>
    <w:rsid w:val="00EA232F"/>
    <w:rsid w:val="00EA394E"/>
    <w:rsid w:val="00EA4613"/>
    <w:rsid w:val="00EA7F91"/>
    <w:rsid w:val="00EB06DE"/>
    <w:rsid w:val="00EB1523"/>
    <w:rsid w:val="00EC0E49"/>
    <w:rsid w:val="00EC101F"/>
    <w:rsid w:val="00EC1D9F"/>
    <w:rsid w:val="00EC278C"/>
    <w:rsid w:val="00EE0131"/>
    <w:rsid w:val="00EE17B0"/>
    <w:rsid w:val="00EF06D9"/>
    <w:rsid w:val="00EF4F17"/>
    <w:rsid w:val="00F01F38"/>
    <w:rsid w:val="00F13F47"/>
    <w:rsid w:val="00F23A4A"/>
    <w:rsid w:val="00F3049E"/>
    <w:rsid w:val="00F30C64"/>
    <w:rsid w:val="00F32BA2"/>
    <w:rsid w:val="00F32CDB"/>
    <w:rsid w:val="00F36860"/>
    <w:rsid w:val="00F565FE"/>
    <w:rsid w:val="00F63A70"/>
    <w:rsid w:val="00F63D8C"/>
    <w:rsid w:val="00F7534E"/>
    <w:rsid w:val="00F840E4"/>
    <w:rsid w:val="00F93EDF"/>
    <w:rsid w:val="00FA1802"/>
    <w:rsid w:val="00FA21D0"/>
    <w:rsid w:val="00FA5743"/>
    <w:rsid w:val="00FA5F5F"/>
    <w:rsid w:val="00FB730C"/>
    <w:rsid w:val="00FC2695"/>
    <w:rsid w:val="00FC3E03"/>
    <w:rsid w:val="00FC3FC1"/>
    <w:rsid w:val="00FF676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US"/>
    </w:rPr>
  </w:style>
  <w:style w:type="paragraph" w:styleId="Ttulo1">
    <w:name w:val="heading 1"/>
    <w:basedOn w:val="CETHeading1"/>
    <w:next w:val="Normal"/>
    <w:link w:val="Ttulo1Car"/>
    <w:uiPriority w:val="9"/>
    <w:rsid w:val="004F5E36"/>
    <w:pPr>
      <w:tabs>
        <w:tab w:val="clear" w:pos="360"/>
        <w:tab w:val="right" w:pos="7100"/>
      </w:tabs>
      <w:jc w:val="both"/>
      <w:outlineLvl w:val="0"/>
    </w:p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rPr>
  </w:style>
  <w:style w:type="character" w:customStyle="1" w:styleId="CETAuthorsCarattere">
    <w:name w:val="CET Authors Carattere"/>
    <w:link w:val="CETAuthors"/>
    <w:rsid w:val="009E788A"/>
    <w:rPr>
      <w:rFonts w:ascii="Arial" w:eastAsia="Times New Roman" w:hAnsi="Arial" w:cs="Times New Roman"/>
      <w:noProof/>
      <w:sz w:val="24"/>
      <w:szCs w:val="20"/>
      <w:lang w:val="en"/>
    </w:rPr>
  </w:style>
  <w:style w:type="character" w:customStyle="1" w:styleId="CETTitleCarattere">
    <w:name w:val="CET Title Carattere"/>
    <w:link w:val="CETTitle"/>
    <w:rsid w:val="00FB730C"/>
    <w:rPr>
      <w:rFonts w:ascii="Arial" w:eastAsia="Times New Roman" w:hAnsi="Arial" w:cs="Times New Roman"/>
      <w:sz w:val="32"/>
      <w:szCs w:val="20"/>
      <w:lang w:val="en"/>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rPr>
  </w:style>
  <w:style w:type="character" w:customStyle="1" w:styleId="CETheadingxCarattere">
    <w:name w:val="CET headingx Carattere"/>
    <w:link w:val="CETheadingx"/>
    <w:rsid w:val="00FA5F5F"/>
    <w:rPr>
      <w:rFonts w:ascii="Arial" w:eastAsia="Times New Roman" w:hAnsi="Arial" w:cs="Times New Roman"/>
      <w:b/>
      <w:sz w:val="18"/>
      <w:szCs w:val="20"/>
      <w:lang w:val="en"/>
    </w:rPr>
  </w:style>
  <w:style w:type="character" w:customStyle="1" w:styleId="CETCaptionCarattere">
    <w:name w:val="CET Caption Carattere"/>
    <w:link w:val="CETCaption"/>
    <w:rsid w:val="00F7534E"/>
    <w:rPr>
      <w:rFonts w:ascii="Arial" w:eastAsia="Times New Roman" w:hAnsi="Arial" w:cs="Times New Roman"/>
      <w:i/>
      <w:sz w:val="18"/>
      <w:szCs w:val="20"/>
      <w:lang w:val="en"/>
    </w:rPr>
  </w:style>
  <w:style w:type="paragraph" w:customStyle="1" w:styleId="CETBodytextItalic">
    <w:name w:val="CET Body text (Italic)"/>
    <w:basedOn w:val="CETBodytext"/>
    <w:qFormat/>
    <w:rsid w:val="004F5E36"/>
    <w:rPr>
      <w:i/>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rPr>
  </w:style>
  <w:style w:type="paragraph" w:customStyle="1" w:styleId="CETEquation">
    <w:name w:val="CET Equation"/>
    <w:basedOn w:val="CETBodytext"/>
    <w:next w:val="CETBodytext"/>
    <w:qFormat/>
    <w:rsid w:val="00600535"/>
    <w:pPr>
      <w:spacing w:before="120" w:after="120"/>
      <w:jc w:val="left"/>
    </w:p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
    </w:rPr>
  </w:style>
  <w:style w:type="paragraph" w:styleId="Prrafodelista">
    <w:name w:val="List Paragraph"/>
    <w:basedOn w:val="Normal"/>
    <w:uiPriority w:val="34"/>
    <w:rsid w:val="00280FAF"/>
    <w:pPr>
      <w:ind w:left="720"/>
      <w:contextualSpacing/>
    </w:pPr>
  </w:style>
  <w:style w:type="character" w:styleId="Mencinsinresolver">
    <w:name w:val="Unresolved Mention"/>
    <w:basedOn w:val="Fuentedeprrafopredeter"/>
    <w:uiPriority w:val="99"/>
    <w:semiHidden/>
    <w:unhideWhenUsed/>
    <w:rsid w:val="00725EBC"/>
    <w:rPr>
      <w:color w:val="605E5C"/>
      <w:shd w:val="clear" w:color="auto" w:fill="E1DFDD"/>
    </w:rPr>
  </w:style>
  <w:style w:type="character" w:styleId="Textodelmarcadordeposicin">
    <w:name w:val="Placeholder Text"/>
    <w:basedOn w:val="Fuentedeprrafopredeter"/>
    <w:uiPriority w:val="99"/>
    <w:semiHidden/>
    <w:rsid w:val="00046A3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eacostas@ucv.edu.p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3235</Words>
  <Characters>18767</Characters>
  <Application>Microsoft Office Word</Application>
  <DocSecurity>0</DocSecurity>
  <Lines>357</Lines>
  <Paragraphs>140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Danny Alonso Lizarzaburu Aguinaga</cp:lastModifiedBy>
  <cp:revision>6</cp:revision>
  <cp:lastPrinted>2015-05-12T18:31:00Z</cp:lastPrinted>
  <dcterms:created xsi:type="dcterms:W3CDTF">2024-04-05T23:38:00Z</dcterms:created>
  <dcterms:modified xsi:type="dcterms:W3CDTF">2024-04-07T00:05:00Z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97f4e147076c1f0e2652c36abde9329e0c5e99d69d35849262ed0062d12353e8</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http://csl.mendeley.com/styles/585916951/iso690-author-date-es</vt:lpwstr>
  </property>
  <property fmtid="{D5CDD505-2E9C-101B-9397-08002B2CF9AE}" pid="18" name="Mendeley Recent Style Name 6_1">
    <vt:lpwstr>ISO-690 (author-date, Español) - Danny Alonso Lizarzaburu Aguinaga</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61f0b6cd-5922-3bfb-b0eb-32c792f8a075</vt:lpwstr>
  </property>
  <property fmtid="{D5CDD505-2E9C-101B-9397-08002B2CF9AE}" pid="27" name="Mendeley Citation Style_1">
    <vt:lpwstr>http://www.zotero.org/styles/apa</vt:lpwstr>
  </property>
</Properties>
</file>