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A024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2BAFB91"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FD68EB">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A024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A024C">
        <w:trPr>
          <w:trHeight w:val="68"/>
          <w:jc w:val="center"/>
        </w:trPr>
        <w:tc>
          <w:tcPr>
            <w:tcW w:w="8782" w:type="dxa"/>
            <w:gridSpan w:val="2"/>
          </w:tcPr>
          <w:p w14:paraId="1D8DD3C9" w14:textId="475D992A" w:rsidR="00AA7D26" w:rsidRPr="009F3D31" w:rsidRDefault="00AA7D26" w:rsidP="00AA7D26">
            <w:pPr>
              <w:ind w:left="-107"/>
              <w:outlineLvl w:val="2"/>
              <w:rPr>
                <w:rFonts w:ascii="Tahoma" w:hAnsi="Tahoma" w:cs="Tahoma"/>
                <w:bCs/>
                <w:color w:val="000000"/>
                <w:sz w:val="14"/>
                <w:szCs w:val="14"/>
                <w:lang w:eastAsia="it-IT"/>
              </w:rPr>
            </w:pPr>
            <w:r w:rsidRPr="009F3D31">
              <w:rPr>
                <w:rFonts w:ascii="Tahoma" w:hAnsi="Tahoma" w:cs="Tahoma"/>
                <w:iCs/>
                <w:color w:val="333333"/>
                <w:sz w:val="14"/>
                <w:szCs w:val="14"/>
                <w:lang w:eastAsia="it-IT"/>
              </w:rPr>
              <w:t>Guest Editors:</w:t>
            </w:r>
            <w:r w:rsidRPr="009F3D31">
              <w:rPr>
                <w:rFonts w:ascii="Tahoma" w:hAnsi="Tahoma" w:cs="Tahoma"/>
                <w:color w:val="000000"/>
                <w:sz w:val="14"/>
                <w:szCs w:val="14"/>
                <w:shd w:val="clear" w:color="auto" w:fill="FFFFFF"/>
              </w:rPr>
              <w:t xml:space="preserve"> </w:t>
            </w:r>
            <w:r w:rsidR="006A23E9" w:rsidRPr="009F3D31">
              <w:rPr>
                <w:rFonts w:ascii="Tahoma" w:hAnsi="Tahoma" w:cs="Tahoma"/>
                <w:color w:val="000000"/>
                <w:sz w:val="14"/>
                <w:szCs w:val="14"/>
                <w:shd w:val="clear" w:color="auto" w:fill="FFFFFF"/>
              </w:rPr>
              <w:t xml:space="preserve">Leonardo </w:t>
            </w:r>
            <w:proofErr w:type="spellStart"/>
            <w:r w:rsidR="006A23E9" w:rsidRPr="009F3D31">
              <w:rPr>
                <w:rFonts w:ascii="Tahoma" w:hAnsi="Tahoma" w:cs="Tahoma"/>
                <w:color w:val="000000"/>
                <w:sz w:val="14"/>
                <w:szCs w:val="14"/>
                <w:shd w:val="clear" w:color="auto" w:fill="FFFFFF"/>
              </w:rPr>
              <w:t>Tognotti</w:t>
            </w:r>
            <w:proofErr w:type="spellEnd"/>
            <w:r w:rsidR="006A23E9" w:rsidRPr="009F3D31">
              <w:rPr>
                <w:rFonts w:ascii="Tahoma" w:hAnsi="Tahoma" w:cs="Tahoma"/>
                <w:color w:val="000000"/>
                <w:sz w:val="14"/>
                <w:szCs w:val="14"/>
                <w:shd w:val="clear" w:color="auto" w:fill="FFFFFF"/>
              </w:rPr>
              <w:t xml:space="preserve">, </w:t>
            </w:r>
            <w:r w:rsidR="006A23E9" w:rsidRPr="009F3D31">
              <w:rPr>
                <w:rFonts w:ascii="Tahoma" w:hAnsi="Tahoma" w:cs="Tahoma"/>
                <w:color w:val="000000"/>
                <w:sz w:val="14"/>
                <w:szCs w:val="14"/>
              </w:rPr>
              <w:t xml:space="preserve">Rubens </w:t>
            </w:r>
            <w:proofErr w:type="spellStart"/>
            <w:r w:rsidR="006A23E9" w:rsidRPr="009F3D31">
              <w:rPr>
                <w:rFonts w:ascii="Tahoma" w:hAnsi="Tahoma" w:cs="Tahoma"/>
                <w:color w:val="000000"/>
                <w:sz w:val="14"/>
                <w:szCs w:val="14"/>
              </w:rPr>
              <w:t>Maciel</w:t>
            </w:r>
            <w:proofErr w:type="spellEnd"/>
            <w:r w:rsidR="006A23E9" w:rsidRPr="009F3D31">
              <w:rPr>
                <w:rFonts w:ascii="Tahoma" w:hAnsi="Tahoma" w:cs="Tahoma"/>
                <w:color w:val="000000"/>
                <w:sz w:val="14"/>
                <w:szCs w:val="14"/>
              </w:rPr>
              <w:t xml:space="preserve"> Filho</w:t>
            </w:r>
            <w:r w:rsidR="006A23E9" w:rsidRPr="009F3D31">
              <w:rPr>
                <w:rFonts w:ascii="Tahoma" w:hAnsi="Tahoma" w:cs="Tahoma"/>
                <w:color w:val="000000"/>
                <w:sz w:val="14"/>
                <w:szCs w:val="14"/>
                <w:shd w:val="clear" w:color="auto" w:fill="FFFFFF"/>
              </w:rPr>
              <w:t xml:space="preserve">, </w:t>
            </w:r>
            <w:proofErr w:type="spellStart"/>
            <w:r w:rsidR="006A23E9" w:rsidRPr="009F3D31">
              <w:rPr>
                <w:rFonts w:ascii="Tahoma" w:hAnsi="Tahoma" w:cs="Tahoma"/>
                <w:color w:val="000000"/>
                <w:sz w:val="14"/>
                <w:szCs w:val="14"/>
              </w:rPr>
              <w:t>Viatcheslav</w:t>
            </w:r>
            <w:proofErr w:type="spellEnd"/>
            <w:r w:rsidR="006A23E9" w:rsidRPr="009F3D31">
              <w:rPr>
                <w:rFonts w:ascii="Tahoma" w:hAnsi="Tahoma" w:cs="Tahoma"/>
                <w:color w:val="000000"/>
                <w:sz w:val="14"/>
                <w:szCs w:val="14"/>
              </w:rPr>
              <w:t xml:space="preserve"> </w:t>
            </w:r>
            <w:proofErr w:type="spellStart"/>
            <w:r w:rsidR="006A23E9" w:rsidRPr="009F3D31">
              <w:rPr>
                <w:rFonts w:ascii="Tahoma" w:hAnsi="Tahoma" w:cs="Tahoma"/>
                <w:color w:val="000000"/>
                <w:sz w:val="14"/>
                <w:szCs w:val="14"/>
              </w:rPr>
              <w:t>Kafarov</w:t>
            </w:r>
            <w:proofErr w:type="spellEnd"/>
          </w:p>
          <w:p w14:paraId="1B0F1814" w14:textId="2C471F50"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FD68EB" w:rsidRPr="00FD68EB">
              <w:rPr>
                <w:rFonts w:ascii="Tahoma" w:hAnsi="Tahoma" w:cs="Tahoma"/>
                <w:sz w:val="14"/>
                <w:szCs w:val="14"/>
              </w:rPr>
              <w:t>979-12-81206-09-0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w:t>
            </w:r>
            <w:r w:rsidR="00FD68EB" w:rsidRPr="00FD68EB">
              <w:rPr>
                <w:rFonts w:ascii="Tahoma" w:hAnsi="Tahoma" w:cs="Tahoma"/>
                <w:iCs/>
                <w:color w:val="333333"/>
                <w:sz w:val="14"/>
                <w:szCs w:val="14"/>
                <w:lang w:eastAsia="it-IT"/>
              </w:rPr>
              <w:t>2283-9216</w:t>
            </w:r>
          </w:p>
        </w:tc>
      </w:tr>
    </w:tbl>
    <w:p w14:paraId="2E667253" w14:textId="5ED764A5" w:rsidR="00E978D0" w:rsidRPr="00B57B36" w:rsidRDefault="008A024C" w:rsidP="00E978D0">
      <w:pPr>
        <w:pStyle w:val="CETTitle"/>
      </w:pPr>
      <w:r w:rsidRPr="008A024C">
        <w:t xml:space="preserve">Hydrothermal </w:t>
      </w:r>
      <w:r w:rsidR="00846C4C">
        <w:t>C</w:t>
      </w:r>
      <w:r w:rsidRPr="008A024C">
        <w:t xml:space="preserve">arbonization of </w:t>
      </w:r>
      <w:r w:rsidR="00846C4C">
        <w:t>A</w:t>
      </w:r>
      <w:r w:rsidRPr="008A024C">
        <w:t xml:space="preserve">quatic </w:t>
      </w:r>
      <w:r w:rsidR="00846C4C">
        <w:t>B</w:t>
      </w:r>
      <w:r w:rsidRPr="008A024C">
        <w:t xml:space="preserve">iomass: </w:t>
      </w:r>
      <w:proofErr w:type="gramStart"/>
      <w:r w:rsidRPr="008A024C">
        <w:t>a</w:t>
      </w:r>
      <w:proofErr w:type="gramEnd"/>
      <w:r w:rsidRPr="008A024C">
        <w:t xml:space="preserve"> </w:t>
      </w:r>
      <w:r w:rsidR="00846C4C">
        <w:t>P</w:t>
      </w:r>
      <w:r w:rsidRPr="008A024C">
        <w:t xml:space="preserve">romising </w:t>
      </w:r>
      <w:r w:rsidR="00846C4C">
        <w:t>S</w:t>
      </w:r>
      <w:r w:rsidRPr="008A024C">
        <w:t xml:space="preserve">olution for the </w:t>
      </w:r>
      <w:r w:rsidR="00846C4C">
        <w:t>I</w:t>
      </w:r>
      <w:r w:rsidRPr="008A024C">
        <w:t xml:space="preserve">nvasive </w:t>
      </w:r>
      <w:r w:rsidR="00846C4C">
        <w:t>S</w:t>
      </w:r>
      <w:r w:rsidRPr="008A024C">
        <w:t xml:space="preserve">pecies </w:t>
      </w:r>
      <w:proofErr w:type="spellStart"/>
      <w:r w:rsidRPr="00846C4C">
        <w:rPr>
          <w:i/>
          <w:iCs/>
        </w:rPr>
        <w:t>Myriophyllum</w:t>
      </w:r>
      <w:proofErr w:type="spellEnd"/>
      <w:r w:rsidRPr="00846C4C">
        <w:rPr>
          <w:i/>
          <w:iCs/>
        </w:rPr>
        <w:t xml:space="preserve"> </w:t>
      </w:r>
      <w:r w:rsidR="00846C4C" w:rsidRPr="00846C4C">
        <w:rPr>
          <w:i/>
          <w:iCs/>
        </w:rPr>
        <w:t>A</w:t>
      </w:r>
      <w:r w:rsidRPr="00846C4C">
        <w:rPr>
          <w:i/>
          <w:iCs/>
        </w:rPr>
        <w:t>quaticum</w:t>
      </w:r>
    </w:p>
    <w:p w14:paraId="0488FED2" w14:textId="5ADB6486" w:rsidR="00B57E6F" w:rsidRPr="00361121" w:rsidRDefault="00846C4C" w:rsidP="00B57E6F">
      <w:pPr>
        <w:pStyle w:val="CETAuthors"/>
        <w:rPr>
          <w:lang w:val="it-IT"/>
        </w:rPr>
      </w:pPr>
      <w:r w:rsidRPr="00361121">
        <w:rPr>
          <w:lang w:val="it-IT"/>
        </w:rPr>
        <w:t>Federica Barontini</w:t>
      </w:r>
      <w:r w:rsidR="00B57E6F" w:rsidRPr="00361121">
        <w:rPr>
          <w:vertAlign w:val="superscript"/>
          <w:lang w:val="it-IT"/>
        </w:rPr>
        <w:t>a</w:t>
      </w:r>
      <w:r w:rsidRPr="00361121">
        <w:rPr>
          <w:vertAlign w:val="superscript"/>
          <w:lang w:val="it-IT"/>
        </w:rPr>
        <w:t>,</w:t>
      </w:r>
      <w:r w:rsidRPr="00361121">
        <w:rPr>
          <w:lang w:val="it-IT"/>
        </w:rPr>
        <w:t>*</w:t>
      </w:r>
      <w:r w:rsidR="00B57E6F" w:rsidRPr="00361121">
        <w:rPr>
          <w:lang w:val="it-IT"/>
        </w:rPr>
        <w:t xml:space="preserve">, </w:t>
      </w:r>
      <w:r w:rsidRPr="00361121">
        <w:rPr>
          <w:lang w:val="it-IT"/>
        </w:rPr>
        <w:t>Marco Landi</w:t>
      </w:r>
      <w:r w:rsidR="00B57E6F" w:rsidRPr="00361121">
        <w:rPr>
          <w:vertAlign w:val="superscript"/>
          <w:lang w:val="it-IT"/>
        </w:rPr>
        <w:t>b</w:t>
      </w:r>
      <w:r w:rsidR="00B57E6F" w:rsidRPr="00361121">
        <w:rPr>
          <w:lang w:val="it-IT"/>
        </w:rPr>
        <w:t xml:space="preserve">, </w:t>
      </w:r>
      <w:r w:rsidRPr="00361121">
        <w:rPr>
          <w:lang w:val="it-IT"/>
        </w:rPr>
        <w:t>Nicola Silvestri</w:t>
      </w:r>
      <w:r w:rsidRPr="00361121">
        <w:rPr>
          <w:vertAlign w:val="superscript"/>
          <w:lang w:val="it-IT"/>
        </w:rPr>
        <w:t>b</w:t>
      </w:r>
      <w:r w:rsidRPr="00361121">
        <w:rPr>
          <w:lang w:val="it-IT"/>
        </w:rPr>
        <w:t xml:space="preserve">, </w:t>
      </w:r>
      <w:r w:rsidRPr="00361121">
        <w:rPr>
          <w:rFonts w:cs="Arial"/>
          <w:lang w:val="it-IT"/>
        </w:rPr>
        <w:t>Monica Puccini</w:t>
      </w:r>
      <w:r w:rsidRPr="00361121">
        <w:rPr>
          <w:vertAlign w:val="superscript"/>
          <w:lang w:val="it-IT"/>
        </w:rPr>
        <w:t>a</w:t>
      </w:r>
    </w:p>
    <w:p w14:paraId="6B2D21B3" w14:textId="595908CB" w:rsidR="00B57E6F" w:rsidRPr="00384749" w:rsidRDefault="00B57E6F" w:rsidP="00B57E6F">
      <w:pPr>
        <w:pStyle w:val="CETAddress"/>
        <w:rPr>
          <w:lang w:val="it-IT"/>
        </w:rPr>
      </w:pPr>
      <w:r w:rsidRPr="00384749">
        <w:rPr>
          <w:vertAlign w:val="superscript"/>
          <w:lang w:val="it-IT"/>
        </w:rPr>
        <w:t>a</w:t>
      </w:r>
      <w:r w:rsidR="00384749" w:rsidRPr="00384749">
        <w:rPr>
          <w:lang w:val="it-IT"/>
        </w:rPr>
        <w:t>Dipartimento di Ingegneria Civile e Industriale, Università di Pisa, Largo Lucio Lazzarino 2, 56122 Pisa, Italy.</w:t>
      </w:r>
    </w:p>
    <w:p w14:paraId="3D72B0B0" w14:textId="004366E6" w:rsidR="00B57E6F" w:rsidRPr="00384749" w:rsidRDefault="00B57E6F" w:rsidP="00B57E6F">
      <w:pPr>
        <w:pStyle w:val="CETAddress"/>
        <w:rPr>
          <w:lang w:val="it-IT"/>
        </w:rPr>
      </w:pPr>
      <w:r w:rsidRPr="00384749">
        <w:rPr>
          <w:vertAlign w:val="superscript"/>
          <w:lang w:val="it-IT"/>
        </w:rPr>
        <w:t>b</w:t>
      </w:r>
      <w:r w:rsidR="00384749" w:rsidRPr="00384749">
        <w:rPr>
          <w:lang w:val="it-IT"/>
        </w:rPr>
        <w:t xml:space="preserve"> Dipartimento di Scienze Agrarie, Alimentari e Agro-ambientali, Università di Pisa, via del Borghetto 80, 56124 Pisa, Italy</w:t>
      </w:r>
      <w:r w:rsidR="00384749">
        <w:rPr>
          <w:lang w:val="it-IT"/>
        </w:rPr>
        <w:t>.</w:t>
      </w:r>
    </w:p>
    <w:p w14:paraId="73F1267A" w14:textId="53375D3D" w:rsidR="00B57E6F" w:rsidRPr="00B57B36" w:rsidRDefault="00B57E6F" w:rsidP="00B57E6F">
      <w:pPr>
        <w:pStyle w:val="CETemail"/>
      </w:pPr>
      <w:r w:rsidRPr="00384749">
        <w:rPr>
          <w:lang w:val="it-IT"/>
        </w:rPr>
        <w:t xml:space="preserve"> </w:t>
      </w:r>
      <w:r w:rsidR="00846C4C">
        <w:t>federica.barontini</w:t>
      </w:r>
      <w:r w:rsidRPr="00B57B36">
        <w:t>@</w:t>
      </w:r>
      <w:r w:rsidR="00846C4C">
        <w:t>unipi.it</w:t>
      </w:r>
    </w:p>
    <w:p w14:paraId="04B319EE" w14:textId="19D260C2" w:rsidR="00600535" w:rsidRPr="00007BE8" w:rsidRDefault="00007BE8" w:rsidP="00007BE8">
      <w:pPr>
        <w:pStyle w:val="CETBodytext"/>
        <w:rPr>
          <w:lang w:val="en-GB"/>
        </w:rPr>
      </w:pPr>
      <w:bookmarkStart w:id="0" w:name="_Hlk495475023"/>
      <w:proofErr w:type="spellStart"/>
      <w:r w:rsidRPr="00FD5060">
        <w:rPr>
          <w:i/>
          <w:iCs/>
          <w:lang w:val="en-GB"/>
        </w:rPr>
        <w:t>Myriophyllum</w:t>
      </w:r>
      <w:proofErr w:type="spellEnd"/>
      <w:r w:rsidRPr="00FD5060">
        <w:rPr>
          <w:i/>
          <w:iCs/>
          <w:lang w:val="en-GB"/>
        </w:rPr>
        <w:t xml:space="preserve"> aquaticum</w:t>
      </w:r>
      <w:r w:rsidR="005951DA">
        <w:rPr>
          <w:i/>
          <w:iCs/>
          <w:lang w:val="en-GB"/>
        </w:rPr>
        <w:t xml:space="preserve"> </w:t>
      </w:r>
      <w:r w:rsidR="005951DA" w:rsidRPr="009F3D31">
        <w:rPr>
          <w:iCs/>
          <w:lang w:val="en-GB"/>
        </w:rPr>
        <w:t>(Vell.) Verdc.</w:t>
      </w:r>
      <w:r w:rsidRPr="00007BE8">
        <w:rPr>
          <w:lang w:val="en-GB"/>
        </w:rPr>
        <w:t xml:space="preserve">, an invasive aquatic plant from South America, is to date worldwide distributed. In Tuscany </w:t>
      </w:r>
      <w:r w:rsidRPr="00FD5060">
        <w:rPr>
          <w:i/>
          <w:iCs/>
          <w:lang w:val="en-GB"/>
        </w:rPr>
        <w:t>M. aquaticum</w:t>
      </w:r>
      <w:r w:rsidRPr="00007BE8">
        <w:rPr>
          <w:lang w:val="en-GB"/>
        </w:rPr>
        <w:t xml:space="preserve"> has colonized much of the surface water network of reclamation channels, forcing the reclamation authority to its removal, with the </w:t>
      </w:r>
      <w:r w:rsidR="00034DBA">
        <w:rPr>
          <w:lang w:val="en-GB"/>
        </w:rPr>
        <w:t xml:space="preserve">consequent </w:t>
      </w:r>
      <w:r w:rsidRPr="00007BE8">
        <w:rPr>
          <w:lang w:val="en-GB"/>
        </w:rPr>
        <w:t xml:space="preserve">production of a huge amount of wet biomass to be disposed as a biological waste. In the present study the hydrothermal carbonization (HTC) process was proposed and investigated as a path for the valorisation of this waste biomass. Performed in aqueous conditions at moderate temperatures, HTC does not require energy-intensive pre-drying steps, making HTC applicable to biomass feedstocks with high moisture contents. HTC leads to a carbonaceous solid product, referred as </w:t>
      </w:r>
      <w:r w:rsidR="00034DBA" w:rsidRPr="00007BE8">
        <w:rPr>
          <w:lang w:val="en-GB"/>
        </w:rPr>
        <w:t xml:space="preserve">to </w:t>
      </w:r>
      <w:proofErr w:type="spellStart"/>
      <w:r w:rsidRPr="00007BE8">
        <w:rPr>
          <w:lang w:val="en-GB"/>
        </w:rPr>
        <w:t>hydrochar</w:t>
      </w:r>
      <w:proofErr w:type="spellEnd"/>
      <w:r w:rsidRPr="00007BE8">
        <w:rPr>
          <w:lang w:val="en-GB"/>
        </w:rPr>
        <w:t>, with different potential applications, such as solid biofuel, or soil</w:t>
      </w:r>
      <w:r w:rsidR="00034DBA">
        <w:rPr>
          <w:lang w:val="en-GB"/>
        </w:rPr>
        <w:t xml:space="preserve"> amendment</w:t>
      </w:r>
      <w:r w:rsidRPr="00007BE8">
        <w:rPr>
          <w:lang w:val="en-GB"/>
        </w:rPr>
        <w:t>.</w:t>
      </w:r>
      <w:r w:rsidR="00890849">
        <w:rPr>
          <w:lang w:val="en-GB"/>
        </w:rPr>
        <w:t xml:space="preserve"> </w:t>
      </w:r>
      <w:r w:rsidRPr="00007BE8">
        <w:rPr>
          <w:lang w:val="en-GB"/>
        </w:rPr>
        <w:t xml:space="preserve">An experimental investigation was carried out performing HTC tests in a laboratory-scale reactor. The </w:t>
      </w:r>
      <w:r w:rsidR="00CC7721">
        <w:rPr>
          <w:lang w:val="en-GB"/>
        </w:rPr>
        <w:t>combined</w:t>
      </w:r>
      <w:r w:rsidR="00CC7721" w:rsidRPr="00007BE8">
        <w:rPr>
          <w:lang w:val="en-GB"/>
        </w:rPr>
        <w:t xml:space="preserve"> </w:t>
      </w:r>
      <w:r w:rsidRPr="00007BE8">
        <w:rPr>
          <w:lang w:val="en-GB"/>
        </w:rPr>
        <w:t xml:space="preserve">effect of operating parameters (temperature, residence time and solid load) on process yields and </w:t>
      </w:r>
      <w:proofErr w:type="spellStart"/>
      <w:r w:rsidRPr="00007BE8">
        <w:rPr>
          <w:lang w:val="en-GB"/>
        </w:rPr>
        <w:t>hydrochar</w:t>
      </w:r>
      <w:proofErr w:type="spellEnd"/>
      <w:r w:rsidRPr="00007BE8">
        <w:rPr>
          <w:lang w:val="en-GB"/>
        </w:rPr>
        <w:t xml:space="preserve"> properties was investigated by Design of Experiments – Response Surface Methodology (DoE-RSM), a statistical and mathematical approach for process analysis, prediction, and optimization. The results obtained demonstrated the feasibility of HTC for </w:t>
      </w:r>
      <w:r w:rsidRPr="00FD5060">
        <w:rPr>
          <w:i/>
          <w:iCs/>
          <w:lang w:val="en-GB"/>
        </w:rPr>
        <w:t>M. aquaticum</w:t>
      </w:r>
      <w:r w:rsidRPr="00007BE8">
        <w:rPr>
          <w:lang w:val="en-GB"/>
        </w:rPr>
        <w:t>, suggesting HTC as a promising treatment path</w:t>
      </w:r>
      <w:r w:rsidR="00B73D1B">
        <w:rPr>
          <w:lang w:val="en-GB"/>
        </w:rPr>
        <w:t xml:space="preserve"> for the production of </w:t>
      </w:r>
      <w:proofErr w:type="spellStart"/>
      <w:r w:rsidR="00B73D1B">
        <w:rPr>
          <w:lang w:val="en-GB"/>
        </w:rPr>
        <w:t>hydrochar</w:t>
      </w:r>
      <w:proofErr w:type="spellEnd"/>
      <w:r w:rsidR="00B73D1B">
        <w:rPr>
          <w:lang w:val="en-GB"/>
        </w:rPr>
        <w:t xml:space="preserve"> with multiple applications</w:t>
      </w:r>
      <w:r w:rsidRPr="00007BE8">
        <w:rPr>
          <w:lang w:val="en-GB"/>
        </w:rPr>
        <w:t xml:space="preserve">. Beyond the use as </w:t>
      </w:r>
      <w:r w:rsidR="00034DBA">
        <w:rPr>
          <w:lang w:val="en-GB"/>
        </w:rPr>
        <w:t xml:space="preserve">a </w:t>
      </w:r>
      <w:r w:rsidRPr="00007BE8">
        <w:rPr>
          <w:lang w:val="en-GB"/>
        </w:rPr>
        <w:t xml:space="preserve">biofuel, the suitability of the </w:t>
      </w:r>
      <w:proofErr w:type="spellStart"/>
      <w:r w:rsidRPr="00007BE8">
        <w:rPr>
          <w:lang w:val="en-GB"/>
        </w:rPr>
        <w:t>hydrochar</w:t>
      </w:r>
      <w:proofErr w:type="spellEnd"/>
      <w:r w:rsidRPr="00007BE8">
        <w:rPr>
          <w:lang w:val="en-GB"/>
        </w:rPr>
        <w:t xml:space="preserve"> produced from </w:t>
      </w:r>
      <w:r w:rsidRPr="00FD5060">
        <w:rPr>
          <w:i/>
          <w:iCs/>
          <w:lang w:val="en-GB"/>
        </w:rPr>
        <w:t>M. aquaticum</w:t>
      </w:r>
      <w:r w:rsidRPr="00007BE8">
        <w:rPr>
          <w:lang w:val="en-GB"/>
        </w:rPr>
        <w:t xml:space="preserve"> as </w:t>
      </w:r>
      <w:r w:rsidR="00034DBA">
        <w:rPr>
          <w:lang w:val="en-GB"/>
        </w:rPr>
        <w:t xml:space="preserve">an </w:t>
      </w:r>
      <w:r w:rsidRPr="00007BE8">
        <w:rPr>
          <w:lang w:val="en-GB"/>
        </w:rPr>
        <w:t>organic growth medium for vegetable</w:t>
      </w:r>
      <w:r w:rsidR="00034DBA">
        <w:rPr>
          <w:lang w:val="en-GB"/>
        </w:rPr>
        <w:t>/</w:t>
      </w:r>
      <w:r w:rsidRPr="00007BE8">
        <w:rPr>
          <w:lang w:val="en-GB"/>
        </w:rPr>
        <w:t xml:space="preserve">seedlings in horticulture and gardening or soil amendment was evaluated. </w:t>
      </w:r>
      <w:r w:rsidR="00330C8F">
        <w:rPr>
          <w:lang w:val="en-GB"/>
        </w:rPr>
        <w:t>Potential</w:t>
      </w:r>
      <w:r w:rsidRPr="00007BE8">
        <w:rPr>
          <w:lang w:val="en-GB"/>
        </w:rPr>
        <w:t xml:space="preserve"> phytotoxic effects of </w:t>
      </w:r>
      <w:r w:rsidRPr="00FD5060">
        <w:rPr>
          <w:i/>
          <w:iCs/>
          <w:lang w:val="en-GB"/>
        </w:rPr>
        <w:t>M. aquaticum</w:t>
      </w:r>
      <w:r w:rsidRPr="00007BE8">
        <w:rPr>
          <w:lang w:val="en-GB"/>
        </w:rPr>
        <w:t xml:space="preserve"> </w:t>
      </w:r>
      <w:proofErr w:type="spellStart"/>
      <w:r w:rsidRPr="00007BE8">
        <w:rPr>
          <w:lang w:val="en-GB"/>
        </w:rPr>
        <w:t>hydrochar</w:t>
      </w:r>
      <w:proofErr w:type="spellEnd"/>
      <w:r w:rsidRPr="00007BE8">
        <w:rPr>
          <w:lang w:val="en-GB"/>
        </w:rPr>
        <w:t xml:space="preserve"> were </w:t>
      </w:r>
      <w:r w:rsidR="00330C8F">
        <w:rPr>
          <w:lang w:val="en-GB"/>
        </w:rPr>
        <w:t>evaluated</w:t>
      </w:r>
      <w:r w:rsidRPr="00007BE8">
        <w:rPr>
          <w:lang w:val="en-GB"/>
        </w:rPr>
        <w:t xml:space="preserve"> </w:t>
      </w:r>
      <w:r w:rsidR="008935F0" w:rsidRPr="008935F0">
        <w:rPr>
          <w:lang w:val="en-GB"/>
        </w:rPr>
        <w:t xml:space="preserve">through bioassays using </w:t>
      </w:r>
      <w:r w:rsidR="008935F0" w:rsidRPr="00487DAB">
        <w:rPr>
          <w:i/>
          <w:iCs/>
          <w:lang w:val="en-GB"/>
        </w:rPr>
        <w:t>Lepidium sativum</w:t>
      </w:r>
      <w:r w:rsidR="008935F0" w:rsidRPr="008935F0">
        <w:rPr>
          <w:lang w:val="en-GB"/>
        </w:rPr>
        <w:t xml:space="preserve"> L. as a model species</w:t>
      </w:r>
      <w:r w:rsidRPr="00007BE8">
        <w:rPr>
          <w:lang w:val="en-GB"/>
        </w:rPr>
        <w:t>.</w:t>
      </w:r>
    </w:p>
    <w:bookmarkEnd w:id="0"/>
    <w:p w14:paraId="476B2F2E" w14:textId="77777777" w:rsidR="00600535" w:rsidRPr="00B57B36" w:rsidRDefault="00600535" w:rsidP="00600535">
      <w:pPr>
        <w:pStyle w:val="CETHeading1"/>
        <w:rPr>
          <w:lang w:val="en-GB"/>
        </w:rPr>
      </w:pPr>
      <w:r w:rsidRPr="00B57B36">
        <w:rPr>
          <w:lang w:val="en-GB"/>
        </w:rPr>
        <w:t>Introduction</w:t>
      </w:r>
    </w:p>
    <w:p w14:paraId="23F86FEF" w14:textId="63F40FF3" w:rsidR="00600535" w:rsidRDefault="00EC22AD" w:rsidP="00EC22AD">
      <w:pPr>
        <w:pStyle w:val="CETBodytext"/>
        <w:rPr>
          <w:lang w:val="en-GB"/>
        </w:rPr>
      </w:pPr>
      <w:proofErr w:type="spellStart"/>
      <w:r w:rsidRPr="00EC22AD">
        <w:rPr>
          <w:i/>
          <w:iCs/>
          <w:lang w:val="en-GB"/>
        </w:rPr>
        <w:t>Myriophyllum</w:t>
      </w:r>
      <w:proofErr w:type="spellEnd"/>
      <w:r w:rsidRPr="00EC22AD">
        <w:rPr>
          <w:i/>
          <w:iCs/>
          <w:lang w:val="en-GB"/>
        </w:rPr>
        <w:t xml:space="preserve"> aquaticum</w:t>
      </w:r>
      <w:r w:rsidRPr="00EC22AD">
        <w:rPr>
          <w:lang w:val="en-GB"/>
        </w:rPr>
        <w:t xml:space="preserve"> (Vell</w:t>
      </w:r>
      <w:r w:rsidR="005951DA">
        <w:rPr>
          <w:lang w:val="en-GB"/>
        </w:rPr>
        <w:t>.</w:t>
      </w:r>
      <w:r w:rsidRPr="00EC22AD">
        <w:rPr>
          <w:lang w:val="en-GB"/>
        </w:rPr>
        <w:t>) Verdc</w:t>
      </w:r>
      <w:r w:rsidR="005951DA">
        <w:rPr>
          <w:lang w:val="en-GB"/>
        </w:rPr>
        <w:t>.</w:t>
      </w:r>
      <w:r w:rsidRPr="00EC22AD">
        <w:rPr>
          <w:lang w:val="en-GB"/>
        </w:rPr>
        <w:t xml:space="preserve"> (Parrot’s Feather) is an amphibious aquatic macrophyte native to South America, which is </w:t>
      </w:r>
      <w:r w:rsidR="00034DBA">
        <w:rPr>
          <w:lang w:val="en-GB"/>
        </w:rPr>
        <w:t>nowadays</w:t>
      </w:r>
      <w:r w:rsidRPr="00EC22AD">
        <w:rPr>
          <w:lang w:val="en-GB"/>
        </w:rPr>
        <w:t xml:space="preserve"> </w:t>
      </w:r>
      <w:r w:rsidR="00034DBA" w:rsidRPr="00EC22AD">
        <w:rPr>
          <w:lang w:val="en-GB"/>
        </w:rPr>
        <w:t xml:space="preserve">distributed </w:t>
      </w:r>
      <w:r w:rsidRPr="00EC22AD">
        <w:rPr>
          <w:lang w:val="en-GB"/>
        </w:rPr>
        <w:t xml:space="preserve">worldwide. It was firstly found in Italy in the early 90s and afterwards the sightings concerned many regions of central and northern Italy. In 2004, </w:t>
      </w:r>
      <w:r w:rsidRPr="00EC22AD">
        <w:rPr>
          <w:i/>
          <w:iCs/>
          <w:lang w:val="en-GB"/>
        </w:rPr>
        <w:t>M. aquaticum</w:t>
      </w:r>
      <w:r w:rsidRPr="00EC22AD">
        <w:rPr>
          <w:lang w:val="en-GB"/>
        </w:rPr>
        <w:t xml:space="preserve"> was recorded in Tuscany </w:t>
      </w:r>
      <w:proofErr w:type="gramStart"/>
      <w:r w:rsidRPr="00EC22AD">
        <w:rPr>
          <w:lang w:val="en-GB"/>
        </w:rPr>
        <w:t>where</w:t>
      </w:r>
      <w:proofErr w:type="gramEnd"/>
      <w:r w:rsidRPr="00EC22AD">
        <w:rPr>
          <w:lang w:val="en-GB"/>
        </w:rPr>
        <w:t xml:space="preserve"> colonized much of the surface water network of reclamation channels, thereby significantly hindering the normal water outflow.</w:t>
      </w:r>
      <w:r w:rsidR="0019581B">
        <w:rPr>
          <w:lang w:val="en-GB"/>
        </w:rPr>
        <w:t xml:space="preserve"> </w:t>
      </w:r>
      <w:r w:rsidRPr="00EC22AD">
        <w:rPr>
          <w:lang w:val="en-GB"/>
        </w:rPr>
        <w:t xml:space="preserve">The north-Tuscany reclamation authority has been forced to remove </w:t>
      </w:r>
      <w:r w:rsidRPr="00EC22AD">
        <w:rPr>
          <w:i/>
          <w:iCs/>
          <w:lang w:val="en-GB"/>
        </w:rPr>
        <w:t>M. aquaticum</w:t>
      </w:r>
      <w:r w:rsidRPr="00EC22AD">
        <w:rPr>
          <w:lang w:val="en-GB"/>
        </w:rPr>
        <w:t xml:space="preserve"> from reclamation channels, producing a huge amount of wet biomass to be disposed as a biological waste. Conversely, it could be usefully allocated to virtuous processes of biomass reuse (according to Agenda 2030 prerogatives, </w:t>
      </w:r>
      <w:proofErr w:type="gramStart"/>
      <w:r w:rsidRPr="00EC22AD">
        <w:rPr>
          <w:lang w:val="en-GB"/>
        </w:rPr>
        <w:t>e.g.</w:t>
      </w:r>
      <w:proofErr w:type="gramEnd"/>
      <w:r w:rsidRPr="00EC22AD">
        <w:rPr>
          <w:lang w:val="en-GB"/>
        </w:rPr>
        <w:t xml:space="preserve"> SDG 12).</w:t>
      </w:r>
    </w:p>
    <w:p w14:paraId="1846DDF6" w14:textId="7A30D6FD" w:rsidR="00685021" w:rsidRDefault="00AC6DA4" w:rsidP="00EC22AD">
      <w:pPr>
        <w:pStyle w:val="CETBodytext"/>
        <w:rPr>
          <w:lang w:val="en-GB"/>
        </w:rPr>
      </w:pPr>
      <w:r w:rsidRPr="00AC6DA4">
        <w:rPr>
          <w:lang w:val="en-GB"/>
        </w:rPr>
        <w:t xml:space="preserve">In this context, the authors aim to propose and explore a pathway for enhancing the value of this biomass. Hydrothermal carbonization (HTC) has emerged as a promising sustainable thermochemical process for </w:t>
      </w:r>
      <w:r w:rsidR="00350C0E">
        <w:rPr>
          <w:lang w:val="en-GB"/>
        </w:rPr>
        <w:t>exploiting</w:t>
      </w:r>
      <w:r w:rsidR="00350C0E" w:rsidRPr="00AC6DA4">
        <w:rPr>
          <w:lang w:val="en-GB"/>
        </w:rPr>
        <w:t xml:space="preserve"> </w:t>
      </w:r>
      <w:r w:rsidRPr="00AC6DA4">
        <w:rPr>
          <w:lang w:val="en-GB"/>
        </w:rPr>
        <w:t xml:space="preserve">waste biomass with high moisture content. Operating under aqueous conditions at moderate temperatures (ranging from 180 to 300 °C) and autogenous pressure, HTC transforms biomass into a carbonaceous solid product known as </w:t>
      </w:r>
      <w:proofErr w:type="spellStart"/>
      <w:r w:rsidRPr="00AC6DA4">
        <w:rPr>
          <w:lang w:val="en-GB"/>
        </w:rPr>
        <w:t>hydrochar</w:t>
      </w:r>
      <w:proofErr w:type="spellEnd"/>
      <w:r w:rsidRPr="00AC6DA4">
        <w:rPr>
          <w:lang w:val="en-GB"/>
        </w:rPr>
        <w:t xml:space="preserve"> (Wang et al., 2018). The versatility of </w:t>
      </w:r>
      <w:proofErr w:type="spellStart"/>
      <w:r w:rsidRPr="00AC6DA4">
        <w:rPr>
          <w:lang w:val="en-GB"/>
        </w:rPr>
        <w:t>hydrochar</w:t>
      </w:r>
      <w:proofErr w:type="spellEnd"/>
      <w:r w:rsidRPr="00AC6DA4">
        <w:rPr>
          <w:lang w:val="en-GB"/>
        </w:rPr>
        <w:t xml:space="preserve"> has led to various proposed applications, including as solid biofuel, electrode material in energy storage devices, adsorbent for wastewater treatment, and soil amendment (Sharma et al., 2020). Notably, HTC stands out from other thermochemical processes as it eliminates the need for energy-intensive pre-drying of feedstock, </w:t>
      </w:r>
      <w:r w:rsidR="00614F67">
        <w:rPr>
          <w:lang w:val="en-GB"/>
        </w:rPr>
        <w:t>making</w:t>
      </w:r>
      <w:r w:rsidRPr="00AC6DA4">
        <w:rPr>
          <w:lang w:val="en-GB"/>
        </w:rPr>
        <w:t xml:space="preserve"> it applicable to a wide array of high-moisture biomasses. Researchers have explored HTC for treating </w:t>
      </w:r>
      <w:r w:rsidR="00614F67">
        <w:rPr>
          <w:lang w:val="en-GB"/>
        </w:rPr>
        <w:t>a range of</w:t>
      </w:r>
      <w:r w:rsidRPr="00AC6DA4">
        <w:rPr>
          <w:lang w:val="en-GB"/>
        </w:rPr>
        <w:t xml:space="preserve"> substrates such as agricultural residues, agro-industrial </w:t>
      </w:r>
      <w:r w:rsidR="00614F67">
        <w:rPr>
          <w:lang w:val="en-GB"/>
        </w:rPr>
        <w:t xml:space="preserve">and food </w:t>
      </w:r>
      <w:r w:rsidRPr="00AC6DA4">
        <w:rPr>
          <w:lang w:val="en-GB"/>
        </w:rPr>
        <w:t xml:space="preserve">wastes, organic fractions of municipal solid </w:t>
      </w:r>
      <w:r w:rsidRPr="00AC6DA4">
        <w:rPr>
          <w:lang w:val="en-GB"/>
        </w:rPr>
        <w:lastRenderedPageBreak/>
        <w:t>waste, and sewage sludge</w:t>
      </w:r>
      <w:r w:rsidR="00B15BD5">
        <w:rPr>
          <w:lang w:val="en-GB"/>
        </w:rPr>
        <w:t>s</w:t>
      </w:r>
      <w:r w:rsidRPr="00AC6DA4">
        <w:rPr>
          <w:lang w:val="en-GB"/>
        </w:rPr>
        <w:t xml:space="preserve"> (</w:t>
      </w:r>
      <w:proofErr w:type="spellStart"/>
      <w:r w:rsidRPr="00AC6DA4">
        <w:rPr>
          <w:lang w:val="en-GB"/>
        </w:rPr>
        <w:t>Cavali</w:t>
      </w:r>
      <w:proofErr w:type="spellEnd"/>
      <w:r w:rsidRPr="00AC6DA4">
        <w:rPr>
          <w:lang w:val="en-GB"/>
        </w:rPr>
        <w:t xml:space="preserve"> et al., 2023). However, there </w:t>
      </w:r>
      <w:r w:rsidR="00886AAA">
        <w:rPr>
          <w:lang w:val="en-GB"/>
        </w:rPr>
        <w:t>is</w:t>
      </w:r>
      <w:r w:rsidR="00886AAA" w:rsidRPr="00AC6DA4">
        <w:rPr>
          <w:lang w:val="en-GB"/>
        </w:rPr>
        <w:t xml:space="preserve"> </w:t>
      </w:r>
      <w:r w:rsidRPr="00AC6DA4">
        <w:rPr>
          <w:lang w:val="en-GB"/>
        </w:rPr>
        <w:t xml:space="preserve">no </w:t>
      </w:r>
      <w:r w:rsidR="00886AAA">
        <w:rPr>
          <w:lang w:val="en-GB"/>
        </w:rPr>
        <w:t>systematic investigation</w:t>
      </w:r>
      <w:r w:rsidRPr="00AC6DA4">
        <w:rPr>
          <w:lang w:val="en-GB"/>
        </w:rPr>
        <w:t xml:space="preserve"> regarding </w:t>
      </w:r>
      <w:r w:rsidR="00614F67">
        <w:rPr>
          <w:lang w:val="en-GB"/>
        </w:rPr>
        <w:t xml:space="preserve">the application of </w:t>
      </w:r>
      <w:r w:rsidRPr="00AC6DA4">
        <w:rPr>
          <w:lang w:val="en-GB"/>
        </w:rPr>
        <w:t xml:space="preserve">HTC </w:t>
      </w:r>
      <w:r w:rsidR="00614F67">
        <w:rPr>
          <w:lang w:val="en-GB"/>
        </w:rPr>
        <w:t>to</w:t>
      </w:r>
      <w:r w:rsidRPr="00AC6DA4">
        <w:rPr>
          <w:lang w:val="en-GB"/>
        </w:rPr>
        <w:t xml:space="preserve"> </w:t>
      </w:r>
      <w:r w:rsidRPr="00B55169">
        <w:rPr>
          <w:i/>
          <w:iCs/>
          <w:lang w:val="en-GB"/>
        </w:rPr>
        <w:t>M. aquaticum</w:t>
      </w:r>
      <w:r w:rsidR="00614F67">
        <w:rPr>
          <w:i/>
          <w:iCs/>
          <w:lang w:val="en-GB"/>
        </w:rPr>
        <w:t xml:space="preserve"> </w:t>
      </w:r>
      <w:r w:rsidR="00614F67">
        <w:rPr>
          <w:lang w:val="en-GB"/>
        </w:rPr>
        <w:t>biomass</w:t>
      </w:r>
      <w:r w:rsidRPr="00AC6DA4">
        <w:rPr>
          <w:lang w:val="en-GB"/>
        </w:rPr>
        <w:t>.</w:t>
      </w:r>
    </w:p>
    <w:p w14:paraId="1CC69CF9" w14:textId="4B294786" w:rsidR="00A31CA0" w:rsidRDefault="00AC6DA4" w:rsidP="00EC22AD">
      <w:pPr>
        <w:pStyle w:val="CETBodytext"/>
        <w:rPr>
          <w:lang w:val="en-GB"/>
        </w:rPr>
      </w:pPr>
      <w:r w:rsidRPr="00AC6DA4">
        <w:rPr>
          <w:lang w:val="en-GB"/>
        </w:rPr>
        <w:t xml:space="preserve">Within this framework, the present study pursues several interconnected aims: </w:t>
      </w:r>
      <w:proofErr w:type="spellStart"/>
      <w:r w:rsidRPr="00AC6DA4">
        <w:rPr>
          <w:lang w:val="en-GB"/>
        </w:rPr>
        <w:t>i</w:t>
      </w:r>
      <w:proofErr w:type="spellEnd"/>
      <w:r w:rsidRPr="00AC6DA4">
        <w:rPr>
          <w:lang w:val="en-GB"/>
        </w:rPr>
        <w:t xml:space="preserve">) to demonstrate the feasibility of HTC for </w:t>
      </w:r>
      <w:r w:rsidRPr="00FA6702">
        <w:rPr>
          <w:i/>
          <w:iCs/>
          <w:lang w:val="en-GB"/>
        </w:rPr>
        <w:t>M. aquaticum</w:t>
      </w:r>
      <w:r w:rsidRPr="00AC6DA4">
        <w:rPr>
          <w:lang w:val="en-GB"/>
        </w:rPr>
        <w:t xml:space="preserve">; ii) to investigate the combined </w:t>
      </w:r>
      <w:r w:rsidR="00A31CA0">
        <w:rPr>
          <w:lang w:val="en-GB"/>
        </w:rPr>
        <w:t>effect</w:t>
      </w:r>
      <w:r w:rsidR="00A31CA0" w:rsidRPr="00AC6DA4">
        <w:rPr>
          <w:lang w:val="en-GB"/>
        </w:rPr>
        <w:t xml:space="preserve"> </w:t>
      </w:r>
      <w:r w:rsidRPr="00AC6DA4">
        <w:rPr>
          <w:lang w:val="en-GB"/>
        </w:rPr>
        <w:t xml:space="preserve">of operating parameters on process yields and </w:t>
      </w:r>
      <w:proofErr w:type="spellStart"/>
      <w:r w:rsidRPr="00AC6DA4">
        <w:rPr>
          <w:lang w:val="en-GB"/>
        </w:rPr>
        <w:t>hydrochar</w:t>
      </w:r>
      <w:proofErr w:type="spellEnd"/>
      <w:r w:rsidRPr="00AC6DA4">
        <w:rPr>
          <w:lang w:val="en-GB"/>
        </w:rPr>
        <w:t xml:space="preserve"> properties; iii) to assess potential applications of </w:t>
      </w:r>
      <w:proofErr w:type="spellStart"/>
      <w:r w:rsidRPr="00AC6DA4">
        <w:rPr>
          <w:lang w:val="en-GB"/>
        </w:rPr>
        <w:t>hydrochar</w:t>
      </w:r>
      <w:proofErr w:type="spellEnd"/>
      <w:r w:rsidRPr="00AC6DA4">
        <w:rPr>
          <w:lang w:val="en-GB"/>
        </w:rPr>
        <w:t xml:space="preserve"> derived from </w:t>
      </w:r>
      <w:r w:rsidRPr="00FA6702">
        <w:rPr>
          <w:i/>
          <w:iCs/>
          <w:lang w:val="en-GB"/>
        </w:rPr>
        <w:t>M. aquaticum</w:t>
      </w:r>
      <w:r w:rsidRPr="00AC6DA4">
        <w:rPr>
          <w:lang w:val="en-GB"/>
        </w:rPr>
        <w:t>.</w:t>
      </w:r>
    </w:p>
    <w:p w14:paraId="3E7F2608" w14:textId="30693753" w:rsidR="001D25C6" w:rsidRPr="00C65471" w:rsidRDefault="00AC6DA4" w:rsidP="00EC22AD">
      <w:pPr>
        <w:pStyle w:val="CETBodytext"/>
        <w:rPr>
          <w:lang w:val="en-GB"/>
        </w:rPr>
      </w:pPr>
      <w:r w:rsidRPr="00AC6DA4">
        <w:rPr>
          <w:lang w:val="en-GB"/>
        </w:rPr>
        <w:t xml:space="preserve">Experimental HTC tests were conducted using a laboratory-scale reactor. The </w:t>
      </w:r>
      <w:r w:rsidR="00DC3853">
        <w:rPr>
          <w:lang w:val="en-GB"/>
        </w:rPr>
        <w:t>combined effect</w:t>
      </w:r>
      <w:r w:rsidRPr="00AC6DA4">
        <w:rPr>
          <w:lang w:val="en-GB"/>
        </w:rPr>
        <w:t xml:space="preserve"> of process parameters was explored using Design of Experiments – Response Surface Methodology (DoE-RSM), a statistical and mathematical approach </w:t>
      </w:r>
      <w:r w:rsidR="00B87EB6">
        <w:rPr>
          <w:lang w:val="en-GB"/>
        </w:rPr>
        <w:t>suitable for</w:t>
      </w:r>
      <w:r w:rsidRPr="00AC6DA4">
        <w:rPr>
          <w:lang w:val="en-GB"/>
        </w:rPr>
        <w:t xml:space="preserve"> </w:t>
      </w:r>
      <w:proofErr w:type="spellStart"/>
      <w:r w:rsidRPr="00AC6DA4">
        <w:rPr>
          <w:lang w:val="en-GB"/>
        </w:rPr>
        <w:t>analyzing</w:t>
      </w:r>
      <w:proofErr w:type="spellEnd"/>
      <w:r w:rsidRPr="00AC6DA4">
        <w:rPr>
          <w:lang w:val="en-GB"/>
        </w:rPr>
        <w:t xml:space="preserve">, predicting, and optimizing various </w:t>
      </w:r>
      <w:r w:rsidR="00614F67">
        <w:rPr>
          <w:lang w:val="en-GB"/>
        </w:rPr>
        <w:t xml:space="preserve">experimental </w:t>
      </w:r>
      <w:r w:rsidRPr="00AC6DA4">
        <w:rPr>
          <w:lang w:val="en-GB"/>
        </w:rPr>
        <w:t xml:space="preserve">systems. Given the </w:t>
      </w:r>
      <w:r w:rsidR="00683323">
        <w:rPr>
          <w:lang w:val="en-GB"/>
        </w:rPr>
        <w:t>complexity</w:t>
      </w:r>
      <w:r w:rsidRPr="00AC6DA4">
        <w:rPr>
          <w:lang w:val="en-GB"/>
        </w:rPr>
        <w:t xml:space="preserve"> of HTC reactions that limit the scope of process simulation, DoE-RSM proves particularly valuable for HTC process study and optimization. Among the potential applications of </w:t>
      </w:r>
      <w:proofErr w:type="spellStart"/>
      <w:r w:rsidRPr="00AC6DA4">
        <w:rPr>
          <w:lang w:val="en-GB"/>
        </w:rPr>
        <w:t>hydrochar</w:t>
      </w:r>
      <w:proofErr w:type="spellEnd"/>
      <w:r w:rsidRPr="00AC6DA4">
        <w:rPr>
          <w:lang w:val="en-GB"/>
        </w:rPr>
        <w:t>, there is a growing interest in its utilization as an organic growth medium for vegetable</w:t>
      </w:r>
      <w:r w:rsidR="00614F67">
        <w:rPr>
          <w:lang w:val="en-GB"/>
        </w:rPr>
        <w:t>/</w:t>
      </w:r>
      <w:r w:rsidRPr="00AC6DA4">
        <w:rPr>
          <w:lang w:val="en-GB"/>
        </w:rPr>
        <w:t xml:space="preserve">seedlings in horticulture and gardening (as a substitute for peat in potting mix) or as a soil amendment (Islam et al., 2021). The suitability of </w:t>
      </w:r>
      <w:proofErr w:type="spellStart"/>
      <w:r w:rsidRPr="00AC6DA4">
        <w:rPr>
          <w:lang w:val="en-GB"/>
        </w:rPr>
        <w:t>hydrochar</w:t>
      </w:r>
      <w:proofErr w:type="spellEnd"/>
      <w:r w:rsidRPr="00AC6DA4">
        <w:rPr>
          <w:lang w:val="en-GB"/>
        </w:rPr>
        <w:t xml:space="preserve"> derived from </w:t>
      </w:r>
      <w:r w:rsidRPr="00FA6702">
        <w:rPr>
          <w:i/>
          <w:iCs/>
          <w:lang w:val="en-GB"/>
        </w:rPr>
        <w:t>M. aquaticum</w:t>
      </w:r>
      <w:r w:rsidRPr="00AC6DA4">
        <w:rPr>
          <w:lang w:val="en-GB"/>
        </w:rPr>
        <w:t xml:space="preserve"> was evaluated in terms of potential phytotoxicity through germination and growth tests conducted in microcosms.</w:t>
      </w:r>
    </w:p>
    <w:p w14:paraId="5741900F" w14:textId="4C986FC4" w:rsidR="00453E24" w:rsidRDefault="00AE3398" w:rsidP="00453E24">
      <w:pPr>
        <w:pStyle w:val="CETHeading1"/>
      </w:pPr>
      <w:r w:rsidRPr="00AE3398">
        <w:t>Materials and Methods</w:t>
      </w:r>
    </w:p>
    <w:p w14:paraId="0636B784" w14:textId="1796B201" w:rsidR="00453E24" w:rsidRDefault="00AE3398" w:rsidP="00453E24">
      <w:pPr>
        <w:pStyle w:val="CETheadingx"/>
      </w:pPr>
      <w:r>
        <w:t>Feedstock</w:t>
      </w:r>
    </w:p>
    <w:p w14:paraId="0E143B8B" w14:textId="197281C7" w:rsidR="008624EF" w:rsidRDefault="0001216C" w:rsidP="008624EF">
      <w:pPr>
        <w:pStyle w:val="CETBodytext"/>
      </w:pPr>
      <w:r w:rsidRPr="005E2CD6">
        <w:rPr>
          <w:i/>
          <w:iCs/>
        </w:rPr>
        <w:t>M. aquaticum</w:t>
      </w:r>
      <w:r w:rsidRPr="0001216C">
        <w:t xml:space="preserve"> biomass </w:t>
      </w:r>
      <w:r>
        <w:t xml:space="preserve">was collected from Barra channel </w:t>
      </w:r>
      <w:r w:rsidR="00E36A0C">
        <w:t xml:space="preserve">in the catchment of Lake </w:t>
      </w:r>
      <w:proofErr w:type="spellStart"/>
      <w:r w:rsidR="00E36A0C">
        <w:t>Massaciuccoli</w:t>
      </w:r>
      <w:proofErr w:type="spellEnd"/>
      <w:r w:rsidR="00E36A0C">
        <w:t xml:space="preserve"> (Tuscany, Italy) in March 2023. Harvested biomass was washed with tap water to remove </w:t>
      </w:r>
      <w:r>
        <w:t>adhering matter</w:t>
      </w:r>
      <w:r w:rsidR="00E36A0C">
        <w:t xml:space="preserve">. </w:t>
      </w:r>
      <w:r w:rsidR="008624EF">
        <w:t>For HTC experiments</w:t>
      </w:r>
      <w:r w:rsidR="00426BD5">
        <w:t>,</w:t>
      </w:r>
      <w:r w:rsidR="008624EF">
        <w:t xml:space="preserve"> the biomass was dried at 105 °C and ground to size </w:t>
      </w:r>
      <w:r w:rsidR="00717A34">
        <w:t>&lt;</w:t>
      </w:r>
      <w:r w:rsidR="008624EF">
        <w:t xml:space="preserve"> 1 mm. </w:t>
      </w:r>
      <w:r w:rsidR="004C6BCB" w:rsidRPr="004C6BCB">
        <w:t>Table 1</w:t>
      </w:r>
      <w:r w:rsidR="00557115">
        <w:t xml:space="preserve"> summarizes the results of feedstock </w:t>
      </w:r>
      <w:r w:rsidR="00557115" w:rsidRPr="004C6BCB">
        <w:t>characterization</w:t>
      </w:r>
      <w:r w:rsidR="00557115">
        <w:t xml:space="preserve">, i.e., </w:t>
      </w:r>
      <w:r w:rsidR="00600EB5" w:rsidRPr="00600EB5">
        <w:t xml:space="preserve">Volatile Matter (VM), Fixed Carbon (FC) and Ash content, </w:t>
      </w:r>
      <w:r w:rsidR="00600EB5">
        <w:t>Carbon (C), Hydrogen (H), Nitrogen (N) and O</w:t>
      </w:r>
      <w:r w:rsidR="00600EB5" w:rsidRPr="00600EB5">
        <w:t>xygen</w:t>
      </w:r>
      <w:r w:rsidR="00600EB5">
        <w:t xml:space="preserve"> (O)</w:t>
      </w:r>
      <w:r w:rsidR="00600EB5" w:rsidRPr="00600EB5">
        <w:t xml:space="preserve"> content</w:t>
      </w:r>
      <w:r w:rsidR="00600EB5">
        <w:t>, and Higher Heating Value (HHV).</w:t>
      </w:r>
    </w:p>
    <w:p w14:paraId="1BDF864C" w14:textId="2AE762C8" w:rsidR="00E81EBB" w:rsidRPr="00B57B36" w:rsidRDefault="00E81EBB" w:rsidP="00E81EBB">
      <w:pPr>
        <w:pStyle w:val="CETTabletitle"/>
      </w:pPr>
      <w:r w:rsidRPr="00B57B36">
        <w:t xml:space="preserve">Table 1: </w:t>
      </w:r>
      <w:r>
        <w:t xml:space="preserve">Results of </w:t>
      </w:r>
      <w:r w:rsidR="00C65A31">
        <w:t xml:space="preserve">biomass </w:t>
      </w:r>
      <w:r>
        <w:t>characterization (on a dry basis)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8"/>
        <w:gridCol w:w="1114"/>
        <w:gridCol w:w="1115"/>
        <w:gridCol w:w="1088"/>
        <w:gridCol w:w="1088"/>
        <w:gridCol w:w="1088"/>
        <w:gridCol w:w="1088"/>
        <w:gridCol w:w="1088"/>
      </w:tblGrid>
      <w:tr w:rsidR="00E81EBB" w:rsidRPr="00B57B36" w14:paraId="61ADA1E9" w14:textId="77777777" w:rsidTr="00AC742C">
        <w:tc>
          <w:tcPr>
            <w:tcW w:w="1118" w:type="dxa"/>
            <w:tcBorders>
              <w:top w:val="single" w:sz="12" w:space="0" w:color="008000"/>
              <w:bottom w:val="single" w:sz="6" w:space="0" w:color="008000"/>
            </w:tcBorders>
            <w:shd w:val="clear" w:color="auto" w:fill="FFFFFF"/>
          </w:tcPr>
          <w:p w14:paraId="692FC35C" w14:textId="77777777" w:rsidR="00E81EBB" w:rsidRPr="00B57B36" w:rsidRDefault="00E81EBB" w:rsidP="00AC742C">
            <w:pPr>
              <w:pStyle w:val="CETBodytext"/>
              <w:rPr>
                <w:lang w:val="en-GB"/>
              </w:rPr>
            </w:pPr>
            <w:r>
              <w:rPr>
                <w:lang w:val="en-GB"/>
              </w:rPr>
              <w:t>VM [</w:t>
            </w:r>
            <w:proofErr w:type="spellStart"/>
            <w:r>
              <w:rPr>
                <w:lang w:val="en-GB"/>
              </w:rPr>
              <w:t>wt</w:t>
            </w:r>
            <w:proofErr w:type="spellEnd"/>
            <w:r>
              <w:rPr>
                <w:lang w:val="en-GB"/>
              </w:rPr>
              <w:t xml:space="preserve"> %]</w:t>
            </w:r>
          </w:p>
        </w:tc>
        <w:tc>
          <w:tcPr>
            <w:tcW w:w="1114" w:type="dxa"/>
            <w:tcBorders>
              <w:top w:val="single" w:sz="12" w:space="0" w:color="008000"/>
              <w:bottom w:val="single" w:sz="6" w:space="0" w:color="008000"/>
            </w:tcBorders>
            <w:shd w:val="clear" w:color="auto" w:fill="FFFFFF"/>
          </w:tcPr>
          <w:p w14:paraId="686691A3" w14:textId="77777777" w:rsidR="00E81EBB" w:rsidRPr="00B57B36" w:rsidRDefault="00E81EBB" w:rsidP="00AC742C">
            <w:pPr>
              <w:pStyle w:val="CETBodytext"/>
              <w:rPr>
                <w:lang w:val="en-GB"/>
              </w:rPr>
            </w:pPr>
            <w:r>
              <w:rPr>
                <w:lang w:val="en-GB"/>
              </w:rPr>
              <w:t>FC [</w:t>
            </w:r>
            <w:proofErr w:type="spellStart"/>
            <w:r>
              <w:rPr>
                <w:lang w:val="en-GB"/>
              </w:rPr>
              <w:t>wt</w:t>
            </w:r>
            <w:proofErr w:type="spellEnd"/>
            <w:r>
              <w:rPr>
                <w:lang w:val="en-GB"/>
              </w:rPr>
              <w:t xml:space="preserve"> %]</w:t>
            </w:r>
          </w:p>
        </w:tc>
        <w:tc>
          <w:tcPr>
            <w:tcW w:w="1115" w:type="dxa"/>
            <w:tcBorders>
              <w:top w:val="single" w:sz="12" w:space="0" w:color="008000"/>
              <w:bottom w:val="single" w:sz="6" w:space="0" w:color="008000"/>
            </w:tcBorders>
            <w:shd w:val="clear" w:color="auto" w:fill="FFFFFF"/>
          </w:tcPr>
          <w:p w14:paraId="41EE05AA" w14:textId="77777777" w:rsidR="00E81EBB" w:rsidRPr="00B57B36" w:rsidRDefault="00E81EBB" w:rsidP="00AC742C">
            <w:pPr>
              <w:pStyle w:val="CETBodytext"/>
              <w:rPr>
                <w:lang w:val="en-GB"/>
              </w:rPr>
            </w:pPr>
            <w:r>
              <w:rPr>
                <w:lang w:val="en-GB"/>
              </w:rPr>
              <w:t>Ash [</w:t>
            </w:r>
            <w:proofErr w:type="spellStart"/>
            <w:r>
              <w:rPr>
                <w:lang w:val="en-GB"/>
              </w:rPr>
              <w:t>wt</w:t>
            </w:r>
            <w:proofErr w:type="spellEnd"/>
            <w:r>
              <w:rPr>
                <w:lang w:val="en-GB"/>
              </w:rPr>
              <w:t xml:space="preserve"> %]</w:t>
            </w:r>
          </w:p>
        </w:tc>
        <w:tc>
          <w:tcPr>
            <w:tcW w:w="1088" w:type="dxa"/>
            <w:tcBorders>
              <w:top w:val="single" w:sz="12" w:space="0" w:color="008000"/>
              <w:bottom w:val="single" w:sz="6" w:space="0" w:color="008000"/>
            </w:tcBorders>
            <w:shd w:val="clear" w:color="auto" w:fill="FFFFFF"/>
          </w:tcPr>
          <w:p w14:paraId="635C105D" w14:textId="77777777" w:rsidR="00E81EBB" w:rsidRPr="00B57B36" w:rsidRDefault="00E81EBB" w:rsidP="00AC742C">
            <w:pPr>
              <w:pStyle w:val="CETBodytext"/>
              <w:ind w:right="-1"/>
              <w:rPr>
                <w:rFonts w:cs="Arial"/>
                <w:szCs w:val="18"/>
                <w:lang w:val="en-GB"/>
              </w:rPr>
            </w:pPr>
            <w:r>
              <w:rPr>
                <w:lang w:val="en-GB"/>
              </w:rPr>
              <w:t>C [</w:t>
            </w:r>
            <w:proofErr w:type="spellStart"/>
            <w:r>
              <w:rPr>
                <w:lang w:val="en-GB"/>
              </w:rPr>
              <w:t>wt</w:t>
            </w:r>
            <w:proofErr w:type="spellEnd"/>
            <w:r>
              <w:rPr>
                <w:lang w:val="en-GB"/>
              </w:rPr>
              <w:t xml:space="preserve"> %]</w:t>
            </w:r>
          </w:p>
        </w:tc>
        <w:tc>
          <w:tcPr>
            <w:tcW w:w="1088" w:type="dxa"/>
            <w:tcBorders>
              <w:top w:val="single" w:sz="12" w:space="0" w:color="008000"/>
              <w:bottom w:val="single" w:sz="6" w:space="0" w:color="008000"/>
            </w:tcBorders>
            <w:shd w:val="clear" w:color="auto" w:fill="FFFFFF"/>
          </w:tcPr>
          <w:p w14:paraId="5DECB62C" w14:textId="77777777" w:rsidR="00E81EBB" w:rsidRPr="00B57B36" w:rsidRDefault="00E81EBB" w:rsidP="00AC742C">
            <w:pPr>
              <w:pStyle w:val="CETBodytext"/>
              <w:ind w:right="-1"/>
              <w:rPr>
                <w:rFonts w:cs="Arial"/>
                <w:szCs w:val="18"/>
                <w:lang w:val="en-GB"/>
              </w:rPr>
            </w:pPr>
            <w:r>
              <w:rPr>
                <w:lang w:val="en-GB"/>
              </w:rPr>
              <w:t>H [</w:t>
            </w:r>
            <w:proofErr w:type="spellStart"/>
            <w:r>
              <w:rPr>
                <w:lang w:val="en-GB"/>
              </w:rPr>
              <w:t>wt</w:t>
            </w:r>
            <w:proofErr w:type="spellEnd"/>
            <w:r>
              <w:rPr>
                <w:lang w:val="en-GB"/>
              </w:rPr>
              <w:t xml:space="preserve"> %]</w:t>
            </w:r>
          </w:p>
        </w:tc>
        <w:tc>
          <w:tcPr>
            <w:tcW w:w="1088" w:type="dxa"/>
            <w:tcBorders>
              <w:top w:val="single" w:sz="12" w:space="0" w:color="008000"/>
              <w:bottom w:val="single" w:sz="6" w:space="0" w:color="008000"/>
            </w:tcBorders>
            <w:shd w:val="clear" w:color="auto" w:fill="FFFFFF"/>
          </w:tcPr>
          <w:p w14:paraId="5D158F86" w14:textId="77777777" w:rsidR="00E81EBB" w:rsidRPr="00B57B36" w:rsidRDefault="00E81EBB" w:rsidP="00AC742C">
            <w:pPr>
              <w:pStyle w:val="CETBodytext"/>
              <w:ind w:right="-1"/>
              <w:rPr>
                <w:rFonts w:cs="Arial"/>
                <w:szCs w:val="18"/>
                <w:lang w:val="en-GB"/>
              </w:rPr>
            </w:pPr>
            <w:r>
              <w:rPr>
                <w:lang w:val="en-GB"/>
              </w:rPr>
              <w:t>N [</w:t>
            </w:r>
            <w:proofErr w:type="spellStart"/>
            <w:r>
              <w:rPr>
                <w:lang w:val="en-GB"/>
              </w:rPr>
              <w:t>wt</w:t>
            </w:r>
            <w:proofErr w:type="spellEnd"/>
            <w:r>
              <w:rPr>
                <w:lang w:val="en-GB"/>
              </w:rPr>
              <w:t xml:space="preserve"> %]</w:t>
            </w:r>
          </w:p>
        </w:tc>
        <w:tc>
          <w:tcPr>
            <w:tcW w:w="1088" w:type="dxa"/>
            <w:tcBorders>
              <w:top w:val="single" w:sz="12" w:space="0" w:color="008000"/>
              <w:bottom w:val="single" w:sz="6" w:space="0" w:color="008000"/>
            </w:tcBorders>
            <w:shd w:val="clear" w:color="auto" w:fill="FFFFFF"/>
          </w:tcPr>
          <w:p w14:paraId="1F2FE3D8" w14:textId="77777777" w:rsidR="00E81EBB" w:rsidRPr="00B57B36" w:rsidRDefault="00E81EBB" w:rsidP="00AC742C">
            <w:pPr>
              <w:pStyle w:val="CETBodytext"/>
              <w:ind w:right="-1"/>
              <w:rPr>
                <w:rFonts w:cs="Arial"/>
                <w:szCs w:val="18"/>
                <w:lang w:val="en-GB"/>
              </w:rPr>
            </w:pPr>
            <w:r>
              <w:rPr>
                <w:lang w:val="en-GB"/>
              </w:rPr>
              <w:t>O [</w:t>
            </w:r>
            <w:proofErr w:type="spellStart"/>
            <w:r>
              <w:rPr>
                <w:lang w:val="en-GB"/>
              </w:rPr>
              <w:t>wt</w:t>
            </w:r>
            <w:proofErr w:type="spellEnd"/>
            <w:r>
              <w:rPr>
                <w:lang w:val="en-GB"/>
              </w:rPr>
              <w:t xml:space="preserve"> %]</w:t>
            </w:r>
          </w:p>
        </w:tc>
        <w:tc>
          <w:tcPr>
            <w:tcW w:w="1088" w:type="dxa"/>
            <w:tcBorders>
              <w:top w:val="single" w:sz="12" w:space="0" w:color="008000"/>
              <w:bottom w:val="single" w:sz="6" w:space="0" w:color="008000"/>
            </w:tcBorders>
            <w:shd w:val="clear" w:color="auto" w:fill="FFFFFF"/>
          </w:tcPr>
          <w:p w14:paraId="0B4498FC" w14:textId="77777777" w:rsidR="00E81EBB" w:rsidRPr="00B57B36" w:rsidRDefault="00E81EBB" w:rsidP="00AC742C">
            <w:pPr>
              <w:pStyle w:val="CETBodytext"/>
              <w:ind w:right="-1"/>
              <w:rPr>
                <w:rFonts w:cs="Arial"/>
                <w:szCs w:val="18"/>
                <w:lang w:val="en-GB"/>
              </w:rPr>
            </w:pPr>
            <w:r>
              <w:rPr>
                <w:lang w:val="en-GB"/>
              </w:rPr>
              <w:t>HHV [MJ/kg]</w:t>
            </w:r>
          </w:p>
        </w:tc>
      </w:tr>
      <w:tr w:rsidR="00E81EBB" w:rsidRPr="00B57B36" w14:paraId="1C599369" w14:textId="77777777" w:rsidTr="00AC742C">
        <w:tc>
          <w:tcPr>
            <w:tcW w:w="1118" w:type="dxa"/>
            <w:shd w:val="clear" w:color="auto" w:fill="FFFFFF"/>
          </w:tcPr>
          <w:p w14:paraId="5D29417B" w14:textId="77E0E41F" w:rsidR="00E81EBB" w:rsidRPr="00B57B36" w:rsidRDefault="00E81EBB" w:rsidP="00AC742C">
            <w:pPr>
              <w:pStyle w:val="CETBodytext"/>
              <w:ind w:right="-1"/>
              <w:rPr>
                <w:rFonts w:cs="Arial"/>
                <w:szCs w:val="18"/>
                <w:lang w:val="en-GB"/>
              </w:rPr>
            </w:pPr>
            <w:r>
              <w:rPr>
                <w:rFonts w:cs="Arial"/>
                <w:szCs w:val="18"/>
                <w:lang w:val="en-GB"/>
              </w:rPr>
              <w:t>5</w:t>
            </w:r>
            <w:r w:rsidR="001D0139">
              <w:rPr>
                <w:rFonts w:cs="Arial"/>
                <w:szCs w:val="18"/>
                <w:lang w:val="en-GB"/>
              </w:rPr>
              <w:t>4</w:t>
            </w:r>
            <w:r>
              <w:rPr>
                <w:rFonts w:cs="Arial"/>
                <w:szCs w:val="18"/>
                <w:lang w:val="en-GB"/>
              </w:rPr>
              <w:t>.</w:t>
            </w:r>
            <w:r w:rsidR="001D0139">
              <w:rPr>
                <w:rFonts w:cs="Arial"/>
                <w:szCs w:val="18"/>
                <w:lang w:val="en-GB"/>
              </w:rPr>
              <w:t>5</w:t>
            </w:r>
            <w:r>
              <w:rPr>
                <w:rFonts w:cs="Arial"/>
                <w:szCs w:val="18"/>
                <w:lang w:val="en-GB"/>
              </w:rPr>
              <w:t>6</w:t>
            </w:r>
          </w:p>
        </w:tc>
        <w:tc>
          <w:tcPr>
            <w:tcW w:w="1114" w:type="dxa"/>
            <w:shd w:val="clear" w:color="auto" w:fill="FFFFFF"/>
          </w:tcPr>
          <w:p w14:paraId="12C203B9" w14:textId="038638AA" w:rsidR="00E81EBB" w:rsidRPr="00B57B36" w:rsidRDefault="001D0139" w:rsidP="00AC742C">
            <w:pPr>
              <w:pStyle w:val="CETBodytext"/>
              <w:ind w:right="-1"/>
              <w:rPr>
                <w:rFonts w:cs="Arial"/>
                <w:szCs w:val="18"/>
                <w:lang w:val="en-GB"/>
              </w:rPr>
            </w:pPr>
            <w:r>
              <w:rPr>
                <w:rFonts w:cs="Arial"/>
                <w:szCs w:val="18"/>
                <w:lang w:val="en-GB"/>
              </w:rPr>
              <w:t>12</w:t>
            </w:r>
            <w:r w:rsidR="00E81EBB">
              <w:rPr>
                <w:rFonts w:cs="Arial"/>
                <w:szCs w:val="18"/>
                <w:lang w:val="en-GB"/>
              </w:rPr>
              <w:t>.</w:t>
            </w:r>
            <w:r>
              <w:rPr>
                <w:rFonts w:cs="Arial"/>
                <w:szCs w:val="18"/>
                <w:lang w:val="en-GB"/>
              </w:rPr>
              <w:t>37</w:t>
            </w:r>
          </w:p>
        </w:tc>
        <w:tc>
          <w:tcPr>
            <w:tcW w:w="1115" w:type="dxa"/>
            <w:shd w:val="clear" w:color="auto" w:fill="FFFFFF"/>
          </w:tcPr>
          <w:p w14:paraId="3815833C" w14:textId="18555D55" w:rsidR="00E81EBB" w:rsidRPr="00B57B36" w:rsidRDefault="00E81EBB" w:rsidP="00AC742C">
            <w:pPr>
              <w:pStyle w:val="CETBodytext"/>
              <w:ind w:right="-1"/>
              <w:rPr>
                <w:rFonts w:cs="Arial"/>
                <w:szCs w:val="18"/>
                <w:lang w:val="en-GB"/>
              </w:rPr>
            </w:pPr>
            <w:r>
              <w:rPr>
                <w:rFonts w:cs="Arial"/>
                <w:szCs w:val="18"/>
                <w:lang w:val="en-GB"/>
              </w:rPr>
              <w:t>3</w:t>
            </w:r>
            <w:r w:rsidR="001D0139">
              <w:rPr>
                <w:rFonts w:cs="Arial"/>
                <w:szCs w:val="18"/>
                <w:lang w:val="en-GB"/>
              </w:rPr>
              <w:t>3</w:t>
            </w:r>
            <w:r>
              <w:rPr>
                <w:rFonts w:cs="Arial"/>
                <w:szCs w:val="18"/>
                <w:lang w:val="en-GB"/>
              </w:rPr>
              <w:t>.</w:t>
            </w:r>
            <w:r w:rsidR="001D0139">
              <w:rPr>
                <w:rFonts w:cs="Arial"/>
                <w:szCs w:val="18"/>
                <w:lang w:val="en-GB"/>
              </w:rPr>
              <w:t>07</w:t>
            </w:r>
          </w:p>
        </w:tc>
        <w:tc>
          <w:tcPr>
            <w:tcW w:w="1088" w:type="dxa"/>
            <w:shd w:val="clear" w:color="auto" w:fill="FFFFFF"/>
          </w:tcPr>
          <w:p w14:paraId="2C586306" w14:textId="2F969589" w:rsidR="00E81EBB" w:rsidRPr="00B57B36" w:rsidRDefault="001D0139" w:rsidP="00AC742C">
            <w:pPr>
              <w:pStyle w:val="CETBodytext"/>
              <w:ind w:right="-1"/>
              <w:rPr>
                <w:rFonts w:cs="Arial"/>
                <w:szCs w:val="18"/>
                <w:lang w:val="en-GB"/>
              </w:rPr>
            </w:pPr>
            <w:r>
              <w:rPr>
                <w:rFonts w:cs="Arial"/>
                <w:szCs w:val="18"/>
                <w:lang w:val="en-GB"/>
              </w:rPr>
              <w:t>32</w:t>
            </w:r>
            <w:r w:rsidR="00E81EBB">
              <w:rPr>
                <w:rFonts w:cs="Arial"/>
                <w:szCs w:val="18"/>
                <w:lang w:val="en-GB"/>
              </w:rPr>
              <w:t>.</w:t>
            </w:r>
            <w:r>
              <w:rPr>
                <w:rFonts w:cs="Arial"/>
                <w:szCs w:val="18"/>
                <w:lang w:val="en-GB"/>
              </w:rPr>
              <w:t>09</w:t>
            </w:r>
          </w:p>
        </w:tc>
        <w:tc>
          <w:tcPr>
            <w:tcW w:w="1088" w:type="dxa"/>
            <w:shd w:val="clear" w:color="auto" w:fill="FFFFFF"/>
          </w:tcPr>
          <w:p w14:paraId="55DBA8EE" w14:textId="12867243" w:rsidR="00E81EBB" w:rsidRPr="00B57B36" w:rsidRDefault="001D0139" w:rsidP="00AC742C">
            <w:pPr>
              <w:pStyle w:val="CETBodytext"/>
              <w:ind w:right="-1"/>
              <w:rPr>
                <w:rFonts w:cs="Arial"/>
                <w:szCs w:val="18"/>
                <w:lang w:val="en-GB"/>
              </w:rPr>
            </w:pPr>
            <w:r>
              <w:rPr>
                <w:rFonts w:cs="Arial"/>
                <w:szCs w:val="18"/>
                <w:lang w:val="en-GB"/>
              </w:rPr>
              <w:t>4</w:t>
            </w:r>
            <w:r w:rsidR="00E81EBB">
              <w:rPr>
                <w:rFonts w:cs="Arial"/>
                <w:szCs w:val="18"/>
                <w:lang w:val="en-GB"/>
              </w:rPr>
              <w:t>.</w:t>
            </w:r>
            <w:r>
              <w:rPr>
                <w:rFonts w:cs="Arial"/>
                <w:szCs w:val="18"/>
                <w:lang w:val="en-GB"/>
              </w:rPr>
              <w:t>08</w:t>
            </w:r>
          </w:p>
        </w:tc>
        <w:tc>
          <w:tcPr>
            <w:tcW w:w="1088" w:type="dxa"/>
            <w:shd w:val="clear" w:color="auto" w:fill="FFFFFF"/>
          </w:tcPr>
          <w:p w14:paraId="66ECA4CD" w14:textId="3F0C00F8" w:rsidR="00E81EBB" w:rsidRPr="00B57B36" w:rsidRDefault="001D0139" w:rsidP="00AC742C">
            <w:pPr>
              <w:pStyle w:val="CETBodytext"/>
              <w:ind w:right="-1"/>
              <w:rPr>
                <w:rFonts w:cs="Arial"/>
                <w:szCs w:val="18"/>
                <w:lang w:val="en-GB"/>
              </w:rPr>
            </w:pPr>
            <w:r>
              <w:rPr>
                <w:rFonts w:cs="Arial"/>
                <w:szCs w:val="18"/>
                <w:lang w:val="en-GB"/>
              </w:rPr>
              <w:t>2</w:t>
            </w:r>
            <w:r w:rsidR="00E81EBB">
              <w:rPr>
                <w:rFonts w:cs="Arial"/>
                <w:szCs w:val="18"/>
                <w:lang w:val="en-GB"/>
              </w:rPr>
              <w:t>.1</w:t>
            </w:r>
            <w:r>
              <w:rPr>
                <w:rFonts w:cs="Arial"/>
                <w:szCs w:val="18"/>
                <w:lang w:val="en-GB"/>
              </w:rPr>
              <w:t>4</w:t>
            </w:r>
          </w:p>
        </w:tc>
        <w:tc>
          <w:tcPr>
            <w:tcW w:w="1088" w:type="dxa"/>
            <w:shd w:val="clear" w:color="auto" w:fill="FFFFFF"/>
          </w:tcPr>
          <w:p w14:paraId="1F7B2D5B" w14:textId="2CBEFA9A" w:rsidR="00E81EBB" w:rsidRPr="00B57B36" w:rsidRDefault="00E81EBB" w:rsidP="00AC742C">
            <w:pPr>
              <w:pStyle w:val="CETBodytext"/>
              <w:ind w:right="-1"/>
              <w:rPr>
                <w:rFonts w:cs="Arial"/>
                <w:szCs w:val="18"/>
                <w:lang w:val="en-GB"/>
              </w:rPr>
            </w:pPr>
            <w:r>
              <w:rPr>
                <w:rFonts w:cs="Arial"/>
                <w:szCs w:val="18"/>
                <w:lang w:val="en-GB"/>
              </w:rPr>
              <w:t>2</w:t>
            </w:r>
            <w:r w:rsidR="001D0139">
              <w:rPr>
                <w:rFonts w:cs="Arial"/>
                <w:szCs w:val="18"/>
                <w:lang w:val="en-GB"/>
              </w:rPr>
              <w:t>8</w:t>
            </w:r>
            <w:r>
              <w:rPr>
                <w:rFonts w:cs="Arial"/>
                <w:szCs w:val="18"/>
                <w:lang w:val="en-GB"/>
              </w:rPr>
              <w:t>.</w:t>
            </w:r>
            <w:r w:rsidR="001D0139">
              <w:rPr>
                <w:rFonts w:cs="Arial"/>
                <w:szCs w:val="18"/>
                <w:lang w:val="en-GB"/>
              </w:rPr>
              <w:t>62</w:t>
            </w:r>
          </w:p>
        </w:tc>
        <w:tc>
          <w:tcPr>
            <w:tcW w:w="1088" w:type="dxa"/>
            <w:shd w:val="clear" w:color="auto" w:fill="FFFFFF"/>
          </w:tcPr>
          <w:p w14:paraId="5387D094" w14:textId="6E38C9BF" w:rsidR="00E81EBB" w:rsidRPr="00B57B36" w:rsidRDefault="00E81EBB" w:rsidP="00AC742C">
            <w:pPr>
              <w:pStyle w:val="CETBodytext"/>
              <w:ind w:right="-1"/>
              <w:rPr>
                <w:rFonts w:cs="Arial"/>
                <w:szCs w:val="18"/>
                <w:lang w:val="en-GB"/>
              </w:rPr>
            </w:pPr>
            <w:r>
              <w:rPr>
                <w:rFonts w:cs="Arial"/>
                <w:szCs w:val="18"/>
                <w:lang w:val="en-GB"/>
              </w:rPr>
              <w:t>12.</w:t>
            </w:r>
            <w:r w:rsidR="001D0139">
              <w:rPr>
                <w:rFonts w:cs="Arial"/>
                <w:szCs w:val="18"/>
                <w:lang w:val="en-GB"/>
              </w:rPr>
              <w:t>2</w:t>
            </w:r>
            <w:r>
              <w:rPr>
                <w:rFonts w:cs="Arial"/>
                <w:szCs w:val="18"/>
                <w:lang w:val="en-GB"/>
              </w:rPr>
              <w:t>0</w:t>
            </w:r>
          </w:p>
        </w:tc>
      </w:tr>
    </w:tbl>
    <w:p w14:paraId="7C2B0064" w14:textId="3E844DD7" w:rsidR="00453E24" w:rsidRDefault="00453E24" w:rsidP="0001216C">
      <w:pPr>
        <w:pStyle w:val="CETBodytext"/>
      </w:pPr>
    </w:p>
    <w:p w14:paraId="18BAFA6F" w14:textId="6E324CB5" w:rsidR="00453E24" w:rsidRPr="00B57B36" w:rsidRDefault="00E45C16" w:rsidP="00453E24">
      <w:pPr>
        <w:pStyle w:val="CETheadingx"/>
      </w:pPr>
      <w:r w:rsidRPr="00E45C16">
        <w:t>Design of Experiments – Response Surface Methodology</w:t>
      </w:r>
    </w:p>
    <w:p w14:paraId="582642C6" w14:textId="7E1A6025" w:rsidR="00453E24" w:rsidRDefault="006A5401" w:rsidP="00F86B54">
      <w:pPr>
        <w:pStyle w:val="CETBodytext"/>
        <w:rPr>
          <w:lang w:val="en-GB"/>
        </w:rPr>
      </w:pPr>
      <w:r w:rsidRPr="006A5401">
        <w:rPr>
          <w:lang w:val="en-GB"/>
        </w:rPr>
        <w:t>HTC tests were planned using the DoE-RSM approach. Temperature (A), reaction time (B), and solid content (C) were identified as independent variables (factors). Table 2 illustrates the chosen levels for these process variables. To explore potential non-linear interactions among the factors, a face-</w:t>
      </w:r>
      <w:proofErr w:type="spellStart"/>
      <w:r w:rsidRPr="006A5401">
        <w:rPr>
          <w:lang w:val="en-GB"/>
        </w:rPr>
        <w:t>centered</w:t>
      </w:r>
      <w:proofErr w:type="spellEnd"/>
      <w:r w:rsidRPr="006A5401">
        <w:rPr>
          <w:lang w:val="en-GB"/>
        </w:rPr>
        <w:t xml:space="preserve"> central composite design was implemented. The experimental design matrix comprised 20 runs, including 8 runs at factorial points, 6 runs at axial points, and 6 replicates at the central point. Randomization of the experimental sequence was conducted to mitigate the influence of uncontrolled factors. To evaluate the process yields and the properties of the resulting </w:t>
      </w:r>
      <w:proofErr w:type="spellStart"/>
      <w:r w:rsidRPr="006A5401">
        <w:rPr>
          <w:lang w:val="en-GB"/>
        </w:rPr>
        <w:t>hydrochars</w:t>
      </w:r>
      <w:proofErr w:type="spellEnd"/>
      <w:r w:rsidRPr="006A5401">
        <w:rPr>
          <w:lang w:val="en-GB"/>
        </w:rPr>
        <w:t xml:space="preserve">, the following responses were selected: </w:t>
      </w:r>
      <w:proofErr w:type="spellStart"/>
      <w:r w:rsidRPr="006A5401">
        <w:rPr>
          <w:lang w:val="en-GB"/>
        </w:rPr>
        <w:t>hydrochar</w:t>
      </w:r>
      <w:proofErr w:type="spellEnd"/>
      <w:r w:rsidRPr="006A5401">
        <w:rPr>
          <w:lang w:val="en-GB"/>
        </w:rPr>
        <w:t xml:space="preserve"> yield (Y), carbon yield (C yield), </w:t>
      </w:r>
      <w:proofErr w:type="spellStart"/>
      <w:r w:rsidRPr="006A5401">
        <w:rPr>
          <w:lang w:val="en-GB"/>
        </w:rPr>
        <w:t>hydrochar</w:t>
      </w:r>
      <w:proofErr w:type="spellEnd"/>
      <w:r w:rsidRPr="006A5401">
        <w:rPr>
          <w:lang w:val="en-GB"/>
        </w:rPr>
        <w:t xml:space="preserve"> H/C </w:t>
      </w:r>
      <w:r w:rsidR="00782B96">
        <w:rPr>
          <w:lang w:val="en-GB"/>
        </w:rPr>
        <w:t>and</w:t>
      </w:r>
      <w:r w:rsidRPr="006A5401">
        <w:rPr>
          <w:lang w:val="en-GB"/>
        </w:rPr>
        <w:t xml:space="preserve"> O/C atomic ratio</w:t>
      </w:r>
      <w:r w:rsidR="00782B96">
        <w:rPr>
          <w:lang w:val="en-GB"/>
        </w:rPr>
        <w:t>s</w:t>
      </w:r>
      <w:r w:rsidRPr="006A5401">
        <w:rPr>
          <w:lang w:val="en-GB"/>
        </w:rPr>
        <w:t xml:space="preserve">, </w:t>
      </w:r>
      <w:proofErr w:type="spellStart"/>
      <w:r w:rsidRPr="006A5401">
        <w:rPr>
          <w:lang w:val="en-GB"/>
        </w:rPr>
        <w:t>hydrochar</w:t>
      </w:r>
      <w:proofErr w:type="spellEnd"/>
      <w:r w:rsidRPr="006A5401">
        <w:rPr>
          <w:lang w:val="en-GB"/>
        </w:rPr>
        <w:t xml:space="preserve"> ash content, </w:t>
      </w:r>
      <w:proofErr w:type="spellStart"/>
      <w:r w:rsidRPr="006A5401">
        <w:rPr>
          <w:lang w:val="en-GB"/>
        </w:rPr>
        <w:t>hydrochar</w:t>
      </w:r>
      <w:proofErr w:type="spellEnd"/>
      <w:r w:rsidRPr="006A5401">
        <w:rPr>
          <w:lang w:val="en-GB"/>
        </w:rPr>
        <w:t xml:space="preserve"> higher heating value (HHV), energy densification (ED), and energy yield (EY). The definitions of </w:t>
      </w:r>
      <w:proofErr w:type="spellStart"/>
      <w:r w:rsidRPr="006A5401">
        <w:rPr>
          <w:lang w:val="en-GB"/>
        </w:rPr>
        <w:t>hydrochar</w:t>
      </w:r>
      <w:proofErr w:type="spellEnd"/>
      <w:r w:rsidRPr="006A5401">
        <w:rPr>
          <w:lang w:val="en-GB"/>
        </w:rPr>
        <w:t xml:space="preserve"> yield, carbon yield, energy densification, and energy yield </w:t>
      </w:r>
      <w:r w:rsidR="002E0A64">
        <w:rPr>
          <w:lang w:val="en-GB"/>
        </w:rPr>
        <w:t>are</w:t>
      </w:r>
      <w:r w:rsidRPr="006A5401">
        <w:rPr>
          <w:lang w:val="en-GB"/>
        </w:rPr>
        <w:t xml:space="preserve"> outlined in </w:t>
      </w:r>
      <w:proofErr w:type="spellStart"/>
      <w:r w:rsidRPr="006A5401">
        <w:rPr>
          <w:lang w:val="en-GB"/>
        </w:rPr>
        <w:t>Eqs</w:t>
      </w:r>
      <w:proofErr w:type="spellEnd"/>
      <w:r w:rsidRPr="006A5401">
        <w:rPr>
          <w:lang w:val="en-GB"/>
        </w:rPr>
        <w:t xml:space="preserve"> (1)</w:t>
      </w:r>
      <w:proofErr w:type="gramStart"/>
      <w:r w:rsidRPr="006A5401">
        <w:rPr>
          <w:lang w:val="en-GB"/>
        </w:rPr>
        <w:t>–(</w:t>
      </w:r>
      <w:proofErr w:type="gramEnd"/>
      <w:r w:rsidRPr="006A5401">
        <w:rPr>
          <w:lang w:val="en-GB"/>
        </w:rPr>
        <w:t>4).</w:t>
      </w:r>
    </w:p>
    <w:tbl>
      <w:tblPr>
        <w:tblW w:w="5000" w:type="pct"/>
        <w:tblLook w:val="04A0" w:firstRow="1" w:lastRow="0" w:firstColumn="1" w:lastColumn="0" w:noHBand="0" w:noVBand="1"/>
      </w:tblPr>
      <w:tblGrid>
        <w:gridCol w:w="7985"/>
        <w:gridCol w:w="802"/>
      </w:tblGrid>
      <w:tr w:rsidR="00113FC8" w:rsidRPr="00B57B36" w14:paraId="3FB02A9C" w14:textId="77777777" w:rsidTr="00AC742C">
        <w:tc>
          <w:tcPr>
            <w:tcW w:w="7985" w:type="dxa"/>
            <w:shd w:val="clear" w:color="auto" w:fill="auto"/>
            <w:vAlign w:val="center"/>
          </w:tcPr>
          <w:p w14:paraId="2FB19056" w14:textId="5C9A07CF" w:rsidR="00113FC8" w:rsidRPr="007C42A5" w:rsidRDefault="00113FC8" w:rsidP="00C355BE">
            <w:pPr>
              <w:pStyle w:val="CETEquation"/>
              <w:spacing w:before="60" w:after="0"/>
              <w:rPr>
                <w:rFonts w:cs="Arial"/>
              </w:rPr>
            </w:pPr>
            <m:oMathPara>
              <m:oMathParaPr>
                <m:jc m:val="left"/>
              </m:oMathParaPr>
              <m:oMath>
                <m:r>
                  <w:rPr>
                    <w:rFonts w:ascii="Cambria Math" w:hAnsi="Cambria Math" w:cs="Arial"/>
                  </w:rPr>
                  <m:t>Y</m:t>
                </m:r>
                <m:r>
                  <m:rPr>
                    <m:sty m:val="p"/>
                  </m:rPr>
                  <w:rPr>
                    <w:rFonts w:ascii="Cambria Math" w:hAnsi="Cambria Math" w:cs="Arial"/>
                  </w:rPr>
                  <m:t>=</m:t>
                </m:r>
                <m:f>
                  <m:fPr>
                    <m:ctrlPr>
                      <w:rPr>
                        <w:rFonts w:ascii="Cambria Math" w:hAnsi="Cambria Math" w:cs="Arial"/>
                      </w:rPr>
                    </m:ctrlPr>
                  </m:fPr>
                  <m:num>
                    <m:r>
                      <w:rPr>
                        <w:rFonts w:ascii="Cambria Math" w:hAnsi="Cambria Math" w:cs="Arial"/>
                      </w:rPr>
                      <m:t>mass</m:t>
                    </m:r>
                    <m:r>
                      <m:rPr>
                        <m:sty m:val="p"/>
                      </m:rPr>
                      <w:rPr>
                        <w:rFonts w:ascii="Cambria Math" w:hAnsi="Cambria Math" w:cs="Arial"/>
                      </w:rPr>
                      <m:t xml:space="preserve"> </m:t>
                    </m:r>
                    <m:r>
                      <w:rPr>
                        <w:rFonts w:ascii="Cambria Math" w:hAnsi="Cambria Math" w:cs="Arial"/>
                      </w:rPr>
                      <m:t>of</m:t>
                    </m:r>
                    <m:r>
                      <m:rPr>
                        <m:sty m:val="p"/>
                      </m:rPr>
                      <w:rPr>
                        <w:rFonts w:ascii="Cambria Math" w:hAnsi="Cambria Math" w:cs="Arial"/>
                      </w:rPr>
                      <m:t xml:space="preserve"> </m:t>
                    </m:r>
                    <m:r>
                      <w:rPr>
                        <w:rFonts w:ascii="Cambria Math" w:hAnsi="Cambria Math" w:cs="Arial"/>
                      </w:rPr>
                      <m:t>dry</m:t>
                    </m:r>
                    <m:r>
                      <m:rPr>
                        <m:sty m:val="p"/>
                      </m:rPr>
                      <w:rPr>
                        <w:rFonts w:ascii="Cambria Math" w:hAnsi="Cambria Math" w:cs="Arial"/>
                      </w:rPr>
                      <m:t xml:space="preserve"> </m:t>
                    </m:r>
                    <m:r>
                      <w:rPr>
                        <w:rFonts w:ascii="Cambria Math" w:hAnsi="Cambria Math" w:cs="Arial"/>
                      </w:rPr>
                      <m:t>hydrochar</m:t>
                    </m:r>
                  </m:num>
                  <m:den>
                    <m:r>
                      <w:rPr>
                        <w:rFonts w:ascii="Cambria Math" w:hAnsi="Cambria Math" w:cs="Arial"/>
                      </w:rPr>
                      <m:t>mass</m:t>
                    </m:r>
                    <m:r>
                      <m:rPr>
                        <m:sty m:val="p"/>
                      </m:rPr>
                      <w:rPr>
                        <w:rFonts w:ascii="Cambria Math" w:hAnsi="Cambria Math" w:cs="Arial"/>
                      </w:rPr>
                      <m:t xml:space="preserve"> </m:t>
                    </m:r>
                    <m:r>
                      <w:rPr>
                        <w:rFonts w:ascii="Cambria Math" w:hAnsi="Cambria Math" w:cs="Arial"/>
                      </w:rPr>
                      <m:t>of</m:t>
                    </m:r>
                    <m:r>
                      <m:rPr>
                        <m:sty m:val="p"/>
                      </m:rPr>
                      <w:rPr>
                        <w:rFonts w:ascii="Cambria Math" w:hAnsi="Cambria Math" w:cs="Arial"/>
                      </w:rPr>
                      <m:t xml:space="preserve"> </m:t>
                    </m:r>
                    <m:r>
                      <w:rPr>
                        <w:rFonts w:ascii="Cambria Math" w:hAnsi="Cambria Math" w:cs="Arial"/>
                      </w:rPr>
                      <m:t>dry</m:t>
                    </m:r>
                    <m:r>
                      <m:rPr>
                        <m:sty m:val="p"/>
                      </m:rPr>
                      <w:rPr>
                        <w:rFonts w:ascii="Cambria Math" w:hAnsi="Cambria Math" w:cs="Arial"/>
                      </w:rPr>
                      <m:t xml:space="preserve"> </m:t>
                    </m:r>
                    <m:r>
                      <w:rPr>
                        <w:rFonts w:ascii="Cambria Math" w:hAnsi="Cambria Math" w:cs="Arial"/>
                      </w:rPr>
                      <m:t>biomass</m:t>
                    </m:r>
                  </m:den>
                </m:f>
                <m:r>
                  <m:rPr>
                    <m:sty m:val="p"/>
                  </m:rPr>
                  <w:rPr>
                    <w:rFonts w:ascii="Cambria Math" w:hAnsi="Cambria Math" w:cs="Arial"/>
                  </w:rPr>
                  <m:t>∙</m:t>
                </m:r>
                <m:r>
                  <w:rPr>
                    <w:rFonts w:ascii="Cambria Math" w:hAnsi="Cambria Math" w:cs="Arial"/>
                  </w:rPr>
                  <m:t>100</m:t>
                </m:r>
              </m:oMath>
            </m:oMathPara>
          </w:p>
        </w:tc>
        <w:tc>
          <w:tcPr>
            <w:tcW w:w="802" w:type="dxa"/>
            <w:shd w:val="clear" w:color="auto" w:fill="auto"/>
            <w:vAlign w:val="center"/>
          </w:tcPr>
          <w:p w14:paraId="49FB1061" w14:textId="77777777" w:rsidR="00113FC8" w:rsidRPr="00B57B36" w:rsidRDefault="00113FC8" w:rsidP="00AC742C">
            <w:pPr>
              <w:pStyle w:val="CETEquation"/>
              <w:jc w:val="right"/>
            </w:pPr>
            <w:r w:rsidRPr="00B57B36">
              <w:t>(1)</w:t>
            </w:r>
          </w:p>
        </w:tc>
      </w:tr>
      <w:tr w:rsidR="00113FC8" w:rsidRPr="00B57B36" w14:paraId="51527414" w14:textId="77777777" w:rsidTr="00AC742C">
        <w:tc>
          <w:tcPr>
            <w:tcW w:w="7985" w:type="dxa"/>
            <w:shd w:val="clear" w:color="auto" w:fill="auto"/>
            <w:vAlign w:val="center"/>
          </w:tcPr>
          <w:p w14:paraId="645F868D" w14:textId="1C2A829E" w:rsidR="00113FC8" w:rsidRPr="000A48C0" w:rsidRDefault="00113FC8" w:rsidP="00C355BE">
            <w:pPr>
              <w:pStyle w:val="CETEquation"/>
              <w:spacing w:before="40" w:after="0"/>
              <w:rPr>
                <w:rFonts w:ascii="Cambria Math" w:hAnsi="Cambria Math" w:cs="Arial"/>
                <w:oMath/>
              </w:rPr>
            </w:pPr>
            <m:oMathPara>
              <m:oMathParaPr>
                <m:jc m:val="left"/>
              </m:oMathParaPr>
              <m:oMath>
                <m:r>
                  <w:rPr>
                    <w:rFonts w:ascii="Cambria Math" w:hAnsi="Cambria Math" w:cs="Arial"/>
                  </w:rPr>
                  <m:t>C yield=Y∙</m:t>
                </m:r>
                <m:f>
                  <m:fPr>
                    <m:ctrlPr>
                      <w:rPr>
                        <w:rFonts w:ascii="Cambria Math" w:hAnsi="Cambria Math" w:cs="Arial"/>
                        <w:i/>
                        <w:iCs/>
                      </w:rPr>
                    </m:ctrlPr>
                  </m:fPr>
                  <m:num>
                    <m:r>
                      <w:rPr>
                        <w:rFonts w:ascii="Cambria Math" w:hAnsi="Cambria Math" w:cs="Arial"/>
                      </w:rPr>
                      <m:t>C content of dry hydrochar</m:t>
                    </m:r>
                  </m:num>
                  <m:den>
                    <m:r>
                      <w:rPr>
                        <w:rFonts w:ascii="Cambria Math" w:hAnsi="Cambria Math" w:cs="Arial"/>
                      </w:rPr>
                      <m:t>C content of dry biomass</m:t>
                    </m:r>
                  </m:den>
                </m:f>
                <m:r>
                  <w:rPr>
                    <w:rFonts w:ascii="Cambria Math" w:hAnsi="Cambria Math" w:cs="Arial"/>
                  </w:rPr>
                  <m:t>∙100</m:t>
                </m:r>
              </m:oMath>
            </m:oMathPara>
          </w:p>
        </w:tc>
        <w:tc>
          <w:tcPr>
            <w:tcW w:w="802" w:type="dxa"/>
            <w:shd w:val="clear" w:color="auto" w:fill="auto"/>
            <w:vAlign w:val="center"/>
          </w:tcPr>
          <w:p w14:paraId="3FB9ADEF" w14:textId="77777777" w:rsidR="00113FC8" w:rsidRPr="00B57B36" w:rsidRDefault="00113FC8" w:rsidP="00AC742C">
            <w:pPr>
              <w:pStyle w:val="CETEquation"/>
              <w:jc w:val="right"/>
            </w:pPr>
            <w:r w:rsidRPr="00B57B36">
              <w:t>(</w:t>
            </w:r>
            <w:r>
              <w:t>2</w:t>
            </w:r>
            <w:r w:rsidRPr="00B57B36">
              <w:t>)</w:t>
            </w:r>
          </w:p>
        </w:tc>
      </w:tr>
      <w:tr w:rsidR="00113FC8" w:rsidRPr="00B57B36" w14:paraId="32C373BF" w14:textId="77777777" w:rsidTr="00AC742C">
        <w:tc>
          <w:tcPr>
            <w:tcW w:w="7985" w:type="dxa"/>
            <w:shd w:val="clear" w:color="auto" w:fill="auto"/>
            <w:vAlign w:val="center"/>
          </w:tcPr>
          <w:p w14:paraId="633BFD54" w14:textId="5D18DCDD" w:rsidR="00113FC8" w:rsidRPr="000A48C0" w:rsidRDefault="00113FC8" w:rsidP="00C355BE">
            <w:pPr>
              <w:pStyle w:val="CETEquation"/>
              <w:spacing w:before="40" w:after="0"/>
              <w:rPr>
                <w:rFonts w:ascii="Cambria Math" w:hAnsi="Cambria Math" w:cs="Arial"/>
                <w:oMath/>
              </w:rPr>
            </w:pPr>
            <m:oMathPara>
              <m:oMathParaPr>
                <m:jc m:val="left"/>
              </m:oMathParaPr>
              <m:oMath>
                <m:r>
                  <w:rPr>
                    <w:rFonts w:ascii="Cambria Math" w:hAnsi="Cambria Math" w:cs="Arial"/>
                  </w:rPr>
                  <m:t>ED=</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HHV</m:t>
                        </m:r>
                      </m:e>
                      <m:sub>
                        <m:r>
                          <w:rPr>
                            <w:rFonts w:ascii="Cambria Math" w:hAnsi="Cambria Math" w:cs="Arial"/>
                          </w:rPr>
                          <m:t>dry hydrochar</m:t>
                        </m:r>
                      </m:sub>
                    </m:sSub>
                  </m:num>
                  <m:den>
                    <m:sSub>
                      <m:sSubPr>
                        <m:ctrlPr>
                          <w:rPr>
                            <w:rFonts w:ascii="Cambria Math" w:hAnsi="Cambria Math" w:cs="Arial"/>
                            <w:i/>
                            <w:iCs/>
                          </w:rPr>
                        </m:ctrlPr>
                      </m:sSubPr>
                      <m:e>
                        <m:r>
                          <w:rPr>
                            <w:rFonts w:ascii="Cambria Math" w:hAnsi="Cambria Math" w:cs="Arial"/>
                          </w:rPr>
                          <m:t>HHV</m:t>
                        </m:r>
                      </m:e>
                      <m:sub>
                        <m:r>
                          <w:rPr>
                            <w:rFonts w:ascii="Cambria Math" w:hAnsi="Cambria Math" w:cs="Arial"/>
                          </w:rPr>
                          <m:t>dry biomass</m:t>
                        </m:r>
                      </m:sub>
                    </m:sSub>
                  </m:den>
                </m:f>
              </m:oMath>
            </m:oMathPara>
          </w:p>
        </w:tc>
        <w:tc>
          <w:tcPr>
            <w:tcW w:w="802" w:type="dxa"/>
            <w:shd w:val="clear" w:color="auto" w:fill="auto"/>
            <w:vAlign w:val="center"/>
          </w:tcPr>
          <w:p w14:paraId="0F726619" w14:textId="77777777" w:rsidR="00113FC8" w:rsidRPr="00B57B36" w:rsidRDefault="00113FC8" w:rsidP="00AC742C">
            <w:pPr>
              <w:pStyle w:val="CETEquation"/>
              <w:jc w:val="right"/>
            </w:pPr>
            <w:r w:rsidRPr="00B57B36">
              <w:t>(</w:t>
            </w:r>
            <w:r>
              <w:t>3</w:t>
            </w:r>
            <w:r w:rsidRPr="00B57B36">
              <w:t>)</w:t>
            </w:r>
          </w:p>
        </w:tc>
      </w:tr>
      <w:tr w:rsidR="00113FC8" w:rsidRPr="00B57B36" w14:paraId="0651E3B9" w14:textId="77777777" w:rsidTr="00AC742C">
        <w:tc>
          <w:tcPr>
            <w:tcW w:w="7985" w:type="dxa"/>
            <w:shd w:val="clear" w:color="auto" w:fill="auto"/>
            <w:vAlign w:val="center"/>
          </w:tcPr>
          <w:p w14:paraId="0F3C35BD" w14:textId="1DDDE04E" w:rsidR="00113FC8" w:rsidRPr="000A48C0" w:rsidRDefault="00113FC8" w:rsidP="00C355BE">
            <w:pPr>
              <w:pStyle w:val="CETEquation"/>
              <w:spacing w:before="40" w:after="40"/>
              <w:rPr>
                <w:rFonts w:ascii="Cambria Math" w:hAnsi="Cambria Math" w:cs="Arial"/>
                <w:oMath/>
              </w:rPr>
            </w:pPr>
            <m:oMathPara>
              <m:oMathParaPr>
                <m:jc m:val="left"/>
              </m:oMathParaPr>
              <m:oMath>
                <m:r>
                  <w:rPr>
                    <w:rFonts w:ascii="Cambria Math" w:hAnsi="Cambria Math" w:cs="Arial"/>
                  </w:rPr>
                  <m:t>EY=Y∙</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HHV</m:t>
                        </m:r>
                      </m:e>
                      <m:sub>
                        <m:r>
                          <w:rPr>
                            <w:rFonts w:ascii="Cambria Math" w:hAnsi="Cambria Math" w:cs="Arial"/>
                          </w:rPr>
                          <m:t>dry hydrochar</m:t>
                        </m:r>
                      </m:sub>
                    </m:sSub>
                  </m:num>
                  <m:den>
                    <m:sSub>
                      <m:sSubPr>
                        <m:ctrlPr>
                          <w:rPr>
                            <w:rFonts w:ascii="Cambria Math" w:hAnsi="Cambria Math" w:cs="Arial"/>
                            <w:i/>
                            <w:iCs/>
                          </w:rPr>
                        </m:ctrlPr>
                      </m:sSubPr>
                      <m:e>
                        <m:r>
                          <w:rPr>
                            <w:rFonts w:ascii="Cambria Math" w:hAnsi="Cambria Math" w:cs="Arial"/>
                          </w:rPr>
                          <m:t>HHV</m:t>
                        </m:r>
                      </m:e>
                      <m:sub>
                        <m:r>
                          <w:rPr>
                            <w:rFonts w:ascii="Cambria Math" w:hAnsi="Cambria Math" w:cs="Arial"/>
                          </w:rPr>
                          <m:t>dry biomass</m:t>
                        </m:r>
                      </m:sub>
                    </m:sSub>
                  </m:den>
                </m:f>
              </m:oMath>
            </m:oMathPara>
          </w:p>
        </w:tc>
        <w:tc>
          <w:tcPr>
            <w:tcW w:w="802" w:type="dxa"/>
            <w:shd w:val="clear" w:color="auto" w:fill="auto"/>
            <w:vAlign w:val="center"/>
          </w:tcPr>
          <w:p w14:paraId="13E654DA" w14:textId="77777777" w:rsidR="00113FC8" w:rsidRPr="00B57B36" w:rsidRDefault="00113FC8" w:rsidP="00AC742C">
            <w:pPr>
              <w:pStyle w:val="CETEquation"/>
              <w:jc w:val="right"/>
            </w:pPr>
            <w:r w:rsidRPr="00B57B36">
              <w:t>(</w:t>
            </w:r>
            <w:r>
              <w:t>4</w:t>
            </w:r>
            <w:r w:rsidRPr="00B57B36">
              <w:t>)</w:t>
            </w:r>
          </w:p>
        </w:tc>
      </w:tr>
    </w:tbl>
    <w:p w14:paraId="67069007" w14:textId="338D1D79" w:rsidR="004500F4" w:rsidRDefault="007F264B" w:rsidP="007F264B">
      <w:pPr>
        <w:pStyle w:val="CETBodytext"/>
        <w:rPr>
          <w:lang w:val="en-GB"/>
        </w:rPr>
      </w:pPr>
      <w:r w:rsidRPr="007F264B">
        <w:rPr>
          <w:lang w:val="en-GB"/>
        </w:rPr>
        <w:t>The analysis of variance (ANOVA) was used to assess suitable models for each response.</w:t>
      </w:r>
      <w:r>
        <w:rPr>
          <w:lang w:val="en-GB"/>
        </w:rPr>
        <w:t xml:space="preserve"> </w:t>
      </w:r>
      <w:r w:rsidRPr="007F264B">
        <w:rPr>
          <w:lang w:val="en-GB"/>
        </w:rPr>
        <w:t>The Design Expert® 13 (Stat-Ease) software was employed to carry out DoE/RSM trials.</w:t>
      </w:r>
    </w:p>
    <w:p w14:paraId="5A78D10E" w14:textId="44750F9F" w:rsidR="00B50EAB" w:rsidRPr="00B57B36" w:rsidRDefault="00B50EAB" w:rsidP="00B50EAB">
      <w:pPr>
        <w:pStyle w:val="CETTabletitle"/>
      </w:pPr>
      <w:r w:rsidRPr="00B57B36">
        <w:t xml:space="preserve">Table </w:t>
      </w:r>
      <w:r>
        <w:t>2</w:t>
      </w:r>
      <w:r w:rsidRPr="00B57B36">
        <w:t xml:space="preserve">: </w:t>
      </w:r>
      <w:r w:rsidRPr="00B50EAB">
        <w:t>Independent variables in HTC experiments: name, units and levels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361"/>
        <w:gridCol w:w="1361"/>
      </w:tblGrid>
      <w:tr w:rsidR="00B50EAB" w:rsidRPr="00B57B36" w14:paraId="20BA4D00" w14:textId="77777777" w:rsidTr="00AC742C">
        <w:tc>
          <w:tcPr>
            <w:tcW w:w="2835" w:type="dxa"/>
            <w:tcBorders>
              <w:top w:val="single" w:sz="12" w:space="0" w:color="008000"/>
              <w:bottom w:val="single" w:sz="6" w:space="0" w:color="008000"/>
            </w:tcBorders>
            <w:shd w:val="clear" w:color="auto" w:fill="FFFFFF"/>
          </w:tcPr>
          <w:p w14:paraId="67F8EF5C" w14:textId="77777777" w:rsidR="00B50EAB" w:rsidRPr="00B57B36" w:rsidRDefault="00B50EAB" w:rsidP="00AC742C">
            <w:pPr>
              <w:pStyle w:val="CETBodytext"/>
              <w:rPr>
                <w:lang w:val="en-GB"/>
              </w:rPr>
            </w:pPr>
            <w:r>
              <w:rPr>
                <w:lang w:val="en-GB"/>
              </w:rPr>
              <w:t>Factor</w:t>
            </w:r>
            <w:r w:rsidRPr="00B57B36">
              <w:rPr>
                <w:lang w:val="en-GB"/>
              </w:rPr>
              <w:t xml:space="preserve"> </w:t>
            </w:r>
          </w:p>
        </w:tc>
        <w:tc>
          <w:tcPr>
            <w:tcW w:w="1361" w:type="dxa"/>
            <w:tcBorders>
              <w:top w:val="single" w:sz="12" w:space="0" w:color="008000"/>
              <w:bottom w:val="single" w:sz="6" w:space="0" w:color="008000"/>
            </w:tcBorders>
            <w:shd w:val="clear" w:color="auto" w:fill="FFFFFF"/>
          </w:tcPr>
          <w:p w14:paraId="54037E21" w14:textId="77777777" w:rsidR="00B50EAB" w:rsidRPr="00B57B36" w:rsidRDefault="00B50EAB" w:rsidP="00AC742C">
            <w:pPr>
              <w:pStyle w:val="CETBodytext"/>
              <w:rPr>
                <w:lang w:val="en-GB"/>
              </w:rPr>
            </w:pPr>
            <w:r>
              <w:rPr>
                <w:lang w:val="en-GB"/>
              </w:rPr>
              <w:t>Low level (-1)</w:t>
            </w:r>
          </w:p>
        </w:tc>
        <w:tc>
          <w:tcPr>
            <w:tcW w:w="1361" w:type="dxa"/>
            <w:tcBorders>
              <w:top w:val="single" w:sz="12" w:space="0" w:color="008000"/>
              <w:bottom w:val="single" w:sz="6" w:space="0" w:color="008000"/>
            </w:tcBorders>
            <w:shd w:val="clear" w:color="auto" w:fill="FFFFFF"/>
          </w:tcPr>
          <w:p w14:paraId="250A8C6F" w14:textId="77777777" w:rsidR="00B50EAB" w:rsidRPr="00B57B36" w:rsidRDefault="00B50EAB" w:rsidP="00AC742C">
            <w:pPr>
              <w:pStyle w:val="CETBodytext"/>
              <w:rPr>
                <w:lang w:val="en-GB"/>
              </w:rPr>
            </w:pPr>
            <w:r>
              <w:rPr>
                <w:lang w:val="en-GB"/>
              </w:rPr>
              <w:t>High level (+1)</w:t>
            </w:r>
          </w:p>
        </w:tc>
      </w:tr>
      <w:tr w:rsidR="00B50EAB" w:rsidRPr="00B57B36" w14:paraId="0091D503" w14:textId="77777777" w:rsidTr="00AC742C">
        <w:tc>
          <w:tcPr>
            <w:tcW w:w="2835" w:type="dxa"/>
            <w:shd w:val="clear" w:color="auto" w:fill="FFFFFF"/>
          </w:tcPr>
          <w:p w14:paraId="2628C833" w14:textId="77777777" w:rsidR="00B50EAB" w:rsidRPr="00B57B36" w:rsidRDefault="00B50EAB" w:rsidP="00AC742C">
            <w:pPr>
              <w:pStyle w:val="CETBodytext"/>
              <w:rPr>
                <w:lang w:val="en-GB"/>
              </w:rPr>
            </w:pPr>
            <w:r w:rsidRPr="0036469E">
              <w:rPr>
                <w:lang w:val="en-GB"/>
              </w:rPr>
              <w:t>A</w:t>
            </w:r>
            <w:r>
              <w:rPr>
                <w:lang w:val="en-GB"/>
              </w:rPr>
              <w:t>:</w:t>
            </w:r>
            <w:r w:rsidRPr="0036469E">
              <w:rPr>
                <w:lang w:val="en-GB"/>
              </w:rPr>
              <w:t xml:space="preserve"> Temperature [</w:t>
            </w:r>
            <w:r>
              <w:rPr>
                <w:lang w:val="en-GB"/>
              </w:rPr>
              <w:t>°</w:t>
            </w:r>
            <w:r w:rsidRPr="0036469E">
              <w:rPr>
                <w:lang w:val="en-GB"/>
              </w:rPr>
              <w:t>C]</w:t>
            </w:r>
          </w:p>
        </w:tc>
        <w:tc>
          <w:tcPr>
            <w:tcW w:w="1361" w:type="dxa"/>
            <w:shd w:val="clear" w:color="auto" w:fill="FFFFFF"/>
          </w:tcPr>
          <w:p w14:paraId="05952625" w14:textId="24E7CE30" w:rsidR="00B50EAB" w:rsidRPr="00B57B36" w:rsidRDefault="00B50EAB" w:rsidP="00AC742C">
            <w:pPr>
              <w:pStyle w:val="CETBodytext"/>
              <w:rPr>
                <w:lang w:val="en-GB"/>
              </w:rPr>
            </w:pPr>
            <w:r>
              <w:rPr>
                <w:lang w:val="en-GB"/>
              </w:rPr>
              <w:t>200</w:t>
            </w:r>
          </w:p>
        </w:tc>
        <w:tc>
          <w:tcPr>
            <w:tcW w:w="1361" w:type="dxa"/>
            <w:shd w:val="clear" w:color="auto" w:fill="FFFFFF"/>
          </w:tcPr>
          <w:p w14:paraId="45E51635" w14:textId="34BD1027" w:rsidR="00B50EAB" w:rsidRPr="00B57B36" w:rsidRDefault="00B50EAB" w:rsidP="00AC742C">
            <w:pPr>
              <w:pStyle w:val="CETBodytext"/>
              <w:rPr>
                <w:lang w:val="en-GB"/>
              </w:rPr>
            </w:pPr>
            <w:r>
              <w:rPr>
                <w:lang w:val="en-GB"/>
              </w:rPr>
              <w:t>260</w:t>
            </w:r>
          </w:p>
        </w:tc>
      </w:tr>
      <w:tr w:rsidR="00B50EAB" w:rsidRPr="00B57B36" w14:paraId="4DE2930C" w14:textId="77777777" w:rsidTr="00AC742C">
        <w:tc>
          <w:tcPr>
            <w:tcW w:w="2835" w:type="dxa"/>
            <w:shd w:val="clear" w:color="auto" w:fill="FFFFFF"/>
          </w:tcPr>
          <w:p w14:paraId="75A57AD3" w14:textId="77777777" w:rsidR="00B50EAB" w:rsidRPr="00B57B36" w:rsidRDefault="00B50EAB" w:rsidP="00AC742C">
            <w:pPr>
              <w:pStyle w:val="CETBodytext"/>
              <w:rPr>
                <w:lang w:val="en-GB"/>
              </w:rPr>
            </w:pPr>
            <w:r w:rsidRPr="0002536A">
              <w:rPr>
                <w:lang w:val="en-GB"/>
              </w:rPr>
              <w:t>B</w:t>
            </w:r>
            <w:r>
              <w:rPr>
                <w:lang w:val="en-GB"/>
              </w:rPr>
              <w:t>:</w:t>
            </w:r>
            <w:r w:rsidRPr="0002536A">
              <w:rPr>
                <w:lang w:val="en-GB"/>
              </w:rPr>
              <w:t xml:space="preserve"> Time [min]</w:t>
            </w:r>
          </w:p>
        </w:tc>
        <w:tc>
          <w:tcPr>
            <w:tcW w:w="1361" w:type="dxa"/>
            <w:shd w:val="clear" w:color="auto" w:fill="FFFFFF"/>
          </w:tcPr>
          <w:p w14:paraId="6865ED55" w14:textId="25D88924" w:rsidR="00B50EAB" w:rsidRPr="00B57B36" w:rsidRDefault="00B50EAB" w:rsidP="00AC742C">
            <w:pPr>
              <w:pStyle w:val="CETBodytext"/>
              <w:rPr>
                <w:lang w:val="en-GB"/>
              </w:rPr>
            </w:pPr>
            <w:r>
              <w:rPr>
                <w:lang w:val="en-GB"/>
              </w:rPr>
              <w:t>30</w:t>
            </w:r>
          </w:p>
        </w:tc>
        <w:tc>
          <w:tcPr>
            <w:tcW w:w="1361" w:type="dxa"/>
            <w:shd w:val="clear" w:color="auto" w:fill="FFFFFF"/>
          </w:tcPr>
          <w:p w14:paraId="294EC4D9" w14:textId="6D394D90" w:rsidR="00B50EAB" w:rsidRPr="00B57B36" w:rsidRDefault="00B50EAB" w:rsidP="00AC742C">
            <w:pPr>
              <w:pStyle w:val="CETBodytext"/>
              <w:rPr>
                <w:lang w:val="en-GB"/>
              </w:rPr>
            </w:pPr>
            <w:r>
              <w:rPr>
                <w:lang w:val="en-GB"/>
              </w:rPr>
              <w:t>210</w:t>
            </w:r>
          </w:p>
        </w:tc>
      </w:tr>
      <w:tr w:rsidR="00B50EAB" w:rsidRPr="00B57B36" w14:paraId="4BF575F7" w14:textId="77777777" w:rsidTr="00AC742C">
        <w:tc>
          <w:tcPr>
            <w:tcW w:w="2835" w:type="dxa"/>
            <w:shd w:val="clear" w:color="auto" w:fill="FFFFFF"/>
          </w:tcPr>
          <w:p w14:paraId="08300183" w14:textId="77777777" w:rsidR="00B50EAB" w:rsidRPr="00B57B36" w:rsidRDefault="00B50EAB" w:rsidP="00AC742C">
            <w:pPr>
              <w:pStyle w:val="CETBodytext"/>
              <w:ind w:right="-1"/>
              <w:rPr>
                <w:rFonts w:cs="Arial"/>
                <w:szCs w:val="18"/>
                <w:lang w:val="en-GB"/>
              </w:rPr>
            </w:pPr>
            <w:r w:rsidRPr="0002536A">
              <w:rPr>
                <w:rFonts w:cs="Arial"/>
                <w:szCs w:val="18"/>
                <w:lang w:val="en-GB"/>
              </w:rPr>
              <w:t>C</w:t>
            </w:r>
            <w:r>
              <w:rPr>
                <w:rFonts w:cs="Arial"/>
                <w:szCs w:val="18"/>
                <w:lang w:val="en-GB"/>
              </w:rPr>
              <w:t>:</w:t>
            </w:r>
            <w:r w:rsidRPr="0002536A">
              <w:rPr>
                <w:rFonts w:cs="Arial"/>
                <w:szCs w:val="18"/>
                <w:lang w:val="en-GB"/>
              </w:rPr>
              <w:t xml:space="preserve"> Solid content [</w:t>
            </w:r>
            <w:proofErr w:type="spellStart"/>
            <w:r w:rsidRPr="0002536A">
              <w:rPr>
                <w:rFonts w:cs="Arial"/>
                <w:szCs w:val="18"/>
                <w:lang w:val="en-GB"/>
              </w:rPr>
              <w:t>wt</w:t>
            </w:r>
            <w:proofErr w:type="spellEnd"/>
            <w:r w:rsidRPr="0002536A">
              <w:rPr>
                <w:rFonts w:cs="Arial"/>
                <w:szCs w:val="18"/>
                <w:lang w:val="en-GB"/>
              </w:rPr>
              <w:t xml:space="preserve"> %]</w:t>
            </w:r>
          </w:p>
        </w:tc>
        <w:tc>
          <w:tcPr>
            <w:tcW w:w="1361" w:type="dxa"/>
            <w:shd w:val="clear" w:color="auto" w:fill="FFFFFF"/>
          </w:tcPr>
          <w:p w14:paraId="34B6C360" w14:textId="77777777" w:rsidR="00B50EAB" w:rsidRPr="00B57B36" w:rsidRDefault="00B50EAB" w:rsidP="00AC742C">
            <w:pPr>
              <w:pStyle w:val="CETBodytext"/>
              <w:ind w:right="-1"/>
              <w:rPr>
                <w:rFonts w:cs="Arial"/>
                <w:szCs w:val="18"/>
                <w:lang w:val="en-GB"/>
              </w:rPr>
            </w:pPr>
            <w:r>
              <w:rPr>
                <w:rFonts w:cs="Arial"/>
                <w:szCs w:val="18"/>
                <w:lang w:val="en-GB"/>
              </w:rPr>
              <w:t>5</w:t>
            </w:r>
          </w:p>
        </w:tc>
        <w:tc>
          <w:tcPr>
            <w:tcW w:w="1361" w:type="dxa"/>
            <w:shd w:val="clear" w:color="auto" w:fill="FFFFFF"/>
          </w:tcPr>
          <w:p w14:paraId="627209F9" w14:textId="77777777" w:rsidR="00B50EAB" w:rsidRPr="00B57B36" w:rsidRDefault="00B50EAB" w:rsidP="00AC742C">
            <w:pPr>
              <w:pStyle w:val="CETBodytext"/>
              <w:ind w:right="-1"/>
              <w:rPr>
                <w:rFonts w:cs="Arial"/>
                <w:szCs w:val="18"/>
                <w:lang w:val="en-GB"/>
              </w:rPr>
            </w:pPr>
            <w:r>
              <w:rPr>
                <w:rFonts w:cs="Arial"/>
                <w:szCs w:val="18"/>
                <w:lang w:val="en-GB"/>
              </w:rPr>
              <w:t>25</w:t>
            </w:r>
          </w:p>
        </w:tc>
      </w:tr>
    </w:tbl>
    <w:p w14:paraId="611D5F35" w14:textId="7E5E215B" w:rsidR="005E5368" w:rsidRPr="00B57B36" w:rsidRDefault="00E66F71" w:rsidP="005E5368">
      <w:pPr>
        <w:pStyle w:val="CETheadingx"/>
      </w:pPr>
      <w:r>
        <w:lastRenderedPageBreak/>
        <w:t>Hydrothermal Carbonization</w:t>
      </w:r>
      <w:r w:rsidR="005E5368" w:rsidRPr="00E45C16">
        <w:t xml:space="preserve"> </w:t>
      </w:r>
      <w:r w:rsidR="00EC700D">
        <w:t>e</w:t>
      </w:r>
      <w:r w:rsidR="005E5368" w:rsidRPr="00E45C16">
        <w:t>xperiments</w:t>
      </w:r>
    </w:p>
    <w:p w14:paraId="3EDA6CF7" w14:textId="6A7B2C0C" w:rsidR="005E5368" w:rsidRDefault="00035DC8" w:rsidP="005E5368">
      <w:pPr>
        <w:pStyle w:val="CETBodytext"/>
        <w:rPr>
          <w:lang w:val="en-GB"/>
        </w:rPr>
      </w:pPr>
      <w:r>
        <w:rPr>
          <w:lang w:val="en-GB"/>
        </w:rPr>
        <w:t>HTC</w:t>
      </w:r>
      <w:r w:rsidRPr="00035DC8">
        <w:rPr>
          <w:lang w:val="en-GB"/>
        </w:rPr>
        <w:t xml:space="preserve"> </w:t>
      </w:r>
      <w:r w:rsidR="004D311B" w:rsidRPr="004D311B">
        <w:rPr>
          <w:lang w:val="en-GB"/>
        </w:rPr>
        <w:t xml:space="preserve">experiments were conducted using a 300 mL stainless-steel PARR reactor. Additional specifics regarding the experimental setup can be found elsewhere (Barontini et al., 2023). Tests were carried out at varying reaction temperatures, reaction times, and solid contents, as per the randomized design matrix derived from DoE-RSM. Each experiment involved </w:t>
      </w:r>
      <w:r w:rsidR="00B14439">
        <w:rPr>
          <w:lang w:val="en-GB"/>
        </w:rPr>
        <w:t xml:space="preserve">the </w:t>
      </w:r>
      <w:r w:rsidR="00B14439" w:rsidRPr="004D311B">
        <w:rPr>
          <w:lang w:val="en-GB"/>
        </w:rPr>
        <w:t xml:space="preserve">reactor </w:t>
      </w:r>
      <w:r w:rsidR="004D311B" w:rsidRPr="004D311B">
        <w:rPr>
          <w:lang w:val="en-GB"/>
        </w:rPr>
        <w:t xml:space="preserve">loading with </w:t>
      </w:r>
      <w:r w:rsidR="004D311B" w:rsidRPr="00FA051A">
        <w:rPr>
          <w:i/>
          <w:iCs/>
          <w:lang w:val="en-GB"/>
        </w:rPr>
        <w:t>M. aquaticum</w:t>
      </w:r>
      <w:r w:rsidR="004D311B" w:rsidRPr="004D311B">
        <w:rPr>
          <w:lang w:val="en-GB"/>
        </w:rPr>
        <w:t xml:space="preserve"> and </w:t>
      </w:r>
      <w:r w:rsidR="0081723B" w:rsidRPr="004D311B">
        <w:rPr>
          <w:lang w:val="en-GB"/>
        </w:rPr>
        <w:t>d</w:t>
      </w:r>
      <w:r w:rsidR="0081723B">
        <w:rPr>
          <w:lang w:val="en-GB"/>
        </w:rPr>
        <w:t>istilled</w:t>
      </w:r>
      <w:r w:rsidR="0081723B" w:rsidRPr="004D311B">
        <w:rPr>
          <w:lang w:val="en-GB"/>
        </w:rPr>
        <w:t xml:space="preserve"> </w:t>
      </w:r>
      <w:r w:rsidR="004D311B" w:rsidRPr="004D311B">
        <w:rPr>
          <w:lang w:val="en-GB"/>
        </w:rPr>
        <w:t xml:space="preserve">water to attain the desired solid content. Following the HTC process, the </w:t>
      </w:r>
      <w:r w:rsidR="00B14439" w:rsidRPr="004D311B">
        <w:rPr>
          <w:lang w:val="en-GB"/>
        </w:rPr>
        <w:t xml:space="preserve">obtained </w:t>
      </w:r>
      <w:r w:rsidR="004D311B" w:rsidRPr="004D311B">
        <w:rPr>
          <w:lang w:val="en-GB"/>
        </w:rPr>
        <w:t xml:space="preserve">slurry was retrieved from the reaction vessel, and the solid fraction was separated </w:t>
      </w:r>
      <w:r w:rsidR="004D311B" w:rsidRPr="0081723B">
        <w:rPr>
          <w:i/>
          <w:iCs/>
          <w:lang w:val="en-GB"/>
        </w:rPr>
        <w:t>via</w:t>
      </w:r>
      <w:r w:rsidR="004D311B" w:rsidRPr="004D311B">
        <w:rPr>
          <w:lang w:val="en-GB"/>
        </w:rPr>
        <w:t xml:space="preserve"> vacuum filtration. The resulting solid product, known as </w:t>
      </w:r>
      <w:proofErr w:type="spellStart"/>
      <w:r w:rsidR="004D311B" w:rsidRPr="004D311B">
        <w:rPr>
          <w:lang w:val="en-GB"/>
        </w:rPr>
        <w:t>hydrochar</w:t>
      </w:r>
      <w:proofErr w:type="spellEnd"/>
      <w:r w:rsidR="004D311B" w:rsidRPr="004D311B">
        <w:rPr>
          <w:lang w:val="en-GB"/>
        </w:rPr>
        <w:t xml:space="preserve">, underwent washing with </w:t>
      </w:r>
      <w:r w:rsidR="00B14439">
        <w:rPr>
          <w:lang w:val="en-GB"/>
        </w:rPr>
        <w:t xml:space="preserve">distilled </w:t>
      </w:r>
      <w:r w:rsidR="004D311B" w:rsidRPr="004D311B">
        <w:rPr>
          <w:lang w:val="en-GB"/>
        </w:rPr>
        <w:t xml:space="preserve">water, drying at 105 °C for 12 hours, followed by weighing and storage at 4 °C </w:t>
      </w:r>
      <w:r w:rsidR="00B14439">
        <w:rPr>
          <w:lang w:val="en-GB"/>
        </w:rPr>
        <w:t>be</w:t>
      </w:r>
      <w:r w:rsidR="004D311B" w:rsidRPr="004D311B">
        <w:rPr>
          <w:lang w:val="en-GB"/>
        </w:rPr>
        <w:t>for</w:t>
      </w:r>
      <w:r w:rsidR="00B14439">
        <w:rPr>
          <w:lang w:val="en-GB"/>
        </w:rPr>
        <w:t>e</w:t>
      </w:r>
      <w:r w:rsidR="004D311B" w:rsidRPr="004D311B">
        <w:rPr>
          <w:lang w:val="en-GB"/>
        </w:rPr>
        <w:t xml:space="preserve"> subsequent characterization and phytotoxicity assessments.</w:t>
      </w:r>
    </w:p>
    <w:p w14:paraId="691B01F6" w14:textId="000FD08C" w:rsidR="00EC700D" w:rsidRPr="00B57B36" w:rsidRDefault="00646703" w:rsidP="00EC700D">
      <w:pPr>
        <w:pStyle w:val="CETheadingx"/>
      </w:pPr>
      <w:r>
        <w:t xml:space="preserve">Feedstock and </w:t>
      </w:r>
      <w:proofErr w:type="spellStart"/>
      <w:r>
        <w:t>hydrochar</w:t>
      </w:r>
      <w:proofErr w:type="spellEnd"/>
      <w:r w:rsidR="00EC700D">
        <w:t xml:space="preserve"> characterization</w:t>
      </w:r>
    </w:p>
    <w:p w14:paraId="4C2739F8" w14:textId="26A61822" w:rsidR="00EC700D" w:rsidRDefault="004B71EB" w:rsidP="00EC700D">
      <w:pPr>
        <w:pStyle w:val="CETBodytext"/>
        <w:rPr>
          <w:lang w:val="en-GB"/>
        </w:rPr>
      </w:pPr>
      <w:r>
        <w:rPr>
          <w:lang w:val="en-GB"/>
        </w:rPr>
        <w:t xml:space="preserve">The </w:t>
      </w:r>
      <w:r w:rsidR="004D311B" w:rsidRPr="004D311B">
        <w:rPr>
          <w:lang w:val="en-GB"/>
        </w:rPr>
        <w:t xml:space="preserve">physicochemical characterization of </w:t>
      </w:r>
      <w:r w:rsidR="004D311B" w:rsidRPr="00AA101A">
        <w:rPr>
          <w:i/>
          <w:iCs/>
          <w:lang w:val="en-GB"/>
        </w:rPr>
        <w:t>M. aquaticum</w:t>
      </w:r>
      <w:r w:rsidR="004D311B" w:rsidRPr="004D311B">
        <w:rPr>
          <w:lang w:val="en-GB"/>
        </w:rPr>
        <w:t xml:space="preserve"> and </w:t>
      </w:r>
      <w:proofErr w:type="spellStart"/>
      <w:r w:rsidR="004D311B" w:rsidRPr="004D311B">
        <w:rPr>
          <w:lang w:val="en-GB"/>
        </w:rPr>
        <w:t>hydrochar</w:t>
      </w:r>
      <w:proofErr w:type="spellEnd"/>
      <w:r w:rsidR="004D311B" w:rsidRPr="004D311B">
        <w:rPr>
          <w:lang w:val="en-GB"/>
        </w:rPr>
        <w:t xml:space="preserve"> samples was performed following the methodologies briefly </w:t>
      </w:r>
      <w:r w:rsidR="00782B96">
        <w:rPr>
          <w:lang w:val="en-GB"/>
        </w:rPr>
        <w:t>reported</w:t>
      </w:r>
      <w:r w:rsidR="00782B96" w:rsidRPr="004D311B">
        <w:rPr>
          <w:lang w:val="en-GB"/>
        </w:rPr>
        <w:t xml:space="preserve"> </w:t>
      </w:r>
      <w:r w:rsidR="004D311B" w:rsidRPr="004D311B">
        <w:rPr>
          <w:lang w:val="en-GB"/>
        </w:rPr>
        <w:t xml:space="preserve">herein. Proximate analysis was performed by thermogravimetric analysis </w:t>
      </w:r>
      <w:r w:rsidR="00782B96">
        <w:rPr>
          <w:lang w:val="en-GB"/>
        </w:rPr>
        <w:t>using</w:t>
      </w:r>
      <w:r w:rsidR="00782B96" w:rsidRPr="004D311B">
        <w:rPr>
          <w:lang w:val="en-GB"/>
        </w:rPr>
        <w:t xml:space="preserve"> </w:t>
      </w:r>
      <w:r w:rsidR="004D311B" w:rsidRPr="004D311B">
        <w:rPr>
          <w:lang w:val="en-GB"/>
        </w:rPr>
        <w:t xml:space="preserve">a TA Instruments Q-500 </w:t>
      </w:r>
      <w:proofErr w:type="spellStart"/>
      <w:r w:rsidR="004D311B" w:rsidRPr="004D311B">
        <w:rPr>
          <w:lang w:val="en-GB"/>
        </w:rPr>
        <w:t>analyzer</w:t>
      </w:r>
      <w:proofErr w:type="spellEnd"/>
      <w:r w:rsidR="004D311B" w:rsidRPr="004D311B">
        <w:rPr>
          <w:lang w:val="en-GB"/>
        </w:rPr>
        <w:t xml:space="preserve">. Ultimate analysis was carried out with a LECO </w:t>
      </w:r>
      <w:proofErr w:type="spellStart"/>
      <w:r w:rsidR="004D311B" w:rsidRPr="004D311B">
        <w:rPr>
          <w:lang w:val="en-GB"/>
        </w:rPr>
        <w:t>TruSpec</w:t>
      </w:r>
      <w:proofErr w:type="spellEnd"/>
      <w:r w:rsidR="004D311B" w:rsidRPr="004D311B">
        <w:rPr>
          <w:lang w:val="en-GB"/>
        </w:rPr>
        <w:t xml:space="preserve"> CHN Elemental Analyzer, the oxygen content was evaluated by difference. A LECO AC-500 Calorimeter was </w:t>
      </w:r>
      <w:r w:rsidR="00782B96">
        <w:rPr>
          <w:lang w:val="en-GB"/>
        </w:rPr>
        <w:t>employed</w:t>
      </w:r>
      <w:r w:rsidR="00782B96" w:rsidRPr="004D311B">
        <w:rPr>
          <w:lang w:val="en-GB"/>
        </w:rPr>
        <w:t xml:space="preserve"> </w:t>
      </w:r>
      <w:r w:rsidR="004D311B" w:rsidRPr="004D311B">
        <w:rPr>
          <w:lang w:val="en-GB"/>
        </w:rPr>
        <w:t>for heating value determination.</w:t>
      </w:r>
    </w:p>
    <w:p w14:paraId="15511E0A" w14:textId="0BCE1817" w:rsidR="00262DB6" w:rsidRPr="00AE6A63" w:rsidRDefault="00262DB6" w:rsidP="00262DB6">
      <w:pPr>
        <w:pStyle w:val="CETheadingx"/>
      </w:pPr>
      <w:r w:rsidRPr="00AE6A63">
        <w:t>Phytotoxicity test</w:t>
      </w:r>
    </w:p>
    <w:p w14:paraId="1C5521F3" w14:textId="77777777" w:rsidR="00BC0780" w:rsidRDefault="00BC0780" w:rsidP="00BC0780">
      <w:pPr>
        <w:pStyle w:val="Paragrafoelenco"/>
        <w:ind w:left="0"/>
        <w:rPr>
          <w:szCs w:val="18"/>
          <w:lang w:val="en-US"/>
        </w:rPr>
      </w:pPr>
      <w:proofErr w:type="spellStart"/>
      <w:r w:rsidRPr="00BC0780">
        <w:rPr>
          <w:szCs w:val="18"/>
          <w:lang w:val="en-US"/>
        </w:rPr>
        <w:t>Hydrochar</w:t>
      </w:r>
      <w:proofErr w:type="spellEnd"/>
      <w:r w:rsidRPr="00BC0780">
        <w:rPr>
          <w:szCs w:val="18"/>
          <w:lang w:val="en-US"/>
        </w:rPr>
        <w:t xml:space="preserve"> phytotoxicity was assessed through bioassays using cress seeds (</w:t>
      </w:r>
      <w:r w:rsidRPr="00BC0780">
        <w:rPr>
          <w:i/>
          <w:szCs w:val="18"/>
          <w:lang w:val="en-US"/>
        </w:rPr>
        <w:t xml:space="preserve">Lepidium sativum </w:t>
      </w:r>
      <w:r w:rsidRPr="00BC0780">
        <w:rPr>
          <w:iCs/>
          <w:szCs w:val="18"/>
          <w:lang w:val="en-US"/>
        </w:rPr>
        <w:t>L.), as a model species, according</w:t>
      </w:r>
      <w:r w:rsidRPr="00BC0780">
        <w:rPr>
          <w:szCs w:val="18"/>
          <w:lang w:val="en-US"/>
        </w:rPr>
        <w:t xml:space="preserve"> to the Italian regulation (</w:t>
      </w:r>
      <w:proofErr w:type="spellStart"/>
      <w:proofErr w:type="gramStart"/>
      <w:r w:rsidRPr="00BC0780">
        <w:rPr>
          <w:szCs w:val="18"/>
          <w:lang w:val="en-US"/>
        </w:rPr>
        <w:t>D.Lgs</w:t>
      </w:r>
      <w:proofErr w:type="spellEnd"/>
      <w:proofErr w:type="gramEnd"/>
      <w:r w:rsidRPr="00BC0780">
        <w:rPr>
          <w:szCs w:val="18"/>
          <w:lang w:val="en-US"/>
        </w:rPr>
        <w:t>. n. 75/2010) and the methodology reported by APAT (APAT 20/2003).</w:t>
      </w:r>
    </w:p>
    <w:p w14:paraId="06673B36" w14:textId="1F124E5E" w:rsidR="00BC0780" w:rsidRPr="00AE6A63" w:rsidRDefault="00BC0780" w:rsidP="00BC0780">
      <w:pPr>
        <w:rPr>
          <w:b/>
          <w:bCs/>
          <w:i/>
          <w:iCs/>
        </w:rPr>
      </w:pPr>
      <w:proofErr w:type="spellStart"/>
      <w:r w:rsidRPr="00AE6A63">
        <w:rPr>
          <w:b/>
          <w:bCs/>
          <w:i/>
          <w:iCs/>
        </w:rPr>
        <w:t>Hydrochar</w:t>
      </w:r>
      <w:proofErr w:type="spellEnd"/>
      <w:r w:rsidRPr="00AE6A63">
        <w:rPr>
          <w:b/>
          <w:bCs/>
          <w:i/>
          <w:iCs/>
        </w:rPr>
        <w:t xml:space="preserve"> water extract</w:t>
      </w:r>
    </w:p>
    <w:p w14:paraId="41574CD3" w14:textId="2AC05E2A" w:rsidR="00BC0780" w:rsidRPr="00BC0780" w:rsidRDefault="00BC0780" w:rsidP="00BC0780">
      <w:pPr>
        <w:pStyle w:val="Paragrafoelenco"/>
        <w:ind w:left="0"/>
        <w:rPr>
          <w:szCs w:val="18"/>
          <w:highlight w:val="yellow"/>
          <w:lang w:val="en-US"/>
        </w:rPr>
      </w:pPr>
      <w:r w:rsidRPr="00BC0780">
        <w:rPr>
          <w:szCs w:val="18"/>
          <w:lang w:val="en-US"/>
        </w:rPr>
        <w:t xml:space="preserve">For the germination test, water extracts from </w:t>
      </w:r>
      <w:proofErr w:type="spellStart"/>
      <w:r w:rsidRPr="00BC0780">
        <w:rPr>
          <w:szCs w:val="18"/>
          <w:lang w:val="en-US"/>
        </w:rPr>
        <w:t>hydrochar</w:t>
      </w:r>
      <w:proofErr w:type="spellEnd"/>
      <w:r w:rsidRPr="00BC0780">
        <w:rPr>
          <w:szCs w:val="18"/>
          <w:lang w:val="en-US"/>
        </w:rPr>
        <w:t xml:space="preserve"> with elemental composition similar to peat (HC peat) and lignite (HC lignite) were obtained as </w:t>
      </w:r>
      <w:r w:rsidR="00B221DB">
        <w:rPr>
          <w:szCs w:val="18"/>
          <w:lang w:val="en-US"/>
        </w:rPr>
        <w:t xml:space="preserve">it </w:t>
      </w:r>
      <w:r w:rsidRPr="00BC0780">
        <w:rPr>
          <w:szCs w:val="18"/>
          <w:lang w:val="en-US"/>
        </w:rPr>
        <w:t xml:space="preserve">follows. </w:t>
      </w:r>
      <w:proofErr w:type="spellStart"/>
      <w:r w:rsidRPr="00BC0780">
        <w:rPr>
          <w:szCs w:val="18"/>
          <w:lang w:val="en-US"/>
        </w:rPr>
        <w:t>Hydrochar</w:t>
      </w:r>
      <w:proofErr w:type="spellEnd"/>
      <w:r w:rsidRPr="00BC0780">
        <w:rPr>
          <w:szCs w:val="18"/>
          <w:lang w:val="en-US"/>
        </w:rPr>
        <w:t xml:space="preserve"> samples (20 g) were watered </w:t>
      </w:r>
      <w:r w:rsidR="00B221DB">
        <w:rPr>
          <w:szCs w:val="18"/>
          <w:lang w:val="en-US"/>
        </w:rPr>
        <w:t xml:space="preserve">up </w:t>
      </w:r>
      <w:r w:rsidRPr="00BC0780">
        <w:rPr>
          <w:szCs w:val="18"/>
          <w:lang w:val="en-US"/>
        </w:rPr>
        <w:t xml:space="preserve">to 85% humidity with Milli-Q water and shaken for two hours (MR-12 Rocker-Shaker, </w:t>
      </w:r>
      <w:proofErr w:type="spellStart"/>
      <w:r w:rsidRPr="00BC0780">
        <w:rPr>
          <w:szCs w:val="18"/>
          <w:lang w:val="en-US"/>
        </w:rPr>
        <w:t>Biosan</w:t>
      </w:r>
      <w:proofErr w:type="spellEnd"/>
      <w:r w:rsidRPr="00BC0780">
        <w:rPr>
          <w:szCs w:val="18"/>
          <w:lang w:val="en-US"/>
        </w:rPr>
        <w:t xml:space="preserve">) at </w:t>
      </w:r>
      <w:r w:rsidR="00B221DB">
        <w:rPr>
          <w:szCs w:val="18"/>
          <w:lang w:val="en-US"/>
        </w:rPr>
        <w:t xml:space="preserve">the </w:t>
      </w:r>
      <w:r w:rsidRPr="00BC0780">
        <w:rPr>
          <w:szCs w:val="18"/>
          <w:lang w:val="en-US"/>
        </w:rPr>
        <w:t xml:space="preserve">maximum speed. Subsequently, samples were centrifuged for 15 min at 5000 rpm (MPW med. instruments, </w:t>
      </w:r>
      <w:r w:rsidRPr="00BC0780">
        <w:rPr>
          <w:szCs w:val="18"/>
          <w:lang w:val="en"/>
        </w:rPr>
        <w:t>Warsaw</w:t>
      </w:r>
      <w:r w:rsidRPr="00BC0780">
        <w:rPr>
          <w:szCs w:val="18"/>
          <w:lang w:val="en-US"/>
        </w:rPr>
        <w:t>, Poland), and the obtained supernatants were filtered using a vacuum pump (</w:t>
      </w:r>
      <w:proofErr w:type="spellStart"/>
      <w:r w:rsidRPr="00BC0780">
        <w:rPr>
          <w:szCs w:val="18"/>
          <w:lang w:val="en-US"/>
        </w:rPr>
        <w:t>Delchimica</w:t>
      </w:r>
      <w:proofErr w:type="spellEnd"/>
      <w:r w:rsidRPr="00BC0780">
        <w:rPr>
          <w:szCs w:val="18"/>
          <w:lang w:val="en-US"/>
        </w:rPr>
        <w:t xml:space="preserve"> Scientific Glassware </w:t>
      </w:r>
      <w:proofErr w:type="spellStart"/>
      <w:r w:rsidRPr="00BC0780">
        <w:rPr>
          <w:szCs w:val="18"/>
          <w:lang w:val="en-US"/>
        </w:rPr>
        <w:t>Srl</w:t>
      </w:r>
      <w:proofErr w:type="spellEnd"/>
      <w:r w:rsidRPr="00BC0780">
        <w:rPr>
          <w:szCs w:val="18"/>
          <w:lang w:val="en-US"/>
        </w:rPr>
        <w:t>, Naples, Italy). Due to the high water-retention ability of HC peat, no water extract was obtained from this treatment. The water extract of HC lignite was diluted to 30% (v/v) with Milli-Q water.</w:t>
      </w:r>
    </w:p>
    <w:p w14:paraId="4D2B1C0F" w14:textId="77777777" w:rsidR="00BC0780" w:rsidRPr="00AE6A63" w:rsidRDefault="00BC0780" w:rsidP="00BC0780">
      <w:pPr>
        <w:rPr>
          <w:b/>
          <w:bCs/>
          <w:i/>
          <w:iCs/>
        </w:rPr>
      </w:pPr>
      <w:r w:rsidRPr="00AE6A63">
        <w:rPr>
          <w:b/>
          <w:bCs/>
          <w:i/>
          <w:iCs/>
        </w:rPr>
        <w:t>Germination test</w:t>
      </w:r>
    </w:p>
    <w:p w14:paraId="09E04A63" w14:textId="044335E5" w:rsidR="00BC0780" w:rsidRPr="00BC0780" w:rsidRDefault="00BC0780" w:rsidP="00BC0780">
      <w:pPr>
        <w:pStyle w:val="Paragrafoelenco"/>
        <w:ind w:left="0"/>
        <w:rPr>
          <w:szCs w:val="18"/>
          <w:lang w:val="en-US"/>
        </w:rPr>
      </w:pPr>
      <w:r w:rsidRPr="00BC0780">
        <w:rPr>
          <w:szCs w:val="18"/>
          <w:lang w:val="en-US"/>
        </w:rPr>
        <w:t xml:space="preserve">For the germination test, 1.5 mL of 30% (v/v) diluted aqueous </w:t>
      </w:r>
      <w:proofErr w:type="spellStart"/>
      <w:r w:rsidRPr="00BC0780">
        <w:rPr>
          <w:szCs w:val="18"/>
          <w:lang w:val="en-US"/>
        </w:rPr>
        <w:t>hydrochar</w:t>
      </w:r>
      <w:proofErr w:type="spellEnd"/>
      <w:r w:rsidRPr="00BC0780">
        <w:rPr>
          <w:szCs w:val="18"/>
          <w:lang w:val="en-US"/>
        </w:rPr>
        <w:t xml:space="preserve"> extract was added to 9</w:t>
      </w:r>
      <w:r w:rsidR="00B221DB">
        <w:rPr>
          <w:szCs w:val="18"/>
          <w:lang w:val="en-US"/>
        </w:rPr>
        <w:t>-</w:t>
      </w:r>
      <w:r w:rsidRPr="00BC0780">
        <w:rPr>
          <w:szCs w:val="18"/>
          <w:lang w:val="en-US"/>
        </w:rPr>
        <w:t>c</w:t>
      </w:r>
      <w:r w:rsidR="009A66DE">
        <w:rPr>
          <w:szCs w:val="18"/>
          <w:lang w:val="en-US"/>
        </w:rPr>
        <w:t xml:space="preserve">m diameter </w:t>
      </w:r>
      <w:r w:rsidRPr="00BC0780">
        <w:rPr>
          <w:szCs w:val="18"/>
          <w:lang w:val="en-US"/>
        </w:rPr>
        <w:t xml:space="preserve">Petri dishes (n = 3) containing filter paper and 10 </w:t>
      </w:r>
      <w:r w:rsidR="007B77A8" w:rsidRPr="00BC0780">
        <w:rPr>
          <w:szCs w:val="18"/>
          <w:lang w:val="en-US"/>
        </w:rPr>
        <w:t>seeds</w:t>
      </w:r>
      <w:r w:rsidR="007B77A8" w:rsidRPr="00BC0780">
        <w:rPr>
          <w:i/>
          <w:szCs w:val="18"/>
          <w:lang w:val="en-US"/>
        </w:rPr>
        <w:t xml:space="preserve"> </w:t>
      </w:r>
      <w:r w:rsidR="007B77A8" w:rsidRPr="00C844D0">
        <w:rPr>
          <w:iCs/>
          <w:szCs w:val="18"/>
          <w:lang w:val="en-US"/>
        </w:rPr>
        <w:t>of</w:t>
      </w:r>
      <w:r w:rsidR="007B77A8">
        <w:rPr>
          <w:i/>
          <w:szCs w:val="18"/>
          <w:lang w:val="en-US"/>
        </w:rPr>
        <w:t xml:space="preserve"> </w:t>
      </w:r>
      <w:r w:rsidRPr="00BC0780">
        <w:rPr>
          <w:i/>
          <w:szCs w:val="18"/>
          <w:lang w:val="en-US"/>
        </w:rPr>
        <w:t>L. sativum</w:t>
      </w:r>
      <w:r w:rsidRPr="00BC0780">
        <w:rPr>
          <w:szCs w:val="18"/>
          <w:lang w:val="en-US"/>
        </w:rPr>
        <w:t xml:space="preserve"> previously soaked </w:t>
      </w:r>
      <w:r w:rsidR="00B221DB" w:rsidRPr="00BC0780">
        <w:rPr>
          <w:szCs w:val="18"/>
          <w:lang w:val="en-US"/>
        </w:rPr>
        <w:t xml:space="preserve">for </w:t>
      </w:r>
      <w:r w:rsidR="00A41A73">
        <w:rPr>
          <w:szCs w:val="18"/>
          <w:lang w:val="en-US"/>
        </w:rPr>
        <w:t>60 min</w:t>
      </w:r>
      <w:r w:rsidR="00B221DB" w:rsidRPr="00BC0780">
        <w:rPr>
          <w:szCs w:val="18"/>
          <w:lang w:val="en-US"/>
        </w:rPr>
        <w:t xml:space="preserve"> </w:t>
      </w:r>
      <w:r w:rsidRPr="00BC0780">
        <w:rPr>
          <w:szCs w:val="18"/>
          <w:lang w:val="en-US"/>
        </w:rPr>
        <w:t xml:space="preserve">in distilled water. As a control, 1.5 mL Milli-Q water was used </w:t>
      </w:r>
      <w:r w:rsidR="00B221DB">
        <w:rPr>
          <w:szCs w:val="18"/>
          <w:lang w:val="en-US"/>
        </w:rPr>
        <w:t>replacing</w:t>
      </w:r>
      <w:r w:rsidR="00B221DB" w:rsidRPr="00BC0780">
        <w:rPr>
          <w:szCs w:val="18"/>
          <w:lang w:val="en-US"/>
        </w:rPr>
        <w:t xml:space="preserve"> </w:t>
      </w:r>
      <w:r w:rsidRPr="00BC0780">
        <w:rPr>
          <w:szCs w:val="18"/>
          <w:lang w:val="en-US"/>
        </w:rPr>
        <w:t xml:space="preserve">the aqueous </w:t>
      </w:r>
      <w:proofErr w:type="spellStart"/>
      <w:r w:rsidRPr="00BC0780">
        <w:rPr>
          <w:szCs w:val="18"/>
          <w:lang w:val="en-US"/>
        </w:rPr>
        <w:t>hydrochar</w:t>
      </w:r>
      <w:proofErr w:type="spellEnd"/>
      <w:r w:rsidRPr="00BC0780">
        <w:rPr>
          <w:szCs w:val="18"/>
          <w:lang w:val="en-US"/>
        </w:rPr>
        <w:t xml:space="preserve"> extract. Finally, the Petri dishes were incubated in the dark for 48 hours at 25 °C.</w:t>
      </w:r>
    </w:p>
    <w:p w14:paraId="7C9270C2" w14:textId="5EE9933F" w:rsidR="00BC0780" w:rsidRDefault="00BC0780" w:rsidP="00AE6A63">
      <w:pPr>
        <w:pStyle w:val="Paragrafoelenco"/>
        <w:ind w:left="0"/>
        <w:rPr>
          <w:szCs w:val="18"/>
          <w:lang w:val="en-US"/>
        </w:rPr>
      </w:pPr>
      <w:r w:rsidRPr="00BC0780">
        <w:rPr>
          <w:szCs w:val="18"/>
          <w:lang w:val="en-US"/>
        </w:rPr>
        <w:t>After incubation, the germination index (I</w:t>
      </w:r>
      <w:r w:rsidRPr="00BC0780">
        <w:rPr>
          <w:szCs w:val="18"/>
          <w:vertAlign w:val="subscript"/>
          <w:lang w:val="en-US"/>
        </w:rPr>
        <w:t>g</w:t>
      </w:r>
      <w:r w:rsidRPr="00BC0780">
        <w:rPr>
          <w:szCs w:val="18"/>
          <w:lang w:val="en-US"/>
        </w:rPr>
        <w:t>) was determined using the following formula:</w:t>
      </w:r>
    </w:p>
    <w:tbl>
      <w:tblPr>
        <w:tblW w:w="5000" w:type="pct"/>
        <w:tblLook w:val="04A0" w:firstRow="1" w:lastRow="0" w:firstColumn="1" w:lastColumn="0" w:noHBand="0" w:noVBand="1"/>
      </w:tblPr>
      <w:tblGrid>
        <w:gridCol w:w="7983"/>
        <w:gridCol w:w="804"/>
      </w:tblGrid>
      <w:tr w:rsidR="00646FB6" w:rsidRPr="00B57B36" w14:paraId="5047F9BE" w14:textId="77777777" w:rsidTr="00F96453">
        <w:tc>
          <w:tcPr>
            <w:tcW w:w="8188" w:type="dxa"/>
            <w:shd w:val="clear" w:color="auto" w:fill="auto"/>
            <w:vAlign w:val="center"/>
          </w:tcPr>
          <w:p w14:paraId="673CC651" w14:textId="47DE600F" w:rsidR="00646FB6" w:rsidRPr="00AD6D0F" w:rsidRDefault="00472305" w:rsidP="00617522">
            <w:pPr>
              <w:pStyle w:val="CETEquation"/>
              <w:spacing w:before="100" w:after="100"/>
            </w:pPr>
            <m:oMathPara>
              <m:oMathParaPr>
                <m:jc m:val="left"/>
              </m:oMathParaPr>
              <m:oMath>
                <m:sSub>
                  <m:sSubPr>
                    <m:ctrlPr>
                      <w:rPr>
                        <w:rFonts w:ascii="Cambria Math" w:eastAsiaTheme="minorEastAsia" w:hAnsi="Cambria Math"/>
                        <w:i/>
                        <w:szCs w:val="18"/>
                        <w:lang w:val="en-US"/>
                      </w:rPr>
                    </m:ctrlPr>
                  </m:sSubPr>
                  <m:e>
                    <m:r>
                      <w:rPr>
                        <w:rFonts w:ascii="Cambria Math" w:eastAsiaTheme="minorEastAsia" w:hAnsi="Cambria Math"/>
                        <w:szCs w:val="18"/>
                        <w:lang w:val="en-US"/>
                      </w:rPr>
                      <m:t>I</m:t>
                    </m:r>
                  </m:e>
                  <m:sub>
                    <m:r>
                      <w:rPr>
                        <w:rFonts w:ascii="Cambria Math" w:eastAsiaTheme="minorEastAsia" w:hAnsi="Cambria Math"/>
                        <w:szCs w:val="18"/>
                        <w:lang w:val="en-US"/>
                      </w:rPr>
                      <m:t>g</m:t>
                    </m:r>
                  </m:sub>
                </m:sSub>
                <m:r>
                  <w:rPr>
                    <w:rFonts w:ascii="Cambria Math" w:eastAsiaTheme="minorEastAsia" w:hAnsi="Cambria Math"/>
                    <w:szCs w:val="18"/>
                    <w:lang w:val="en-US"/>
                  </w:rPr>
                  <m:t xml:space="preserve"> (%)</m:t>
                </m:r>
                <m:r>
                  <w:rPr>
                    <w:rFonts w:ascii="Cambria Math" w:hAnsi="Cambria Math"/>
                    <w:szCs w:val="18"/>
                    <w:lang w:val="en-US"/>
                  </w:rPr>
                  <m:t>=</m:t>
                </m:r>
                <m:f>
                  <m:fPr>
                    <m:ctrlPr>
                      <w:rPr>
                        <w:rFonts w:ascii="Cambria Math" w:hAnsi="Cambria Math"/>
                        <w:i/>
                        <w:szCs w:val="18"/>
                        <w:vertAlign w:val="subscript"/>
                        <w:lang w:val="en-US"/>
                      </w:rPr>
                    </m:ctrlPr>
                  </m:fPr>
                  <m:num>
                    <m:r>
                      <w:rPr>
                        <w:rFonts w:ascii="Cambria Math" w:hAnsi="Cambria Math"/>
                        <w:szCs w:val="18"/>
                        <w:lang w:val="en-US"/>
                      </w:rPr>
                      <m:t>G</m:t>
                    </m:r>
                    <m:r>
                      <w:rPr>
                        <w:rFonts w:ascii="Cambria Math" w:hAnsi="Cambria Math"/>
                        <w:szCs w:val="18"/>
                        <w:vertAlign w:val="subscript"/>
                        <w:lang w:val="en-US"/>
                      </w:rPr>
                      <m:t>t×</m:t>
                    </m:r>
                    <m:r>
                      <w:rPr>
                        <w:rFonts w:ascii="Cambria Math" w:hAnsi="Cambria Math"/>
                        <w:szCs w:val="18"/>
                        <w:lang w:val="en-US"/>
                      </w:rPr>
                      <m:t>L</m:t>
                    </m:r>
                    <m:r>
                      <w:rPr>
                        <w:rFonts w:ascii="Cambria Math" w:hAnsi="Cambria Math"/>
                        <w:szCs w:val="18"/>
                        <w:vertAlign w:val="subscript"/>
                        <w:lang w:val="en-US"/>
                      </w:rPr>
                      <m:t xml:space="preserve">t </m:t>
                    </m:r>
                  </m:num>
                  <m:den>
                    <m:r>
                      <w:rPr>
                        <w:rFonts w:ascii="Cambria Math" w:hAnsi="Cambria Math"/>
                        <w:szCs w:val="18"/>
                        <w:lang w:val="en-US"/>
                      </w:rPr>
                      <m:t>G</m:t>
                    </m:r>
                    <m:r>
                      <w:rPr>
                        <w:rFonts w:ascii="Cambria Math" w:hAnsi="Cambria Math"/>
                        <w:szCs w:val="18"/>
                        <w:vertAlign w:val="subscript"/>
                        <w:lang w:val="en-US"/>
                      </w:rPr>
                      <m:t>c×</m:t>
                    </m:r>
                    <m:r>
                      <w:rPr>
                        <w:rFonts w:ascii="Cambria Math" w:hAnsi="Cambria Math"/>
                        <w:szCs w:val="18"/>
                        <w:lang w:val="en-US"/>
                      </w:rPr>
                      <m:t>L</m:t>
                    </m:r>
                    <m:r>
                      <w:rPr>
                        <w:rFonts w:ascii="Cambria Math" w:hAnsi="Cambria Math"/>
                        <w:szCs w:val="18"/>
                        <w:vertAlign w:val="subscript"/>
                        <w:lang w:val="en-US"/>
                      </w:rPr>
                      <m:t xml:space="preserve">c </m:t>
                    </m:r>
                  </m:den>
                </m:f>
                <m:r>
                  <w:rPr>
                    <w:rFonts w:ascii="Cambria Math" w:hAnsi="Cambria Math"/>
                    <w:szCs w:val="18"/>
                    <w:vertAlign w:val="subscript"/>
                    <w:lang w:val="en-US"/>
                  </w:rPr>
                  <m:t>×100</m:t>
                </m:r>
              </m:oMath>
            </m:oMathPara>
          </w:p>
        </w:tc>
        <w:tc>
          <w:tcPr>
            <w:tcW w:w="815" w:type="dxa"/>
            <w:shd w:val="clear" w:color="auto" w:fill="auto"/>
            <w:vAlign w:val="center"/>
          </w:tcPr>
          <w:p w14:paraId="2190EFB0" w14:textId="77777777" w:rsidR="00646FB6" w:rsidRPr="00B57B36" w:rsidRDefault="00646FB6" w:rsidP="00F96453">
            <w:pPr>
              <w:pStyle w:val="CETEquation"/>
              <w:jc w:val="right"/>
            </w:pPr>
            <w:r w:rsidRPr="00B57B36">
              <w:t>(</w:t>
            </w:r>
            <w:r>
              <w:t>5</w:t>
            </w:r>
            <w:r w:rsidRPr="00B57B36">
              <w:t>)</w:t>
            </w:r>
          </w:p>
        </w:tc>
      </w:tr>
    </w:tbl>
    <w:p w14:paraId="31F3B3E9" w14:textId="77777777" w:rsidR="00BC0780" w:rsidRPr="00BC0780" w:rsidRDefault="00BC0780" w:rsidP="00AE6A63">
      <w:pPr>
        <w:pStyle w:val="Paragrafoelenco"/>
        <w:tabs>
          <w:tab w:val="left" w:pos="3585"/>
        </w:tabs>
        <w:ind w:left="0"/>
        <w:rPr>
          <w:szCs w:val="18"/>
          <w:lang w:val="en-US"/>
        </w:rPr>
      </w:pPr>
      <w:r w:rsidRPr="00BC0780">
        <w:rPr>
          <w:szCs w:val="18"/>
          <w:lang w:val="en-US"/>
        </w:rPr>
        <w:t xml:space="preserve">where </w:t>
      </w:r>
      <w:r w:rsidRPr="00BC0780">
        <w:rPr>
          <w:i/>
          <w:szCs w:val="18"/>
          <w:lang w:val="en-US"/>
        </w:rPr>
        <w:t>Gt</w:t>
      </w:r>
      <w:r w:rsidRPr="00BC0780">
        <w:rPr>
          <w:szCs w:val="18"/>
          <w:lang w:val="en-US"/>
        </w:rPr>
        <w:t xml:space="preserve"> and </w:t>
      </w:r>
      <w:r w:rsidRPr="00BC0780">
        <w:rPr>
          <w:i/>
          <w:szCs w:val="18"/>
          <w:lang w:val="en-US"/>
        </w:rPr>
        <w:t>Gc</w:t>
      </w:r>
      <w:r w:rsidRPr="00BC0780">
        <w:rPr>
          <w:szCs w:val="18"/>
          <w:lang w:val="en-US"/>
        </w:rPr>
        <w:t xml:space="preserve"> were the average number of germinated seeds in the treated and the control Petri dishes, respectively, while </w:t>
      </w:r>
      <w:r w:rsidRPr="00BC0780">
        <w:rPr>
          <w:i/>
          <w:szCs w:val="18"/>
          <w:lang w:val="en-US"/>
        </w:rPr>
        <w:t>Lt</w:t>
      </w:r>
      <w:r w:rsidRPr="00BC0780">
        <w:rPr>
          <w:szCs w:val="18"/>
          <w:lang w:val="en-US"/>
        </w:rPr>
        <w:t xml:space="preserve"> and </w:t>
      </w:r>
      <w:r w:rsidRPr="00BC0780">
        <w:rPr>
          <w:i/>
          <w:szCs w:val="18"/>
          <w:lang w:val="en-US"/>
        </w:rPr>
        <w:t>Lc</w:t>
      </w:r>
      <w:r w:rsidRPr="00BC0780">
        <w:rPr>
          <w:szCs w:val="18"/>
          <w:lang w:val="en-US"/>
        </w:rPr>
        <w:t xml:space="preserve"> were the average root lengths of the treated and control samples.</w:t>
      </w:r>
    </w:p>
    <w:p w14:paraId="6D49BB12" w14:textId="77777777" w:rsidR="00BC0780" w:rsidRPr="00AE6A63" w:rsidRDefault="00BC0780" w:rsidP="00AE6A63">
      <w:pPr>
        <w:rPr>
          <w:b/>
          <w:bCs/>
          <w:i/>
          <w:iCs/>
        </w:rPr>
      </w:pPr>
      <w:r w:rsidRPr="00AE6A63">
        <w:rPr>
          <w:b/>
          <w:bCs/>
          <w:i/>
          <w:iCs/>
        </w:rPr>
        <w:t>Growth test</w:t>
      </w:r>
    </w:p>
    <w:p w14:paraId="409AA20B" w14:textId="10F13C90" w:rsidR="00BC0780" w:rsidRPr="00BC0780" w:rsidRDefault="00BC0780" w:rsidP="00AE6A63">
      <w:pPr>
        <w:pStyle w:val="Paragrafoelenco"/>
        <w:ind w:left="0"/>
        <w:rPr>
          <w:szCs w:val="18"/>
          <w:lang w:val="en-US"/>
        </w:rPr>
      </w:pPr>
      <w:r w:rsidRPr="00BC0780">
        <w:rPr>
          <w:szCs w:val="18"/>
          <w:lang w:val="en-US"/>
        </w:rPr>
        <w:t>A growth test was performed in 0.55</w:t>
      </w:r>
      <w:r w:rsidR="00B221DB">
        <w:rPr>
          <w:szCs w:val="18"/>
          <w:lang w:val="en-US"/>
        </w:rPr>
        <w:t>-</w:t>
      </w:r>
      <w:r w:rsidRPr="00BC0780">
        <w:rPr>
          <w:szCs w:val="18"/>
          <w:lang w:val="en-US"/>
        </w:rPr>
        <w:t>L pots (n = 5) filled with a layer of expanded clay at the bottom, followed by a substrate consisting of sand and peat 1:1 (v/v) with the addition of 75 g L</w:t>
      </w:r>
      <w:r w:rsidRPr="00BC0780">
        <w:rPr>
          <w:rFonts w:ascii="Calibri" w:hAnsi="Calibri" w:cs="Calibri"/>
          <w:szCs w:val="18"/>
          <w:vertAlign w:val="superscript"/>
          <w:lang w:val="en-US"/>
        </w:rPr>
        <w:t>‒</w:t>
      </w:r>
      <w:r w:rsidRPr="00BC0780">
        <w:rPr>
          <w:szCs w:val="18"/>
          <w:vertAlign w:val="superscript"/>
          <w:lang w:val="en-US"/>
        </w:rPr>
        <w:t>1</w:t>
      </w:r>
      <w:r w:rsidRPr="00BC0780">
        <w:rPr>
          <w:szCs w:val="18"/>
          <w:lang w:val="en-US"/>
        </w:rPr>
        <w:t xml:space="preserve"> of </w:t>
      </w:r>
      <w:proofErr w:type="spellStart"/>
      <w:r w:rsidRPr="00BC0780">
        <w:rPr>
          <w:szCs w:val="18"/>
          <w:lang w:val="en-US"/>
        </w:rPr>
        <w:t>hydrochar</w:t>
      </w:r>
      <w:proofErr w:type="spellEnd"/>
      <w:r w:rsidRPr="00BC0780">
        <w:rPr>
          <w:szCs w:val="18"/>
          <w:lang w:val="en-US"/>
        </w:rPr>
        <w:t xml:space="preserve">, and finally by a layer of sand on the top. Control pots were made up to </w:t>
      </w:r>
      <w:r w:rsidR="00B221DB">
        <w:rPr>
          <w:szCs w:val="18"/>
          <w:lang w:val="en-US"/>
        </w:rPr>
        <w:t xml:space="preserve">final </w:t>
      </w:r>
      <w:r w:rsidRPr="00BC0780">
        <w:rPr>
          <w:szCs w:val="18"/>
          <w:lang w:val="en-US"/>
        </w:rPr>
        <w:t>volume with sand and peat. In each pot, 20 seeds were sown and covered with a perlite layer.</w:t>
      </w:r>
    </w:p>
    <w:p w14:paraId="07474742" w14:textId="11AD1717" w:rsidR="00BC0780" w:rsidRPr="00BC0780" w:rsidRDefault="00BC0780" w:rsidP="00AE6A63">
      <w:pPr>
        <w:pStyle w:val="Paragrafoelenco"/>
        <w:ind w:left="0"/>
        <w:rPr>
          <w:szCs w:val="18"/>
          <w:lang w:val="en-US"/>
        </w:rPr>
      </w:pPr>
      <w:r w:rsidRPr="00BC0780">
        <w:rPr>
          <w:szCs w:val="18"/>
          <w:lang w:val="en-US"/>
        </w:rPr>
        <w:t xml:space="preserve">Aboveground biomasses were collected after 21 days from </w:t>
      </w:r>
      <w:r w:rsidR="00B221DB">
        <w:rPr>
          <w:szCs w:val="18"/>
          <w:lang w:val="en-US"/>
        </w:rPr>
        <w:t xml:space="preserve">the </w:t>
      </w:r>
      <w:r w:rsidRPr="00BC0780">
        <w:rPr>
          <w:szCs w:val="18"/>
          <w:lang w:val="en-US"/>
        </w:rPr>
        <w:t xml:space="preserve">sowing to determine </w:t>
      </w:r>
      <w:r w:rsidR="00B221DB">
        <w:rPr>
          <w:szCs w:val="18"/>
          <w:lang w:val="en-US"/>
        </w:rPr>
        <w:t xml:space="preserve">the plant </w:t>
      </w:r>
      <w:r w:rsidRPr="00BC0780">
        <w:rPr>
          <w:szCs w:val="18"/>
          <w:lang w:val="en-US"/>
        </w:rPr>
        <w:t xml:space="preserve">fresh weights. To determine </w:t>
      </w:r>
      <w:r w:rsidR="00B221DB">
        <w:rPr>
          <w:szCs w:val="18"/>
          <w:lang w:val="en-US"/>
        </w:rPr>
        <w:t xml:space="preserve">their </w:t>
      </w:r>
      <w:r w:rsidRPr="00BC0780">
        <w:rPr>
          <w:szCs w:val="18"/>
          <w:lang w:val="en-US"/>
        </w:rPr>
        <w:t>dry weight, samples were dried in a ventilated oven (</w:t>
      </w:r>
      <w:proofErr w:type="spellStart"/>
      <w:r w:rsidRPr="00BC0780">
        <w:rPr>
          <w:szCs w:val="18"/>
          <w:lang w:val="en-US"/>
        </w:rPr>
        <w:t>Memmert</w:t>
      </w:r>
      <w:proofErr w:type="spellEnd"/>
      <w:r w:rsidRPr="00BC0780">
        <w:rPr>
          <w:szCs w:val="18"/>
          <w:lang w:val="en-US"/>
        </w:rPr>
        <w:t xml:space="preserve"> GmbH Co., KG Universal Oven UN30, Schwabach, Germany) at 105 °C until a constant weight was reached.</w:t>
      </w:r>
    </w:p>
    <w:p w14:paraId="5485587C" w14:textId="55545CFD" w:rsidR="00BC0780" w:rsidRDefault="00BC0780" w:rsidP="00AE6A63">
      <w:pPr>
        <w:pStyle w:val="Paragrafoelenco"/>
        <w:ind w:left="0"/>
        <w:rPr>
          <w:szCs w:val="18"/>
          <w:lang w:val="en-US"/>
        </w:rPr>
      </w:pPr>
      <w:r w:rsidRPr="00BC0780">
        <w:rPr>
          <w:szCs w:val="18"/>
          <w:lang w:val="en-US"/>
        </w:rPr>
        <w:t>The growth index (G</w:t>
      </w:r>
      <w:r w:rsidRPr="00BC0780">
        <w:rPr>
          <w:szCs w:val="18"/>
          <w:vertAlign w:val="subscript"/>
          <w:lang w:val="en-US"/>
        </w:rPr>
        <w:t>m</w:t>
      </w:r>
      <w:r w:rsidRPr="00BC0780">
        <w:rPr>
          <w:szCs w:val="18"/>
          <w:lang w:val="en-US"/>
        </w:rPr>
        <w:t>) was calculated according to the following formula:</w:t>
      </w:r>
    </w:p>
    <w:tbl>
      <w:tblPr>
        <w:tblW w:w="5000" w:type="pct"/>
        <w:tblLook w:val="04A0" w:firstRow="1" w:lastRow="0" w:firstColumn="1" w:lastColumn="0" w:noHBand="0" w:noVBand="1"/>
      </w:tblPr>
      <w:tblGrid>
        <w:gridCol w:w="7983"/>
        <w:gridCol w:w="804"/>
      </w:tblGrid>
      <w:tr w:rsidR="008A0C66" w:rsidRPr="00B57B36" w14:paraId="114503D9" w14:textId="77777777" w:rsidTr="00F96453">
        <w:tc>
          <w:tcPr>
            <w:tcW w:w="8188" w:type="dxa"/>
            <w:shd w:val="clear" w:color="auto" w:fill="auto"/>
            <w:vAlign w:val="center"/>
          </w:tcPr>
          <w:p w14:paraId="5675A153" w14:textId="20CDBF0E" w:rsidR="008A0C66" w:rsidRPr="00AD6D0F" w:rsidRDefault="00472305" w:rsidP="00617522">
            <w:pPr>
              <w:pStyle w:val="CETEquation"/>
              <w:spacing w:before="100" w:after="100"/>
            </w:pPr>
            <m:oMathPara>
              <m:oMathParaPr>
                <m:jc m:val="left"/>
              </m:oMathParaPr>
              <m:oMath>
                <m:sSub>
                  <m:sSubPr>
                    <m:ctrlPr>
                      <w:rPr>
                        <w:rFonts w:ascii="Cambria Math" w:hAnsi="Cambria Math"/>
                        <w:i/>
                        <w:szCs w:val="18"/>
                      </w:rPr>
                    </m:ctrlPr>
                  </m:sSubPr>
                  <m:e>
                    <m:r>
                      <w:rPr>
                        <w:rFonts w:ascii="Cambria Math" w:hAnsi="Cambria Math"/>
                        <w:szCs w:val="18"/>
                      </w:rPr>
                      <m:t>G</m:t>
                    </m:r>
                  </m:e>
                  <m:sub>
                    <m:r>
                      <w:rPr>
                        <w:rFonts w:ascii="Cambria Math" w:hAnsi="Cambria Math"/>
                        <w:szCs w:val="18"/>
                      </w:rPr>
                      <m:t>m</m:t>
                    </m:r>
                  </m:sub>
                </m:sSub>
                <m:r>
                  <w:rPr>
                    <w:rFonts w:ascii="Cambria Math" w:hAnsi="Cambria Math"/>
                    <w:szCs w:val="18"/>
                  </w:rPr>
                  <m:t xml:space="preserve"> (%)=</m:t>
                </m:r>
                <m:f>
                  <m:fPr>
                    <m:ctrlPr>
                      <w:rPr>
                        <w:rFonts w:ascii="Cambria Math" w:hAnsi="Cambria Math"/>
                        <w:i/>
                        <w:szCs w:val="18"/>
                      </w:rPr>
                    </m:ctrlPr>
                  </m:fPr>
                  <m:num>
                    <m:r>
                      <w:rPr>
                        <w:rFonts w:ascii="Cambria Math" w:hAnsi="Cambria Math"/>
                        <w:szCs w:val="18"/>
                      </w:rPr>
                      <m:t>Gt</m:t>
                    </m:r>
                  </m:num>
                  <m:den>
                    <m:r>
                      <w:rPr>
                        <w:rFonts w:ascii="Cambria Math" w:hAnsi="Cambria Math"/>
                        <w:szCs w:val="18"/>
                      </w:rPr>
                      <m:t>Gc</m:t>
                    </m:r>
                  </m:den>
                </m:f>
                <m:r>
                  <w:rPr>
                    <w:rFonts w:ascii="Cambria Math" w:hAnsi="Cambria Math"/>
                    <w:szCs w:val="18"/>
                    <w:vertAlign w:val="subscript"/>
                    <w:lang w:val="en-US"/>
                  </w:rPr>
                  <m:t>×</m:t>
                </m:r>
                <m:r>
                  <w:rPr>
                    <w:rFonts w:ascii="Cambria Math" w:hAnsi="Cambria Math"/>
                    <w:szCs w:val="18"/>
                  </w:rPr>
                  <m:t>100</m:t>
                </m:r>
              </m:oMath>
            </m:oMathPara>
          </w:p>
        </w:tc>
        <w:tc>
          <w:tcPr>
            <w:tcW w:w="815" w:type="dxa"/>
            <w:shd w:val="clear" w:color="auto" w:fill="auto"/>
            <w:vAlign w:val="center"/>
          </w:tcPr>
          <w:p w14:paraId="79BAE08A" w14:textId="724D4393" w:rsidR="008A0C66" w:rsidRPr="00B57B36" w:rsidRDefault="008A0C66" w:rsidP="00F96453">
            <w:pPr>
              <w:pStyle w:val="CETEquation"/>
              <w:jc w:val="right"/>
            </w:pPr>
            <w:r w:rsidRPr="00B57B36">
              <w:t>(</w:t>
            </w:r>
            <w:r>
              <w:t>6</w:t>
            </w:r>
            <w:r w:rsidRPr="00B57B36">
              <w:t>)</w:t>
            </w:r>
          </w:p>
        </w:tc>
      </w:tr>
    </w:tbl>
    <w:p w14:paraId="1A357A7F" w14:textId="77777777" w:rsidR="00BC0780" w:rsidRDefault="00BC0780" w:rsidP="00AE6A63">
      <w:pPr>
        <w:pStyle w:val="Paragrafoelenco"/>
        <w:ind w:left="0"/>
        <w:rPr>
          <w:szCs w:val="18"/>
          <w:lang w:val="en-US"/>
        </w:rPr>
      </w:pPr>
      <w:r w:rsidRPr="00BC0780">
        <w:rPr>
          <w:szCs w:val="18"/>
          <w:lang w:val="en-US"/>
        </w:rPr>
        <w:t xml:space="preserve">where </w:t>
      </w:r>
      <w:r w:rsidRPr="00BC0780">
        <w:rPr>
          <w:i/>
          <w:iCs/>
          <w:szCs w:val="18"/>
          <w:lang w:val="en-US"/>
        </w:rPr>
        <w:t>Gt</w:t>
      </w:r>
      <w:r w:rsidRPr="00BC0780">
        <w:rPr>
          <w:szCs w:val="18"/>
          <w:lang w:val="en-US"/>
        </w:rPr>
        <w:t xml:space="preserve"> and </w:t>
      </w:r>
      <w:r w:rsidRPr="00BC0780">
        <w:rPr>
          <w:i/>
          <w:iCs/>
          <w:szCs w:val="18"/>
          <w:lang w:val="en-US"/>
        </w:rPr>
        <w:t>Gc</w:t>
      </w:r>
      <w:r w:rsidRPr="00BC0780">
        <w:rPr>
          <w:szCs w:val="18"/>
          <w:lang w:val="en-US"/>
        </w:rPr>
        <w:t xml:space="preserve"> represents the average plant dry weight in treated and in the control pots, respectively.</w:t>
      </w:r>
    </w:p>
    <w:p w14:paraId="58976F4F" w14:textId="302159FA" w:rsidR="00AE6A63" w:rsidRPr="00AE6A63" w:rsidRDefault="00AE6A63" w:rsidP="00AE6A63">
      <w:pPr>
        <w:rPr>
          <w:b/>
          <w:bCs/>
          <w:i/>
          <w:iCs/>
        </w:rPr>
      </w:pPr>
      <w:r>
        <w:rPr>
          <w:b/>
          <w:bCs/>
          <w:i/>
          <w:iCs/>
        </w:rPr>
        <w:t>Statistical analysis</w:t>
      </w:r>
    </w:p>
    <w:p w14:paraId="2378490E" w14:textId="0B04574D" w:rsidR="00AE6A63" w:rsidRPr="00BC0780" w:rsidRDefault="00AE6A63" w:rsidP="00AE6A63">
      <w:pPr>
        <w:pStyle w:val="Paragrafoelenco"/>
        <w:ind w:left="0"/>
        <w:rPr>
          <w:szCs w:val="18"/>
          <w:lang w:val="en-US"/>
        </w:rPr>
      </w:pPr>
      <w:r w:rsidRPr="00AE6A63">
        <w:rPr>
          <w:szCs w:val="18"/>
          <w:lang w:val="en-US"/>
        </w:rPr>
        <w:t xml:space="preserve">After checking the normality of distribution (Shapiro-Wilk test, 95% confidence interval), the difference between the treatment and the control in the germination test was analyzed by unpaired t-test. On the growth test results, a non-parametric Kruskal-Wallis test was performed and significant differences among treatments were determined by Dunn's multiple comparisons </w:t>
      </w:r>
      <w:r w:rsidRPr="00AE6A63">
        <w:rPr>
          <w:i/>
          <w:iCs/>
          <w:szCs w:val="18"/>
          <w:lang w:val="en-US"/>
        </w:rPr>
        <w:t>post-hoc</w:t>
      </w:r>
      <w:r w:rsidRPr="00AE6A63">
        <w:rPr>
          <w:szCs w:val="18"/>
          <w:lang w:val="en-US"/>
        </w:rPr>
        <w:t xml:space="preserve"> test (</w:t>
      </w:r>
      <w:r w:rsidRPr="00AE6A63">
        <w:rPr>
          <w:i/>
          <w:iCs/>
          <w:szCs w:val="18"/>
          <w:lang w:val="en-US"/>
        </w:rPr>
        <w:t>p</w:t>
      </w:r>
      <w:r w:rsidRPr="00AE6A63">
        <w:rPr>
          <w:szCs w:val="18"/>
          <w:lang w:val="en-US"/>
        </w:rPr>
        <w:t xml:space="preserve"> ≤ 0.05). GraphPad software (GraphPad, La Jolla, CA, USA) was used for the statistical analysis of the bioassays.</w:t>
      </w:r>
    </w:p>
    <w:p w14:paraId="677EBFF0" w14:textId="0DE4877C" w:rsidR="00600535" w:rsidRPr="00B57B36" w:rsidRDefault="00225A54" w:rsidP="00600535">
      <w:pPr>
        <w:pStyle w:val="CETHeading1"/>
        <w:tabs>
          <w:tab w:val="clear" w:pos="360"/>
          <w:tab w:val="right" w:pos="7100"/>
        </w:tabs>
        <w:jc w:val="both"/>
        <w:rPr>
          <w:lang w:val="en-GB"/>
        </w:rPr>
      </w:pPr>
      <w:r>
        <w:rPr>
          <w:lang w:val="en-GB"/>
        </w:rPr>
        <w:lastRenderedPageBreak/>
        <w:t>Results and Discussion</w:t>
      </w:r>
    </w:p>
    <w:p w14:paraId="04963A06" w14:textId="7E5036BC" w:rsidR="00600535" w:rsidRPr="00B57B36" w:rsidRDefault="00ED2C4D" w:rsidP="00FA5F5F">
      <w:pPr>
        <w:pStyle w:val="CETheadingx"/>
      </w:pPr>
      <w:r>
        <w:t>Results of HTC tests</w:t>
      </w:r>
    </w:p>
    <w:p w14:paraId="009BC598" w14:textId="605E4B55" w:rsidR="00D37A8A" w:rsidRDefault="004B71EB" w:rsidP="00D37A8A">
      <w:pPr>
        <w:pStyle w:val="CETBodytext"/>
        <w:rPr>
          <w:lang w:val="en-GB"/>
        </w:rPr>
      </w:pPr>
      <w:r>
        <w:rPr>
          <w:lang w:val="en-GB"/>
        </w:rPr>
        <w:t xml:space="preserve">The </w:t>
      </w:r>
      <w:r w:rsidR="00F04FEC" w:rsidRPr="00F04FEC">
        <w:rPr>
          <w:lang w:val="en-GB"/>
        </w:rPr>
        <w:t xml:space="preserve">HTC treatment transformed the </w:t>
      </w:r>
      <w:r w:rsidR="00F04FEC" w:rsidRPr="00C25859">
        <w:rPr>
          <w:i/>
          <w:iCs/>
          <w:lang w:val="en-GB"/>
        </w:rPr>
        <w:t>M. aquaticum</w:t>
      </w:r>
      <w:r w:rsidR="00F04FEC" w:rsidRPr="00F04FEC">
        <w:rPr>
          <w:lang w:val="en-GB"/>
        </w:rPr>
        <w:t xml:space="preserve"> </w:t>
      </w:r>
      <w:r w:rsidR="00A822B5">
        <w:rPr>
          <w:lang w:val="en-GB"/>
        </w:rPr>
        <w:t>biomass</w:t>
      </w:r>
      <w:r w:rsidR="00A822B5" w:rsidRPr="00F04FEC">
        <w:rPr>
          <w:lang w:val="en-GB"/>
        </w:rPr>
        <w:t xml:space="preserve"> </w:t>
      </w:r>
      <w:r w:rsidR="00F04FEC" w:rsidRPr="00F04FEC">
        <w:rPr>
          <w:lang w:val="en-GB"/>
        </w:rPr>
        <w:t>into a carbonaceous solid product enriched in total and fixed carbon, exhibiting lower atomic ratios of hydrogen to carbon (H/C) and oxygen to carbon (O/C) compared to the initial feedstock (Figure 1). Throughout the HTC process, the biomass undergoes a sequence of reactions including hydrolysis, dehydration, decarboxylation, condensation, polymerization, and aromatization</w:t>
      </w:r>
      <w:r w:rsidR="009B31F9">
        <w:rPr>
          <w:lang w:val="en-GB"/>
        </w:rPr>
        <w:t>,</w:t>
      </w:r>
      <w:r w:rsidR="00F04FEC" w:rsidRPr="00F04FEC">
        <w:rPr>
          <w:lang w:val="en-GB"/>
        </w:rPr>
        <w:t xml:space="preserve"> </w:t>
      </w:r>
      <w:r w:rsidR="009B31F9" w:rsidRPr="00F04FEC">
        <w:rPr>
          <w:lang w:val="en-GB"/>
        </w:rPr>
        <w:t xml:space="preserve">resulting in decreased atomic H/C and O/C ratios </w:t>
      </w:r>
      <w:r w:rsidR="00F04FEC" w:rsidRPr="00F04FEC">
        <w:rPr>
          <w:lang w:val="en-GB"/>
        </w:rPr>
        <w:t>(</w:t>
      </w:r>
      <w:r w:rsidR="00D41A58" w:rsidRPr="00D41A58">
        <w:rPr>
          <w:lang w:val="en-GB"/>
        </w:rPr>
        <w:t>Reza et al., 2014</w:t>
      </w:r>
      <w:r w:rsidR="00F04FEC" w:rsidRPr="00F04FEC">
        <w:rPr>
          <w:lang w:val="en-GB"/>
        </w:rPr>
        <w:t xml:space="preserve">). The extent of these reactions </w:t>
      </w:r>
      <w:r w:rsidR="001B06C4">
        <w:rPr>
          <w:lang w:val="en-GB"/>
        </w:rPr>
        <w:t>depends</w:t>
      </w:r>
      <w:r w:rsidR="00F04FEC" w:rsidRPr="00F04FEC">
        <w:rPr>
          <w:lang w:val="en-GB"/>
        </w:rPr>
        <w:t xml:space="preserve"> on the feedstock and reaction conditions such as temperature, residence time, and solid content (Sharma et al., 2020</w:t>
      </w:r>
      <w:r w:rsidR="009B31F9" w:rsidRPr="00F04FEC">
        <w:rPr>
          <w:lang w:val="en-GB"/>
        </w:rPr>
        <w:t>)</w:t>
      </w:r>
      <w:r w:rsidR="009B31F9">
        <w:rPr>
          <w:lang w:val="en-GB"/>
        </w:rPr>
        <w:t>.</w:t>
      </w:r>
      <w:r w:rsidR="009B31F9" w:rsidRPr="00F04FEC">
        <w:rPr>
          <w:lang w:val="en-GB"/>
        </w:rPr>
        <w:t xml:space="preserve"> </w:t>
      </w:r>
      <w:r w:rsidR="00F04FEC" w:rsidRPr="00F04FEC">
        <w:rPr>
          <w:lang w:val="en-GB"/>
        </w:rPr>
        <w:t>The degree of carbonization</w:t>
      </w:r>
      <w:r w:rsidR="003F513D">
        <w:rPr>
          <w:lang w:val="en-GB"/>
        </w:rPr>
        <w:t xml:space="preserve"> </w:t>
      </w:r>
      <w:r w:rsidR="00F04FEC" w:rsidRPr="00F04FEC">
        <w:rPr>
          <w:lang w:val="en-GB"/>
        </w:rPr>
        <w:t xml:space="preserve">can be visualized using the Van </w:t>
      </w:r>
      <w:proofErr w:type="spellStart"/>
      <w:r w:rsidR="00F04FEC" w:rsidRPr="00F04FEC">
        <w:rPr>
          <w:lang w:val="en-GB"/>
        </w:rPr>
        <w:t>Krevelen</w:t>
      </w:r>
      <w:proofErr w:type="spellEnd"/>
      <w:r w:rsidR="00F04FEC" w:rsidRPr="00F04FEC">
        <w:rPr>
          <w:lang w:val="en-GB"/>
        </w:rPr>
        <w:t xml:space="preserve"> diagram (Figure 1), aiding in the assessment of the carbonization extent while juxtaposing it with other fossil fuels like peat, lignite, and coal (</w:t>
      </w:r>
      <w:r w:rsidR="00D41A58" w:rsidRPr="00D41A58">
        <w:rPr>
          <w:lang w:val="en-GB"/>
        </w:rPr>
        <w:t>Reza et al., 2014</w:t>
      </w:r>
      <w:r w:rsidR="00F04FEC" w:rsidRPr="00F04FEC">
        <w:rPr>
          <w:lang w:val="en-GB"/>
        </w:rPr>
        <w:t xml:space="preserve">). Results for </w:t>
      </w:r>
      <w:proofErr w:type="spellStart"/>
      <w:r w:rsidR="00F04FEC" w:rsidRPr="00F04FEC">
        <w:rPr>
          <w:lang w:val="en-GB"/>
        </w:rPr>
        <w:t>hydrochars</w:t>
      </w:r>
      <w:proofErr w:type="spellEnd"/>
      <w:r w:rsidR="00F04FEC" w:rsidRPr="00F04FEC">
        <w:rPr>
          <w:lang w:val="en-GB"/>
        </w:rPr>
        <w:t xml:space="preserve"> produced under varied process conditions are </w:t>
      </w:r>
      <w:r w:rsidR="00095A49">
        <w:rPr>
          <w:lang w:val="en-GB"/>
        </w:rPr>
        <w:t>shown</w:t>
      </w:r>
      <w:r w:rsidR="00095A49" w:rsidRPr="00F04FEC">
        <w:rPr>
          <w:lang w:val="en-GB"/>
        </w:rPr>
        <w:t xml:space="preserve"> </w:t>
      </w:r>
      <w:r w:rsidR="00F04FEC" w:rsidRPr="00F04FEC">
        <w:rPr>
          <w:lang w:val="en-GB"/>
        </w:rPr>
        <w:t xml:space="preserve">in Figure 1. To characterize HTC operating conditions and compare </w:t>
      </w:r>
      <w:proofErr w:type="spellStart"/>
      <w:r w:rsidR="00F04FEC" w:rsidRPr="00F04FEC">
        <w:rPr>
          <w:lang w:val="en-GB"/>
        </w:rPr>
        <w:t>hydrochars</w:t>
      </w:r>
      <w:proofErr w:type="spellEnd"/>
      <w:r w:rsidR="00F04FEC" w:rsidRPr="00F04FEC">
        <w:rPr>
          <w:lang w:val="en-GB"/>
        </w:rPr>
        <w:t xml:space="preserve"> derived from different temperature and residence time settings, the severity factor </w:t>
      </w:r>
      <w:r w:rsidR="00F04FEC" w:rsidRPr="004F1F83">
        <w:rPr>
          <w:i/>
          <w:iCs/>
          <w:lang w:val="en-GB"/>
        </w:rPr>
        <w:t>f</w:t>
      </w:r>
      <w:r w:rsidR="00F04FEC" w:rsidRPr="00F04FEC">
        <w:rPr>
          <w:lang w:val="en-GB"/>
        </w:rPr>
        <w:t xml:space="preserve"> was employed, defined as</w:t>
      </w:r>
      <w:r w:rsidR="00D37A8A" w:rsidRPr="002F616E">
        <w:rPr>
          <w:lang w:val="en-GB"/>
        </w:rPr>
        <w:t>:</w:t>
      </w:r>
    </w:p>
    <w:tbl>
      <w:tblPr>
        <w:tblW w:w="5000" w:type="pct"/>
        <w:tblLook w:val="04A0" w:firstRow="1" w:lastRow="0" w:firstColumn="1" w:lastColumn="0" w:noHBand="0" w:noVBand="1"/>
      </w:tblPr>
      <w:tblGrid>
        <w:gridCol w:w="7983"/>
        <w:gridCol w:w="804"/>
      </w:tblGrid>
      <w:tr w:rsidR="00D37A8A" w:rsidRPr="00B57B36" w14:paraId="639CD8C9" w14:textId="77777777" w:rsidTr="00AC6632">
        <w:tc>
          <w:tcPr>
            <w:tcW w:w="8188" w:type="dxa"/>
            <w:shd w:val="clear" w:color="auto" w:fill="auto"/>
            <w:vAlign w:val="center"/>
          </w:tcPr>
          <w:p w14:paraId="72F7FB82" w14:textId="77777777" w:rsidR="00D37A8A" w:rsidRPr="00AD6D0F" w:rsidRDefault="00D37A8A" w:rsidP="00095A49">
            <w:pPr>
              <w:pStyle w:val="CETEquation"/>
              <w:spacing w:before="40" w:after="80"/>
            </w:pPr>
            <m:oMathPara>
              <m:oMathParaPr>
                <m:jc m:val="left"/>
              </m:oMathParaPr>
              <m:oMath>
                <m:r>
                  <w:rPr>
                    <w:rFonts w:ascii="Cambria Math" w:hAnsi="Cambria Math"/>
                  </w:rPr>
                  <m:t>f=50∙</m:t>
                </m:r>
                <m:sSup>
                  <m:sSupPr>
                    <m:ctrlPr>
                      <w:rPr>
                        <w:rFonts w:ascii="Cambria Math" w:hAnsi="Cambria Math"/>
                        <w:i/>
                      </w:rPr>
                    </m:ctrlPr>
                  </m:sSupPr>
                  <m:e>
                    <m:r>
                      <w:rPr>
                        <w:rFonts w:ascii="Cambria Math" w:hAnsi="Cambria Math"/>
                      </w:rPr>
                      <m:t>t</m:t>
                    </m:r>
                  </m:e>
                  <m:sup>
                    <m:r>
                      <w:rPr>
                        <w:rFonts w:ascii="Cambria Math" w:hAnsi="Cambria Math"/>
                      </w:rPr>
                      <m:t>0.2</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3500</m:t>
                        </m:r>
                      </m:num>
                      <m:den>
                        <m:r>
                          <w:rPr>
                            <w:rFonts w:ascii="Cambria Math" w:hAnsi="Cambria Math"/>
                          </w:rPr>
                          <m:t>T</m:t>
                        </m:r>
                      </m:den>
                    </m:f>
                  </m:sup>
                </m:sSup>
              </m:oMath>
            </m:oMathPara>
          </w:p>
        </w:tc>
        <w:tc>
          <w:tcPr>
            <w:tcW w:w="815" w:type="dxa"/>
            <w:shd w:val="clear" w:color="auto" w:fill="auto"/>
            <w:vAlign w:val="center"/>
          </w:tcPr>
          <w:p w14:paraId="2E789946" w14:textId="3867D7D1" w:rsidR="00D37A8A" w:rsidRPr="00B57B36" w:rsidRDefault="00D37A8A" w:rsidP="00AC6632">
            <w:pPr>
              <w:pStyle w:val="CETEquation"/>
              <w:jc w:val="right"/>
            </w:pPr>
            <w:r w:rsidRPr="00B57B36">
              <w:t>(</w:t>
            </w:r>
            <w:r w:rsidR="00A66857">
              <w:t>7</w:t>
            </w:r>
            <w:r w:rsidRPr="00B57B36">
              <w:t>)</w:t>
            </w:r>
          </w:p>
        </w:tc>
      </w:tr>
    </w:tbl>
    <w:p w14:paraId="77F6BA25" w14:textId="6725463B" w:rsidR="004B71EB" w:rsidRDefault="00D37A8A" w:rsidP="004B71EB">
      <w:pPr>
        <w:pStyle w:val="CETBodytext"/>
        <w:rPr>
          <w:lang w:val="en-GB"/>
        </w:rPr>
      </w:pPr>
      <w:r>
        <w:rPr>
          <w:lang w:val="en-GB"/>
        </w:rPr>
        <w:t>w</w:t>
      </w:r>
      <w:r w:rsidRPr="006F6867">
        <w:rPr>
          <w:lang w:val="en-GB"/>
        </w:rPr>
        <w:t>here</w:t>
      </w:r>
      <w:r>
        <w:rPr>
          <w:lang w:val="en-GB"/>
        </w:rPr>
        <w:t xml:space="preserve"> </w:t>
      </w:r>
      <w:proofErr w:type="spellStart"/>
      <w:r w:rsidRPr="00EB4D56">
        <w:rPr>
          <w:i/>
          <w:iCs/>
          <w:lang w:val="en-GB"/>
        </w:rPr>
        <w:t>t</w:t>
      </w:r>
      <w:proofErr w:type="spellEnd"/>
      <w:r w:rsidRPr="006F6867">
        <w:rPr>
          <w:lang w:val="en-GB"/>
        </w:rPr>
        <w:t xml:space="preserve"> is the </w:t>
      </w:r>
      <w:r w:rsidR="00EA01F1">
        <w:rPr>
          <w:lang w:val="en-GB"/>
        </w:rPr>
        <w:t>residence time</w:t>
      </w:r>
      <w:r w:rsidRPr="006F6867">
        <w:rPr>
          <w:lang w:val="en-GB"/>
        </w:rPr>
        <w:t xml:space="preserve"> (s) and </w:t>
      </w:r>
      <w:r w:rsidRPr="00EB4D56">
        <w:rPr>
          <w:i/>
          <w:iCs/>
          <w:lang w:val="en-GB"/>
        </w:rPr>
        <w:t>T</w:t>
      </w:r>
      <w:r>
        <w:rPr>
          <w:lang w:val="en-GB"/>
        </w:rPr>
        <w:t xml:space="preserve"> </w:t>
      </w:r>
      <w:r w:rsidRPr="006F6867">
        <w:rPr>
          <w:lang w:val="en-GB"/>
        </w:rPr>
        <w:t xml:space="preserve">is </w:t>
      </w:r>
      <w:r>
        <w:rPr>
          <w:lang w:val="en-GB"/>
        </w:rPr>
        <w:t xml:space="preserve">the </w:t>
      </w:r>
      <w:r w:rsidRPr="006F6867">
        <w:rPr>
          <w:lang w:val="en-GB"/>
        </w:rPr>
        <w:t>temperature (K)</w:t>
      </w:r>
      <w:r w:rsidR="00095A49" w:rsidRPr="00095A49">
        <w:rPr>
          <w:lang w:val="en-GB"/>
        </w:rPr>
        <w:t xml:space="preserve"> </w:t>
      </w:r>
      <w:r w:rsidR="00095A49" w:rsidRPr="00F04FEC">
        <w:rPr>
          <w:lang w:val="en-GB"/>
        </w:rPr>
        <w:t>(Funke and Ziegler, 2010)</w:t>
      </w:r>
      <w:r w:rsidR="00A41DAB">
        <w:rPr>
          <w:lang w:val="en-GB"/>
        </w:rPr>
        <w:t xml:space="preserve">. </w:t>
      </w:r>
      <w:r w:rsidR="00106F5F" w:rsidRPr="00106F5F">
        <w:rPr>
          <w:lang w:val="en-GB"/>
        </w:rPr>
        <w:t>Enhanced process severity correlates with</w:t>
      </w:r>
      <w:r w:rsidR="00D11298" w:rsidRPr="00D11298">
        <w:rPr>
          <w:lang w:val="en-GB"/>
        </w:rPr>
        <w:t xml:space="preserve"> higher temperature and/or </w:t>
      </w:r>
      <w:r w:rsidR="00106F5F" w:rsidRPr="00106F5F">
        <w:rPr>
          <w:lang w:val="en-GB"/>
        </w:rPr>
        <w:t>prolonged</w:t>
      </w:r>
      <w:r w:rsidR="00D11298" w:rsidRPr="00D11298">
        <w:rPr>
          <w:lang w:val="en-GB"/>
        </w:rPr>
        <w:t xml:space="preserve"> residence time.</w:t>
      </w:r>
      <w:r w:rsidR="00D11298">
        <w:rPr>
          <w:lang w:val="en-GB"/>
        </w:rPr>
        <w:t xml:space="preserve"> </w:t>
      </w:r>
      <w:r w:rsidR="004A1A70">
        <w:rPr>
          <w:lang w:val="en-GB"/>
        </w:rPr>
        <w:t xml:space="preserve">The results in Figure </w:t>
      </w:r>
      <w:r w:rsidR="00CA1DDD">
        <w:rPr>
          <w:lang w:val="en-GB"/>
        </w:rPr>
        <w:t>1</w:t>
      </w:r>
      <w:r w:rsidR="004A1A70">
        <w:rPr>
          <w:lang w:val="en-GB"/>
        </w:rPr>
        <w:t xml:space="preserve"> evidence that </w:t>
      </w:r>
      <w:r w:rsidR="00005179">
        <w:rPr>
          <w:lang w:val="en-GB"/>
        </w:rPr>
        <w:t xml:space="preserve">the HTC process </w:t>
      </w:r>
      <w:r w:rsidR="00005179" w:rsidRPr="00005179">
        <w:rPr>
          <w:lang w:val="en-GB"/>
        </w:rPr>
        <w:t xml:space="preserve">applied to </w:t>
      </w:r>
      <w:r w:rsidR="00005179" w:rsidRPr="00005179">
        <w:rPr>
          <w:i/>
          <w:iCs/>
          <w:lang w:val="en-GB"/>
        </w:rPr>
        <w:t>M. aquaticum</w:t>
      </w:r>
      <w:r w:rsidR="00005179" w:rsidRPr="00005179">
        <w:rPr>
          <w:lang w:val="en-GB"/>
        </w:rPr>
        <w:t xml:space="preserve"> </w:t>
      </w:r>
      <w:r w:rsidR="0030628D">
        <w:rPr>
          <w:lang w:val="en-GB"/>
        </w:rPr>
        <w:t>yields</w:t>
      </w:r>
      <w:r w:rsidR="00005179">
        <w:rPr>
          <w:lang w:val="en-GB"/>
        </w:rPr>
        <w:t xml:space="preserve"> </w:t>
      </w:r>
      <w:proofErr w:type="spellStart"/>
      <w:r w:rsidR="00005179">
        <w:rPr>
          <w:lang w:val="en-GB"/>
        </w:rPr>
        <w:t>hydrochars</w:t>
      </w:r>
      <w:proofErr w:type="spellEnd"/>
      <w:r w:rsidR="00005179">
        <w:rPr>
          <w:lang w:val="en-GB"/>
        </w:rPr>
        <w:t xml:space="preserve"> </w:t>
      </w:r>
      <w:bookmarkStart w:id="1" w:name="OLE_LINK1"/>
      <w:r w:rsidR="00005179">
        <w:rPr>
          <w:lang w:val="en-GB"/>
        </w:rPr>
        <w:t xml:space="preserve">with elemental composition </w:t>
      </w:r>
      <w:r w:rsidR="00A822B5">
        <w:rPr>
          <w:lang w:val="en-GB"/>
        </w:rPr>
        <w:t xml:space="preserve">close to that of </w:t>
      </w:r>
      <w:r w:rsidR="00005179">
        <w:rPr>
          <w:lang w:val="en-GB"/>
        </w:rPr>
        <w:t>peat and lignite</w:t>
      </w:r>
      <w:bookmarkEnd w:id="1"/>
      <w:r w:rsidR="00005179">
        <w:rPr>
          <w:lang w:val="en-GB"/>
        </w:rPr>
        <w:t xml:space="preserve">. </w:t>
      </w:r>
      <w:r w:rsidR="00E523A9">
        <w:rPr>
          <w:lang w:val="en-GB"/>
        </w:rPr>
        <w:t xml:space="preserve">As expected, </w:t>
      </w:r>
      <w:r w:rsidR="00107E07" w:rsidRPr="00107E07">
        <w:rPr>
          <w:lang w:val="en-GB"/>
        </w:rPr>
        <w:t>increasing process severity leads to a greater degree of carbonization</w:t>
      </w:r>
      <w:r w:rsidR="006E16DF">
        <w:rPr>
          <w:lang w:val="en-GB"/>
        </w:rPr>
        <w:t>.</w:t>
      </w:r>
    </w:p>
    <w:p w14:paraId="01659277" w14:textId="55E6BEEE" w:rsidR="00916A59" w:rsidRPr="007F79A1" w:rsidRDefault="001C0083" w:rsidP="00133DB9">
      <w:pPr>
        <w:pStyle w:val="CETCaption"/>
        <w:spacing w:before="120" w:after="0"/>
      </w:pPr>
      <w:r>
        <w:rPr>
          <w:noProof/>
          <w:lang w:val="it-IT" w:eastAsia="it-IT"/>
        </w:rPr>
        <w:drawing>
          <wp:inline distT="0" distB="0" distL="0" distR="0" wp14:anchorId="4F3CF480" wp14:editId="2DEBCE50">
            <wp:extent cx="3434400" cy="2055600"/>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3157"/>
                    <a:stretch/>
                  </pic:blipFill>
                  <pic:spPr bwMode="auto">
                    <a:xfrm>
                      <a:off x="0" y="0"/>
                      <a:ext cx="3434400" cy="2055600"/>
                    </a:xfrm>
                    <a:prstGeom prst="rect">
                      <a:avLst/>
                    </a:prstGeom>
                    <a:noFill/>
                    <a:ln>
                      <a:noFill/>
                    </a:ln>
                    <a:extLst>
                      <a:ext uri="{53640926-AAD7-44D8-BBD7-CCE9431645EC}">
                        <a14:shadowObscured xmlns:a14="http://schemas.microsoft.com/office/drawing/2010/main"/>
                      </a:ext>
                    </a:extLst>
                  </pic:spPr>
                </pic:pic>
              </a:graphicData>
            </a:graphic>
          </wp:inline>
        </w:drawing>
      </w:r>
    </w:p>
    <w:p w14:paraId="30B0987A" w14:textId="03C83BA1" w:rsidR="00916A59" w:rsidRDefault="00916A59" w:rsidP="00DC297B">
      <w:pPr>
        <w:pStyle w:val="CETCaption"/>
        <w:spacing w:before="120"/>
        <w:rPr>
          <w:rStyle w:val="CETCaptionCarattere"/>
          <w:i/>
        </w:rPr>
      </w:pPr>
      <w:r w:rsidRPr="00BD077D">
        <w:rPr>
          <w:rStyle w:val="CETCaptionCarattere"/>
          <w:i/>
        </w:rPr>
        <w:t xml:space="preserve">Figure </w:t>
      </w:r>
      <w:r w:rsidR="00B833E1">
        <w:rPr>
          <w:rStyle w:val="CETCaptionCarattere"/>
          <w:i/>
        </w:rPr>
        <w:t>1</w:t>
      </w:r>
      <w:r w:rsidRPr="00BD077D">
        <w:rPr>
          <w:rStyle w:val="CETCaptionCarattere"/>
          <w:i/>
        </w:rPr>
        <w:t xml:space="preserve">: </w:t>
      </w:r>
      <w:r w:rsidR="005F38AF" w:rsidRPr="005F38AF">
        <w:rPr>
          <w:rStyle w:val="CETCaptionCarattere"/>
          <w:i/>
        </w:rPr>
        <w:t xml:space="preserve">Atomic H/C versus O/C ratio (Van </w:t>
      </w:r>
      <w:proofErr w:type="spellStart"/>
      <w:r w:rsidR="005F38AF" w:rsidRPr="005F38AF">
        <w:rPr>
          <w:rStyle w:val="CETCaptionCarattere"/>
          <w:i/>
        </w:rPr>
        <w:t>Krevelen</w:t>
      </w:r>
      <w:proofErr w:type="spellEnd"/>
      <w:r w:rsidR="005F38AF" w:rsidRPr="005F38AF">
        <w:rPr>
          <w:rStyle w:val="CETCaptionCarattere"/>
          <w:i/>
        </w:rPr>
        <w:t xml:space="preserve"> diagram) of </w:t>
      </w:r>
      <w:proofErr w:type="spellStart"/>
      <w:r w:rsidR="005F38AF" w:rsidRPr="001D02E9">
        <w:rPr>
          <w:rStyle w:val="CETCaptionCarattere"/>
          <w:iCs/>
        </w:rPr>
        <w:t>Myriophyllum</w:t>
      </w:r>
      <w:proofErr w:type="spellEnd"/>
      <w:r w:rsidR="005F38AF" w:rsidRPr="001D02E9">
        <w:rPr>
          <w:rStyle w:val="CETCaptionCarattere"/>
          <w:iCs/>
        </w:rPr>
        <w:t xml:space="preserve"> aquaticum</w:t>
      </w:r>
      <w:r w:rsidR="005F38AF" w:rsidRPr="005F38AF">
        <w:rPr>
          <w:rStyle w:val="CETCaptionCarattere"/>
          <w:i/>
        </w:rPr>
        <w:t xml:space="preserve"> and </w:t>
      </w:r>
      <w:proofErr w:type="spellStart"/>
      <w:r w:rsidR="005F38AF" w:rsidRPr="005F38AF">
        <w:rPr>
          <w:rStyle w:val="CETCaptionCarattere"/>
          <w:i/>
        </w:rPr>
        <w:t>hydrochars</w:t>
      </w:r>
      <w:proofErr w:type="spellEnd"/>
      <w:r w:rsidR="005F38AF">
        <w:rPr>
          <w:rStyle w:val="CETCaptionCarattere"/>
          <w:i/>
        </w:rPr>
        <w:t xml:space="preserve"> obtained in different process severity (f factor) conditions</w:t>
      </w:r>
      <w:r w:rsidR="005F38AF" w:rsidRPr="005F38AF">
        <w:rPr>
          <w:rStyle w:val="CETCaptionCarattere"/>
          <w:i/>
        </w:rPr>
        <w:t>.</w:t>
      </w:r>
    </w:p>
    <w:p w14:paraId="422C6030" w14:textId="0B31F4E5" w:rsidR="00082E88" w:rsidRDefault="00082E88" w:rsidP="00E53F02">
      <w:pPr>
        <w:pStyle w:val="CETBodytext"/>
        <w:rPr>
          <w:lang w:val="en-GB"/>
        </w:rPr>
      </w:pPr>
      <w:r w:rsidRPr="00082E88">
        <w:rPr>
          <w:lang w:val="en-GB"/>
        </w:rPr>
        <w:t xml:space="preserve">The </w:t>
      </w:r>
      <w:r w:rsidR="00E53F02" w:rsidRPr="00E53F02">
        <w:rPr>
          <w:lang w:val="en-GB"/>
        </w:rPr>
        <w:t xml:space="preserve">RSM approach was employed to </w:t>
      </w:r>
      <w:proofErr w:type="spellStart"/>
      <w:r w:rsidR="00E53F02" w:rsidRPr="00E53F02">
        <w:rPr>
          <w:lang w:val="en-GB"/>
        </w:rPr>
        <w:t>analyze</w:t>
      </w:r>
      <w:proofErr w:type="spellEnd"/>
      <w:r w:rsidR="00E53F02" w:rsidRPr="00E53F02">
        <w:rPr>
          <w:lang w:val="en-GB"/>
        </w:rPr>
        <w:t xml:space="preserve"> the impact of temperature, time, and solid content on the process yields and properties of the resulting </w:t>
      </w:r>
      <w:proofErr w:type="spellStart"/>
      <w:r w:rsidR="00E53F02" w:rsidRPr="00E53F02">
        <w:rPr>
          <w:lang w:val="en-GB"/>
        </w:rPr>
        <w:t>hydrochar</w:t>
      </w:r>
      <w:proofErr w:type="spellEnd"/>
      <w:r w:rsidR="00E53F02" w:rsidRPr="00E53F02">
        <w:rPr>
          <w:lang w:val="en-GB"/>
        </w:rPr>
        <w:t xml:space="preserve">. This involved investigating the effects of the key operational parameters on the target responses and their interactions to determine the optimal operating conditions for the intended application. Polynomial models were fitted to the selected responses through regression calculations. The effects, including main and interaction effects, were computed for all model terms, along with statistical values such as </w:t>
      </w:r>
      <w:r w:rsidR="00E53F02" w:rsidRPr="0088406F">
        <w:rPr>
          <w:i/>
          <w:iCs/>
          <w:lang w:val="en-GB"/>
        </w:rPr>
        <w:t>p</w:t>
      </w:r>
      <w:r w:rsidR="00E53F02" w:rsidRPr="00E53F02">
        <w:rPr>
          <w:lang w:val="en-GB"/>
        </w:rPr>
        <w:t>-values, lack of fit, and adjusted and predicted R</w:t>
      </w:r>
      <w:r w:rsidR="00E53F02" w:rsidRPr="00B14037">
        <w:rPr>
          <w:vertAlign w:val="superscript"/>
          <w:lang w:val="en-GB"/>
        </w:rPr>
        <w:t>2</w:t>
      </w:r>
      <w:r w:rsidR="00E53F02" w:rsidRPr="00E53F02">
        <w:rPr>
          <w:lang w:val="en-GB"/>
        </w:rPr>
        <w:t>. The software recommended statistically significant models with high values for adjusted and predicted R</w:t>
      </w:r>
      <w:r w:rsidR="00E53F02" w:rsidRPr="00E77E12">
        <w:rPr>
          <w:vertAlign w:val="superscript"/>
          <w:lang w:val="en-GB"/>
        </w:rPr>
        <w:t>2</w:t>
      </w:r>
      <w:r w:rsidR="00E53F02" w:rsidRPr="00E53F02">
        <w:rPr>
          <w:lang w:val="en-GB"/>
        </w:rPr>
        <w:t xml:space="preserve"> for each response. A reduced cubic model was derived for </w:t>
      </w:r>
      <w:proofErr w:type="spellStart"/>
      <w:r w:rsidR="00E53F02" w:rsidRPr="00E53F02">
        <w:rPr>
          <w:lang w:val="en-GB"/>
        </w:rPr>
        <w:t>hydrochar</w:t>
      </w:r>
      <w:proofErr w:type="spellEnd"/>
      <w:r w:rsidR="00E53F02" w:rsidRPr="00E53F02">
        <w:rPr>
          <w:lang w:val="en-GB"/>
        </w:rPr>
        <w:t xml:space="preserve"> yield, and the parametric model in terms of coded values is presented in </w:t>
      </w:r>
      <w:proofErr w:type="spellStart"/>
      <w:r w:rsidR="00E53F02" w:rsidRPr="00E53F02">
        <w:rPr>
          <w:lang w:val="en-GB"/>
        </w:rPr>
        <w:t>Eq</w:t>
      </w:r>
      <w:proofErr w:type="spellEnd"/>
      <w:r w:rsidR="00E53F02" w:rsidRPr="00E53F02">
        <w:rPr>
          <w:lang w:val="en-GB"/>
        </w:rPr>
        <w:t xml:space="preserve"> (8)</w:t>
      </w:r>
      <w:r w:rsidR="004D0540" w:rsidRPr="004D0540">
        <w:rPr>
          <w:lang w:val="en-GB"/>
        </w:rPr>
        <w:t>:</w:t>
      </w:r>
    </w:p>
    <w:tbl>
      <w:tblPr>
        <w:tblW w:w="5000" w:type="pct"/>
        <w:tblLook w:val="04A0" w:firstRow="1" w:lastRow="0" w:firstColumn="1" w:lastColumn="0" w:noHBand="0" w:noVBand="1"/>
      </w:tblPr>
      <w:tblGrid>
        <w:gridCol w:w="7985"/>
        <w:gridCol w:w="802"/>
      </w:tblGrid>
      <w:tr w:rsidR="00830604" w:rsidRPr="00B57B36" w14:paraId="1F09E40E" w14:textId="77777777" w:rsidTr="00AC6632">
        <w:tc>
          <w:tcPr>
            <w:tcW w:w="7985" w:type="dxa"/>
            <w:shd w:val="clear" w:color="auto" w:fill="auto"/>
            <w:vAlign w:val="center"/>
          </w:tcPr>
          <w:p w14:paraId="265D0870" w14:textId="7E24E7AC" w:rsidR="00830604" w:rsidRPr="007E4BD4" w:rsidRDefault="007E4BD4" w:rsidP="00BE1F2F">
            <w:pPr>
              <w:pStyle w:val="CETEquation"/>
              <w:spacing w:before="80" w:after="40"/>
              <w:rPr>
                <w:rFonts w:cs="Arial"/>
                <w:sz w:val="17"/>
                <w:szCs w:val="17"/>
              </w:rPr>
            </w:pPr>
            <m:oMathPara>
              <m:oMathParaPr>
                <m:jc m:val="left"/>
              </m:oMathParaPr>
              <m:oMath>
                <m:r>
                  <w:rPr>
                    <w:rFonts w:ascii="Cambria Math" w:hAnsi="Cambria Math" w:cs="Arial"/>
                  </w:rPr>
                  <m:t>Y</m:t>
                </m:r>
                <m:r>
                  <m:rPr>
                    <m:sty m:val="p"/>
                  </m:rPr>
                  <w:rPr>
                    <w:rFonts w:ascii="Cambria Math" w:hAnsi="Cambria Math" w:cs="Arial"/>
                  </w:rPr>
                  <m:t>=</m:t>
                </m:r>
                <m:r>
                  <w:rPr>
                    <w:rFonts w:ascii="Cambria Math" w:hAnsi="Cambria Math" w:cs="Arial"/>
                  </w:rPr>
                  <m:t>58.13-4.99A-3.28B+1.69C+0.0399AB+0.1438AC+0.7284</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-1.45</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w:rPr>
                    <w:rFonts w:ascii="Cambria Math" w:hAnsi="Cambria Math" w:cs="Arial"/>
                  </w:rPr>
                  <m:t>+2.34</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B+0.7064</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C</m:t>
                </m:r>
              </m:oMath>
            </m:oMathPara>
          </w:p>
        </w:tc>
        <w:tc>
          <w:tcPr>
            <w:tcW w:w="802" w:type="dxa"/>
            <w:shd w:val="clear" w:color="auto" w:fill="auto"/>
            <w:vAlign w:val="center"/>
          </w:tcPr>
          <w:p w14:paraId="5A197E29" w14:textId="19175A2D" w:rsidR="00830604" w:rsidRPr="00B57B36" w:rsidRDefault="00830604" w:rsidP="00BE1F2F">
            <w:pPr>
              <w:pStyle w:val="CETEquation"/>
              <w:spacing w:before="80" w:after="40"/>
              <w:jc w:val="right"/>
            </w:pPr>
            <w:r w:rsidRPr="00B57B36">
              <w:t>(</w:t>
            </w:r>
            <w:r w:rsidR="002855B7">
              <w:t>8</w:t>
            </w:r>
            <w:r w:rsidRPr="00B57B36">
              <w:t>)</w:t>
            </w:r>
          </w:p>
        </w:tc>
      </w:tr>
    </w:tbl>
    <w:p w14:paraId="2949ED10" w14:textId="1DCE83F2" w:rsidR="007239D0" w:rsidRDefault="00ED7105" w:rsidP="007239D0">
      <w:pPr>
        <w:pStyle w:val="CETBodytext"/>
        <w:rPr>
          <w:lang w:val="en-GB"/>
        </w:rPr>
      </w:pPr>
      <w:r w:rsidRPr="00ED7105">
        <w:rPr>
          <w:lang w:val="en-GB"/>
        </w:rPr>
        <w:t xml:space="preserve">The </w:t>
      </w:r>
      <w:r w:rsidR="00CA2998" w:rsidRPr="00CA2998">
        <w:rPr>
          <w:lang w:val="en-GB"/>
        </w:rPr>
        <w:t xml:space="preserve">correlation between process parameters and responses can be visually depicted through three-dimensional response surface plots. </w:t>
      </w:r>
      <w:r w:rsidR="00EE7BB6" w:rsidRPr="00EE7BB6">
        <w:rPr>
          <w:lang w:val="en-GB"/>
        </w:rPr>
        <w:t xml:space="preserve">Figure 2 </w:t>
      </w:r>
      <w:r w:rsidR="00EE7BB6">
        <w:rPr>
          <w:lang w:val="en-GB"/>
        </w:rPr>
        <w:t>displays</w:t>
      </w:r>
      <w:r w:rsidR="00EE7BB6" w:rsidRPr="00EE7BB6">
        <w:rPr>
          <w:lang w:val="en-GB"/>
        </w:rPr>
        <w:t xml:space="preserve"> the response surfaces of the </w:t>
      </w:r>
      <w:proofErr w:type="spellStart"/>
      <w:r w:rsidR="00EE7BB6" w:rsidRPr="00EE7BB6">
        <w:rPr>
          <w:lang w:val="en-GB"/>
        </w:rPr>
        <w:t>hydrochar</w:t>
      </w:r>
      <w:proofErr w:type="spellEnd"/>
      <w:r w:rsidR="00EE7BB6" w:rsidRPr="00EE7BB6">
        <w:rPr>
          <w:lang w:val="en-GB"/>
        </w:rPr>
        <w:t xml:space="preserve"> yield as a function of temperature and time for different </w:t>
      </w:r>
      <w:r w:rsidR="00CA2998" w:rsidRPr="00CA2998">
        <w:rPr>
          <w:lang w:val="en-GB"/>
        </w:rPr>
        <w:t xml:space="preserve">solid content values. </w:t>
      </w:r>
      <w:r w:rsidR="00E013A5" w:rsidRPr="00E013A5">
        <w:rPr>
          <w:lang w:val="en-GB"/>
        </w:rPr>
        <w:t xml:space="preserve">It is worth noting that the </w:t>
      </w:r>
      <w:proofErr w:type="spellStart"/>
      <w:r w:rsidR="00E013A5" w:rsidRPr="00E013A5">
        <w:rPr>
          <w:lang w:val="en-GB"/>
        </w:rPr>
        <w:t>hydrochar</w:t>
      </w:r>
      <w:proofErr w:type="spellEnd"/>
      <w:r w:rsidR="00E013A5" w:rsidRPr="00E013A5">
        <w:rPr>
          <w:lang w:val="en-GB"/>
        </w:rPr>
        <w:t xml:space="preserve"> yield increases with increasing solid content and decreasing temperature and residence time.</w:t>
      </w:r>
      <w:r w:rsidR="00CA2998" w:rsidRPr="00CA2998">
        <w:rPr>
          <w:lang w:val="en-GB"/>
        </w:rPr>
        <w:t xml:space="preserve"> It</w:t>
      </w:r>
      <w:r w:rsidR="00A822B5">
        <w:rPr>
          <w:lang w:val="en-GB"/>
        </w:rPr>
        <w:t xml:space="preserve"> i</w:t>
      </w:r>
      <w:r w:rsidR="00CA2998" w:rsidRPr="00CA2998">
        <w:rPr>
          <w:lang w:val="en-GB"/>
        </w:rPr>
        <w:t>s evident that temperature has a significant impact on solid yield, aligning with expectations</w:t>
      </w:r>
      <w:r w:rsidR="00A822B5">
        <w:rPr>
          <w:lang w:val="en-GB"/>
        </w:rPr>
        <w:t xml:space="preserve"> as the t</w:t>
      </w:r>
      <w:r w:rsidR="00CA2998" w:rsidRPr="00CA2998">
        <w:rPr>
          <w:lang w:val="en-GB"/>
        </w:rPr>
        <w:t>emperature enhances the decomposition reactions of lignocellulosic biomass</w:t>
      </w:r>
      <w:r w:rsidR="00B36D32" w:rsidRPr="00B36D32">
        <w:rPr>
          <w:lang w:val="en-GB"/>
        </w:rPr>
        <w:t xml:space="preserve"> </w:t>
      </w:r>
      <w:r w:rsidR="00B36D32" w:rsidRPr="00CA2998">
        <w:rPr>
          <w:lang w:val="en-GB"/>
        </w:rPr>
        <w:t>components</w:t>
      </w:r>
      <w:r w:rsidR="00CA2998" w:rsidRPr="00CA2998">
        <w:rPr>
          <w:lang w:val="en-GB"/>
        </w:rPr>
        <w:t xml:space="preserve">. A decrease in the solid yield with increasing temperature is mainly expected from the solubilisation of reaction intermediates into the aqueous phase. </w:t>
      </w:r>
      <w:r w:rsidR="0026077C" w:rsidRPr="0026077C">
        <w:rPr>
          <w:lang w:val="en-GB"/>
        </w:rPr>
        <w:t xml:space="preserve">These findings align with previous studies on HTC of diverse feedstocks </w:t>
      </w:r>
      <w:r w:rsidR="00CA2998" w:rsidRPr="00CA2998">
        <w:rPr>
          <w:lang w:val="en-GB"/>
        </w:rPr>
        <w:t xml:space="preserve">(Nizamuddin et al., 2017). The observed increase in </w:t>
      </w:r>
      <w:proofErr w:type="spellStart"/>
      <w:r w:rsidR="00CA2998" w:rsidRPr="00CA2998">
        <w:rPr>
          <w:lang w:val="en-GB"/>
        </w:rPr>
        <w:t>hydrochar</w:t>
      </w:r>
      <w:proofErr w:type="spellEnd"/>
      <w:r w:rsidR="00CA2998" w:rsidRPr="00CA2998">
        <w:rPr>
          <w:lang w:val="en-GB"/>
        </w:rPr>
        <w:t xml:space="preserve"> yield </w:t>
      </w:r>
      <w:r w:rsidR="00E441D7" w:rsidRPr="00E441D7">
        <w:rPr>
          <w:lang w:val="en-GB"/>
        </w:rPr>
        <w:t>with increasing solid load could be attributed to secondary char formation, indicating that higher solid content induces polymerization of chemical species from the liquid phase</w:t>
      </w:r>
      <w:r w:rsidR="001E4B06">
        <w:rPr>
          <w:lang w:val="en-GB"/>
        </w:rPr>
        <w:t>.</w:t>
      </w:r>
    </w:p>
    <w:p w14:paraId="2319DCE7" w14:textId="5D598F66" w:rsidR="00916A59" w:rsidRPr="00B57B36" w:rsidRDefault="00A00C58" w:rsidP="00D1492A">
      <w:pPr>
        <w:pStyle w:val="CETCaption"/>
        <w:spacing w:before="0" w:after="0"/>
      </w:pPr>
      <w:r>
        <w:rPr>
          <w:noProof/>
          <w:lang w:val="it-IT" w:eastAsia="it-IT"/>
        </w:rPr>
        <w:lastRenderedPageBreak/>
        <w:drawing>
          <wp:inline distT="0" distB="0" distL="0" distR="0" wp14:anchorId="3B4004EF" wp14:editId="3A773466">
            <wp:extent cx="4122000" cy="3322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2353"/>
                    <a:stretch/>
                  </pic:blipFill>
                  <pic:spPr bwMode="auto">
                    <a:xfrm>
                      <a:off x="0" y="0"/>
                      <a:ext cx="4122000" cy="3322800"/>
                    </a:xfrm>
                    <a:prstGeom prst="rect">
                      <a:avLst/>
                    </a:prstGeom>
                    <a:noFill/>
                    <a:ln>
                      <a:noFill/>
                    </a:ln>
                    <a:extLst>
                      <a:ext uri="{53640926-AAD7-44D8-BBD7-CCE9431645EC}">
                        <a14:shadowObscured xmlns:a14="http://schemas.microsoft.com/office/drawing/2010/main"/>
                      </a:ext>
                    </a:extLst>
                  </pic:spPr>
                </pic:pic>
              </a:graphicData>
            </a:graphic>
          </wp:inline>
        </w:drawing>
      </w:r>
    </w:p>
    <w:p w14:paraId="323C441A" w14:textId="7A18CC3F" w:rsidR="00916A59" w:rsidRDefault="00916A59" w:rsidP="00BE1F2F">
      <w:pPr>
        <w:pStyle w:val="CETCaption"/>
        <w:spacing w:before="120"/>
        <w:rPr>
          <w:rStyle w:val="CETCaptionCarattere"/>
          <w:i/>
        </w:rPr>
      </w:pPr>
      <w:r w:rsidRPr="00BD077D">
        <w:rPr>
          <w:rStyle w:val="CETCaptionCarattere"/>
          <w:i/>
        </w:rPr>
        <w:t xml:space="preserve">Figure </w:t>
      </w:r>
      <w:r w:rsidR="00012E3D">
        <w:rPr>
          <w:rStyle w:val="CETCaptionCarattere"/>
          <w:i/>
        </w:rPr>
        <w:t>2</w:t>
      </w:r>
      <w:r w:rsidRPr="00BD077D">
        <w:rPr>
          <w:rStyle w:val="CETCaptionCarattere"/>
          <w:i/>
        </w:rPr>
        <w:t xml:space="preserve">: </w:t>
      </w:r>
      <w:r w:rsidR="00A1141E" w:rsidRPr="00A1141E">
        <w:rPr>
          <w:rStyle w:val="CETCaptionCarattere"/>
          <w:i/>
        </w:rPr>
        <w:t xml:space="preserve">3D response surface graphs for </w:t>
      </w:r>
      <w:proofErr w:type="spellStart"/>
      <w:r w:rsidR="00A1141E" w:rsidRPr="00A1141E">
        <w:rPr>
          <w:rStyle w:val="CETCaptionCarattere"/>
          <w:i/>
        </w:rPr>
        <w:t>hydrochar</w:t>
      </w:r>
      <w:proofErr w:type="spellEnd"/>
      <w:r w:rsidR="00A1141E" w:rsidRPr="00A1141E">
        <w:rPr>
          <w:rStyle w:val="CETCaptionCarattere"/>
          <w:i/>
        </w:rPr>
        <w:t xml:space="preserve"> yield as a function of temperature and time; (a) 5 </w:t>
      </w:r>
      <w:proofErr w:type="spellStart"/>
      <w:r w:rsidR="00A1141E" w:rsidRPr="00A1141E">
        <w:rPr>
          <w:rStyle w:val="CETCaptionCarattere"/>
          <w:i/>
        </w:rPr>
        <w:t>wt</w:t>
      </w:r>
      <w:proofErr w:type="spellEnd"/>
      <w:r w:rsidR="00A1141E" w:rsidRPr="00A1141E">
        <w:rPr>
          <w:rStyle w:val="CETCaptionCarattere"/>
          <w:i/>
        </w:rPr>
        <w:t xml:space="preserve"> % solid content, (b) 15 </w:t>
      </w:r>
      <w:proofErr w:type="spellStart"/>
      <w:r w:rsidR="00A1141E" w:rsidRPr="00A1141E">
        <w:rPr>
          <w:rStyle w:val="CETCaptionCarattere"/>
          <w:i/>
        </w:rPr>
        <w:t>wt</w:t>
      </w:r>
      <w:proofErr w:type="spellEnd"/>
      <w:r w:rsidR="00A1141E" w:rsidRPr="00A1141E">
        <w:rPr>
          <w:rStyle w:val="CETCaptionCarattere"/>
          <w:i/>
        </w:rPr>
        <w:t xml:space="preserve"> % solid content, (c) 25 </w:t>
      </w:r>
      <w:proofErr w:type="spellStart"/>
      <w:r w:rsidR="00A1141E" w:rsidRPr="00A1141E">
        <w:rPr>
          <w:rStyle w:val="CETCaptionCarattere"/>
          <w:i/>
        </w:rPr>
        <w:t>wt</w:t>
      </w:r>
      <w:proofErr w:type="spellEnd"/>
      <w:r w:rsidR="00A1141E" w:rsidRPr="00A1141E">
        <w:rPr>
          <w:rStyle w:val="CETCaptionCarattere"/>
          <w:i/>
        </w:rPr>
        <w:t xml:space="preserve"> % solid content.</w:t>
      </w:r>
    </w:p>
    <w:p w14:paraId="7382C781" w14:textId="07BEEA90" w:rsidR="00600535" w:rsidRPr="003B0DD0" w:rsidRDefault="00ED2C4D" w:rsidP="00FA5F5F">
      <w:pPr>
        <w:pStyle w:val="CETheadingx"/>
      </w:pPr>
      <w:r w:rsidRPr="003B0DD0">
        <w:t xml:space="preserve">Results of </w:t>
      </w:r>
      <w:r w:rsidR="00075D67">
        <w:t xml:space="preserve">germination and </w:t>
      </w:r>
      <w:r w:rsidRPr="003B0DD0">
        <w:t>phytotoxicity test</w:t>
      </w:r>
    </w:p>
    <w:p w14:paraId="5123C9EE" w14:textId="2C23A580" w:rsidR="00B30436" w:rsidRDefault="00FC6E59" w:rsidP="00600535">
      <w:pPr>
        <w:pStyle w:val="CETBodytext"/>
        <w:rPr>
          <w:lang w:val="en-GB"/>
        </w:rPr>
      </w:pPr>
      <w:r>
        <w:t>H</w:t>
      </w:r>
      <w:proofErr w:type="spellStart"/>
      <w:r w:rsidR="008216E8" w:rsidRPr="008216E8">
        <w:rPr>
          <w:lang w:val="en-GB"/>
        </w:rPr>
        <w:t>ydrochar</w:t>
      </w:r>
      <w:r w:rsidR="008216E8">
        <w:rPr>
          <w:lang w:val="en-GB"/>
        </w:rPr>
        <w:t>s</w:t>
      </w:r>
      <w:proofErr w:type="spellEnd"/>
      <w:r w:rsidR="008216E8" w:rsidRPr="008216E8">
        <w:rPr>
          <w:lang w:val="en-GB"/>
        </w:rPr>
        <w:t xml:space="preserve"> </w:t>
      </w:r>
      <w:r>
        <w:rPr>
          <w:lang w:val="en-GB"/>
        </w:rPr>
        <w:t xml:space="preserve">obtained from a range of raw material might </w:t>
      </w:r>
      <w:r w:rsidR="00E33F85">
        <w:rPr>
          <w:lang w:val="en-GB"/>
        </w:rPr>
        <w:t>contain</w:t>
      </w:r>
      <w:r w:rsidR="008216E8" w:rsidRPr="008216E8">
        <w:rPr>
          <w:lang w:val="en-GB"/>
        </w:rPr>
        <w:t xml:space="preserve"> some potentially phytotoxic compounds </w:t>
      </w:r>
      <w:r w:rsidR="008216E8">
        <w:rPr>
          <w:lang w:val="en-GB"/>
        </w:rPr>
        <w:t xml:space="preserve">which usually are </w:t>
      </w:r>
      <w:r w:rsidR="008216E8" w:rsidRPr="0041590B">
        <w:rPr>
          <w:lang w:val="en-GB"/>
        </w:rPr>
        <w:t xml:space="preserve">water soluble and </w:t>
      </w:r>
      <w:r w:rsidR="008216E8">
        <w:rPr>
          <w:lang w:val="en-GB"/>
        </w:rPr>
        <w:t xml:space="preserve">are </w:t>
      </w:r>
      <w:r w:rsidR="008216E8" w:rsidRPr="0041590B">
        <w:rPr>
          <w:lang w:val="en-GB"/>
        </w:rPr>
        <w:t>part of the dissolved organic carbon fraction</w:t>
      </w:r>
      <w:r w:rsidR="008216E8">
        <w:rPr>
          <w:lang w:val="en-GB"/>
        </w:rPr>
        <w:t xml:space="preserve">, thus posing a </w:t>
      </w:r>
      <w:r w:rsidR="008216E8" w:rsidRPr="008216E8">
        <w:rPr>
          <w:lang w:val="en-GB"/>
        </w:rPr>
        <w:t>threat</w:t>
      </w:r>
      <w:r w:rsidR="008216E8">
        <w:rPr>
          <w:lang w:val="en-GB"/>
        </w:rPr>
        <w:t xml:space="preserve"> </w:t>
      </w:r>
      <w:r w:rsidR="008216E8" w:rsidRPr="008216E8">
        <w:rPr>
          <w:lang w:val="en-GB"/>
        </w:rPr>
        <w:t>for seed germination and plant growth</w:t>
      </w:r>
      <w:r w:rsidR="008216E8">
        <w:rPr>
          <w:lang w:val="en-GB"/>
        </w:rPr>
        <w:t xml:space="preserve"> (Bargmann et al., 2013; Lang et al., 2023)</w:t>
      </w:r>
      <w:r w:rsidR="008216E8" w:rsidRPr="008216E8">
        <w:rPr>
          <w:lang w:val="en-GB"/>
        </w:rPr>
        <w:t>.</w:t>
      </w:r>
      <w:r w:rsidR="008216E8">
        <w:rPr>
          <w:lang w:val="en-GB"/>
        </w:rPr>
        <w:t xml:space="preserve"> </w:t>
      </w:r>
      <w:r>
        <w:rPr>
          <w:lang w:val="en-GB"/>
        </w:rPr>
        <w:t>In the present experiment, t</w:t>
      </w:r>
      <w:r w:rsidR="00AE6A63" w:rsidRPr="00AE6A63">
        <w:rPr>
          <w:lang w:val="en-GB"/>
        </w:rPr>
        <w:t xml:space="preserve">he use of </w:t>
      </w:r>
      <w:proofErr w:type="spellStart"/>
      <w:r w:rsidR="00AE6A63" w:rsidRPr="00AE6A63">
        <w:rPr>
          <w:lang w:val="en-GB"/>
        </w:rPr>
        <w:t>hydrochar</w:t>
      </w:r>
      <w:proofErr w:type="spellEnd"/>
      <w:r w:rsidR="00AE6A63" w:rsidRPr="00AE6A63">
        <w:rPr>
          <w:lang w:val="en-GB"/>
        </w:rPr>
        <w:t xml:space="preserve"> with an elemental composition similar to lignite (HC lignite) did not reveal any significant phytotoxicity effect on </w:t>
      </w:r>
      <w:r w:rsidR="00A822B5">
        <w:rPr>
          <w:lang w:val="en-GB"/>
        </w:rPr>
        <w:t xml:space="preserve">the </w:t>
      </w:r>
      <w:r w:rsidR="00AE6A63" w:rsidRPr="00AE6A63">
        <w:rPr>
          <w:lang w:val="en-GB"/>
        </w:rPr>
        <w:t xml:space="preserve">germination efficiency within 48 h after sowing nor in germination index after 21 days (Figure </w:t>
      </w:r>
      <w:r w:rsidR="00713F17">
        <w:rPr>
          <w:lang w:val="en-GB"/>
        </w:rPr>
        <w:t>3</w:t>
      </w:r>
      <w:proofErr w:type="gramStart"/>
      <w:r w:rsidR="00AE6A63" w:rsidRPr="00AE6A63">
        <w:rPr>
          <w:lang w:val="en-GB"/>
        </w:rPr>
        <w:t>a,b</w:t>
      </w:r>
      <w:proofErr w:type="gramEnd"/>
      <w:r w:rsidR="00AE6A63" w:rsidRPr="00AE6A63">
        <w:rPr>
          <w:lang w:val="en-GB"/>
        </w:rPr>
        <w:t>)</w:t>
      </w:r>
      <w:r w:rsidR="00425B79">
        <w:rPr>
          <w:lang w:val="en-GB"/>
        </w:rPr>
        <w:t>, thus suggest</w:t>
      </w:r>
      <w:r>
        <w:rPr>
          <w:lang w:val="en-GB"/>
        </w:rPr>
        <w:t>ing</w:t>
      </w:r>
      <w:r w:rsidR="00425B79">
        <w:rPr>
          <w:lang w:val="en-GB"/>
        </w:rPr>
        <w:t xml:space="preserve"> that HC lignite ha</w:t>
      </w:r>
      <w:r w:rsidR="00A822B5">
        <w:rPr>
          <w:lang w:val="en-GB"/>
        </w:rPr>
        <w:t>s</w:t>
      </w:r>
      <w:r w:rsidR="00425B79">
        <w:rPr>
          <w:lang w:val="en-GB"/>
        </w:rPr>
        <w:t xml:space="preserve"> low content in </w:t>
      </w:r>
      <w:r>
        <w:rPr>
          <w:lang w:val="en-GB"/>
        </w:rPr>
        <w:t>phytotoxic compounds</w:t>
      </w:r>
      <w:r w:rsidR="00AE6A63" w:rsidRPr="00AE6A63">
        <w:rPr>
          <w:lang w:val="en-GB"/>
        </w:rPr>
        <w:t>.</w:t>
      </w:r>
      <w:r w:rsidR="0046545F">
        <w:rPr>
          <w:lang w:val="en-GB"/>
        </w:rPr>
        <w:t xml:space="preserve"> Moreover</w:t>
      </w:r>
      <w:r w:rsidR="007B00BE">
        <w:rPr>
          <w:lang w:val="en-GB"/>
        </w:rPr>
        <w:t>,</w:t>
      </w:r>
      <w:r w:rsidR="0046545F">
        <w:rPr>
          <w:lang w:val="en-GB"/>
        </w:rPr>
        <w:t xml:space="preserve"> </w:t>
      </w:r>
      <w:proofErr w:type="spellStart"/>
      <w:r w:rsidR="007B00BE">
        <w:rPr>
          <w:lang w:val="en-GB"/>
        </w:rPr>
        <w:t>Luutu</w:t>
      </w:r>
      <w:proofErr w:type="spellEnd"/>
      <w:r w:rsidR="007B00BE">
        <w:rPr>
          <w:lang w:val="en-GB"/>
        </w:rPr>
        <w:t xml:space="preserve"> et al. (2023)</w:t>
      </w:r>
      <w:r w:rsidR="0046545F">
        <w:rPr>
          <w:lang w:val="en-GB"/>
        </w:rPr>
        <w:t xml:space="preserve"> reported that </w:t>
      </w:r>
      <w:r w:rsidR="00A822B5">
        <w:rPr>
          <w:lang w:val="en-GB"/>
        </w:rPr>
        <w:t xml:space="preserve">a product from </w:t>
      </w:r>
      <w:r w:rsidR="0046545F">
        <w:rPr>
          <w:lang w:val="en-GB"/>
        </w:rPr>
        <w:t>high</w:t>
      </w:r>
      <w:r w:rsidR="00A822B5">
        <w:rPr>
          <w:lang w:val="en-GB"/>
        </w:rPr>
        <w:t xml:space="preserve">-temperature </w:t>
      </w:r>
      <w:r w:rsidR="0046545F">
        <w:rPr>
          <w:lang w:val="en-GB"/>
        </w:rPr>
        <w:t>HTC (260 °C) has no effect on seedlings emergence</w:t>
      </w:r>
      <w:r w:rsidR="00391E63">
        <w:rPr>
          <w:lang w:val="en-GB"/>
        </w:rPr>
        <w:t>.</w:t>
      </w:r>
      <w:r w:rsidR="0087159A">
        <w:rPr>
          <w:lang w:val="en-GB"/>
        </w:rPr>
        <w:t xml:space="preserve"> </w:t>
      </w:r>
      <w:r w:rsidR="0087159A" w:rsidRPr="00AE6A63">
        <w:rPr>
          <w:lang w:val="en-GB"/>
        </w:rPr>
        <w:t xml:space="preserve">Despite data on germination index on HC peat were not available, </w:t>
      </w:r>
      <w:r w:rsidR="0087159A">
        <w:rPr>
          <w:lang w:val="en-GB"/>
        </w:rPr>
        <w:t xml:space="preserve">the </w:t>
      </w:r>
      <w:r w:rsidR="0087159A" w:rsidRPr="00AE6A63">
        <w:rPr>
          <w:lang w:val="en-GB"/>
        </w:rPr>
        <w:t xml:space="preserve">growth index revealed a possible phytotoxicity after </w:t>
      </w:r>
      <w:r w:rsidR="0087159A">
        <w:rPr>
          <w:lang w:val="en-GB"/>
        </w:rPr>
        <w:t xml:space="preserve">chronic </w:t>
      </w:r>
      <w:r w:rsidR="0087159A" w:rsidRPr="00AE6A63">
        <w:rPr>
          <w:lang w:val="en-GB"/>
        </w:rPr>
        <w:t xml:space="preserve">seedlings exposure (Figure </w:t>
      </w:r>
      <w:r w:rsidR="0087159A">
        <w:rPr>
          <w:lang w:val="en-GB"/>
        </w:rPr>
        <w:t>3</w:t>
      </w:r>
      <w:r w:rsidR="0087159A" w:rsidRPr="00AE6A63">
        <w:rPr>
          <w:lang w:val="en-GB"/>
        </w:rPr>
        <w:t>b).</w:t>
      </w:r>
    </w:p>
    <w:p w14:paraId="1CC2B91F" w14:textId="466F625F" w:rsidR="00B22486" w:rsidRDefault="00DE0722" w:rsidP="00F422B5">
      <w:pPr>
        <w:pStyle w:val="CETCaption"/>
        <w:spacing w:before="40" w:after="0"/>
      </w:pPr>
      <w:r>
        <w:object w:dxaOrig="11265" w:dyaOrig="6754" w14:anchorId="0BBAE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75pt;height:160.4pt" o:ole="">
            <v:imagedata r:id="rId12" o:title="" croptop="4401f" cropbottom="4401f"/>
          </v:shape>
          <o:OLEObject Type="Embed" ProgID="Prism8.Document" ShapeID="_x0000_i1025" DrawAspect="Content" ObjectID="_1773238848" r:id="rId13"/>
        </w:object>
      </w:r>
    </w:p>
    <w:p w14:paraId="75448977" w14:textId="5CB1195E" w:rsidR="00B22486" w:rsidRDefault="00B22486" w:rsidP="00706D0E">
      <w:pPr>
        <w:pStyle w:val="CETCaption"/>
        <w:spacing w:before="120"/>
        <w:rPr>
          <w:lang w:val="en-US"/>
        </w:rPr>
      </w:pPr>
      <w:r w:rsidRPr="0087419C">
        <w:rPr>
          <w:lang w:val="en-US"/>
        </w:rPr>
        <w:t xml:space="preserve">Figure </w:t>
      </w:r>
      <w:r>
        <w:rPr>
          <w:lang w:val="en-US"/>
        </w:rPr>
        <w:t>3:</w:t>
      </w:r>
      <w:r w:rsidRPr="0087419C">
        <w:rPr>
          <w:lang w:val="en-US"/>
        </w:rPr>
        <w:t xml:space="preserve"> Gemination index (I</w:t>
      </w:r>
      <w:r w:rsidRPr="000D54C3">
        <w:rPr>
          <w:vertAlign w:val="subscript"/>
          <w:lang w:val="en-US"/>
        </w:rPr>
        <w:t>g</w:t>
      </w:r>
      <w:r>
        <w:rPr>
          <w:lang w:val="en-US"/>
        </w:rPr>
        <w:t xml:space="preserve">; </w:t>
      </w:r>
      <w:r w:rsidRPr="00437626">
        <w:rPr>
          <w:iCs/>
          <w:lang w:val="en-US"/>
        </w:rPr>
        <w:t>a</w:t>
      </w:r>
      <w:r w:rsidRPr="0087419C">
        <w:rPr>
          <w:lang w:val="en-US"/>
        </w:rPr>
        <w:t xml:space="preserve">) of </w:t>
      </w:r>
      <w:r w:rsidRPr="00852AEA">
        <w:rPr>
          <w:i w:val="0"/>
          <w:iCs/>
          <w:lang w:val="en-US"/>
        </w:rPr>
        <w:t>Lepidium sativum</w:t>
      </w:r>
      <w:r w:rsidRPr="0087419C">
        <w:rPr>
          <w:lang w:val="en-US"/>
        </w:rPr>
        <w:t xml:space="preserve"> </w:t>
      </w:r>
      <w:r>
        <w:rPr>
          <w:lang w:val="en-US"/>
        </w:rPr>
        <w:t>in control</w:t>
      </w:r>
      <w:r w:rsidRPr="0087419C">
        <w:rPr>
          <w:lang w:val="en-US"/>
        </w:rPr>
        <w:t xml:space="preserve"> (CTRL) </w:t>
      </w:r>
      <w:r>
        <w:rPr>
          <w:lang w:val="en-US"/>
        </w:rPr>
        <w:t xml:space="preserve">or treated with water extract of </w:t>
      </w:r>
      <w:proofErr w:type="spellStart"/>
      <w:r w:rsidRPr="004E51EE">
        <w:rPr>
          <w:lang w:val="en-US"/>
        </w:rPr>
        <w:t>hydrochar</w:t>
      </w:r>
      <w:proofErr w:type="spellEnd"/>
      <w:r>
        <w:rPr>
          <w:lang w:val="en-US"/>
        </w:rPr>
        <w:t xml:space="preserve"> </w:t>
      </w:r>
      <w:r w:rsidRPr="004E51EE">
        <w:rPr>
          <w:lang w:val="en-US"/>
        </w:rPr>
        <w:t xml:space="preserve">with </w:t>
      </w:r>
      <w:r>
        <w:rPr>
          <w:lang w:val="en-US"/>
        </w:rPr>
        <w:t xml:space="preserve">an </w:t>
      </w:r>
      <w:r w:rsidRPr="004E51EE">
        <w:rPr>
          <w:lang w:val="en-US"/>
        </w:rPr>
        <w:t xml:space="preserve">elemental composition similar to </w:t>
      </w:r>
      <w:r>
        <w:rPr>
          <w:lang w:val="en-US"/>
        </w:rPr>
        <w:t>lignite</w:t>
      </w:r>
      <w:r w:rsidRPr="004E51EE">
        <w:rPr>
          <w:lang w:val="en-US"/>
        </w:rPr>
        <w:t xml:space="preserve"> (HC </w:t>
      </w:r>
      <w:r>
        <w:rPr>
          <w:lang w:val="en-US"/>
        </w:rPr>
        <w:t>lignite</w:t>
      </w:r>
      <w:r w:rsidRPr="004E51EE">
        <w:rPr>
          <w:lang w:val="en-US"/>
        </w:rPr>
        <w:t>)</w:t>
      </w:r>
      <w:r>
        <w:rPr>
          <w:lang w:val="en-US"/>
        </w:rPr>
        <w:t>. Means (n =3</w:t>
      </w:r>
      <w:r w:rsidRPr="00345FFB">
        <w:rPr>
          <w:lang w:val="en-US"/>
        </w:rPr>
        <w:t xml:space="preserve"> ± SD</w:t>
      </w:r>
      <w:r>
        <w:rPr>
          <w:lang w:val="en-US"/>
        </w:rPr>
        <w:t>)</w:t>
      </w:r>
      <w:r w:rsidRPr="00FC6C42">
        <w:rPr>
          <w:lang w:val="en-US"/>
        </w:rPr>
        <w:t xml:space="preserve"> </w:t>
      </w:r>
      <w:r w:rsidRPr="00345FFB">
        <w:rPr>
          <w:lang w:val="en-US"/>
        </w:rPr>
        <w:t xml:space="preserve">were subjected to </w:t>
      </w:r>
      <w:r>
        <w:rPr>
          <w:lang w:val="en-US"/>
        </w:rPr>
        <w:t xml:space="preserve">an </w:t>
      </w:r>
      <w:r w:rsidRPr="00FE09DB">
        <w:rPr>
          <w:lang w:val="en-US"/>
        </w:rPr>
        <w:t>unpaired t-test</w:t>
      </w:r>
      <w:r>
        <w:rPr>
          <w:lang w:val="en-US"/>
        </w:rPr>
        <w:t>. ns, non-significative difference. G</w:t>
      </w:r>
      <w:r w:rsidRPr="00437626">
        <w:rPr>
          <w:lang w:val="en-US"/>
        </w:rPr>
        <w:t>rowth index (G</w:t>
      </w:r>
      <w:r w:rsidRPr="00437626">
        <w:rPr>
          <w:vertAlign w:val="subscript"/>
          <w:lang w:val="en-US"/>
        </w:rPr>
        <w:t>m</w:t>
      </w:r>
      <w:r>
        <w:rPr>
          <w:lang w:val="en-US"/>
        </w:rPr>
        <w:t xml:space="preserve">; </w:t>
      </w:r>
      <w:r w:rsidRPr="00437626">
        <w:rPr>
          <w:iCs/>
          <w:lang w:val="en-US"/>
        </w:rPr>
        <w:t>b</w:t>
      </w:r>
      <w:r w:rsidRPr="00437626">
        <w:rPr>
          <w:lang w:val="en-US"/>
        </w:rPr>
        <w:t>)</w:t>
      </w:r>
      <w:r w:rsidRPr="0087419C">
        <w:rPr>
          <w:lang w:val="en-US"/>
        </w:rPr>
        <w:t xml:space="preserve"> of </w:t>
      </w:r>
      <w:r w:rsidRPr="00852AEA">
        <w:rPr>
          <w:i w:val="0"/>
          <w:iCs/>
          <w:lang w:val="en-US"/>
        </w:rPr>
        <w:t>Lepidium sativum</w:t>
      </w:r>
      <w:r w:rsidRPr="0087419C">
        <w:rPr>
          <w:lang w:val="en-US"/>
        </w:rPr>
        <w:t xml:space="preserve"> </w:t>
      </w:r>
      <w:r>
        <w:rPr>
          <w:lang w:val="en-US"/>
        </w:rPr>
        <w:t>in control</w:t>
      </w:r>
      <w:r w:rsidRPr="0087419C">
        <w:rPr>
          <w:lang w:val="en-US"/>
        </w:rPr>
        <w:t xml:space="preserve"> (CTRL) </w:t>
      </w:r>
      <w:r>
        <w:rPr>
          <w:lang w:val="en-US"/>
        </w:rPr>
        <w:t xml:space="preserve">condition </w:t>
      </w:r>
      <w:r w:rsidRPr="0087419C">
        <w:rPr>
          <w:lang w:val="en-US"/>
        </w:rPr>
        <w:t xml:space="preserve">and </w:t>
      </w:r>
      <w:r>
        <w:rPr>
          <w:lang w:val="en-US"/>
        </w:rPr>
        <w:t>after treatment</w:t>
      </w:r>
      <w:r w:rsidRPr="0087419C">
        <w:rPr>
          <w:lang w:val="en-US"/>
        </w:rPr>
        <w:t xml:space="preserve"> with </w:t>
      </w:r>
      <w:proofErr w:type="spellStart"/>
      <w:r w:rsidRPr="004E51EE">
        <w:rPr>
          <w:lang w:val="en-US"/>
        </w:rPr>
        <w:t>hydrochar</w:t>
      </w:r>
      <w:r>
        <w:rPr>
          <w:lang w:val="en-US"/>
        </w:rPr>
        <w:t>s</w:t>
      </w:r>
      <w:proofErr w:type="spellEnd"/>
      <w:r w:rsidRPr="004E51EE">
        <w:rPr>
          <w:lang w:val="en-US"/>
        </w:rPr>
        <w:t xml:space="preserve"> with elemental composition similar to lignite (HC lignite</w:t>
      </w:r>
      <w:r>
        <w:rPr>
          <w:lang w:val="en-US"/>
        </w:rPr>
        <w:t>)</w:t>
      </w:r>
      <w:r w:rsidRPr="00AE309B">
        <w:rPr>
          <w:lang w:val="en-US"/>
        </w:rPr>
        <w:t xml:space="preserve"> </w:t>
      </w:r>
      <w:r>
        <w:rPr>
          <w:lang w:val="en-US"/>
        </w:rPr>
        <w:t xml:space="preserve">or </w:t>
      </w:r>
      <w:r w:rsidRPr="004E51EE">
        <w:rPr>
          <w:lang w:val="en-US"/>
        </w:rPr>
        <w:t>peat (HC peat)</w:t>
      </w:r>
      <w:r w:rsidRPr="0087419C">
        <w:rPr>
          <w:lang w:val="en-US"/>
        </w:rPr>
        <w:t>.</w:t>
      </w:r>
      <w:r>
        <w:rPr>
          <w:lang w:val="en-US"/>
        </w:rPr>
        <w:t xml:space="preserve"> Means (n =5</w:t>
      </w:r>
      <w:r w:rsidRPr="00345FFB">
        <w:rPr>
          <w:lang w:val="en-US"/>
        </w:rPr>
        <w:t xml:space="preserve"> ± SD</w:t>
      </w:r>
      <w:r>
        <w:rPr>
          <w:lang w:val="en-US"/>
        </w:rPr>
        <w:t>)</w:t>
      </w:r>
      <w:r w:rsidRPr="00FC6C42">
        <w:rPr>
          <w:lang w:val="en-US"/>
        </w:rPr>
        <w:t xml:space="preserve"> </w:t>
      </w:r>
      <w:r w:rsidRPr="00345FFB">
        <w:rPr>
          <w:lang w:val="en-US"/>
        </w:rPr>
        <w:t xml:space="preserve">were subjected to </w:t>
      </w:r>
      <w:r w:rsidRPr="00200286">
        <w:rPr>
          <w:lang w:val="en-US"/>
        </w:rPr>
        <w:t xml:space="preserve">a non-parametric Kruskal-Wallis test and significant differences among treatments were determined by Dunn's multiple comparisons </w:t>
      </w:r>
      <w:r w:rsidRPr="00386095">
        <w:rPr>
          <w:iCs/>
          <w:lang w:val="en-US"/>
        </w:rPr>
        <w:t>post-hoc</w:t>
      </w:r>
      <w:r>
        <w:rPr>
          <w:lang w:val="en-US"/>
        </w:rPr>
        <w:t xml:space="preserve"> </w:t>
      </w:r>
      <w:r w:rsidRPr="00200286">
        <w:rPr>
          <w:lang w:val="en-US"/>
        </w:rPr>
        <w:t>test (</w:t>
      </w:r>
      <w:r>
        <w:rPr>
          <w:iCs/>
          <w:lang w:val="en-US"/>
        </w:rPr>
        <w:t>p</w:t>
      </w:r>
      <w:r w:rsidRPr="00200286">
        <w:rPr>
          <w:lang w:val="en-US"/>
        </w:rPr>
        <w:t xml:space="preserve"> ≤ 0.05)</w:t>
      </w:r>
      <w:r>
        <w:rPr>
          <w:lang w:val="en-US"/>
        </w:rPr>
        <w:t xml:space="preserve"> and indicated with different letters</w:t>
      </w:r>
      <w:r w:rsidRPr="00200286">
        <w:rPr>
          <w:lang w:val="en-US"/>
        </w:rPr>
        <w:t>.</w:t>
      </w:r>
    </w:p>
    <w:p w14:paraId="235E53E9" w14:textId="583FAAC5" w:rsidR="00B30436" w:rsidRDefault="00B30436" w:rsidP="00B30436">
      <w:pPr>
        <w:pStyle w:val="CETBodytext"/>
        <w:rPr>
          <w:lang w:val="en-GB"/>
        </w:rPr>
      </w:pPr>
      <w:r>
        <w:rPr>
          <w:lang w:val="en-GB"/>
        </w:rPr>
        <w:lastRenderedPageBreak/>
        <w:t>These results contrast with previous experiment</w:t>
      </w:r>
      <w:r w:rsidR="00F422B5">
        <w:rPr>
          <w:lang w:val="en-GB"/>
        </w:rPr>
        <w:t>s</w:t>
      </w:r>
      <w:r>
        <w:rPr>
          <w:lang w:val="en-GB"/>
        </w:rPr>
        <w:t xml:space="preserve"> which evidenced that higher HTC temperatures are most likely to increase its phytotoxic compound content (Celletti et al., 2021; </w:t>
      </w:r>
      <w:proofErr w:type="spellStart"/>
      <w:r>
        <w:rPr>
          <w:lang w:val="en-GB"/>
        </w:rPr>
        <w:t>Luutu</w:t>
      </w:r>
      <w:proofErr w:type="spellEnd"/>
      <w:r>
        <w:rPr>
          <w:lang w:val="en-GB"/>
        </w:rPr>
        <w:t xml:space="preserve"> et al., 2023). Anyway, these tests represent only a preliminary screening to disentangle </w:t>
      </w:r>
      <w:r w:rsidR="00A1517C">
        <w:rPr>
          <w:lang w:val="en-GB"/>
        </w:rPr>
        <w:t xml:space="preserve">the </w:t>
      </w:r>
      <w:r>
        <w:rPr>
          <w:lang w:val="en-GB"/>
        </w:rPr>
        <w:t xml:space="preserve">possible phytotoxicity of </w:t>
      </w:r>
      <w:proofErr w:type="spellStart"/>
      <w:r>
        <w:rPr>
          <w:lang w:val="en-GB"/>
        </w:rPr>
        <w:t>hydrochar</w:t>
      </w:r>
      <w:proofErr w:type="spellEnd"/>
      <w:r>
        <w:rPr>
          <w:lang w:val="en-GB"/>
        </w:rPr>
        <w:t xml:space="preserve"> obtained from </w:t>
      </w:r>
      <w:r w:rsidRPr="00FC6E59">
        <w:rPr>
          <w:i/>
          <w:iCs/>
          <w:lang w:val="en-GB"/>
        </w:rPr>
        <w:t>M. aquaticum</w:t>
      </w:r>
      <w:r>
        <w:rPr>
          <w:lang w:val="en-GB"/>
        </w:rPr>
        <w:t xml:space="preserve"> and further agronomic studies must be performed.</w:t>
      </w:r>
    </w:p>
    <w:p w14:paraId="13F1D321" w14:textId="77777777" w:rsidR="00BF48CF" w:rsidRPr="00B57B36" w:rsidRDefault="00BF48CF" w:rsidP="00BF48CF">
      <w:pPr>
        <w:pStyle w:val="CETHeading1"/>
        <w:rPr>
          <w:lang w:val="en-GB"/>
        </w:rPr>
      </w:pPr>
      <w:r w:rsidRPr="00B57B36">
        <w:rPr>
          <w:lang w:val="en-GB"/>
        </w:rPr>
        <w:t>Conclusions</w:t>
      </w:r>
    </w:p>
    <w:p w14:paraId="1E112CD6" w14:textId="75365FBC" w:rsidR="00BF48CF" w:rsidRDefault="00095BD3" w:rsidP="00600535">
      <w:pPr>
        <w:pStyle w:val="CETBodytext"/>
        <w:rPr>
          <w:lang w:val="en-GB"/>
        </w:rPr>
      </w:pPr>
      <w:r>
        <w:rPr>
          <w:lang w:val="en-GB"/>
        </w:rPr>
        <w:t>R</w:t>
      </w:r>
      <w:r w:rsidR="005D4277">
        <w:rPr>
          <w:lang w:val="en-GB"/>
        </w:rPr>
        <w:t>esults of the present study</w:t>
      </w:r>
      <w:r w:rsidR="00BF48CF" w:rsidRPr="005D4277">
        <w:rPr>
          <w:lang w:val="en-GB"/>
        </w:rPr>
        <w:t xml:space="preserve"> offer the clear evidence that HTC </w:t>
      </w:r>
      <w:r w:rsidR="005D4277">
        <w:rPr>
          <w:lang w:val="en-GB"/>
        </w:rPr>
        <w:t>of</w:t>
      </w:r>
      <w:r w:rsidR="00BF48CF" w:rsidRPr="005D4277">
        <w:rPr>
          <w:lang w:val="en-GB"/>
        </w:rPr>
        <w:t xml:space="preserve"> </w:t>
      </w:r>
      <w:r w:rsidR="00BF48CF" w:rsidRPr="005D4277">
        <w:rPr>
          <w:i/>
          <w:iCs/>
          <w:lang w:val="en-GB"/>
        </w:rPr>
        <w:t>M. aquaticum</w:t>
      </w:r>
      <w:r w:rsidR="00BF48CF" w:rsidRPr="005D4277">
        <w:rPr>
          <w:lang w:val="en-GB"/>
        </w:rPr>
        <w:t xml:space="preserve"> can be a win-win strategy to a wise and sustainable reuse of this biomass derived from an alien invasive species</w:t>
      </w:r>
      <w:r w:rsidR="00A1517C">
        <w:rPr>
          <w:lang w:val="en-GB"/>
        </w:rPr>
        <w:t>,</w:t>
      </w:r>
      <w:r w:rsidR="00BF48CF" w:rsidRPr="005D4277">
        <w:rPr>
          <w:lang w:val="en-GB"/>
        </w:rPr>
        <w:t xml:space="preserve"> allowing to produce a product (</w:t>
      </w:r>
      <w:proofErr w:type="spellStart"/>
      <w:r w:rsidR="005D4277">
        <w:rPr>
          <w:lang w:val="en-GB"/>
        </w:rPr>
        <w:t>hydrochar</w:t>
      </w:r>
      <w:proofErr w:type="spellEnd"/>
      <w:r w:rsidR="00BF48CF" w:rsidRPr="005D4277">
        <w:rPr>
          <w:lang w:val="en-GB"/>
        </w:rPr>
        <w:t>) which can be proficiently used as a substrate for plant cultivatio</w:t>
      </w:r>
      <w:r w:rsidR="00771BDB">
        <w:rPr>
          <w:lang w:val="en-GB"/>
        </w:rPr>
        <w:t xml:space="preserve">n. </w:t>
      </w:r>
      <w:r w:rsidR="005D4277" w:rsidRPr="005D4277">
        <w:rPr>
          <w:lang w:val="en-GB"/>
        </w:rPr>
        <w:t xml:space="preserve">Further investigation is recommended, as the produced </w:t>
      </w:r>
      <w:proofErr w:type="spellStart"/>
      <w:r w:rsidR="005D4277" w:rsidRPr="005D4277">
        <w:rPr>
          <w:lang w:val="en-GB"/>
        </w:rPr>
        <w:t>hydrochar</w:t>
      </w:r>
      <w:proofErr w:type="spellEnd"/>
      <w:r w:rsidR="005D4277" w:rsidRPr="005D4277">
        <w:rPr>
          <w:lang w:val="en-GB"/>
        </w:rPr>
        <w:t xml:space="preserve"> offer</w:t>
      </w:r>
      <w:r w:rsidR="00771BDB">
        <w:rPr>
          <w:lang w:val="en-GB"/>
        </w:rPr>
        <w:t>s</w:t>
      </w:r>
      <w:r w:rsidR="005D4277" w:rsidRPr="005D4277">
        <w:rPr>
          <w:lang w:val="en-GB"/>
        </w:rPr>
        <w:t xml:space="preserve"> promising potential for agronomic applications.</w:t>
      </w:r>
    </w:p>
    <w:p w14:paraId="4816E41F" w14:textId="77777777" w:rsidR="00BE1F2F" w:rsidRPr="00B57B36" w:rsidRDefault="00BE1F2F" w:rsidP="00BE1F2F">
      <w:pPr>
        <w:pStyle w:val="CETAcknowledgementstitle"/>
      </w:pPr>
      <w:r w:rsidRPr="00B57B36">
        <w:t>Acknowledgments</w:t>
      </w:r>
    </w:p>
    <w:p w14:paraId="313A5640" w14:textId="77777777" w:rsidR="00BE1F2F" w:rsidRPr="00B57B36" w:rsidRDefault="00BE1F2F" w:rsidP="00BE1F2F">
      <w:pPr>
        <w:pStyle w:val="CETBodytext"/>
        <w:rPr>
          <w:lang w:val="en-GB"/>
        </w:rPr>
      </w:pPr>
      <w:r w:rsidRPr="00F277E9">
        <w:rPr>
          <w:lang w:val="en-GB"/>
        </w:rPr>
        <w:t>The study has been funded under the National Recovery and Resilience Plan (NRRP), Mission 4</w:t>
      </w:r>
      <w:r>
        <w:rPr>
          <w:lang w:val="en-GB"/>
        </w:rPr>
        <w:t xml:space="preserve"> </w:t>
      </w:r>
      <w:r w:rsidRPr="00F277E9">
        <w:rPr>
          <w:lang w:val="en-GB"/>
        </w:rPr>
        <w:t xml:space="preserve">Component 2 Investment 1.3 - Call for tender No. 1561 of 11.10.2022 of </w:t>
      </w:r>
      <w:proofErr w:type="spellStart"/>
      <w:r w:rsidRPr="00F277E9">
        <w:rPr>
          <w:lang w:val="en-GB"/>
        </w:rPr>
        <w:t>Ministero</w:t>
      </w:r>
      <w:proofErr w:type="spellEnd"/>
      <w:r w:rsidRPr="00F277E9">
        <w:rPr>
          <w:lang w:val="en-GB"/>
        </w:rPr>
        <w:t xml:space="preserve"> </w:t>
      </w:r>
      <w:proofErr w:type="spellStart"/>
      <w:r w:rsidRPr="00F277E9">
        <w:rPr>
          <w:lang w:val="en-GB"/>
        </w:rPr>
        <w:t>dell’Università</w:t>
      </w:r>
      <w:proofErr w:type="spellEnd"/>
      <w:r>
        <w:rPr>
          <w:lang w:val="en-GB"/>
        </w:rPr>
        <w:t xml:space="preserve"> </w:t>
      </w:r>
      <w:r w:rsidRPr="00F277E9">
        <w:rPr>
          <w:lang w:val="en-GB"/>
        </w:rPr>
        <w:t xml:space="preserve">e </w:t>
      </w:r>
      <w:proofErr w:type="spellStart"/>
      <w:r w:rsidRPr="00F277E9">
        <w:rPr>
          <w:lang w:val="en-GB"/>
        </w:rPr>
        <w:t>della</w:t>
      </w:r>
      <w:proofErr w:type="spellEnd"/>
      <w:r w:rsidRPr="00F277E9">
        <w:rPr>
          <w:lang w:val="en-GB"/>
        </w:rPr>
        <w:t xml:space="preserve"> </w:t>
      </w:r>
      <w:proofErr w:type="spellStart"/>
      <w:r w:rsidRPr="00F277E9">
        <w:rPr>
          <w:lang w:val="en-GB"/>
        </w:rPr>
        <w:t>Ricerca</w:t>
      </w:r>
      <w:proofErr w:type="spellEnd"/>
      <w:r w:rsidRPr="00F277E9">
        <w:rPr>
          <w:lang w:val="en-GB"/>
        </w:rPr>
        <w:t xml:space="preserve"> (MUR); funded by the European Union – </w:t>
      </w:r>
      <w:proofErr w:type="spellStart"/>
      <w:r w:rsidRPr="00F277E9">
        <w:rPr>
          <w:lang w:val="en-GB"/>
        </w:rPr>
        <w:t>NextGenerationEU</w:t>
      </w:r>
      <w:proofErr w:type="spellEnd"/>
      <w:r>
        <w:rPr>
          <w:lang w:val="en-GB"/>
        </w:rPr>
        <w:t xml:space="preserve">; </w:t>
      </w:r>
      <w:r w:rsidRPr="00F277E9">
        <w:rPr>
          <w:lang w:val="en-GB"/>
        </w:rPr>
        <w:t>Project code PE0000021, Concession Decree No. 1561 of 11.10.2022 adopted</w:t>
      </w:r>
      <w:r>
        <w:rPr>
          <w:lang w:val="en-GB"/>
        </w:rPr>
        <w:t xml:space="preserve"> </w:t>
      </w:r>
      <w:r w:rsidRPr="00F277E9">
        <w:rPr>
          <w:lang w:val="en-GB"/>
        </w:rPr>
        <w:t xml:space="preserve">by </w:t>
      </w:r>
      <w:proofErr w:type="spellStart"/>
      <w:r w:rsidRPr="00F277E9">
        <w:rPr>
          <w:lang w:val="en-GB"/>
        </w:rPr>
        <w:t>Ministero</w:t>
      </w:r>
      <w:proofErr w:type="spellEnd"/>
      <w:r w:rsidRPr="00F277E9">
        <w:rPr>
          <w:lang w:val="en-GB"/>
        </w:rPr>
        <w:t xml:space="preserve"> </w:t>
      </w:r>
      <w:proofErr w:type="spellStart"/>
      <w:r w:rsidRPr="00F277E9">
        <w:rPr>
          <w:lang w:val="en-GB"/>
        </w:rPr>
        <w:t>dell’Università</w:t>
      </w:r>
      <w:proofErr w:type="spellEnd"/>
      <w:r w:rsidRPr="00F277E9">
        <w:rPr>
          <w:lang w:val="en-GB"/>
        </w:rPr>
        <w:t xml:space="preserve"> e </w:t>
      </w:r>
      <w:proofErr w:type="spellStart"/>
      <w:r w:rsidRPr="00F277E9">
        <w:rPr>
          <w:lang w:val="en-GB"/>
        </w:rPr>
        <w:t>della</w:t>
      </w:r>
      <w:proofErr w:type="spellEnd"/>
      <w:r w:rsidRPr="00F277E9">
        <w:rPr>
          <w:lang w:val="en-GB"/>
        </w:rPr>
        <w:t xml:space="preserve"> </w:t>
      </w:r>
      <w:proofErr w:type="spellStart"/>
      <w:r w:rsidRPr="00F277E9">
        <w:rPr>
          <w:lang w:val="en-GB"/>
        </w:rPr>
        <w:t>Ricerca</w:t>
      </w:r>
      <w:proofErr w:type="spellEnd"/>
      <w:r w:rsidRPr="00F277E9">
        <w:rPr>
          <w:lang w:val="en-GB"/>
        </w:rPr>
        <w:t xml:space="preserve"> (MUR), CUP </w:t>
      </w:r>
      <w:r w:rsidRPr="005326E0">
        <w:rPr>
          <w:lang w:val="en-GB"/>
        </w:rPr>
        <w:t>I53C22001450006</w:t>
      </w:r>
      <w:r w:rsidRPr="00F277E9">
        <w:rPr>
          <w:lang w:val="en-GB"/>
        </w:rPr>
        <w:t>, Project title “Network 4 Energy</w:t>
      </w:r>
      <w:r>
        <w:rPr>
          <w:lang w:val="en-GB"/>
        </w:rPr>
        <w:t xml:space="preserve"> </w:t>
      </w:r>
      <w:r w:rsidRPr="00F277E9">
        <w:rPr>
          <w:lang w:val="en-GB"/>
        </w:rPr>
        <w:t>Sustainable Transition – NEST”</w:t>
      </w:r>
      <w:r>
        <w:rPr>
          <w:lang w:val="en-GB"/>
        </w:rPr>
        <w:t>.</w:t>
      </w:r>
    </w:p>
    <w:p w14:paraId="4F1327F8" w14:textId="77777777" w:rsidR="00600535" w:rsidRPr="009F3D31" w:rsidRDefault="00600535" w:rsidP="00600535">
      <w:pPr>
        <w:pStyle w:val="CETReference"/>
      </w:pPr>
      <w:r w:rsidRPr="009F3D31">
        <w:t>References</w:t>
      </w:r>
    </w:p>
    <w:p w14:paraId="63F51662" w14:textId="3FA9B5CE" w:rsidR="002F1D5E" w:rsidRPr="002E450B" w:rsidRDefault="002F1D5E" w:rsidP="002F1D5E">
      <w:pPr>
        <w:pStyle w:val="CETReferencetext"/>
        <w:rPr>
          <w:lang w:val="en-US"/>
        </w:rPr>
      </w:pPr>
      <w:r w:rsidRPr="00E013A5">
        <w:t xml:space="preserve">APAT (Italian Environmental Agency), 2003. </w:t>
      </w:r>
      <w:r w:rsidRPr="002E450B">
        <w:rPr>
          <w:lang w:val="it-IT"/>
        </w:rPr>
        <w:t xml:space="preserve">Metodi microbiologici di analisi del compost. </w:t>
      </w:r>
      <w:hyperlink r:id="rId14" w:history="1">
        <w:r w:rsidRPr="002E450B">
          <w:rPr>
            <w:lang w:val="en-US"/>
          </w:rPr>
          <w:t>www.isprambiente.gov.it/contentfiles/00003500/3544-manuali-2003-20.pdf/</w:t>
        </w:r>
      </w:hyperlink>
    </w:p>
    <w:p w14:paraId="2AAE6DC7" w14:textId="29FB988F" w:rsidR="00293946" w:rsidRPr="002E450B" w:rsidRDefault="00293946" w:rsidP="00293946">
      <w:pPr>
        <w:pStyle w:val="CETReferencetext"/>
        <w:rPr>
          <w:lang w:val="en-US"/>
        </w:rPr>
      </w:pPr>
      <w:r w:rsidRPr="002E450B">
        <w:rPr>
          <w:lang w:val="en-US"/>
        </w:rPr>
        <w:t xml:space="preserve">Bargmann I., </w:t>
      </w:r>
      <w:proofErr w:type="spellStart"/>
      <w:r w:rsidRPr="002E450B">
        <w:rPr>
          <w:lang w:val="en-US"/>
        </w:rPr>
        <w:t>Rillig</w:t>
      </w:r>
      <w:proofErr w:type="spellEnd"/>
      <w:r w:rsidRPr="002E450B">
        <w:rPr>
          <w:lang w:val="en-US"/>
        </w:rPr>
        <w:t xml:space="preserve"> M.C., Buss</w:t>
      </w:r>
      <w:r w:rsidR="00F422B5">
        <w:rPr>
          <w:lang w:val="en-US"/>
        </w:rPr>
        <w:t xml:space="preserve"> </w:t>
      </w:r>
      <w:r w:rsidRPr="002E450B">
        <w:rPr>
          <w:lang w:val="en-US"/>
        </w:rPr>
        <w:t>W., Kruse</w:t>
      </w:r>
      <w:r w:rsidR="004E0BDD">
        <w:rPr>
          <w:lang w:val="en-US"/>
        </w:rPr>
        <w:t xml:space="preserve"> </w:t>
      </w:r>
      <w:r w:rsidRPr="002E450B">
        <w:rPr>
          <w:lang w:val="en-US"/>
        </w:rPr>
        <w:t xml:space="preserve">A., </w:t>
      </w:r>
      <w:proofErr w:type="spellStart"/>
      <w:r w:rsidRPr="002E450B">
        <w:rPr>
          <w:lang w:val="en-US"/>
        </w:rPr>
        <w:t>Kuecke</w:t>
      </w:r>
      <w:proofErr w:type="spellEnd"/>
      <w:r w:rsidRPr="002E450B">
        <w:rPr>
          <w:lang w:val="en-US"/>
        </w:rPr>
        <w:t>, M.</w:t>
      </w:r>
      <w:r>
        <w:rPr>
          <w:lang w:val="en-US"/>
        </w:rPr>
        <w:t xml:space="preserve">, </w:t>
      </w:r>
      <w:r w:rsidRPr="002E450B">
        <w:rPr>
          <w:lang w:val="en-US"/>
        </w:rPr>
        <w:t>2013</w:t>
      </w:r>
      <w:r>
        <w:rPr>
          <w:lang w:val="en-US"/>
        </w:rPr>
        <w:t>,</w:t>
      </w:r>
      <w:r w:rsidRPr="002E450B">
        <w:rPr>
          <w:lang w:val="en-US"/>
        </w:rPr>
        <w:t xml:space="preserve"> </w:t>
      </w:r>
      <w:proofErr w:type="spellStart"/>
      <w:r w:rsidRPr="002E450B">
        <w:rPr>
          <w:lang w:val="en-US"/>
        </w:rPr>
        <w:t>Hydrochar</w:t>
      </w:r>
      <w:proofErr w:type="spellEnd"/>
      <w:r w:rsidRPr="002E450B">
        <w:rPr>
          <w:lang w:val="en-US"/>
        </w:rPr>
        <w:t xml:space="preserve"> and biochar effects on germination of spring barley</w:t>
      </w:r>
      <w:r w:rsidR="004E0BDD">
        <w:rPr>
          <w:lang w:val="en-US"/>
        </w:rPr>
        <w:t>,</w:t>
      </w:r>
      <w:r w:rsidR="004E0BDD" w:rsidRPr="002E450B">
        <w:rPr>
          <w:lang w:val="en-US"/>
        </w:rPr>
        <w:t xml:space="preserve"> </w:t>
      </w:r>
      <w:r w:rsidRPr="002E450B">
        <w:rPr>
          <w:lang w:val="en-US"/>
        </w:rPr>
        <w:t>Journal of agronomy and crop science, 199, 360-373.</w:t>
      </w:r>
    </w:p>
    <w:p w14:paraId="320D4C1C" w14:textId="77777777" w:rsidR="00E7094F" w:rsidRDefault="00E7094F" w:rsidP="00E7094F">
      <w:pPr>
        <w:pStyle w:val="CETReferencetext"/>
      </w:pPr>
      <w:r>
        <w:t xml:space="preserve">Barontini F., Vitolo S., Gori R., Trivelli L., Puccini M., 2023, The Hydrothermal Carbonization Process for Waste Valorisation: </w:t>
      </w:r>
      <w:proofErr w:type="gramStart"/>
      <w:r>
        <w:t>a</w:t>
      </w:r>
      <w:proofErr w:type="gramEnd"/>
      <w:r>
        <w:t xml:space="preserve"> Study on the Effect of Process Conditions on the Yield and Properties of </w:t>
      </w:r>
      <w:proofErr w:type="spellStart"/>
      <w:r>
        <w:t>Hydrochars</w:t>
      </w:r>
      <w:proofErr w:type="spellEnd"/>
      <w:r>
        <w:t xml:space="preserve"> from Municipal Solid Waste, Chemical Engineering Transactions, 99, 181-186.</w:t>
      </w:r>
    </w:p>
    <w:p w14:paraId="432D92CE" w14:textId="685BBB52" w:rsidR="00E7094F" w:rsidRPr="00C141C7" w:rsidRDefault="00E7094F" w:rsidP="00E7094F">
      <w:pPr>
        <w:pStyle w:val="CETReferencetext"/>
      </w:pPr>
      <w:proofErr w:type="spellStart"/>
      <w:r w:rsidRPr="00AD0216">
        <w:t>Cavali</w:t>
      </w:r>
      <w:proofErr w:type="spellEnd"/>
      <w:r w:rsidRPr="00AD0216">
        <w:t xml:space="preserve"> M., Libardi J</w:t>
      </w:r>
      <w:r w:rsidR="003F515F">
        <w:t>.</w:t>
      </w:r>
      <w:r w:rsidRPr="00AD0216">
        <w:t xml:space="preserve">N., Dutra de Sena J., </w:t>
      </w:r>
      <w:proofErr w:type="spellStart"/>
      <w:r w:rsidRPr="00AD0216">
        <w:t>Woiciechowski</w:t>
      </w:r>
      <w:proofErr w:type="spellEnd"/>
      <w:r w:rsidRPr="00AD0216">
        <w:t xml:space="preserve"> A.L., </w:t>
      </w:r>
      <w:proofErr w:type="spellStart"/>
      <w:r w:rsidRPr="00AD0216">
        <w:t>Soccol</w:t>
      </w:r>
      <w:proofErr w:type="spellEnd"/>
      <w:r w:rsidRPr="00AD0216">
        <w:t xml:space="preserve"> C.R., Filho P.B., Bayard R., </w:t>
      </w:r>
      <w:proofErr w:type="spellStart"/>
      <w:r>
        <w:t>Benbelkacem</w:t>
      </w:r>
      <w:proofErr w:type="spellEnd"/>
      <w:r>
        <w:t xml:space="preserve"> H., Borges de Castilhos J</w:t>
      </w:r>
      <w:r w:rsidR="003F515F">
        <w:t>.</w:t>
      </w:r>
      <w:r>
        <w:t xml:space="preserve">A., 2023, A review on hydrothermal carbonization of potential biomass wastes, characterization and environmental applications of </w:t>
      </w:r>
      <w:proofErr w:type="spellStart"/>
      <w:r>
        <w:t>hydrochar</w:t>
      </w:r>
      <w:proofErr w:type="spellEnd"/>
      <w:r>
        <w:t xml:space="preserve">, and biorefinery perspectives of the process, </w:t>
      </w:r>
      <w:r w:rsidRPr="007C40C4">
        <w:t>Science of the Total Environment</w:t>
      </w:r>
      <w:r>
        <w:t>,</w:t>
      </w:r>
      <w:r w:rsidRPr="007C40C4">
        <w:t xml:space="preserve"> 857</w:t>
      </w:r>
      <w:r>
        <w:t>,</w:t>
      </w:r>
      <w:r w:rsidRPr="007C40C4">
        <w:t xml:space="preserve"> 159627</w:t>
      </w:r>
      <w:r>
        <w:t>.</w:t>
      </w:r>
    </w:p>
    <w:p w14:paraId="194CF830" w14:textId="0C9168F8" w:rsidR="00520659" w:rsidRPr="00EF6020" w:rsidRDefault="00520659" w:rsidP="00520659">
      <w:pPr>
        <w:pStyle w:val="CETReferencetext"/>
      </w:pPr>
      <w:r w:rsidRPr="00745B0E">
        <w:t xml:space="preserve">Celletti S., Bergamo A., Benedetti V., </w:t>
      </w:r>
      <w:proofErr w:type="spellStart"/>
      <w:r w:rsidRPr="00745B0E">
        <w:t>Pecchi</w:t>
      </w:r>
      <w:proofErr w:type="spellEnd"/>
      <w:r w:rsidRPr="00745B0E">
        <w:t xml:space="preserve"> M., </w:t>
      </w:r>
      <w:proofErr w:type="spellStart"/>
      <w:r w:rsidRPr="00745B0E">
        <w:t>Patuzzi</w:t>
      </w:r>
      <w:proofErr w:type="spellEnd"/>
      <w:r w:rsidRPr="00745B0E">
        <w:t xml:space="preserve"> F., Basso D., </w:t>
      </w:r>
      <w:proofErr w:type="spellStart"/>
      <w:r w:rsidR="00745B0E" w:rsidRPr="00745B0E">
        <w:t>Baratieri</w:t>
      </w:r>
      <w:proofErr w:type="spellEnd"/>
      <w:r w:rsidR="00745B0E" w:rsidRPr="00745B0E">
        <w:t xml:space="preserve"> M., Cesco S.,</w:t>
      </w:r>
      <w:r w:rsidRPr="002E450B">
        <w:rPr>
          <w:lang w:val="en-US"/>
        </w:rPr>
        <w:t xml:space="preserve"> Mimmo T.</w:t>
      </w:r>
      <w:r>
        <w:rPr>
          <w:lang w:val="en-US"/>
        </w:rPr>
        <w:t>,</w:t>
      </w:r>
      <w:r w:rsidRPr="002E450B">
        <w:rPr>
          <w:lang w:val="en-US"/>
        </w:rPr>
        <w:t xml:space="preserve"> 2021</w:t>
      </w:r>
      <w:r>
        <w:rPr>
          <w:lang w:val="en-US"/>
        </w:rPr>
        <w:t>,</w:t>
      </w:r>
      <w:r w:rsidRPr="002E450B">
        <w:rPr>
          <w:lang w:val="en-US"/>
        </w:rPr>
        <w:t xml:space="preserve"> Phytotoxicity of </w:t>
      </w:r>
      <w:proofErr w:type="spellStart"/>
      <w:r w:rsidRPr="002E450B">
        <w:rPr>
          <w:lang w:val="en-US"/>
        </w:rPr>
        <w:t>hydrochars</w:t>
      </w:r>
      <w:proofErr w:type="spellEnd"/>
      <w:r w:rsidRPr="002E450B">
        <w:rPr>
          <w:lang w:val="en-US"/>
        </w:rPr>
        <w:t xml:space="preserve"> obtained by hydrothermal carbonization of manure-based digestate</w:t>
      </w:r>
      <w:r w:rsidR="00745B0E">
        <w:rPr>
          <w:lang w:val="en-US"/>
        </w:rPr>
        <w:t>,</w:t>
      </w:r>
      <w:r w:rsidR="00745B0E" w:rsidRPr="002E450B">
        <w:rPr>
          <w:lang w:val="en-US"/>
        </w:rPr>
        <w:t xml:space="preserve"> </w:t>
      </w:r>
      <w:r w:rsidRPr="00EF6020">
        <w:t>Journal of Environmental Management, 280, 111635.</w:t>
      </w:r>
    </w:p>
    <w:p w14:paraId="65C3F64F" w14:textId="77777777" w:rsidR="002F1D5E" w:rsidRPr="002E450B" w:rsidRDefault="002F1D5E" w:rsidP="002F1D5E">
      <w:pPr>
        <w:pStyle w:val="CETReferencetext"/>
        <w:rPr>
          <w:lang w:val="en-US"/>
        </w:rPr>
      </w:pPr>
      <w:proofErr w:type="spellStart"/>
      <w:r w:rsidRPr="002F1D5E">
        <w:rPr>
          <w:lang w:val="it-IT"/>
        </w:rPr>
        <w:t>D.Lgs</w:t>
      </w:r>
      <w:proofErr w:type="spellEnd"/>
      <w:r w:rsidRPr="002F1D5E">
        <w:rPr>
          <w:lang w:val="it-IT"/>
        </w:rPr>
        <w:t xml:space="preserve"> 29 April 2010 n°75, 2009. </w:t>
      </w:r>
      <w:r w:rsidRPr="002E450B">
        <w:rPr>
          <w:lang w:val="it-IT"/>
        </w:rPr>
        <w:t xml:space="preserve">Riordino e revisione della disciplina in materia di fertilizzanti, a norma dell’articolo 13 della legge 7 luglio 2009. vol. 88. </w:t>
      </w:r>
      <w:hyperlink r:id="rId15" w:history="1">
        <w:r w:rsidRPr="002E450B">
          <w:rPr>
            <w:lang w:val="en-US"/>
          </w:rPr>
          <w:t>www.gazzettaufficiale.it/eli/id/2010/05/26/010G0096/sg</w:t>
        </w:r>
      </w:hyperlink>
    </w:p>
    <w:p w14:paraId="29022428" w14:textId="48A55E98" w:rsidR="00DF7CFF" w:rsidRDefault="00DF7CFF" w:rsidP="00E7094F">
      <w:pPr>
        <w:pStyle w:val="CETReferencetext"/>
      </w:pPr>
      <w:r w:rsidRPr="00DF7CFF">
        <w:t>Funke A., Ziegler F., 2010, Hydrothermal carbonization of biomass: a summary and discussion of chemical mechanisms for process engineering, Biofuels</w:t>
      </w:r>
      <w:r>
        <w:t>,</w:t>
      </w:r>
      <w:r w:rsidRPr="00DF7CFF">
        <w:t xml:space="preserve"> Bioprod</w:t>
      </w:r>
      <w:r>
        <w:t xml:space="preserve">ucts </w:t>
      </w:r>
      <w:r w:rsidR="00E87305">
        <w:t>and</w:t>
      </w:r>
      <w:r w:rsidRPr="00DF7CFF">
        <w:t xml:space="preserve"> Biorefining</w:t>
      </w:r>
      <w:r>
        <w:t>,</w:t>
      </w:r>
      <w:r w:rsidRPr="00DF7CFF">
        <w:t xml:space="preserve"> 4, 160–177.</w:t>
      </w:r>
    </w:p>
    <w:p w14:paraId="4B1D9F2C" w14:textId="151385D6" w:rsidR="00E7094F" w:rsidRDefault="00E7094F" w:rsidP="00E7094F">
      <w:pPr>
        <w:pStyle w:val="CETReferencetext"/>
      </w:pPr>
      <w:r>
        <w:t xml:space="preserve">Islam </w:t>
      </w:r>
      <w:proofErr w:type="spellStart"/>
      <w:r>
        <w:t>Md.A</w:t>
      </w:r>
      <w:proofErr w:type="spellEnd"/>
      <w:r>
        <w:t xml:space="preserve">., Limon </w:t>
      </w:r>
      <w:proofErr w:type="spellStart"/>
      <w:r>
        <w:t>Md.S.H</w:t>
      </w:r>
      <w:proofErr w:type="spellEnd"/>
      <w:r>
        <w:t xml:space="preserve">., </w:t>
      </w:r>
      <w:r w:rsidRPr="00670C12">
        <w:t>Romić</w:t>
      </w:r>
      <w:r>
        <w:t xml:space="preserve"> M., </w:t>
      </w:r>
      <w:r w:rsidRPr="00670C12">
        <w:t xml:space="preserve">Islam </w:t>
      </w:r>
      <w:proofErr w:type="spellStart"/>
      <w:r w:rsidRPr="00670C12">
        <w:t>Md.A</w:t>
      </w:r>
      <w:proofErr w:type="spellEnd"/>
      <w:r w:rsidRPr="00670C12">
        <w:t>.,</w:t>
      </w:r>
      <w:r>
        <w:t xml:space="preserve"> 2021, </w:t>
      </w:r>
      <w:proofErr w:type="spellStart"/>
      <w:r>
        <w:t>Hydrochar</w:t>
      </w:r>
      <w:proofErr w:type="spellEnd"/>
      <w:r>
        <w:t xml:space="preserve">-based soil amendments for agriculture: a review of recent progress, </w:t>
      </w:r>
      <w:r w:rsidRPr="00F95372">
        <w:t>Arabian Journal of Geosciences</w:t>
      </w:r>
      <w:r>
        <w:t>,</w:t>
      </w:r>
      <w:r w:rsidRPr="00A1464D">
        <w:t xml:space="preserve"> 14</w:t>
      </w:r>
      <w:r>
        <w:t>,</w:t>
      </w:r>
      <w:r w:rsidRPr="00A1464D">
        <w:t xml:space="preserve"> 102</w:t>
      </w:r>
      <w:r>
        <w:t>.</w:t>
      </w:r>
    </w:p>
    <w:p w14:paraId="3E488C8D" w14:textId="4C1E8164" w:rsidR="002F1D5E" w:rsidRPr="002E450B" w:rsidRDefault="002F1D5E" w:rsidP="002F1D5E">
      <w:pPr>
        <w:pStyle w:val="CETReferencetext"/>
        <w:rPr>
          <w:lang w:val="en-US"/>
        </w:rPr>
      </w:pPr>
      <w:r w:rsidRPr="00EF6020">
        <w:t xml:space="preserve">Lang Q., Guo X., Wang C., Li L., Li Y., Xu J., </w:t>
      </w:r>
      <w:r w:rsidR="00EF6020" w:rsidRPr="00EF6020">
        <w:t xml:space="preserve">Zhao X., Li J., Liu B., Sun Q., </w:t>
      </w:r>
      <w:r w:rsidRPr="002E450B">
        <w:rPr>
          <w:lang w:val="en-US"/>
        </w:rPr>
        <w:t>Zou G.</w:t>
      </w:r>
      <w:r>
        <w:rPr>
          <w:lang w:val="en-US"/>
        </w:rPr>
        <w:t>,</w:t>
      </w:r>
      <w:r w:rsidRPr="002E450B">
        <w:rPr>
          <w:lang w:val="en-US"/>
        </w:rPr>
        <w:t xml:space="preserve"> 2023</w:t>
      </w:r>
      <w:r>
        <w:rPr>
          <w:lang w:val="en-US"/>
        </w:rPr>
        <w:t>,</w:t>
      </w:r>
      <w:r w:rsidRPr="002E450B">
        <w:rPr>
          <w:lang w:val="en-US"/>
        </w:rPr>
        <w:t xml:space="preserve"> Characteristics and phytotoxicity of </w:t>
      </w:r>
      <w:proofErr w:type="spellStart"/>
      <w:r w:rsidRPr="002E450B">
        <w:rPr>
          <w:lang w:val="en-US"/>
        </w:rPr>
        <w:t>hydrochar</w:t>
      </w:r>
      <w:proofErr w:type="spellEnd"/>
      <w:r w:rsidRPr="002E450B">
        <w:rPr>
          <w:lang w:val="en-US"/>
        </w:rPr>
        <w:t>-derived dissolved organic matter: Effects of feedstock type and hydrothermal temperature</w:t>
      </w:r>
      <w:r>
        <w:rPr>
          <w:lang w:val="en-US"/>
        </w:rPr>
        <w:t>,</w:t>
      </w:r>
      <w:r w:rsidRPr="002E450B">
        <w:rPr>
          <w:lang w:val="en-US"/>
        </w:rPr>
        <w:t xml:space="preserve"> Journal of Environmental Sciences.</w:t>
      </w:r>
      <w:r w:rsidRPr="00E65E48">
        <w:t xml:space="preserve"> </w:t>
      </w:r>
      <w:r w:rsidRPr="00E65E48">
        <w:rPr>
          <w:lang w:val="en-US"/>
        </w:rPr>
        <w:t>doi.org/10.1016/j.jes.2023.10.007</w:t>
      </w:r>
    </w:p>
    <w:p w14:paraId="54CF2696" w14:textId="5DEDA262" w:rsidR="00520659" w:rsidRPr="00520659" w:rsidRDefault="00520659" w:rsidP="00520659">
      <w:pPr>
        <w:pStyle w:val="CETReferencetext"/>
      </w:pPr>
      <w:proofErr w:type="spellStart"/>
      <w:r w:rsidRPr="002E450B">
        <w:rPr>
          <w:lang w:val="en-US"/>
        </w:rPr>
        <w:t>Luutu</w:t>
      </w:r>
      <w:proofErr w:type="spellEnd"/>
      <w:r w:rsidRPr="002E450B">
        <w:rPr>
          <w:lang w:val="en-US"/>
        </w:rPr>
        <w:t xml:space="preserve"> H., Rose M.T., McIntosh S., Van </w:t>
      </w:r>
      <w:proofErr w:type="spellStart"/>
      <w:r w:rsidRPr="002E450B">
        <w:rPr>
          <w:lang w:val="en-US"/>
        </w:rPr>
        <w:t>Zwieten</w:t>
      </w:r>
      <w:proofErr w:type="spellEnd"/>
      <w:r w:rsidRPr="002E450B">
        <w:rPr>
          <w:lang w:val="en-US"/>
        </w:rPr>
        <w:t xml:space="preserve"> L., Weng H.H., Pocock M., Rose T.J.</w:t>
      </w:r>
      <w:r>
        <w:rPr>
          <w:lang w:val="en-US"/>
        </w:rPr>
        <w:t>,</w:t>
      </w:r>
      <w:r w:rsidRPr="002E450B">
        <w:rPr>
          <w:lang w:val="en-US"/>
        </w:rPr>
        <w:t xml:space="preserve"> 2023</w:t>
      </w:r>
      <w:r>
        <w:rPr>
          <w:lang w:val="en-US"/>
        </w:rPr>
        <w:t>,</w:t>
      </w:r>
      <w:r w:rsidRPr="002E450B">
        <w:rPr>
          <w:lang w:val="en-US"/>
        </w:rPr>
        <w:t xml:space="preserve"> Phytotoxicity induced by soil-applied hydrothermally-</w:t>
      </w:r>
      <w:proofErr w:type="spellStart"/>
      <w:r w:rsidRPr="002E450B">
        <w:rPr>
          <w:lang w:val="en-US"/>
        </w:rPr>
        <w:t>carbonised</w:t>
      </w:r>
      <w:proofErr w:type="spellEnd"/>
      <w:r w:rsidRPr="002E450B">
        <w:rPr>
          <w:lang w:val="en-US"/>
        </w:rPr>
        <w:t xml:space="preserve"> waste amendments: effect of reaction temperature, feedstock and soil nutrition</w:t>
      </w:r>
      <w:r w:rsidR="00745B0E">
        <w:rPr>
          <w:lang w:val="en-US"/>
        </w:rPr>
        <w:t>,</w:t>
      </w:r>
      <w:r w:rsidR="00745B0E" w:rsidRPr="002E450B">
        <w:rPr>
          <w:lang w:val="en-US"/>
        </w:rPr>
        <w:t xml:space="preserve"> </w:t>
      </w:r>
      <w:r w:rsidRPr="00520659">
        <w:t xml:space="preserve">Plant and soil, 1-15. </w:t>
      </w:r>
    </w:p>
    <w:p w14:paraId="4A703247" w14:textId="121EA536" w:rsidR="00E7094F" w:rsidRDefault="00E7094F" w:rsidP="00E7094F">
      <w:pPr>
        <w:pStyle w:val="CETReferencetext"/>
      </w:pPr>
      <w:r>
        <w:t>Nizamuddin S., Baloch H.A., Griffin</w:t>
      </w:r>
      <w:r w:rsidRPr="008E2D88">
        <w:t xml:space="preserve"> </w:t>
      </w:r>
      <w:r>
        <w:t xml:space="preserve">G.J., Mubarak N.M., Bhutto A.W., Abro R., Mazari S.A., Ali B.S., 2017, An overview of effect of process parameters on hydrothermal carbonization of biomass, </w:t>
      </w:r>
      <w:r w:rsidRPr="0035577E">
        <w:t>Renew</w:t>
      </w:r>
      <w:r>
        <w:t>able and</w:t>
      </w:r>
      <w:r w:rsidRPr="0035577E">
        <w:t xml:space="preserve"> Sustain</w:t>
      </w:r>
      <w:r>
        <w:t>able</w:t>
      </w:r>
      <w:r w:rsidRPr="0035577E">
        <w:t xml:space="preserve"> Energy Rev</w:t>
      </w:r>
      <w:r>
        <w:t>iews, 7</w:t>
      </w:r>
      <w:r w:rsidRPr="0085415A">
        <w:t xml:space="preserve">3, </w:t>
      </w:r>
      <w:r>
        <w:t>1289-1299</w:t>
      </w:r>
      <w:r w:rsidRPr="0085415A">
        <w:t>.</w:t>
      </w:r>
    </w:p>
    <w:p w14:paraId="083EFED4" w14:textId="56D299AF" w:rsidR="00733962" w:rsidRDefault="00733962" w:rsidP="00733962">
      <w:pPr>
        <w:pStyle w:val="CETReferencetext"/>
      </w:pPr>
      <w:r>
        <w:t xml:space="preserve">Reza M.T., Andert J., Wirth B., Busch D., </w:t>
      </w:r>
      <w:proofErr w:type="spellStart"/>
      <w:r>
        <w:t>Pielert</w:t>
      </w:r>
      <w:proofErr w:type="spellEnd"/>
      <w:r>
        <w:t xml:space="preserve"> J., Lynam J.G., Mumme J., 2014, Hydrothermal carbonization of biomass for energy and crop production. Appl</w:t>
      </w:r>
      <w:r w:rsidR="0021252D">
        <w:t xml:space="preserve">ied </w:t>
      </w:r>
      <w:r>
        <w:t>Bioenergy, 1, 11-29.</w:t>
      </w:r>
    </w:p>
    <w:p w14:paraId="4D4598B9" w14:textId="77777777" w:rsidR="00E7094F" w:rsidRDefault="00E7094F" w:rsidP="00E7094F">
      <w:pPr>
        <w:pStyle w:val="CETReferencetext"/>
      </w:pPr>
      <w:r w:rsidRPr="00396B15">
        <w:t>Sharma</w:t>
      </w:r>
      <w:r>
        <w:t xml:space="preserve"> H.B.</w:t>
      </w:r>
      <w:r w:rsidRPr="00396B15">
        <w:t>, Sarmah A</w:t>
      </w:r>
      <w:r>
        <w:t>.</w:t>
      </w:r>
      <w:r w:rsidRPr="00396B15">
        <w:t>K., Dubey</w:t>
      </w:r>
      <w:r>
        <w:t xml:space="preserve"> B., 2020, Hydrothermal carbonization of renewable waste biomass for solid biofuel production: A discussion on process mechanism, the influence of process parameters, environmental performance and fuel properties of </w:t>
      </w:r>
      <w:proofErr w:type="spellStart"/>
      <w:r>
        <w:t>hydrochar</w:t>
      </w:r>
      <w:proofErr w:type="spellEnd"/>
      <w:r>
        <w:t xml:space="preserve">, </w:t>
      </w:r>
      <w:r w:rsidRPr="0035577E">
        <w:t>Renew</w:t>
      </w:r>
      <w:r>
        <w:t>able and</w:t>
      </w:r>
      <w:r w:rsidRPr="0035577E">
        <w:t xml:space="preserve"> Sustain</w:t>
      </w:r>
      <w:r>
        <w:t>able</w:t>
      </w:r>
      <w:r w:rsidRPr="0035577E">
        <w:t xml:space="preserve"> Energy Rev</w:t>
      </w:r>
      <w:r>
        <w:t>iews,</w:t>
      </w:r>
      <w:r w:rsidRPr="0035577E">
        <w:t xml:space="preserve"> </w:t>
      </w:r>
      <w:r>
        <w:t>123</w:t>
      </w:r>
      <w:r w:rsidRPr="0035577E">
        <w:t xml:space="preserve">, </w:t>
      </w:r>
      <w:r>
        <w:t>109761.</w:t>
      </w:r>
    </w:p>
    <w:p w14:paraId="0200BD43" w14:textId="77777777" w:rsidR="00E7094F" w:rsidRPr="006428E1" w:rsidRDefault="00E7094F" w:rsidP="00E7094F">
      <w:pPr>
        <w:pStyle w:val="CETReferencetext"/>
      </w:pPr>
      <w:r w:rsidRPr="006428E1">
        <w:t xml:space="preserve">Wang T., Zhai Y., Zhu Y., Li C., Zeng G., 2018, A review of the hydrothermal carbonization of biomass waste for </w:t>
      </w:r>
      <w:proofErr w:type="spellStart"/>
      <w:r w:rsidRPr="006428E1">
        <w:t>hydrochar</w:t>
      </w:r>
      <w:proofErr w:type="spellEnd"/>
      <w:r>
        <w:t xml:space="preserve"> </w:t>
      </w:r>
      <w:r w:rsidRPr="006428E1">
        <w:t>formation: Process conditions, fundamentals, and physicochemical</w:t>
      </w:r>
      <w:r>
        <w:t xml:space="preserve"> </w:t>
      </w:r>
      <w:r w:rsidRPr="006428E1">
        <w:t>properties</w:t>
      </w:r>
      <w:r>
        <w:t xml:space="preserve">, </w:t>
      </w:r>
      <w:r w:rsidRPr="0035577E">
        <w:t>Renew</w:t>
      </w:r>
      <w:r>
        <w:t>able and</w:t>
      </w:r>
      <w:r w:rsidRPr="0035577E">
        <w:t xml:space="preserve"> Sustain</w:t>
      </w:r>
      <w:r>
        <w:t>able</w:t>
      </w:r>
      <w:r w:rsidRPr="0035577E">
        <w:t xml:space="preserve"> Energy Rev</w:t>
      </w:r>
      <w:r>
        <w:t>iews,</w:t>
      </w:r>
      <w:r w:rsidRPr="0035577E">
        <w:t xml:space="preserve"> </w:t>
      </w:r>
      <w:r>
        <w:t>90</w:t>
      </w:r>
      <w:r w:rsidRPr="0035577E">
        <w:t xml:space="preserve">, </w:t>
      </w:r>
      <w:r>
        <w:t>223-247.</w:t>
      </w:r>
    </w:p>
    <w:sectPr w:rsidR="00E7094F" w:rsidRPr="006428E1" w:rsidSect="0004118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5E10" w14:textId="77777777" w:rsidR="00472305" w:rsidRDefault="00472305" w:rsidP="004F5E36">
      <w:r>
        <w:separator/>
      </w:r>
    </w:p>
  </w:endnote>
  <w:endnote w:type="continuationSeparator" w:id="0">
    <w:p w14:paraId="3F61C161" w14:textId="77777777" w:rsidR="00472305" w:rsidRDefault="004723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7041" w14:textId="77777777" w:rsidR="00472305" w:rsidRDefault="00472305" w:rsidP="004F5E36">
      <w:r>
        <w:separator/>
      </w:r>
    </w:p>
  </w:footnote>
  <w:footnote w:type="continuationSeparator" w:id="0">
    <w:p w14:paraId="7DE4950E" w14:textId="77777777" w:rsidR="00472305" w:rsidRDefault="004723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FFB1B7D"/>
    <w:multiLevelType w:val="hybridMultilevel"/>
    <w:tmpl w:val="716A9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 w:numId="24">
    <w:abstractNumId w:val="10"/>
  </w:num>
  <w:num w:numId="25">
    <w:abstractNumId w:val="1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03"/>
    <w:rsid w:val="000027C0"/>
    <w:rsid w:val="00005179"/>
    <w:rsid w:val="000052FB"/>
    <w:rsid w:val="000060F2"/>
    <w:rsid w:val="00006717"/>
    <w:rsid w:val="0000687D"/>
    <w:rsid w:val="00007BE8"/>
    <w:rsid w:val="0001084A"/>
    <w:rsid w:val="000117CB"/>
    <w:rsid w:val="0001216C"/>
    <w:rsid w:val="00012E3D"/>
    <w:rsid w:val="000236E1"/>
    <w:rsid w:val="00024E1A"/>
    <w:rsid w:val="0003148D"/>
    <w:rsid w:val="00031EEC"/>
    <w:rsid w:val="0003478C"/>
    <w:rsid w:val="00034DBA"/>
    <w:rsid w:val="00035DC8"/>
    <w:rsid w:val="00037972"/>
    <w:rsid w:val="00040005"/>
    <w:rsid w:val="00041184"/>
    <w:rsid w:val="00044006"/>
    <w:rsid w:val="00045130"/>
    <w:rsid w:val="00051566"/>
    <w:rsid w:val="000562A9"/>
    <w:rsid w:val="00062A9A"/>
    <w:rsid w:val="00065058"/>
    <w:rsid w:val="0006726A"/>
    <w:rsid w:val="00072641"/>
    <w:rsid w:val="00073F1E"/>
    <w:rsid w:val="00075D67"/>
    <w:rsid w:val="0008079D"/>
    <w:rsid w:val="00082E88"/>
    <w:rsid w:val="00084B46"/>
    <w:rsid w:val="00086C39"/>
    <w:rsid w:val="00095A49"/>
    <w:rsid w:val="00095BD3"/>
    <w:rsid w:val="000A03B2"/>
    <w:rsid w:val="000B2569"/>
    <w:rsid w:val="000B3634"/>
    <w:rsid w:val="000B5797"/>
    <w:rsid w:val="000C4996"/>
    <w:rsid w:val="000D0268"/>
    <w:rsid w:val="000D34BE"/>
    <w:rsid w:val="000D47EB"/>
    <w:rsid w:val="000E102F"/>
    <w:rsid w:val="000E20D1"/>
    <w:rsid w:val="000E36F1"/>
    <w:rsid w:val="000E3A73"/>
    <w:rsid w:val="000E414A"/>
    <w:rsid w:val="000F0685"/>
    <w:rsid w:val="000F093C"/>
    <w:rsid w:val="000F787B"/>
    <w:rsid w:val="00100791"/>
    <w:rsid w:val="00106F5F"/>
    <w:rsid w:val="00107E07"/>
    <w:rsid w:val="00113FC8"/>
    <w:rsid w:val="0011698B"/>
    <w:rsid w:val="0011719E"/>
    <w:rsid w:val="0012091F"/>
    <w:rsid w:val="00120EDB"/>
    <w:rsid w:val="00126BC2"/>
    <w:rsid w:val="001308B6"/>
    <w:rsid w:val="0013121F"/>
    <w:rsid w:val="00131FE6"/>
    <w:rsid w:val="0013263F"/>
    <w:rsid w:val="001331DF"/>
    <w:rsid w:val="001337BF"/>
    <w:rsid w:val="00133DB9"/>
    <w:rsid w:val="00134DE4"/>
    <w:rsid w:val="0014034D"/>
    <w:rsid w:val="0014043A"/>
    <w:rsid w:val="00144D16"/>
    <w:rsid w:val="00150E59"/>
    <w:rsid w:val="00152DE3"/>
    <w:rsid w:val="00156F74"/>
    <w:rsid w:val="001578A7"/>
    <w:rsid w:val="00164CF9"/>
    <w:rsid w:val="001667A6"/>
    <w:rsid w:val="0017792F"/>
    <w:rsid w:val="00182E48"/>
    <w:rsid w:val="00184101"/>
    <w:rsid w:val="00184AD6"/>
    <w:rsid w:val="0019581B"/>
    <w:rsid w:val="001966C8"/>
    <w:rsid w:val="00197FA5"/>
    <w:rsid w:val="001A4AF7"/>
    <w:rsid w:val="001A7ACC"/>
    <w:rsid w:val="001A7CD0"/>
    <w:rsid w:val="001B0349"/>
    <w:rsid w:val="001B06C4"/>
    <w:rsid w:val="001B1E93"/>
    <w:rsid w:val="001B65C1"/>
    <w:rsid w:val="001C0083"/>
    <w:rsid w:val="001C380D"/>
    <w:rsid w:val="001C444F"/>
    <w:rsid w:val="001C684B"/>
    <w:rsid w:val="001D0139"/>
    <w:rsid w:val="001D02E9"/>
    <w:rsid w:val="001D0CFB"/>
    <w:rsid w:val="001D21AF"/>
    <w:rsid w:val="001D25C6"/>
    <w:rsid w:val="001D25E1"/>
    <w:rsid w:val="001D53FC"/>
    <w:rsid w:val="001E0EC6"/>
    <w:rsid w:val="001E45F6"/>
    <w:rsid w:val="001E4B06"/>
    <w:rsid w:val="001F42A5"/>
    <w:rsid w:val="001F7B9D"/>
    <w:rsid w:val="00201C93"/>
    <w:rsid w:val="00205772"/>
    <w:rsid w:val="0021252D"/>
    <w:rsid w:val="00216B0E"/>
    <w:rsid w:val="002224B4"/>
    <w:rsid w:val="00225A54"/>
    <w:rsid w:val="002345DC"/>
    <w:rsid w:val="00236E15"/>
    <w:rsid w:val="002447EF"/>
    <w:rsid w:val="00251550"/>
    <w:rsid w:val="0025387C"/>
    <w:rsid w:val="00256827"/>
    <w:rsid w:val="0026077C"/>
    <w:rsid w:val="00262083"/>
    <w:rsid w:val="00262DB6"/>
    <w:rsid w:val="00263B05"/>
    <w:rsid w:val="0027221A"/>
    <w:rsid w:val="00275B61"/>
    <w:rsid w:val="00280FAF"/>
    <w:rsid w:val="00282656"/>
    <w:rsid w:val="002855B7"/>
    <w:rsid w:val="00293946"/>
    <w:rsid w:val="00294F6A"/>
    <w:rsid w:val="00296B83"/>
    <w:rsid w:val="002A4F82"/>
    <w:rsid w:val="002A5C97"/>
    <w:rsid w:val="002B00AF"/>
    <w:rsid w:val="002B33C9"/>
    <w:rsid w:val="002B4015"/>
    <w:rsid w:val="002B45A9"/>
    <w:rsid w:val="002B5F25"/>
    <w:rsid w:val="002B78CE"/>
    <w:rsid w:val="002C13F8"/>
    <w:rsid w:val="002C292A"/>
    <w:rsid w:val="002C2C21"/>
    <w:rsid w:val="002C2FB6"/>
    <w:rsid w:val="002E0A64"/>
    <w:rsid w:val="002E3D30"/>
    <w:rsid w:val="002E450B"/>
    <w:rsid w:val="002E5FA7"/>
    <w:rsid w:val="002F1D5E"/>
    <w:rsid w:val="002F3309"/>
    <w:rsid w:val="003008CE"/>
    <w:rsid w:val="003009B7"/>
    <w:rsid w:val="00300E56"/>
    <w:rsid w:val="0030152C"/>
    <w:rsid w:val="00303D19"/>
    <w:rsid w:val="0030469C"/>
    <w:rsid w:val="0030628D"/>
    <w:rsid w:val="003144E4"/>
    <w:rsid w:val="00315AA3"/>
    <w:rsid w:val="0031610B"/>
    <w:rsid w:val="00321CA6"/>
    <w:rsid w:val="00323763"/>
    <w:rsid w:val="00323C5F"/>
    <w:rsid w:val="00326161"/>
    <w:rsid w:val="00330C8F"/>
    <w:rsid w:val="00334C09"/>
    <w:rsid w:val="003370E8"/>
    <w:rsid w:val="00350C0E"/>
    <w:rsid w:val="00356A92"/>
    <w:rsid w:val="00361121"/>
    <w:rsid w:val="003723D4"/>
    <w:rsid w:val="00381905"/>
    <w:rsid w:val="00384749"/>
    <w:rsid w:val="00384CC8"/>
    <w:rsid w:val="00385D3A"/>
    <w:rsid w:val="003871FD"/>
    <w:rsid w:val="00391E63"/>
    <w:rsid w:val="00397C7C"/>
    <w:rsid w:val="003A1E30"/>
    <w:rsid w:val="003A2829"/>
    <w:rsid w:val="003A6FC6"/>
    <w:rsid w:val="003A7D1C"/>
    <w:rsid w:val="003B0032"/>
    <w:rsid w:val="003B0DD0"/>
    <w:rsid w:val="003B129E"/>
    <w:rsid w:val="003B304B"/>
    <w:rsid w:val="003B3146"/>
    <w:rsid w:val="003C097E"/>
    <w:rsid w:val="003D442D"/>
    <w:rsid w:val="003F00E8"/>
    <w:rsid w:val="003F015E"/>
    <w:rsid w:val="003F0179"/>
    <w:rsid w:val="003F513D"/>
    <w:rsid w:val="003F515F"/>
    <w:rsid w:val="003F5B27"/>
    <w:rsid w:val="00400414"/>
    <w:rsid w:val="00405D7A"/>
    <w:rsid w:val="0041446B"/>
    <w:rsid w:val="0041590B"/>
    <w:rsid w:val="00425B79"/>
    <w:rsid w:val="004269B9"/>
    <w:rsid w:val="00426BD5"/>
    <w:rsid w:val="0043225F"/>
    <w:rsid w:val="0044071E"/>
    <w:rsid w:val="0044329C"/>
    <w:rsid w:val="004445A7"/>
    <w:rsid w:val="004479FC"/>
    <w:rsid w:val="00447BAE"/>
    <w:rsid w:val="004500F4"/>
    <w:rsid w:val="0045113B"/>
    <w:rsid w:val="00453E24"/>
    <w:rsid w:val="00457456"/>
    <w:rsid w:val="004577FE"/>
    <w:rsid w:val="00457B9C"/>
    <w:rsid w:val="0046164A"/>
    <w:rsid w:val="004628D2"/>
    <w:rsid w:val="00462DCD"/>
    <w:rsid w:val="004648AD"/>
    <w:rsid w:val="0046545F"/>
    <w:rsid w:val="004703A9"/>
    <w:rsid w:val="00472305"/>
    <w:rsid w:val="004760DE"/>
    <w:rsid w:val="004761E9"/>
    <w:rsid w:val="004763D7"/>
    <w:rsid w:val="004824FD"/>
    <w:rsid w:val="00485B0A"/>
    <w:rsid w:val="00487DAB"/>
    <w:rsid w:val="00494E9E"/>
    <w:rsid w:val="004A004E"/>
    <w:rsid w:val="004A1A70"/>
    <w:rsid w:val="004A24CF"/>
    <w:rsid w:val="004A62BB"/>
    <w:rsid w:val="004B71EB"/>
    <w:rsid w:val="004B7869"/>
    <w:rsid w:val="004C07D8"/>
    <w:rsid w:val="004C3D1D"/>
    <w:rsid w:val="004C3D84"/>
    <w:rsid w:val="004C6BCB"/>
    <w:rsid w:val="004C7913"/>
    <w:rsid w:val="004D0540"/>
    <w:rsid w:val="004D1DA8"/>
    <w:rsid w:val="004D311B"/>
    <w:rsid w:val="004D5EBA"/>
    <w:rsid w:val="004E0BDD"/>
    <w:rsid w:val="004E4DD6"/>
    <w:rsid w:val="004F1826"/>
    <w:rsid w:val="004F1F83"/>
    <w:rsid w:val="004F4B30"/>
    <w:rsid w:val="004F56C9"/>
    <w:rsid w:val="004F57F7"/>
    <w:rsid w:val="004F5E36"/>
    <w:rsid w:val="004F74E9"/>
    <w:rsid w:val="00507B47"/>
    <w:rsid w:val="00507BEF"/>
    <w:rsid w:val="00507CC9"/>
    <w:rsid w:val="005119A5"/>
    <w:rsid w:val="00512E64"/>
    <w:rsid w:val="00512F44"/>
    <w:rsid w:val="00516AAC"/>
    <w:rsid w:val="00520659"/>
    <w:rsid w:val="005278B7"/>
    <w:rsid w:val="00532016"/>
    <w:rsid w:val="005326E0"/>
    <w:rsid w:val="005346C8"/>
    <w:rsid w:val="005371AA"/>
    <w:rsid w:val="00543B02"/>
    <w:rsid w:val="00543E7D"/>
    <w:rsid w:val="00547A68"/>
    <w:rsid w:val="005531C9"/>
    <w:rsid w:val="005545D0"/>
    <w:rsid w:val="00555A12"/>
    <w:rsid w:val="00555DCB"/>
    <w:rsid w:val="00557115"/>
    <w:rsid w:val="00563186"/>
    <w:rsid w:val="00570C43"/>
    <w:rsid w:val="00573525"/>
    <w:rsid w:val="00577D1C"/>
    <w:rsid w:val="00580254"/>
    <w:rsid w:val="0059015F"/>
    <w:rsid w:val="005951DA"/>
    <w:rsid w:val="00597E3B"/>
    <w:rsid w:val="005A666B"/>
    <w:rsid w:val="005B2110"/>
    <w:rsid w:val="005B3C64"/>
    <w:rsid w:val="005B61E6"/>
    <w:rsid w:val="005C37B3"/>
    <w:rsid w:val="005C5847"/>
    <w:rsid w:val="005C77E1"/>
    <w:rsid w:val="005D4277"/>
    <w:rsid w:val="005D668A"/>
    <w:rsid w:val="005D6A2F"/>
    <w:rsid w:val="005D6C9F"/>
    <w:rsid w:val="005E1A82"/>
    <w:rsid w:val="005E2CD6"/>
    <w:rsid w:val="005E43BC"/>
    <w:rsid w:val="005E5368"/>
    <w:rsid w:val="005E794C"/>
    <w:rsid w:val="005F0A28"/>
    <w:rsid w:val="005F0E5E"/>
    <w:rsid w:val="005F38AF"/>
    <w:rsid w:val="00600535"/>
    <w:rsid w:val="00600EB5"/>
    <w:rsid w:val="00604308"/>
    <w:rsid w:val="00610CD6"/>
    <w:rsid w:val="00614F67"/>
    <w:rsid w:val="006154D9"/>
    <w:rsid w:val="00617522"/>
    <w:rsid w:val="00620DEE"/>
    <w:rsid w:val="00621F92"/>
    <w:rsid w:val="00622510"/>
    <w:rsid w:val="0062280A"/>
    <w:rsid w:val="006248F2"/>
    <w:rsid w:val="00625639"/>
    <w:rsid w:val="00631B33"/>
    <w:rsid w:val="006333BC"/>
    <w:rsid w:val="0064184D"/>
    <w:rsid w:val="006422CC"/>
    <w:rsid w:val="00646703"/>
    <w:rsid w:val="00646FB6"/>
    <w:rsid w:val="006549EA"/>
    <w:rsid w:val="00660E3E"/>
    <w:rsid w:val="00662E74"/>
    <w:rsid w:val="00670C29"/>
    <w:rsid w:val="00670D29"/>
    <w:rsid w:val="0067425F"/>
    <w:rsid w:val="00680C23"/>
    <w:rsid w:val="00683323"/>
    <w:rsid w:val="00685021"/>
    <w:rsid w:val="00691746"/>
    <w:rsid w:val="00693766"/>
    <w:rsid w:val="006A23E9"/>
    <w:rsid w:val="006A3281"/>
    <w:rsid w:val="006A53F0"/>
    <w:rsid w:val="006A5401"/>
    <w:rsid w:val="006B4888"/>
    <w:rsid w:val="006B4DC2"/>
    <w:rsid w:val="006C2E45"/>
    <w:rsid w:val="006C359C"/>
    <w:rsid w:val="006C4653"/>
    <w:rsid w:val="006C5579"/>
    <w:rsid w:val="006D6E8B"/>
    <w:rsid w:val="006E16DF"/>
    <w:rsid w:val="006E2577"/>
    <w:rsid w:val="006E737D"/>
    <w:rsid w:val="006E7619"/>
    <w:rsid w:val="00702BE1"/>
    <w:rsid w:val="00706D0E"/>
    <w:rsid w:val="007073A6"/>
    <w:rsid w:val="00710C06"/>
    <w:rsid w:val="00712E33"/>
    <w:rsid w:val="00713973"/>
    <w:rsid w:val="00713F17"/>
    <w:rsid w:val="0071597A"/>
    <w:rsid w:val="00717A34"/>
    <w:rsid w:val="00717E44"/>
    <w:rsid w:val="00720A24"/>
    <w:rsid w:val="007238E7"/>
    <w:rsid w:val="007239D0"/>
    <w:rsid w:val="007243DF"/>
    <w:rsid w:val="00732386"/>
    <w:rsid w:val="00733962"/>
    <w:rsid w:val="0073514D"/>
    <w:rsid w:val="007447F3"/>
    <w:rsid w:val="0074552B"/>
    <w:rsid w:val="00745B0E"/>
    <w:rsid w:val="007506C5"/>
    <w:rsid w:val="00753D05"/>
    <w:rsid w:val="0075499F"/>
    <w:rsid w:val="007661C8"/>
    <w:rsid w:val="0077098D"/>
    <w:rsid w:val="00771BDB"/>
    <w:rsid w:val="00776E4A"/>
    <w:rsid w:val="00782B96"/>
    <w:rsid w:val="00785DCD"/>
    <w:rsid w:val="007916A1"/>
    <w:rsid w:val="0079265A"/>
    <w:rsid w:val="007928E1"/>
    <w:rsid w:val="007931FA"/>
    <w:rsid w:val="00793DA0"/>
    <w:rsid w:val="00797C5E"/>
    <w:rsid w:val="007A4544"/>
    <w:rsid w:val="007A4861"/>
    <w:rsid w:val="007A7BBA"/>
    <w:rsid w:val="007B00BE"/>
    <w:rsid w:val="007B0C50"/>
    <w:rsid w:val="007B1A60"/>
    <w:rsid w:val="007B32C0"/>
    <w:rsid w:val="007B48F9"/>
    <w:rsid w:val="007B77A8"/>
    <w:rsid w:val="007C10DC"/>
    <w:rsid w:val="007C1A43"/>
    <w:rsid w:val="007C5BAE"/>
    <w:rsid w:val="007D0951"/>
    <w:rsid w:val="007D1186"/>
    <w:rsid w:val="007D272D"/>
    <w:rsid w:val="007E3804"/>
    <w:rsid w:val="007E4BD4"/>
    <w:rsid w:val="007E507D"/>
    <w:rsid w:val="007F2250"/>
    <w:rsid w:val="007F264B"/>
    <w:rsid w:val="007F6237"/>
    <w:rsid w:val="007F79A1"/>
    <w:rsid w:val="0080013E"/>
    <w:rsid w:val="0080374B"/>
    <w:rsid w:val="00813288"/>
    <w:rsid w:val="00813F90"/>
    <w:rsid w:val="008168FC"/>
    <w:rsid w:val="0081723B"/>
    <w:rsid w:val="008216E8"/>
    <w:rsid w:val="00822AA3"/>
    <w:rsid w:val="00830604"/>
    <w:rsid w:val="00830996"/>
    <w:rsid w:val="008327A0"/>
    <w:rsid w:val="008345F1"/>
    <w:rsid w:val="00843EAC"/>
    <w:rsid w:val="00846C4C"/>
    <w:rsid w:val="00852AEA"/>
    <w:rsid w:val="0085390E"/>
    <w:rsid w:val="008624EF"/>
    <w:rsid w:val="00865B07"/>
    <w:rsid w:val="008667EA"/>
    <w:rsid w:val="0087159A"/>
    <w:rsid w:val="0087271F"/>
    <w:rsid w:val="0087637F"/>
    <w:rsid w:val="0088406F"/>
    <w:rsid w:val="00886AAA"/>
    <w:rsid w:val="00890849"/>
    <w:rsid w:val="00892AD5"/>
    <w:rsid w:val="00893135"/>
    <w:rsid w:val="008935F0"/>
    <w:rsid w:val="008947D4"/>
    <w:rsid w:val="008A01EE"/>
    <w:rsid w:val="008A024C"/>
    <w:rsid w:val="008A0C66"/>
    <w:rsid w:val="008A1512"/>
    <w:rsid w:val="008A445C"/>
    <w:rsid w:val="008B7C03"/>
    <w:rsid w:val="008C6186"/>
    <w:rsid w:val="008D32B9"/>
    <w:rsid w:val="008D433B"/>
    <w:rsid w:val="008D4A16"/>
    <w:rsid w:val="008D5CE8"/>
    <w:rsid w:val="008E3751"/>
    <w:rsid w:val="008E40E5"/>
    <w:rsid w:val="008E566E"/>
    <w:rsid w:val="008F48AB"/>
    <w:rsid w:val="0090161A"/>
    <w:rsid w:val="00901EB6"/>
    <w:rsid w:val="00902EDA"/>
    <w:rsid w:val="00904C62"/>
    <w:rsid w:val="009152D2"/>
    <w:rsid w:val="00916A59"/>
    <w:rsid w:val="00917B15"/>
    <w:rsid w:val="00922BA8"/>
    <w:rsid w:val="0092425A"/>
    <w:rsid w:val="00924DAC"/>
    <w:rsid w:val="00927058"/>
    <w:rsid w:val="00927C18"/>
    <w:rsid w:val="00933735"/>
    <w:rsid w:val="00936DC8"/>
    <w:rsid w:val="00942750"/>
    <w:rsid w:val="009450CE"/>
    <w:rsid w:val="009459BB"/>
    <w:rsid w:val="00947179"/>
    <w:rsid w:val="00947FCF"/>
    <w:rsid w:val="0095164B"/>
    <w:rsid w:val="00953922"/>
    <w:rsid w:val="00954090"/>
    <w:rsid w:val="009573E7"/>
    <w:rsid w:val="0096178A"/>
    <w:rsid w:val="00962627"/>
    <w:rsid w:val="00963E05"/>
    <w:rsid w:val="00964A45"/>
    <w:rsid w:val="00967843"/>
    <w:rsid w:val="00967D54"/>
    <w:rsid w:val="00971028"/>
    <w:rsid w:val="00975701"/>
    <w:rsid w:val="0097763F"/>
    <w:rsid w:val="00990C2C"/>
    <w:rsid w:val="00991C88"/>
    <w:rsid w:val="00993B84"/>
    <w:rsid w:val="00996483"/>
    <w:rsid w:val="00996F5A"/>
    <w:rsid w:val="009A2C20"/>
    <w:rsid w:val="009A66DE"/>
    <w:rsid w:val="009B041A"/>
    <w:rsid w:val="009B31F9"/>
    <w:rsid w:val="009C37C3"/>
    <w:rsid w:val="009C7C86"/>
    <w:rsid w:val="009D2D93"/>
    <w:rsid w:val="009D2FF7"/>
    <w:rsid w:val="009E3AC1"/>
    <w:rsid w:val="009E7884"/>
    <w:rsid w:val="009E788A"/>
    <w:rsid w:val="009F0E08"/>
    <w:rsid w:val="009F3D31"/>
    <w:rsid w:val="009F6C70"/>
    <w:rsid w:val="00A00C58"/>
    <w:rsid w:val="00A10FC5"/>
    <w:rsid w:val="00A1141E"/>
    <w:rsid w:val="00A1239B"/>
    <w:rsid w:val="00A1517C"/>
    <w:rsid w:val="00A1763D"/>
    <w:rsid w:val="00A17CEC"/>
    <w:rsid w:val="00A21953"/>
    <w:rsid w:val="00A27864"/>
    <w:rsid w:val="00A27EF0"/>
    <w:rsid w:val="00A315A3"/>
    <w:rsid w:val="00A31CA0"/>
    <w:rsid w:val="00A41A73"/>
    <w:rsid w:val="00A41DAB"/>
    <w:rsid w:val="00A42361"/>
    <w:rsid w:val="00A50B20"/>
    <w:rsid w:val="00A51390"/>
    <w:rsid w:val="00A5639E"/>
    <w:rsid w:val="00A60D13"/>
    <w:rsid w:val="00A63F98"/>
    <w:rsid w:val="00A66857"/>
    <w:rsid w:val="00A7223D"/>
    <w:rsid w:val="00A72745"/>
    <w:rsid w:val="00A76EFC"/>
    <w:rsid w:val="00A80025"/>
    <w:rsid w:val="00A80201"/>
    <w:rsid w:val="00A822B5"/>
    <w:rsid w:val="00A87D50"/>
    <w:rsid w:val="00A91010"/>
    <w:rsid w:val="00A913C8"/>
    <w:rsid w:val="00A97F29"/>
    <w:rsid w:val="00AA101A"/>
    <w:rsid w:val="00AA54C2"/>
    <w:rsid w:val="00AA5601"/>
    <w:rsid w:val="00AA702E"/>
    <w:rsid w:val="00AA7D26"/>
    <w:rsid w:val="00AB0964"/>
    <w:rsid w:val="00AB275E"/>
    <w:rsid w:val="00AB5011"/>
    <w:rsid w:val="00AC6DA4"/>
    <w:rsid w:val="00AC7368"/>
    <w:rsid w:val="00AD16B9"/>
    <w:rsid w:val="00AE309B"/>
    <w:rsid w:val="00AE3398"/>
    <w:rsid w:val="00AE377D"/>
    <w:rsid w:val="00AE5E95"/>
    <w:rsid w:val="00AE6A63"/>
    <w:rsid w:val="00AF0772"/>
    <w:rsid w:val="00AF09B6"/>
    <w:rsid w:val="00AF0EBA"/>
    <w:rsid w:val="00AF5C3B"/>
    <w:rsid w:val="00AF6669"/>
    <w:rsid w:val="00B01AE3"/>
    <w:rsid w:val="00B01BF2"/>
    <w:rsid w:val="00B02C8A"/>
    <w:rsid w:val="00B14037"/>
    <w:rsid w:val="00B14439"/>
    <w:rsid w:val="00B153A9"/>
    <w:rsid w:val="00B15BD5"/>
    <w:rsid w:val="00B15EBF"/>
    <w:rsid w:val="00B17FBD"/>
    <w:rsid w:val="00B221DB"/>
    <w:rsid w:val="00B22486"/>
    <w:rsid w:val="00B22930"/>
    <w:rsid w:val="00B30436"/>
    <w:rsid w:val="00B30A5E"/>
    <w:rsid w:val="00B315A6"/>
    <w:rsid w:val="00B31813"/>
    <w:rsid w:val="00B33365"/>
    <w:rsid w:val="00B34338"/>
    <w:rsid w:val="00B36D32"/>
    <w:rsid w:val="00B459B4"/>
    <w:rsid w:val="00B50B56"/>
    <w:rsid w:val="00B50EAB"/>
    <w:rsid w:val="00B53C1F"/>
    <w:rsid w:val="00B55169"/>
    <w:rsid w:val="00B57768"/>
    <w:rsid w:val="00B57B36"/>
    <w:rsid w:val="00B57E6F"/>
    <w:rsid w:val="00B63565"/>
    <w:rsid w:val="00B7187B"/>
    <w:rsid w:val="00B73D1B"/>
    <w:rsid w:val="00B755FF"/>
    <w:rsid w:val="00B810F8"/>
    <w:rsid w:val="00B833E1"/>
    <w:rsid w:val="00B84E9A"/>
    <w:rsid w:val="00B8686D"/>
    <w:rsid w:val="00B87EB6"/>
    <w:rsid w:val="00B93F69"/>
    <w:rsid w:val="00BA1341"/>
    <w:rsid w:val="00BA3A6A"/>
    <w:rsid w:val="00BB1DDC"/>
    <w:rsid w:val="00BC0780"/>
    <w:rsid w:val="00BC30C9"/>
    <w:rsid w:val="00BC5C09"/>
    <w:rsid w:val="00BD077D"/>
    <w:rsid w:val="00BE1F2F"/>
    <w:rsid w:val="00BE3E58"/>
    <w:rsid w:val="00BF0BB2"/>
    <w:rsid w:val="00BF1FF8"/>
    <w:rsid w:val="00BF48CF"/>
    <w:rsid w:val="00C01616"/>
    <w:rsid w:val="00C0162B"/>
    <w:rsid w:val="00C05AC0"/>
    <w:rsid w:val="00C068ED"/>
    <w:rsid w:val="00C07049"/>
    <w:rsid w:val="00C109AB"/>
    <w:rsid w:val="00C161ED"/>
    <w:rsid w:val="00C22E0C"/>
    <w:rsid w:val="00C25859"/>
    <w:rsid w:val="00C345B1"/>
    <w:rsid w:val="00C355BE"/>
    <w:rsid w:val="00C40142"/>
    <w:rsid w:val="00C470DF"/>
    <w:rsid w:val="00C52C3C"/>
    <w:rsid w:val="00C57182"/>
    <w:rsid w:val="00C57863"/>
    <w:rsid w:val="00C640AF"/>
    <w:rsid w:val="00C65471"/>
    <w:rsid w:val="00C655FD"/>
    <w:rsid w:val="00C65A31"/>
    <w:rsid w:val="00C73D25"/>
    <w:rsid w:val="00C75407"/>
    <w:rsid w:val="00C75E5E"/>
    <w:rsid w:val="00C77E8E"/>
    <w:rsid w:val="00C83ED2"/>
    <w:rsid w:val="00C844D0"/>
    <w:rsid w:val="00C84A01"/>
    <w:rsid w:val="00C870A8"/>
    <w:rsid w:val="00C94434"/>
    <w:rsid w:val="00CA0D4A"/>
    <w:rsid w:val="00CA0D75"/>
    <w:rsid w:val="00CA1C95"/>
    <w:rsid w:val="00CA1DDD"/>
    <w:rsid w:val="00CA2998"/>
    <w:rsid w:val="00CA5A9C"/>
    <w:rsid w:val="00CB04AD"/>
    <w:rsid w:val="00CC4C20"/>
    <w:rsid w:val="00CC7645"/>
    <w:rsid w:val="00CC7721"/>
    <w:rsid w:val="00CD17A2"/>
    <w:rsid w:val="00CD3517"/>
    <w:rsid w:val="00CD5FE2"/>
    <w:rsid w:val="00CD72BC"/>
    <w:rsid w:val="00CE128A"/>
    <w:rsid w:val="00CE7C68"/>
    <w:rsid w:val="00D02B4C"/>
    <w:rsid w:val="00D040C4"/>
    <w:rsid w:val="00D04B3A"/>
    <w:rsid w:val="00D1046D"/>
    <w:rsid w:val="00D107D6"/>
    <w:rsid w:val="00D11298"/>
    <w:rsid w:val="00D1492A"/>
    <w:rsid w:val="00D20AD1"/>
    <w:rsid w:val="00D309B3"/>
    <w:rsid w:val="00D326F1"/>
    <w:rsid w:val="00D36803"/>
    <w:rsid w:val="00D37A8A"/>
    <w:rsid w:val="00D41A58"/>
    <w:rsid w:val="00D46B7E"/>
    <w:rsid w:val="00D5615C"/>
    <w:rsid w:val="00D57C84"/>
    <w:rsid w:val="00D601D0"/>
    <w:rsid w:val="00D603C5"/>
    <w:rsid w:val="00D6057D"/>
    <w:rsid w:val="00D60771"/>
    <w:rsid w:val="00D648EC"/>
    <w:rsid w:val="00D67306"/>
    <w:rsid w:val="00D71640"/>
    <w:rsid w:val="00D74AD5"/>
    <w:rsid w:val="00D836C5"/>
    <w:rsid w:val="00D84576"/>
    <w:rsid w:val="00D86E7E"/>
    <w:rsid w:val="00D8755B"/>
    <w:rsid w:val="00D93092"/>
    <w:rsid w:val="00DA1399"/>
    <w:rsid w:val="00DA24C6"/>
    <w:rsid w:val="00DA4D7B"/>
    <w:rsid w:val="00DA6194"/>
    <w:rsid w:val="00DB6945"/>
    <w:rsid w:val="00DC297B"/>
    <w:rsid w:val="00DC3853"/>
    <w:rsid w:val="00DD271C"/>
    <w:rsid w:val="00DE0722"/>
    <w:rsid w:val="00DE264A"/>
    <w:rsid w:val="00DE2AB7"/>
    <w:rsid w:val="00DE4810"/>
    <w:rsid w:val="00DE4B57"/>
    <w:rsid w:val="00DF440B"/>
    <w:rsid w:val="00DF5072"/>
    <w:rsid w:val="00DF7CFF"/>
    <w:rsid w:val="00E013A5"/>
    <w:rsid w:val="00E028AA"/>
    <w:rsid w:val="00E02BB0"/>
    <w:rsid w:val="00E02D18"/>
    <w:rsid w:val="00E041E7"/>
    <w:rsid w:val="00E155A7"/>
    <w:rsid w:val="00E17FBA"/>
    <w:rsid w:val="00E22D56"/>
    <w:rsid w:val="00E235C7"/>
    <w:rsid w:val="00E23CA1"/>
    <w:rsid w:val="00E30F4C"/>
    <w:rsid w:val="00E33DD7"/>
    <w:rsid w:val="00E33F85"/>
    <w:rsid w:val="00E36A0C"/>
    <w:rsid w:val="00E409A8"/>
    <w:rsid w:val="00E441D7"/>
    <w:rsid w:val="00E45C16"/>
    <w:rsid w:val="00E50C12"/>
    <w:rsid w:val="00E523A9"/>
    <w:rsid w:val="00E53F02"/>
    <w:rsid w:val="00E558B5"/>
    <w:rsid w:val="00E65B91"/>
    <w:rsid w:val="00E65E48"/>
    <w:rsid w:val="00E66F65"/>
    <w:rsid w:val="00E66F71"/>
    <w:rsid w:val="00E6741D"/>
    <w:rsid w:val="00E701B4"/>
    <w:rsid w:val="00E7094F"/>
    <w:rsid w:val="00E7209D"/>
    <w:rsid w:val="00E72EAD"/>
    <w:rsid w:val="00E74FAA"/>
    <w:rsid w:val="00E77213"/>
    <w:rsid w:val="00E77223"/>
    <w:rsid w:val="00E77E12"/>
    <w:rsid w:val="00E81EBB"/>
    <w:rsid w:val="00E82D52"/>
    <w:rsid w:val="00E8528B"/>
    <w:rsid w:val="00E85B94"/>
    <w:rsid w:val="00E87305"/>
    <w:rsid w:val="00E9139B"/>
    <w:rsid w:val="00E933CC"/>
    <w:rsid w:val="00E978D0"/>
    <w:rsid w:val="00E97985"/>
    <w:rsid w:val="00EA01F1"/>
    <w:rsid w:val="00EA0B12"/>
    <w:rsid w:val="00EA2125"/>
    <w:rsid w:val="00EA4613"/>
    <w:rsid w:val="00EA7F91"/>
    <w:rsid w:val="00EB1523"/>
    <w:rsid w:val="00EB4F40"/>
    <w:rsid w:val="00EC0E49"/>
    <w:rsid w:val="00EC101F"/>
    <w:rsid w:val="00EC1D9F"/>
    <w:rsid w:val="00EC22AD"/>
    <w:rsid w:val="00EC22D9"/>
    <w:rsid w:val="00EC55CF"/>
    <w:rsid w:val="00EC700D"/>
    <w:rsid w:val="00ED11D7"/>
    <w:rsid w:val="00ED2C4D"/>
    <w:rsid w:val="00ED4DEF"/>
    <w:rsid w:val="00ED7105"/>
    <w:rsid w:val="00EE0131"/>
    <w:rsid w:val="00EE14D6"/>
    <w:rsid w:val="00EE17B0"/>
    <w:rsid w:val="00EE7BB6"/>
    <w:rsid w:val="00EF06D9"/>
    <w:rsid w:val="00EF598C"/>
    <w:rsid w:val="00EF6020"/>
    <w:rsid w:val="00EF7055"/>
    <w:rsid w:val="00EF7501"/>
    <w:rsid w:val="00F00BAC"/>
    <w:rsid w:val="00F04FEC"/>
    <w:rsid w:val="00F12539"/>
    <w:rsid w:val="00F27650"/>
    <w:rsid w:val="00F277E9"/>
    <w:rsid w:val="00F3049E"/>
    <w:rsid w:val="00F30C64"/>
    <w:rsid w:val="00F32BA2"/>
    <w:rsid w:val="00F32CDB"/>
    <w:rsid w:val="00F34537"/>
    <w:rsid w:val="00F422B5"/>
    <w:rsid w:val="00F47495"/>
    <w:rsid w:val="00F508CB"/>
    <w:rsid w:val="00F54852"/>
    <w:rsid w:val="00F565FE"/>
    <w:rsid w:val="00F63A70"/>
    <w:rsid w:val="00F63D8C"/>
    <w:rsid w:val="00F71557"/>
    <w:rsid w:val="00F73D72"/>
    <w:rsid w:val="00F7534E"/>
    <w:rsid w:val="00F83650"/>
    <w:rsid w:val="00F86B54"/>
    <w:rsid w:val="00F93EDF"/>
    <w:rsid w:val="00FA051A"/>
    <w:rsid w:val="00FA1802"/>
    <w:rsid w:val="00FA21D0"/>
    <w:rsid w:val="00FA4B84"/>
    <w:rsid w:val="00FA5183"/>
    <w:rsid w:val="00FA5F5F"/>
    <w:rsid w:val="00FA6702"/>
    <w:rsid w:val="00FB6F11"/>
    <w:rsid w:val="00FB730C"/>
    <w:rsid w:val="00FC2695"/>
    <w:rsid w:val="00FC3E03"/>
    <w:rsid w:val="00FC3FC1"/>
    <w:rsid w:val="00FC6E59"/>
    <w:rsid w:val="00FD5060"/>
    <w:rsid w:val="00FD68EB"/>
    <w:rsid w:val="00FE002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Menzionenonrisolta1">
    <w:name w:val="Menzione non risolta1"/>
    <w:basedOn w:val="Carpredefinitoparagrafo"/>
    <w:uiPriority w:val="99"/>
    <w:semiHidden/>
    <w:unhideWhenUsed/>
    <w:rsid w:val="003F00E8"/>
    <w:rPr>
      <w:color w:val="605E5C"/>
      <w:shd w:val="clear" w:color="auto" w:fill="E1DFDD"/>
    </w:rPr>
  </w:style>
  <w:style w:type="paragraph" w:styleId="Revisione">
    <w:name w:val="Revision"/>
    <w:hidden/>
    <w:uiPriority w:val="99"/>
    <w:semiHidden/>
    <w:rsid w:val="009F3D3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azzettaufficiale.it/eli/id/2010/05/26/010G0096/s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sprambiente.gov.it/contentfiles/00003500/3544-manuali-2003-2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E5F6-CCE2-4EC3-9252-2032C7C7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3495</Words>
  <Characters>19928</Characters>
  <Application>Microsoft Office Word</Application>
  <DocSecurity>0</DocSecurity>
  <Lines>166</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Federica Barontini</cp:lastModifiedBy>
  <cp:revision>6</cp:revision>
  <cp:lastPrinted>2015-05-12T18:31:00Z</cp:lastPrinted>
  <dcterms:created xsi:type="dcterms:W3CDTF">2024-03-29T16:06:00Z</dcterms:created>
  <dcterms:modified xsi:type="dcterms:W3CDTF">2024-03-29T16:34:00Z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9a53859b64a7eb43f655a48a0741b34964625465f50cf1c72871ce9d91baf86d</vt:lpwstr>
  </property>
</Properties>
</file>