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41FC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41FC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41FCE">
        <w:trPr>
          <w:trHeight w:val="68"/>
          <w:jc w:val="center"/>
        </w:trPr>
        <w:tc>
          <w:tcPr>
            <w:tcW w:w="8782" w:type="dxa"/>
            <w:gridSpan w:val="2"/>
          </w:tcPr>
          <w:p w14:paraId="1D8DD3C9" w14:textId="7714D1F9"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B95AA95" w14:textId="77777777" w:rsidR="008C0F31" w:rsidRDefault="008C0F31" w:rsidP="008C0F31">
      <w:pPr>
        <w:tabs>
          <w:tab w:val="clear" w:pos="7100"/>
        </w:tabs>
        <w:spacing w:line="240" w:lineRule="auto"/>
        <w:jc w:val="center"/>
        <w:rPr>
          <w:rFonts w:eastAsia="Calibri" w:cs="Arial"/>
          <w:sz w:val="32"/>
          <w:szCs w:val="32"/>
          <w:lang w:val="en-US"/>
        </w:rPr>
      </w:pPr>
    </w:p>
    <w:p w14:paraId="4B87EEF9" w14:textId="658E350A" w:rsidR="00141FCE" w:rsidRDefault="00141FCE" w:rsidP="00261463">
      <w:pPr>
        <w:tabs>
          <w:tab w:val="clear" w:pos="7100"/>
        </w:tabs>
        <w:spacing w:after="160" w:line="259" w:lineRule="auto"/>
        <w:jc w:val="center"/>
        <w:rPr>
          <w:rFonts w:eastAsia="Calibri" w:cs="Arial"/>
          <w:sz w:val="32"/>
          <w:szCs w:val="32"/>
          <w:lang w:val="en-US"/>
        </w:rPr>
      </w:pPr>
      <w:r w:rsidRPr="00141FCE">
        <w:rPr>
          <w:rFonts w:eastAsia="Calibri" w:cs="Arial"/>
          <w:sz w:val="32"/>
          <w:szCs w:val="32"/>
          <w:lang w:val="en-US"/>
        </w:rPr>
        <w:t>Kinetics and Adsorption Equilibrium of Copper and Manganese with Olive Endocarp for the Remediation of Acidic Waters</w:t>
      </w:r>
    </w:p>
    <w:p w14:paraId="33D8ABB5" w14:textId="4D94F190" w:rsidR="00261463" w:rsidRPr="00141FCE" w:rsidRDefault="00261463" w:rsidP="00261463">
      <w:pPr>
        <w:tabs>
          <w:tab w:val="clear" w:pos="7100"/>
        </w:tabs>
        <w:spacing w:after="160" w:line="259" w:lineRule="auto"/>
        <w:jc w:val="center"/>
        <w:rPr>
          <w:rFonts w:eastAsia="Calibri" w:cs="Arial"/>
          <w:sz w:val="24"/>
          <w:szCs w:val="24"/>
          <w:lang w:val="es-PE"/>
        </w:rPr>
      </w:pPr>
      <w:r w:rsidRPr="00141FCE">
        <w:rPr>
          <w:rFonts w:eastAsia="Calibri" w:cs="Arial"/>
          <w:sz w:val="24"/>
          <w:szCs w:val="24"/>
          <w:lang w:val="es-PE"/>
        </w:rPr>
        <w:t xml:space="preserve">Eusterio H. Acosta Suasnabar*, Jessica E. Palomares Ulloa, </w:t>
      </w:r>
      <w:r w:rsidR="00A834BD" w:rsidRPr="00A834BD">
        <w:rPr>
          <w:rFonts w:eastAsia="Calibri" w:cs="Arial"/>
          <w:sz w:val="24"/>
          <w:szCs w:val="24"/>
          <w:lang w:val="es-PE"/>
        </w:rPr>
        <w:t>Danny A. Lizarzaburu Aguinaga</w:t>
      </w:r>
      <w:r w:rsidRPr="00141FCE">
        <w:rPr>
          <w:rFonts w:eastAsia="Calibri" w:cs="Arial"/>
          <w:sz w:val="24"/>
          <w:szCs w:val="24"/>
          <w:lang w:val="es-PE"/>
        </w:rPr>
        <w:t xml:space="preserve">, Elmer Benites-Alfaro, </w:t>
      </w:r>
      <w:r w:rsidR="00A834BD" w:rsidRPr="00A834BD">
        <w:rPr>
          <w:rFonts w:eastAsia="Calibri" w:cs="Arial"/>
          <w:sz w:val="24"/>
          <w:szCs w:val="24"/>
          <w:lang w:val="es-PE"/>
        </w:rPr>
        <w:t>Carlos A. Castañeda Olivera</w:t>
      </w:r>
      <w:r w:rsidR="00A834BD">
        <w:rPr>
          <w:rFonts w:eastAsia="Calibri" w:cs="Arial"/>
          <w:sz w:val="24"/>
          <w:szCs w:val="24"/>
          <w:lang w:val="es-PE"/>
        </w:rPr>
        <w:t xml:space="preserve">, </w:t>
      </w:r>
      <w:r w:rsidRPr="00141FCE">
        <w:rPr>
          <w:rFonts w:eastAsia="Calibri" w:cs="Arial"/>
          <w:sz w:val="24"/>
          <w:szCs w:val="24"/>
          <w:lang w:val="es-PE"/>
        </w:rPr>
        <w:t>Sixto S. Mendoza Vilca.</w:t>
      </w:r>
    </w:p>
    <w:p w14:paraId="1A3FFF7F" w14:textId="77777777" w:rsidR="00261463" w:rsidRPr="00261463" w:rsidRDefault="00261463" w:rsidP="00BC3442">
      <w:pPr>
        <w:tabs>
          <w:tab w:val="clear" w:pos="7100"/>
        </w:tabs>
        <w:spacing w:line="240" w:lineRule="auto"/>
        <w:rPr>
          <w:rFonts w:eastAsia="Calibri" w:cs="Arial"/>
          <w:sz w:val="16"/>
          <w:szCs w:val="16"/>
          <w:lang w:val="es-PE"/>
        </w:rPr>
      </w:pPr>
      <w:bookmarkStart w:id="0" w:name="_Hlk155855396"/>
      <w:r w:rsidRPr="00261463">
        <w:rPr>
          <w:rFonts w:eastAsia="Calibri" w:cs="Arial"/>
          <w:sz w:val="16"/>
          <w:szCs w:val="16"/>
          <w:lang w:val="es-PE"/>
        </w:rPr>
        <w:t>Universidad César Vallejo, Escuela de Ingeniería Ambiental, Av. Alfredo Mendiola 6232 Los Olivos, Lima Perú</w:t>
      </w:r>
      <w:bookmarkEnd w:id="0"/>
      <w:r w:rsidRPr="00261463">
        <w:rPr>
          <w:rFonts w:eastAsia="Calibri" w:cs="Arial"/>
          <w:sz w:val="16"/>
          <w:szCs w:val="16"/>
          <w:lang w:val="es-PE"/>
        </w:rPr>
        <w:t>.</w:t>
      </w:r>
    </w:p>
    <w:p w14:paraId="24395C37" w14:textId="77777777" w:rsidR="00261463" w:rsidRPr="00DC5301" w:rsidRDefault="00261463" w:rsidP="00BC3442">
      <w:pPr>
        <w:tabs>
          <w:tab w:val="clear" w:pos="7100"/>
        </w:tabs>
        <w:spacing w:line="240" w:lineRule="auto"/>
        <w:rPr>
          <w:rFonts w:eastAsia="Calibri" w:cs="Arial"/>
          <w:color w:val="0563C1"/>
          <w:sz w:val="16"/>
          <w:szCs w:val="16"/>
          <w:u w:val="single"/>
          <w:lang w:val="en-US"/>
        </w:rPr>
      </w:pPr>
      <w:proofErr w:type="spellStart"/>
      <w:r w:rsidRPr="00DC5301">
        <w:rPr>
          <w:rFonts w:eastAsia="Calibri" w:cs="Arial"/>
          <w:sz w:val="16"/>
          <w:szCs w:val="16"/>
          <w:lang w:val="en-US"/>
        </w:rPr>
        <w:t>Coresponding</w:t>
      </w:r>
      <w:proofErr w:type="spellEnd"/>
      <w:r w:rsidRPr="00DC5301">
        <w:rPr>
          <w:rFonts w:eastAsia="Calibri" w:cs="Arial"/>
          <w:sz w:val="16"/>
          <w:szCs w:val="16"/>
          <w:lang w:val="en-US"/>
        </w:rPr>
        <w:t xml:space="preserve">: </w:t>
      </w:r>
      <w:hyperlink r:id="rId10" w:history="1">
        <w:r w:rsidRPr="00DC5301">
          <w:rPr>
            <w:rFonts w:eastAsia="Calibri" w:cs="Arial"/>
            <w:color w:val="0563C1"/>
            <w:sz w:val="16"/>
            <w:szCs w:val="16"/>
            <w:u w:val="single"/>
            <w:lang w:val="en-US"/>
          </w:rPr>
          <w:t>eacostas@ucv.edu.pe</w:t>
        </w:r>
      </w:hyperlink>
    </w:p>
    <w:p w14:paraId="133EC507" w14:textId="77777777" w:rsidR="00BC3442" w:rsidRPr="00DC5301" w:rsidRDefault="00BC3442" w:rsidP="00BC3442">
      <w:pPr>
        <w:tabs>
          <w:tab w:val="clear" w:pos="7100"/>
        </w:tabs>
        <w:spacing w:line="240" w:lineRule="auto"/>
        <w:rPr>
          <w:rFonts w:eastAsia="Calibri" w:cs="Arial"/>
          <w:color w:val="0563C1"/>
          <w:sz w:val="16"/>
          <w:szCs w:val="16"/>
          <w:u w:val="single"/>
          <w:lang w:val="en-US"/>
        </w:rPr>
      </w:pPr>
    </w:p>
    <w:p w14:paraId="4BC1FFB8" w14:textId="607B9906" w:rsidR="00A82735" w:rsidRPr="00A82735" w:rsidRDefault="00A82735" w:rsidP="008343FE">
      <w:pPr>
        <w:pStyle w:val="CETAuthors"/>
        <w:rPr>
          <w:sz w:val="18"/>
          <w:szCs w:val="18"/>
          <w:lang w:val="en-US"/>
        </w:rPr>
      </w:pPr>
      <w:bookmarkStart w:id="1" w:name="_Hlk155600946"/>
      <w:r w:rsidRPr="00A82735">
        <w:rPr>
          <w:sz w:val="18"/>
          <w:szCs w:val="18"/>
          <w:lang w:val="en-US"/>
        </w:rPr>
        <w:t>Acidic waters represent an environmental issue that adversely impacts aquatic life and disrupts the quality of surface and groundwater, leading to significant consequences for nearby communities, which are the most affected. This research aimed to study the kinetics and equilibrium adsorption of Cu (II) and Mn (II) using olive endocarp to treat acidic waters from a mining unit. In the study, adsorption tests were conducted by varying the pH of the initial samples to values of 3 and 5. Additionally, the amount of adsorbent was adjusted from 0.5 g to 2 g, and the contact time ranged from 30 minutes to 120 minutes. The results of the adsorption tests revealed that, at pH 3 and 5, the removal efficiency of Cu (II) was 61.20% and 73.08%, respectively, and Mn (II) was 99.14% and 89.44%, respectively. Both metals were treated with 1 g of adsorbent and a 90-minute contact time. Furthermore, the adsorption kinetics of Cu (II) and Mn (II) were evaluated, determining that the first-order reaction kinetics best fit the study. The correlation values obtained were R</w:t>
      </w:r>
      <w:r w:rsidRPr="00134D28">
        <w:rPr>
          <w:sz w:val="18"/>
          <w:szCs w:val="18"/>
          <w:vertAlign w:val="superscript"/>
          <w:lang w:val="en-US"/>
        </w:rPr>
        <w:t>2</w:t>
      </w:r>
      <w:r w:rsidRPr="00A82735">
        <w:rPr>
          <w:sz w:val="18"/>
          <w:szCs w:val="18"/>
          <w:lang w:val="en-US"/>
        </w:rPr>
        <w:t>=0.8252 for Cu (II) and R</w:t>
      </w:r>
      <w:r w:rsidRPr="00134D28">
        <w:rPr>
          <w:sz w:val="18"/>
          <w:szCs w:val="18"/>
          <w:vertAlign w:val="superscript"/>
          <w:lang w:val="en-US"/>
        </w:rPr>
        <w:t>2</w:t>
      </w:r>
      <w:r w:rsidRPr="00A82735">
        <w:rPr>
          <w:sz w:val="18"/>
          <w:szCs w:val="18"/>
          <w:lang w:val="en-US"/>
        </w:rPr>
        <w:t>=0.966 for Mn (II). Concerning equilibrium, it was determined that the Freundlich isotherm best represented the adsorption process of Cu (II) and Mn (II), with correlation values of R</w:t>
      </w:r>
      <w:r w:rsidRPr="00134D28">
        <w:rPr>
          <w:sz w:val="18"/>
          <w:szCs w:val="18"/>
          <w:vertAlign w:val="superscript"/>
          <w:lang w:val="en-US"/>
        </w:rPr>
        <w:t>2</w:t>
      </w:r>
      <w:r w:rsidRPr="00A82735">
        <w:rPr>
          <w:sz w:val="18"/>
          <w:szCs w:val="18"/>
          <w:lang w:val="en-US"/>
        </w:rPr>
        <w:t>=0.9618 and R</w:t>
      </w:r>
      <w:r w:rsidRPr="00134D28">
        <w:rPr>
          <w:sz w:val="18"/>
          <w:szCs w:val="18"/>
          <w:vertAlign w:val="superscript"/>
          <w:lang w:val="en-US"/>
        </w:rPr>
        <w:t>2</w:t>
      </w:r>
      <w:r w:rsidRPr="00A82735">
        <w:rPr>
          <w:sz w:val="18"/>
          <w:szCs w:val="18"/>
          <w:lang w:val="en-US"/>
        </w:rPr>
        <w:t>=0.9709, respectively. This approach successfully achieved metal adsorption and improved the quality of the acidic effluent.</w:t>
      </w:r>
    </w:p>
    <w:bookmarkEnd w:id="1"/>
    <w:p w14:paraId="476B2F2E" w14:textId="77777777" w:rsidR="00600535" w:rsidRDefault="00600535" w:rsidP="00600535">
      <w:pPr>
        <w:pStyle w:val="CETHeading1"/>
        <w:rPr>
          <w:lang w:val="en-GB"/>
        </w:rPr>
      </w:pPr>
      <w:r w:rsidRPr="00B57B36">
        <w:rPr>
          <w:lang w:val="en-GB"/>
        </w:rPr>
        <w:t>Introduction</w:t>
      </w:r>
    </w:p>
    <w:p w14:paraId="4B970B70" w14:textId="06A35EC7" w:rsidR="00141FCE" w:rsidRPr="00714C19" w:rsidRDefault="00714C19" w:rsidP="00261463">
      <w:pPr>
        <w:pStyle w:val="CETBodytext"/>
      </w:pPr>
      <w:r w:rsidRPr="00714C19">
        <w:t>Worldwide, environmental concern is linked to water pollution caused by various unwanted compounds, such as active pharmaceutical ingredients (APIs), industrial and chemical additives, pesticides, herbicides, steroids, hormones, personal care products, surfactants, gasoline additives, heavy metal ions, and microplastics (UN, 2017). The presence of these pollutants poses serious health risks. Most heavy metals, including chromium, cadmium, arsenic, mercury, and lead, found in drinking water supplies, can cause organ damage, metabolic disorders, and other diseases such as anemia, skin lesions, and vascular problems (Balali-Mood et al., 2021). Like other metals, manganese is resistant to biodegradation and tends to accumulate in the food chain (Fu, Wang, 2011). Managing water contaminated with manganese poses a significant environmental threat due to its harmful effects on living organisms (Alvarez-Bastida et al., 2013).</w:t>
      </w:r>
    </w:p>
    <w:p w14:paraId="1BBDB3F6" w14:textId="744712EA" w:rsidR="00714C19" w:rsidRPr="00C94504" w:rsidRDefault="00C94504" w:rsidP="00261463">
      <w:pPr>
        <w:pStyle w:val="CETBodytext"/>
      </w:pPr>
      <w:r w:rsidRPr="00C94504">
        <w:t xml:space="preserve">Water contamination from mining activities usually originates primarily from the leachate emitted by acid mine drainage (AMD). This process occurs through the oxidation of sulfide minerals, enhanced by the action of chemotrophic acidophilic microorganisms. These effluents consist of acidic waters with a </w:t>
      </w:r>
      <w:r w:rsidR="001B6658" w:rsidRPr="001B6658">
        <w:t>low</w:t>
      </w:r>
      <w:r w:rsidRPr="00C94504">
        <w:t xml:space="preserve"> pH that ultimately settle in a tailings dam (</w:t>
      </w:r>
      <w:proofErr w:type="spellStart"/>
      <w:r w:rsidRPr="00C94504">
        <w:t>Yadollahi</w:t>
      </w:r>
      <w:proofErr w:type="spellEnd"/>
      <w:r w:rsidRPr="00C94504">
        <w:t xml:space="preserve"> et al., 2021). Various conventional methods are employed to neutralize and remediate Acid Mine Drainage (AMD) to comply with permissible discharge limits for environmental sustainability. However, these techniques are costly and are mostly associated with various ecological challenges (Mang and </w:t>
      </w:r>
      <w:proofErr w:type="spellStart"/>
      <w:r w:rsidRPr="00C94504">
        <w:t>Ntushelo</w:t>
      </w:r>
      <w:proofErr w:type="spellEnd"/>
      <w:r w:rsidRPr="00C94504">
        <w:t>, 2020).</w:t>
      </w:r>
    </w:p>
    <w:p w14:paraId="2A49AD88" w14:textId="73B6D9DD" w:rsidR="00C94504" w:rsidRDefault="006B5C40" w:rsidP="00261463">
      <w:pPr>
        <w:pStyle w:val="CETBodytext"/>
      </w:pPr>
      <w:r w:rsidRPr="006B5C40">
        <w:t xml:space="preserve">To achieve higher sorption efficiency, it is recommended to consider a fluidized bed column with effective absorbent agents. The proper choice of material is essential for the removal of solid particles and the simultaneous adsorption of ions and organic compounds. Various sorbents and types of installations exist, such as activated carbon (Pruss et al., 2009), zeolites (Ursini et al., 2006), clays (Lazaratou et al., 2020), and other </w:t>
      </w:r>
      <w:r w:rsidRPr="006B5C40">
        <w:lastRenderedPageBreak/>
        <w:t>natural minerals. Activated carbon encompasses various types of absorbents characterized by their high sorption capacity and well-developed surface. However, it is susceptible to colonization by microorganisms due to the lack of bacteriostatic properties (Holc et al., 2016).</w:t>
      </w:r>
    </w:p>
    <w:p w14:paraId="78B18C08" w14:textId="3C108B6A" w:rsidR="00AD3FAF" w:rsidRPr="00AA01A3" w:rsidRDefault="001B6658" w:rsidP="008C0F31">
      <w:pPr>
        <w:pStyle w:val="CETBodytext"/>
        <w:spacing w:line="240" w:lineRule="auto"/>
        <w:rPr>
          <w:lang w:val="en-GB"/>
        </w:rPr>
      </w:pPr>
      <w:r w:rsidRPr="001B6658">
        <w:t>The olive pit charcoal</w:t>
      </w:r>
      <w:r>
        <w:t xml:space="preserve"> </w:t>
      </w:r>
      <w:r w:rsidR="00AA37A5" w:rsidRPr="00AA37A5">
        <w:t xml:space="preserve">is used as a bioadsorbent for metal ions, as it contains functional groups from cellulose, hemicellulose, and lignin (Driss S., 2010). The process involves the binding of metal ions to negatively charged functional groups present on the cell surface, followed by their accumulation inside the vacuole (Kaur Brar et al., 2022). </w:t>
      </w:r>
      <w:r w:rsidR="00AA01A3" w:rsidRPr="00AA01A3">
        <w:t>The research provides significant insights into the efficacy and potential application of activated carbon derived from olive endocarp in treating acidic mine waters, as well as the identification of suitable kinetic and equilibrium models to understand and predict the adsorption process of metals such as Cu (II) and Mn (II) in these acidic waters originating from the mining unit. Currently, it is critical to mitigate the negative environmental impacts associated with the discharge of acidic mine water</w:t>
      </w:r>
      <w:r w:rsidR="00AA01A3">
        <w:t>s.</w:t>
      </w:r>
    </w:p>
    <w:p w14:paraId="18A1106B" w14:textId="77777777" w:rsidR="00AA37A5" w:rsidRPr="00AA01A3" w:rsidRDefault="00AA37A5" w:rsidP="00261463">
      <w:pPr>
        <w:pStyle w:val="CETBodytext"/>
        <w:rPr>
          <w:lang w:val="en-GB"/>
        </w:rPr>
      </w:pPr>
    </w:p>
    <w:p w14:paraId="53CB56BB" w14:textId="6B2A7C4C" w:rsidR="00AD3FAF" w:rsidRDefault="00AA37A5" w:rsidP="005509DC">
      <w:pPr>
        <w:pStyle w:val="CETHeading1"/>
        <w:spacing w:before="0" w:after="0" w:line="360" w:lineRule="auto"/>
      </w:pPr>
      <w:r w:rsidRPr="000368C8">
        <w:t>Methodology</w:t>
      </w:r>
    </w:p>
    <w:p w14:paraId="21E8F1F4" w14:textId="241996D3" w:rsidR="00AA37A5" w:rsidRPr="00DC5301" w:rsidRDefault="00AA37A5" w:rsidP="00AA37A5">
      <w:pPr>
        <w:pStyle w:val="CETBodytext"/>
        <w:spacing w:line="360" w:lineRule="auto"/>
        <w:rPr>
          <w:b/>
          <w:bCs/>
          <w:sz w:val="20"/>
        </w:rPr>
      </w:pPr>
      <w:r w:rsidRPr="00DC5301">
        <w:rPr>
          <w:b/>
          <w:bCs/>
          <w:sz w:val="20"/>
        </w:rPr>
        <w:t>2.1</w:t>
      </w:r>
      <w:r w:rsidR="007D50CA">
        <w:rPr>
          <w:b/>
          <w:bCs/>
          <w:sz w:val="20"/>
        </w:rPr>
        <w:t xml:space="preserve"> </w:t>
      </w:r>
      <w:r w:rsidRPr="00DC5301">
        <w:rPr>
          <w:b/>
          <w:bCs/>
          <w:sz w:val="20"/>
        </w:rPr>
        <w:t>Preparation of activated carbon using olive endocarp (Olea europaea)</w:t>
      </w:r>
    </w:p>
    <w:p w14:paraId="7AADBA2B" w14:textId="0347875E" w:rsidR="005509DC" w:rsidRDefault="00AA37A5" w:rsidP="005509DC">
      <w:pPr>
        <w:pStyle w:val="CETBodytext"/>
        <w:spacing w:line="240" w:lineRule="auto"/>
        <w:rPr>
          <w:szCs w:val="18"/>
        </w:rPr>
      </w:pPr>
      <w:r w:rsidRPr="00AA37A5">
        <w:rPr>
          <w:szCs w:val="18"/>
        </w:rPr>
        <w:t>The raw material (Olea europaea) was collected to produce activated carbon. The process began with the removal of impurities and extraction of olive endocarp, which was subsequently ground and sieved with an opening of 0.0098 inches. This material was placed in a muffle furnace at a temperature of 80 °C for 20 hours, following the standards (ASTM D-1105-96). Subsequently, a 50% H</w:t>
      </w:r>
      <w:r w:rsidRPr="00541ACC">
        <w:rPr>
          <w:szCs w:val="18"/>
          <w:vertAlign w:val="subscript"/>
        </w:rPr>
        <w:t>3</w:t>
      </w:r>
      <w:r w:rsidRPr="00AA37A5">
        <w:rPr>
          <w:szCs w:val="18"/>
        </w:rPr>
        <w:t>PO</w:t>
      </w:r>
      <w:r w:rsidRPr="00541ACC">
        <w:rPr>
          <w:szCs w:val="18"/>
          <w:vertAlign w:val="subscript"/>
        </w:rPr>
        <w:t>4</w:t>
      </w:r>
      <w:r w:rsidRPr="00AA37A5">
        <w:rPr>
          <w:szCs w:val="18"/>
        </w:rPr>
        <w:t xml:space="preserve"> activating agent was prepared (Bohli, Ouederni, Villaescusa, 2013), and the olive endocarp was impregnated with this activating agent in a ratio of 1:3. Finally, the charcoal was activated at a temperature of 600 °C for 1 hour.</w:t>
      </w:r>
    </w:p>
    <w:p w14:paraId="18943953" w14:textId="77777777" w:rsidR="00541ACC" w:rsidRDefault="00541ACC" w:rsidP="005509DC">
      <w:pPr>
        <w:pStyle w:val="CETBodytext"/>
        <w:spacing w:line="240" w:lineRule="auto"/>
        <w:rPr>
          <w:szCs w:val="18"/>
        </w:rPr>
      </w:pPr>
    </w:p>
    <w:p w14:paraId="2475ABC8" w14:textId="4850D288" w:rsidR="00541ACC" w:rsidRPr="00541ACC" w:rsidRDefault="00541ACC" w:rsidP="00541ACC">
      <w:pPr>
        <w:pStyle w:val="CETBodytext"/>
        <w:spacing w:line="360" w:lineRule="auto"/>
        <w:rPr>
          <w:b/>
          <w:bCs/>
          <w:sz w:val="20"/>
        </w:rPr>
      </w:pPr>
      <w:r w:rsidRPr="00541ACC">
        <w:rPr>
          <w:b/>
          <w:bCs/>
          <w:sz w:val="20"/>
        </w:rPr>
        <w:t>2.2</w:t>
      </w:r>
      <w:r w:rsidR="007D50CA">
        <w:rPr>
          <w:b/>
          <w:bCs/>
          <w:sz w:val="20"/>
        </w:rPr>
        <w:t xml:space="preserve"> </w:t>
      </w:r>
      <w:r w:rsidRPr="00541ACC">
        <w:rPr>
          <w:b/>
          <w:bCs/>
          <w:sz w:val="20"/>
        </w:rPr>
        <w:t>Characterization of Acid Mine Drainage (AMD)</w:t>
      </w:r>
    </w:p>
    <w:p w14:paraId="0A22AAE6" w14:textId="543412AD" w:rsidR="00541ACC" w:rsidRDefault="00265BBF" w:rsidP="00541ACC">
      <w:pPr>
        <w:pStyle w:val="CETBodytext"/>
        <w:spacing w:line="240" w:lineRule="auto"/>
      </w:pPr>
      <w:r w:rsidRPr="00265BBF">
        <w:t>The AMD sample with pH 2.9,</w:t>
      </w:r>
      <w:r>
        <w:t xml:space="preserve"> </w:t>
      </w:r>
      <w:r w:rsidR="00541ACC" w:rsidRPr="00541ACC">
        <w:t xml:space="preserve">was collected from the acidic waters originating from discharges directed towards the Water Treatment Plant of the Yauricocha Mining Unit. This procedure followed the water monitoring protocol established by MINEM (MINEM, 2010). </w:t>
      </w:r>
    </w:p>
    <w:p w14:paraId="36545DA6" w14:textId="77777777" w:rsidR="00541ACC" w:rsidRPr="00DC5301" w:rsidRDefault="00541ACC" w:rsidP="00541ACC">
      <w:pPr>
        <w:pStyle w:val="CETBodytext"/>
        <w:spacing w:line="240" w:lineRule="auto"/>
        <w:rPr>
          <w:b/>
          <w:bCs/>
        </w:rPr>
      </w:pPr>
    </w:p>
    <w:p w14:paraId="71685860" w14:textId="5FA98D09" w:rsidR="00541ACC" w:rsidRPr="00541ACC" w:rsidRDefault="00541ACC" w:rsidP="00541ACC">
      <w:pPr>
        <w:pStyle w:val="CETBodytext"/>
        <w:spacing w:line="360" w:lineRule="auto"/>
        <w:rPr>
          <w:b/>
          <w:bCs/>
        </w:rPr>
      </w:pPr>
      <w:r w:rsidRPr="00541ACC">
        <w:rPr>
          <w:b/>
          <w:bCs/>
        </w:rPr>
        <w:t>2.3 Initial pH Effect on the Adsorption of Mn (II) and Cu (II)</w:t>
      </w:r>
    </w:p>
    <w:p w14:paraId="79137538" w14:textId="1E799235" w:rsidR="000E3A5C" w:rsidRDefault="00280B4E" w:rsidP="00E014C1">
      <w:pPr>
        <w:pStyle w:val="CETBodytext"/>
        <w:spacing w:line="240" w:lineRule="auto"/>
        <w:rPr>
          <w:szCs w:val="18"/>
        </w:rPr>
      </w:pPr>
      <w:r w:rsidRPr="00280B4E">
        <w:rPr>
          <w:szCs w:val="18"/>
        </w:rPr>
        <w:t>A treatment process was carried out to remove Cu (II) and Mn (II) from acidic waters, using 1 g of activated carbon and 200 mL of acidic water for each test in three replicates. As a first step, the pH of the collected samples from mine acidic waters, which had an initial value of 2.9, was adjusted to values of 3 and 5 by adding an alkaline substance, 1 M lime, according to the experimental design.</w:t>
      </w:r>
    </w:p>
    <w:p w14:paraId="1FA27D92" w14:textId="77777777" w:rsidR="00280B4E" w:rsidRPr="000E3A5C" w:rsidRDefault="00280B4E" w:rsidP="00E014C1">
      <w:pPr>
        <w:pStyle w:val="CETBodytext"/>
        <w:spacing w:line="240" w:lineRule="auto"/>
        <w:rPr>
          <w:sz w:val="20"/>
        </w:rPr>
      </w:pPr>
    </w:p>
    <w:p w14:paraId="1F0D5B3D" w14:textId="77777777" w:rsidR="000E3A5C" w:rsidRPr="000E3A5C" w:rsidRDefault="000E3A5C" w:rsidP="000E3A5C">
      <w:pPr>
        <w:pStyle w:val="CETBodytext"/>
        <w:spacing w:line="360" w:lineRule="auto"/>
        <w:rPr>
          <w:b/>
          <w:bCs/>
          <w:sz w:val="20"/>
        </w:rPr>
      </w:pPr>
      <w:r w:rsidRPr="000E3A5C">
        <w:rPr>
          <w:b/>
          <w:bCs/>
          <w:sz w:val="20"/>
        </w:rPr>
        <w:t>2.4 Kinetics and Adsorption Equilibrium of Mn (II) and Cu (II)</w:t>
      </w:r>
    </w:p>
    <w:p w14:paraId="403909E7" w14:textId="0C2F0794" w:rsidR="00AA4C8F" w:rsidRDefault="00AA4C8F" w:rsidP="00AA4C8F">
      <w:pPr>
        <w:pStyle w:val="CETBodytext"/>
        <w:spacing w:line="240" w:lineRule="auto"/>
      </w:pPr>
      <w:r>
        <w:t>The experimentation was carried out at room temperature, at 20°C, with an agitation of 100 rpm, using olive endocarp activated carbon as the adsorbent with the capacity to simultaneously adsorb metals from acidic waters. To develop the kinetic models of adsorption of Mn (II) and Cu (II) based on the concentration-time relationship (C/t), 1 g of activated carbon was employed. Contact times of 30, 60, 90, and 120 minutes were established, with a pH of 5. To develop the equilibrium adsorption models based on the concentration-mass relationship of the adsorbent (C/m), quantities of 0.5 g, 1 g, 1.5 g, and 2 g of activated carbon were used, with a pH of 5, and a contact time of 90 minutes to achieve reasonable adsorption equilibrium.</w:t>
      </w:r>
    </w:p>
    <w:p w14:paraId="4F075187" w14:textId="377936D3" w:rsidR="006868B6" w:rsidRPr="006868B6" w:rsidRDefault="006868B6" w:rsidP="00AA4C8F">
      <w:pPr>
        <w:pStyle w:val="CETBodytext"/>
        <w:spacing w:line="240" w:lineRule="auto"/>
      </w:pPr>
      <w:r w:rsidRPr="006868B6">
        <w:t>After evaluating the Langmuir and Freundlich isotherms, it was determined that the most effective was the Freundlich Isotherm, which describes heterogeneous surface energies due to multilayer adsorption. It is expressed as follows:</w:t>
      </w:r>
    </w:p>
    <w:p w14:paraId="29E43168" w14:textId="3AE1AAD8" w:rsidR="00E85656" w:rsidRPr="00DC5301" w:rsidRDefault="00CD0DEF" w:rsidP="00134D28">
      <w:pPr>
        <w:pStyle w:val="CETBodytext"/>
        <w:spacing w:line="240" w:lineRule="auto"/>
        <w:jc w:val="center"/>
        <w:rPr>
          <w:rFonts w:cs="Arial"/>
          <w:iCs/>
          <w:sz w:val="20"/>
        </w:rPr>
      </w:pPr>
      <m:oMath>
        <m:r>
          <w:rPr>
            <w:rFonts w:ascii="Cambria Math" w:hAnsi="Cambria Math" w:cs="Arial"/>
            <w:sz w:val="20"/>
            <w:lang w:val="es-PE"/>
          </w:rPr>
          <m:t>qe</m:t>
        </m:r>
        <m:r>
          <w:rPr>
            <w:rFonts w:ascii="Cambria Math" w:hAnsi="Cambria Math" w:cs="Arial"/>
            <w:sz w:val="20"/>
          </w:rPr>
          <m:t>=</m:t>
        </m:r>
        <m:r>
          <w:rPr>
            <w:rFonts w:ascii="Cambria Math" w:hAnsi="Cambria Math" w:cs="Arial"/>
            <w:sz w:val="20"/>
            <w:lang w:val="es-PE"/>
          </w:rPr>
          <m:t>Kf</m:t>
        </m:r>
        <m:sSubSup>
          <m:sSubSupPr>
            <m:ctrlPr>
              <w:rPr>
                <w:rFonts w:ascii="Cambria Math" w:hAnsi="Cambria Math" w:cs="Arial"/>
                <w:i/>
                <w:sz w:val="20"/>
                <w:lang w:val="es-PE"/>
              </w:rPr>
            </m:ctrlPr>
          </m:sSubSupPr>
          <m:e>
            <m:r>
              <w:rPr>
                <w:rFonts w:ascii="Cambria Math" w:hAnsi="Cambria Math" w:cs="Arial"/>
                <w:sz w:val="20"/>
                <w:lang w:val="es-PE"/>
              </w:rPr>
              <m:t>C</m:t>
            </m:r>
          </m:e>
          <m:sub>
            <m:r>
              <w:rPr>
                <w:rFonts w:ascii="Cambria Math" w:hAnsi="Cambria Math" w:cs="Arial"/>
                <w:sz w:val="20"/>
                <w:lang w:val="es-PE"/>
              </w:rPr>
              <m:t>e</m:t>
            </m:r>
          </m:sub>
          <m:sup>
            <m:r>
              <w:rPr>
                <w:rFonts w:ascii="Cambria Math" w:hAnsi="Cambria Math" w:cs="Arial"/>
                <w:sz w:val="20"/>
              </w:rPr>
              <m:t>1/</m:t>
            </m:r>
            <m:r>
              <w:rPr>
                <w:rFonts w:ascii="Cambria Math" w:hAnsi="Cambria Math" w:cs="Arial"/>
                <w:sz w:val="20"/>
                <w:lang w:val="es-PE"/>
              </w:rPr>
              <m:t>n</m:t>
            </m:r>
          </m:sup>
        </m:sSubSup>
      </m:oMath>
      <w:r w:rsidR="006D44B2" w:rsidRPr="00DC5301">
        <w:rPr>
          <w:rFonts w:cs="Arial"/>
          <w:iCs/>
          <w:sz w:val="20"/>
        </w:rPr>
        <w:t xml:space="preserve">                            </w:t>
      </w:r>
      <w:r w:rsidR="006D44B2" w:rsidRPr="00DC5301">
        <w:rPr>
          <w:rFonts w:cs="Arial"/>
          <w:iCs/>
          <w:szCs w:val="18"/>
        </w:rPr>
        <w:t>(1)</w:t>
      </w:r>
    </w:p>
    <w:p w14:paraId="2047D594" w14:textId="3FD12CBA" w:rsidR="006868B6" w:rsidRPr="006868B6" w:rsidRDefault="00134D28" w:rsidP="00134D28">
      <w:pPr>
        <w:pStyle w:val="CETBodytext"/>
        <w:spacing w:line="240" w:lineRule="auto"/>
        <w:rPr>
          <w:rFonts w:cs="Arial"/>
          <w:iCs/>
          <w:szCs w:val="18"/>
        </w:rPr>
      </w:pPr>
      <w:r w:rsidRPr="006868B6">
        <w:rPr>
          <w:rFonts w:cs="Arial"/>
          <w:iCs/>
          <w:szCs w:val="18"/>
        </w:rPr>
        <w:t>Linearly.</w:t>
      </w:r>
    </w:p>
    <w:p w14:paraId="41D6404D" w14:textId="29BA1E74" w:rsidR="006D44B2" w:rsidRPr="006868B6" w:rsidRDefault="00CD0DEF" w:rsidP="00134D28">
      <w:pPr>
        <w:pStyle w:val="CETBodytext"/>
        <w:spacing w:line="240" w:lineRule="auto"/>
        <w:jc w:val="center"/>
        <w:rPr>
          <w:rFonts w:cs="Arial"/>
          <w:iCs/>
          <w:sz w:val="20"/>
        </w:rPr>
      </w:pPr>
      <m:oMath>
        <m:r>
          <w:rPr>
            <w:rFonts w:ascii="Cambria Math" w:hAnsi="Cambria Math" w:cs="Arial"/>
            <w:sz w:val="20"/>
          </w:rPr>
          <m:t>qe=</m:t>
        </m:r>
        <m:func>
          <m:funcPr>
            <m:ctrlPr>
              <w:rPr>
                <w:rFonts w:ascii="Cambria Math" w:hAnsi="Cambria Math" w:cs="Arial"/>
                <w:i/>
                <w:sz w:val="20"/>
                <w:lang w:val="es-PE"/>
              </w:rPr>
            </m:ctrlPr>
          </m:funcPr>
          <m:fName>
            <m:r>
              <w:rPr>
                <w:rFonts w:ascii="Cambria Math" w:hAnsi="Cambria Math" w:cs="Arial"/>
                <w:sz w:val="20"/>
              </w:rPr>
              <m:t>Log</m:t>
            </m:r>
          </m:fName>
          <m:e>
            <m:r>
              <w:rPr>
                <w:rFonts w:ascii="Cambria Math" w:hAnsi="Cambria Math" w:cs="Arial"/>
                <w:sz w:val="20"/>
              </w:rPr>
              <m:t xml:space="preserve">Kf+ </m:t>
            </m:r>
          </m:e>
        </m:func>
        <m:box>
          <m:boxPr>
            <m:ctrlPr>
              <w:rPr>
                <w:rFonts w:ascii="Cambria Math" w:hAnsi="Cambria Math" w:cs="Arial"/>
                <w:i/>
                <w:sz w:val="20"/>
                <w:lang w:val="es-PE"/>
              </w:rPr>
            </m:ctrlPr>
          </m:boxPr>
          <m:e>
            <m:argPr>
              <m:argSz m:val="-1"/>
            </m:argPr>
            <m:f>
              <m:fPr>
                <m:ctrlPr>
                  <w:rPr>
                    <w:rFonts w:ascii="Cambria Math" w:hAnsi="Cambria Math" w:cs="Arial"/>
                    <w:i/>
                    <w:sz w:val="20"/>
                    <w:lang w:val="es-PE"/>
                  </w:rPr>
                </m:ctrlPr>
              </m:fPr>
              <m:num>
                <m:r>
                  <w:rPr>
                    <w:rFonts w:ascii="Cambria Math" w:hAnsi="Cambria Math" w:cs="Arial"/>
                    <w:sz w:val="20"/>
                  </w:rPr>
                  <m:t>1</m:t>
                </m:r>
              </m:num>
              <m:den>
                <m:r>
                  <w:rPr>
                    <w:rFonts w:ascii="Cambria Math" w:hAnsi="Cambria Math" w:cs="Arial"/>
                    <w:sz w:val="20"/>
                  </w:rPr>
                  <m:t>n</m:t>
                </m:r>
              </m:den>
            </m:f>
          </m:e>
        </m:box>
        <m:r>
          <w:rPr>
            <w:rFonts w:ascii="Cambria Math" w:hAnsi="Cambria Math" w:cs="Arial"/>
            <w:sz w:val="20"/>
          </w:rPr>
          <m:t>Log Ce</m:t>
        </m:r>
      </m:oMath>
      <w:r w:rsidR="006D44B2" w:rsidRPr="006868B6">
        <w:rPr>
          <w:rFonts w:cs="Arial"/>
          <w:iCs/>
          <w:sz w:val="20"/>
        </w:rPr>
        <w:t xml:space="preserve">           </w:t>
      </w:r>
      <w:r w:rsidR="006D44B2" w:rsidRPr="006868B6">
        <w:rPr>
          <w:rFonts w:cs="Arial"/>
          <w:iCs/>
          <w:szCs w:val="18"/>
        </w:rPr>
        <w:t>(2)</w:t>
      </w:r>
    </w:p>
    <w:p w14:paraId="3B869530" w14:textId="7E288446" w:rsidR="006D44B2" w:rsidRPr="00DC5301" w:rsidRDefault="00134D28" w:rsidP="00134D28">
      <w:pPr>
        <w:pStyle w:val="CETBodytext"/>
        <w:spacing w:line="240" w:lineRule="auto"/>
      </w:pPr>
      <w:r w:rsidRPr="00DC5301">
        <w:t>where</w:t>
      </w:r>
      <w:r w:rsidR="006D44B2" w:rsidRPr="00DC5301">
        <w:t xml:space="preserve">: </w:t>
      </w:r>
    </w:p>
    <w:p w14:paraId="3921232B" w14:textId="2A712416" w:rsidR="006D44B2" w:rsidRPr="00134D28" w:rsidRDefault="006D44B2" w:rsidP="00134D28">
      <w:pPr>
        <w:pStyle w:val="CETBodytext"/>
        <w:spacing w:line="240" w:lineRule="auto"/>
        <w:rPr>
          <w:rFonts w:cs="Arial"/>
        </w:rPr>
      </w:pPr>
      <w:r w:rsidRPr="00134D28">
        <w:rPr>
          <w:rFonts w:ascii="Cambria Math" w:hAnsi="Cambria Math" w:cs="Cambria Math"/>
          <w:lang w:val="es-PE"/>
        </w:rPr>
        <w:t>𝐶𝑒</w:t>
      </w:r>
      <w:r w:rsidRPr="00134D28">
        <w:rPr>
          <w:rFonts w:cs="Arial"/>
        </w:rPr>
        <w:t xml:space="preserve"> (</w:t>
      </w:r>
      <w:r w:rsidRPr="00134D28">
        <w:rPr>
          <w:rFonts w:ascii="Cambria Math" w:hAnsi="Cambria Math" w:cs="Cambria Math"/>
          <w:lang w:val="es-PE"/>
        </w:rPr>
        <w:t>𝑚𝑔</w:t>
      </w:r>
      <w:r w:rsidRPr="00134D28">
        <w:rPr>
          <w:rFonts w:cs="Arial"/>
        </w:rPr>
        <w:t>/</w:t>
      </w:r>
      <w:r w:rsidRPr="00134D28">
        <w:rPr>
          <w:rFonts w:ascii="Cambria Math" w:hAnsi="Cambria Math" w:cs="Cambria Math"/>
          <w:lang w:val="es-PE"/>
        </w:rPr>
        <w:t>𝐿</w:t>
      </w:r>
      <w:r w:rsidRPr="00134D28">
        <w:rPr>
          <w:rFonts w:cs="Arial"/>
        </w:rPr>
        <w:t>) =</w:t>
      </w:r>
      <w:r w:rsidR="00EF1F56" w:rsidRPr="00134D28">
        <w:rPr>
          <w:rFonts w:cs="Arial"/>
        </w:rPr>
        <w:t xml:space="preserve"> </w:t>
      </w:r>
      <w:r w:rsidR="006868B6" w:rsidRPr="00134D28">
        <w:rPr>
          <w:rFonts w:cs="Arial"/>
        </w:rPr>
        <w:t xml:space="preserve">concentration at </w:t>
      </w:r>
      <w:r w:rsidR="00134D28" w:rsidRPr="00134D28">
        <w:rPr>
          <w:rFonts w:cs="Arial"/>
        </w:rPr>
        <w:t>equilibrium,</w:t>
      </w:r>
      <w:r w:rsidRPr="00134D28">
        <w:rPr>
          <w:rFonts w:cs="Arial"/>
        </w:rPr>
        <w:t xml:space="preserve"> </w:t>
      </w:r>
    </w:p>
    <w:p w14:paraId="21707B27" w14:textId="51821D6F" w:rsidR="006D44B2" w:rsidRPr="00134D28" w:rsidRDefault="006D44B2" w:rsidP="00134D28">
      <w:pPr>
        <w:pStyle w:val="CETBodytext"/>
        <w:spacing w:line="240" w:lineRule="auto"/>
        <w:rPr>
          <w:rFonts w:cs="Arial"/>
        </w:rPr>
      </w:pPr>
      <w:r w:rsidRPr="00134D28">
        <w:rPr>
          <w:rFonts w:ascii="Cambria Math" w:hAnsi="Cambria Math" w:cs="Cambria Math"/>
          <w:lang w:val="es-PE"/>
        </w:rPr>
        <w:t>𝑞𝑒</w:t>
      </w:r>
      <w:r w:rsidRPr="00134D28">
        <w:rPr>
          <w:rFonts w:cs="Arial"/>
        </w:rPr>
        <w:t xml:space="preserve"> (</w:t>
      </w:r>
      <w:r w:rsidRPr="00134D28">
        <w:rPr>
          <w:rFonts w:ascii="Cambria Math" w:hAnsi="Cambria Math" w:cs="Cambria Math"/>
          <w:lang w:val="es-PE"/>
        </w:rPr>
        <w:t>𝑚𝑔</w:t>
      </w:r>
      <w:r w:rsidRPr="00134D28">
        <w:rPr>
          <w:rFonts w:cs="Arial"/>
        </w:rPr>
        <w:t>/</w:t>
      </w:r>
      <w:r w:rsidRPr="00134D28">
        <w:rPr>
          <w:rFonts w:ascii="Cambria Math" w:hAnsi="Cambria Math" w:cs="Cambria Math"/>
          <w:lang w:val="es-PE"/>
        </w:rPr>
        <w:t>𝐿</w:t>
      </w:r>
      <w:r w:rsidRPr="00134D28">
        <w:rPr>
          <w:rFonts w:cs="Arial"/>
        </w:rPr>
        <w:t>) =</w:t>
      </w:r>
      <w:r w:rsidR="00EF1F56" w:rsidRPr="00134D28">
        <w:rPr>
          <w:rFonts w:cs="Arial"/>
        </w:rPr>
        <w:t xml:space="preserve"> </w:t>
      </w:r>
      <w:r w:rsidR="00134D28" w:rsidRPr="00134D28">
        <w:rPr>
          <w:rFonts w:cs="Arial"/>
        </w:rPr>
        <w:t>amount adsorbed at equilibrium per unit sorbent,</w:t>
      </w:r>
      <w:r w:rsidRPr="00134D28">
        <w:rPr>
          <w:rFonts w:cs="Arial"/>
        </w:rPr>
        <w:t xml:space="preserve"> </w:t>
      </w:r>
    </w:p>
    <w:p w14:paraId="3CFE82B4" w14:textId="7A1EA90E" w:rsidR="006868B6" w:rsidRDefault="006D44B2" w:rsidP="00134D28">
      <w:pPr>
        <w:pStyle w:val="CETBodytext"/>
        <w:spacing w:line="240" w:lineRule="auto"/>
      </w:pPr>
      <w:r w:rsidRPr="00134D28">
        <w:rPr>
          <w:rFonts w:ascii="Cambria Math" w:hAnsi="Cambria Math" w:cs="Cambria Math"/>
          <w:lang w:val="es-PE"/>
        </w:rPr>
        <w:t>𝐾𝑓</w:t>
      </w:r>
      <w:r w:rsidRPr="00134D28">
        <w:rPr>
          <w:rFonts w:cs="Arial"/>
        </w:rPr>
        <w:t xml:space="preserve"> (</w:t>
      </w:r>
      <w:r w:rsidRPr="00134D28">
        <w:rPr>
          <w:rFonts w:ascii="Cambria Math" w:hAnsi="Cambria Math" w:cs="Cambria Math"/>
          <w:lang w:val="es-PE"/>
        </w:rPr>
        <w:t>𝑚𝑔</w:t>
      </w:r>
      <w:r w:rsidRPr="00134D28">
        <w:rPr>
          <w:rFonts w:cs="Arial"/>
        </w:rPr>
        <w:t>/</w:t>
      </w:r>
      <w:r w:rsidRPr="00134D28">
        <w:rPr>
          <w:rFonts w:ascii="Cambria Math" w:hAnsi="Cambria Math" w:cs="Cambria Math"/>
          <w:lang w:val="es-PE"/>
        </w:rPr>
        <w:t>𝑔</w:t>
      </w:r>
      <w:r w:rsidRPr="00134D28">
        <w:rPr>
          <w:rFonts w:cs="Arial"/>
        </w:rPr>
        <w:t xml:space="preserve">) </w:t>
      </w:r>
      <w:r w:rsidRPr="00134D28">
        <w:rPr>
          <w:rFonts w:ascii="Cambria Math" w:hAnsi="Cambria Math" w:cs="Cambria Math"/>
          <w:lang w:val="es-PE"/>
        </w:rPr>
        <w:t>𝑦</w:t>
      </w:r>
      <w:r w:rsidRPr="00134D28">
        <w:rPr>
          <w:rFonts w:cs="Arial"/>
        </w:rPr>
        <w:t xml:space="preserve"> </w:t>
      </w:r>
      <w:r w:rsidRPr="00134D28">
        <w:rPr>
          <w:rFonts w:ascii="Cambria Math" w:hAnsi="Cambria Math" w:cs="Cambria Math"/>
          <w:lang w:val="es-PE"/>
        </w:rPr>
        <w:t>𝑛</w:t>
      </w:r>
      <w:r w:rsidR="00EF1F56" w:rsidRPr="00134D28">
        <w:rPr>
          <w:rFonts w:ascii="Cambria Math" w:hAnsi="Cambria Math" w:cs="Cambria Math"/>
        </w:rPr>
        <w:t xml:space="preserve"> </w:t>
      </w:r>
      <w:r w:rsidRPr="00134D28">
        <w:t>=</w:t>
      </w:r>
      <w:r w:rsidR="00EF1F56" w:rsidRPr="00134D28">
        <w:t xml:space="preserve"> </w:t>
      </w:r>
      <w:r w:rsidR="00134D28" w:rsidRPr="00134D28">
        <w:t>Freundlich constants related to adsorption capacity and intensity of adsorption (Aziz et al., 2004).</w:t>
      </w:r>
    </w:p>
    <w:p w14:paraId="1F3C1BBA" w14:textId="77777777" w:rsidR="00265BBF" w:rsidRDefault="00265BBF" w:rsidP="00134D28">
      <w:pPr>
        <w:pStyle w:val="CETBodytext"/>
        <w:spacing w:line="240" w:lineRule="auto"/>
      </w:pPr>
    </w:p>
    <w:p w14:paraId="0B92C2F4" w14:textId="77777777" w:rsidR="00265BBF" w:rsidRDefault="00265BBF" w:rsidP="00134D28">
      <w:pPr>
        <w:pStyle w:val="CETBodytext"/>
        <w:spacing w:line="240" w:lineRule="auto"/>
      </w:pPr>
    </w:p>
    <w:p w14:paraId="7C4396E2" w14:textId="77777777" w:rsidR="00265BBF" w:rsidRDefault="00265BBF" w:rsidP="00134D28">
      <w:pPr>
        <w:pStyle w:val="CETBodytext"/>
        <w:spacing w:line="240" w:lineRule="auto"/>
      </w:pPr>
    </w:p>
    <w:p w14:paraId="1F61FAAC" w14:textId="77777777" w:rsidR="00134D28" w:rsidRPr="00134D28" w:rsidRDefault="00134D28" w:rsidP="00134D28">
      <w:pPr>
        <w:pStyle w:val="CETBodytext"/>
        <w:spacing w:line="240" w:lineRule="auto"/>
      </w:pPr>
    </w:p>
    <w:p w14:paraId="0D4304D6" w14:textId="5DB64FFA" w:rsidR="00134D28" w:rsidRPr="00134D28" w:rsidRDefault="00134D28" w:rsidP="00134D28">
      <w:pPr>
        <w:pStyle w:val="CETHeading1"/>
        <w:spacing w:before="0"/>
      </w:pPr>
      <w:r w:rsidRPr="00134D28">
        <w:lastRenderedPageBreak/>
        <w:t>Results</w:t>
      </w:r>
    </w:p>
    <w:p w14:paraId="6E7052E5" w14:textId="2646D857" w:rsidR="007B4FA8" w:rsidRPr="00300E32" w:rsidRDefault="008C0F31" w:rsidP="007B4FA8">
      <w:pPr>
        <w:pStyle w:val="CETTabletitle"/>
        <w:spacing w:before="0" w:after="0" w:line="240" w:lineRule="auto"/>
        <w:jc w:val="both"/>
        <w:rPr>
          <w:i w:val="0"/>
          <w:lang w:val="en-US"/>
        </w:rPr>
      </w:pPr>
      <w:bookmarkStart w:id="2" w:name="_Hlk154768651"/>
      <w:r w:rsidRPr="008C0F31">
        <w:rPr>
          <w:i w:val="0"/>
          <w:lang w:val="en-US"/>
        </w:rPr>
        <w:t xml:space="preserve">In Table 1, the initial and final concentrations of the metals under investigation were determined in three </w:t>
      </w:r>
      <w:r w:rsidR="007B4FA8" w:rsidRPr="007B4FA8">
        <w:rPr>
          <w:i w:val="0"/>
          <w:lang w:val="en-US"/>
        </w:rPr>
        <w:t>replicas</w:t>
      </w:r>
      <w:r w:rsidR="007B4FA8">
        <w:rPr>
          <w:i w:val="0"/>
          <w:lang w:val="en-US"/>
        </w:rPr>
        <w:t xml:space="preserve"> (R-I, R-II y R-III)</w:t>
      </w:r>
      <w:r w:rsidRPr="008C0F31">
        <w:rPr>
          <w:i w:val="0"/>
          <w:lang w:val="en-US"/>
        </w:rPr>
        <w:t>.</w:t>
      </w:r>
      <w:r w:rsidR="00300E32" w:rsidRPr="00300E32">
        <w:t xml:space="preserve"> </w:t>
      </w:r>
      <w:r w:rsidR="00300E32" w:rsidRPr="00300E32">
        <w:rPr>
          <w:i w:val="0"/>
          <w:lang w:val="en-US"/>
        </w:rPr>
        <w:t>In the treatment, variations in the pH of the solutions were carried out at 3 and 5.</w:t>
      </w:r>
    </w:p>
    <w:p w14:paraId="26564970" w14:textId="77777777" w:rsidR="00265BBF" w:rsidRPr="00300E32" w:rsidRDefault="00265BBF" w:rsidP="007B4FA8">
      <w:pPr>
        <w:pStyle w:val="CETTabletitle"/>
        <w:spacing w:before="0" w:after="0" w:line="240" w:lineRule="auto"/>
        <w:jc w:val="both"/>
        <w:rPr>
          <w:i w:val="0"/>
          <w:lang w:val="en-US"/>
        </w:rPr>
      </w:pPr>
    </w:p>
    <w:p w14:paraId="71AA51D7" w14:textId="343E9D40" w:rsidR="00817E20" w:rsidRPr="008C0F31" w:rsidRDefault="008C0F31" w:rsidP="008C0F31">
      <w:pPr>
        <w:pStyle w:val="CETTabletitle"/>
        <w:spacing w:before="0" w:after="0" w:line="240" w:lineRule="auto"/>
        <w:jc w:val="both"/>
        <w:rPr>
          <w:lang w:val="en-US"/>
        </w:rPr>
      </w:pPr>
      <w:r w:rsidRPr="008C0F31">
        <w:rPr>
          <w:lang w:val="en-US"/>
        </w:rPr>
        <w:t>Table 1: Concentrations of Cu (II) and Mn (II) before and after treatment with activated olive endocarp charcoal.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69"/>
        <w:gridCol w:w="991"/>
        <w:gridCol w:w="878"/>
        <w:gridCol w:w="740"/>
        <w:gridCol w:w="671"/>
        <w:gridCol w:w="807"/>
        <w:gridCol w:w="807"/>
        <w:gridCol w:w="731"/>
        <w:gridCol w:w="731"/>
        <w:gridCol w:w="731"/>
        <w:gridCol w:w="731"/>
      </w:tblGrid>
      <w:tr w:rsidR="009630EF" w:rsidRPr="009E747D" w14:paraId="5794DDA6" w14:textId="0EDA9C9B" w:rsidTr="00F3358F">
        <w:tc>
          <w:tcPr>
            <w:tcW w:w="969" w:type="dxa"/>
            <w:vMerge w:val="restart"/>
            <w:tcBorders>
              <w:top w:val="single" w:sz="12" w:space="0" w:color="008000"/>
            </w:tcBorders>
            <w:shd w:val="clear" w:color="auto" w:fill="FFFFFF"/>
          </w:tcPr>
          <w:p w14:paraId="3F3D0925" w14:textId="77777777" w:rsidR="009630EF" w:rsidRPr="008C0F31" w:rsidRDefault="009630EF" w:rsidP="00F334C0">
            <w:pPr>
              <w:pStyle w:val="CETBodytext"/>
              <w:spacing w:line="240" w:lineRule="auto"/>
              <w:jc w:val="center"/>
            </w:pPr>
            <w:bookmarkStart w:id="3" w:name="_Hlk154768620"/>
            <w:bookmarkEnd w:id="2"/>
          </w:p>
          <w:p w14:paraId="2E129C18" w14:textId="16E20FCE" w:rsidR="009630EF" w:rsidRPr="00B57B36" w:rsidRDefault="007B4FA8" w:rsidP="00F334C0">
            <w:pPr>
              <w:pStyle w:val="CETBodytext"/>
              <w:spacing w:line="240" w:lineRule="auto"/>
              <w:jc w:val="center"/>
              <w:rPr>
                <w:lang w:val="en-GB"/>
              </w:rPr>
            </w:pPr>
            <w:r>
              <w:rPr>
                <w:lang w:val="en-GB"/>
              </w:rPr>
              <w:t>R</w:t>
            </w:r>
            <w:r w:rsidRPr="007B4FA8">
              <w:rPr>
                <w:lang w:val="en-GB"/>
              </w:rPr>
              <w:t>eplicas</w:t>
            </w:r>
            <w:r w:rsidR="008C0F31" w:rsidRPr="008C0F31">
              <w:rPr>
                <w:lang w:val="en-GB"/>
              </w:rPr>
              <w:t>.</w:t>
            </w:r>
          </w:p>
        </w:tc>
        <w:tc>
          <w:tcPr>
            <w:tcW w:w="1869" w:type="dxa"/>
            <w:gridSpan w:val="2"/>
            <w:tcBorders>
              <w:top w:val="single" w:sz="12" w:space="0" w:color="008000"/>
              <w:bottom w:val="single" w:sz="6" w:space="0" w:color="008000"/>
            </w:tcBorders>
            <w:shd w:val="clear" w:color="auto" w:fill="FFFFFF"/>
          </w:tcPr>
          <w:p w14:paraId="482892CF" w14:textId="28948CB4" w:rsidR="009630EF" w:rsidRPr="00B57B36" w:rsidRDefault="008C0F31" w:rsidP="00983269">
            <w:pPr>
              <w:pStyle w:val="CETBodytext"/>
              <w:spacing w:line="240" w:lineRule="auto"/>
              <w:ind w:right="-1"/>
              <w:jc w:val="center"/>
              <w:rPr>
                <w:rFonts w:cs="Arial"/>
                <w:szCs w:val="18"/>
                <w:lang w:val="en-GB"/>
              </w:rPr>
            </w:pPr>
            <w:r w:rsidRPr="008C0F31">
              <w:rPr>
                <w:rFonts w:cs="Arial"/>
                <w:szCs w:val="18"/>
                <w:lang w:val="en-GB"/>
              </w:rPr>
              <w:t>Before treatment</w:t>
            </w:r>
            <w:r w:rsidR="00983269">
              <w:t xml:space="preserve"> </w:t>
            </w:r>
          </w:p>
        </w:tc>
        <w:tc>
          <w:tcPr>
            <w:tcW w:w="3025" w:type="dxa"/>
            <w:gridSpan w:val="4"/>
            <w:tcBorders>
              <w:top w:val="single" w:sz="12" w:space="0" w:color="008000"/>
              <w:bottom w:val="single" w:sz="6" w:space="0" w:color="008000"/>
            </w:tcBorders>
            <w:shd w:val="clear" w:color="auto" w:fill="FFFFFF"/>
          </w:tcPr>
          <w:p w14:paraId="49717A83" w14:textId="390BF867" w:rsidR="009630EF" w:rsidRPr="009E747D" w:rsidRDefault="00983269" w:rsidP="00F334C0">
            <w:pPr>
              <w:pStyle w:val="CETBodytext"/>
              <w:spacing w:line="240" w:lineRule="auto"/>
              <w:ind w:right="-1"/>
              <w:jc w:val="center"/>
              <w:rPr>
                <w:rFonts w:cs="Arial"/>
                <w:szCs w:val="18"/>
                <w:lang w:val="es-PE"/>
              </w:rPr>
            </w:pPr>
            <w:r w:rsidRPr="00983269">
              <w:rPr>
                <w:rFonts w:cs="Arial"/>
                <w:szCs w:val="18"/>
                <w:lang w:val="es-PE"/>
              </w:rPr>
              <w:t xml:space="preserve">After </w:t>
            </w:r>
            <w:proofErr w:type="spellStart"/>
            <w:r w:rsidRPr="00983269">
              <w:rPr>
                <w:rFonts w:cs="Arial"/>
                <w:szCs w:val="18"/>
                <w:lang w:val="es-PE"/>
              </w:rPr>
              <w:t>treatment</w:t>
            </w:r>
            <w:proofErr w:type="spellEnd"/>
          </w:p>
        </w:tc>
        <w:tc>
          <w:tcPr>
            <w:tcW w:w="2924" w:type="dxa"/>
            <w:gridSpan w:val="4"/>
            <w:tcBorders>
              <w:top w:val="single" w:sz="12" w:space="0" w:color="008000"/>
              <w:bottom w:val="single" w:sz="6" w:space="0" w:color="008000"/>
            </w:tcBorders>
            <w:shd w:val="clear" w:color="auto" w:fill="FFFFFF"/>
          </w:tcPr>
          <w:p w14:paraId="680ADB45" w14:textId="348334FD" w:rsidR="009630EF" w:rsidRDefault="00983269" w:rsidP="00F334C0">
            <w:pPr>
              <w:pStyle w:val="CETBodytext"/>
              <w:spacing w:line="240" w:lineRule="auto"/>
              <w:ind w:right="-1"/>
              <w:jc w:val="center"/>
              <w:rPr>
                <w:rFonts w:cs="Arial"/>
                <w:szCs w:val="18"/>
                <w:lang w:val="es-PE"/>
              </w:rPr>
            </w:pPr>
            <w:proofErr w:type="spellStart"/>
            <w:r w:rsidRPr="00983269">
              <w:rPr>
                <w:rFonts w:cs="Arial"/>
                <w:szCs w:val="18"/>
                <w:lang w:val="es-PE"/>
              </w:rPr>
              <w:t>Removal</w:t>
            </w:r>
            <w:proofErr w:type="spellEnd"/>
          </w:p>
        </w:tc>
      </w:tr>
      <w:tr w:rsidR="007D200E" w:rsidRPr="009E747D" w14:paraId="586344D9" w14:textId="038AE094" w:rsidTr="007713CF">
        <w:tc>
          <w:tcPr>
            <w:tcW w:w="969" w:type="dxa"/>
            <w:vMerge/>
            <w:shd w:val="clear" w:color="auto" w:fill="FFFFFF"/>
          </w:tcPr>
          <w:p w14:paraId="27D4F07D" w14:textId="77777777" w:rsidR="007D200E" w:rsidRPr="00B57B36" w:rsidRDefault="007D200E" w:rsidP="007D200E">
            <w:pPr>
              <w:pStyle w:val="CETBodytext"/>
              <w:spacing w:line="240" w:lineRule="auto"/>
              <w:rPr>
                <w:lang w:val="en-GB"/>
              </w:rPr>
            </w:pPr>
          </w:p>
        </w:tc>
        <w:tc>
          <w:tcPr>
            <w:tcW w:w="991" w:type="dxa"/>
            <w:tcBorders>
              <w:top w:val="single" w:sz="12" w:space="0" w:color="008000"/>
              <w:bottom w:val="single" w:sz="6" w:space="0" w:color="008000"/>
            </w:tcBorders>
            <w:shd w:val="clear" w:color="auto" w:fill="FFFFFF"/>
          </w:tcPr>
          <w:p w14:paraId="6440F2BC" w14:textId="77777777" w:rsidR="007D200E" w:rsidRDefault="007D200E" w:rsidP="007D200E">
            <w:pPr>
              <w:pStyle w:val="CETBodytext"/>
              <w:spacing w:line="240" w:lineRule="auto"/>
              <w:ind w:right="-1"/>
              <w:jc w:val="center"/>
              <w:rPr>
                <w:rFonts w:cs="Arial"/>
                <w:szCs w:val="18"/>
                <w:lang w:val="es-PE"/>
              </w:rPr>
            </w:pPr>
            <w:r w:rsidRPr="009E747D">
              <w:rPr>
                <w:rFonts w:cs="Arial"/>
                <w:szCs w:val="18"/>
                <w:lang w:val="es-PE"/>
              </w:rPr>
              <w:t>Cu</w:t>
            </w:r>
          </w:p>
          <w:p w14:paraId="0C1F78F0" w14:textId="2AACFB01" w:rsidR="007D200E" w:rsidRPr="00B57B36" w:rsidRDefault="007D200E" w:rsidP="007D200E">
            <w:pPr>
              <w:pStyle w:val="CETBodytext"/>
              <w:spacing w:line="240" w:lineRule="auto"/>
              <w:ind w:right="-1"/>
              <w:jc w:val="center"/>
              <w:rPr>
                <w:rFonts w:cs="Arial"/>
                <w:szCs w:val="18"/>
                <w:lang w:val="en-GB"/>
              </w:rPr>
            </w:pPr>
            <w:r>
              <w:rPr>
                <w:rFonts w:cs="Arial"/>
                <w:szCs w:val="18"/>
                <w:lang w:val="es-PE"/>
              </w:rPr>
              <w:t>(</w:t>
            </w:r>
            <w:r w:rsidRPr="009E747D">
              <w:rPr>
                <w:rFonts w:cs="Arial"/>
                <w:szCs w:val="18"/>
                <w:lang w:val="es-PE"/>
              </w:rPr>
              <w:t>ppm</w:t>
            </w:r>
            <w:r>
              <w:rPr>
                <w:rFonts w:cs="Arial"/>
                <w:szCs w:val="18"/>
                <w:lang w:val="es-PE"/>
              </w:rPr>
              <w:t>)</w:t>
            </w:r>
          </w:p>
        </w:tc>
        <w:tc>
          <w:tcPr>
            <w:tcW w:w="878" w:type="dxa"/>
            <w:tcBorders>
              <w:top w:val="single" w:sz="12" w:space="0" w:color="008000"/>
              <w:bottom w:val="single" w:sz="6" w:space="0" w:color="008000"/>
            </w:tcBorders>
            <w:shd w:val="clear" w:color="auto" w:fill="FFFFFF"/>
          </w:tcPr>
          <w:p w14:paraId="49260DA2" w14:textId="77777777" w:rsidR="007D200E" w:rsidRDefault="007D200E" w:rsidP="007D200E">
            <w:pPr>
              <w:pStyle w:val="CETBodytext"/>
              <w:spacing w:line="240" w:lineRule="auto"/>
              <w:ind w:right="-1"/>
              <w:jc w:val="center"/>
              <w:rPr>
                <w:rFonts w:cs="Arial"/>
                <w:szCs w:val="18"/>
                <w:lang w:val="es-PE"/>
              </w:rPr>
            </w:pPr>
            <w:r w:rsidRPr="009E747D">
              <w:rPr>
                <w:rFonts w:cs="Arial"/>
                <w:szCs w:val="18"/>
                <w:lang w:val="es-PE"/>
              </w:rPr>
              <w:t>Mn</w:t>
            </w:r>
          </w:p>
          <w:p w14:paraId="2E6F4CEE" w14:textId="53E5E980" w:rsidR="007D200E" w:rsidRPr="00B57B36" w:rsidRDefault="007D200E" w:rsidP="007D200E">
            <w:pPr>
              <w:pStyle w:val="CETBodytext"/>
              <w:spacing w:line="240" w:lineRule="auto"/>
              <w:ind w:right="-1"/>
              <w:jc w:val="center"/>
              <w:rPr>
                <w:rFonts w:cs="Arial"/>
                <w:szCs w:val="18"/>
                <w:lang w:val="en-GB"/>
              </w:rPr>
            </w:pPr>
            <w:r>
              <w:rPr>
                <w:rFonts w:cs="Arial"/>
                <w:szCs w:val="18"/>
                <w:lang w:val="es-PE"/>
              </w:rPr>
              <w:t>(</w:t>
            </w:r>
            <w:r w:rsidRPr="009E747D">
              <w:rPr>
                <w:rFonts w:cs="Arial"/>
                <w:szCs w:val="18"/>
                <w:lang w:val="es-PE"/>
              </w:rPr>
              <w:t>ppm</w:t>
            </w:r>
            <w:r>
              <w:rPr>
                <w:rFonts w:cs="Arial"/>
                <w:szCs w:val="18"/>
                <w:lang w:val="es-PE"/>
              </w:rPr>
              <w:t>)</w:t>
            </w:r>
          </w:p>
        </w:tc>
        <w:tc>
          <w:tcPr>
            <w:tcW w:w="1411" w:type="dxa"/>
            <w:gridSpan w:val="2"/>
            <w:tcBorders>
              <w:top w:val="single" w:sz="12" w:space="0" w:color="008000"/>
              <w:bottom w:val="single" w:sz="6" w:space="0" w:color="008000"/>
            </w:tcBorders>
            <w:shd w:val="clear" w:color="auto" w:fill="FFFFFF"/>
          </w:tcPr>
          <w:p w14:paraId="4C6CCF23" w14:textId="39A043C7" w:rsidR="007D200E" w:rsidRDefault="007D200E" w:rsidP="007D200E">
            <w:pPr>
              <w:pStyle w:val="CETBodytext"/>
              <w:spacing w:line="240" w:lineRule="auto"/>
              <w:ind w:right="-1"/>
              <w:jc w:val="center"/>
              <w:rPr>
                <w:rFonts w:cs="Arial"/>
                <w:szCs w:val="18"/>
                <w:lang w:val="es-PE"/>
              </w:rPr>
            </w:pPr>
            <w:r w:rsidRPr="009E747D">
              <w:rPr>
                <w:rFonts w:cs="Arial"/>
                <w:szCs w:val="18"/>
                <w:lang w:val="es-PE"/>
              </w:rPr>
              <w:t>Cu</w:t>
            </w:r>
          </w:p>
          <w:p w14:paraId="7EE713B5" w14:textId="664FE639" w:rsidR="007D200E" w:rsidRPr="009E747D" w:rsidRDefault="007D200E" w:rsidP="007D200E">
            <w:pPr>
              <w:pStyle w:val="CETBodytext"/>
              <w:spacing w:line="240" w:lineRule="auto"/>
              <w:ind w:right="-1"/>
              <w:jc w:val="center"/>
              <w:rPr>
                <w:rFonts w:cs="Arial"/>
                <w:szCs w:val="18"/>
                <w:lang w:val="es-PE"/>
              </w:rPr>
            </w:pPr>
            <w:r>
              <w:rPr>
                <w:rFonts w:cs="Arial"/>
                <w:szCs w:val="18"/>
                <w:lang w:val="es-PE"/>
              </w:rPr>
              <w:t>(</w:t>
            </w:r>
            <w:r w:rsidRPr="009E747D">
              <w:rPr>
                <w:rFonts w:cs="Arial"/>
                <w:szCs w:val="18"/>
                <w:lang w:val="es-PE"/>
              </w:rPr>
              <w:t>ppm</w:t>
            </w:r>
            <w:r>
              <w:rPr>
                <w:rFonts w:cs="Arial"/>
                <w:szCs w:val="18"/>
                <w:lang w:val="es-PE"/>
              </w:rPr>
              <w:t>)</w:t>
            </w:r>
          </w:p>
        </w:tc>
        <w:tc>
          <w:tcPr>
            <w:tcW w:w="1614" w:type="dxa"/>
            <w:gridSpan w:val="2"/>
            <w:tcBorders>
              <w:top w:val="single" w:sz="12" w:space="0" w:color="008000"/>
              <w:bottom w:val="single" w:sz="6" w:space="0" w:color="008000"/>
            </w:tcBorders>
            <w:shd w:val="clear" w:color="auto" w:fill="FFFFFF"/>
          </w:tcPr>
          <w:p w14:paraId="35220E60" w14:textId="5454F592" w:rsidR="007D200E" w:rsidRDefault="007D200E" w:rsidP="007D200E">
            <w:pPr>
              <w:pStyle w:val="CETBodytext"/>
              <w:spacing w:line="240" w:lineRule="auto"/>
              <w:ind w:right="-1"/>
              <w:jc w:val="center"/>
              <w:rPr>
                <w:rFonts w:cs="Arial"/>
                <w:szCs w:val="18"/>
                <w:lang w:val="es-PE"/>
              </w:rPr>
            </w:pPr>
            <w:r w:rsidRPr="009E747D">
              <w:rPr>
                <w:rFonts w:cs="Arial"/>
                <w:szCs w:val="18"/>
                <w:lang w:val="es-PE"/>
              </w:rPr>
              <w:t>Mn</w:t>
            </w:r>
          </w:p>
          <w:p w14:paraId="01EC1160" w14:textId="5A5DB86E" w:rsidR="007D200E" w:rsidRPr="009E747D" w:rsidRDefault="007D200E" w:rsidP="007D200E">
            <w:pPr>
              <w:pStyle w:val="CETBodytext"/>
              <w:spacing w:line="240" w:lineRule="auto"/>
              <w:ind w:right="-1"/>
              <w:jc w:val="center"/>
              <w:rPr>
                <w:rFonts w:cs="Arial"/>
                <w:szCs w:val="18"/>
                <w:lang w:val="es-PE"/>
              </w:rPr>
            </w:pPr>
            <w:r>
              <w:rPr>
                <w:rFonts w:cs="Arial"/>
                <w:szCs w:val="18"/>
                <w:lang w:val="es-PE"/>
              </w:rPr>
              <w:t>(</w:t>
            </w:r>
            <w:r w:rsidRPr="009E747D">
              <w:rPr>
                <w:rFonts w:cs="Arial"/>
                <w:szCs w:val="18"/>
                <w:lang w:val="es-PE"/>
              </w:rPr>
              <w:t>ppm</w:t>
            </w:r>
            <w:r>
              <w:rPr>
                <w:rFonts w:cs="Arial"/>
                <w:szCs w:val="18"/>
                <w:lang w:val="es-PE"/>
              </w:rPr>
              <w:t>)</w:t>
            </w:r>
          </w:p>
        </w:tc>
        <w:tc>
          <w:tcPr>
            <w:tcW w:w="1462" w:type="dxa"/>
            <w:gridSpan w:val="2"/>
            <w:tcBorders>
              <w:top w:val="single" w:sz="12" w:space="0" w:color="008000"/>
              <w:bottom w:val="single" w:sz="6" w:space="0" w:color="008000"/>
            </w:tcBorders>
            <w:shd w:val="clear" w:color="auto" w:fill="FFFFFF"/>
          </w:tcPr>
          <w:p w14:paraId="5D44AD54" w14:textId="77777777" w:rsidR="007D200E" w:rsidRDefault="007D200E" w:rsidP="007D200E">
            <w:pPr>
              <w:pStyle w:val="CETBodytext"/>
              <w:spacing w:line="240" w:lineRule="auto"/>
              <w:ind w:right="-1"/>
              <w:jc w:val="center"/>
              <w:rPr>
                <w:rFonts w:cs="Arial"/>
                <w:szCs w:val="18"/>
                <w:lang w:val="es-PE"/>
              </w:rPr>
            </w:pPr>
            <w:r w:rsidRPr="009E747D">
              <w:rPr>
                <w:rFonts w:cs="Arial"/>
                <w:szCs w:val="18"/>
                <w:lang w:val="es-PE"/>
              </w:rPr>
              <w:t>Cu</w:t>
            </w:r>
          </w:p>
          <w:p w14:paraId="1377DA5D" w14:textId="5E689AE2" w:rsidR="007D200E" w:rsidRPr="009E747D" w:rsidRDefault="007D200E" w:rsidP="007D200E">
            <w:pPr>
              <w:pStyle w:val="CETBodytext"/>
              <w:spacing w:line="240" w:lineRule="auto"/>
              <w:ind w:right="-1"/>
              <w:jc w:val="center"/>
              <w:rPr>
                <w:rFonts w:cs="Arial"/>
                <w:szCs w:val="18"/>
                <w:lang w:val="es-PE"/>
              </w:rPr>
            </w:pPr>
            <w:r>
              <w:rPr>
                <w:rFonts w:cs="Arial"/>
                <w:szCs w:val="18"/>
                <w:lang w:val="es-PE"/>
              </w:rPr>
              <w:t>(%)</w:t>
            </w:r>
          </w:p>
        </w:tc>
        <w:tc>
          <w:tcPr>
            <w:tcW w:w="1462" w:type="dxa"/>
            <w:gridSpan w:val="2"/>
            <w:tcBorders>
              <w:top w:val="single" w:sz="12" w:space="0" w:color="008000"/>
              <w:bottom w:val="single" w:sz="6" w:space="0" w:color="008000"/>
            </w:tcBorders>
            <w:shd w:val="clear" w:color="auto" w:fill="FFFFFF"/>
          </w:tcPr>
          <w:p w14:paraId="3DADE1EF" w14:textId="77777777" w:rsidR="007D200E" w:rsidRDefault="007D200E" w:rsidP="007D200E">
            <w:pPr>
              <w:pStyle w:val="CETBodytext"/>
              <w:spacing w:line="240" w:lineRule="auto"/>
              <w:ind w:right="-1"/>
              <w:jc w:val="center"/>
              <w:rPr>
                <w:rFonts w:cs="Arial"/>
                <w:szCs w:val="18"/>
                <w:lang w:val="es-PE"/>
              </w:rPr>
            </w:pPr>
            <w:r w:rsidRPr="009E747D">
              <w:rPr>
                <w:rFonts w:cs="Arial"/>
                <w:szCs w:val="18"/>
                <w:lang w:val="es-PE"/>
              </w:rPr>
              <w:t>Mn</w:t>
            </w:r>
          </w:p>
          <w:p w14:paraId="52C036FD" w14:textId="2ECF3E8E" w:rsidR="007D200E" w:rsidRPr="009E747D" w:rsidRDefault="007D200E" w:rsidP="007D200E">
            <w:pPr>
              <w:pStyle w:val="CETBodytext"/>
              <w:spacing w:line="240" w:lineRule="auto"/>
              <w:ind w:right="-1"/>
              <w:jc w:val="center"/>
              <w:rPr>
                <w:rFonts w:cs="Arial"/>
                <w:szCs w:val="18"/>
                <w:lang w:val="es-PE"/>
              </w:rPr>
            </w:pPr>
            <w:r>
              <w:rPr>
                <w:rFonts w:cs="Arial"/>
                <w:szCs w:val="18"/>
                <w:lang w:val="es-PE"/>
              </w:rPr>
              <w:t>(%)</w:t>
            </w:r>
          </w:p>
        </w:tc>
      </w:tr>
      <w:tr w:rsidR="007D200E" w:rsidRPr="009E747D" w14:paraId="128EE2D4" w14:textId="330A6A71" w:rsidTr="004809D0">
        <w:tc>
          <w:tcPr>
            <w:tcW w:w="969" w:type="dxa"/>
            <w:vMerge/>
            <w:tcBorders>
              <w:bottom w:val="single" w:sz="6" w:space="0" w:color="008000"/>
            </w:tcBorders>
            <w:shd w:val="clear" w:color="auto" w:fill="FFFFFF"/>
          </w:tcPr>
          <w:p w14:paraId="4CF28DA0" w14:textId="77777777" w:rsidR="007D200E" w:rsidRPr="00B57B36" w:rsidRDefault="007D200E" w:rsidP="007D200E">
            <w:pPr>
              <w:pStyle w:val="CETBodytext"/>
              <w:spacing w:line="240" w:lineRule="auto"/>
              <w:rPr>
                <w:lang w:val="en-GB"/>
              </w:rPr>
            </w:pPr>
          </w:p>
        </w:tc>
        <w:tc>
          <w:tcPr>
            <w:tcW w:w="4894" w:type="dxa"/>
            <w:gridSpan w:val="6"/>
            <w:tcBorders>
              <w:top w:val="single" w:sz="12" w:space="0" w:color="008000"/>
              <w:bottom w:val="single" w:sz="6" w:space="0" w:color="008000"/>
            </w:tcBorders>
            <w:shd w:val="clear" w:color="auto" w:fill="FFFFFF"/>
          </w:tcPr>
          <w:p w14:paraId="15B66D61" w14:textId="64BB6E67" w:rsidR="007D200E" w:rsidRDefault="007D200E" w:rsidP="007D200E">
            <w:pPr>
              <w:pStyle w:val="CETBodytext"/>
              <w:spacing w:line="240" w:lineRule="auto"/>
              <w:ind w:right="-1"/>
              <w:jc w:val="center"/>
              <w:rPr>
                <w:rFonts w:cs="Arial"/>
                <w:szCs w:val="18"/>
                <w:lang w:val="es-PE"/>
              </w:rPr>
            </w:pPr>
            <w:r w:rsidRPr="007B2EBA">
              <w:rPr>
                <w:rFonts w:cs="Arial"/>
                <w:szCs w:val="18"/>
                <w:lang w:val="es-PE"/>
              </w:rPr>
              <w:t>pH</w:t>
            </w:r>
          </w:p>
        </w:tc>
        <w:tc>
          <w:tcPr>
            <w:tcW w:w="2924" w:type="dxa"/>
            <w:gridSpan w:val="4"/>
            <w:tcBorders>
              <w:top w:val="single" w:sz="12" w:space="0" w:color="008000"/>
              <w:bottom w:val="single" w:sz="6" w:space="0" w:color="008000"/>
            </w:tcBorders>
            <w:shd w:val="clear" w:color="auto" w:fill="FFFFFF"/>
          </w:tcPr>
          <w:p w14:paraId="1203F341" w14:textId="64480564" w:rsidR="007D200E" w:rsidRPr="007B2EBA" w:rsidRDefault="007D200E" w:rsidP="007D200E">
            <w:pPr>
              <w:pStyle w:val="CETBodytext"/>
              <w:spacing w:line="240" w:lineRule="auto"/>
              <w:ind w:right="-1"/>
              <w:jc w:val="center"/>
              <w:rPr>
                <w:rFonts w:cs="Arial"/>
                <w:szCs w:val="18"/>
                <w:lang w:val="es-PE"/>
              </w:rPr>
            </w:pPr>
            <w:r w:rsidRPr="009630EF">
              <w:rPr>
                <w:rFonts w:cs="Arial"/>
                <w:szCs w:val="18"/>
                <w:lang w:val="es-PE"/>
              </w:rPr>
              <w:t>pH</w:t>
            </w:r>
          </w:p>
        </w:tc>
      </w:tr>
      <w:tr w:rsidR="007D200E" w:rsidRPr="009E747D" w14:paraId="3E8BE317" w14:textId="3C97C4E7" w:rsidTr="009630EF">
        <w:tc>
          <w:tcPr>
            <w:tcW w:w="969" w:type="dxa"/>
            <w:tcBorders>
              <w:top w:val="single" w:sz="12" w:space="0" w:color="008000"/>
              <w:bottom w:val="single" w:sz="6" w:space="0" w:color="008000"/>
            </w:tcBorders>
            <w:shd w:val="clear" w:color="auto" w:fill="FFFFFF"/>
          </w:tcPr>
          <w:p w14:paraId="090B7A62" w14:textId="77777777" w:rsidR="007D200E" w:rsidRPr="00B57B36" w:rsidRDefault="007D200E" w:rsidP="007D200E">
            <w:pPr>
              <w:pStyle w:val="CETBodytext"/>
              <w:spacing w:line="240" w:lineRule="auto"/>
              <w:rPr>
                <w:lang w:val="en-GB"/>
              </w:rPr>
            </w:pPr>
          </w:p>
        </w:tc>
        <w:tc>
          <w:tcPr>
            <w:tcW w:w="1869" w:type="dxa"/>
            <w:gridSpan w:val="2"/>
            <w:tcBorders>
              <w:top w:val="single" w:sz="12" w:space="0" w:color="008000"/>
              <w:bottom w:val="single" w:sz="6" w:space="0" w:color="008000"/>
            </w:tcBorders>
            <w:shd w:val="clear" w:color="auto" w:fill="FFFFFF"/>
          </w:tcPr>
          <w:p w14:paraId="7399FAD5" w14:textId="3B5C7C3C" w:rsidR="007D200E" w:rsidRPr="00B57B36" w:rsidRDefault="007D200E" w:rsidP="007D200E">
            <w:pPr>
              <w:pStyle w:val="CETBodytext"/>
              <w:spacing w:line="240" w:lineRule="auto"/>
              <w:ind w:right="-1"/>
              <w:jc w:val="center"/>
              <w:rPr>
                <w:rFonts w:cs="Arial"/>
                <w:szCs w:val="18"/>
                <w:lang w:val="en-GB"/>
              </w:rPr>
            </w:pPr>
            <w:r>
              <w:rPr>
                <w:rFonts w:cs="Arial"/>
                <w:szCs w:val="18"/>
                <w:lang w:val="en-GB"/>
              </w:rPr>
              <w:t>2.9</w:t>
            </w:r>
          </w:p>
        </w:tc>
        <w:tc>
          <w:tcPr>
            <w:tcW w:w="740" w:type="dxa"/>
            <w:tcBorders>
              <w:top w:val="single" w:sz="12" w:space="0" w:color="008000"/>
              <w:bottom w:val="single" w:sz="6" w:space="0" w:color="008000"/>
            </w:tcBorders>
            <w:shd w:val="clear" w:color="auto" w:fill="FFFFFF"/>
          </w:tcPr>
          <w:p w14:paraId="15F1027C" w14:textId="23949DEB" w:rsidR="007D200E" w:rsidRPr="009E747D" w:rsidRDefault="007D200E" w:rsidP="007D200E">
            <w:pPr>
              <w:pStyle w:val="CETBodytext"/>
              <w:spacing w:line="240" w:lineRule="auto"/>
              <w:ind w:right="-1"/>
              <w:jc w:val="center"/>
              <w:rPr>
                <w:rFonts w:cs="Arial"/>
                <w:szCs w:val="18"/>
                <w:lang w:val="es-PE"/>
              </w:rPr>
            </w:pPr>
            <w:r>
              <w:rPr>
                <w:rFonts w:cs="Arial"/>
                <w:szCs w:val="18"/>
                <w:lang w:val="es-PE"/>
              </w:rPr>
              <w:t>3</w:t>
            </w:r>
          </w:p>
        </w:tc>
        <w:tc>
          <w:tcPr>
            <w:tcW w:w="671" w:type="dxa"/>
            <w:tcBorders>
              <w:top w:val="single" w:sz="12" w:space="0" w:color="008000"/>
              <w:bottom w:val="single" w:sz="6" w:space="0" w:color="008000"/>
            </w:tcBorders>
            <w:shd w:val="clear" w:color="auto" w:fill="FFFFFF"/>
          </w:tcPr>
          <w:p w14:paraId="7538A96C" w14:textId="177B132B" w:rsidR="007D200E" w:rsidRPr="009E747D" w:rsidRDefault="007D200E" w:rsidP="007D200E">
            <w:pPr>
              <w:pStyle w:val="CETBodytext"/>
              <w:spacing w:line="240" w:lineRule="auto"/>
              <w:ind w:right="-1"/>
              <w:jc w:val="center"/>
              <w:rPr>
                <w:rFonts w:cs="Arial"/>
                <w:szCs w:val="18"/>
                <w:lang w:val="es-PE"/>
              </w:rPr>
            </w:pPr>
            <w:r>
              <w:rPr>
                <w:rFonts w:cs="Arial"/>
                <w:szCs w:val="18"/>
                <w:lang w:val="es-PE"/>
              </w:rPr>
              <w:t>5</w:t>
            </w:r>
          </w:p>
        </w:tc>
        <w:tc>
          <w:tcPr>
            <w:tcW w:w="807" w:type="dxa"/>
            <w:tcBorders>
              <w:top w:val="single" w:sz="12" w:space="0" w:color="008000"/>
              <w:bottom w:val="single" w:sz="6" w:space="0" w:color="008000"/>
            </w:tcBorders>
            <w:shd w:val="clear" w:color="auto" w:fill="FFFFFF"/>
          </w:tcPr>
          <w:p w14:paraId="5096FBE0" w14:textId="679B2772" w:rsidR="007D200E" w:rsidRPr="009E747D" w:rsidRDefault="007D200E" w:rsidP="007D200E">
            <w:pPr>
              <w:pStyle w:val="CETBodytext"/>
              <w:spacing w:line="240" w:lineRule="auto"/>
              <w:ind w:right="-1"/>
              <w:jc w:val="center"/>
              <w:rPr>
                <w:rFonts w:cs="Arial"/>
                <w:szCs w:val="18"/>
                <w:lang w:val="es-PE"/>
              </w:rPr>
            </w:pPr>
            <w:r>
              <w:rPr>
                <w:rFonts w:cs="Arial"/>
                <w:szCs w:val="18"/>
                <w:lang w:val="es-PE"/>
              </w:rPr>
              <w:t>3</w:t>
            </w:r>
          </w:p>
        </w:tc>
        <w:tc>
          <w:tcPr>
            <w:tcW w:w="807" w:type="dxa"/>
            <w:tcBorders>
              <w:top w:val="single" w:sz="12" w:space="0" w:color="008000"/>
              <w:bottom w:val="single" w:sz="6" w:space="0" w:color="008000"/>
            </w:tcBorders>
            <w:shd w:val="clear" w:color="auto" w:fill="FFFFFF"/>
          </w:tcPr>
          <w:p w14:paraId="19C891BE" w14:textId="46451D8D" w:rsidR="007D200E" w:rsidRPr="009E747D" w:rsidRDefault="007D200E" w:rsidP="007D200E">
            <w:pPr>
              <w:pStyle w:val="CETBodytext"/>
              <w:spacing w:line="240" w:lineRule="auto"/>
              <w:ind w:right="-1"/>
              <w:jc w:val="center"/>
              <w:rPr>
                <w:rFonts w:cs="Arial"/>
                <w:szCs w:val="18"/>
                <w:lang w:val="es-PE"/>
              </w:rPr>
            </w:pPr>
            <w:r>
              <w:rPr>
                <w:rFonts w:cs="Arial"/>
                <w:szCs w:val="18"/>
                <w:lang w:val="es-PE"/>
              </w:rPr>
              <w:t>5</w:t>
            </w:r>
          </w:p>
        </w:tc>
        <w:tc>
          <w:tcPr>
            <w:tcW w:w="731" w:type="dxa"/>
            <w:tcBorders>
              <w:top w:val="single" w:sz="12" w:space="0" w:color="008000"/>
              <w:bottom w:val="single" w:sz="6" w:space="0" w:color="008000"/>
            </w:tcBorders>
            <w:shd w:val="clear" w:color="auto" w:fill="FFFFFF"/>
          </w:tcPr>
          <w:p w14:paraId="2569B16B" w14:textId="4326F83A" w:rsidR="007D200E" w:rsidRDefault="007D200E" w:rsidP="007D200E">
            <w:pPr>
              <w:pStyle w:val="CETBodytext"/>
              <w:spacing w:line="240" w:lineRule="auto"/>
              <w:ind w:right="-1"/>
              <w:jc w:val="center"/>
              <w:rPr>
                <w:rFonts w:cs="Arial"/>
                <w:szCs w:val="18"/>
                <w:lang w:val="es-PE"/>
              </w:rPr>
            </w:pPr>
            <w:r>
              <w:rPr>
                <w:rFonts w:cs="Arial"/>
                <w:szCs w:val="18"/>
                <w:lang w:val="es-PE"/>
              </w:rPr>
              <w:t>3</w:t>
            </w:r>
          </w:p>
        </w:tc>
        <w:tc>
          <w:tcPr>
            <w:tcW w:w="731" w:type="dxa"/>
            <w:tcBorders>
              <w:top w:val="single" w:sz="12" w:space="0" w:color="008000"/>
              <w:bottom w:val="single" w:sz="6" w:space="0" w:color="008000"/>
            </w:tcBorders>
            <w:shd w:val="clear" w:color="auto" w:fill="FFFFFF"/>
          </w:tcPr>
          <w:p w14:paraId="62C8096C" w14:textId="490DACCD" w:rsidR="007D200E" w:rsidRDefault="007D200E" w:rsidP="007D200E">
            <w:pPr>
              <w:pStyle w:val="CETBodytext"/>
              <w:spacing w:line="240" w:lineRule="auto"/>
              <w:ind w:right="-1"/>
              <w:jc w:val="center"/>
              <w:rPr>
                <w:rFonts w:cs="Arial"/>
                <w:szCs w:val="18"/>
                <w:lang w:val="es-PE"/>
              </w:rPr>
            </w:pPr>
            <w:r>
              <w:rPr>
                <w:rFonts w:cs="Arial"/>
                <w:szCs w:val="18"/>
                <w:lang w:val="es-PE"/>
              </w:rPr>
              <w:t>5</w:t>
            </w:r>
          </w:p>
        </w:tc>
        <w:tc>
          <w:tcPr>
            <w:tcW w:w="731" w:type="dxa"/>
            <w:tcBorders>
              <w:top w:val="single" w:sz="12" w:space="0" w:color="008000"/>
              <w:bottom w:val="single" w:sz="6" w:space="0" w:color="008000"/>
            </w:tcBorders>
            <w:shd w:val="clear" w:color="auto" w:fill="FFFFFF"/>
          </w:tcPr>
          <w:p w14:paraId="2F1E4CE0" w14:textId="2CAB053F" w:rsidR="007D200E" w:rsidRDefault="007D200E" w:rsidP="007D200E">
            <w:pPr>
              <w:pStyle w:val="CETBodytext"/>
              <w:spacing w:line="240" w:lineRule="auto"/>
              <w:ind w:right="-1"/>
              <w:jc w:val="center"/>
              <w:rPr>
                <w:rFonts w:cs="Arial"/>
                <w:szCs w:val="18"/>
                <w:lang w:val="es-PE"/>
              </w:rPr>
            </w:pPr>
            <w:r>
              <w:rPr>
                <w:rFonts w:cs="Arial"/>
                <w:szCs w:val="18"/>
                <w:lang w:val="es-PE"/>
              </w:rPr>
              <w:t>3</w:t>
            </w:r>
          </w:p>
        </w:tc>
        <w:tc>
          <w:tcPr>
            <w:tcW w:w="731" w:type="dxa"/>
            <w:tcBorders>
              <w:top w:val="single" w:sz="12" w:space="0" w:color="008000"/>
              <w:bottom w:val="single" w:sz="6" w:space="0" w:color="008000"/>
            </w:tcBorders>
            <w:shd w:val="clear" w:color="auto" w:fill="FFFFFF"/>
          </w:tcPr>
          <w:p w14:paraId="387802A5" w14:textId="37F51462" w:rsidR="007D200E" w:rsidRDefault="007D200E" w:rsidP="007D200E">
            <w:pPr>
              <w:pStyle w:val="CETBodytext"/>
              <w:spacing w:line="240" w:lineRule="auto"/>
              <w:ind w:right="-1"/>
              <w:jc w:val="center"/>
              <w:rPr>
                <w:rFonts w:cs="Arial"/>
                <w:szCs w:val="18"/>
                <w:lang w:val="es-PE"/>
              </w:rPr>
            </w:pPr>
            <w:r>
              <w:rPr>
                <w:rFonts w:cs="Arial"/>
                <w:szCs w:val="18"/>
                <w:lang w:val="es-PE"/>
              </w:rPr>
              <w:t>5</w:t>
            </w:r>
          </w:p>
        </w:tc>
      </w:tr>
      <w:tr w:rsidR="007D200E" w:rsidRPr="009E747D" w14:paraId="18CA3CD1" w14:textId="6F0A428A" w:rsidTr="009630EF">
        <w:tc>
          <w:tcPr>
            <w:tcW w:w="969" w:type="dxa"/>
            <w:tcBorders>
              <w:top w:val="single" w:sz="12" w:space="0" w:color="008000"/>
              <w:bottom w:val="single" w:sz="6" w:space="0" w:color="008000"/>
            </w:tcBorders>
            <w:shd w:val="clear" w:color="auto" w:fill="FFFFFF"/>
          </w:tcPr>
          <w:p w14:paraId="1A51F262" w14:textId="143BC922" w:rsidR="007D200E" w:rsidRPr="009E747D" w:rsidRDefault="007D200E" w:rsidP="007D200E">
            <w:pPr>
              <w:pStyle w:val="CETBodytext"/>
              <w:spacing w:line="240" w:lineRule="auto"/>
              <w:jc w:val="center"/>
              <w:rPr>
                <w:lang w:val="es-PE"/>
              </w:rPr>
            </w:pPr>
            <w:r w:rsidRPr="007B2EBA">
              <w:rPr>
                <w:lang w:val="es-PE"/>
              </w:rPr>
              <w:t>R-I</w:t>
            </w:r>
          </w:p>
        </w:tc>
        <w:tc>
          <w:tcPr>
            <w:tcW w:w="991" w:type="dxa"/>
            <w:vMerge w:val="restart"/>
            <w:tcBorders>
              <w:top w:val="single" w:sz="12" w:space="0" w:color="008000"/>
            </w:tcBorders>
            <w:shd w:val="clear" w:color="auto" w:fill="FFFFFF"/>
          </w:tcPr>
          <w:p w14:paraId="4C4D6551" w14:textId="77777777" w:rsidR="007D200E" w:rsidRDefault="007D200E" w:rsidP="007D200E">
            <w:pPr>
              <w:pStyle w:val="CETBodytext"/>
              <w:spacing w:line="240" w:lineRule="auto"/>
              <w:ind w:right="-1"/>
              <w:jc w:val="center"/>
              <w:rPr>
                <w:rFonts w:cs="Arial"/>
                <w:szCs w:val="18"/>
                <w:lang w:val="es-PE"/>
              </w:rPr>
            </w:pPr>
          </w:p>
          <w:p w14:paraId="6FFAAD60" w14:textId="56A32849" w:rsidR="007D200E" w:rsidRPr="009E747D" w:rsidRDefault="007D200E" w:rsidP="007D200E">
            <w:pPr>
              <w:pStyle w:val="CETBodytext"/>
              <w:spacing w:line="240" w:lineRule="auto"/>
              <w:ind w:right="-1"/>
              <w:jc w:val="center"/>
              <w:rPr>
                <w:rFonts w:cs="Arial"/>
                <w:szCs w:val="18"/>
                <w:lang w:val="es-PE"/>
              </w:rPr>
            </w:pPr>
            <w:r>
              <w:rPr>
                <w:rFonts w:cs="Arial"/>
                <w:szCs w:val="18"/>
                <w:lang w:val="es-PE"/>
              </w:rPr>
              <w:t>12.51</w:t>
            </w:r>
          </w:p>
          <w:p w14:paraId="7B0F316A" w14:textId="5034A460" w:rsidR="007D200E" w:rsidRPr="009E747D" w:rsidRDefault="007D200E" w:rsidP="007D200E">
            <w:pPr>
              <w:pStyle w:val="CETBodytext"/>
              <w:spacing w:line="240" w:lineRule="auto"/>
              <w:ind w:right="-1"/>
              <w:jc w:val="center"/>
              <w:rPr>
                <w:rFonts w:cs="Arial"/>
                <w:szCs w:val="18"/>
                <w:lang w:val="es-PE"/>
              </w:rPr>
            </w:pPr>
          </w:p>
        </w:tc>
        <w:tc>
          <w:tcPr>
            <w:tcW w:w="878" w:type="dxa"/>
            <w:vMerge w:val="restart"/>
            <w:tcBorders>
              <w:top w:val="single" w:sz="12" w:space="0" w:color="008000"/>
            </w:tcBorders>
            <w:shd w:val="clear" w:color="auto" w:fill="FFFFFF"/>
          </w:tcPr>
          <w:p w14:paraId="3046FAB3" w14:textId="77777777" w:rsidR="007D200E" w:rsidRDefault="007D200E" w:rsidP="007D200E">
            <w:pPr>
              <w:pStyle w:val="CETBodytext"/>
              <w:spacing w:line="240" w:lineRule="auto"/>
              <w:ind w:right="-1"/>
              <w:jc w:val="center"/>
              <w:rPr>
                <w:rFonts w:cs="Arial"/>
                <w:szCs w:val="18"/>
                <w:lang w:val="es-PE"/>
              </w:rPr>
            </w:pPr>
          </w:p>
          <w:p w14:paraId="134A2A26" w14:textId="0FCACFA5" w:rsidR="007D200E" w:rsidRPr="009E747D" w:rsidRDefault="007D200E" w:rsidP="007D200E">
            <w:pPr>
              <w:pStyle w:val="CETBodytext"/>
              <w:spacing w:line="240" w:lineRule="auto"/>
              <w:ind w:right="-1"/>
              <w:jc w:val="center"/>
              <w:rPr>
                <w:rFonts w:cs="Arial"/>
                <w:szCs w:val="18"/>
                <w:lang w:val="es-PE"/>
              </w:rPr>
            </w:pPr>
            <w:r>
              <w:rPr>
                <w:rFonts w:cs="Arial"/>
                <w:szCs w:val="18"/>
                <w:lang w:val="es-PE"/>
              </w:rPr>
              <w:t>9.2</w:t>
            </w:r>
            <w:r w:rsidR="005C5A17">
              <w:rPr>
                <w:rFonts w:cs="Arial"/>
                <w:szCs w:val="18"/>
                <w:lang w:val="es-PE"/>
              </w:rPr>
              <w:t>8</w:t>
            </w:r>
          </w:p>
          <w:p w14:paraId="10E7B3C2" w14:textId="2E0C682A" w:rsidR="007D200E" w:rsidRPr="009E747D" w:rsidRDefault="007D200E" w:rsidP="007D200E">
            <w:pPr>
              <w:pStyle w:val="CETBodytext"/>
              <w:spacing w:line="240" w:lineRule="auto"/>
              <w:ind w:right="-1"/>
              <w:jc w:val="center"/>
              <w:rPr>
                <w:rFonts w:cs="Arial"/>
                <w:szCs w:val="18"/>
                <w:lang w:val="es-PE"/>
              </w:rPr>
            </w:pPr>
          </w:p>
        </w:tc>
        <w:tc>
          <w:tcPr>
            <w:tcW w:w="740" w:type="dxa"/>
            <w:tcBorders>
              <w:top w:val="single" w:sz="12" w:space="0" w:color="008000"/>
              <w:bottom w:val="single" w:sz="6" w:space="0" w:color="008000"/>
            </w:tcBorders>
            <w:shd w:val="clear" w:color="auto" w:fill="FFFFFF"/>
          </w:tcPr>
          <w:p w14:paraId="23E7E3E2" w14:textId="3EE5D18E" w:rsidR="007D200E" w:rsidRPr="009E747D" w:rsidRDefault="007D200E" w:rsidP="007D200E">
            <w:pPr>
              <w:pStyle w:val="CETBodytext"/>
              <w:spacing w:line="240" w:lineRule="auto"/>
              <w:ind w:right="-1"/>
              <w:jc w:val="center"/>
              <w:rPr>
                <w:rFonts w:cs="Arial"/>
                <w:szCs w:val="18"/>
                <w:lang w:val="es-PE"/>
              </w:rPr>
            </w:pPr>
            <w:r>
              <w:rPr>
                <w:rFonts w:cs="Arial"/>
                <w:szCs w:val="18"/>
                <w:lang w:val="es-PE"/>
              </w:rPr>
              <w:t>4.83</w:t>
            </w:r>
          </w:p>
        </w:tc>
        <w:tc>
          <w:tcPr>
            <w:tcW w:w="671" w:type="dxa"/>
            <w:tcBorders>
              <w:top w:val="single" w:sz="12" w:space="0" w:color="008000"/>
              <w:bottom w:val="single" w:sz="6" w:space="0" w:color="008000"/>
            </w:tcBorders>
            <w:shd w:val="clear" w:color="auto" w:fill="FFFFFF"/>
          </w:tcPr>
          <w:p w14:paraId="121E16BE" w14:textId="3145A780" w:rsidR="007D200E" w:rsidRPr="009E747D" w:rsidRDefault="007D200E" w:rsidP="007D200E">
            <w:pPr>
              <w:pStyle w:val="CETBodytext"/>
              <w:spacing w:line="240" w:lineRule="auto"/>
              <w:ind w:right="-1"/>
              <w:jc w:val="center"/>
              <w:rPr>
                <w:rFonts w:cs="Arial"/>
                <w:szCs w:val="18"/>
                <w:lang w:val="es-PE"/>
              </w:rPr>
            </w:pPr>
            <w:r>
              <w:rPr>
                <w:rFonts w:cs="Arial"/>
                <w:szCs w:val="18"/>
                <w:lang w:val="es-PE"/>
              </w:rPr>
              <w:t>3.36</w:t>
            </w:r>
          </w:p>
        </w:tc>
        <w:tc>
          <w:tcPr>
            <w:tcW w:w="807" w:type="dxa"/>
            <w:tcBorders>
              <w:top w:val="single" w:sz="12" w:space="0" w:color="008000"/>
              <w:bottom w:val="single" w:sz="6" w:space="0" w:color="008000"/>
            </w:tcBorders>
            <w:shd w:val="clear" w:color="auto" w:fill="FFFFFF"/>
          </w:tcPr>
          <w:p w14:paraId="275B2EFF" w14:textId="40CED16C" w:rsidR="007D200E" w:rsidRPr="009E747D" w:rsidRDefault="007D200E" w:rsidP="007D200E">
            <w:pPr>
              <w:pStyle w:val="CETBodytext"/>
              <w:spacing w:line="240" w:lineRule="auto"/>
              <w:ind w:right="-1"/>
              <w:jc w:val="center"/>
              <w:rPr>
                <w:rFonts w:cs="Arial"/>
                <w:szCs w:val="18"/>
                <w:lang w:val="es-PE"/>
              </w:rPr>
            </w:pPr>
            <w:r>
              <w:rPr>
                <w:rFonts w:cs="Arial"/>
                <w:szCs w:val="18"/>
                <w:lang w:val="es-PE"/>
              </w:rPr>
              <w:t>0.09</w:t>
            </w:r>
          </w:p>
        </w:tc>
        <w:tc>
          <w:tcPr>
            <w:tcW w:w="807" w:type="dxa"/>
            <w:tcBorders>
              <w:top w:val="single" w:sz="12" w:space="0" w:color="008000"/>
              <w:bottom w:val="single" w:sz="6" w:space="0" w:color="008000"/>
            </w:tcBorders>
            <w:shd w:val="clear" w:color="auto" w:fill="FFFFFF"/>
          </w:tcPr>
          <w:p w14:paraId="7026BA69" w14:textId="72D18DC4" w:rsidR="007D200E" w:rsidRPr="009E747D" w:rsidRDefault="007D200E" w:rsidP="007D200E">
            <w:pPr>
              <w:pStyle w:val="CETBodytext"/>
              <w:spacing w:line="240" w:lineRule="auto"/>
              <w:ind w:right="-1"/>
              <w:jc w:val="center"/>
              <w:rPr>
                <w:rFonts w:cs="Arial"/>
                <w:szCs w:val="18"/>
                <w:lang w:val="es-PE"/>
              </w:rPr>
            </w:pPr>
            <w:r>
              <w:rPr>
                <w:rFonts w:cs="Arial"/>
                <w:szCs w:val="18"/>
                <w:lang w:val="es-PE"/>
              </w:rPr>
              <w:t>0.99</w:t>
            </w:r>
          </w:p>
        </w:tc>
        <w:tc>
          <w:tcPr>
            <w:tcW w:w="731" w:type="dxa"/>
            <w:tcBorders>
              <w:top w:val="single" w:sz="12" w:space="0" w:color="008000"/>
              <w:bottom w:val="single" w:sz="6" w:space="0" w:color="008000"/>
            </w:tcBorders>
            <w:shd w:val="clear" w:color="auto" w:fill="FFFFFF"/>
          </w:tcPr>
          <w:p w14:paraId="77A796B9" w14:textId="13B54A18" w:rsidR="007D200E" w:rsidRDefault="007D200E" w:rsidP="007D200E">
            <w:pPr>
              <w:pStyle w:val="CETBodytext"/>
              <w:spacing w:line="240" w:lineRule="auto"/>
              <w:ind w:right="-1"/>
              <w:jc w:val="center"/>
              <w:rPr>
                <w:rFonts w:cs="Arial"/>
                <w:szCs w:val="18"/>
                <w:lang w:val="es-PE"/>
              </w:rPr>
            </w:pPr>
            <w:r>
              <w:rPr>
                <w:rFonts w:cs="Arial"/>
                <w:szCs w:val="18"/>
                <w:lang w:val="es-PE"/>
              </w:rPr>
              <w:t>60.95</w:t>
            </w:r>
          </w:p>
        </w:tc>
        <w:tc>
          <w:tcPr>
            <w:tcW w:w="731" w:type="dxa"/>
            <w:tcBorders>
              <w:top w:val="single" w:sz="12" w:space="0" w:color="008000"/>
              <w:bottom w:val="single" w:sz="6" w:space="0" w:color="008000"/>
            </w:tcBorders>
            <w:shd w:val="clear" w:color="auto" w:fill="FFFFFF"/>
          </w:tcPr>
          <w:p w14:paraId="734E3B4E" w14:textId="2A165CD9" w:rsidR="007D200E" w:rsidRDefault="007D200E" w:rsidP="007D200E">
            <w:pPr>
              <w:pStyle w:val="CETBodytext"/>
              <w:spacing w:line="240" w:lineRule="auto"/>
              <w:ind w:right="-1"/>
              <w:jc w:val="center"/>
              <w:rPr>
                <w:rFonts w:cs="Arial"/>
                <w:szCs w:val="18"/>
                <w:lang w:val="es-PE"/>
              </w:rPr>
            </w:pPr>
            <w:r>
              <w:rPr>
                <w:rFonts w:cs="Arial"/>
                <w:szCs w:val="18"/>
                <w:lang w:val="es-PE"/>
              </w:rPr>
              <w:t>72.84</w:t>
            </w:r>
          </w:p>
        </w:tc>
        <w:tc>
          <w:tcPr>
            <w:tcW w:w="731" w:type="dxa"/>
            <w:tcBorders>
              <w:top w:val="single" w:sz="12" w:space="0" w:color="008000"/>
              <w:bottom w:val="single" w:sz="6" w:space="0" w:color="008000"/>
            </w:tcBorders>
            <w:shd w:val="clear" w:color="auto" w:fill="FFFFFF"/>
          </w:tcPr>
          <w:p w14:paraId="1B46022B" w14:textId="715ADFB4" w:rsidR="007D200E" w:rsidRDefault="007D200E" w:rsidP="007D200E">
            <w:pPr>
              <w:pStyle w:val="CETBodytext"/>
              <w:spacing w:line="240" w:lineRule="auto"/>
              <w:ind w:right="-1"/>
              <w:jc w:val="center"/>
              <w:rPr>
                <w:rFonts w:cs="Arial"/>
                <w:szCs w:val="18"/>
                <w:lang w:val="es-PE"/>
              </w:rPr>
            </w:pPr>
            <w:r>
              <w:rPr>
                <w:rFonts w:cs="Arial"/>
                <w:szCs w:val="18"/>
                <w:lang w:val="es-PE"/>
              </w:rPr>
              <w:t>99.03</w:t>
            </w:r>
          </w:p>
        </w:tc>
        <w:tc>
          <w:tcPr>
            <w:tcW w:w="731" w:type="dxa"/>
            <w:tcBorders>
              <w:top w:val="single" w:sz="12" w:space="0" w:color="008000"/>
              <w:bottom w:val="single" w:sz="6" w:space="0" w:color="008000"/>
            </w:tcBorders>
            <w:shd w:val="clear" w:color="auto" w:fill="FFFFFF"/>
          </w:tcPr>
          <w:p w14:paraId="67CDF593" w14:textId="6A4D2D8E" w:rsidR="007D200E" w:rsidRDefault="007D200E" w:rsidP="007D200E">
            <w:pPr>
              <w:pStyle w:val="CETBodytext"/>
              <w:spacing w:line="240" w:lineRule="auto"/>
              <w:ind w:right="-1"/>
              <w:jc w:val="center"/>
              <w:rPr>
                <w:rFonts w:cs="Arial"/>
                <w:szCs w:val="18"/>
                <w:lang w:val="es-PE"/>
              </w:rPr>
            </w:pPr>
            <w:r>
              <w:rPr>
                <w:rFonts w:cs="Arial"/>
                <w:szCs w:val="18"/>
                <w:lang w:val="es-PE"/>
              </w:rPr>
              <w:t>89.33</w:t>
            </w:r>
          </w:p>
        </w:tc>
      </w:tr>
      <w:tr w:rsidR="007D200E" w:rsidRPr="00B57B36" w14:paraId="2C98B29E" w14:textId="6352ECF4" w:rsidTr="009630EF">
        <w:tc>
          <w:tcPr>
            <w:tcW w:w="969" w:type="dxa"/>
            <w:shd w:val="clear" w:color="auto" w:fill="FFFFFF"/>
          </w:tcPr>
          <w:p w14:paraId="050809F7" w14:textId="46A9333A" w:rsidR="007D200E" w:rsidRPr="00B57B36" w:rsidRDefault="007D200E" w:rsidP="007D200E">
            <w:pPr>
              <w:pStyle w:val="CETBodytext"/>
              <w:spacing w:line="240" w:lineRule="auto"/>
              <w:jc w:val="center"/>
              <w:rPr>
                <w:lang w:val="en-GB"/>
              </w:rPr>
            </w:pPr>
            <w:bookmarkStart w:id="4" w:name="_Hlk162114781"/>
            <w:r w:rsidRPr="007B2EBA">
              <w:rPr>
                <w:lang w:val="en-GB"/>
              </w:rPr>
              <w:t>R-II</w:t>
            </w:r>
            <w:bookmarkEnd w:id="4"/>
          </w:p>
        </w:tc>
        <w:tc>
          <w:tcPr>
            <w:tcW w:w="991" w:type="dxa"/>
            <w:vMerge/>
            <w:shd w:val="clear" w:color="auto" w:fill="FFFFFF"/>
          </w:tcPr>
          <w:p w14:paraId="3169B5C7" w14:textId="757DA39D" w:rsidR="007D200E" w:rsidRPr="00B57B36" w:rsidRDefault="007D200E" w:rsidP="007D200E">
            <w:pPr>
              <w:pStyle w:val="CETBodytext"/>
              <w:spacing w:line="240" w:lineRule="auto"/>
              <w:ind w:right="-1"/>
              <w:jc w:val="center"/>
              <w:rPr>
                <w:rFonts w:cs="Arial"/>
                <w:szCs w:val="18"/>
                <w:lang w:val="en-GB"/>
              </w:rPr>
            </w:pPr>
          </w:p>
        </w:tc>
        <w:tc>
          <w:tcPr>
            <w:tcW w:w="878" w:type="dxa"/>
            <w:vMerge/>
            <w:shd w:val="clear" w:color="auto" w:fill="FFFFFF"/>
          </w:tcPr>
          <w:p w14:paraId="3F6F518F" w14:textId="1E8FF22B" w:rsidR="007D200E" w:rsidRPr="00B57B36" w:rsidRDefault="007D200E" w:rsidP="007D200E">
            <w:pPr>
              <w:pStyle w:val="CETBodytext"/>
              <w:spacing w:line="240" w:lineRule="auto"/>
              <w:ind w:right="-1"/>
              <w:jc w:val="center"/>
              <w:rPr>
                <w:rFonts w:cs="Arial"/>
                <w:szCs w:val="18"/>
                <w:lang w:val="en-GB"/>
              </w:rPr>
            </w:pPr>
          </w:p>
        </w:tc>
        <w:tc>
          <w:tcPr>
            <w:tcW w:w="740" w:type="dxa"/>
            <w:shd w:val="clear" w:color="auto" w:fill="FFFFFF"/>
          </w:tcPr>
          <w:p w14:paraId="2695DC1B" w14:textId="4C8B6B1E" w:rsidR="007D200E" w:rsidRPr="00B57B36" w:rsidRDefault="007D200E" w:rsidP="007D200E">
            <w:pPr>
              <w:pStyle w:val="CETBodytext"/>
              <w:spacing w:line="240" w:lineRule="auto"/>
              <w:ind w:right="-1"/>
              <w:jc w:val="center"/>
              <w:rPr>
                <w:rFonts w:cs="Arial"/>
                <w:szCs w:val="18"/>
                <w:lang w:val="en-GB"/>
              </w:rPr>
            </w:pPr>
            <w:r>
              <w:rPr>
                <w:rFonts w:cs="Arial"/>
                <w:szCs w:val="18"/>
                <w:lang w:val="en-GB"/>
              </w:rPr>
              <w:t>4.80</w:t>
            </w:r>
          </w:p>
        </w:tc>
        <w:tc>
          <w:tcPr>
            <w:tcW w:w="671" w:type="dxa"/>
            <w:shd w:val="clear" w:color="auto" w:fill="FFFFFF"/>
          </w:tcPr>
          <w:p w14:paraId="5E29B3E6" w14:textId="7EF83CAF" w:rsidR="007D200E" w:rsidRPr="00B57B36" w:rsidRDefault="007D200E" w:rsidP="007D200E">
            <w:pPr>
              <w:pStyle w:val="CETBodytext"/>
              <w:spacing w:line="240" w:lineRule="auto"/>
              <w:ind w:right="-1"/>
              <w:jc w:val="center"/>
              <w:rPr>
                <w:rFonts w:cs="Arial"/>
                <w:szCs w:val="18"/>
                <w:lang w:val="en-GB"/>
              </w:rPr>
            </w:pPr>
            <w:r>
              <w:rPr>
                <w:rFonts w:cs="Arial"/>
                <w:szCs w:val="18"/>
                <w:lang w:val="en-GB"/>
              </w:rPr>
              <w:t>3.33</w:t>
            </w:r>
          </w:p>
        </w:tc>
        <w:tc>
          <w:tcPr>
            <w:tcW w:w="807" w:type="dxa"/>
            <w:shd w:val="clear" w:color="auto" w:fill="FFFFFF"/>
          </w:tcPr>
          <w:p w14:paraId="40EC1466" w14:textId="78B57091" w:rsidR="007D200E" w:rsidRPr="00B57B36" w:rsidRDefault="007D200E" w:rsidP="007D200E">
            <w:pPr>
              <w:pStyle w:val="CETBodytext"/>
              <w:spacing w:line="240" w:lineRule="auto"/>
              <w:ind w:right="-1"/>
              <w:jc w:val="center"/>
              <w:rPr>
                <w:rFonts w:cs="Arial"/>
                <w:szCs w:val="18"/>
                <w:lang w:val="en-GB"/>
              </w:rPr>
            </w:pPr>
            <w:r>
              <w:rPr>
                <w:rFonts w:cs="Arial"/>
                <w:szCs w:val="18"/>
                <w:lang w:val="en-GB"/>
              </w:rPr>
              <w:t>0.08</w:t>
            </w:r>
          </w:p>
        </w:tc>
        <w:tc>
          <w:tcPr>
            <w:tcW w:w="807" w:type="dxa"/>
            <w:shd w:val="clear" w:color="auto" w:fill="FFFFFF"/>
          </w:tcPr>
          <w:p w14:paraId="3BD760D3" w14:textId="7B36A7C3" w:rsidR="007D200E" w:rsidRPr="00B57B36" w:rsidRDefault="007D200E" w:rsidP="007D200E">
            <w:pPr>
              <w:pStyle w:val="CETBodytext"/>
              <w:spacing w:line="240" w:lineRule="auto"/>
              <w:ind w:right="-1"/>
              <w:jc w:val="center"/>
              <w:rPr>
                <w:rFonts w:cs="Arial"/>
                <w:szCs w:val="18"/>
                <w:lang w:val="en-GB"/>
              </w:rPr>
            </w:pPr>
            <w:r>
              <w:rPr>
                <w:rFonts w:cs="Arial"/>
                <w:szCs w:val="18"/>
                <w:lang w:val="en-GB"/>
              </w:rPr>
              <w:t>1.01</w:t>
            </w:r>
          </w:p>
        </w:tc>
        <w:tc>
          <w:tcPr>
            <w:tcW w:w="731" w:type="dxa"/>
            <w:shd w:val="clear" w:color="auto" w:fill="FFFFFF"/>
          </w:tcPr>
          <w:p w14:paraId="7F5943B3" w14:textId="7F93D68C" w:rsidR="007D200E" w:rsidRDefault="007D200E" w:rsidP="007D200E">
            <w:pPr>
              <w:pStyle w:val="CETBodytext"/>
              <w:spacing w:line="240" w:lineRule="auto"/>
              <w:ind w:right="-1"/>
              <w:jc w:val="center"/>
              <w:rPr>
                <w:rFonts w:cs="Arial"/>
                <w:szCs w:val="18"/>
                <w:lang w:val="en-GB"/>
              </w:rPr>
            </w:pPr>
            <w:r>
              <w:rPr>
                <w:rFonts w:cs="Arial"/>
                <w:szCs w:val="18"/>
                <w:lang w:val="en-GB"/>
              </w:rPr>
              <w:t>61.20</w:t>
            </w:r>
          </w:p>
        </w:tc>
        <w:tc>
          <w:tcPr>
            <w:tcW w:w="731" w:type="dxa"/>
            <w:shd w:val="clear" w:color="auto" w:fill="FFFFFF"/>
          </w:tcPr>
          <w:p w14:paraId="1E871BEC" w14:textId="0AF99734" w:rsidR="007D200E" w:rsidRDefault="007D200E" w:rsidP="007D200E">
            <w:pPr>
              <w:pStyle w:val="CETBodytext"/>
              <w:spacing w:line="240" w:lineRule="auto"/>
              <w:ind w:right="-1"/>
              <w:jc w:val="center"/>
              <w:rPr>
                <w:rFonts w:cs="Arial"/>
                <w:szCs w:val="18"/>
                <w:lang w:val="en-GB"/>
              </w:rPr>
            </w:pPr>
            <w:r>
              <w:rPr>
                <w:rFonts w:cs="Arial"/>
                <w:szCs w:val="18"/>
                <w:lang w:val="en-GB"/>
              </w:rPr>
              <w:t>73.08</w:t>
            </w:r>
          </w:p>
        </w:tc>
        <w:tc>
          <w:tcPr>
            <w:tcW w:w="731" w:type="dxa"/>
            <w:shd w:val="clear" w:color="auto" w:fill="FFFFFF"/>
          </w:tcPr>
          <w:p w14:paraId="4046E3CF" w14:textId="1323A0C9" w:rsidR="007D200E" w:rsidRDefault="007D200E" w:rsidP="007D200E">
            <w:pPr>
              <w:pStyle w:val="CETBodytext"/>
              <w:spacing w:line="240" w:lineRule="auto"/>
              <w:ind w:right="-1"/>
              <w:jc w:val="center"/>
              <w:rPr>
                <w:rFonts w:cs="Arial"/>
                <w:szCs w:val="18"/>
                <w:lang w:val="en-GB"/>
              </w:rPr>
            </w:pPr>
            <w:r>
              <w:rPr>
                <w:rFonts w:cs="Arial"/>
                <w:szCs w:val="18"/>
                <w:lang w:val="en-GB"/>
              </w:rPr>
              <w:t>99.14</w:t>
            </w:r>
          </w:p>
        </w:tc>
        <w:tc>
          <w:tcPr>
            <w:tcW w:w="731" w:type="dxa"/>
            <w:shd w:val="clear" w:color="auto" w:fill="FFFFFF"/>
          </w:tcPr>
          <w:p w14:paraId="7A9E4314" w14:textId="5CC051EB" w:rsidR="007D200E" w:rsidRDefault="007D200E" w:rsidP="007D200E">
            <w:pPr>
              <w:pStyle w:val="CETBodytext"/>
              <w:spacing w:line="240" w:lineRule="auto"/>
              <w:ind w:right="-1"/>
              <w:jc w:val="center"/>
              <w:rPr>
                <w:rFonts w:cs="Arial"/>
                <w:szCs w:val="18"/>
                <w:lang w:val="en-GB"/>
              </w:rPr>
            </w:pPr>
            <w:r>
              <w:rPr>
                <w:rFonts w:cs="Arial"/>
                <w:szCs w:val="18"/>
                <w:lang w:val="en-GB"/>
              </w:rPr>
              <w:t>89.12</w:t>
            </w:r>
          </w:p>
        </w:tc>
      </w:tr>
      <w:tr w:rsidR="007D200E" w:rsidRPr="00B57B36" w14:paraId="7B7F7561" w14:textId="24805007" w:rsidTr="009630EF">
        <w:tc>
          <w:tcPr>
            <w:tcW w:w="969" w:type="dxa"/>
            <w:shd w:val="clear" w:color="auto" w:fill="FFFFFF"/>
          </w:tcPr>
          <w:p w14:paraId="79091ECD" w14:textId="0D5D12DC" w:rsidR="007D200E" w:rsidRPr="00B57B36" w:rsidRDefault="007D200E" w:rsidP="007D200E">
            <w:pPr>
              <w:pStyle w:val="CETBodytext"/>
              <w:spacing w:line="240" w:lineRule="auto"/>
              <w:ind w:right="-1"/>
              <w:jc w:val="center"/>
              <w:rPr>
                <w:rFonts w:cs="Arial"/>
                <w:szCs w:val="18"/>
                <w:lang w:val="en-GB"/>
              </w:rPr>
            </w:pPr>
            <w:r w:rsidRPr="007B2EBA">
              <w:rPr>
                <w:rFonts w:cs="Arial"/>
                <w:szCs w:val="18"/>
                <w:lang w:val="en-GB"/>
              </w:rPr>
              <w:t>R-III</w:t>
            </w:r>
          </w:p>
        </w:tc>
        <w:tc>
          <w:tcPr>
            <w:tcW w:w="991" w:type="dxa"/>
            <w:vMerge/>
            <w:shd w:val="clear" w:color="auto" w:fill="FFFFFF"/>
          </w:tcPr>
          <w:p w14:paraId="27C4C7FD" w14:textId="77777777" w:rsidR="007D200E" w:rsidRPr="00B57B36" w:rsidRDefault="007D200E" w:rsidP="007D200E">
            <w:pPr>
              <w:pStyle w:val="CETBodytext"/>
              <w:spacing w:line="240" w:lineRule="auto"/>
              <w:ind w:right="-1"/>
              <w:rPr>
                <w:rFonts w:cs="Arial"/>
                <w:szCs w:val="18"/>
                <w:lang w:val="en-GB"/>
              </w:rPr>
            </w:pPr>
          </w:p>
        </w:tc>
        <w:tc>
          <w:tcPr>
            <w:tcW w:w="878" w:type="dxa"/>
            <w:vMerge/>
            <w:shd w:val="clear" w:color="auto" w:fill="FFFFFF"/>
          </w:tcPr>
          <w:p w14:paraId="4338F799" w14:textId="77777777" w:rsidR="007D200E" w:rsidRPr="00B57B36" w:rsidRDefault="007D200E" w:rsidP="007D200E">
            <w:pPr>
              <w:pStyle w:val="CETBodytext"/>
              <w:spacing w:line="240" w:lineRule="auto"/>
              <w:ind w:right="-1"/>
              <w:rPr>
                <w:rFonts w:cs="Arial"/>
                <w:szCs w:val="18"/>
                <w:lang w:val="en-GB"/>
              </w:rPr>
            </w:pPr>
          </w:p>
        </w:tc>
        <w:tc>
          <w:tcPr>
            <w:tcW w:w="740" w:type="dxa"/>
            <w:shd w:val="clear" w:color="auto" w:fill="FFFFFF"/>
          </w:tcPr>
          <w:p w14:paraId="4A197F9E" w14:textId="7BE6D2A7" w:rsidR="007D200E" w:rsidRPr="00B57B36" w:rsidRDefault="007D200E" w:rsidP="007D200E">
            <w:pPr>
              <w:pStyle w:val="CETBodytext"/>
              <w:spacing w:line="240" w:lineRule="auto"/>
              <w:ind w:right="-1"/>
              <w:jc w:val="center"/>
              <w:rPr>
                <w:rFonts w:cs="Arial"/>
                <w:szCs w:val="18"/>
                <w:lang w:val="en-GB"/>
              </w:rPr>
            </w:pPr>
            <w:r>
              <w:rPr>
                <w:rFonts w:cs="Arial"/>
                <w:szCs w:val="18"/>
                <w:lang w:val="en-GB"/>
              </w:rPr>
              <w:t>4.87</w:t>
            </w:r>
          </w:p>
        </w:tc>
        <w:tc>
          <w:tcPr>
            <w:tcW w:w="671" w:type="dxa"/>
            <w:shd w:val="clear" w:color="auto" w:fill="FFFFFF"/>
          </w:tcPr>
          <w:p w14:paraId="4F41A358" w14:textId="11279897" w:rsidR="007D200E" w:rsidRPr="00B57B36" w:rsidRDefault="007D200E" w:rsidP="007D200E">
            <w:pPr>
              <w:pStyle w:val="CETBodytext"/>
              <w:spacing w:line="240" w:lineRule="auto"/>
              <w:ind w:right="-1"/>
              <w:jc w:val="center"/>
              <w:rPr>
                <w:rFonts w:cs="Arial"/>
                <w:szCs w:val="18"/>
                <w:lang w:val="en-GB"/>
              </w:rPr>
            </w:pPr>
            <w:r>
              <w:rPr>
                <w:rFonts w:cs="Arial"/>
                <w:szCs w:val="18"/>
                <w:lang w:val="en-GB"/>
              </w:rPr>
              <w:t>3.40</w:t>
            </w:r>
          </w:p>
        </w:tc>
        <w:tc>
          <w:tcPr>
            <w:tcW w:w="807" w:type="dxa"/>
            <w:shd w:val="clear" w:color="auto" w:fill="FFFFFF"/>
          </w:tcPr>
          <w:p w14:paraId="327EE688" w14:textId="7AF4EA33" w:rsidR="007D200E" w:rsidRPr="00B57B36" w:rsidRDefault="007D200E" w:rsidP="007D200E">
            <w:pPr>
              <w:pStyle w:val="CETBodytext"/>
              <w:spacing w:line="240" w:lineRule="auto"/>
              <w:ind w:right="-1"/>
              <w:jc w:val="center"/>
              <w:rPr>
                <w:rFonts w:cs="Arial"/>
                <w:szCs w:val="18"/>
                <w:lang w:val="en-GB"/>
              </w:rPr>
            </w:pPr>
            <w:r>
              <w:rPr>
                <w:rFonts w:cs="Arial"/>
                <w:szCs w:val="18"/>
                <w:lang w:val="en-GB"/>
              </w:rPr>
              <w:t>0.10</w:t>
            </w:r>
          </w:p>
        </w:tc>
        <w:tc>
          <w:tcPr>
            <w:tcW w:w="807" w:type="dxa"/>
            <w:shd w:val="clear" w:color="auto" w:fill="FFFFFF"/>
          </w:tcPr>
          <w:p w14:paraId="495EC5A6" w14:textId="3997D4DA" w:rsidR="007D200E" w:rsidRPr="00B57B36" w:rsidRDefault="007D200E" w:rsidP="007D200E">
            <w:pPr>
              <w:pStyle w:val="CETBodytext"/>
              <w:spacing w:line="240" w:lineRule="auto"/>
              <w:ind w:right="-1"/>
              <w:jc w:val="center"/>
              <w:rPr>
                <w:rFonts w:cs="Arial"/>
                <w:szCs w:val="18"/>
                <w:lang w:val="en-GB"/>
              </w:rPr>
            </w:pPr>
            <w:r>
              <w:rPr>
                <w:rFonts w:cs="Arial"/>
                <w:szCs w:val="18"/>
                <w:lang w:val="en-GB"/>
              </w:rPr>
              <w:t>0.98</w:t>
            </w:r>
          </w:p>
        </w:tc>
        <w:tc>
          <w:tcPr>
            <w:tcW w:w="731" w:type="dxa"/>
            <w:shd w:val="clear" w:color="auto" w:fill="FFFFFF"/>
          </w:tcPr>
          <w:p w14:paraId="698AD676" w14:textId="06A37CB9" w:rsidR="007D200E" w:rsidRDefault="007D200E" w:rsidP="007D200E">
            <w:pPr>
              <w:pStyle w:val="CETBodytext"/>
              <w:spacing w:line="240" w:lineRule="auto"/>
              <w:ind w:right="-1"/>
              <w:jc w:val="center"/>
              <w:rPr>
                <w:rFonts w:cs="Arial"/>
                <w:szCs w:val="18"/>
                <w:lang w:val="en-GB"/>
              </w:rPr>
            </w:pPr>
            <w:r>
              <w:rPr>
                <w:rFonts w:cs="Arial"/>
                <w:szCs w:val="18"/>
                <w:lang w:val="en-GB"/>
              </w:rPr>
              <w:t>60.63</w:t>
            </w:r>
          </w:p>
        </w:tc>
        <w:tc>
          <w:tcPr>
            <w:tcW w:w="731" w:type="dxa"/>
            <w:shd w:val="clear" w:color="auto" w:fill="FFFFFF"/>
          </w:tcPr>
          <w:p w14:paraId="0E52565F" w14:textId="141253C0" w:rsidR="007D200E" w:rsidRDefault="007D200E" w:rsidP="007D200E">
            <w:pPr>
              <w:pStyle w:val="CETBodytext"/>
              <w:spacing w:line="240" w:lineRule="auto"/>
              <w:ind w:right="-1"/>
              <w:jc w:val="center"/>
              <w:rPr>
                <w:rFonts w:cs="Arial"/>
                <w:szCs w:val="18"/>
                <w:lang w:val="en-GB"/>
              </w:rPr>
            </w:pPr>
            <w:r>
              <w:rPr>
                <w:rFonts w:cs="Arial"/>
                <w:szCs w:val="18"/>
                <w:lang w:val="en-GB"/>
              </w:rPr>
              <w:t>72.51</w:t>
            </w:r>
          </w:p>
        </w:tc>
        <w:tc>
          <w:tcPr>
            <w:tcW w:w="731" w:type="dxa"/>
            <w:shd w:val="clear" w:color="auto" w:fill="FFFFFF"/>
          </w:tcPr>
          <w:p w14:paraId="07C82467" w14:textId="6FCDE2B6" w:rsidR="007D200E" w:rsidRDefault="007D200E" w:rsidP="007D200E">
            <w:pPr>
              <w:pStyle w:val="CETBodytext"/>
              <w:spacing w:line="240" w:lineRule="auto"/>
              <w:ind w:right="-1"/>
              <w:jc w:val="center"/>
              <w:rPr>
                <w:rFonts w:cs="Arial"/>
                <w:szCs w:val="18"/>
                <w:lang w:val="en-GB"/>
              </w:rPr>
            </w:pPr>
            <w:r>
              <w:rPr>
                <w:rFonts w:cs="Arial"/>
                <w:szCs w:val="18"/>
                <w:lang w:val="en-GB"/>
              </w:rPr>
              <w:t>98.92</w:t>
            </w:r>
          </w:p>
        </w:tc>
        <w:tc>
          <w:tcPr>
            <w:tcW w:w="731" w:type="dxa"/>
            <w:shd w:val="clear" w:color="auto" w:fill="FFFFFF"/>
          </w:tcPr>
          <w:p w14:paraId="24292523" w14:textId="119368CD" w:rsidR="007D200E" w:rsidRDefault="007D200E" w:rsidP="007D200E">
            <w:pPr>
              <w:pStyle w:val="CETBodytext"/>
              <w:spacing w:line="240" w:lineRule="auto"/>
              <w:ind w:right="-1"/>
              <w:jc w:val="center"/>
              <w:rPr>
                <w:rFonts w:cs="Arial"/>
                <w:szCs w:val="18"/>
                <w:lang w:val="en-GB"/>
              </w:rPr>
            </w:pPr>
            <w:r>
              <w:rPr>
                <w:rFonts w:cs="Arial"/>
                <w:szCs w:val="18"/>
                <w:lang w:val="en-GB"/>
              </w:rPr>
              <w:t>89.44</w:t>
            </w:r>
          </w:p>
        </w:tc>
      </w:tr>
      <w:bookmarkEnd w:id="3"/>
    </w:tbl>
    <w:p w14:paraId="7FDA6FFA" w14:textId="77777777" w:rsidR="007B4FA8" w:rsidRDefault="007B4FA8" w:rsidP="00261463">
      <w:pPr>
        <w:pStyle w:val="CETBodytext"/>
      </w:pPr>
    </w:p>
    <w:p w14:paraId="6638958C" w14:textId="7FA66211" w:rsidR="00AD3FAF" w:rsidRDefault="008310D7" w:rsidP="00261463">
      <w:pPr>
        <w:pStyle w:val="CETBodytext"/>
      </w:pPr>
      <w:r w:rsidRPr="008310D7">
        <w:t>Minimum concentration values were obtained for copper (Cu), reaching 3.33 ppm at a pH of 5</w:t>
      </w:r>
      <w:r w:rsidR="00300E32" w:rsidRPr="00300E32">
        <w:t xml:space="preserve"> in R-II</w:t>
      </w:r>
      <w:r w:rsidRPr="008310D7">
        <w:t>. In the case of manganese (Mn), a minimum concentration of 0.08 ppm was recorded when the treatment was performed at a pH of 3</w:t>
      </w:r>
      <w:r w:rsidR="00300E32" w:rsidRPr="00300E32">
        <w:t xml:space="preserve"> in R-II</w:t>
      </w:r>
      <w:r w:rsidRPr="008310D7">
        <w:t>. In Table 1, the percentage of Cu removal concerning pH, the minimum values obtained ranged from 60% to 62% at a pH of 3, while the maximum values fluctuated between 72% and 74% at a pH of 5. Regarding Mn removal concerning pH, the minimum values obtained were in the range of 88% to 90% at a pH of 5, while the maximum values varied between 98% and 100% at a pH of 3.</w:t>
      </w:r>
      <w:r w:rsidR="005F6A2D" w:rsidRPr="005F6A2D">
        <w:t xml:space="preserve"> In acidic water environments, manganese is typically found predominantly in dissolved forms, such as Mn (II). However, at higher pH levels, manganese can precipitate as insoluble manganese hydroxides. Additionally, other ions present in the water may compete with manganese to be adsorbed by activated carbon, reducing the amount of manganese available to be captured by the activated carbon (Calderón J. M., Tuiro M. C., 2021).</w:t>
      </w:r>
    </w:p>
    <w:p w14:paraId="3A558D85" w14:textId="77777777" w:rsidR="008310D7" w:rsidRPr="008310D7" w:rsidRDefault="008310D7" w:rsidP="00261463">
      <w:pPr>
        <w:pStyle w:val="CETBodytext"/>
      </w:pPr>
    </w:p>
    <w:p w14:paraId="2A001E39" w14:textId="30E21CAA" w:rsidR="00503E26" w:rsidRPr="00983269" w:rsidRDefault="00983269" w:rsidP="0074719D">
      <w:pPr>
        <w:pStyle w:val="CETBodytext"/>
        <w:spacing w:line="360" w:lineRule="auto"/>
        <w:rPr>
          <w:b/>
          <w:bCs/>
        </w:rPr>
      </w:pPr>
      <w:r w:rsidRPr="00983269">
        <w:rPr>
          <w:b/>
          <w:bCs/>
        </w:rPr>
        <w:t xml:space="preserve">3.1 Kinetic Adsorption Model of </w:t>
      </w:r>
      <w:bookmarkStart w:id="5" w:name="_Hlk155959806"/>
      <w:r w:rsidRPr="00983269">
        <w:rPr>
          <w:b/>
          <w:bCs/>
        </w:rPr>
        <w:t>Cu (II) and Mn (II)</w:t>
      </w:r>
      <w:bookmarkEnd w:id="5"/>
    </w:p>
    <w:p w14:paraId="68348DCC" w14:textId="3B76B8B8" w:rsidR="00154D00" w:rsidRPr="00DC5301" w:rsidRDefault="00983269" w:rsidP="007D7BC4">
      <w:pPr>
        <w:pStyle w:val="CETBodytext"/>
      </w:pPr>
      <w:r w:rsidRPr="00983269">
        <w:t xml:space="preserve">The study of the adsorption kinetics of Cu and Mn in acidic waters was conducted using a natural adsorbent made from olive endocarp. </w:t>
      </w:r>
      <w:r w:rsidRPr="00DC5301">
        <w:t>Experiments were conducted at time intervals of 30, 60, 90, and 120 minutes.</w:t>
      </w:r>
    </w:p>
    <w:p w14:paraId="133B09CC" w14:textId="77777777" w:rsidR="00983269" w:rsidRPr="00DC5301" w:rsidRDefault="00983269" w:rsidP="007D7BC4">
      <w:pPr>
        <w:pStyle w:val="CETBodytext"/>
      </w:pPr>
    </w:p>
    <w:p w14:paraId="0F5BACD6" w14:textId="16D7B832" w:rsidR="001657A7" w:rsidRPr="007E32BE" w:rsidRDefault="001657A7" w:rsidP="00154D00">
      <w:pPr>
        <w:pStyle w:val="CETTabletitle"/>
        <w:spacing w:before="0" w:after="0" w:line="240" w:lineRule="auto"/>
        <w:rPr>
          <w:lang w:val="en-US"/>
        </w:rPr>
      </w:pPr>
      <w:bookmarkStart w:id="6" w:name="_Hlk154811244"/>
      <w:r w:rsidRPr="007E32BE">
        <w:rPr>
          <w:lang w:val="en-US"/>
        </w:rPr>
        <w:t xml:space="preserve">Table 2: </w:t>
      </w:r>
      <w:r w:rsidR="007E32BE" w:rsidRPr="007E32BE">
        <w:rPr>
          <w:lang w:val="en-US"/>
        </w:rPr>
        <w:t>Results of the Adsorption Kinetics Study of Cu (II) and Mn (II).</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72"/>
        <w:gridCol w:w="935"/>
        <w:gridCol w:w="912"/>
        <w:gridCol w:w="1050"/>
        <w:gridCol w:w="993"/>
        <w:gridCol w:w="992"/>
        <w:gridCol w:w="808"/>
        <w:gridCol w:w="1035"/>
        <w:gridCol w:w="990"/>
      </w:tblGrid>
      <w:tr w:rsidR="004714D5" w:rsidRPr="007E32BE" w14:paraId="1699FC5B" w14:textId="36E458B4" w:rsidTr="004714D5">
        <w:tc>
          <w:tcPr>
            <w:tcW w:w="1072" w:type="dxa"/>
            <w:vMerge w:val="restart"/>
            <w:tcBorders>
              <w:top w:val="single" w:sz="12" w:space="0" w:color="008000"/>
            </w:tcBorders>
            <w:shd w:val="clear" w:color="auto" w:fill="FFFFFF"/>
          </w:tcPr>
          <w:p w14:paraId="4A497BD4" w14:textId="3C7330B4" w:rsidR="004714D5" w:rsidRPr="00983269" w:rsidRDefault="007E32BE" w:rsidP="00946279">
            <w:pPr>
              <w:pStyle w:val="CETBodytext"/>
              <w:spacing w:line="240" w:lineRule="auto"/>
              <w:jc w:val="center"/>
              <w:rPr>
                <w:lang w:val="es-PE"/>
              </w:rPr>
            </w:pPr>
            <w:r w:rsidRPr="007E32BE">
              <w:rPr>
                <w:lang w:val="en-GB"/>
              </w:rPr>
              <w:t>Adsorption Time (minutes)</w:t>
            </w:r>
          </w:p>
        </w:tc>
        <w:tc>
          <w:tcPr>
            <w:tcW w:w="1847" w:type="dxa"/>
            <w:gridSpan w:val="2"/>
            <w:tcBorders>
              <w:top w:val="single" w:sz="12" w:space="0" w:color="008000"/>
              <w:bottom w:val="single" w:sz="6" w:space="0" w:color="008000"/>
            </w:tcBorders>
            <w:shd w:val="clear" w:color="auto" w:fill="FFFFFF"/>
          </w:tcPr>
          <w:p w14:paraId="7503BD73" w14:textId="2E793424" w:rsidR="004714D5" w:rsidRPr="005C5A17" w:rsidRDefault="007E32BE" w:rsidP="00946279">
            <w:pPr>
              <w:pStyle w:val="CETBodytext"/>
              <w:spacing w:line="240" w:lineRule="auto"/>
              <w:jc w:val="center"/>
              <w:rPr>
                <w:lang w:val="es-PE"/>
              </w:rPr>
            </w:pPr>
            <w:r w:rsidRPr="007E32BE">
              <w:rPr>
                <w:lang w:val="es-PE"/>
              </w:rPr>
              <w:t>Cu Concentration</w:t>
            </w:r>
          </w:p>
        </w:tc>
        <w:tc>
          <w:tcPr>
            <w:tcW w:w="2043" w:type="dxa"/>
            <w:gridSpan w:val="2"/>
            <w:tcBorders>
              <w:top w:val="single" w:sz="12" w:space="0" w:color="008000"/>
              <w:bottom w:val="single" w:sz="6" w:space="0" w:color="008000"/>
            </w:tcBorders>
            <w:shd w:val="clear" w:color="auto" w:fill="FFFFFF"/>
          </w:tcPr>
          <w:p w14:paraId="03E6FE62" w14:textId="174FE6D5" w:rsidR="004714D5" w:rsidRPr="007E32BE" w:rsidRDefault="007E32BE" w:rsidP="00946279">
            <w:pPr>
              <w:pStyle w:val="CETBodytext"/>
              <w:spacing w:line="240" w:lineRule="auto"/>
              <w:ind w:right="-1"/>
              <w:jc w:val="center"/>
              <w:rPr>
                <w:rFonts w:cs="Arial"/>
                <w:szCs w:val="18"/>
              </w:rPr>
            </w:pPr>
            <w:r w:rsidRPr="007E32BE">
              <w:rPr>
                <w:rFonts w:cs="Arial"/>
                <w:szCs w:val="18"/>
              </w:rPr>
              <w:t>Kinetic Adsorption Parameters for Cu</w:t>
            </w:r>
          </w:p>
        </w:tc>
        <w:tc>
          <w:tcPr>
            <w:tcW w:w="1800" w:type="dxa"/>
            <w:gridSpan w:val="2"/>
            <w:tcBorders>
              <w:top w:val="single" w:sz="12" w:space="0" w:color="008000"/>
              <w:bottom w:val="single" w:sz="6" w:space="0" w:color="008000"/>
            </w:tcBorders>
            <w:shd w:val="clear" w:color="auto" w:fill="FFFFFF"/>
          </w:tcPr>
          <w:p w14:paraId="1E1452E9" w14:textId="25E9D9B1" w:rsidR="004714D5" w:rsidRPr="005C5A17" w:rsidRDefault="004714D5" w:rsidP="00946279">
            <w:pPr>
              <w:pStyle w:val="CETBodytext"/>
              <w:spacing w:line="240" w:lineRule="auto"/>
              <w:ind w:right="-1"/>
              <w:jc w:val="center"/>
              <w:rPr>
                <w:rFonts w:cs="Arial"/>
                <w:szCs w:val="18"/>
                <w:lang w:val="es-PE"/>
              </w:rPr>
            </w:pPr>
            <w:r w:rsidRPr="0008751A">
              <w:rPr>
                <w:rFonts w:cs="Arial"/>
                <w:szCs w:val="18"/>
                <w:lang w:val="es-PE"/>
              </w:rPr>
              <w:t>Mn</w:t>
            </w:r>
            <w:r w:rsidR="007E32BE">
              <w:t xml:space="preserve"> </w:t>
            </w:r>
            <w:r w:rsidR="007E32BE" w:rsidRPr="007E32BE">
              <w:rPr>
                <w:rFonts w:cs="Arial"/>
                <w:szCs w:val="18"/>
                <w:lang w:val="es-PE"/>
              </w:rPr>
              <w:t>Concentration</w:t>
            </w:r>
          </w:p>
        </w:tc>
        <w:tc>
          <w:tcPr>
            <w:tcW w:w="2025" w:type="dxa"/>
            <w:gridSpan w:val="2"/>
            <w:tcBorders>
              <w:top w:val="single" w:sz="12" w:space="0" w:color="008000"/>
              <w:bottom w:val="single" w:sz="6" w:space="0" w:color="008000"/>
            </w:tcBorders>
            <w:shd w:val="clear" w:color="auto" w:fill="FFFFFF"/>
          </w:tcPr>
          <w:p w14:paraId="3CEA6E69" w14:textId="48211541" w:rsidR="004714D5" w:rsidRPr="007E32BE" w:rsidRDefault="007E32BE" w:rsidP="00946279">
            <w:pPr>
              <w:pStyle w:val="CETBodytext"/>
              <w:spacing w:line="240" w:lineRule="auto"/>
              <w:ind w:right="-1"/>
              <w:jc w:val="center"/>
              <w:rPr>
                <w:rFonts w:cs="Arial"/>
                <w:szCs w:val="18"/>
              </w:rPr>
            </w:pPr>
            <w:r w:rsidRPr="007E32BE">
              <w:rPr>
                <w:rFonts w:cs="Arial"/>
                <w:szCs w:val="18"/>
              </w:rPr>
              <w:t xml:space="preserve">Kinetic Adsorption Parameters for </w:t>
            </w:r>
            <w:r w:rsidR="004714D5" w:rsidRPr="007E32BE">
              <w:rPr>
                <w:rFonts w:cs="Arial"/>
                <w:szCs w:val="18"/>
              </w:rPr>
              <w:t>Mn</w:t>
            </w:r>
          </w:p>
        </w:tc>
      </w:tr>
      <w:tr w:rsidR="004714D5" w:rsidRPr="005C5A17" w14:paraId="50BDC712" w14:textId="089A846B" w:rsidTr="004714D5">
        <w:tc>
          <w:tcPr>
            <w:tcW w:w="1072" w:type="dxa"/>
            <w:vMerge/>
            <w:tcBorders>
              <w:bottom w:val="single" w:sz="6" w:space="0" w:color="008000"/>
            </w:tcBorders>
            <w:shd w:val="clear" w:color="auto" w:fill="FFFFFF"/>
          </w:tcPr>
          <w:p w14:paraId="4B0249E9" w14:textId="6FCD9C0A" w:rsidR="004714D5" w:rsidRPr="007E32BE" w:rsidRDefault="004714D5" w:rsidP="00946279">
            <w:pPr>
              <w:pStyle w:val="CETBodytext"/>
              <w:spacing w:line="240" w:lineRule="auto"/>
              <w:jc w:val="center"/>
            </w:pPr>
            <w:bookmarkStart w:id="7" w:name="_Hlk155959662"/>
          </w:p>
        </w:tc>
        <w:tc>
          <w:tcPr>
            <w:tcW w:w="935" w:type="dxa"/>
            <w:tcBorders>
              <w:top w:val="single" w:sz="12" w:space="0" w:color="008000"/>
              <w:bottom w:val="single" w:sz="6" w:space="0" w:color="008000"/>
            </w:tcBorders>
            <w:shd w:val="clear" w:color="auto" w:fill="FFFFFF"/>
          </w:tcPr>
          <w:p w14:paraId="31DA4404" w14:textId="39200283" w:rsidR="004714D5" w:rsidRPr="005C5A17" w:rsidRDefault="007E32BE" w:rsidP="00946279">
            <w:pPr>
              <w:pStyle w:val="CETBodytext"/>
              <w:spacing w:line="240" w:lineRule="auto"/>
              <w:jc w:val="center"/>
              <w:rPr>
                <w:lang w:val="es-PE"/>
              </w:rPr>
            </w:pPr>
            <w:r w:rsidRPr="007E32BE">
              <w:rPr>
                <w:lang w:val="es-PE"/>
              </w:rPr>
              <w:t xml:space="preserve">Initial </w:t>
            </w:r>
            <w:r w:rsidR="004714D5" w:rsidRPr="005C5A17">
              <w:rPr>
                <w:lang w:val="es-PE"/>
              </w:rPr>
              <w:t>(</w:t>
            </w:r>
            <w:r w:rsidR="004714D5">
              <w:rPr>
                <w:lang w:val="es-PE"/>
              </w:rPr>
              <w:t>mg/L</w:t>
            </w:r>
            <w:r w:rsidR="004714D5" w:rsidRPr="005C5A17">
              <w:rPr>
                <w:lang w:val="es-PE"/>
              </w:rPr>
              <w:t>)</w:t>
            </w:r>
          </w:p>
        </w:tc>
        <w:tc>
          <w:tcPr>
            <w:tcW w:w="912" w:type="dxa"/>
            <w:tcBorders>
              <w:top w:val="single" w:sz="12" w:space="0" w:color="008000"/>
              <w:bottom w:val="single" w:sz="6" w:space="0" w:color="008000"/>
            </w:tcBorders>
            <w:shd w:val="clear" w:color="auto" w:fill="FFFFFF"/>
          </w:tcPr>
          <w:p w14:paraId="52836639" w14:textId="364705AC" w:rsidR="004714D5" w:rsidRDefault="004714D5" w:rsidP="00946279">
            <w:pPr>
              <w:pStyle w:val="CETBodytext"/>
              <w:spacing w:line="240" w:lineRule="auto"/>
              <w:jc w:val="center"/>
              <w:rPr>
                <w:lang w:val="es-PE"/>
              </w:rPr>
            </w:pPr>
            <w:r w:rsidRPr="005C5A17">
              <w:rPr>
                <w:lang w:val="es-PE"/>
              </w:rPr>
              <w:t>Final</w:t>
            </w:r>
            <w:r>
              <w:rPr>
                <w:lang w:val="es-PE"/>
              </w:rPr>
              <w:t xml:space="preserve"> (</w:t>
            </w:r>
            <w:r w:rsidRPr="004714D5">
              <w:rPr>
                <w:lang w:val="es-PE"/>
              </w:rPr>
              <w:t>Ct</w:t>
            </w:r>
            <w:r>
              <w:rPr>
                <w:lang w:val="es-PE"/>
              </w:rPr>
              <w:t>)</w:t>
            </w:r>
          </w:p>
          <w:p w14:paraId="1D701529" w14:textId="35106DD4" w:rsidR="004714D5" w:rsidRPr="005C5A17" w:rsidRDefault="004714D5" w:rsidP="00946279">
            <w:pPr>
              <w:pStyle w:val="CETBodytext"/>
              <w:spacing w:line="240" w:lineRule="auto"/>
              <w:jc w:val="center"/>
              <w:rPr>
                <w:lang w:val="es-PE"/>
              </w:rPr>
            </w:pPr>
            <w:r w:rsidRPr="005C5A17">
              <w:rPr>
                <w:lang w:val="es-PE"/>
              </w:rPr>
              <w:t>(</w:t>
            </w:r>
            <w:r>
              <w:rPr>
                <w:lang w:val="es-PE"/>
              </w:rPr>
              <w:t>mg/L</w:t>
            </w:r>
            <w:r w:rsidRPr="005C5A17">
              <w:rPr>
                <w:lang w:val="es-PE"/>
              </w:rPr>
              <w:t>)</w:t>
            </w:r>
          </w:p>
        </w:tc>
        <w:tc>
          <w:tcPr>
            <w:tcW w:w="1050" w:type="dxa"/>
            <w:tcBorders>
              <w:top w:val="single" w:sz="12" w:space="0" w:color="008000"/>
              <w:bottom w:val="single" w:sz="6" w:space="0" w:color="008000"/>
            </w:tcBorders>
            <w:shd w:val="clear" w:color="auto" w:fill="FFFFFF"/>
          </w:tcPr>
          <w:p w14:paraId="494AAC38" w14:textId="0CE4CA2A" w:rsidR="004714D5" w:rsidRPr="005C5A17" w:rsidRDefault="004714D5" w:rsidP="00946279">
            <w:pPr>
              <w:pStyle w:val="CETBodytext"/>
              <w:spacing w:line="240" w:lineRule="auto"/>
              <w:ind w:right="-1"/>
              <w:jc w:val="center"/>
              <w:rPr>
                <w:rFonts w:cs="Arial"/>
                <w:szCs w:val="18"/>
                <w:lang w:val="es-PE"/>
              </w:rPr>
            </w:pPr>
            <w:r>
              <w:rPr>
                <w:rFonts w:cs="Arial"/>
                <w:szCs w:val="18"/>
                <w:lang w:val="es-PE"/>
              </w:rPr>
              <w:t>Ln Ct</w:t>
            </w:r>
          </w:p>
        </w:tc>
        <w:tc>
          <w:tcPr>
            <w:tcW w:w="993" w:type="dxa"/>
            <w:tcBorders>
              <w:top w:val="single" w:sz="12" w:space="0" w:color="008000"/>
              <w:bottom w:val="single" w:sz="6" w:space="0" w:color="008000"/>
            </w:tcBorders>
            <w:shd w:val="clear" w:color="auto" w:fill="FFFFFF"/>
          </w:tcPr>
          <w:p w14:paraId="599AFB92" w14:textId="581727CA" w:rsidR="004714D5" w:rsidRPr="005C5A17" w:rsidRDefault="004714D5" w:rsidP="00946279">
            <w:pPr>
              <w:pStyle w:val="CETBodytext"/>
              <w:spacing w:line="240" w:lineRule="auto"/>
              <w:jc w:val="center"/>
              <w:rPr>
                <w:lang w:val="es-PE"/>
              </w:rPr>
            </w:pPr>
            <w:r>
              <w:rPr>
                <w:lang w:val="es-PE"/>
              </w:rPr>
              <w:t>1/Ct</w:t>
            </w:r>
          </w:p>
        </w:tc>
        <w:tc>
          <w:tcPr>
            <w:tcW w:w="992" w:type="dxa"/>
            <w:tcBorders>
              <w:top w:val="single" w:sz="12" w:space="0" w:color="008000"/>
              <w:bottom w:val="single" w:sz="6" w:space="0" w:color="008000"/>
            </w:tcBorders>
            <w:shd w:val="clear" w:color="auto" w:fill="FFFFFF"/>
          </w:tcPr>
          <w:p w14:paraId="29B1F15F" w14:textId="4C11695E" w:rsidR="004714D5" w:rsidRPr="005C5A17" w:rsidRDefault="007E32BE" w:rsidP="00946279">
            <w:pPr>
              <w:pStyle w:val="CETBodytext"/>
              <w:spacing w:line="240" w:lineRule="auto"/>
              <w:jc w:val="center"/>
              <w:rPr>
                <w:lang w:val="es-PE"/>
              </w:rPr>
            </w:pPr>
            <w:r w:rsidRPr="007E32BE">
              <w:rPr>
                <w:lang w:val="es-PE"/>
              </w:rPr>
              <w:t xml:space="preserve">Initial </w:t>
            </w:r>
            <w:r w:rsidR="004714D5" w:rsidRPr="005C5A17">
              <w:rPr>
                <w:lang w:val="es-PE"/>
              </w:rPr>
              <w:t>(</w:t>
            </w:r>
            <w:r w:rsidR="004714D5" w:rsidRPr="004714D5">
              <w:rPr>
                <w:lang w:val="es-PE"/>
              </w:rPr>
              <w:t>mg/L</w:t>
            </w:r>
            <w:r w:rsidR="004714D5" w:rsidRPr="005C5A17">
              <w:rPr>
                <w:lang w:val="es-PE"/>
              </w:rPr>
              <w:t>)</w:t>
            </w:r>
          </w:p>
        </w:tc>
        <w:tc>
          <w:tcPr>
            <w:tcW w:w="808" w:type="dxa"/>
            <w:tcBorders>
              <w:top w:val="single" w:sz="12" w:space="0" w:color="008000"/>
              <w:bottom w:val="single" w:sz="6" w:space="0" w:color="008000"/>
            </w:tcBorders>
            <w:shd w:val="clear" w:color="auto" w:fill="FFFFFF"/>
          </w:tcPr>
          <w:p w14:paraId="66662ED9" w14:textId="597D400E" w:rsidR="004714D5" w:rsidRDefault="004714D5" w:rsidP="00946279">
            <w:pPr>
              <w:pStyle w:val="CETBodytext"/>
              <w:spacing w:line="240" w:lineRule="auto"/>
              <w:jc w:val="center"/>
              <w:rPr>
                <w:lang w:val="es-PE"/>
              </w:rPr>
            </w:pPr>
            <w:r w:rsidRPr="005C5A17">
              <w:rPr>
                <w:lang w:val="es-PE"/>
              </w:rPr>
              <w:t xml:space="preserve">Final </w:t>
            </w:r>
            <w:r>
              <w:rPr>
                <w:lang w:val="es-PE"/>
              </w:rPr>
              <w:t>(</w:t>
            </w:r>
            <w:r w:rsidRPr="004714D5">
              <w:rPr>
                <w:lang w:val="es-PE"/>
              </w:rPr>
              <w:t>Ct</w:t>
            </w:r>
            <w:r>
              <w:rPr>
                <w:lang w:val="es-PE"/>
              </w:rPr>
              <w:t>)</w:t>
            </w:r>
          </w:p>
          <w:p w14:paraId="2A85A17B" w14:textId="37142DA6" w:rsidR="004714D5" w:rsidRPr="005C5A17" w:rsidRDefault="004714D5" w:rsidP="00946279">
            <w:pPr>
              <w:pStyle w:val="CETBodytext"/>
              <w:spacing w:line="240" w:lineRule="auto"/>
              <w:jc w:val="center"/>
              <w:rPr>
                <w:lang w:val="es-PE"/>
              </w:rPr>
            </w:pPr>
            <w:r w:rsidRPr="005C5A17">
              <w:rPr>
                <w:lang w:val="es-PE"/>
              </w:rPr>
              <w:t>(</w:t>
            </w:r>
            <w:r w:rsidRPr="004714D5">
              <w:rPr>
                <w:lang w:val="es-PE"/>
              </w:rPr>
              <w:t>mg/L</w:t>
            </w:r>
            <w:r w:rsidRPr="005C5A17">
              <w:rPr>
                <w:lang w:val="es-PE"/>
              </w:rPr>
              <w:t>)</w:t>
            </w:r>
          </w:p>
        </w:tc>
        <w:tc>
          <w:tcPr>
            <w:tcW w:w="1035" w:type="dxa"/>
            <w:tcBorders>
              <w:top w:val="single" w:sz="12" w:space="0" w:color="008000"/>
              <w:bottom w:val="single" w:sz="6" w:space="0" w:color="008000"/>
            </w:tcBorders>
            <w:shd w:val="clear" w:color="auto" w:fill="FFFFFF"/>
          </w:tcPr>
          <w:p w14:paraId="0BC1BAC8" w14:textId="7CCDC4FA" w:rsidR="004714D5" w:rsidRPr="005C5A17" w:rsidRDefault="004714D5" w:rsidP="00946279">
            <w:pPr>
              <w:pStyle w:val="CETBodytext"/>
              <w:spacing w:line="240" w:lineRule="auto"/>
              <w:jc w:val="center"/>
              <w:rPr>
                <w:lang w:val="es-PE"/>
              </w:rPr>
            </w:pPr>
            <w:r>
              <w:rPr>
                <w:rFonts w:cs="Arial"/>
                <w:szCs w:val="18"/>
                <w:lang w:val="es-PE"/>
              </w:rPr>
              <w:t>Ln Ct</w:t>
            </w:r>
          </w:p>
        </w:tc>
        <w:tc>
          <w:tcPr>
            <w:tcW w:w="990" w:type="dxa"/>
            <w:tcBorders>
              <w:top w:val="single" w:sz="12" w:space="0" w:color="008000"/>
              <w:bottom w:val="single" w:sz="6" w:space="0" w:color="008000"/>
            </w:tcBorders>
            <w:shd w:val="clear" w:color="auto" w:fill="FFFFFF"/>
          </w:tcPr>
          <w:p w14:paraId="2227330B" w14:textId="7D0A9C7C" w:rsidR="004714D5" w:rsidRPr="005C5A17" w:rsidRDefault="004714D5" w:rsidP="00946279">
            <w:pPr>
              <w:pStyle w:val="CETBodytext"/>
              <w:spacing w:line="240" w:lineRule="auto"/>
              <w:jc w:val="center"/>
              <w:rPr>
                <w:lang w:val="es-PE"/>
              </w:rPr>
            </w:pPr>
            <w:r>
              <w:rPr>
                <w:lang w:val="es-PE"/>
              </w:rPr>
              <w:t>1/Ct</w:t>
            </w:r>
          </w:p>
        </w:tc>
      </w:tr>
      <w:bookmarkEnd w:id="7"/>
      <w:tr w:rsidR="004714D5" w:rsidRPr="00B57B36" w14:paraId="15FC8168" w14:textId="54DE032A" w:rsidTr="004714D5">
        <w:tc>
          <w:tcPr>
            <w:tcW w:w="1072" w:type="dxa"/>
            <w:shd w:val="clear" w:color="auto" w:fill="FFFFFF"/>
          </w:tcPr>
          <w:p w14:paraId="1B8AD881" w14:textId="0D8F829D" w:rsidR="004714D5" w:rsidRPr="00B57B36" w:rsidRDefault="004714D5" w:rsidP="00946279">
            <w:pPr>
              <w:pStyle w:val="CETBodytext"/>
              <w:spacing w:line="240" w:lineRule="auto"/>
              <w:jc w:val="center"/>
              <w:rPr>
                <w:lang w:val="en-GB"/>
              </w:rPr>
            </w:pPr>
            <w:r>
              <w:rPr>
                <w:lang w:val="en-GB"/>
              </w:rPr>
              <w:t>0</w:t>
            </w:r>
          </w:p>
        </w:tc>
        <w:tc>
          <w:tcPr>
            <w:tcW w:w="935" w:type="dxa"/>
            <w:vMerge w:val="restart"/>
            <w:shd w:val="clear" w:color="auto" w:fill="FFFFFF"/>
          </w:tcPr>
          <w:p w14:paraId="0CBC54DE" w14:textId="77777777" w:rsidR="004714D5" w:rsidRDefault="004714D5" w:rsidP="00946279">
            <w:pPr>
              <w:pStyle w:val="CETBodytext"/>
              <w:spacing w:line="240" w:lineRule="auto"/>
              <w:jc w:val="center"/>
              <w:rPr>
                <w:lang w:val="en-GB"/>
              </w:rPr>
            </w:pPr>
          </w:p>
          <w:p w14:paraId="06706708" w14:textId="77777777" w:rsidR="004714D5" w:rsidRDefault="004714D5" w:rsidP="00946279">
            <w:pPr>
              <w:pStyle w:val="CETBodytext"/>
              <w:spacing w:line="240" w:lineRule="auto"/>
              <w:jc w:val="center"/>
              <w:rPr>
                <w:lang w:val="en-GB"/>
              </w:rPr>
            </w:pPr>
          </w:p>
          <w:p w14:paraId="38A093F9" w14:textId="30108FFB" w:rsidR="004714D5" w:rsidRPr="00B57B36" w:rsidRDefault="004714D5" w:rsidP="00946279">
            <w:pPr>
              <w:pStyle w:val="CETBodytext"/>
              <w:spacing w:line="240" w:lineRule="auto"/>
              <w:jc w:val="center"/>
              <w:rPr>
                <w:lang w:val="en-GB"/>
              </w:rPr>
            </w:pPr>
            <w:r>
              <w:rPr>
                <w:lang w:val="en-GB"/>
              </w:rPr>
              <w:t>12.37</w:t>
            </w:r>
          </w:p>
        </w:tc>
        <w:tc>
          <w:tcPr>
            <w:tcW w:w="912" w:type="dxa"/>
            <w:shd w:val="clear" w:color="auto" w:fill="FFFFFF"/>
          </w:tcPr>
          <w:p w14:paraId="03597966" w14:textId="27641061" w:rsidR="004714D5" w:rsidRPr="00B57B36" w:rsidRDefault="004714D5" w:rsidP="00946279">
            <w:pPr>
              <w:pStyle w:val="CETBodytext"/>
              <w:spacing w:line="240" w:lineRule="auto"/>
              <w:jc w:val="center"/>
              <w:rPr>
                <w:lang w:val="en-GB"/>
              </w:rPr>
            </w:pPr>
            <w:r>
              <w:rPr>
                <w:lang w:val="en-GB"/>
              </w:rPr>
              <w:t>12.37</w:t>
            </w:r>
          </w:p>
        </w:tc>
        <w:tc>
          <w:tcPr>
            <w:tcW w:w="1050" w:type="dxa"/>
            <w:shd w:val="clear" w:color="auto" w:fill="FFFFFF"/>
          </w:tcPr>
          <w:p w14:paraId="1162CA6D" w14:textId="00BECB54" w:rsidR="004714D5" w:rsidRPr="00B57B36" w:rsidRDefault="004714D5" w:rsidP="00946279">
            <w:pPr>
              <w:pStyle w:val="CETBodytext"/>
              <w:spacing w:line="240" w:lineRule="auto"/>
              <w:ind w:right="-1"/>
              <w:jc w:val="center"/>
              <w:rPr>
                <w:rFonts w:cs="Arial"/>
                <w:szCs w:val="18"/>
                <w:lang w:val="en-GB"/>
              </w:rPr>
            </w:pPr>
            <w:r>
              <w:rPr>
                <w:rFonts w:cs="Arial"/>
                <w:szCs w:val="18"/>
                <w:lang w:val="en-GB"/>
              </w:rPr>
              <w:t>2.515</w:t>
            </w:r>
          </w:p>
        </w:tc>
        <w:tc>
          <w:tcPr>
            <w:tcW w:w="993" w:type="dxa"/>
            <w:shd w:val="clear" w:color="auto" w:fill="FFFFFF"/>
          </w:tcPr>
          <w:p w14:paraId="3FA0E946" w14:textId="75CD1679" w:rsidR="004714D5" w:rsidRDefault="004714D5" w:rsidP="00946279">
            <w:pPr>
              <w:pStyle w:val="CETBodytext"/>
              <w:spacing w:line="240" w:lineRule="auto"/>
              <w:ind w:right="-1"/>
              <w:jc w:val="center"/>
              <w:rPr>
                <w:rFonts w:cs="Arial"/>
                <w:szCs w:val="18"/>
                <w:lang w:val="en-GB"/>
              </w:rPr>
            </w:pPr>
            <w:r>
              <w:rPr>
                <w:rFonts w:cs="Arial"/>
                <w:szCs w:val="18"/>
                <w:lang w:val="en-GB"/>
              </w:rPr>
              <w:t>.0.81</w:t>
            </w:r>
          </w:p>
        </w:tc>
        <w:tc>
          <w:tcPr>
            <w:tcW w:w="992" w:type="dxa"/>
            <w:vMerge w:val="restart"/>
            <w:shd w:val="clear" w:color="auto" w:fill="FFFFFF"/>
          </w:tcPr>
          <w:p w14:paraId="5279257C" w14:textId="77777777" w:rsidR="004714D5" w:rsidRDefault="004714D5" w:rsidP="00946279">
            <w:pPr>
              <w:pStyle w:val="CETBodytext"/>
              <w:spacing w:line="240" w:lineRule="auto"/>
              <w:ind w:right="-1"/>
              <w:jc w:val="center"/>
              <w:rPr>
                <w:rFonts w:cs="Arial"/>
                <w:szCs w:val="18"/>
                <w:lang w:val="en-GB"/>
              </w:rPr>
            </w:pPr>
          </w:p>
          <w:p w14:paraId="0C9FE56F" w14:textId="77777777" w:rsidR="004714D5" w:rsidRDefault="004714D5" w:rsidP="00946279">
            <w:pPr>
              <w:pStyle w:val="CETBodytext"/>
              <w:spacing w:line="240" w:lineRule="auto"/>
              <w:ind w:right="-1"/>
              <w:jc w:val="center"/>
              <w:rPr>
                <w:rFonts w:cs="Arial"/>
                <w:szCs w:val="18"/>
                <w:lang w:val="en-GB"/>
              </w:rPr>
            </w:pPr>
          </w:p>
          <w:p w14:paraId="1B21E74B" w14:textId="6D318F90" w:rsidR="004714D5" w:rsidRDefault="004714D5" w:rsidP="00946279">
            <w:pPr>
              <w:pStyle w:val="CETBodytext"/>
              <w:spacing w:line="240" w:lineRule="auto"/>
              <w:ind w:right="-1"/>
              <w:jc w:val="center"/>
              <w:rPr>
                <w:rFonts w:cs="Arial"/>
                <w:szCs w:val="18"/>
                <w:lang w:val="en-GB"/>
              </w:rPr>
            </w:pPr>
            <w:r>
              <w:rPr>
                <w:rFonts w:cs="Arial"/>
                <w:szCs w:val="18"/>
                <w:lang w:val="en-GB"/>
              </w:rPr>
              <w:t>9.28</w:t>
            </w:r>
          </w:p>
        </w:tc>
        <w:tc>
          <w:tcPr>
            <w:tcW w:w="808" w:type="dxa"/>
            <w:shd w:val="clear" w:color="auto" w:fill="FFFFFF"/>
          </w:tcPr>
          <w:p w14:paraId="7EB2D8F2" w14:textId="61A89AEB" w:rsidR="004714D5" w:rsidRDefault="004714D5" w:rsidP="00946279">
            <w:pPr>
              <w:pStyle w:val="CETBodytext"/>
              <w:spacing w:line="240" w:lineRule="auto"/>
              <w:ind w:right="-1"/>
              <w:jc w:val="center"/>
              <w:rPr>
                <w:rFonts w:cs="Arial"/>
                <w:szCs w:val="18"/>
                <w:lang w:val="en-GB"/>
              </w:rPr>
            </w:pPr>
            <w:r>
              <w:rPr>
                <w:rFonts w:cs="Arial"/>
                <w:szCs w:val="18"/>
                <w:lang w:val="en-GB"/>
              </w:rPr>
              <w:t>9.28</w:t>
            </w:r>
          </w:p>
        </w:tc>
        <w:tc>
          <w:tcPr>
            <w:tcW w:w="1035" w:type="dxa"/>
            <w:shd w:val="clear" w:color="auto" w:fill="FFFFFF"/>
          </w:tcPr>
          <w:p w14:paraId="0F63A442" w14:textId="15E82C01" w:rsidR="004714D5" w:rsidRDefault="00AC0953" w:rsidP="00946279">
            <w:pPr>
              <w:pStyle w:val="CETBodytext"/>
              <w:spacing w:line="240" w:lineRule="auto"/>
              <w:ind w:right="-1"/>
              <w:jc w:val="center"/>
              <w:rPr>
                <w:rFonts w:cs="Arial"/>
                <w:szCs w:val="18"/>
                <w:lang w:val="en-GB"/>
              </w:rPr>
            </w:pPr>
            <w:r>
              <w:rPr>
                <w:rFonts w:cs="Arial"/>
                <w:szCs w:val="18"/>
                <w:lang w:val="en-GB"/>
              </w:rPr>
              <w:t>2.228</w:t>
            </w:r>
          </w:p>
        </w:tc>
        <w:tc>
          <w:tcPr>
            <w:tcW w:w="990" w:type="dxa"/>
            <w:shd w:val="clear" w:color="auto" w:fill="FFFFFF"/>
          </w:tcPr>
          <w:p w14:paraId="7CA133D7" w14:textId="3B7CF57E" w:rsidR="004714D5" w:rsidRDefault="00AC0953" w:rsidP="00946279">
            <w:pPr>
              <w:pStyle w:val="CETBodytext"/>
              <w:spacing w:line="240" w:lineRule="auto"/>
              <w:ind w:right="-1"/>
              <w:jc w:val="center"/>
              <w:rPr>
                <w:rFonts w:cs="Arial"/>
                <w:szCs w:val="18"/>
                <w:lang w:val="en-GB"/>
              </w:rPr>
            </w:pPr>
            <w:r>
              <w:rPr>
                <w:rFonts w:cs="Arial"/>
                <w:szCs w:val="18"/>
                <w:lang w:val="en-GB"/>
              </w:rPr>
              <w:t>0.108</w:t>
            </w:r>
          </w:p>
        </w:tc>
      </w:tr>
      <w:tr w:rsidR="004714D5" w:rsidRPr="00B57B36" w14:paraId="73827AFF" w14:textId="4F4EC454" w:rsidTr="004714D5">
        <w:tc>
          <w:tcPr>
            <w:tcW w:w="1072" w:type="dxa"/>
            <w:shd w:val="clear" w:color="auto" w:fill="FFFFFF"/>
          </w:tcPr>
          <w:p w14:paraId="12FD230A" w14:textId="71B1730C" w:rsidR="004714D5" w:rsidRPr="00B57B36" w:rsidRDefault="004714D5" w:rsidP="00946279">
            <w:pPr>
              <w:pStyle w:val="CETBodytext"/>
              <w:spacing w:line="240" w:lineRule="auto"/>
              <w:ind w:right="-1"/>
              <w:jc w:val="center"/>
              <w:rPr>
                <w:rFonts w:cs="Arial"/>
                <w:szCs w:val="18"/>
                <w:lang w:val="en-GB"/>
              </w:rPr>
            </w:pPr>
            <w:r>
              <w:rPr>
                <w:rFonts w:cs="Arial"/>
                <w:szCs w:val="18"/>
                <w:lang w:val="en-GB"/>
              </w:rPr>
              <w:t>30</w:t>
            </w:r>
          </w:p>
        </w:tc>
        <w:tc>
          <w:tcPr>
            <w:tcW w:w="935" w:type="dxa"/>
            <w:vMerge/>
            <w:shd w:val="clear" w:color="auto" w:fill="FFFFFF"/>
          </w:tcPr>
          <w:p w14:paraId="1435E936" w14:textId="77777777" w:rsidR="004714D5" w:rsidRPr="00B57B36" w:rsidRDefault="004714D5" w:rsidP="00946279">
            <w:pPr>
              <w:pStyle w:val="CETBodytext"/>
              <w:spacing w:line="240" w:lineRule="auto"/>
              <w:ind w:right="-1"/>
              <w:rPr>
                <w:rFonts w:cs="Arial"/>
                <w:szCs w:val="18"/>
                <w:lang w:val="en-GB"/>
              </w:rPr>
            </w:pPr>
          </w:p>
        </w:tc>
        <w:tc>
          <w:tcPr>
            <w:tcW w:w="912" w:type="dxa"/>
            <w:shd w:val="clear" w:color="auto" w:fill="FFFFFF"/>
          </w:tcPr>
          <w:p w14:paraId="73408765" w14:textId="67008DF5" w:rsidR="004714D5" w:rsidRPr="00B57B36" w:rsidRDefault="004714D5" w:rsidP="00946279">
            <w:pPr>
              <w:pStyle w:val="CETBodytext"/>
              <w:spacing w:line="240" w:lineRule="auto"/>
              <w:ind w:right="-1"/>
              <w:jc w:val="center"/>
              <w:rPr>
                <w:rFonts w:cs="Arial"/>
                <w:szCs w:val="18"/>
                <w:lang w:val="en-GB"/>
              </w:rPr>
            </w:pPr>
            <w:r>
              <w:rPr>
                <w:rFonts w:cs="Arial"/>
                <w:szCs w:val="18"/>
                <w:lang w:val="en-GB"/>
              </w:rPr>
              <w:t>5.17</w:t>
            </w:r>
          </w:p>
        </w:tc>
        <w:tc>
          <w:tcPr>
            <w:tcW w:w="1050" w:type="dxa"/>
            <w:shd w:val="clear" w:color="auto" w:fill="FFFFFF"/>
          </w:tcPr>
          <w:p w14:paraId="77A0EBC9" w14:textId="1033513B" w:rsidR="004714D5" w:rsidRPr="00B57B36" w:rsidRDefault="004714D5" w:rsidP="00946279">
            <w:pPr>
              <w:pStyle w:val="CETBodytext"/>
              <w:spacing w:line="240" w:lineRule="auto"/>
              <w:ind w:right="-1"/>
              <w:jc w:val="center"/>
              <w:rPr>
                <w:rFonts w:cs="Arial"/>
                <w:szCs w:val="18"/>
                <w:lang w:val="en-GB"/>
              </w:rPr>
            </w:pPr>
            <w:r>
              <w:rPr>
                <w:rFonts w:cs="Arial"/>
                <w:szCs w:val="18"/>
                <w:lang w:val="en-GB"/>
              </w:rPr>
              <w:t>1.643</w:t>
            </w:r>
          </w:p>
        </w:tc>
        <w:tc>
          <w:tcPr>
            <w:tcW w:w="993" w:type="dxa"/>
            <w:shd w:val="clear" w:color="auto" w:fill="FFFFFF"/>
          </w:tcPr>
          <w:p w14:paraId="7854583F" w14:textId="3D145736" w:rsidR="004714D5" w:rsidRDefault="004714D5" w:rsidP="00946279">
            <w:pPr>
              <w:pStyle w:val="CETBodytext"/>
              <w:spacing w:line="240" w:lineRule="auto"/>
              <w:ind w:right="-1"/>
              <w:jc w:val="center"/>
              <w:rPr>
                <w:rFonts w:cs="Arial"/>
                <w:szCs w:val="18"/>
                <w:lang w:val="en-GB"/>
              </w:rPr>
            </w:pPr>
            <w:r>
              <w:rPr>
                <w:rFonts w:cs="Arial"/>
                <w:szCs w:val="18"/>
                <w:lang w:val="en-GB"/>
              </w:rPr>
              <w:t>0.193</w:t>
            </w:r>
          </w:p>
        </w:tc>
        <w:tc>
          <w:tcPr>
            <w:tcW w:w="992" w:type="dxa"/>
            <w:vMerge/>
            <w:shd w:val="clear" w:color="auto" w:fill="FFFFFF"/>
          </w:tcPr>
          <w:p w14:paraId="56CA5695" w14:textId="77777777" w:rsidR="004714D5" w:rsidRDefault="004714D5" w:rsidP="00946279">
            <w:pPr>
              <w:pStyle w:val="CETBodytext"/>
              <w:spacing w:line="240" w:lineRule="auto"/>
              <w:ind w:right="-1"/>
              <w:jc w:val="center"/>
              <w:rPr>
                <w:rFonts w:cs="Arial"/>
                <w:szCs w:val="18"/>
                <w:lang w:val="en-GB"/>
              </w:rPr>
            </w:pPr>
          </w:p>
        </w:tc>
        <w:tc>
          <w:tcPr>
            <w:tcW w:w="808" w:type="dxa"/>
            <w:shd w:val="clear" w:color="auto" w:fill="FFFFFF"/>
          </w:tcPr>
          <w:p w14:paraId="2B6868F9" w14:textId="1C4C11E6" w:rsidR="004714D5" w:rsidRDefault="004714D5" w:rsidP="00946279">
            <w:pPr>
              <w:pStyle w:val="CETBodytext"/>
              <w:spacing w:line="240" w:lineRule="auto"/>
              <w:ind w:right="-1"/>
              <w:jc w:val="center"/>
              <w:rPr>
                <w:rFonts w:cs="Arial"/>
                <w:szCs w:val="18"/>
                <w:lang w:val="en-GB"/>
              </w:rPr>
            </w:pPr>
            <w:r>
              <w:rPr>
                <w:rFonts w:cs="Arial"/>
                <w:szCs w:val="18"/>
                <w:lang w:val="en-GB"/>
              </w:rPr>
              <w:t>4.61</w:t>
            </w:r>
          </w:p>
        </w:tc>
        <w:tc>
          <w:tcPr>
            <w:tcW w:w="1035" w:type="dxa"/>
            <w:shd w:val="clear" w:color="auto" w:fill="FFFFFF"/>
          </w:tcPr>
          <w:p w14:paraId="614A8B51" w14:textId="2633FF97" w:rsidR="004714D5" w:rsidRDefault="00AC0953" w:rsidP="00946279">
            <w:pPr>
              <w:pStyle w:val="CETBodytext"/>
              <w:spacing w:line="240" w:lineRule="auto"/>
              <w:ind w:right="-1"/>
              <w:jc w:val="center"/>
              <w:rPr>
                <w:rFonts w:cs="Arial"/>
                <w:szCs w:val="18"/>
                <w:lang w:val="en-GB"/>
              </w:rPr>
            </w:pPr>
            <w:r>
              <w:rPr>
                <w:rFonts w:cs="Arial"/>
                <w:szCs w:val="18"/>
                <w:lang w:val="en-GB"/>
              </w:rPr>
              <w:t>1.528</w:t>
            </w:r>
          </w:p>
        </w:tc>
        <w:tc>
          <w:tcPr>
            <w:tcW w:w="990" w:type="dxa"/>
            <w:shd w:val="clear" w:color="auto" w:fill="FFFFFF"/>
          </w:tcPr>
          <w:p w14:paraId="03CF8184" w14:textId="7374652D" w:rsidR="004714D5" w:rsidRDefault="00AC0953" w:rsidP="00946279">
            <w:pPr>
              <w:pStyle w:val="CETBodytext"/>
              <w:spacing w:line="240" w:lineRule="auto"/>
              <w:ind w:right="-1"/>
              <w:jc w:val="center"/>
              <w:rPr>
                <w:rFonts w:cs="Arial"/>
                <w:szCs w:val="18"/>
                <w:lang w:val="en-GB"/>
              </w:rPr>
            </w:pPr>
            <w:r>
              <w:rPr>
                <w:rFonts w:cs="Arial"/>
                <w:szCs w:val="18"/>
                <w:lang w:val="en-GB"/>
              </w:rPr>
              <w:t>0.217</w:t>
            </w:r>
          </w:p>
        </w:tc>
      </w:tr>
      <w:tr w:rsidR="004714D5" w:rsidRPr="00B57B36" w14:paraId="21B7B44A" w14:textId="4AA84552" w:rsidTr="004714D5">
        <w:tc>
          <w:tcPr>
            <w:tcW w:w="1072" w:type="dxa"/>
            <w:shd w:val="clear" w:color="auto" w:fill="FFFFFF"/>
          </w:tcPr>
          <w:p w14:paraId="5E58D435" w14:textId="34809302" w:rsidR="004714D5" w:rsidRPr="00B57B36" w:rsidRDefault="004714D5" w:rsidP="00946279">
            <w:pPr>
              <w:pStyle w:val="CETBodytext"/>
              <w:spacing w:line="240" w:lineRule="auto"/>
              <w:ind w:right="-1"/>
              <w:jc w:val="center"/>
              <w:rPr>
                <w:rFonts w:cs="Arial"/>
                <w:szCs w:val="18"/>
                <w:lang w:val="en-GB"/>
              </w:rPr>
            </w:pPr>
            <w:r>
              <w:rPr>
                <w:rFonts w:cs="Arial"/>
                <w:szCs w:val="18"/>
                <w:lang w:val="en-GB"/>
              </w:rPr>
              <w:t>60</w:t>
            </w:r>
          </w:p>
        </w:tc>
        <w:tc>
          <w:tcPr>
            <w:tcW w:w="935" w:type="dxa"/>
            <w:vMerge/>
            <w:shd w:val="clear" w:color="auto" w:fill="FFFFFF"/>
          </w:tcPr>
          <w:p w14:paraId="10D1D564" w14:textId="77777777" w:rsidR="004714D5" w:rsidRPr="00B57B36" w:rsidRDefault="004714D5" w:rsidP="00946279">
            <w:pPr>
              <w:pStyle w:val="CETBodytext"/>
              <w:spacing w:line="240" w:lineRule="auto"/>
              <w:ind w:right="-1"/>
              <w:rPr>
                <w:rFonts w:cs="Arial"/>
                <w:szCs w:val="18"/>
                <w:lang w:val="en-GB"/>
              </w:rPr>
            </w:pPr>
          </w:p>
        </w:tc>
        <w:tc>
          <w:tcPr>
            <w:tcW w:w="912" w:type="dxa"/>
            <w:shd w:val="clear" w:color="auto" w:fill="FFFFFF"/>
          </w:tcPr>
          <w:p w14:paraId="5CF41287" w14:textId="46C23831" w:rsidR="004714D5" w:rsidRPr="00B57B36" w:rsidRDefault="004714D5" w:rsidP="00946279">
            <w:pPr>
              <w:pStyle w:val="CETBodytext"/>
              <w:spacing w:line="240" w:lineRule="auto"/>
              <w:ind w:right="-1"/>
              <w:jc w:val="center"/>
              <w:rPr>
                <w:rFonts w:cs="Arial"/>
                <w:szCs w:val="18"/>
                <w:lang w:val="en-GB"/>
              </w:rPr>
            </w:pPr>
            <w:r>
              <w:rPr>
                <w:rFonts w:cs="Arial"/>
                <w:szCs w:val="18"/>
                <w:lang w:val="en-GB"/>
              </w:rPr>
              <w:t>4.33</w:t>
            </w:r>
          </w:p>
        </w:tc>
        <w:tc>
          <w:tcPr>
            <w:tcW w:w="1050" w:type="dxa"/>
            <w:shd w:val="clear" w:color="auto" w:fill="FFFFFF"/>
          </w:tcPr>
          <w:p w14:paraId="79E35819" w14:textId="162746CC" w:rsidR="004714D5" w:rsidRPr="00B57B36" w:rsidRDefault="004714D5" w:rsidP="00946279">
            <w:pPr>
              <w:pStyle w:val="CETBodytext"/>
              <w:spacing w:line="240" w:lineRule="auto"/>
              <w:ind w:right="-1"/>
              <w:jc w:val="center"/>
              <w:rPr>
                <w:rFonts w:cs="Arial"/>
                <w:szCs w:val="18"/>
                <w:lang w:val="en-GB"/>
              </w:rPr>
            </w:pPr>
            <w:r>
              <w:rPr>
                <w:rFonts w:cs="Arial"/>
                <w:szCs w:val="18"/>
                <w:lang w:val="en-GB"/>
              </w:rPr>
              <w:t>1.466</w:t>
            </w:r>
          </w:p>
        </w:tc>
        <w:tc>
          <w:tcPr>
            <w:tcW w:w="993" w:type="dxa"/>
            <w:shd w:val="clear" w:color="auto" w:fill="FFFFFF"/>
          </w:tcPr>
          <w:p w14:paraId="2D8EDEF8" w14:textId="5721A70D" w:rsidR="004714D5" w:rsidRDefault="004714D5" w:rsidP="00946279">
            <w:pPr>
              <w:pStyle w:val="CETBodytext"/>
              <w:spacing w:line="240" w:lineRule="auto"/>
              <w:ind w:right="-1"/>
              <w:jc w:val="center"/>
              <w:rPr>
                <w:rFonts w:cs="Arial"/>
                <w:szCs w:val="18"/>
                <w:lang w:val="en-GB"/>
              </w:rPr>
            </w:pPr>
            <w:r>
              <w:rPr>
                <w:rFonts w:cs="Arial"/>
                <w:szCs w:val="18"/>
                <w:lang w:val="en-GB"/>
              </w:rPr>
              <w:t>0.231</w:t>
            </w:r>
          </w:p>
        </w:tc>
        <w:tc>
          <w:tcPr>
            <w:tcW w:w="992" w:type="dxa"/>
            <w:vMerge/>
            <w:shd w:val="clear" w:color="auto" w:fill="FFFFFF"/>
          </w:tcPr>
          <w:p w14:paraId="5D0C8F55" w14:textId="77777777" w:rsidR="004714D5" w:rsidRDefault="004714D5" w:rsidP="00946279">
            <w:pPr>
              <w:pStyle w:val="CETBodytext"/>
              <w:spacing w:line="240" w:lineRule="auto"/>
              <w:ind w:right="-1"/>
              <w:jc w:val="center"/>
              <w:rPr>
                <w:rFonts w:cs="Arial"/>
                <w:szCs w:val="18"/>
                <w:lang w:val="en-GB"/>
              </w:rPr>
            </w:pPr>
          </w:p>
        </w:tc>
        <w:tc>
          <w:tcPr>
            <w:tcW w:w="808" w:type="dxa"/>
            <w:shd w:val="clear" w:color="auto" w:fill="FFFFFF"/>
          </w:tcPr>
          <w:p w14:paraId="45E39568" w14:textId="2D5766F1" w:rsidR="004714D5" w:rsidRDefault="004714D5" w:rsidP="00946279">
            <w:pPr>
              <w:pStyle w:val="CETBodytext"/>
              <w:spacing w:line="240" w:lineRule="auto"/>
              <w:ind w:right="-1"/>
              <w:jc w:val="center"/>
              <w:rPr>
                <w:rFonts w:cs="Arial"/>
                <w:szCs w:val="18"/>
                <w:lang w:val="en-GB"/>
              </w:rPr>
            </w:pPr>
            <w:r>
              <w:rPr>
                <w:rFonts w:cs="Arial"/>
                <w:szCs w:val="18"/>
                <w:lang w:val="en-GB"/>
              </w:rPr>
              <w:t>2.79</w:t>
            </w:r>
          </w:p>
        </w:tc>
        <w:tc>
          <w:tcPr>
            <w:tcW w:w="1035" w:type="dxa"/>
            <w:shd w:val="clear" w:color="auto" w:fill="FFFFFF"/>
          </w:tcPr>
          <w:p w14:paraId="0539B720" w14:textId="2414C795" w:rsidR="004714D5" w:rsidRDefault="00AC0953" w:rsidP="00946279">
            <w:pPr>
              <w:pStyle w:val="CETBodytext"/>
              <w:spacing w:line="240" w:lineRule="auto"/>
              <w:ind w:right="-1"/>
              <w:jc w:val="center"/>
              <w:rPr>
                <w:rFonts w:cs="Arial"/>
                <w:szCs w:val="18"/>
                <w:lang w:val="en-GB"/>
              </w:rPr>
            </w:pPr>
            <w:r>
              <w:rPr>
                <w:rFonts w:cs="Arial"/>
                <w:szCs w:val="18"/>
                <w:lang w:val="en-GB"/>
              </w:rPr>
              <w:t>1.026</w:t>
            </w:r>
          </w:p>
        </w:tc>
        <w:tc>
          <w:tcPr>
            <w:tcW w:w="990" w:type="dxa"/>
            <w:shd w:val="clear" w:color="auto" w:fill="FFFFFF"/>
          </w:tcPr>
          <w:p w14:paraId="1233020C" w14:textId="2897B3D2" w:rsidR="004714D5" w:rsidRDefault="00AC0953" w:rsidP="00946279">
            <w:pPr>
              <w:pStyle w:val="CETBodytext"/>
              <w:spacing w:line="240" w:lineRule="auto"/>
              <w:ind w:right="-1"/>
              <w:jc w:val="center"/>
              <w:rPr>
                <w:rFonts w:cs="Arial"/>
                <w:szCs w:val="18"/>
                <w:lang w:val="en-GB"/>
              </w:rPr>
            </w:pPr>
            <w:r>
              <w:rPr>
                <w:rFonts w:cs="Arial"/>
                <w:szCs w:val="18"/>
                <w:lang w:val="en-GB"/>
              </w:rPr>
              <w:t>0.358</w:t>
            </w:r>
          </w:p>
        </w:tc>
      </w:tr>
      <w:tr w:rsidR="004714D5" w:rsidRPr="00B57B36" w14:paraId="2DC47B2E" w14:textId="49E23B69" w:rsidTr="004714D5">
        <w:tc>
          <w:tcPr>
            <w:tcW w:w="1072" w:type="dxa"/>
            <w:shd w:val="clear" w:color="auto" w:fill="FFFFFF"/>
          </w:tcPr>
          <w:p w14:paraId="1F8C4271" w14:textId="35AB9DFA" w:rsidR="004714D5" w:rsidRPr="00B57B36" w:rsidRDefault="004714D5" w:rsidP="00946279">
            <w:pPr>
              <w:pStyle w:val="CETBodytext"/>
              <w:spacing w:line="240" w:lineRule="auto"/>
              <w:ind w:right="-1"/>
              <w:jc w:val="center"/>
              <w:rPr>
                <w:rFonts w:cs="Arial"/>
                <w:szCs w:val="18"/>
                <w:lang w:val="en-GB"/>
              </w:rPr>
            </w:pPr>
            <w:r>
              <w:rPr>
                <w:rFonts w:cs="Arial"/>
                <w:szCs w:val="18"/>
                <w:lang w:val="en-GB"/>
              </w:rPr>
              <w:t>90</w:t>
            </w:r>
          </w:p>
        </w:tc>
        <w:tc>
          <w:tcPr>
            <w:tcW w:w="935" w:type="dxa"/>
            <w:vMerge/>
            <w:shd w:val="clear" w:color="auto" w:fill="FFFFFF"/>
          </w:tcPr>
          <w:p w14:paraId="62DDAE6F" w14:textId="77777777" w:rsidR="004714D5" w:rsidRPr="00B57B36" w:rsidRDefault="004714D5" w:rsidP="00946279">
            <w:pPr>
              <w:pStyle w:val="CETBodytext"/>
              <w:spacing w:line="240" w:lineRule="auto"/>
              <w:ind w:right="-1"/>
              <w:rPr>
                <w:rFonts w:cs="Arial"/>
                <w:szCs w:val="18"/>
                <w:lang w:val="en-GB"/>
              </w:rPr>
            </w:pPr>
          </w:p>
        </w:tc>
        <w:tc>
          <w:tcPr>
            <w:tcW w:w="912" w:type="dxa"/>
            <w:shd w:val="clear" w:color="auto" w:fill="FFFFFF"/>
          </w:tcPr>
          <w:p w14:paraId="6D79B9CE" w14:textId="3D4894BE" w:rsidR="004714D5" w:rsidRPr="00B57B36" w:rsidRDefault="004714D5" w:rsidP="00946279">
            <w:pPr>
              <w:pStyle w:val="CETBodytext"/>
              <w:spacing w:line="240" w:lineRule="auto"/>
              <w:ind w:right="-1"/>
              <w:jc w:val="center"/>
              <w:rPr>
                <w:rFonts w:cs="Arial"/>
                <w:szCs w:val="18"/>
                <w:lang w:val="en-GB"/>
              </w:rPr>
            </w:pPr>
            <w:r>
              <w:rPr>
                <w:rFonts w:cs="Arial"/>
                <w:szCs w:val="18"/>
                <w:lang w:val="en-GB"/>
              </w:rPr>
              <w:t>3.34</w:t>
            </w:r>
          </w:p>
        </w:tc>
        <w:tc>
          <w:tcPr>
            <w:tcW w:w="1050" w:type="dxa"/>
            <w:shd w:val="clear" w:color="auto" w:fill="FFFFFF"/>
          </w:tcPr>
          <w:p w14:paraId="524EA2B2" w14:textId="69950380" w:rsidR="004714D5" w:rsidRPr="00B57B36" w:rsidRDefault="004714D5" w:rsidP="00946279">
            <w:pPr>
              <w:pStyle w:val="CETBodytext"/>
              <w:spacing w:line="240" w:lineRule="auto"/>
              <w:ind w:right="-1"/>
              <w:jc w:val="center"/>
              <w:rPr>
                <w:rFonts w:cs="Arial"/>
                <w:szCs w:val="18"/>
                <w:lang w:val="en-GB"/>
              </w:rPr>
            </w:pPr>
            <w:r>
              <w:rPr>
                <w:rFonts w:cs="Arial"/>
                <w:szCs w:val="18"/>
                <w:lang w:val="en-GB"/>
              </w:rPr>
              <w:t>1.206</w:t>
            </w:r>
          </w:p>
        </w:tc>
        <w:tc>
          <w:tcPr>
            <w:tcW w:w="993" w:type="dxa"/>
            <w:shd w:val="clear" w:color="auto" w:fill="FFFFFF"/>
          </w:tcPr>
          <w:p w14:paraId="3D590D49" w14:textId="25A0ECBA" w:rsidR="004714D5" w:rsidRDefault="004714D5" w:rsidP="00946279">
            <w:pPr>
              <w:pStyle w:val="CETBodytext"/>
              <w:spacing w:line="240" w:lineRule="auto"/>
              <w:ind w:right="-1"/>
              <w:jc w:val="center"/>
              <w:rPr>
                <w:rFonts w:cs="Arial"/>
                <w:szCs w:val="18"/>
                <w:lang w:val="en-GB"/>
              </w:rPr>
            </w:pPr>
            <w:r>
              <w:rPr>
                <w:rFonts w:cs="Arial"/>
                <w:szCs w:val="18"/>
                <w:lang w:val="en-GB"/>
              </w:rPr>
              <w:t>0.299</w:t>
            </w:r>
          </w:p>
        </w:tc>
        <w:tc>
          <w:tcPr>
            <w:tcW w:w="992" w:type="dxa"/>
            <w:vMerge/>
            <w:shd w:val="clear" w:color="auto" w:fill="FFFFFF"/>
          </w:tcPr>
          <w:p w14:paraId="1C5F8BD4" w14:textId="77777777" w:rsidR="004714D5" w:rsidRDefault="004714D5" w:rsidP="00946279">
            <w:pPr>
              <w:pStyle w:val="CETBodytext"/>
              <w:spacing w:line="240" w:lineRule="auto"/>
              <w:ind w:right="-1"/>
              <w:jc w:val="center"/>
              <w:rPr>
                <w:rFonts w:cs="Arial"/>
                <w:szCs w:val="18"/>
                <w:lang w:val="en-GB"/>
              </w:rPr>
            </w:pPr>
          </w:p>
        </w:tc>
        <w:tc>
          <w:tcPr>
            <w:tcW w:w="808" w:type="dxa"/>
            <w:shd w:val="clear" w:color="auto" w:fill="FFFFFF"/>
          </w:tcPr>
          <w:p w14:paraId="1884037C" w14:textId="0D1502D8" w:rsidR="004714D5" w:rsidRDefault="004714D5" w:rsidP="00946279">
            <w:pPr>
              <w:pStyle w:val="CETBodytext"/>
              <w:spacing w:line="240" w:lineRule="auto"/>
              <w:ind w:right="-1"/>
              <w:jc w:val="center"/>
              <w:rPr>
                <w:rFonts w:cs="Arial"/>
                <w:szCs w:val="18"/>
                <w:lang w:val="en-GB"/>
              </w:rPr>
            </w:pPr>
            <w:r>
              <w:rPr>
                <w:rFonts w:cs="Arial"/>
                <w:szCs w:val="18"/>
                <w:lang w:val="en-GB"/>
              </w:rPr>
              <w:t>0.88</w:t>
            </w:r>
          </w:p>
        </w:tc>
        <w:tc>
          <w:tcPr>
            <w:tcW w:w="1035" w:type="dxa"/>
            <w:shd w:val="clear" w:color="auto" w:fill="FFFFFF"/>
          </w:tcPr>
          <w:p w14:paraId="3D97A39A" w14:textId="51C36AD7" w:rsidR="004714D5" w:rsidRDefault="00AC0953" w:rsidP="00946279">
            <w:pPr>
              <w:pStyle w:val="CETBodytext"/>
              <w:spacing w:line="240" w:lineRule="auto"/>
              <w:ind w:right="-1"/>
              <w:jc w:val="center"/>
              <w:rPr>
                <w:rFonts w:cs="Arial"/>
                <w:szCs w:val="18"/>
                <w:lang w:val="en-GB"/>
              </w:rPr>
            </w:pPr>
            <w:r>
              <w:rPr>
                <w:rFonts w:cs="Arial"/>
                <w:szCs w:val="18"/>
                <w:lang w:val="en-GB"/>
              </w:rPr>
              <w:t>-0.128</w:t>
            </w:r>
          </w:p>
        </w:tc>
        <w:tc>
          <w:tcPr>
            <w:tcW w:w="990" w:type="dxa"/>
            <w:shd w:val="clear" w:color="auto" w:fill="FFFFFF"/>
          </w:tcPr>
          <w:p w14:paraId="7D6C2109" w14:textId="1E0E1F9B" w:rsidR="004714D5" w:rsidRDefault="00AC0953" w:rsidP="00946279">
            <w:pPr>
              <w:pStyle w:val="CETBodytext"/>
              <w:spacing w:line="240" w:lineRule="auto"/>
              <w:ind w:right="-1"/>
              <w:jc w:val="center"/>
              <w:rPr>
                <w:rFonts w:cs="Arial"/>
                <w:szCs w:val="18"/>
                <w:lang w:val="en-GB"/>
              </w:rPr>
            </w:pPr>
            <w:r>
              <w:rPr>
                <w:rFonts w:cs="Arial"/>
                <w:szCs w:val="18"/>
                <w:lang w:val="en-GB"/>
              </w:rPr>
              <w:t>1.136</w:t>
            </w:r>
          </w:p>
        </w:tc>
      </w:tr>
      <w:tr w:rsidR="004714D5" w:rsidRPr="00B57B36" w14:paraId="50301031" w14:textId="383C4B29" w:rsidTr="004714D5">
        <w:tc>
          <w:tcPr>
            <w:tcW w:w="1072" w:type="dxa"/>
            <w:shd w:val="clear" w:color="auto" w:fill="FFFFFF"/>
          </w:tcPr>
          <w:p w14:paraId="74CD09EA" w14:textId="74756E1F" w:rsidR="004714D5" w:rsidRDefault="004714D5" w:rsidP="00946279">
            <w:pPr>
              <w:pStyle w:val="CETBodytext"/>
              <w:spacing w:line="240" w:lineRule="auto"/>
              <w:ind w:right="-1"/>
              <w:jc w:val="center"/>
              <w:rPr>
                <w:rFonts w:cs="Arial"/>
                <w:szCs w:val="18"/>
                <w:lang w:val="en-GB"/>
              </w:rPr>
            </w:pPr>
            <w:r>
              <w:rPr>
                <w:rFonts w:cs="Arial"/>
                <w:szCs w:val="18"/>
                <w:lang w:val="en-GB"/>
              </w:rPr>
              <w:t>120</w:t>
            </w:r>
          </w:p>
        </w:tc>
        <w:tc>
          <w:tcPr>
            <w:tcW w:w="935" w:type="dxa"/>
            <w:vMerge/>
            <w:shd w:val="clear" w:color="auto" w:fill="FFFFFF"/>
          </w:tcPr>
          <w:p w14:paraId="79024F2A" w14:textId="77777777" w:rsidR="004714D5" w:rsidRPr="00B57B36" w:rsidRDefault="004714D5" w:rsidP="00946279">
            <w:pPr>
              <w:pStyle w:val="CETBodytext"/>
              <w:spacing w:line="240" w:lineRule="auto"/>
              <w:ind w:right="-1"/>
              <w:rPr>
                <w:rFonts w:cs="Arial"/>
                <w:szCs w:val="18"/>
                <w:lang w:val="en-GB"/>
              </w:rPr>
            </w:pPr>
          </w:p>
        </w:tc>
        <w:tc>
          <w:tcPr>
            <w:tcW w:w="912" w:type="dxa"/>
            <w:shd w:val="clear" w:color="auto" w:fill="FFFFFF"/>
          </w:tcPr>
          <w:p w14:paraId="68A3F385" w14:textId="31E67181" w:rsidR="004714D5" w:rsidRPr="00B57B36" w:rsidRDefault="004714D5" w:rsidP="00946279">
            <w:pPr>
              <w:pStyle w:val="CETBodytext"/>
              <w:spacing w:line="240" w:lineRule="auto"/>
              <w:ind w:right="-1"/>
              <w:jc w:val="center"/>
              <w:rPr>
                <w:rFonts w:cs="Arial"/>
                <w:szCs w:val="18"/>
                <w:lang w:val="en-GB"/>
              </w:rPr>
            </w:pPr>
            <w:r>
              <w:rPr>
                <w:rFonts w:cs="Arial"/>
                <w:szCs w:val="18"/>
                <w:lang w:val="en-GB"/>
              </w:rPr>
              <w:t>0.41</w:t>
            </w:r>
          </w:p>
        </w:tc>
        <w:tc>
          <w:tcPr>
            <w:tcW w:w="1050" w:type="dxa"/>
            <w:shd w:val="clear" w:color="auto" w:fill="FFFFFF"/>
          </w:tcPr>
          <w:p w14:paraId="5558F15B" w14:textId="791CBBD1" w:rsidR="004714D5" w:rsidRPr="00B57B36" w:rsidRDefault="004714D5" w:rsidP="00946279">
            <w:pPr>
              <w:pStyle w:val="CETBodytext"/>
              <w:spacing w:line="240" w:lineRule="auto"/>
              <w:ind w:right="-1"/>
              <w:jc w:val="center"/>
              <w:rPr>
                <w:rFonts w:cs="Arial"/>
                <w:szCs w:val="18"/>
                <w:lang w:val="en-GB"/>
              </w:rPr>
            </w:pPr>
            <w:r>
              <w:rPr>
                <w:rFonts w:cs="Arial"/>
                <w:szCs w:val="18"/>
                <w:lang w:val="en-GB"/>
              </w:rPr>
              <w:t>-0.892</w:t>
            </w:r>
          </w:p>
        </w:tc>
        <w:tc>
          <w:tcPr>
            <w:tcW w:w="993" w:type="dxa"/>
            <w:shd w:val="clear" w:color="auto" w:fill="FFFFFF"/>
          </w:tcPr>
          <w:p w14:paraId="0C2E1350" w14:textId="55958BDC" w:rsidR="004714D5" w:rsidRDefault="004714D5" w:rsidP="00946279">
            <w:pPr>
              <w:pStyle w:val="CETBodytext"/>
              <w:spacing w:line="240" w:lineRule="auto"/>
              <w:ind w:right="-1"/>
              <w:jc w:val="center"/>
              <w:rPr>
                <w:rFonts w:cs="Arial"/>
                <w:szCs w:val="18"/>
                <w:lang w:val="en-GB"/>
              </w:rPr>
            </w:pPr>
            <w:r>
              <w:rPr>
                <w:rFonts w:cs="Arial"/>
                <w:szCs w:val="18"/>
                <w:lang w:val="en-GB"/>
              </w:rPr>
              <w:t>2.439</w:t>
            </w:r>
          </w:p>
        </w:tc>
        <w:tc>
          <w:tcPr>
            <w:tcW w:w="992" w:type="dxa"/>
            <w:vMerge/>
            <w:shd w:val="clear" w:color="auto" w:fill="FFFFFF"/>
          </w:tcPr>
          <w:p w14:paraId="5EA7A181" w14:textId="77777777" w:rsidR="004714D5" w:rsidRDefault="004714D5" w:rsidP="00946279">
            <w:pPr>
              <w:pStyle w:val="CETBodytext"/>
              <w:spacing w:line="240" w:lineRule="auto"/>
              <w:ind w:right="-1"/>
              <w:jc w:val="center"/>
              <w:rPr>
                <w:rFonts w:cs="Arial"/>
                <w:szCs w:val="18"/>
                <w:lang w:val="en-GB"/>
              </w:rPr>
            </w:pPr>
          </w:p>
        </w:tc>
        <w:tc>
          <w:tcPr>
            <w:tcW w:w="808" w:type="dxa"/>
            <w:shd w:val="clear" w:color="auto" w:fill="FFFFFF"/>
          </w:tcPr>
          <w:p w14:paraId="5FEBA99A" w14:textId="7A1AE365" w:rsidR="004714D5" w:rsidRDefault="004714D5" w:rsidP="00946279">
            <w:pPr>
              <w:pStyle w:val="CETBodytext"/>
              <w:spacing w:line="240" w:lineRule="auto"/>
              <w:ind w:right="-1"/>
              <w:jc w:val="center"/>
              <w:rPr>
                <w:rFonts w:cs="Arial"/>
                <w:szCs w:val="18"/>
                <w:lang w:val="en-GB"/>
              </w:rPr>
            </w:pPr>
            <w:r>
              <w:rPr>
                <w:rFonts w:cs="Arial"/>
                <w:szCs w:val="18"/>
                <w:lang w:val="en-GB"/>
              </w:rPr>
              <w:t>0.24</w:t>
            </w:r>
          </w:p>
        </w:tc>
        <w:tc>
          <w:tcPr>
            <w:tcW w:w="1035" w:type="dxa"/>
            <w:shd w:val="clear" w:color="auto" w:fill="FFFFFF"/>
          </w:tcPr>
          <w:p w14:paraId="5ECA5163" w14:textId="494E11F4" w:rsidR="004714D5" w:rsidRDefault="00AC0953" w:rsidP="00946279">
            <w:pPr>
              <w:pStyle w:val="CETBodytext"/>
              <w:spacing w:line="240" w:lineRule="auto"/>
              <w:ind w:right="-1"/>
              <w:jc w:val="center"/>
              <w:rPr>
                <w:rFonts w:cs="Arial"/>
                <w:szCs w:val="18"/>
                <w:lang w:val="en-GB"/>
              </w:rPr>
            </w:pPr>
            <w:r>
              <w:rPr>
                <w:rFonts w:cs="Arial"/>
                <w:szCs w:val="18"/>
                <w:lang w:val="en-GB"/>
              </w:rPr>
              <w:t>-1.427</w:t>
            </w:r>
          </w:p>
        </w:tc>
        <w:tc>
          <w:tcPr>
            <w:tcW w:w="990" w:type="dxa"/>
            <w:shd w:val="clear" w:color="auto" w:fill="FFFFFF"/>
          </w:tcPr>
          <w:p w14:paraId="12A12580" w14:textId="04109068" w:rsidR="004714D5" w:rsidRDefault="00AC0953" w:rsidP="00946279">
            <w:pPr>
              <w:pStyle w:val="CETBodytext"/>
              <w:spacing w:line="240" w:lineRule="auto"/>
              <w:ind w:right="-1"/>
              <w:jc w:val="center"/>
              <w:rPr>
                <w:rFonts w:cs="Arial"/>
                <w:szCs w:val="18"/>
                <w:lang w:val="en-GB"/>
              </w:rPr>
            </w:pPr>
            <w:r>
              <w:rPr>
                <w:rFonts w:cs="Arial"/>
                <w:szCs w:val="18"/>
                <w:lang w:val="en-GB"/>
              </w:rPr>
              <w:t>4.167</w:t>
            </w:r>
          </w:p>
        </w:tc>
      </w:tr>
      <w:bookmarkEnd w:id="6"/>
    </w:tbl>
    <w:p w14:paraId="1228C266" w14:textId="0A80AAF2" w:rsidR="007D7BC4" w:rsidRDefault="007D7BC4" w:rsidP="007D7BC4">
      <w:pPr>
        <w:pStyle w:val="CETBodytext"/>
        <w:rPr>
          <w:lang w:val="es-PE"/>
        </w:rPr>
      </w:pPr>
    </w:p>
    <w:p w14:paraId="5EFED756" w14:textId="015F0B18" w:rsidR="00946279" w:rsidRDefault="007E32BE" w:rsidP="007D7BC4">
      <w:pPr>
        <w:pStyle w:val="CETBodytext"/>
      </w:pPr>
      <w:r w:rsidRPr="007E32BE">
        <w:t>The results were presented in Table 2, detailing the initial and final concentrations of Cu and Mn over the contact time. It is observed that, in both cases, as time progresses, more favorable results are obtained, reaching minimum final concentrations of Cu at 0.41 ppm at 120 minutes and a minimum Mn concentration of 0.24 ppm in the same evaluation period. Additionally, kinetic adsorption parameters were included, which were utilized to graphically represent the first-order adsorption kinetics for Cu and Mn, respectively.</w:t>
      </w:r>
    </w:p>
    <w:p w14:paraId="00E23B21" w14:textId="77777777" w:rsidR="00A834BD" w:rsidRDefault="00A834BD" w:rsidP="007D7BC4">
      <w:pPr>
        <w:pStyle w:val="CETBodytext"/>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10"/>
        <w:gridCol w:w="4177"/>
        <w:gridCol w:w="285"/>
      </w:tblGrid>
      <w:tr w:rsidR="002F6F08" w14:paraId="15C1441B" w14:textId="77777777" w:rsidTr="002F6F08">
        <w:tc>
          <w:tcPr>
            <w:tcW w:w="4610" w:type="dxa"/>
          </w:tcPr>
          <w:p w14:paraId="232F82B5" w14:textId="6B90FB17" w:rsidR="00BA4FBF" w:rsidRDefault="002F6F08" w:rsidP="007D7BC4">
            <w:pPr>
              <w:pStyle w:val="CETBodytext"/>
              <w:rPr>
                <w:lang w:val="es-PE"/>
              </w:rPr>
            </w:pPr>
            <w:r>
              <w:rPr>
                <w:noProof/>
              </w:rPr>
              <w:drawing>
                <wp:inline distT="0" distB="0" distL="0" distR="0" wp14:anchorId="33FD86E2" wp14:editId="76B5A034">
                  <wp:extent cx="2834640" cy="1676400"/>
                  <wp:effectExtent l="0" t="0" r="3810" b="0"/>
                  <wp:docPr id="16243511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51176" name=""/>
                          <pic:cNvPicPr/>
                        </pic:nvPicPr>
                        <pic:blipFill>
                          <a:blip r:embed="rId11"/>
                          <a:stretch>
                            <a:fillRect/>
                          </a:stretch>
                        </pic:blipFill>
                        <pic:spPr>
                          <a:xfrm>
                            <a:off x="0" y="0"/>
                            <a:ext cx="2875208" cy="1700392"/>
                          </a:xfrm>
                          <a:prstGeom prst="rect">
                            <a:avLst/>
                          </a:prstGeom>
                        </pic:spPr>
                      </pic:pic>
                    </a:graphicData>
                  </a:graphic>
                </wp:inline>
              </w:drawing>
            </w:r>
          </w:p>
        </w:tc>
        <w:tc>
          <w:tcPr>
            <w:tcW w:w="4462" w:type="dxa"/>
            <w:gridSpan w:val="2"/>
          </w:tcPr>
          <w:p w14:paraId="70B61E9C" w14:textId="5034C90A" w:rsidR="00BA4FBF" w:rsidRDefault="002F6F08" w:rsidP="007D7BC4">
            <w:pPr>
              <w:pStyle w:val="CETBodytext"/>
              <w:rPr>
                <w:lang w:val="es-PE"/>
              </w:rPr>
            </w:pPr>
            <w:r>
              <w:rPr>
                <w:noProof/>
              </w:rPr>
              <w:drawing>
                <wp:inline distT="0" distB="0" distL="0" distR="0" wp14:anchorId="14115509" wp14:editId="5558DD2E">
                  <wp:extent cx="2651760" cy="1625600"/>
                  <wp:effectExtent l="0" t="0" r="0" b="0"/>
                  <wp:docPr id="18705765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76590" name=""/>
                          <pic:cNvPicPr/>
                        </pic:nvPicPr>
                        <pic:blipFill>
                          <a:blip r:embed="rId12"/>
                          <a:stretch>
                            <a:fillRect/>
                          </a:stretch>
                        </pic:blipFill>
                        <pic:spPr>
                          <a:xfrm>
                            <a:off x="0" y="0"/>
                            <a:ext cx="2682297" cy="1644320"/>
                          </a:xfrm>
                          <a:prstGeom prst="rect">
                            <a:avLst/>
                          </a:prstGeom>
                        </pic:spPr>
                      </pic:pic>
                    </a:graphicData>
                  </a:graphic>
                </wp:inline>
              </w:drawing>
            </w:r>
          </w:p>
        </w:tc>
      </w:tr>
      <w:tr w:rsidR="002F6F08" w:rsidRPr="006B1894" w14:paraId="3C183B14" w14:textId="77777777" w:rsidTr="002F6F08">
        <w:trPr>
          <w:gridAfter w:val="1"/>
          <w:wAfter w:w="285" w:type="dxa"/>
        </w:trPr>
        <w:tc>
          <w:tcPr>
            <w:tcW w:w="4610" w:type="dxa"/>
          </w:tcPr>
          <w:p w14:paraId="7B8847EC" w14:textId="4F754647" w:rsidR="00407E12" w:rsidRPr="00407E12" w:rsidRDefault="00574F85" w:rsidP="00407E12">
            <w:pPr>
              <w:pStyle w:val="CETBodytext"/>
              <w:jc w:val="center"/>
              <w:rPr>
                <w:noProof/>
                <w:lang w:val="es-PE"/>
              </w:rPr>
            </w:pPr>
            <w:bookmarkStart w:id="8" w:name="_Hlk155960381"/>
            <w:r w:rsidRPr="00574F85">
              <w:rPr>
                <w:noProof/>
                <w:lang w:val="es-PE"/>
              </w:rPr>
              <w:t>Figure 1. Copper Adsorption Kinetics</w:t>
            </w:r>
          </w:p>
        </w:tc>
        <w:tc>
          <w:tcPr>
            <w:tcW w:w="4177" w:type="dxa"/>
          </w:tcPr>
          <w:p w14:paraId="363C2305" w14:textId="17EEB77F" w:rsidR="00407E12" w:rsidRPr="00407E12" w:rsidRDefault="00574F85" w:rsidP="00407E12">
            <w:pPr>
              <w:jc w:val="center"/>
              <w:rPr>
                <w:noProof/>
                <w:lang w:val="es-PE"/>
              </w:rPr>
            </w:pPr>
            <w:r w:rsidRPr="00574F85">
              <w:rPr>
                <w:noProof/>
                <w:lang w:val="es-PE"/>
              </w:rPr>
              <w:t>Figure 2</w:t>
            </w:r>
            <w:r>
              <w:rPr>
                <w:noProof/>
                <w:lang w:val="es-PE"/>
              </w:rPr>
              <w:t xml:space="preserve">. </w:t>
            </w:r>
            <w:r w:rsidRPr="00574F85">
              <w:rPr>
                <w:noProof/>
                <w:lang w:val="es-PE"/>
              </w:rPr>
              <w:t>Manganese Adsorption Kinetics</w:t>
            </w:r>
          </w:p>
        </w:tc>
      </w:tr>
    </w:tbl>
    <w:bookmarkEnd w:id="8"/>
    <w:p w14:paraId="509A04C2" w14:textId="77777777" w:rsidR="00FB474E" w:rsidRDefault="00FB474E" w:rsidP="00FB474E">
      <w:pPr>
        <w:pStyle w:val="CETTabletitle"/>
        <w:spacing w:before="0"/>
        <w:rPr>
          <w:i w:val="0"/>
          <w:lang w:val="en-US"/>
        </w:rPr>
      </w:pPr>
      <w:r w:rsidRPr="00FB474E">
        <w:rPr>
          <w:i w:val="0"/>
          <w:lang w:val="en-US"/>
        </w:rPr>
        <w:lastRenderedPageBreak/>
        <w:t>In Table 3, the values of the rate constants obtained for the first-order kinetics of both Cu and Mn were presented.</w:t>
      </w:r>
    </w:p>
    <w:p w14:paraId="2C24DA0A" w14:textId="07D1F1D1" w:rsidR="000D2C0D" w:rsidRPr="007A58D9" w:rsidRDefault="007A58D9" w:rsidP="000D2C0D">
      <w:pPr>
        <w:pStyle w:val="CETTabletitle"/>
        <w:rPr>
          <w:lang w:val="en-US"/>
        </w:rPr>
      </w:pPr>
      <w:r w:rsidRPr="007A58D9">
        <w:rPr>
          <w:lang w:val="en-US"/>
        </w:rPr>
        <w:t>Table 3: Kinetic Adsorption Constants for Cu (II) and Mn (II)</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0D2C0D" w:rsidRPr="00B57B36" w14:paraId="62093AF7" w14:textId="77777777" w:rsidTr="0061442A">
        <w:tc>
          <w:tcPr>
            <w:tcW w:w="1134" w:type="dxa"/>
            <w:vMerge w:val="restart"/>
            <w:tcBorders>
              <w:top w:val="single" w:sz="12" w:space="0" w:color="008000"/>
            </w:tcBorders>
            <w:shd w:val="clear" w:color="auto" w:fill="FFFFFF"/>
          </w:tcPr>
          <w:p w14:paraId="75E0FC17" w14:textId="3CD91AC0" w:rsidR="000D2C0D" w:rsidRPr="00B57B36" w:rsidRDefault="007A58D9" w:rsidP="000D2C0D">
            <w:pPr>
              <w:pStyle w:val="CETBodytext"/>
              <w:jc w:val="center"/>
              <w:rPr>
                <w:lang w:val="en-GB"/>
              </w:rPr>
            </w:pPr>
            <w:bookmarkStart w:id="9" w:name="_Hlk155081608"/>
            <w:r w:rsidRPr="007A58D9">
              <w:rPr>
                <w:lang w:val="en-GB"/>
              </w:rPr>
              <w:t>Metallic Element</w:t>
            </w:r>
          </w:p>
        </w:tc>
        <w:tc>
          <w:tcPr>
            <w:tcW w:w="1134" w:type="dxa"/>
            <w:vMerge w:val="restart"/>
            <w:tcBorders>
              <w:top w:val="single" w:sz="12" w:space="0" w:color="008000"/>
            </w:tcBorders>
            <w:shd w:val="clear" w:color="auto" w:fill="FFFFFF"/>
          </w:tcPr>
          <w:p w14:paraId="5333F138" w14:textId="76A7432A" w:rsidR="000D2C0D" w:rsidRPr="00B57B36" w:rsidRDefault="007A58D9" w:rsidP="000D2C0D">
            <w:pPr>
              <w:pStyle w:val="CETBodytext"/>
              <w:jc w:val="center"/>
              <w:rPr>
                <w:lang w:val="en-GB"/>
              </w:rPr>
            </w:pPr>
            <w:r w:rsidRPr="007A58D9">
              <w:rPr>
                <w:lang w:val="en-GB"/>
              </w:rPr>
              <w:t xml:space="preserve">Initial Concentration </w:t>
            </w:r>
            <w:r w:rsidR="000D2C0D">
              <w:rPr>
                <w:lang w:val="en-GB"/>
              </w:rPr>
              <w:t>(mg/L)</w:t>
            </w:r>
          </w:p>
        </w:tc>
        <w:tc>
          <w:tcPr>
            <w:tcW w:w="3402" w:type="dxa"/>
            <w:gridSpan w:val="3"/>
            <w:tcBorders>
              <w:top w:val="single" w:sz="12" w:space="0" w:color="008000"/>
              <w:bottom w:val="single" w:sz="6" w:space="0" w:color="008000"/>
            </w:tcBorders>
            <w:shd w:val="clear" w:color="auto" w:fill="FFFFFF"/>
          </w:tcPr>
          <w:p w14:paraId="3C249231" w14:textId="2A6ADDFE" w:rsidR="000D2C0D" w:rsidRPr="00B57B36" w:rsidRDefault="007A58D9" w:rsidP="000D2C0D">
            <w:pPr>
              <w:pStyle w:val="CETBodytext"/>
              <w:ind w:right="-1"/>
              <w:jc w:val="center"/>
              <w:rPr>
                <w:rFonts w:cs="Arial"/>
                <w:szCs w:val="18"/>
                <w:lang w:val="en-GB"/>
              </w:rPr>
            </w:pPr>
            <w:r w:rsidRPr="007A58D9">
              <w:rPr>
                <w:rFonts w:cs="Arial"/>
                <w:szCs w:val="18"/>
                <w:lang w:val="en-GB"/>
              </w:rPr>
              <w:t>First Order</w:t>
            </w:r>
          </w:p>
        </w:tc>
      </w:tr>
      <w:tr w:rsidR="000D2C0D" w:rsidRPr="00B57B36" w14:paraId="1C29F056" w14:textId="77777777" w:rsidTr="0061442A">
        <w:tc>
          <w:tcPr>
            <w:tcW w:w="1134" w:type="dxa"/>
            <w:vMerge/>
            <w:tcBorders>
              <w:bottom w:val="single" w:sz="6" w:space="0" w:color="008000"/>
            </w:tcBorders>
            <w:shd w:val="clear" w:color="auto" w:fill="FFFFFF"/>
          </w:tcPr>
          <w:p w14:paraId="1CCD84E1" w14:textId="3861F94A" w:rsidR="000D2C0D" w:rsidRPr="00B57B36" w:rsidRDefault="000D2C0D" w:rsidP="00855D34">
            <w:pPr>
              <w:pStyle w:val="CETBodytext"/>
              <w:rPr>
                <w:lang w:val="en-GB"/>
              </w:rPr>
            </w:pPr>
          </w:p>
        </w:tc>
        <w:tc>
          <w:tcPr>
            <w:tcW w:w="1134" w:type="dxa"/>
            <w:vMerge/>
            <w:tcBorders>
              <w:bottom w:val="single" w:sz="6" w:space="0" w:color="008000"/>
            </w:tcBorders>
            <w:shd w:val="clear" w:color="auto" w:fill="FFFFFF"/>
          </w:tcPr>
          <w:p w14:paraId="136F7E03" w14:textId="33D8E9C1" w:rsidR="000D2C0D" w:rsidRPr="00B57B36" w:rsidRDefault="000D2C0D" w:rsidP="00855D34">
            <w:pPr>
              <w:pStyle w:val="CETBodytext"/>
              <w:rPr>
                <w:lang w:val="en-GB"/>
              </w:rPr>
            </w:pPr>
          </w:p>
        </w:tc>
        <w:tc>
          <w:tcPr>
            <w:tcW w:w="1134" w:type="dxa"/>
            <w:tcBorders>
              <w:top w:val="single" w:sz="12" w:space="0" w:color="008000"/>
              <w:bottom w:val="single" w:sz="6" w:space="0" w:color="008000"/>
            </w:tcBorders>
            <w:shd w:val="clear" w:color="auto" w:fill="FFFFFF"/>
          </w:tcPr>
          <w:p w14:paraId="69EB58EA" w14:textId="0CC1ABC5" w:rsidR="000D2C0D" w:rsidRDefault="001E01D0" w:rsidP="000D2C0D">
            <w:pPr>
              <w:pStyle w:val="CETBodytext"/>
              <w:jc w:val="center"/>
              <w:rPr>
                <w:lang w:val="en-GB"/>
              </w:rPr>
            </w:pPr>
            <w:r>
              <w:rPr>
                <w:lang w:val="en-GB"/>
              </w:rPr>
              <w:t>q</w:t>
            </w:r>
            <w:r w:rsidR="000D2C0D">
              <w:rPr>
                <w:lang w:val="en-GB"/>
              </w:rPr>
              <w:t>e</w:t>
            </w:r>
          </w:p>
          <w:p w14:paraId="3741FD80" w14:textId="0C8876FE" w:rsidR="000D2C0D" w:rsidRPr="00B57B36" w:rsidRDefault="000D2C0D" w:rsidP="000D2C0D">
            <w:pPr>
              <w:pStyle w:val="CETBodytext"/>
              <w:jc w:val="center"/>
              <w:rPr>
                <w:lang w:val="en-GB"/>
              </w:rPr>
            </w:pPr>
            <w:r>
              <w:rPr>
                <w:lang w:val="en-GB"/>
              </w:rPr>
              <w:t>(mg/L)</w:t>
            </w:r>
          </w:p>
        </w:tc>
        <w:tc>
          <w:tcPr>
            <w:tcW w:w="1134" w:type="dxa"/>
            <w:tcBorders>
              <w:top w:val="single" w:sz="12" w:space="0" w:color="008000"/>
              <w:bottom w:val="single" w:sz="6" w:space="0" w:color="008000"/>
            </w:tcBorders>
            <w:shd w:val="clear" w:color="auto" w:fill="FFFFFF"/>
          </w:tcPr>
          <w:p w14:paraId="6EB97D6A" w14:textId="77777777" w:rsidR="000D2C0D" w:rsidRDefault="000D2C0D" w:rsidP="000D2C0D">
            <w:pPr>
              <w:pStyle w:val="CETBodytext"/>
              <w:ind w:right="-1"/>
              <w:jc w:val="center"/>
              <w:rPr>
                <w:rFonts w:cs="Arial"/>
                <w:szCs w:val="18"/>
                <w:lang w:val="en-GB"/>
              </w:rPr>
            </w:pPr>
            <w:r>
              <w:rPr>
                <w:rFonts w:cs="Arial"/>
                <w:szCs w:val="18"/>
                <w:lang w:val="en-GB"/>
              </w:rPr>
              <w:t>K</w:t>
            </w:r>
          </w:p>
          <w:p w14:paraId="79A6EB1E" w14:textId="7192F8DB" w:rsidR="000D2C0D" w:rsidRPr="00B57B36" w:rsidRDefault="000D2C0D" w:rsidP="000D2C0D">
            <w:pPr>
              <w:pStyle w:val="CETBodytext"/>
              <w:ind w:right="-1"/>
              <w:jc w:val="center"/>
              <w:rPr>
                <w:rFonts w:cs="Arial"/>
                <w:szCs w:val="18"/>
                <w:lang w:val="en-GB"/>
              </w:rPr>
            </w:pPr>
            <w:r>
              <w:rPr>
                <w:rFonts w:cs="Arial"/>
                <w:szCs w:val="18"/>
                <w:lang w:val="en-GB"/>
              </w:rPr>
              <w:t>(min</w:t>
            </w:r>
            <w:r w:rsidRPr="000D2C0D">
              <w:rPr>
                <w:rFonts w:cs="Arial"/>
                <w:szCs w:val="18"/>
                <w:vertAlign w:val="superscript"/>
                <w:lang w:val="en-GB"/>
              </w:rPr>
              <w:t>-1</w:t>
            </w:r>
            <w:r>
              <w:rPr>
                <w:rFonts w:cs="Arial"/>
                <w:szCs w:val="18"/>
                <w:lang w:val="en-GB"/>
              </w:rPr>
              <w:t>)</w:t>
            </w:r>
          </w:p>
        </w:tc>
        <w:tc>
          <w:tcPr>
            <w:tcW w:w="1134" w:type="dxa"/>
            <w:tcBorders>
              <w:top w:val="single" w:sz="12" w:space="0" w:color="008000"/>
              <w:bottom w:val="single" w:sz="6" w:space="0" w:color="008000"/>
            </w:tcBorders>
            <w:shd w:val="clear" w:color="auto" w:fill="FFFFFF"/>
          </w:tcPr>
          <w:p w14:paraId="1396D304" w14:textId="07EC39FC" w:rsidR="000D2C0D" w:rsidRPr="00B57B36" w:rsidRDefault="000D2C0D" w:rsidP="000D2C0D">
            <w:pPr>
              <w:pStyle w:val="CETBodytext"/>
              <w:ind w:right="-1"/>
              <w:jc w:val="center"/>
              <w:rPr>
                <w:rFonts w:cs="Arial"/>
                <w:szCs w:val="18"/>
                <w:lang w:val="en-GB"/>
              </w:rPr>
            </w:pPr>
            <w:r>
              <w:rPr>
                <w:rFonts w:cs="Arial"/>
                <w:szCs w:val="18"/>
                <w:lang w:val="en-GB"/>
              </w:rPr>
              <w:t>R</w:t>
            </w:r>
            <w:r w:rsidRPr="000D2C0D">
              <w:rPr>
                <w:rFonts w:cs="Arial"/>
                <w:sz w:val="20"/>
                <w:vertAlign w:val="superscript"/>
                <w:lang w:val="en-GB"/>
              </w:rPr>
              <w:t>2</w:t>
            </w:r>
          </w:p>
        </w:tc>
      </w:tr>
      <w:tr w:rsidR="000D2C0D" w:rsidRPr="00B57B36" w14:paraId="50DF3313" w14:textId="77777777" w:rsidTr="00855D34">
        <w:tc>
          <w:tcPr>
            <w:tcW w:w="1134" w:type="dxa"/>
            <w:shd w:val="clear" w:color="auto" w:fill="FFFFFF"/>
          </w:tcPr>
          <w:p w14:paraId="0FF5C958" w14:textId="65F6B9FA" w:rsidR="000D2C0D" w:rsidRPr="00B57B36" w:rsidRDefault="000D2C0D" w:rsidP="000D2C0D">
            <w:pPr>
              <w:pStyle w:val="CETBodytext"/>
              <w:jc w:val="center"/>
              <w:rPr>
                <w:lang w:val="en-GB"/>
              </w:rPr>
            </w:pPr>
            <w:r>
              <w:rPr>
                <w:lang w:val="en-GB"/>
              </w:rPr>
              <w:t>Cu</w:t>
            </w:r>
          </w:p>
        </w:tc>
        <w:tc>
          <w:tcPr>
            <w:tcW w:w="1134" w:type="dxa"/>
            <w:shd w:val="clear" w:color="auto" w:fill="FFFFFF"/>
          </w:tcPr>
          <w:p w14:paraId="6339EDFD" w14:textId="0703A67F" w:rsidR="000D2C0D" w:rsidRPr="00B57B36" w:rsidRDefault="000D2C0D" w:rsidP="000D2C0D">
            <w:pPr>
              <w:pStyle w:val="CETBodytext"/>
              <w:jc w:val="center"/>
              <w:rPr>
                <w:lang w:val="en-GB"/>
              </w:rPr>
            </w:pPr>
            <w:r>
              <w:rPr>
                <w:lang w:val="en-GB"/>
              </w:rPr>
              <w:t>12.37</w:t>
            </w:r>
          </w:p>
        </w:tc>
        <w:tc>
          <w:tcPr>
            <w:tcW w:w="1134" w:type="dxa"/>
            <w:shd w:val="clear" w:color="auto" w:fill="FFFFFF"/>
          </w:tcPr>
          <w:p w14:paraId="406BE584" w14:textId="1F625236" w:rsidR="000D2C0D" w:rsidRPr="00B57B36" w:rsidRDefault="000D2C0D" w:rsidP="000D2C0D">
            <w:pPr>
              <w:pStyle w:val="CETBodytext"/>
              <w:jc w:val="center"/>
              <w:rPr>
                <w:lang w:val="en-GB"/>
              </w:rPr>
            </w:pPr>
            <w:r>
              <w:rPr>
                <w:lang w:val="en-GB"/>
              </w:rPr>
              <w:t>0.970</w:t>
            </w:r>
          </w:p>
        </w:tc>
        <w:tc>
          <w:tcPr>
            <w:tcW w:w="1134" w:type="dxa"/>
            <w:shd w:val="clear" w:color="auto" w:fill="FFFFFF"/>
          </w:tcPr>
          <w:p w14:paraId="0650D44B" w14:textId="47E8FEB1" w:rsidR="000D2C0D" w:rsidRPr="00B57B36" w:rsidRDefault="00FB474E" w:rsidP="000D2C0D">
            <w:pPr>
              <w:pStyle w:val="CETBodytext"/>
              <w:ind w:right="-1"/>
              <w:jc w:val="center"/>
              <w:rPr>
                <w:rFonts w:cs="Arial"/>
                <w:szCs w:val="18"/>
                <w:lang w:val="en-GB"/>
              </w:rPr>
            </w:pPr>
            <w:r>
              <w:rPr>
                <w:rFonts w:cs="Arial"/>
                <w:szCs w:val="18"/>
                <w:lang w:val="en-GB"/>
              </w:rPr>
              <w:t>-</w:t>
            </w:r>
            <w:r w:rsidR="000D2C0D">
              <w:rPr>
                <w:rFonts w:cs="Arial"/>
                <w:szCs w:val="18"/>
                <w:lang w:val="en-GB"/>
              </w:rPr>
              <w:t>0.0242</w:t>
            </w:r>
          </w:p>
        </w:tc>
        <w:tc>
          <w:tcPr>
            <w:tcW w:w="1134" w:type="dxa"/>
            <w:shd w:val="clear" w:color="auto" w:fill="FFFFFF"/>
          </w:tcPr>
          <w:p w14:paraId="65ED04D4" w14:textId="2B43C8DE" w:rsidR="000D2C0D" w:rsidRPr="00B57B36" w:rsidRDefault="001E01D0" w:rsidP="000D2C0D">
            <w:pPr>
              <w:pStyle w:val="CETBodytext"/>
              <w:ind w:right="-1"/>
              <w:jc w:val="center"/>
              <w:rPr>
                <w:rFonts w:cs="Arial"/>
                <w:szCs w:val="18"/>
                <w:lang w:val="en-GB"/>
              </w:rPr>
            </w:pPr>
            <w:r>
              <w:rPr>
                <w:rFonts w:cs="Arial"/>
                <w:szCs w:val="18"/>
                <w:lang w:val="en-GB"/>
              </w:rPr>
              <w:t>0.8251</w:t>
            </w:r>
          </w:p>
        </w:tc>
      </w:tr>
      <w:tr w:rsidR="000D2C0D" w:rsidRPr="00B57B36" w14:paraId="5D8F920C" w14:textId="77777777" w:rsidTr="00855D34">
        <w:tc>
          <w:tcPr>
            <w:tcW w:w="1134" w:type="dxa"/>
            <w:shd w:val="clear" w:color="auto" w:fill="FFFFFF"/>
          </w:tcPr>
          <w:p w14:paraId="1DB7359F" w14:textId="360B9758" w:rsidR="000D2C0D" w:rsidRPr="00B57B36" w:rsidRDefault="000D2C0D" w:rsidP="000D2C0D">
            <w:pPr>
              <w:pStyle w:val="CETBodytext"/>
              <w:ind w:right="-1"/>
              <w:jc w:val="center"/>
              <w:rPr>
                <w:rFonts w:cs="Arial"/>
                <w:szCs w:val="18"/>
                <w:lang w:val="en-GB"/>
              </w:rPr>
            </w:pPr>
            <w:r>
              <w:rPr>
                <w:rFonts w:cs="Arial"/>
                <w:szCs w:val="18"/>
                <w:lang w:val="en-GB"/>
              </w:rPr>
              <w:t>Mn</w:t>
            </w:r>
          </w:p>
        </w:tc>
        <w:tc>
          <w:tcPr>
            <w:tcW w:w="1134" w:type="dxa"/>
            <w:shd w:val="clear" w:color="auto" w:fill="FFFFFF"/>
          </w:tcPr>
          <w:p w14:paraId="1890E6D0" w14:textId="1401ABAC" w:rsidR="000D2C0D" w:rsidRPr="00B57B36" w:rsidRDefault="001E01D0" w:rsidP="000D2C0D">
            <w:pPr>
              <w:pStyle w:val="CETBodytext"/>
              <w:ind w:right="-1"/>
              <w:jc w:val="center"/>
              <w:rPr>
                <w:rFonts w:cs="Arial"/>
                <w:szCs w:val="18"/>
                <w:lang w:val="en-GB"/>
              </w:rPr>
            </w:pPr>
            <w:r>
              <w:rPr>
                <w:rFonts w:cs="Arial"/>
                <w:szCs w:val="18"/>
                <w:lang w:val="en-GB"/>
              </w:rPr>
              <w:t>9.28</w:t>
            </w:r>
          </w:p>
        </w:tc>
        <w:tc>
          <w:tcPr>
            <w:tcW w:w="1134" w:type="dxa"/>
            <w:shd w:val="clear" w:color="auto" w:fill="FFFFFF"/>
          </w:tcPr>
          <w:p w14:paraId="09F36912" w14:textId="150F4179" w:rsidR="000D2C0D" w:rsidRPr="00B57B36" w:rsidRDefault="001E01D0" w:rsidP="000D2C0D">
            <w:pPr>
              <w:pStyle w:val="CETBodytext"/>
              <w:ind w:right="-1"/>
              <w:jc w:val="center"/>
              <w:rPr>
                <w:rFonts w:cs="Arial"/>
                <w:szCs w:val="18"/>
                <w:lang w:val="en-GB"/>
              </w:rPr>
            </w:pPr>
            <w:r>
              <w:rPr>
                <w:rFonts w:cs="Arial"/>
                <w:szCs w:val="18"/>
                <w:lang w:val="en-GB"/>
              </w:rPr>
              <w:t>0.891</w:t>
            </w:r>
          </w:p>
        </w:tc>
        <w:tc>
          <w:tcPr>
            <w:tcW w:w="1134" w:type="dxa"/>
            <w:shd w:val="clear" w:color="auto" w:fill="FFFFFF"/>
          </w:tcPr>
          <w:p w14:paraId="5A129128" w14:textId="507F9F78" w:rsidR="000D2C0D" w:rsidRPr="00B57B36" w:rsidRDefault="00FB474E" w:rsidP="000D2C0D">
            <w:pPr>
              <w:pStyle w:val="CETBodytext"/>
              <w:ind w:right="-1"/>
              <w:jc w:val="center"/>
              <w:rPr>
                <w:rFonts w:cs="Arial"/>
                <w:szCs w:val="18"/>
                <w:lang w:val="en-GB"/>
              </w:rPr>
            </w:pPr>
            <w:r>
              <w:rPr>
                <w:rFonts w:cs="Arial"/>
                <w:szCs w:val="18"/>
                <w:lang w:val="en-GB"/>
              </w:rPr>
              <w:t>-</w:t>
            </w:r>
            <w:r w:rsidR="001E01D0">
              <w:rPr>
                <w:rFonts w:cs="Arial"/>
                <w:szCs w:val="18"/>
                <w:lang w:val="en-GB"/>
              </w:rPr>
              <w:t>0.0299</w:t>
            </w:r>
          </w:p>
        </w:tc>
        <w:tc>
          <w:tcPr>
            <w:tcW w:w="1134" w:type="dxa"/>
            <w:shd w:val="clear" w:color="auto" w:fill="FFFFFF"/>
          </w:tcPr>
          <w:p w14:paraId="15579F86" w14:textId="1C690A3E" w:rsidR="000D2C0D" w:rsidRPr="00B57B36" w:rsidRDefault="001E01D0" w:rsidP="000D2C0D">
            <w:pPr>
              <w:pStyle w:val="CETBodytext"/>
              <w:ind w:right="-1"/>
              <w:jc w:val="center"/>
              <w:rPr>
                <w:rFonts w:cs="Arial"/>
                <w:szCs w:val="18"/>
                <w:lang w:val="en-GB"/>
              </w:rPr>
            </w:pPr>
            <w:r>
              <w:rPr>
                <w:rFonts w:cs="Arial"/>
                <w:szCs w:val="18"/>
                <w:lang w:val="en-GB"/>
              </w:rPr>
              <w:t>0.966</w:t>
            </w:r>
            <w:r w:rsidR="007A58D9">
              <w:rPr>
                <w:rFonts w:cs="Arial"/>
                <w:szCs w:val="18"/>
                <w:lang w:val="en-GB"/>
              </w:rPr>
              <w:t>0</w:t>
            </w:r>
          </w:p>
        </w:tc>
      </w:tr>
      <w:bookmarkEnd w:id="9"/>
    </w:tbl>
    <w:p w14:paraId="3589F2F7" w14:textId="18A485B3" w:rsidR="00BA4FBF" w:rsidRDefault="00BA4FBF" w:rsidP="007D7BC4">
      <w:pPr>
        <w:pStyle w:val="CETBodytext"/>
        <w:rPr>
          <w:lang w:val="es-PE"/>
        </w:rPr>
      </w:pPr>
    </w:p>
    <w:p w14:paraId="56032884" w14:textId="4D13F987" w:rsidR="00FB474E" w:rsidRDefault="007A58D9" w:rsidP="00FB474E">
      <w:pPr>
        <w:pStyle w:val="CETBodytext"/>
        <w:spacing w:line="240" w:lineRule="auto"/>
      </w:pPr>
      <w:r w:rsidRPr="007A58D9">
        <w:t xml:space="preserve">The </w:t>
      </w:r>
      <w:r w:rsidRPr="007A58D9">
        <w:rPr>
          <w:b/>
          <w:bCs/>
        </w:rPr>
        <w:t>qe</w:t>
      </w:r>
      <w:r w:rsidRPr="007A58D9">
        <w:t xml:space="preserve"> values in the adsorption kinetics of Cu (II) and Mn (II) were obtained from the previously described Equation 2.</w:t>
      </w:r>
    </w:p>
    <w:p w14:paraId="688941F6" w14:textId="77777777" w:rsidR="007A58D9" w:rsidRPr="007A58D9" w:rsidRDefault="007A58D9" w:rsidP="00FB474E">
      <w:pPr>
        <w:pStyle w:val="CETBodytext"/>
        <w:spacing w:line="240" w:lineRule="auto"/>
      </w:pPr>
    </w:p>
    <w:p w14:paraId="4EFAB335" w14:textId="22EC35B7" w:rsidR="00CC1364" w:rsidRPr="00DC5301" w:rsidRDefault="00CC1364" w:rsidP="00CC1364">
      <w:pPr>
        <w:pStyle w:val="CETTabletitle"/>
        <w:spacing w:before="0" w:after="0" w:line="360" w:lineRule="auto"/>
        <w:rPr>
          <w:b/>
          <w:bCs/>
          <w:i w:val="0"/>
          <w:lang w:val="en-US"/>
        </w:rPr>
      </w:pPr>
      <w:r w:rsidRPr="00DC5301">
        <w:rPr>
          <w:b/>
          <w:bCs/>
          <w:i w:val="0"/>
          <w:lang w:val="en-US"/>
        </w:rPr>
        <w:t>3.2</w:t>
      </w:r>
      <w:r w:rsidR="00923959">
        <w:rPr>
          <w:b/>
          <w:bCs/>
          <w:i w:val="0"/>
          <w:lang w:val="en-US"/>
        </w:rPr>
        <w:t xml:space="preserve"> </w:t>
      </w:r>
      <w:r w:rsidRPr="00DC5301">
        <w:rPr>
          <w:b/>
          <w:bCs/>
          <w:i w:val="0"/>
          <w:lang w:val="en-US"/>
        </w:rPr>
        <w:t>Adsorption Equilibrium of Cu (II) and Mn (II)</w:t>
      </w:r>
    </w:p>
    <w:p w14:paraId="7A04EEA3" w14:textId="4176620C" w:rsidR="00863220" w:rsidRDefault="00CC1364" w:rsidP="00923959">
      <w:pPr>
        <w:pStyle w:val="CETTabletitle"/>
        <w:spacing w:before="0" w:after="0" w:line="240" w:lineRule="auto"/>
        <w:jc w:val="both"/>
        <w:rPr>
          <w:i w:val="0"/>
          <w:lang w:val="en-US"/>
        </w:rPr>
      </w:pPr>
      <w:bookmarkStart w:id="10" w:name="_Hlk162168303"/>
      <w:r w:rsidRPr="00CC1364">
        <w:rPr>
          <w:i w:val="0"/>
          <w:lang w:val="en-US"/>
        </w:rPr>
        <w:t>In the adsorption equilibrium study, the quantity of adsorbent, which was olive endocarp charcoal, was varied over a period of 90 minutes at a pH of 5, using amounts of 0.5 g, 1 g, 1.5 g, and 2 g. The results of the removal behavior of Cu and Mn are shown in Table 4.</w:t>
      </w:r>
    </w:p>
    <w:bookmarkEnd w:id="10"/>
    <w:p w14:paraId="056920F0" w14:textId="77777777" w:rsidR="00CC1364" w:rsidRPr="00CC1364" w:rsidRDefault="00CC1364" w:rsidP="000C7C9A">
      <w:pPr>
        <w:pStyle w:val="CETTabletitle"/>
        <w:spacing w:before="0" w:after="0" w:line="240" w:lineRule="auto"/>
        <w:rPr>
          <w:lang w:val="en-US"/>
        </w:rPr>
      </w:pPr>
    </w:p>
    <w:p w14:paraId="38AF87CE" w14:textId="687602CF" w:rsidR="000C7C9A" w:rsidRPr="007A58D9" w:rsidRDefault="007A58D9" w:rsidP="000C7C9A">
      <w:pPr>
        <w:pStyle w:val="CETTabletitle"/>
        <w:spacing w:before="0" w:after="0" w:line="240" w:lineRule="auto"/>
        <w:rPr>
          <w:lang w:val="en-US"/>
        </w:rPr>
      </w:pPr>
      <w:r w:rsidRPr="007A58D9">
        <w:rPr>
          <w:lang w:val="en-US"/>
        </w:rPr>
        <w:t>Table 4: Adsorption Equilibrium Study Results for Cu (II) and Mn (II)</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161"/>
        <w:gridCol w:w="1161"/>
        <w:gridCol w:w="1134"/>
        <w:gridCol w:w="1134"/>
      </w:tblGrid>
      <w:tr w:rsidR="000C7C9A" w:rsidRPr="005C5A17" w14:paraId="4DE97C93" w14:textId="77777777" w:rsidTr="00855D34">
        <w:tc>
          <w:tcPr>
            <w:tcW w:w="1276" w:type="dxa"/>
            <w:vMerge w:val="restart"/>
            <w:tcBorders>
              <w:top w:val="single" w:sz="12" w:space="0" w:color="008000"/>
            </w:tcBorders>
            <w:shd w:val="clear" w:color="auto" w:fill="FFFFFF"/>
          </w:tcPr>
          <w:p w14:paraId="2C05FE88" w14:textId="77777777" w:rsidR="007A58D9" w:rsidRDefault="007A58D9" w:rsidP="00855D34">
            <w:pPr>
              <w:pStyle w:val="CETBodytext"/>
              <w:jc w:val="center"/>
              <w:rPr>
                <w:lang w:val="en-GB"/>
              </w:rPr>
            </w:pPr>
            <w:bookmarkStart w:id="11" w:name="_Hlk155968212"/>
            <w:r w:rsidRPr="007A58D9">
              <w:rPr>
                <w:lang w:val="en-GB"/>
              </w:rPr>
              <w:t xml:space="preserve">Adsorbent Quantity </w:t>
            </w:r>
          </w:p>
          <w:p w14:paraId="46EECB60" w14:textId="2F88BEA1" w:rsidR="000C7C9A" w:rsidRPr="005C5A17" w:rsidRDefault="000C7C9A" w:rsidP="00855D34">
            <w:pPr>
              <w:pStyle w:val="CETBodytext"/>
              <w:jc w:val="center"/>
              <w:rPr>
                <w:lang w:val="en-GB"/>
              </w:rPr>
            </w:pPr>
            <w:r w:rsidRPr="000C7C9A">
              <w:rPr>
                <w:lang w:val="en-GB"/>
              </w:rPr>
              <w:t>(g)</w:t>
            </w:r>
          </w:p>
        </w:tc>
        <w:tc>
          <w:tcPr>
            <w:tcW w:w="2322" w:type="dxa"/>
            <w:gridSpan w:val="2"/>
            <w:tcBorders>
              <w:top w:val="single" w:sz="12" w:space="0" w:color="008000"/>
              <w:bottom w:val="single" w:sz="6" w:space="0" w:color="008000"/>
            </w:tcBorders>
            <w:shd w:val="clear" w:color="auto" w:fill="FFFFFF"/>
          </w:tcPr>
          <w:p w14:paraId="51FD012F" w14:textId="1687E8B4" w:rsidR="000C7C9A" w:rsidRPr="005C5A17" w:rsidRDefault="00CC1364" w:rsidP="00855D34">
            <w:pPr>
              <w:pStyle w:val="CETBodytext"/>
              <w:jc w:val="center"/>
              <w:rPr>
                <w:lang w:val="es-PE"/>
              </w:rPr>
            </w:pPr>
            <w:r w:rsidRPr="00CC1364">
              <w:rPr>
                <w:lang w:val="es-PE"/>
              </w:rPr>
              <w:t>Cu Concentration</w:t>
            </w:r>
          </w:p>
        </w:tc>
        <w:tc>
          <w:tcPr>
            <w:tcW w:w="2268" w:type="dxa"/>
            <w:gridSpan w:val="2"/>
            <w:tcBorders>
              <w:top w:val="single" w:sz="12" w:space="0" w:color="008000"/>
              <w:bottom w:val="single" w:sz="6" w:space="0" w:color="008000"/>
            </w:tcBorders>
            <w:shd w:val="clear" w:color="auto" w:fill="FFFFFF"/>
          </w:tcPr>
          <w:p w14:paraId="722343B5" w14:textId="55D4B298" w:rsidR="000C7C9A" w:rsidRPr="005C5A17" w:rsidRDefault="000C7C9A" w:rsidP="00855D34">
            <w:pPr>
              <w:pStyle w:val="CETBodytext"/>
              <w:ind w:right="-1"/>
              <w:jc w:val="center"/>
              <w:rPr>
                <w:rFonts w:cs="Arial"/>
                <w:szCs w:val="18"/>
                <w:lang w:val="es-PE"/>
              </w:rPr>
            </w:pPr>
            <w:r w:rsidRPr="005C5A17">
              <w:rPr>
                <w:rFonts w:cs="Arial"/>
                <w:szCs w:val="18"/>
                <w:lang w:val="es-PE"/>
              </w:rPr>
              <w:t>Mn</w:t>
            </w:r>
            <w:r w:rsidR="00CC1364">
              <w:t xml:space="preserve"> </w:t>
            </w:r>
            <w:r w:rsidR="00CC1364" w:rsidRPr="00CC1364">
              <w:rPr>
                <w:rFonts w:cs="Arial"/>
                <w:szCs w:val="18"/>
                <w:lang w:val="es-PE"/>
              </w:rPr>
              <w:t>Concentration</w:t>
            </w:r>
          </w:p>
        </w:tc>
      </w:tr>
      <w:tr w:rsidR="000C7C9A" w:rsidRPr="005C5A17" w14:paraId="7C2E07F9" w14:textId="77777777" w:rsidTr="00855D34">
        <w:tc>
          <w:tcPr>
            <w:tcW w:w="1276" w:type="dxa"/>
            <w:vMerge/>
            <w:tcBorders>
              <w:bottom w:val="single" w:sz="6" w:space="0" w:color="008000"/>
            </w:tcBorders>
            <w:shd w:val="clear" w:color="auto" w:fill="FFFFFF"/>
          </w:tcPr>
          <w:p w14:paraId="115CFD21" w14:textId="77777777" w:rsidR="000C7C9A" w:rsidRPr="00B57B36" w:rsidRDefault="000C7C9A" w:rsidP="00855D34">
            <w:pPr>
              <w:pStyle w:val="CETBodytext"/>
              <w:jc w:val="center"/>
              <w:rPr>
                <w:lang w:val="en-GB"/>
              </w:rPr>
            </w:pPr>
          </w:p>
        </w:tc>
        <w:tc>
          <w:tcPr>
            <w:tcW w:w="1161" w:type="dxa"/>
            <w:tcBorders>
              <w:top w:val="single" w:sz="12" w:space="0" w:color="008000"/>
              <w:bottom w:val="single" w:sz="6" w:space="0" w:color="008000"/>
            </w:tcBorders>
            <w:shd w:val="clear" w:color="auto" w:fill="FFFFFF"/>
          </w:tcPr>
          <w:p w14:paraId="55AA8EF3" w14:textId="77777777" w:rsidR="00CC1364" w:rsidRDefault="00CC1364" w:rsidP="00855D34">
            <w:pPr>
              <w:pStyle w:val="CETBodytext"/>
              <w:jc w:val="center"/>
              <w:rPr>
                <w:lang w:val="es-PE"/>
              </w:rPr>
            </w:pPr>
            <w:r w:rsidRPr="00CC1364">
              <w:rPr>
                <w:lang w:val="es-PE"/>
              </w:rPr>
              <w:t xml:space="preserve">Initial </w:t>
            </w:r>
          </w:p>
          <w:p w14:paraId="1C834960" w14:textId="543A2502" w:rsidR="000C7C9A" w:rsidRPr="005C5A17" w:rsidRDefault="000C7C9A" w:rsidP="00855D34">
            <w:pPr>
              <w:pStyle w:val="CETBodytext"/>
              <w:jc w:val="center"/>
              <w:rPr>
                <w:lang w:val="es-PE"/>
              </w:rPr>
            </w:pPr>
            <w:r w:rsidRPr="005C5A17">
              <w:rPr>
                <w:lang w:val="es-PE"/>
              </w:rPr>
              <w:t>(ppm)</w:t>
            </w:r>
          </w:p>
        </w:tc>
        <w:tc>
          <w:tcPr>
            <w:tcW w:w="1161" w:type="dxa"/>
            <w:tcBorders>
              <w:top w:val="single" w:sz="12" w:space="0" w:color="008000"/>
              <w:bottom w:val="single" w:sz="6" w:space="0" w:color="008000"/>
            </w:tcBorders>
            <w:shd w:val="clear" w:color="auto" w:fill="FFFFFF"/>
          </w:tcPr>
          <w:p w14:paraId="73A2B8CB" w14:textId="77777777" w:rsidR="000C7C9A" w:rsidRDefault="000C7C9A" w:rsidP="00855D34">
            <w:pPr>
              <w:pStyle w:val="CETBodytext"/>
              <w:jc w:val="center"/>
              <w:rPr>
                <w:lang w:val="es-PE"/>
              </w:rPr>
            </w:pPr>
            <w:r w:rsidRPr="005C5A17">
              <w:rPr>
                <w:lang w:val="es-PE"/>
              </w:rPr>
              <w:t xml:space="preserve">Final </w:t>
            </w:r>
          </w:p>
          <w:p w14:paraId="44984A8B" w14:textId="77777777" w:rsidR="000C7C9A" w:rsidRPr="005C5A17" w:rsidRDefault="000C7C9A" w:rsidP="00855D34">
            <w:pPr>
              <w:pStyle w:val="CETBodytext"/>
              <w:jc w:val="center"/>
              <w:rPr>
                <w:lang w:val="es-PE"/>
              </w:rPr>
            </w:pPr>
            <w:r w:rsidRPr="005C5A17">
              <w:rPr>
                <w:lang w:val="es-PE"/>
              </w:rPr>
              <w:t>(ppm)</w:t>
            </w:r>
          </w:p>
        </w:tc>
        <w:tc>
          <w:tcPr>
            <w:tcW w:w="1134" w:type="dxa"/>
            <w:tcBorders>
              <w:top w:val="single" w:sz="12" w:space="0" w:color="008000"/>
              <w:bottom w:val="single" w:sz="6" w:space="0" w:color="008000"/>
            </w:tcBorders>
            <w:shd w:val="clear" w:color="auto" w:fill="FFFFFF"/>
          </w:tcPr>
          <w:p w14:paraId="79E0EB23" w14:textId="77777777" w:rsidR="00CC1364" w:rsidRDefault="00CC1364" w:rsidP="00855D34">
            <w:pPr>
              <w:pStyle w:val="CETBodytext"/>
              <w:ind w:right="-1"/>
              <w:jc w:val="center"/>
              <w:rPr>
                <w:lang w:val="es-PE"/>
              </w:rPr>
            </w:pPr>
            <w:r w:rsidRPr="00CC1364">
              <w:rPr>
                <w:lang w:val="es-PE"/>
              </w:rPr>
              <w:t xml:space="preserve">Initial </w:t>
            </w:r>
          </w:p>
          <w:p w14:paraId="751093EA" w14:textId="511A52A2" w:rsidR="000C7C9A" w:rsidRPr="005C5A17" w:rsidRDefault="000C7C9A" w:rsidP="00855D34">
            <w:pPr>
              <w:pStyle w:val="CETBodytext"/>
              <w:ind w:right="-1"/>
              <w:jc w:val="center"/>
              <w:rPr>
                <w:rFonts w:cs="Arial"/>
                <w:szCs w:val="18"/>
                <w:lang w:val="es-PE"/>
              </w:rPr>
            </w:pPr>
            <w:r w:rsidRPr="005C5A17">
              <w:rPr>
                <w:lang w:val="es-PE"/>
              </w:rPr>
              <w:t>(ppm)</w:t>
            </w:r>
          </w:p>
        </w:tc>
        <w:tc>
          <w:tcPr>
            <w:tcW w:w="1134" w:type="dxa"/>
            <w:tcBorders>
              <w:top w:val="single" w:sz="12" w:space="0" w:color="008000"/>
              <w:bottom w:val="single" w:sz="6" w:space="0" w:color="008000"/>
            </w:tcBorders>
            <w:shd w:val="clear" w:color="auto" w:fill="FFFFFF"/>
          </w:tcPr>
          <w:p w14:paraId="18076315" w14:textId="77777777" w:rsidR="000C7C9A" w:rsidRDefault="000C7C9A" w:rsidP="00855D34">
            <w:pPr>
              <w:pStyle w:val="CETBodytext"/>
              <w:jc w:val="center"/>
              <w:rPr>
                <w:lang w:val="es-PE"/>
              </w:rPr>
            </w:pPr>
            <w:r w:rsidRPr="005C5A17">
              <w:rPr>
                <w:lang w:val="es-PE"/>
              </w:rPr>
              <w:t xml:space="preserve">Final </w:t>
            </w:r>
          </w:p>
          <w:p w14:paraId="6E70E5D5" w14:textId="77777777" w:rsidR="000C7C9A" w:rsidRPr="005C5A17" w:rsidRDefault="000C7C9A" w:rsidP="00855D34">
            <w:pPr>
              <w:pStyle w:val="CETBodytext"/>
              <w:ind w:right="-1"/>
              <w:jc w:val="center"/>
              <w:rPr>
                <w:rFonts w:cs="Arial"/>
                <w:szCs w:val="18"/>
                <w:lang w:val="es-PE"/>
              </w:rPr>
            </w:pPr>
            <w:r w:rsidRPr="005C5A17">
              <w:rPr>
                <w:lang w:val="es-PE"/>
              </w:rPr>
              <w:t>(ppm)</w:t>
            </w:r>
          </w:p>
        </w:tc>
      </w:tr>
      <w:bookmarkEnd w:id="11"/>
      <w:tr w:rsidR="000C7C9A" w:rsidRPr="00B57B36" w14:paraId="085ABC10" w14:textId="77777777" w:rsidTr="00855D34">
        <w:tc>
          <w:tcPr>
            <w:tcW w:w="1276" w:type="dxa"/>
            <w:shd w:val="clear" w:color="auto" w:fill="FFFFFF"/>
          </w:tcPr>
          <w:p w14:paraId="0CF4D55E" w14:textId="20557D10" w:rsidR="000C7C9A" w:rsidRPr="00B57B36" w:rsidRDefault="000C7C9A" w:rsidP="00855D34">
            <w:pPr>
              <w:pStyle w:val="CETBodytext"/>
              <w:jc w:val="center"/>
              <w:rPr>
                <w:lang w:val="en-GB"/>
              </w:rPr>
            </w:pPr>
            <w:r>
              <w:rPr>
                <w:lang w:val="en-GB"/>
              </w:rPr>
              <w:t>0.5</w:t>
            </w:r>
          </w:p>
        </w:tc>
        <w:tc>
          <w:tcPr>
            <w:tcW w:w="1161" w:type="dxa"/>
            <w:vMerge w:val="restart"/>
            <w:shd w:val="clear" w:color="auto" w:fill="FFFFFF"/>
          </w:tcPr>
          <w:p w14:paraId="27AA3F02" w14:textId="77777777" w:rsidR="000C7C9A" w:rsidRDefault="000C7C9A" w:rsidP="00855D34">
            <w:pPr>
              <w:pStyle w:val="CETBodytext"/>
              <w:jc w:val="center"/>
              <w:rPr>
                <w:lang w:val="en-GB"/>
              </w:rPr>
            </w:pPr>
          </w:p>
          <w:p w14:paraId="493FEA9F" w14:textId="77777777" w:rsidR="000C7C9A" w:rsidRDefault="000C7C9A" w:rsidP="00855D34">
            <w:pPr>
              <w:pStyle w:val="CETBodytext"/>
              <w:jc w:val="center"/>
              <w:rPr>
                <w:lang w:val="en-GB"/>
              </w:rPr>
            </w:pPr>
          </w:p>
          <w:p w14:paraId="3418A6C3" w14:textId="77777777" w:rsidR="000C7C9A" w:rsidRPr="00B57B36" w:rsidRDefault="000C7C9A" w:rsidP="00855D34">
            <w:pPr>
              <w:pStyle w:val="CETBodytext"/>
              <w:jc w:val="center"/>
              <w:rPr>
                <w:lang w:val="en-GB"/>
              </w:rPr>
            </w:pPr>
            <w:r>
              <w:rPr>
                <w:lang w:val="en-GB"/>
              </w:rPr>
              <w:t>12.37</w:t>
            </w:r>
          </w:p>
        </w:tc>
        <w:tc>
          <w:tcPr>
            <w:tcW w:w="1161" w:type="dxa"/>
            <w:shd w:val="clear" w:color="auto" w:fill="FFFFFF"/>
          </w:tcPr>
          <w:p w14:paraId="30C247E1" w14:textId="38C0BD69" w:rsidR="000C7C9A" w:rsidRPr="00B57B36" w:rsidRDefault="000C7C9A" w:rsidP="00855D34">
            <w:pPr>
              <w:pStyle w:val="CETBodytext"/>
              <w:jc w:val="center"/>
              <w:rPr>
                <w:lang w:val="en-GB"/>
              </w:rPr>
            </w:pPr>
            <w:r>
              <w:rPr>
                <w:lang w:val="en-GB"/>
              </w:rPr>
              <w:t>6.18</w:t>
            </w:r>
          </w:p>
        </w:tc>
        <w:tc>
          <w:tcPr>
            <w:tcW w:w="1134" w:type="dxa"/>
            <w:vMerge w:val="restart"/>
            <w:shd w:val="clear" w:color="auto" w:fill="FFFFFF"/>
          </w:tcPr>
          <w:p w14:paraId="284C4FB1" w14:textId="77777777" w:rsidR="000C7C9A" w:rsidRDefault="000C7C9A" w:rsidP="00855D34">
            <w:pPr>
              <w:pStyle w:val="CETBodytext"/>
              <w:ind w:right="-1"/>
              <w:jc w:val="center"/>
              <w:rPr>
                <w:rFonts w:cs="Arial"/>
                <w:szCs w:val="18"/>
                <w:lang w:val="en-GB"/>
              </w:rPr>
            </w:pPr>
          </w:p>
          <w:p w14:paraId="129A01AF" w14:textId="77777777" w:rsidR="000C7C9A" w:rsidRDefault="000C7C9A" w:rsidP="00855D34">
            <w:pPr>
              <w:pStyle w:val="CETBodytext"/>
              <w:ind w:right="-1"/>
              <w:jc w:val="center"/>
              <w:rPr>
                <w:rFonts w:cs="Arial"/>
                <w:szCs w:val="18"/>
                <w:lang w:val="en-GB"/>
              </w:rPr>
            </w:pPr>
          </w:p>
          <w:p w14:paraId="393F5BE2" w14:textId="77777777" w:rsidR="000C7C9A" w:rsidRPr="00B57B36" w:rsidRDefault="000C7C9A" w:rsidP="00855D34">
            <w:pPr>
              <w:pStyle w:val="CETBodytext"/>
              <w:ind w:right="-1"/>
              <w:jc w:val="center"/>
              <w:rPr>
                <w:rFonts w:cs="Arial"/>
                <w:szCs w:val="18"/>
                <w:lang w:val="en-GB"/>
              </w:rPr>
            </w:pPr>
            <w:r>
              <w:rPr>
                <w:rFonts w:cs="Arial"/>
                <w:szCs w:val="18"/>
                <w:lang w:val="en-GB"/>
              </w:rPr>
              <w:t>9.28</w:t>
            </w:r>
          </w:p>
        </w:tc>
        <w:tc>
          <w:tcPr>
            <w:tcW w:w="1134" w:type="dxa"/>
            <w:shd w:val="clear" w:color="auto" w:fill="FFFFFF"/>
          </w:tcPr>
          <w:p w14:paraId="4EB4C79D" w14:textId="2BAAA4C9" w:rsidR="000C7C9A" w:rsidRPr="00B57B36" w:rsidRDefault="000C7C9A" w:rsidP="00855D34">
            <w:pPr>
              <w:pStyle w:val="CETBodytext"/>
              <w:ind w:right="-1"/>
              <w:jc w:val="center"/>
              <w:rPr>
                <w:rFonts w:cs="Arial"/>
                <w:szCs w:val="18"/>
                <w:lang w:val="en-GB"/>
              </w:rPr>
            </w:pPr>
            <w:r>
              <w:rPr>
                <w:rFonts w:cs="Arial"/>
                <w:szCs w:val="18"/>
                <w:lang w:val="en-GB"/>
              </w:rPr>
              <w:t>2.14</w:t>
            </w:r>
          </w:p>
        </w:tc>
      </w:tr>
      <w:tr w:rsidR="000C7C9A" w:rsidRPr="00B57B36" w14:paraId="4D35F2A2" w14:textId="77777777" w:rsidTr="00855D34">
        <w:tc>
          <w:tcPr>
            <w:tcW w:w="1276" w:type="dxa"/>
            <w:shd w:val="clear" w:color="auto" w:fill="FFFFFF"/>
          </w:tcPr>
          <w:p w14:paraId="1BED661D" w14:textId="218CE26C" w:rsidR="000C7C9A" w:rsidRPr="00B57B36" w:rsidRDefault="000C7C9A" w:rsidP="00855D34">
            <w:pPr>
              <w:pStyle w:val="CETBodytext"/>
              <w:ind w:right="-1"/>
              <w:jc w:val="center"/>
              <w:rPr>
                <w:rFonts w:cs="Arial"/>
                <w:szCs w:val="18"/>
                <w:lang w:val="en-GB"/>
              </w:rPr>
            </w:pPr>
            <w:r>
              <w:rPr>
                <w:rFonts w:cs="Arial"/>
                <w:szCs w:val="18"/>
                <w:lang w:val="en-GB"/>
              </w:rPr>
              <w:t>1.0</w:t>
            </w:r>
          </w:p>
        </w:tc>
        <w:tc>
          <w:tcPr>
            <w:tcW w:w="1161" w:type="dxa"/>
            <w:vMerge/>
            <w:shd w:val="clear" w:color="auto" w:fill="FFFFFF"/>
          </w:tcPr>
          <w:p w14:paraId="7D733821" w14:textId="77777777" w:rsidR="000C7C9A" w:rsidRPr="00B57B36" w:rsidRDefault="000C7C9A" w:rsidP="00855D34">
            <w:pPr>
              <w:pStyle w:val="CETBodytext"/>
              <w:ind w:right="-1"/>
              <w:rPr>
                <w:rFonts w:cs="Arial"/>
                <w:szCs w:val="18"/>
                <w:lang w:val="en-GB"/>
              </w:rPr>
            </w:pPr>
          </w:p>
        </w:tc>
        <w:tc>
          <w:tcPr>
            <w:tcW w:w="1161" w:type="dxa"/>
            <w:shd w:val="clear" w:color="auto" w:fill="FFFFFF"/>
          </w:tcPr>
          <w:p w14:paraId="483D42C6" w14:textId="1E587AAD" w:rsidR="000C7C9A" w:rsidRPr="00B57B36" w:rsidRDefault="000C7C9A" w:rsidP="00855D34">
            <w:pPr>
              <w:pStyle w:val="CETBodytext"/>
              <w:ind w:right="-1"/>
              <w:jc w:val="center"/>
              <w:rPr>
                <w:rFonts w:cs="Arial"/>
                <w:szCs w:val="18"/>
                <w:lang w:val="en-GB"/>
              </w:rPr>
            </w:pPr>
            <w:r>
              <w:rPr>
                <w:rFonts w:cs="Arial"/>
                <w:szCs w:val="18"/>
                <w:lang w:val="en-GB"/>
              </w:rPr>
              <w:t>3.34</w:t>
            </w:r>
          </w:p>
        </w:tc>
        <w:tc>
          <w:tcPr>
            <w:tcW w:w="1134" w:type="dxa"/>
            <w:vMerge/>
            <w:shd w:val="clear" w:color="auto" w:fill="FFFFFF"/>
          </w:tcPr>
          <w:p w14:paraId="71377846" w14:textId="77777777" w:rsidR="000C7C9A" w:rsidRPr="00B57B36" w:rsidRDefault="000C7C9A" w:rsidP="00855D34">
            <w:pPr>
              <w:pStyle w:val="CETBodytext"/>
              <w:ind w:right="-1"/>
              <w:jc w:val="center"/>
              <w:rPr>
                <w:rFonts w:cs="Arial"/>
                <w:szCs w:val="18"/>
                <w:lang w:val="en-GB"/>
              </w:rPr>
            </w:pPr>
          </w:p>
        </w:tc>
        <w:tc>
          <w:tcPr>
            <w:tcW w:w="1134" w:type="dxa"/>
            <w:shd w:val="clear" w:color="auto" w:fill="FFFFFF"/>
          </w:tcPr>
          <w:p w14:paraId="780E072B" w14:textId="21BF6DA8" w:rsidR="000C7C9A" w:rsidRPr="00B57B36" w:rsidRDefault="000C7C9A" w:rsidP="00855D34">
            <w:pPr>
              <w:pStyle w:val="CETBodytext"/>
              <w:ind w:right="-1"/>
              <w:jc w:val="center"/>
              <w:rPr>
                <w:rFonts w:cs="Arial"/>
                <w:szCs w:val="18"/>
                <w:lang w:val="en-GB"/>
              </w:rPr>
            </w:pPr>
            <w:r>
              <w:rPr>
                <w:rFonts w:cs="Arial"/>
                <w:szCs w:val="18"/>
                <w:lang w:val="en-GB"/>
              </w:rPr>
              <w:t>0.88</w:t>
            </w:r>
          </w:p>
        </w:tc>
      </w:tr>
      <w:tr w:rsidR="000C7C9A" w:rsidRPr="00B57B36" w14:paraId="64CCA083" w14:textId="77777777" w:rsidTr="00855D34">
        <w:tc>
          <w:tcPr>
            <w:tcW w:w="1276" w:type="dxa"/>
            <w:shd w:val="clear" w:color="auto" w:fill="FFFFFF"/>
          </w:tcPr>
          <w:p w14:paraId="29AA0DFD" w14:textId="3B7AE418" w:rsidR="000C7C9A" w:rsidRPr="00B57B36" w:rsidRDefault="000C7C9A" w:rsidP="00855D34">
            <w:pPr>
              <w:pStyle w:val="CETBodytext"/>
              <w:ind w:right="-1"/>
              <w:jc w:val="center"/>
              <w:rPr>
                <w:rFonts w:cs="Arial"/>
                <w:szCs w:val="18"/>
                <w:lang w:val="en-GB"/>
              </w:rPr>
            </w:pPr>
            <w:r>
              <w:rPr>
                <w:rFonts w:cs="Arial"/>
                <w:szCs w:val="18"/>
                <w:lang w:val="en-GB"/>
              </w:rPr>
              <w:t>1.5</w:t>
            </w:r>
          </w:p>
        </w:tc>
        <w:tc>
          <w:tcPr>
            <w:tcW w:w="1161" w:type="dxa"/>
            <w:vMerge/>
            <w:shd w:val="clear" w:color="auto" w:fill="FFFFFF"/>
          </w:tcPr>
          <w:p w14:paraId="7BE77447" w14:textId="77777777" w:rsidR="000C7C9A" w:rsidRPr="00B57B36" w:rsidRDefault="000C7C9A" w:rsidP="00855D34">
            <w:pPr>
              <w:pStyle w:val="CETBodytext"/>
              <w:ind w:right="-1"/>
              <w:rPr>
                <w:rFonts w:cs="Arial"/>
                <w:szCs w:val="18"/>
                <w:lang w:val="en-GB"/>
              </w:rPr>
            </w:pPr>
          </w:p>
        </w:tc>
        <w:tc>
          <w:tcPr>
            <w:tcW w:w="1161" w:type="dxa"/>
            <w:shd w:val="clear" w:color="auto" w:fill="FFFFFF"/>
          </w:tcPr>
          <w:p w14:paraId="7964D208" w14:textId="51644DDF" w:rsidR="000C7C9A" w:rsidRPr="00B57B36" w:rsidRDefault="000C7C9A" w:rsidP="00855D34">
            <w:pPr>
              <w:pStyle w:val="CETBodytext"/>
              <w:ind w:right="-1"/>
              <w:jc w:val="center"/>
              <w:rPr>
                <w:rFonts w:cs="Arial"/>
                <w:szCs w:val="18"/>
                <w:lang w:val="en-GB"/>
              </w:rPr>
            </w:pPr>
            <w:r>
              <w:rPr>
                <w:rFonts w:cs="Arial"/>
                <w:szCs w:val="18"/>
                <w:lang w:val="en-GB"/>
              </w:rPr>
              <w:t>1.15</w:t>
            </w:r>
          </w:p>
        </w:tc>
        <w:tc>
          <w:tcPr>
            <w:tcW w:w="1134" w:type="dxa"/>
            <w:vMerge/>
            <w:shd w:val="clear" w:color="auto" w:fill="FFFFFF"/>
          </w:tcPr>
          <w:p w14:paraId="2BDA820E" w14:textId="77777777" w:rsidR="000C7C9A" w:rsidRPr="00B57B36" w:rsidRDefault="000C7C9A" w:rsidP="00855D34">
            <w:pPr>
              <w:pStyle w:val="CETBodytext"/>
              <w:ind w:right="-1"/>
              <w:jc w:val="center"/>
              <w:rPr>
                <w:rFonts w:cs="Arial"/>
                <w:szCs w:val="18"/>
                <w:lang w:val="en-GB"/>
              </w:rPr>
            </w:pPr>
          </w:p>
        </w:tc>
        <w:tc>
          <w:tcPr>
            <w:tcW w:w="1134" w:type="dxa"/>
            <w:shd w:val="clear" w:color="auto" w:fill="FFFFFF"/>
          </w:tcPr>
          <w:p w14:paraId="78BC2461" w14:textId="5B3CFFD0" w:rsidR="000C7C9A" w:rsidRPr="00B57B36" w:rsidRDefault="008A18E2" w:rsidP="00855D34">
            <w:pPr>
              <w:pStyle w:val="CETBodytext"/>
              <w:ind w:right="-1"/>
              <w:jc w:val="center"/>
              <w:rPr>
                <w:rFonts w:cs="Arial"/>
                <w:szCs w:val="18"/>
                <w:lang w:val="en-GB"/>
              </w:rPr>
            </w:pPr>
            <w:r>
              <w:rPr>
                <w:rFonts w:cs="Arial"/>
                <w:szCs w:val="18"/>
                <w:lang w:val="en-GB"/>
              </w:rPr>
              <w:t>0.45</w:t>
            </w:r>
          </w:p>
        </w:tc>
      </w:tr>
      <w:tr w:rsidR="000C7C9A" w:rsidRPr="00B57B36" w14:paraId="51C1FE9D" w14:textId="77777777" w:rsidTr="00855D34">
        <w:tc>
          <w:tcPr>
            <w:tcW w:w="1276" w:type="dxa"/>
            <w:shd w:val="clear" w:color="auto" w:fill="FFFFFF"/>
          </w:tcPr>
          <w:p w14:paraId="1936A46C" w14:textId="191A07D3" w:rsidR="000C7C9A" w:rsidRPr="00B57B36" w:rsidRDefault="000C7C9A" w:rsidP="00855D34">
            <w:pPr>
              <w:pStyle w:val="CETBodytext"/>
              <w:ind w:right="-1"/>
              <w:jc w:val="center"/>
              <w:rPr>
                <w:rFonts w:cs="Arial"/>
                <w:szCs w:val="18"/>
                <w:lang w:val="en-GB"/>
              </w:rPr>
            </w:pPr>
            <w:r>
              <w:rPr>
                <w:rFonts w:cs="Arial"/>
                <w:szCs w:val="18"/>
                <w:lang w:val="en-GB"/>
              </w:rPr>
              <w:t>2.0</w:t>
            </w:r>
          </w:p>
        </w:tc>
        <w:tc>
          <w:tcPr>
            <w:tcW w:w="1161" w:type="dxa"/>
            <w:vMerge/>
            <w:shd w:val="clear" w:color="auto" w:fill="FFFFFF"/>
          </w:tcPr>
          <w:p w14:paraId="604E8D1D" w14:textId="77777777" w:rsidR="000C7C9A" w:rsidRPr="00B57B36" w:rsidRDefault="000C7C9A" w:rsidP="00855D34">
            <w:pPr>
              <w:pStyle w:val="CETBodytext"/>
              <w:ind w:right="-1"/>
              <w:rPr>
                <w:rFonts w:cs="Arial"/>
                <w:szCs w:val="18"/>
                <w:lang w:val="en-GB"/>
              </w:rPr>
            </w:pPr>
          </w:p>
        </w:tc>
        <w:tc>
          <w:tcPr>
            <w:tcW w:w="1161" w:type="dxa"/>
            <w:shd w:val="clear" w:color="auto" w:fill="FFFFFF"/>
          </w:tcPr>
          <w:p w14:paraId="40886F1F" w14:textId="18DEE4A6" w:rsidR="000C7C9A" w:rsidRPr="00B57B36" w:rsidRDefault="000C7C9A" w:rsidP="00855D34">
            <w:pPr>
              <w:pStyle w:val="CETBodytext"/>
              <w:ind w:right="-1"/>
              <w:jc w:val="center"/>
              <w:rPr>
                <w:rFonts w:cs="Arial"/>
                <w:szCs w:val="18"/>
                <w:lang w:val="en-GB"/>
              </w:rPr>
            </w:pPr>
            <w:r>
              <w:rPr>
                <w:rFonts w:cs="Arial"/>
                <w:szCs w:val="18"/>
                <w:lang w:val="en-GB"/>
              </w:rPr>
              <w:t>0.46</w:t>
            </w:r>
          </w:p>
        </w:tc>
        <w:tc>
          <w:tcPr>
            <w:tcW w:w="1134" w:type="dxa"/>
            <w:vMerge/>
            <w:shd w:val="clear" w:color="auto" w:fill="FFFFFF"/>
          </w:tcPr>
          <w:p w14:paraId="4D1BCD14" w14:textId="77777777" w:rsidR="000C7C9A" w:rsidRPr="00B57B36" w:rsidRDefault="000C7C9A" w:rsidP="00855D34">
            <w:pPr>
              <w:pStyle w:val="CETBodytext"/>
              <w:ind w:right="-1"/>
              <w:jc w:val="center"/>
              <w:rPr>
                <w:rFonts w:cs="Arial"/>
                <w:szCs w:val="18"/>
                <w:lang w:val="en-GB"/>
              </w:rPr>
            </w:pPr>
          </w:p>
        </w:tc>
        <w:tc>
          <w:tcPr>
            <w:tcW w:w="1134" w:type="dxa"/>
            <w:shd w:val="clear" w:color="auto" w:fill="FFFFFF"/>
          </w:tcPr>
          <w:p w14:paraId="3E9769C8" w14:textId="72214501" w:rsidR="000C7C9A" w:rsidRPr="00B57B36" w:rsidRDefault="000C7C9A" w:rsidP="00855D34">
            <w:pPr>
              <w:pStyle w:val="CETBodytext"/>
              <w:ind w:right="-1"/>
              <w:jc w:val="center"/>
              <w:rPr>
                <w:rFonts w:cs="Arial"/>
                <w:szCs w:val="18"/>
                <w:lang w:val="en-GB"/>
              </w:rPr>
            </w:pPr>
            <w:r>
              <w:rPr>
                <w:rFonts w:cs="Arial"/>
                <w:szCs w:val="18"/>
                <w:lang w:val="en-GB"/>
              </w:rPr>
              <w:t>0.</w:t>
            </w:r>
            <w:r w:rsidR="008A18E2">
              <w:rPr>
                <w:rFonts w:cs="Arial"/>
                <w:szCs w:val="18"/>
                <w:lang w:val="en-GB"/>
              </w:rPr>
              <w:t>1</w:t>
            </w:r>
            <w:r>
              <w:rPr>
                <w:rFonts w:cs="Arial"/>
                <w:szCs w:val="18"/>
                <w:lang w:val="en-GB"/>
              </w:rPr>
              <w:t>8</w:t>
            </w:r>
          </w:p>
        </w:tc>
      </w:tr>
    </w:tbl>
    <w:p w14:paraId="4DBC8422" w14:textId="48BF58E5" w:rsidR="00862944" w:rsidRDefault="00862944" w:rsidP="00A80242">
      <w:pPr>
        <w:pStyle w:val="CETBodytext"/>
        <w:rPr>
          <w:lang w:val="es-PE"/>
        </w:rPr>
      </w:pPr>
    </w:p>
    <w:p w14:paraId="2BDEC19C" w14:textId="3CC7E1FE" w:rsidR="00000EFF" w:rsidRDefault="00000EFF" w:rsidP="00A80242">
      <w:pPr>
        <w:pStyle w:val="CETBodytext"/>
      </w:pPr>
      <w:r w:rsidRPr="00000EFF">
        <w:t>In both cases, it was observed that with an optimal adsorbent dose of 2 g, minimum final concentrations of 0.46 ppm of Cu</w:t>
      </w:r>
      <w:r>
        <w:t xml:space="preserve"> </w:t>
      </w:r>
      <w:r w:rsidRPr="00000EFF">
        <w:t>(II) and 0.18 ppm of Mn</w:t>
      </w:r>
      <w:r>
        <w:t xml:space="preserve"> </w:t>
      </w:r>
      <w:r w:rsidRPr="00000EFF">
        <w:t>(II) were obtained, allowing for a better observation of the removal behavior of these metals.</w:t>
      </w:r>
    </w:p>
    <w:p w14:paraId="5F87279C" w14:textId="77777777" w:rsidR="00000EFF" w:rsidRPr="00000EFF" w:rsidRDefault="00000EFF" w:rsidP="00A80242">
      <w:pPr>
        <w:pStyle w:val="CETBodytext"/>
      </w:pPr>
    </w:p>
    <w:p w14:paraId="5B89FD82" w14:textId="5AD573C3" w:rsidR="00CC1364" w:rsidRPr="00CC1364" w:rsidRDefault="00CC1364" w:rsidP="00CC1364">
      <w:pPr>
        <w:pStyle w:val="CETBodytext"/>
        <w:spacing w:line="360" w:lineRule="auto"/>
        <w:rPr>
          <w:b/>
          <w:bCs/>
        </w:rPr>
      </w:pPr>
      <w:r w:rsidRPr="00CC1364">
        <w:rPr>
          <w:b/>
          <w:bCs/>
        </w:rPr>
        <w:t>3.3 Parameters Used in the Freundlich Isotherm for Cu (II) and Mn (II)</w:t>
      </w:r>
    </w:p>
    <w:p w14:paraId="67EED9D2" w14:textId="67DB1A39" w:rsidR="00CC1364" w:rsidRDefault="00CC1364" w:rsidP="00CC1364">
      <w:pPr>
        <w:pStyle w:val="CETBodytext"/>
        <w:spacing w:line="240" w:lineRule="auto"/>
        <w:rPr>
          <w:i/>
        </w:rPr>
      </w:pPr>
      <w:r w:rsidRPr="00CC1364">
        <w:t>To graphically represent the Freundlich isotherm in the Cu and Mn adsorption study, the parameters used for the investigation were presented in Table 5.</w:t>
      </w:r>
    </w:p>
    <w:p w14:paraId="25592C44" w14:textId="7A907C62" w:rsidR="00442DA9" w:rsidRPr="00980E1C" w:rsidRDefault="00980E1C" w:rsidP="00442DA9">
      <w:pPr>
        <w:pStyle w:val="CETTabletitle"/>
        <w:rPr>
          <w:lang w:val="en-US"/>
        </w:rPr>
      </w:pPr>
      <w:r w:rsidRPr="00980E1C">
        <w:rPr>
          <w:lang w:val="en-US"/>
        </w:rPr>
        <w:t>Table 5: Parameters Used in the Freundlich Isotherm for Cu and Mn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16"/>
        <w:gridCol w:w="1029"/>
        <w:gridCol w:w="1055"/>
        <w:gridCol w:w="967"/>
        <w:gridCol w:w="956"/>
        <w:gridCol w:w="941"/>
        <w:gridCol w:w="941"/>
        <w:gridCol w:w="941"/>
        <w:gridCol w:w="941"/>
      </w:tblGrid>
      <w:tr w:rsidR="00442DA9" w:rsidRPr="00B57B36" w14:paraId="40923D30" w14:textId="77777777" w:rsidTr="00855D34">
        <w:tc>
          <w:tcPr>
            <w:tcW w:w="1016" w:type="dxa"/>
            <w:vMerge w:val="restart"/>
            <w:tcBorders>
              <w:top w:val="single" w:sz="12" w:space="0" w:color="008000"/>
            </w:tcBorders>
            <w:shd w:val="clear" w:color="auto" w:fill="FFFFFF"/>
          </w:tcPr>
          <w:p w14:paraId="60265E24" w14:textId="77777777" w:rsidR="00980E1C" w:rsidRDefault="00980E1C" w:rsidP="00855D34">
            <w:pPr>
              <w:pStyle w:val="CETBodytext"/>
              <w:jc w:val="center"/>
              <w:rPr>
                <w:lang w:val="en-GB"/>
              </w:rPr>
            </w:pPr>
            <w:r w:rsidRPr="00980E1C">
              <w:rPr>
                <w:lang w:val="en-GB"/>
              </w:rPr>
              <w:t xml:space="preserve">Mass </w:t>
            </w:r>
          </w:p>
          <w:p w14:paraId="5898E9E5" w14:textId="6C8C5F06" w:rsidR="00442DA9" w:rsidRPr="00B57B36" w:rsidRDefault="00442DA9" w:rsidP="00855D34">
            <w:pPr>
              <w:pStyle w:val="CETBodytext"/>
              <w:jc w:val="center"/>
              <w:rPr>
                <w:lang w:val="en-GB"/>
              </w:rPr>
            </w:pPr>
            <w:r w:rsidRPr="00862944">
              <w:rPr>
                <w:lang w:val="en-GB"/>
              </w:rPr>
              <w:t>(g)</w:t>
            </w:r>
          </w:p>
        </w:tc>
        <w:tc>
          <w:tcPr>
            <w:tcW w:w="4007" w:type="dxa"/>
            <w:gridSpan w:val="4"/>
            <w:tcBorders>
              <w:top w:val="single" w:sz="12" w:space="0" w:color="008000"/>
              <w:bottom w:val="single" w:sz="6" w:space="0" w:color="008000"/>
            </w:tcBorders>
            <w:shd w:val="clear" w:color="auto" w:fill="FFFFFF"/>
          </w:tcPr>
          <w:p w14:paraId="7D51D160" w14:textId="77777777" w:rsidR="00442DA9" w:rsidRPr="00B57B36" w:rsidRDefault="00442DA9" w:rsidP="00855D34">
            <w:pPr>
              <w:pStyle w:val="CETBodytext"/>
              <w:ind w:right="-1"/>
              <w:jc w:val="center"/>
              <w:rPr>
                <w:rFonts w:cs="Arial"/>
                <w:szCs w:val="18"/>
                <w:lang w:val="en-GB"/>
              </w:rPr>
            </w:pPr>
            <w:r w:rsidRPr="00862944">
              <w:rPr>
                <w:lang w:val="en-GB"/>
              </w:rPr>
              <w:t>Cu</w:t>
            </w:r>
          </w:p>
        </w:tc>
        <w:tc>
          <w:tcPr>
            <w:tcW w:w="3764" w:type="dxa"/>
            <w:gridSpan w:val="4"/>
            <w:tcBorders>
              <w:top w:val="single" w:sz="12" w:space="0" w:color="008000"/>
              <w:bottom w:val="single" w:sz="6" w:space="0" w:color="008000"/>
            </w:tcBorders>
            <w:shd w:val="clear" w:color="auto" w:fill="FFFFFF"/>
          </w:tcPr>
          <w:p w14:paraId="46DA5240" w14:textId="77777777" w:rsidR="00442DA9" w:rsidRPr="00862944" w:rsidRDefault="00442DA9" w:rsidP="00855D34">
            <w:pPr>
              <w:pStyle w:val="CETBodytext"/>
              <w:ind w:right="-1"/>
              <w:jc w:val="center"/>
              <w:rPr>
                <w:rFonts w:cs="Arial"/>
                <w:szCs w:val="18"/>
                <w:lang w:val="en-GB"/>
              </w:rPr>
            </w:pPr>
            <w:r w:rsidRPr="00862944">
              <w:rPr>
                <w:rFonts w:cs="Arial"/>
                <w:szCs w:val="18"/>
                <w:lang w:val="en-GB"/>
              </w:rPr>
              <w:t>Mn</w:t>
            </w:r>
          </w:p>
        </w:tc>
      </w:tr>
      <w:tr w:rsidR="008E5577" w:rsidRPr="00B57B36" w14:paraId="5546214B" w14:textId="77777777" w:rsidTr="00855D34">
        <w:tc>
          <w:tcPr>
            <w:tcW w:w="1016" w:type="dxa"/>
            <w:vMerge/>
            <w:tcBorders>
              <w:bottom w:val="single" w:sz="6" w:space="0" w:color="008000"/>
            </w:tcBorders>
            <w:shd w:val="clear" w:color="auto" w:fill="FFFFFF"/>
          </w:tcPr>
          <w:p w14:paraId="45422F68" w14:textId="77777777" w:rsidR="008E5577" w:rsidRPr="00B57B36" w:rsidRDefault="008E5577" w:rsidP="008E5577">
            <w:pPr>
              <w:pStyle w:val="CETBodytext"/>
              <w:rPr>
                <w:lang w:val="en-GB"/>
              </w:rPr>
            </w:pPr>
          </w:p>
        </w:tc>
        <w:tc>
          <w:tcPr>
            <w:tcW w:w="1029" w:type="dxa"/>
            <w:tcBorders>
              <w:top w:val="single" w:sz="12" w:space="0" w:color="008000"/>
              <w:bottom w:val="single" w:sz="6" w:space="0" w:color="008000"/>
            </w:tcBorders>
            <w:shd w:val="clear" w:color="auto" w:fill="FFFFFF"/>
          </w:tcPr>
          <w:p w14:paraId="172181E0" w14:textId="77777777" w:rsidR="008E5577" w:rsidRDefault="008E5577" w:rsidP="008E5577">
            <w:pPr>
              <w:pStyle w:val="CETBodytext"/>
              <w:jc w:val="center"/>
              <w:rPr>
                <w:lang w:val="en-GB"/>
              </w:rPr>
            </w:pPr>
            <w:r w:rsidRPr="00862944">
              <w:rPr>
                <w:lang w:val="en-GB"/>
              </w:rPr>
              <w:t>C</w:t>
            </w:r>
            <w:r w:rsidRPr="00B65E4C">
              <w:rPr>
                <w:sz w:val="20"/>
                <w:vertAlign w:val="subscript"/>
                <w:lang w:val="en-GB"/>
              </w:rPr>
              <w:t>e</w:t>
            </w:r>
          </w:p>
          <w:p w14:paraId="7B8020B9" w14:textId="77777777" w:rsidR="008E5577" w:rsidRPr="00B57B36" w:rsidRDefault="008E5577" w:rsidP="008E5577">
            <w:pPr>
              <w:pStyle w:val="CETBodytext"/>
              <w:jc w:val="center"/>
              <w:rPr>
                <w:lang w:val="en-GB"/>
              </w:rPr>
            </w:pPr>
            <w:r w:rsidRPr="00862944">
              <w:rPr>
                <w:lang w:val="en-GB"/>
              </w:rPr>
              <w:t>(mg/L)</w:t>
            </w:r>
          </w:p>
        </w:tc>
        <w:tc>
          <w:tcPr>
            <w:tcW w:w="1055" w:type="dxa"/>
            <w:tcBorders>
              <w:top w:val="single" w:sz="12" w:space="0" w:color="008000"/>
              <w:bottom w:val="single" w:sz="6" w:space="0" w:color="008000"/>
            </w:tcBorders>
            <w:shd w:val="clear" w:color="auto" w:fill="FFFFFF"/>
          </w:tcPr>
          <w:p w14:paraId="7D745BCE" w14:textId="77777777" w:rsidR="008E5577" w:rsidRDefault="008E5577" w:rsidP="008E5577">
            <w:pPr>
              <w:pStyle w:val="CETBodytext"/>
              <w:ind w:right="-1"/>
              <w:jc w:val="center"/>
              <w:rPr>
                <w:rFonts w:cs="Arial"/>
                <w:szCs w:val="18"/>
                <w:lang w:val="en-GB"/>
              </w:rPr>
            </w:pPr>
            <w:r>
              <w:rPr>
                <w:rFonts w:cs="Arial"/>
                <w:szCs w:val="18"/>
                <w:lang w:val="en-GB"/>
              </w:rPr>
              <w:t>q</w:t>
            </w:r>
            <w:r w:rsidRPr="00B65E4C">
              <w:rPr>
                <w:rFonts w:cs="Arial"/>
                <w:sz w:val="20"/>
                <w:vertAlign w:val="subscript"/>
                <w:lang w:val="en-GB"/>
              </w:rPr>
              <w:t>e</w:t>
            </w:r>
          </w:p>
          <w:p w14:paraId="73F2DEC0" w14:textId="77777777" w:rsidR="008E5577" w:rsidRPr="00B57B36" w:rsidRDefault="008E5577" w:rsidP="008E5577">
            <w:pPr>
              <w:pStyle w:val="CETBodytext"/>
              <w:jc w:val="center"/>
              <w:rPr>
                <w:lang w:val="en-GB"/>
              </w:rPr>
            </w:pPr>
            <w:r w:rsidRPr="00862944">
              <w:rPr>
                <w:rFonts w:cs="Arial"/>
                <w:szCs w:val="18"/>
                <w:lang w:val="en-GB"/>
              </w:rPr>
              <w:t>(mg/g)</w:t>
            </w:r>
          </w:p>
        </w:tc>
        <w:tc>
          <w:tcPr>
            <w:tcW w:w="967" w:type="dxa"/>
            <w:tcBorders>
              <w:top w:val="single" w:sz="12" w:space="0" w:color="008000"/>
              <w:bottom w:val="single" w:sz="6" w:space="0" w:color="008000"/>
            </w:tcBorders>
            <w:shd w:val="clear" w:color="auto" w:fill="FFFFFF"/>
          </w:tcPr>
          <w:p w14:paraId="475861C3" w14:textId="654CB2D8" w:rsidR="008E5577" w:rsidRPr="00B57B36" w:rsidRDefault="008E5577" w:rsidP="008E5577">
            <w:pPr>
              <w:pStyle w:val="CETBodytext"/>
              <w:ind w:right="-1"/>
              <w:jc w:val="center"/>
              <w:rPr>
                <w:rFonts w:cs="Arial"/>
                <w:szCs w:val="18"/>
                <w:lang w:val="en-GB"/>
              </w:rPr>
            </w:pPr>
            <w:r>
              <w:rPr>
                <w:rFonts w:cs="Arial"/>
                <w:szCs w:val="18"/>
                <w:lang w:val="en-GB"/>
              </w:rPr>
              <w:t xml:space="preserve">Log </w:t>
            </w:r>
            <w:r w:rsidRPr="00862944">
              <w:rPr>
                <w:rFonts w:cs="Arial"/>
                <w:szCs w:val="18"/>
                <w:lang w:val="en-GB"/>
              </w:rPr>
              <w:t>C</w:t>
            </w:r>
            <w:r w:rsidRPr="00B65E4C">
              <w:rPr>
                <w:rFonts w:cs="Arial"/>
                <w:sz w:val="20"/>
                <w:vertAlign w:val="subscript"/>
                <w:lang w:val="en-GB"/>
              </w:rPr>
              <w:t>e</w:t>
            </w:r>
          </w:p>
        </w:tc>
        <w:tc>
          <w:tcPr>
            <w:tcW w:w="956" w:type="dxa"/>
            <w:tcBorders>
              <w:top w:val="single" w:sz="12" w:space="0" w:color="008000"/>
              <w:bottom w:val="single" w:sz="6" w:space="0" w:color="008000"/>
            </w:tcBorders>
            <w:shd w:val="clear" w:color="auto" w:fill="FFFFFF"/>
          </w:tcPr>
          <w:p w14:paraId="24AB52FA" w14:textId="2245A80D" w:rsidR="008E5577" w:rsidRPr="00B57B36" w:rsidRDefault="008E5577" w:rsidP="008E5577">
            <w:pPr>
              <w:pStyle w:val="CETBodytext"/>
              <w:ind w:right="-1"/>
              <w:jc w:val="center"/>
              <w:rPr>
                <w:rFonts w:cs="Arial"/>
                <w:szCs w:val="18"/>
                <w:lang w:val="en-GB"/>
              </w:rPr>
            </w:pPr>
            <w:r>
              <w:rPr>
                <w:rFonts w:cs="Arial"/>
                <w:szCs w:val="18"/>
                <w:lang w:val="en-GB"/>
              </w:rPr>
              <w:t xml:space="preserve">Log </w:t>
            </w:r>
            <w:r w:rsidRPr="00B65E4C">
              <w:rPr>
                <w:rFonts w:cs="Arial"/>
                <w:szCs w:val="18"/>
                <w:lang w:val="en-GB"/>
              </w:rPr>
              <w:t>q</w:t>
            </w:r>
            <w:r w:rsidRPr="00B65E4C">
              <w:rPr>
                <w:rFonts w:cs="Arial"/>
                <w:sz w:val="20"/>
                <w:vertAlign w:val="subscript"/>
                <w:lang w:val="en-GB"/>
              </w:rPr>
              <w:t>e</w:t>
            </w:r>
          </w:p>
        </w:tc>
        <w:tc>
          <w:tcPr>
            <w:tcW w:w="941" w:type="dxa"/>
            <w:tcBorders>
              <w:top w:val="single" w:sz="12" w:space="0" w:color="008000"/>
              <w:bottom w:val="single" w:sz="6" w:space="0" w:color="008000"/>
            </w:tcBorders>
            <w:shd w:val="clear" w:color="auto" w:fill="FFFFFF"/>
          </w:tcPr>
          <w:p w14:paraId="5B9B1231" w14:textId="77777777" w:rsidR="008E5577" w:rsidRDefault="008E5577" w:rsidP="008E5577">
            <w:pPr>
              <w:pStyle w:val="CETBodytext"/>
              <w:jc w:val="center"/>
              <w:rPr>
                <w:lang w:val="en-GB"/>
              </w:rPr>
            </w:pPr>
            <w:r w:rsidRPr="00862944">
              <w:rPr>
                <w:lang w:val="en-GB"/>
              </w:rPr>
              <w:t>C</w:t>
            </w:r>
            <w:r w:rsidRPr="00B65E4C">
              <w:rPr>
                <w:sz w:val="20"/>
                <w:vertAlign w:val="subscript"/>
                <w:lang w:val="en-GB"/>
              </w:rPr>
              <w:t>e</w:t>
            </w:r>
          </w:p>
          <w:p w14:paraId="6715C5AE" w14:textId="77777777" w:rsidR="008E5577" w:rsidRPr="00B57B36" w:rsidRDefault="008E5577" w:rsidP="008E5577">
            <w:pPr>
              <w:pStyle w:val="CETBodytext"/>
              <w:ind w:right="-1"/>
              <w:jc w:val="center"/>
              <w:rPr>
                <w:rFonts w:cs="Arial"/>
                <w:szCs w:val="18"/>
                <w:lang w:val="en-GB"/>
              </w:rPr>
            </w:pPr>
            <w:r w:rsidRPr="00862944">
              <w:rPr>
                <w:lang w:val="en-GB"/>
              </w:rPr>
              <w:t>(mg/L)</w:t>
            </w:r>
          </w:p>
        </w:tc>
        <w:tc>
          <w:tcPr>
            <w:tcW w:w="941" w:type="dxa"/>
            <w:tcBorders>
              <w:top w:val="single" w:sz="12" w:space="0" w:color="008000"/>
              <w:bottom w:val="single" w:sz="6" w:space="0" w:color="008000"/>
            </w:tcBorders>
            <w:shd w:val="clear" w:color="auto" w:fill="FFFFFF"/>
          </w:tcPr>
          <w:p w14:paraId="494D82EC" w14:textId="77777777" w:rsidR="008E5577" w:rsidRDefault="008E5577" w:rsidP="008E5577">
            <w:pPr>
              <w:pStyle w:val="CETBodytext"/>
              <w:ind w:right="-1"/>
              <w:jc w:val="center"/>
              <w:rPr>
                <w:rFonts w:cs="Arial"/>
                <w:szCs w:val="18"/>
                <w:lang w:val="en-GB"/>
              </w:rPr>
            </w:pPr>
            <w:r>
              <w:rPr>
                <w:rFonts w:cs="Arial"/>
                <w:szCs w:val="18"/>
                <w:lang w:val="en-GB"/>
              </w:rPr>
              <w:t>q</w:t>
            </w:r>
            <w:r w:rsidRPr="00B65E4C">
              <w:rPr>
                <w:rFonts w:cs="Arial"/>
                <w:sz w:val="20"/>
                <w:vertAlign w:val="subscript"/>
                <w:lang w:val="en-GB"/>
              </w:rPr>
              <w:t>e</w:t>
            </w:r>
          </w:p>
          <w:p w14:paraId="3DA461FD" w14:textId="77777777" w:rsidR="008E5577" w:rsidRPr="00B57B36" w:rsidRDefault="008E5577" w:rsidP="008E5577">
            <w:pPr>
              <w:pStyle w:val="CETBodytext"/>
              <w:ind w:right="-1"/>
              <w:jc w:val="center"/>
              <w:rPr>
                <w:rFonts w:cs="Arial"/>
                <w:szCs w:val="18"/>
                <w:lang w:val="en-GB"/>
              </w:rPr>
            </w:pPr>
            <w:r w:rsidRPr="00862944">
              <w:rPr>
                <w:rFonts w:cs="Arial"/>
                <w:szCs w:val="18"/>
                <w:lang w:val="en-GB"/>
              </w:rPr>
              <w:t>(mg/g)</w:t>
            </w:r>
          </w:p>
        </w:tc>
        <w:tc>
          <w:tcPr>
            <w:tcW w:w="941" w:type="dxa"/>
            <w:tcBorders>
              <w:top w:val="single" w:sz="12" w:space="0" w:color="008000"/>
              <w:bottom w:val="single" w:sz="6" w:space="0" w:color="008000"/>
            </w:tcBorders>
            <w:shd w:val="clear" w:color="auto" w:fill="FFFFFF"/>
          </w:tcPr>
          <w:p w14:paraId="665000F9" w14:textId="32D7F914" w:rsidR="008E5577" w:rsidRPr="00B57B36" w:rsidRDefault="008E5577" w:rsidP="008E5577">
            <w:pPr>
              <w:pStyle w:val="CETBodytext"/>
              <w:ind w:right="-1"/>
              <w:jc w:val="center"/>
              <w:rPr>
                <w:rFonts w:cs="Arial"/>
                <w:szCs w:val="18"/>
                <w:lang w:val="en-GB"/>
              </w:rPr>
            </w:pPr>
            <w:r>
              <w:rPr>
                <w:rFonts w:cs="Arial"/>
                <w:szCs w:val="18"/>
                <w:lang w:val="en-GB"/>
              </w:rPr>
              <w:t xml:space="preserve">Log </w:t>
            </w:r>
            <w:r w:rsidRPr="00862944">
              <w:rPr>
                <w:rFonts w:cs="Arial"/>
                <w:szCs w:val="18"/>
                <w:lang w:val="en-GB"/>
              </w:rPr>
              <w:t>C</w:t>
            </w:r>
            <w:r w:rsidRPr="00B65E4C">
              <w:rPr>
                <w:rFonts w:cs="Arial"/>
                <w:sz w:val="20"/>
                <w:vertAlign w:val="subscript"/>
                <w:lang w:val="en-GB"/>
              </w:rPr>
              <w:t>e</w:t>
            </w:r>
          </w:p>
        </w:tc>
        <w:tc>
          <w:tcPr>
            <w:tcW w:w="941" w:type="dxa"/>
            <w:tcBorders>
              <w:top w:val="single" w:sz="12" w:space="0" w:color="008000"/>
              <w:bottom w:val="single" w:sz="6" w:space="0" w:color="008000"/>
            </w:tcBorders>
            <w:shd w:val="clear" w:color="auto" w:fill="FFFFFF"/>
          </w:tcPr>
          <w:p w14:paraId="26423709" w14:textId="6B935FF7" w:rsidR="008E5577" w:rsidRPr="00B57B36" w:rsidRDefault="008E5577" w:rsidP="008E5577">
            <w:pPr>
              <w:pStyle w:val="CETBodytext"/>
              <w:ind w:right="-1"/>
              <w:jc w:val="center"/>
              <w:rPr>
                <w:rFonts w:cs="Arial"/>
                <w:szCs w:val="18"/>
                <w:lang w:val="en-GB"/>
              </w:rPr>
            </w:pPr>
            <w:r>
              <w:rPr>
                <w:rFonts w:cs="Arial"/>
                <w:szCs w:val="18"/>
                <w:lang w:val="en-GB"/>
              </w:rPr>
              <w:t xml:space="preserve">Log </w:t>
            </w:r>
            <w:r w:rsidRPr="00B65E4C">
              <w:rPr>
                <w:rFonts w:cs="Arial"/>
                <w:szCs w:val="18"/>
                <w:lang w:val="en-GB"/>
              </w:rPr>
              <w:t>q</w:t>
            </w:r>
            <w:r w:rsidRPr="00B65E4C">
              <w:rPr>
                <w:rFonts w:cs="Arial"/>
                <w:sz w:val="20"/>
                <w:vertAlign w:val="subscript"/>
                <w:lang w:val="en-GB"/>
              </w:rPr>
              <w:t>e</w:t>
            </w:r>
          </w:p>
        </w:tc>
      </w:tr>
      <w:tr w:rsidR="00442DA9" w:rsidRPr="00B57B36" w14:paraId="57110B4C" w14:textId="77777777" w:rsidTr="00855D34">
        <w:tc>
          <w:tcPr>
            <w:tcW w:w="1016" w:type="dxa"/>
            <w:shd w:val="clear" w:color="auto" w:fill="FFFFFF"/>
          </w:tcPr>
          <w:p w14:paraId="7E782FF4" w14:textId="77777777" w:rsidR="00442DA9" w:rsidRPr="00B57B36" w:rsidRDefault="00442DA9" w:rsidP="00855D34">
            <w:pPr>
              <w:pStyle w:val="CETBodytext"/>
              <w:jc w:val="center"/>
              <w:rPr>
                <w:lang w:val="en-GB"/>
              </w:rPr>
            </w:pPr>
            <w:r>
              <w:rPr>
                <w:lang w:val="en-GB"/>
              </w:rPr>
              <w:t>0.5</w:t>
            </w:r>
          </w:p>
        </w:tc>
        <w:tc>
          <w:tcPr>
            <w:tcW w:w="1029" w:type="dxa"/>
            <w:shd w:val="clear" w:color="auto" w:fill="FFFFFF"/>
          </w:tcPr>
          <w:p w14:paraId="63D4B18E" w14:textId="77777777" w:rsidR="00442DA9" w:rsidRPr="00B57B36" w:rsidRDefault="00442DA9" w:rsidP="00855D34">
            <w:pPr>
              <w:pStyle w:val="CETBodytext"/>
              <w:jc w:val="center"/>
              <w:rPr>
                <w:lang w:val="en-GB"/>
              </w:rPr>
            </w:pPr>
            <w:r>
              <w:rPr>
                <w:lang w:val="en-GB"/>
              </w:rPr>
              <w:t>6.18</w:t>
            </w:r>
          </w:p>
        </w:tc>
        <w:tc>
          <w:tcPr>
            <w:tcW w:w="1055" w:type="dxa"/>
            <w:shd w:val="clear" w:color="auto" w:fill="FFFFFF"/>
          </w:tcPr>
          <w:p w14:paraId="71AC6F9F" w14:textId="77777777" w:rsidR="00442DA9" w:rsidRPr="00B57B36" w:rsidRDefault="00442DA9" w:rsidP="00855D34">
            <w:pPr>
              <w:pStyle w:val="CETBodytext"/>
              <w:jc w:val="center"/>
              <w:rPr>
                <w:lang w:val="en-GB"/>
              </w:rPr>
            </w:pPr>
            <w:r>
              <w:rPr>
                <w:lang w:val="en-GB"/>
              </w:rPr>
              <w:t>2.292</w:t>
            </w:r>
          </w:p>
        </w:tc>
        <w:tc>
          <w:tcPr>
            <w:tcW w:w="967" w:type="dxa"/>
            <w:shd w:val="clear" w:color="auto" w:fill="FFFFFF"/>
          </w:tcPr>
          <w:p w14:paraId="7F431B32" w14:textId="0D17CFE3" w:rsidR="00442DA9" w:rsidRPr="00B57B36" w:rsidRDefault="006A15D2" w:rsidP="00855D34">
            <w:pPr>
              <w:pStyle w:val="CETBodytext"/>
              <w:ind w:right="-1"/>
              <w:jc w:val="center"/>
              <w:rPr>
                <w:rFonts w:cs="Arial"/>
                <w:szCs w:val="18"/>
                <w:lang w:val="en-GB"/>
              </w:rPr>
            </w:pPr>
            <w:r>
              <w:rPr>
                <w:rFonts w:cs="Arial"/>
                <w:szCs w:val="18"/>
                <w:lang w:val="en-GB"/>
              </w:rPr>
              <w:t>0</w:t>
            </w:r>
            <w:r w:rsidR="009D6873">
              <w:rPr>
                <w:rFonts w:cs="Arial"/>
                <w:szCs w:val="18"/>
                <w:lang w:val="en-GB"/>
              </w:rPr>
              <w:t>.791</w:t>
            </w:r>
          </w:p>
        </w:tc>
        <w:tc>
          <w:tcPr>
            <w:tcW w:w="956" w:type="dxa"/>
            <w:shd w:val="clear" w:color="auto" w:fill="FFFFFF"/>
          </w:tcPr>
          <w:p w14:paraId="4C7757DB" w14:textId="180D6564" w:rsidR="00442DA9" w:rsidRPr="00B57B36" w:rsidRDefault="009D6873" w:rsidP="00855D34">
            <w:pPr>
              <w:pStyle w:val="CETBodytext"/>
              <w:ind w:right="-1"/>
              <w:jc w:val="center"/>
              <w:rPr>
                <w:rFonts w:cs="Arial"/>
                <w:szCs w:val="18"/>
                <w:lang w:val="en-GB"/>
              </w:rPr>
            </w:pPr>
            <w:r>
              <w:rPr>
                <w:rFonts w:cs="Arial"/>
                <w:szCs w:val="18"/>
                <w:lang w:val="en-GB"/>
              </w:rPr>
              <w:t>0.360</w:t>
            </w:r>
          </w:p>
        </w:tc>
        <w:tc>
          <w:tcPr>
            <w:tcW w:w="941" w:type="dxa"/>
            <w:shd w:val="clear" w:color="auto" w:fill="FFFFFF"/>
          </w:tcPr>
          <w:p w14:paraId="19724ECB" w14:textId="77777777" w:rsidR="00442DA9" w:rsidRPr="00B57B36" w:rsidRDefault="00442DA9" w:rsidP="00855D34">
            <w:pPr>
              <w:pStyle w:val="CETBodytext"/>
              <w:ind w:right="-1"/>
              <w:jc w:val="center"/>
              <w:rPr>
                <w:rFonts w:cs="Arial"/>
                <w:szCs w:val="18"/>
                <w:lang w:val="en-GB"/>
              </w:rPr>
            </w:pPr>
            <w:r>
              <w:rPr>
                <w:rFonts w:cs="Arial"/>
                <w:szCs w:val="18"/>
                <w:lang w:val="en-GB"/>
              </w:rPr>
              <w:t>2.14</w:t>
            </w:r>
          </w:p>
        </w:tc>
        <w:tc>
          <w:tcPr>
            <w:tcW w:w="941" w:type="dxa"/>
            <w:shd w:val="clear" w:color="auto" w:fill="FFFFFF"/>
          </w:tcPr>
          <w:p w14:paraId="51457A3E" w14:textId="77777777" w:rsidR="00442DA9" w:rsidRPr="00B57B36" w:rsidRDefault="00442DA9" w:rsidP="00855D34">
            <w:pPr>
              <w:pStyle w:val="CETBodytext"/>
              <w:ind w:right="-1"/>
              <w:jc w:val="center"/>
              <w:rPr>
                <w:rFonts w:cs="Arial"/>
                <w:szCs w:val="18"/>
                <w:lang w:val="en-GB"/>
              </w:rPr>
            </w:pPr>
            <w:r>
              <w:rPr>
                <w:rFonts w:cs="Arial"/>
                <w:szCs w:val="18"/>
                <w:lang w:val="en-GB"/>
              </w:rPr>
              <w:t>2.856</w:t>
            </w:r>
          </w:p>
        </w:tc>
        <w:tc>
          <w:tcPr>
            <w:tcW w:w="941" w:type="dxa"/>
            <w:shd w:val="clear" w:color="auto" w:fill="FFFFFF"/>
          </w:tcPr>
          <w:p w14:paraId="716F74B6" w14:textId="332D29B6" w:rsidR="00442DA9" w:rsidRPr="00B57B36" w:rsidRDefault="008E5577" w:rsidP="00855D34">
            <w:pPr>
              <w:pStyle w:val="CETBodytext"/>
              <w:ind w:right="-1"/>
              <w:jc w:val="center"/>
              <w:rPr>
                <w:rFonts w:cs="Arial"/>
                <w:szCs w:val="18"/>
                <w:lang w:val="en-GB"/>
              </w:rPr>
            </w:pPr>
            <w:r>
              <w:rPr>
                <w:rFonts w:cs="Arial"/>
                <w:szCs w:val="18"/>
                <w:lang w:val="en-GB"/>
              </w:rPr>
              <w:t>0.330</w:t>
            </w:r>
          </w:p>
        </w:tc>
        <w:tc>
          <w:tcPr>
            <w:tcW w:w="941" w:type="dxa"/>
            <w:shd w:val="clear" w:color="auto" w:fill="FFFFFF"/>
          </w:tcPr>
          <w:p w14:paraId="5BDD624D" w14:textId="70C4B3F3" w:rsidR="00442DA9" w:rsidRPr="00B57B36" w:rsidRDefault="008E5577" w:rsidP="00855D34">
            <w:pPr>
              <w:pStyle w:val="CETBodytext"/>
              <w:ind w:right="-1"/>
              <w:jc w:val="center"/>
              <w:rPr>
                <w:rFonts w:cs="Arial"/>
                <w:szCs w:val="18"/>
                <w:lang w:val="en-GB"/>
              </w:rPr>
            </w:pPr>
            <w:r>
              <w:rPr>
                <w:rFonts w:cs="Arial"/>
                <w:szCs w:val="18"/>
                <w:lang w:val="en-GB"/>
              </w:rPr>
              <w:t>0.456</w:t>
            </w:r>
          </w:p>
        </w:tc>
      </w:tr>
      <w:tr w:rsidR="00442DA9" w:rsidRPr="00B57B36" w14:paraId="27226A42" w14:textId="77777777" w:rsidTr="00855D34">
        <w:tc>
          <w:tcPr>
            <w:tcW w:w="1016" w:type="dxa"/>
            <w:shd w:val="clear" w:color="auto" w:fill="FFFFFF"/>
          </w:tcPr>
          <w:p w14:paraId="43EB4EF5" w14:textId="77777777" w:rsidR="00442DA9" w:rsidRPr="00B57B36" w:rsidRDefault="00442DA9" w:rsidP="00855D34">
            <w:pPr>
              <w:pStyle w:val="CETBodytext"/>
              <w:ind w:right="-1"/>
              <w:jc w:val="center"/>
              <w:rPr>
                <w:rFonts w:cs="Arial"/>
                <w:szCs w:val="18"/>
                <w:lang w:val="en-GB"/>
              </w:rPr>
            </w:pPr>
            <w:r>
              <w:rPr>
                <w:rFonts w:cs="Arial"/>
                <w:szCs w:val="18"/>
                <w:lang w:val="en-GB"/>
              </w:rPr>
              <w:t>1.0</w:t>
            </w:r>
          </w:p>
        </w:tc>
        <w:tc>
          <w:tcPr>
            <w:tcW w:w="1029" w:type="dxa"/>
            <w:shd w:val="clear" w:color="auto" w:fill="FFFFFF"/>
          </w:tcPr>
          <w:p w14:paraId="3540D982" w14:textId="77777777" w:rsidR="00442DA9" w:rsidRPr="00B57B36" w:rsidRDefault="00442DA9" w:rsidP="00855D34">
            <w:pPr>
              <w:pStyle w:val="CETBodytext"/>
              <w:ind w:right="-1"/>
              <w:jc w:val="center"/>
              <w:rPr>
                <w:rFonts w:cs="Arial"/>
                <w:szCs w:val="18"/>
                <w:lang w:val="en-GB"/>
              </w:rPr>
            </w:pPr>
            <w:r>
              <w:rPr>
                <w:rFonts w:cs="Arial"/>
                <w:szCs w:val="18"/>
                <w:lang w:val="en-GB"/>
              </w:rPr>
              <w:t>3.34</w:t>
            </w:r>
          </w:p>
        </w:tc>
        <w:tc>
          <w:tcPr>
            <w:tcW w:w="1055" w:type="dxa"/>
            <w:shd w:val="clear" w:color="auto" w:fill="FFFFFF"/>
          </w:tcPr>
          <w:p w14:paraId="13E5152A" w14:textId="77777777" w:rsidR="00442DA9" w:rsidRPr="00B57B36" w:rsidRDefault="00442DA9" w:rsidP="00855D34">
            <w:pPr>
              <w:pStyle w:val="CETBodytext"/>
              <w:ind w:right="-1"/>
              <w:jc w:val="center"/>
              <w:rPr>
                <w:rFonts w:cs="Arial"/>
                <w:szCs w:val="18"/>
                <w:lang w:val="en-GB"/>
              </w:rPr>
            </w:pPr>
            <w:r>
              <w:rPr>
                <w:rFonts w:cs="Arial"/>
                <w:szCs w:val="18"/>
                <w:lang w:val="en-GB"/>
              </w:rPr>
              <w:t>1.714</w:t>
            </w:r>
          </w:p>
        </w:tc>
        <w:tc>
          <w:tcPr>
            <w:tcW w:w="967" w:type="dxa"/>
            <w:shd w:val="clear" w:color="auto" w:fill="FFFFFF"/>
          </w:tcPr>
          <w:p w14:paraId="5669A3EE" w14:textId="02512239" w:rsidR="00442DA9" w:rsidRPr="00B57B36" w:rsidRDefault="009D6873" w:rsidP="00855D34">
            <w:pPr>
              <w:pStyle w:val="CETBodytext"/>
              <w:ind w:right="-1"/>
              <w:jc w:val="center"/>
              <w:rPr>
                <w:rFonts w:cs="Arial"/>
                <w:szCs w:val="18"/>
                <w:lang w:val="en-GB"/>
              </w:rPr>
            </w:pPr>
            <w:r>
              <w:rPr>
                <w:rFonts w:cs="Arial"/>
                <w:szCs w:val="18"/>
                <w:lang w:val="en-GB"/>
              </w:rPr>
              <w:t>0.524</w:t>
            </w:r>
          </w:p>
        </w:tc>
        <w:tc>
          <w:tcPr>
            <w:tcW w:w="956" w:type="dxa"/>
            <w:shd w:val="clear" w:color="auto" w:fill="FFFFFF"/>
          </w:tcPr>
          <w:p w14:paraId="2DC2B9BA" w14:textId="25A5BA81" w:rsidR="00442DA9" w:rsidRPr="00B57B36" w:rsidRDefault="009D6873" w:rsidP="00855D34">
            <w:pPr>
              <w:pStyle w:val="CETBodytext"/>
              <w:ind w:right="-1"/>
              <w:jc w:val="center"/>
              <w:rPr>
                <w:rFonts w:cs="Arial"/>
                <w:szCs w:val="18"/>
                <w:lang w:val="en-GB"/>
              </w:rPr>
            </w:pPr>
            <w:r>
              <w:rPr>
                <w:rFonts w:cs="Arial"/>
                <w:szCs w:val="18"/>
                <w:lang w:val="en-GB"/>
              </w:rPr>
              <w:t>0.234</w:t>
            </w:r>
          </w:p>
        </w:tc>
        <w:tc>
          <w:tcPr>
            <w:tcW w:w="941" w:type="dxa"/>
            <w:shd w:val="clear" w:color="auto" w:fill="FFFFFF"/>
          </w:tcPr>
          <w:p w14:paraId="225BED5D" w14:textId="77777777" w:rsidR="00442DA9" w:rsidRPr="00B57B36" w:rsidRDefault="00442DA9" w:rsidP="00855D34">
            <w:pPr>
              <w:pStyle w:val="CETBodytext"/>
              <w:ind w:right="-1"/>
              <w:jc w:val="center"/>
              <w:rPr>
                <w:rFonts w:cs="Arial"/>
                <w:szCs w:val="18"/>
                <w:lang w:val="en-GB"/>
              </w:rPr>
            </w:pPr>
            <w:r>
              <w:rPr>
                <w:rFonts w:cs="Arial"/>
                <w:szCs w:val="18"/>
                <w:lang w:val="en-GB"/>
              </w:rPr>
              <w:t>0.88</w:t>
            </w:r>
          </w:p>
        </w:tc>
        <w:tc>
          <w:tcPr>
            <w:tcW w:w="941" w:type="dxa"/>
            <w:shd w:val="clear" w:color="auto" w:fill="FFFFFF"/>
          </w:tcPr>
          <w:p w14:paraId="3BADC5A1" w14:textId="77777777" w:rsidR="00442DA9" w:rsidRPr="00B57B36" w:rsidRDefault="00442DA9" w:rsidP="00855D34">
            <w:pPr>
              <w:pStyle w:val="CETBodytext"/>
              <w:ind w:right="-1"/>
              <w:jc w:val="center"/>
              <w:rPr>
                <w:rFonts w:cs="Arial"/>
                <w:szCs w:val="18"/>
                <w:lang w:val="en-GB"/>
              </w:rPr>
            </w:pPr>
            <w:r>
              <w:rPr>
                <w:rFonts w:cs="Arial"/>
                <w:szCs w:val="18"/>
                <w:lang w:val="en-GB"/>
              </w:rPr>
              <w:t>1.680</w:t>
            </w:r>
          </w:p>
        </w:tc>
        <w:tc>
          <w:tcPr>
            <w:tcW w:w="941" w:type="dxa"/>
            <w:shd w:val="clear" w:color="auto" w:fill="FFFFFF"/>
          </w:tcPr>
          <w:p w14:paraId="148377D9" w14:textId="528AF31F" w:rsidR="00442DA9" w:rsidRPr="00B57B36" w:rsidRDefault="006A15D2" w:rsidP="00855D34">
            <w:pPr>
              <w:pStyle w:val="CETBodytext"/>
              <w:ind w:right="-1"/>
              <w:jc w:val="center"/>
              <w:rPr>
                <w:rFonts w:cs="Arial"/>
                <w:szCs w:val="18"/>
                <w:lang w:val="en-GB"/>
              </w:rPr>
            </w:pPr>
            <w:r>
              <w:rPr>
                <w:rFonts w:cs="Arial"/>
                <w:szCs w:val="18"/>
                <w:lang w:val="en-GB"/>
              </w:rPr>
              <w:t>-</w:t>
            </w:r>
            <w:r w:rsidR="008E5577">
              <w:rPr>
                <w:rFonts w:cs="Arial"/>
                <w:szCs w:val="18"/>
                <w:lang w:val="en-GB"/>
              </w:rPr>
              <w:t>0.056</w:t>
            </w:r>
          </w:p>
        </w:tc>
        <w:tc>
          <w:tcPr>
            <w:tcW w:w="941" w:type="dxa"/>
            <w:shd w:val="clear" w:color="auto" w:fill="FFFFFF"/>
          </w:tcPr>
          <w:p w14:paraId="129988D1" w14:textId="5D2D0DDA" w:rsidR="00442DA9" w:rsidRPr="00B57B36" w:rsidRDefault="008E5577" w:rsidP="00855D34">
            <w:pPr>
              <w:pStyle w:val="CETBodytext"/>
              <w:ind w:right="-1"/>
              <w:jc w:val="center"/>
              <w:rPr>
                <w:rFonts w:cs="Arial"/>
                <w:szCs w:val="18"/>
                <w:lang w:val="en-GB"/>
              </w:rPr>
            </w:pPr>
            <w:r>
              <w:rPr>
                <w:rFonts w:cs="Arial"/>
                <w:szCs w:val="18"/>
                <w:lang w:val="en-GB"/>
              </w:rPr>
              <w:t>0.225</w:t>
            </w:r>
          </w:p>
        </w:tc>
      </w:tr>
      <w:tr w:rsidR="00442DA9" w:rsidRPr="00B57B36" w14:paraId="21D0E7B6" w14:textId="77777777" w:rsidTr="00855D34">
        <w:tc>
          <w:tcPr>
            <w:tcW w:w="1016" w:type="dxa"/>
            <w:shd w:val="clear" w:color="auto" w:fill="FFFFFF"/>
          </w:tcPr>
          <w:p w14:paraId="6E531F85" w14:textId="77777777" w:rsidR="00442DA9" w:rsidRPr="00B57B36" w:rsidRDefault="00442DA9" w:rsidP="00855D34">
            <w:pPr>
              <w:pStyle w:val="CETBodytext"/>
              <w:ind w:right="-1"/>
              <w:jc w:val="center"/>
              <w:rPr>
                <w:rFonts w:cs="Arial"/>
                <w:szCs w:val="18"/>
                <w:lang w:val="en-GB"/>
              </w:rPr>
            </w:pPr>
            <w:r>
              <w:rPr>
                <w:rFonts w:cs="Arial"/>
                <w:szCs w:val="18"/>
                <w:lang w:val="en-GB"/>
              </w:rPr>
              <w:t>1.5</w:t>
            </w:r>
          </w:p>
        </w:tc>
        <w:tc>
          <w:tcPr>
            <w:tcW w:w="1029" w:type="dxa"/>
            <w:shd w:val="clear" w:color="auto" w:fill="FFFFFF"/>
          </w:tcPr>
          <w:p w14:paraId="05ED1E57" w14:textId="77777777" w:rsidR="00442DA9" w:rsidRPr="00B57B36" w:rsidRDefault="00442DA9" w:rsidP="00855D34">
            <w:pPr>
              <w:pStyle w:val="CETBodytext"/>
              <w:ind w:right="-1"/>
              <w:jc w:val="center"/>
              <w:rPr>
                <w:rFonts w:cs="Arial"/>
                <w:szCs w:val="18"/>
                <w:lang w:val="en-GB"/>
              </w:rPr>
            </w:pPr>
            <w:r>
              <w:rPr>
                <w:rFonts w:cs="Arial"/>
                <w:szCs w:val="18"/>
                <w:lang w:val="en-GB"/>
              </w:rPr>
              <w:t>1.15</w:t>
            </w:r>
          </w:p>
        </w:tc>
        <w:tc>
          <w:tcPr>
            <w:tcW w:w="1055" w:type="dxa"/>
            <w:shd w:val="clear" w:color="auto" w:fill="FFFFFF"/>
          </w:tcPr>
          <w:p w14:paraId="74B1AE2B" w14:textId="77777777" w:rsidR="00442DA9" w:rsidRPr="00B57B36" w:rsidRDefault="00442DA9" w:rsidP="00855D34">
            <w:pPr>
              <w:pStyle w:val="CETBodytext"/>
              <w:ind w:right="-1"/>
              <w:jc w:val="center"/>
              <w:rPr>
                <w:rFonts w:cs="Arial"/>
                <w:szCs w:val="18"/>
                <w:lang w:val="en-GB"/>
              </w:rPr>
            </w:pPr>
            <w:r>
              <w:rPr>
                <w:rFonts w:cs="Arial"/>
                <w:szCs w:val="18"/>
                <w:lang w:val="en-GB"/>
              </w:rPr>
              <w:t>1.435</w:t>
            </w:r>
          </w:p>
        </w:tc>
        <w:tc>
          <w:tcPr>
            <w:tcW w:w="967" w:type="dxa"/>
            <w:shd w:val="clear" w:color="auto" w:fill="FFFFFF"/>
          </w:tcPr>
          <w:p w14:paraId="5F739B29" w14:textId="33BEBA57" w:rsidR="00442DA9" w:rsidRPr="00B57B36" w:rsidRDefault="009D6873" w:rsidP="00855D34">
            <w:pPr>
              <w:pStyle w:val="CETBodytext"/>
              <w:ind w:right="-1"/>
              <w:jc w:val="center"/>
              <w:rPr>
                <w:rFonts w:cs="Arial"/>
                <w:szCs w:val="18"/>
                <w:lang w:val="en-GB"/>
              </w:rPr>
            </w:pPr>
            <w:r>
              <w:rPr>
                <w:rFonts w:cs="Arial"/>
                <w:szCs w:val="18"/>
                <w:lang w:val="en-GB"/>
              </w:rPr>
              <w:t>0.061</w:t>
            </w:r>
          </w:p>
        </w:tc>
        <w:tc>
          <w:tcPr>
            <w:tcW w:w="956" w:type="dxa"/>
            <w:shd w:val="clear" w:color="auto" w:fill="FFFFFF"/>
          </w:tcPr>
          <w:p w14:paraId="71145154" w14:textId="1C71D7D2" w:rsidR="00442DA9" w:rsidRPr="00B57B36" w:rsidRDefault="009D6873" w:rsidP="00855D34">
            <w:pPr>
              <w:pStyle w:val="CETBodytext"/>
              <w:ind w:right="-1"/>
              <w:jc w:val="center"/>
              <w:rPr>
                <w:rFonts w:cs="Arial"/>
                <w:szCs w:val="18"/>
                <w:lang w:val="en-GB"/>
              </w:rPr>
            </w:pPr>
            <w:r>
              <w:rPr>
                <w:rFonts w:cs="Arial"/>
                <w:szCs w:val="18"/>
                <w:lang w:val="en-GB"/>
              </w:rPr>
              <w:t>0.157</w:t>
            </w:r>
          </w:p>
        </w:tc>
        <w:tc>
          <w:tcPr>
            <w:tcW w:w="941" w:type="dxa"/>
            <w:shd w:val="clear" w:color="auto" w:fill="FFFFFF"/>
          </w:tcPr>
          <w:p w14:paraId="3380F0C3" w14:textId="77777777" w:rsidR="00442DA9" w:rsidRPr="00B57B36" w:rsidRDefault="00442DA9" w:rsidP="00855D34">
            <w:pPr>
              <w:pStyle w:val="CETBodytext"/>
              <w:ind w:right="-1"/>
              <w:jc w:val="center"/>
              <w:rPr>
                <w:rFonts w:cs="Arial"/>
                <w:szCs w:val="18"/>
                <w:lang w:val="en-GB"/>
              </w:rPr>
            </w:pPr>
            <w:r>
              <w:rPr>
                <w:rFonts w:cs="Arial"/>
                <w:szCs w:val="18"/>
                <w:lang w:val="en-GB"/>
              </w:rPr>
              <w:t>0.45</w:t>
            </w:r>
          </w:p>
        </w:tc>
        <w:tc>
          <w:tcPr>
            <w:tcW w:w="941" w:type="dxa"/>
            <w:shd w:val="clear" w:color="auto" w:fill="FFFFFF"/>
          </w:tcPr>
          <w:p w14:paraId="74A13C62" w14:textId="77777777" w:rsidR="00442DA9" w:rsidRPr="00B57B36" w:rsidRDefault="00442DA9" w:rsidP="00855D34">
            <w:pPr>
              <w:pStyle w:val="CETBodytext"/>
              <w:ind w:right="-1"/>
              <w:jc w:val="center"/>
              <w:rPr>
                <w:rFonts w:cs="Arial"/>
                <w:szCs w:val="18"/>
                <w:lang w:val="en-GB"/>
              </w:rPr>
            </w:pPr>
            <w:r>
              <w:rPr>
                <w:rFonts w:cs="Arial"/>
                <w:szCs w:val="18"/>
                <w:lang w:val="en-GB"/>
              </w:rPr>
              <w:t>1.177</w:t>
            </w:r>
          </w:p>
        </w:tc>
        <w:tc>
          <w:tcPr>
            <w:tcW w:w="941" w:type="dxa"/>
            <w:shd w:val="clear" w:color="auto" w:fill="FFFFFF"/>
          </w:tcPr>
          <w:p w14:paraId="689669BE" w14:textId="379DDB75" w:rsidR="00442DA9" w:rsidRPr="00B57B36" w:rsidRDefault="006A15D2" w:rsidP="00855D34">
            <w:pPr>
              <w:pStyle w:val="CETBodytext"/>
              <w:ind w:right="-1"/>
              <w:jc w:val="center"/>
              <w:rPr>
                <w:rFonts w:cs="Arial"/>
                <w:szCs w:val="18"/>
                <w:lang w:val="en-GB"/>
              </w:rPr>
            </w:pPr>
            <w:r>
              <w:rPr>
                <w:rFonts w:cs="Arial"/>
                <w:szCs w:val="18"/>
                <w:lang w:val="en-GB"/>
              </w:rPr>
              <w:t>-</w:t>
            </w:r>
            <w:r w:rsidR="008E5577">
              <w:rPr>
                <w:rFonts w:cs="Arial"/>
                <w:szCs w:val="18"/>
                <w:lang w:val="en-GB"/>
              </w:rPr>
              <w:t>0.347</w:t>
            </w:r>
          </w:p>
        </w:tc>
        <w:tc>
          <w:tcPr>
            <w:tcW w:w="941" w:type="dxa"/>
            <w:shd w:val="clear" w:color="auto" w:fill="FFFFFF"/>
          </w:tcPr>
          <w:p w14:paraId="6D639ED3" w14:textId="5E4749C3" w:rsidR="00442DA9" w:rsidRPr="00B57B36" w:rsidRDefault="008E5577" w:rsidP="00855D34">
            <w:pPr>
              <w:pStyle w:val="CETBodytext"/>
              <w:ind w:right="-1"/>
              <w:jc w:val="center"/>
              <w:rPr>
                <w:rFonts w:cs="Arial"/>
                <w:szCs w:val="18"/>
                <w:lang w:val="en-GB"/>
              </w:rPr>
            </w:pPr>
            <w:r>
              <w:rPr>
                <w:rFonts w:cs="Arial"/>
                <w:szCs w:val="18"/>
                <w:lang w:val="en-GB"/>
              </w:rPr>
              <w:t>0.071</w:t>
            </w:r>
          </w:p>
        </w:tc>
      </w:tr>
      <w:tr w:rsidR="00442DA9" w:rsidRPr="00B57B36" w14:paraId="48B38339" w14:textId="77777777" w:rsidTr="00855D34">
        <w:tc>
          <w:tcPr>
            <w:tcW w:w="1016" w:type="dxa"/>
            <w:shd w:val="clear" w:color="auto" w:fill="FFFFFF"/>
          </w:tcPr>
          <w:p w14:paraId="6655E9B0" w14:textId="77777777" w:rsidR="00442DA9" w:rsidRPr="00B57B36" w:rsidRDefault="00442DA9" w:rsidP="00855D34">
            <w:pPr>
              <w:pStyle w:val="CETBodytext"/>
              <w:ind w:right="-1"/>
              <w:jc w:val="center"/>
              <w:rPr>
                <w:rFonts w:cs="Arial"/>
                <w:szCs w:val="18"/>
                <w:lang w:val="en-GB"/>
              </w:rPr>
            </w:pPr>
            <w:r>
              <w:rPr>
                <w:rFonts w:cs="Arial"/>
                <w:szCs w:val="18"/>
                <w:lang w:val="en-GB"/>
              </w:rPr>
              <w:t>2.0</w:t>
            </w:r>
          </w:p>
        </w:tc>
        <w:tc>
          <w:tcPr>
            <w:tcW w:w="1029" w:type="dxa"/>
            <w:shd w:val="clear" w:color="auto" w:fill="FFFFFF"/>
          </w:tcPr>
          <w:p w14:paraId="08F2E41A" w14:textId="77777777" w:rsidR="00442DA9" w:rsidRPr="00B57B36" w:rsidRDefault="00442DA9" w:rsidP="00855D34">
            <w:pPr>
              <w:pStyle w:val="CETBodytext"/>
              <w:ind w:right="-1"/>
              <w:jc w:val="center"/>
              <w:rPr>
                <w:rFonts w:cs="Arial"/>
                <w:szCs w:val="18"/>
                <w:lang w:val="en-GB"/>
              </w:rPr>
            </w:pPr>
            <w:r>
              <w:rPr>
                <w:rFonts w:cs="Arial"/>
                <w:szCs w:val="18"/>
                <w:lang w:val="en-GB"/>
              </w:rPr>
              <w:t>0.46</w:t>
            </w:r>
          </w:p>
        </w:tc>
        <w:tc>
          <w:tcPr>
            <w:tcW w:w="1055" w:type="dxa"/>
            <w:shd w:val="clear" w:color="auto" w:fill="FFFFFF"/>
          </w:tcPr>
          <w:p w14:paraId="692560C8" w14:textId="77777777" w:rsidR="00442DA9" w:rsidRPr="00B57B36" w:rsidRDefault="00442DA9" w:rsidP="00855D34">
            <w:pPr>
              <w:pStyle w:val="CETBodytext"/>
              <w:ind w:right="-1"/>
              <w:jc w:val="center"/>
              <w:rPr>
                <w:rFonts w:cs="Arial"/>
                <w:szCs w:val="18"/>
                <w:lang w:val="en-GB"/>
              </w:rPr>
            </w:pPr>
            <w:r>
              <w:rPr>
                <w:rFonts w:cs="Arial"/>
                <w:szCs w:val="18"/>
                <w:lang w:val="en-GB"/>
              </w:rPr>
              <w:t>1.145</w:t>
            </w:r>
          </w:p>
        </w:tc>
        <w:tc>
          <w:tcPr>
            <w:tcW w:w="967" w:type="dxa"/>
            <w:shd w:val="clear" w:color="auto" w:fill="FFFFFF"/>
          </w:tcPr>
          <w:p w14:paraId="59FEC05B" w14:textId="265629B6" w:rsidR="00442DA9" w:rsidRPr="00B57B36" w:rsidRDefault="006A15D2" w:rsidP="00855D34">
            <w:pPr>
              <w:pStyle w:val="CETBodytext"/>
              <w:ind w:right="-1"/>
              <w:jc w:val="center"/>
              <w:rPr>
                <w:rFonts w:cs="Arial"/>
                <w:szCs w:val="18"/>
                <w:lang w:val="en-GB"/>
              </w:rPr>
            </w:pPr>
            <w:r>
              <w:rPr>
                <w:rFonts w:cs="Arial"/>
                <w:szCs w:val="18"/>
                <w:lang w:val="en-GB"/>
              </w:rPr>
              <w:t>-</w:t>
            </w:r>
            <w:r w:rsidR="009D6873">
              <w:rPr>
                <w:rFonts w:cs="Arial"/>
                <w:szCs w:val="18"/>
                <w:lang w:val="en-GB"/>
              </w:rPr>
              <w:t>0.337</w:t>
            </w:r>
          </w:p>
        </w:tc>
        <w:tc>
          <w:tcPr>
            <w:tcW w:w="956" w:type="dxa"/>
            <w:shd w:val="clear" w:color="auto" w:fill="FFFFFF"/>
          </w:tcPr>
          <w:p w14:paraId="1D264BE3" w14:textId="562B0663" w:rsidR="00442DA9" w:rsidRPr="00B57B36" w:rsidRDefault="009D6873" w:rsidP="00855D34">
            <w:pPr>
              <w:pStyle w:val="CETBodytext"/>
              <w:ind w:right="-1"/>
              <w:jc w:val="center"/>
              <w:rPr>
                <w:rFonts w:cs="Arial"/>
                <w:szCs w:val="18"/>
                <w:lang w:val="en-GB"/>
              </w:rPr>
            </w:pPr>
            <w:r>
              <w:rPr>
                <w:rFonts w:cs="Arial"/>
                <w:szCs w:val="18"/>
                <w:lang w:val="en-GB"/>
              </w:rPr>
              <w:t>0.059</w:t>
            </w:r>
          </w:p>
        </w:tc>
        <w:tc>
          <w:tcPr>
            <w:tcW w:w="941" w:type="dxa"/>
            <w:shd w:val="clear" w:color="auto" w:fill="FFFFFF"/>
          </w:tcPr>
          <w:p w14:paraId="6139FB5C" w14:textId="77777777" w:rsidR="00442DA9" w:rsidRPr="00B57B36" w:rsidRDefault="00442DA9" w:rsidP="00855D34">
            <w:pPr>
              <w:pStyle w:val="CETBodytext"/>
              <w:ind w:right="-1"/>
              <w:jc w:val="center"/>
              <w:rPr>
                <w:rFonts w:cs="Arial"/>
                <w:szCs w:val="18"/>
                <w:lang w:val="en-GB"/>
              </w:rPr>
            </w:pPr>
            <w:r>
              <w:rPr>
                <w:rFonts w:cs="Arial"/>
                <w:szCs w:val="18"/>
                <w:lang w:val="en-GB"/>
              </w:rPr>
              <w:t>0.18</w:t>
            </w:r>
          </w:p>
        </w:tc>
        <w:tc>
          <w:tcPr>
            <w:tcW w:w="941" w:type="dxa"/>
            <w:shd w:val="clear" w:color="auto" w:fill="FFFFFF"/>
          </w:tcPr>
          <w:p w14:paraId="086CE599" w14:textId="77777777" w:rsidR="00442DA9" w:rsidRPr="00B57B36" w:rsidRDefault="00442DA9" w:rsidP="00855D34">
            <w:pPr>
              <w:pStyle w:val="CETBodytext"/>
              <w:ind w:right="-1"/>
              <w:jc w:val="center"/>
              <w:rPr>
                <w:rFonts w:cs="Arial"/>
                <w:szCs w:val="18"/>
                <w:lang w:val="en-GB"/>
              </w:rPr>
            </w:pPr>
            <w:r>
              <w:rPr>
                <w:rFonts w:cs="Arial"/>
                <w:szCs w:val="18"/>
                <w:lang w:val="en-GB"/>
              </w:rPr>
              <w:t>0.910</w:t>
            </w:r>
          </w:p>
        </w:tc>
        <w:tc>
          <w:tcPr>
            <w:tcW w:w="941" w:type="dxa"/>
            <w:shd w:val="clear" w:color="auto" w:fill="FFFFFF"/>
          </w:tcPr>
          <w:p w14:paraId="54B0C4A5" w14:textId="3DF8E042" w:rsidR="00442DA9" w:rsidRPr="00B57B36" w:rsidRDefault="006A15D2" w:rsidP="00855D34">
            <w:pPr>
              <w:pStyle w:val="CETBodytext"/>
              <w:ind w:right="-1"/>
              <w:jc w:val="center"/>
              <w:rPr>
                <w:rFonts w:cs="Arial"/>
                <w:szCs w:val="18"/>
                <w:lang w:val="en-GB"/>
              </w:rPr>
            </w:pPr>
            <w:r>
              <w:rPr>
                <w:rFonts w:cs="Arial"/>
                <w:szCs w:val="18"/>
                <w:lang w:val="en-GB"/>
              </w:rPr>
              <w:t>-</w:t>
            </w:r>
            <w:r w:rsidR="008E5577">
              <w:rPr>
                <w:rFonts w:cs="Arial"/>
                <w:szCs w:val="18"/>
                <w:lang w:val="en-GB"/>
              </w:rPr>
              <w:t>0.745</w:t>
            </w:r>
          </w:p>
        </w:tc>
        <w:tc>
          <w:tcPr>
            <w:tcW w:w="941" w:type="dxa"/>
            <w:shd w:val="clear" w:color="auto" w:fill="FFFFFF"/>
          </w:tcPr>
          <w:p w14:paraId="1C74D246" w14:textId="0FC02C21" w:rsidR="00442DA9" w:rsidRPr="00B57B36" w:rsidRDefault="006A15D2" w:rsidP="00855D34">
            <w:pPr>
              <w:pStyle w:val="CETBodytext"/>
              <w:ind w:right="-1"/>
              <w:jc w:val="center"/>
              <w:rPr>
                <w:rFonts w:cs="Arial"/>
                <w:szCs w:val="18"/>
                <w:lang w:val="en-GB"/>
              </w:rPr>
            </w:pPr>
            <w:r>
              <w:rPr>
                <w:rFonts w:cs="Arial"/>
                <w:szCs w:val="18"/>
                <w:lang w:val="en-GB"/>
              </w:rPr>
              <w:t>-</w:t>
            </w:r>
            <w:r w:rsidR="008E5577">
              <w:rPr>
                <w:rFonts w:cs="Arial"/>
                <w:szCs w:val="18"/>
                <w:lang w:val="en-GB"/>
              </w:rPr>
              <w:t>0.041</w:t>
            </w:r>
          </w:p>
        </w:tc>
      </w:tr>
    </w:tbl>
    <w:p w14:paraId="33CD60C8" w14:textId="77777777" w:rsidR="009945DF" w:rsidRDefault="009945DF" w:rsidP="007D7BC4">
      <w:pPr>
        <w:pStyle w:val="CETBodytext"/>
        <w:rPr>
          <w:lang w:val="es-PE"/>
        </w:rPr>
      </w:pPr>
    </w:p>
    <w:p w14:paraId="0B96A779" w14:textId="400FAFB2" w:rsidR="00AB096F" w:rsidRDefault="00980E1C" w:rsidP="007D7BC4">
      <w:pPr>
        <w:pStyle w:val="CETBodytext"/>
      </w:pPr>
      <w:r w:rsidRPr="00980E1C">
        <w:t>The data from Table 5, specifically the values of Log Ce and Log q</w:t>
      </w:r>
      <w:r w:rsidRPr="00A834BD">
        <w:rPr>
          <w:vertAlign w:val="subscript"/>
        </w:rPr>
        <w:t>e</w:t>
      </w:r>
      <w:r w:rsidRPr="00980E1C">
        <w:t>, were used for the graphical representation of the Freundlich isotherm, as shown in Figures 3 and 4.</w:t>
      </w:r>
    </w:p>
    <w:p w14:paraId="47DD7BCB" w14:textId="77777777" w:rsidR="00980E1C" w:rsidRPr="00980E1C" w:rsidRDefault="00980E1C" w:rsidP="007D7BC4">
      <w:pPr>
        <w:pStyle w:val="CETBodytext"/>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09"/>
        <w:gridCol w:w="4378"/>
      </w:tblGrid>
      <w:tr w:rsidR="00980E1C" w14:paraId="68FFC858" w14:textId="77777777" w:rsidTr="00FD25DC">
        <w:tc>
          <w:tcPr>
            <w:tcW w:w="4361" w:type="dxa"/>
            <w:tcBorders>
              <w:bottom w:val="nil"/>
            </w:tcBorders>
          </w:tcPr>
          <w:p w14:paraId="3EC63181" w14:textId="2345444C" w:rsidR="00E7420A" w:rsidRDefault="00980E1C" w:rsidP="007D7BC4">
            <w:pPr>
              <w:pStyle w:val="CETBodytext"/>
              <w:rPr>
                <w:lang w:val="es-PE"/>
              </w:rPr>
            </w:pPr>
            <w:r>
              <w:rPr>
                <w:noProof/>
              </w:rPr>
              <w:lastRenderedPageBreak/>
              <w:drawing>
                <wp:inline distT="0" distB="0" distL="0" distR="0" wp14:anchorId="3359EA42" wp14:editId="76194ADB">
                  <wp:extent cx="2668905" cy="1950720"/>
                  <wp:effectExtent l="0" t="0" r="0" b="0"/>
                  <wp:docPr id="2027237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37186" name=""/>
                          <pic:cNvPicPr/>
                        </pic:nvPicPr>
                        <pic:blipFill>
                          <a:blip r:embed="rId13"/>
                          <a:stretch>
                            <a:fillRect/>
                          </a:stretch>
                        </pic:blipFill>
                        <pic:spPr>
                          <a:xfrm>
                            <a:off x="0" y="0"/>
                            <a:ext cx="2701547" cy="1974578"/>
                          </a:xfrm>
                          <a:prstGeom prst="rect">
                            <a:avLst/>
                          </a:prstGeom>
                        </pic:spPr>
                      </pic:pic>
                    </a:graphicData>
                  </a:graphic>
                </wp:inline>
              </w:drawing>
            </w:r>
          </w:p>
        </w:tc>
        <w:tc>
          <w:tcPr>
            <w:tcW w:w="4426" w:type="dxa"/>
            <w:tcBorders>
              <w:bottom w:val="nil"/>
            </w:tcBorders>
          </w:tcPr>
          <w:p w14:paraId="546605F7" w14:textId="522D8830" w:rsidR="00E7420A" w:rsidRDefault="00980E1C" w:rsidP="007D7BC4">
            <w:pPr>
              <w:pStyle w:val="CETBodytext"/>
              <w:rPr>
                <w:lang w:val="es-PE"/>
              </w:rPr>
            </w:pPr>
            <w:r>
              <w:rPr>
                <w:noProof/>
              </w:rPr>
              <w:drawing>
                <wp:inline distT="0" distB="0" distL="0" distR="0" wp14:anchorId="37CE8616" wp14:editId="355BF9D1">
                  <wp:extent cx="2648585" cy="1973580"/>
                  <wp:effectExtent l="0" t="0" r="0" b="7620"/>
                  <wp:docPr id="1384008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08873" name=""/>
                          <pic:cNvPicPr/>
                        </pic:nvPicPr>
                        <pic:blipFill>
                          <a:blip r:embed="rId14"/>
                          <a:stretch>
                            <a:fillRect/>
                          </a:stretch>
                        </pic:blipFill>
                        <pic:spPr>
                          <a:xfrm>
                            <a:off x="0" y="0"/>
                            <a:ext cx="2674754" cy="1993080"/>
                          </a:xfrm>
                          <a:prstGeom prst="rect">
                            <a:avLst/>
                          </a:prstGeom>
                        </pic:spPr>
                      </pic:pic>
                    </a:graphicData>
                  </a:graphic>
                </wp:inline>
              </w:drawing>
            </w:r>
          </w:p>
        </w:tc>
      </w:tr>
      <w:tr w:rsidR="00980E1C" w:rsidRPr="00980E1C" w14:paraId="58E9B1FC" w14:textId="77777777" w:rsidTr="00FD25DC">
        <w:tc>
          <w:tcPr>
            <w:tcW w:w="4361" w:type="dxa"/>
            <w:tcBorders>
              <w:top w:val="nil"/>
              <w:bottom w:val="nil"/>
            </w:tcBorders>
          </w:tcPr>
          <w:p w14:paraId="4C6F7A34" w14:textId="105E7BAB" w:rsidR="00AB096F" w:rsidRPr="00980E1C" w:rsidRDefault="00980E1C" w:rsidP="008324F9">
            <w:pPr>
              <w:pStyle w:val="CETBodytext"/>
              <w:spacing w:line="276" w:lineRule="auto"/>
              <w:jc w:val="center"/>
            </w:pPr>
            <w:r w:rsidRPr="00980E1C">
              <w:rPr>
                <w:noProof/>
              </w:rPr>
              <w:t>Figure 3. Freundlich Isotherm for Cu</w:t>
            </w:r>
          </w:p>
        </w:tc>
        <w:tc>
          <w:tcPr>
            <w:tcW w:w="4426" w:type="dxa"/>
            <w:tcBorders>
              <w:top w:val="nil"/>
              <w:bottom w:val="nil"/>
            </w:tcBorders>
          </w:tcPr>
          <w:p w14:paraId="6BAFF8D3" w14:textId="61F57FEC" w:rsidR="00AB096F" w:rsidRPr="00980E1C" w:rsidRDefault="00980E1C" w:rsidP="008324F9">
            <w:pPr>
              <w:pStyle w:val="CETBodytext"/>
              <w:spacing w:line="276" w:lineRule="auto"/>
              <w:jc w:val="center"/>
            </w:pPr>
            <w:r w:rsidRPr="00980E1C">
              <w:rPr>
                <w:noProof/>
              </w:rPr>
              <w:t>Figure 4. Freundlich Isotherm for Mn</w:t>
            </w:r>
          </w:p>
        </w:tc>
      </w:tr>
    </w:tbl>
    <w:p w14:paraId="1CF8E2B7" w14:textId="77777777" w:rsidR="00980E1C" w:rsidRPr="00980E1C" w:rsidRDefault="00980E1C" w:rsidP="007D7BC4">
      <w:pPr>
        <w:pStyle w:val="CETBodytext"/>
      </w:pPr>
    </w:p>
    <w:p w14:paraId="40FFAED7" w14:textId="47FF59AA" w:rsidR="008324F9" w:rsidRDefault="008324F9" w:rsidP="007D7BC4">
      <w:pPr>
        <w:pStyle w:val="CETBodytext"/>
      </w:pPr>
      <w:r w:rsidRPr="008324F9">
        <w:t>Table 6 presented the constants determined from the graphs of the Freundlich isotherms for Cu and Mn.</w:t>
      </w:r>
    </w:p>
    <w:p w14:paraId="0A39F261" w14:textId="77777777" w:rsidR="00E34692" w:rsidRDefault="00E34692" w:rsidP="007D7BC4">
      <w:pPr>
        <w:pStyle w:val="CETBodytext"/>
      </w:pPr>
    </w:p>
    <w:p w14:paraId="76FFF85C" w14:textId="28369CF2" w:rsidR="000C7C9A" w:rsidRPr="00E34692" w:rsidRDefault="00E34692" w:rsidP="00223E17">
      <w:pPr>
        <w:pStyle w:val="CETTabletitle"/>
        <w:spacing w:before="0" w:after="0" w:line="240" w:lineRule="auto"/>
        <w:rPr>
          <w:iCs/>
          <w:lang w:val="es-PE"/>
        </w:rPr>
      </w:pPr>
      <w:bookmarkStart w:id="12" w:name="_Hlk155970278"/>
      <w:r w:rsidRPr="00E34692">
        <w:rPr>
          <w:iCs/>
          <w:lang w:val="en-US"/>
        </w:rPr>
        <w:t>Table 6: Freundlich Isotherm Constants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640"/>
        <w:gridCol w:w="1134"/>
        <w:gridCol w:w="1134"/>
        <w:gridCol w:w="1134"/>
        <w:gridCol w:w="1134"/>
      </w:tblGrid>
      <w:tr w:rsidR="00223E17" w:rsidRPr="00B57B36" w14:paraId="56E0722D" w14:textId="1F1BDC0A" w:rsidTr="008324F9">
        <w:trPr>
          <w:trHeight w:val="581"/>
        </w:trPr>
        <w:tc>
          <w:tcPr>
            <w:tcW w:w="1134" w:type="dxa"/>
            <w:tcBorders>
              <w:top w:val="single" w:sz="12" w:space="0" w:color="008000"/>
            </w:tcBorders>
            <w:shd w:val="clear" w:color="auto" w:fill="FFFFFF"/>
          </w:tcPr>
          <w:p w14:paraId="1CD1B7D0" w14:textId="4A76E5CF" w:rsidR="00223E17" w:rsidRPr="00B57B36" w:rsidRDefault="00E34692" w:rsidP="00855D34">
            <w:pPr>
              <w:pStyle w:val="CETBodytext"/>
              <w:jc w:val="center"/>
              <w:rPr>
                <w:lang w:val="en-GB"/>
              </w:rPr>
            </w:pPr>
            <w:bookmarkStart w:id="13" w:name="_Hlk155970303"/>
            <w:bookmarkEnd w:id="12"/>
            <w:r w:rsidRPr="00E34692">
              <w:rPr>
                <w:lang w:val="en-GB"/>
              </w:rPr>
              <w:t>Metallic Element</w:t>
            </w:r>
          </w:p>
        </w:tc>
        <w:tc>
          <w:tcPr>
            <w:tcW w:w="1701" w:type="dxa"/>
            <w:tcBorders>
              <w:top w:val="single" w:sz="12" w:space="0" w:color="008000"/>
            </w:tcBorders>
            <w:shd w:val="clear" w:color="auto" w:fill="FFFFFF"/>
          </w:tcPr>
          <w:p w14:paraId="1E530E14" w14:textId="66A08E45" w:rsidR="00223E17" w:rsidRPr="00223E17" w:rsidRDefault="00E34692" w:rsidP="00855D34">
            <w:pPr>
              <w:pStyle w:val="CETBodytext"/>
              <w:jc w:val="center"/>
              <w:rPr>
                <w:lang w:val="es-PE"/>
              </w:rPr>
            </w:pPr>
            <w:r w:rsidRPr="00E34692">
              <w:rPr>
                <w:lang w:val="es-PE"/>
              </w:rPr>
              <w:t>Isotherm Equation</w:t>
            </w:r>
          </w:p>
        </w:tc>
        <w:tc>
          <w:tcPr>
            <w:tcW w:w="640" w:type="dxa"/>
            <w:tcBorders>
              <w:top w:val="single" w:sz="12" w:space="0" w:color="008000"/>
            </w:tcBorders>
            <w:shd w:val="clear" w:color="auto" w:fill="FFFFFF"/>
          </w:tcPr>
          <w:p w14:paraId="509BA82F" w14:textId="1134ABFC" w:rsidR="00223E17" w:rsidRPr="00B57B36" w:rsidRDefault="00223E17" w:rsidP="00855D34">
            <w:pPr>
              <w:pStyle w:val="CETBodytext"/>
              <w:jc w:val="center"/>
              <w:rPr>
                <w:rFonts w:cs="Arial"/>
                <w:szCs w:val="18"/>
                <w:lang w:val="en-GB"/>
              </w:rPr>
            </w:pPr>
            <w:r>
              <w:rPr>
                <w:rFonts w:cs="Arial"/>
                <w:szCs w:val="18"/>
                <w:lang w:val="en-GB"/>
              </w:rPr>
              <w:t>R</w:t>
            </w:r>
            <w:r w:rsidRPr="000D2C0D">
              <w:rPr>
                <w:rFonts w:cs="Arial"/>
                <w:sz w:val="20"/>
                <w:vertAlign w:val="superscript"/>
                <w:lang w:val="en-GB"/>
              </w:rPr>
              <w:t>2</w:t>
            </w:r>
          </w:p>
        </w:tc>
        <w:tc>
          <w:tcPr>
            <w:tcW w:w="1134" w:type="dxa"/>
            <w:tcBorders>
              <w:top w:val="single" w:sz="12" w:space="0" w:color="008000"/>
            </w:tcBorders>
            <w:shd w:val="clear" w:color="auto" w:fill="FFFFFF"/>
          </w:tcPr>
          <w:p w14:paraId="2F263B70" w14:textId="7C126670" w:rsidR="00223E17" w:rsidRPr="00B57B36" w:rsidRDefault="00E34692" w:rsidP="00223E17">
            <w:pPr>
              <w:pStyle w:val="CETBodytext"/>
              <w:ind w:right="-1"/>
              <w:jc w:val="center"/>
              <w:rPr>
                <w:rFonts w:cs="Arial"/>
                <w:szCs w:val="18"/>
                <w:lang w:val="en-GB"/>
              </w:rPr>
            </w:pPr>
            <w:r w:rsidRPr="00E34692">
              <w:rPr>
                <w:rFonts w:cs="Arial"/>
                <w:szCs w:val="18"/>
                <w:lang w:val="en-GB"/>
              </w:rPr>
              <w:t xml:space="preserve">ordinate </w:t>
            </w:r>
            <w:r w:rsidR="00223E17" w:rsidRPr="00223E17">
              <w:rPr>
                <w:rFonts w:cs="Arial"/>
                <w:szCs w:val="18"/>
                <w:lang w:val="en-GB"/>
              </w:rPr>
              <w:t>(1/q</w:t>
            </w:r>
            <w:r w:rsidR="00223E17" w:rsidRPr="00223E17">
              <w:rPr>
                <w:rFonts w:cs="Arial"/>
                <w:szCs w:val="18"/>
                <w:vertAlign w:val="subscript"/>
                <w:lang w:val="en-GB"/>
              </w:rPr>
              <w:t>max</w:t>
            </w:r>
            <w:r w:rsidR="00223E17" w:rsidRPr="00223E17">
              <w:rPr>
                <w:rFonts w:cs="Arial"/>
                <w:szCs w:val="18"/>
                <w:lang w:val="en-GB"/>
              </w:rPr>
              <w:t>)</w:t>
            </w:r>
          </w:p>
        </w:tc>
        <w:tc>
          <w:tcPr>
            <w:tcW w:w="1134" w:type="dxa"/>
            <w:tcBorders>
              <w:top w:val="single" w:sz="12" w:space="0" w:color="008000"/>
            </w:tcBorders>
            <w:shd w:val="clear" w:color="auto" w:fill="FFFFFF"/>
          </w:tcPr>
          <w:p w14:paraId="734FC90A" w14:textId="64697BBD" w:rsidR="00223E17" w:rsidRPr="00B57B36" w:rsidRDefault="00E34692" w:rsidP="00855D34">
            <w:pPr>
              <w:pStyle w:val="CETBodytext"/>
              <w:ind w:right="-1"/>
              <w:jc w:val="center"/>
              <w:rPr>
                <w:rFonts w:cs="Arial"/>
                <w:szCs w:val="18"/>
                <w:lang w:val="en-GB"/>
              </w:rPr>
            </w:pPr>
            <w:r w:rsidRPr="00E34692">
              <w:rPr>
                <w:rFonts w:cs="Arial"/>
                <w:szCs w:val="18"/>
                <w:lang w:val="en-GB"/>
              </w:rPr>
              <w:t xml:space="preserve">Slope </w:t>
            </w:r>
            <w:r w:rsidR="00223E17" w:rsidRPr="00223E17">
              <w:rPr>
                <w:rFonts w:cs="Arial"/>
                <w:szCs w:val="18"/>
                <w:lang w:val="en-GB"/>
              </w:rPr>
              <w:t>(1/q</w:t>
            </w:r>
            <w:r w:rsidR="00223E17" w:rsidRPr="00223E17">
              <w:rPr>
                <w:rFonts w:cs="Arial"/>
                <w:szCs w:val="18"/>
                <w:vertAlign w:val="subscript"/>
                <w:lang w:val="en-GB"/>
              </w:rPr>
              <w:t>max.b</w:t>
            </w:r>
            <w:r w:rsidR="00223E17" w:rsidRPr="00223E17">
              <w:rPr>
                <w:rFonts w:cs="Arial"/>
                <w:szCs w:val="18"/>
                <w:lang w:val="en-GB"/>
              </w:rPr>
              <w:t>)</w:t>
            </w:r>
          </w:p>
        </w:tc>
        <w:tc>
          <w:tcPr>
            <w:tcW w:w="1134" w:type="dxa"/>
            <w:tcBorders>
              <w:top w:val="single" w:sz="12" w:space="0" w:color="008000"/>
            </w:tcBorders>
            <w:shd w:val="clear" w:color="auto" w:fill="FFFFFF"/>
          </w:tcPr>
          <w:p w14:paraId="2A191436" w14:textId="422657A0" w:rsidR="00223E17" w:rsidRDefault="00223E17" w:rsidP="00855D34">
            <w:pPr>
              <w:pStyle w:val="CETBodytext"/>
              <w:ind w:right="-1"/>
              <w:jc w:val="center"/>
              <w:rPr>
                <w:rFonts w:cs="Arial"/>
                <w:szCs w:val="18"/>
                <w:lang w:val="en-GB"/>
              </w:rPr>
            </w:pPr>
            <w:r w:rsidRPr="00223E17">
              <w:rPr>
                <w:rFonts w:cs="Arial"/>
                <w:szCs w:val="18"/>
                <w:lang w:val="en-GB"/>
              </w:rPr>
              <w:t>q</w:t>
            </w:r>
            <w:r w:rsidRPr="00223E17">
              <w:rPr>
                <w:rFonts w:cs="Arial"/>
                <w:szCs w:val="18"/>
                <w:vertAlign w:val="subscript"/>
                <w:lang w:val="en-GB"/>
              </w:rPr>
              <w:t>max</w:t>
            </w:r>
          </w:p>
        </w:tc>
        <w:tc>
          <w:tcPr>
            <w:tcW w:w="1134" w:type="dxa"/>
            <w:tcBorders>
              <w:top w:val="single" w:sz="12" w:space="0" w:color="008000"/>
            </w:tcBorders>
            <w:shd w:val="clear" w:color="auto" w:fill="FFFFFF"/>
          </w:tcPr>
          <w:p w14:paraId="0AD5209C" w14:textId="3BD08EBF" w:rsidR="00223E17" w:rsidRDefault="00223E17" w:rsidP="00855D34">
            <w:pPr>
              <w:pStyle w:val="CETBodytext"/>
              <w:ind w:right="-1"/>
              <w:jc w:val="center"/>
              <w:rPr>
                <w:rFonts w:cs="Arial"/>
                <w:szCs w:val="18"/>
                <w:lang w:val="en-GB"/>
              </w:rPr>
            </w:pPr>
            <w:r w:rsidRPr="00223E17">
              <w:rPr>
                <w:rFonts w:cs="Arial"/>
                <w:szCs w:val="18"/>
                <w:lang w:val="en-GB"/>
              </w:rPr>
              <w:t>b</w:t>
            </w:r>
          </w:p>
        </w:tc>
      </w:tr>
      <w:bookmarkEnd w:id="13"/>
      <w:tr w:rsidR="00223E17" w:rsidRPr="00B57B36" w14:paraId="28A09EEC" w14:textId="42AEFB34" w:rsidTr="00EF4CB0">
        <w:tc>
          <w:tcPr>
            <w:tcW w:w="1134" w:type="dxa"/>
            <w:shd w:val="clear" w:color="auto" w:fill="FFFFFF"/>
          </w:tcPr>
          <w:p w14:paraId="2A6C8AA5" w14:textId="77777777" w:rsidR="00223E17" w:rsidRPr="00B57B36" w:rsidRDefault="00223E17" w:rsidP="008324F9">
            <w:pPr>
              <w:pStyle w:val="CETBodytext"/>
              <w:spacing w:line="360" w:lineRule="auto"/>
              <w:jc w:val="center"/>
              <w:rPr>
                <w:lang w:val="en-GB"/>
              </w:rPr>
            </w:pPr>
            <w:r>
              <w:rPr>
                <w:lang w:val="en-GB"/>
              </w:rPr>
              <w:t>Cu</w:t>
            </w:r>
          </w:p>
        </w:tc>
        <w:tc>
          <w:tcPr>
            <w:tcW w:w="1701" w:type="dxa"/>
            <w:shd w:val="clear" w:color="auto" w:fill="FFFFFF"/>
          </w:tcPr>
          <w:p w14:paraId="210F92A4" w14:textId="46C34DC0" w:rsidR="00223E17" w:rsidRPr="00B57B36" w:rsidRDefault="00EF4CB0" w:rsidP="008324F9">
            <w:pPr>
              <w:pStyle w:val="CETBodytext"/>
              <w:spacing w:line="360" w:lineRule="auto"/>
              <w:jc w:val="center"/>
              <w:rPr>
                <w:lang w:val="en-GB"/>
              </w:rPr>
            </w:pPr>
            <w:r w:rsidRPr="00EF4CB0">
              <w:rPr>
                <w:lang w:val="en-GB"/>
              </w:rPr>
              <w:t>y = 0.</w:t>
            </w:r>
            <w:r>
              <w:rPr>
                <w:lang w:val="en-GB"/>
              </w:rPr>
              <w:t>2497x</w:t>
            </w:r>
            <w:r w:rsidRPr="00EF4CB0">
              <w:rPr>
                <w:lang w:val="en-GB"/>
              </w:rPr>
              <w:t>+0.</w:t>
            </w:r>
            <w:r>
              <w:rPr>
                <w:lang w:val="en-GB"/>
              </w:rPr>
              <w:t>1376</w:t>
            </w:r>
          </w:p>
        </w:tc>
        <w:tc>
          <w:tcPr>
            <w:tcW w:w="640" w:type="dxa"/>
            <w:shd w:val="clear" w:color="auto" w:fill="FFFFFF"/>
          </w:tcPr>
          <w:p w14:paraId="6D7967FB" w14:textId="3C1B34E2" w:rsidR="00223E17" w:rsidRPr="00B57B36" w:rsidRDefault="00223E17" w:rsidP="008324F9">
            <w:pPr>
              <w:pStyle w:val="CETBodytext"/>
              <w:spacing w:line="360" w:lineRule="auto"/>
              <w:jc w:val="center"/>
              <w:rPr>
                <w:lang w:val="en-GB"/>
              </w:rPr>
            </w:pPr>
            <w:r>
              <w:rPr>
                <w:lang w:val="en-GB"/>
              </w:rPr>
              <w:t>0.9617</w:t>
            </w:r>
          </w:p>
        </w:tc>
        <w:tc>
          <w:tcPr>
            <w:tcW w:w="1134" w:type="dxa"/>
            <w:shd w:val="clear" w:color="auto" w:fill="FFFFFF"/>
          </w:tcPr>
          <w:p w14:paraId="6596F02F" w14:textId="7E003FFB" w:rsidR="00223E17" w:rsidRPr="00B57B36" w:rsidRDefault="00EF4CB0" w:rsidP="008324F9">
            <w:pPr>
              <w:pStyle w:val="CETBodytext"/>
              <w:spacing w:line="360" w:lineRule="auto"/>
              <w:ind w:right="-1"/>
              <w:jc w:val="center"/>
              <w:rPr>
                <w:rFonts w:cs="Arial"/>
                <w:szCs w:val="18"/>
                <w:lang w:val="en-GB"/>
              </w:rPr>
            </w:pPr>
            <w:r>
              <w:rPr>
                <w:rFonts w:cs="Arial"/>
                <w:szCs w:val="18"/>
                <w:lang w:val="en-GB"/>
              </w:rPr>
              <w:t>0.1367</w:t>
            </w:r>
          </w:p>
        </w:tc>
        <w:tc>
          <w:tcPr>
            <w:tcW w:w="1134" w:type="dxa"/>
            <w:shd w:val="clear" w:color="auto" w:fill="FFFFFF"/>
          </w:tcPr>
          <w:p w14:paraId="6A891968" w14:textId="72A7A6D3" w:rsidR="00223E17" w:rsidRPr="00B57B36" w:rsidRDefault="00EF4CB0" w:rsidP="008324F9">
            <w:pPr>
              <w:pStyle w:val="CETBodytext"/>
              <w:spacing w:line="360" w:lineRule="auto"/>
              <w:ind w:right="-1"/>
              <w:jc w:val="center"/>
              <w:rPr>
                <w:rFonts w:cs="Arial"/>
                <w:szCs w:val="18"/>
                <w:lang w:val="en-GB"/>
              </w:rPr>
            </w:pPr>
            <w:r>
              <w:rPr>
                <w:rFonts w:cs="Arial"/>
                <w:szCs w:val="18"/>
                <w:lang w:val="en-GB"/>
              </w:rPr>
              <w:t>0.2497</w:t>
            </w:r>
          </w:p>
        </w:tc>
        <w:tc>
          <w:tcPr>
            <w:tcW w:w="1134" w:type="dxa"/>
            <w:shd w:val="clear" w:color="auto" w:fill="FFFFFF"/>
          </w:tcPr>
          <w:p w14:paraId="0DBD8D9E" w14:textId="4DAF932C" w:rsidR="00223E17" w:rsidRPr="00B57B36" w:rsidRDefault="002D7B32" w:rsidP="008324F9">
            <w:pPr>
              <w:pStyle w:val="CETBodytext"/>
              <w:spacing w:line="360" w:lineRule="auto"/>
              <w:ind w:right="-1"/>
              <w:jc w:val="center"/>
              <w:rPr>
                <w:rFonts w:cs="Arial"/>
                <w:szCs w:val="18"/>
                <w:lang w:val="en-GB"/>
              </w:rPr>
            </w:pPr>
            <w:r w:rsidRPr="002D7B32">
              <w:rPr>
                <w:rFonts w:cs="Arial"/>
                <w:szCs w:val="18"/>
                <w:lang w:val="en-GB"/>
              </w:rPr>
              <w:t>1</w:t>
            </w:r>
            <w:r>
              <w:rPr>
                <w:rFonts w:cs="Arial"/>
                <w:szCs w:val="18"/>
                <w:lang w:val="en-GB"/>
              </w:rPr>
              <w:t>.</w:t>
            </w:r>
            <w:r w:rsidRPr="002D7B32">
              <w:rPr>
                <w:rFonts w:cs="Arial"/>
                <w:szCs w:val="18"/>
                <w:lang w:val="en-GB"/>
              </w:rPr>
              <w:t>36994</w:t>
            </w:r>
          </w:p>
        </w:tc>
        <w:tc>
          <w:tcPr>
            <w:tcW w:w="1134" w:type="dxa"/>
            <w:shd w:val="clear" w:color="auto" w:fill="FFFFFF"/>
          </w:tcPr>
          <w:p w14:paraId="4DE7CBF0" w14:textId="6F62D748" w:rsidR="00223E17" w:rsidRPr="00B57B36" w:rsidRDefault="002D7B32" w:rsidP="008324F9">
            <w:pPr>
              <w:pStyle w:val="CETBodytext"/>
              <w:spacing w:line="360" w:lineRule="auto"/>
              <w:ind w:right="-1"/>
              <w:jc w:val="center"/>
              <w:rPr>
                <w:rFonts w:cs="Arial"/>
                <w:szCs w:val="18"/>
                <w:lang w:val="en-GB"/>
              </w:rPr>
            </w:pPr>
            <w:r w:rsidRPr="002D7B32">
              <w:rPr>
                <w:rFonts w:cs="Arial"/>
                <w:szCs w:val="18"/>
                <w:lang w:val="en-GB"/>
              </w:rPr>
              <w:t>4</w:t>
            </w:r>
          </w:p>
        </w:tc>
      </w:tr>
      <w:tr w:rsidR="00223E17" w:rsidRPr="00B57B36" w14:paraId="59960BE0" w14:textId="50878C0E" w:rsidTr="00EF4CB0">
        <w:tc>
          <w:tcPr>
            <w:tcW w:w="1134" w:type="dxa"/>
            <w:shd w:val="clear" w:color="auto" w:fill="FFFFFF"/>
          </w:tcPr>
          <w:p w14:paraId="34FD8C0B" w14:textId="77777777" w:rsidR="00223E17" w:rsidRPr="00B57B36" w:rsidRDefault="00223E17" w:rsidP="008324F9">
            <w:pPr>
              <w:pStyle w:val="CETBodytext"/>
              <w:spacing w:line="360" w:lineRule="auto"/>
              <w:ind w:right="-1"/>
              <w:jc w:val="center"/>
              <w:rPr>
                <w:rFonts w:cs="Arial"/>
                <w:szCs w:val="18"/>
                <w:lang w:val="en-GB"/>
              </w:rPr>
            </w:pPr>
            <w:r>
              <w:rPr>
                <w:rFonts w:cs="Arial"/>
                <w:szCs w:val="18"/>
                <w:lang w:val="en-GB"/>
              </w:rPr>
              <w:t>Mn</w:t>
            </w:r>
          </w:p>
        </w:tc>
        <w:tc>
          <w:tcPr>
            <w:tcW w:w="1701" w:type="dxa"/>
            <w:shd w:val="clear" w:color="auto" w:fill="FFFFFF"/>
          </w:tcPr>
          <w:p w14:paraId="7DF24055" w14:textId="17A8F8FF" w:rsidR="00223E17" w:rsidRPr="00B57B36" w:rsidRDefault="00223E17" w:rsidP="008324F9">
            <w:pPr>
              <w:pStyle w:val="CETBodytext"/>
              <w:spacing w:line="360" w:lineRule="auto"/>
              <w:ind w:right="-1"/>
              <w:jc w:val="center"/>
              <w:rPr>
                <w:rFonts w:cs="Arial"/>
                <w:szCs w:val="18"/>
                <w:lang w:val="en-GB"/>
              </w:rPr>
            </w:pPr>
            <w:r w:rsidRPr="00223E17">
              <w:rPr>
                <w:rFonts w:cs="Arial"/>
                <w:szCs w:val="18"/>
                <w:lang w:val="en-GB"/>
              </w:rPr>
              <w:t>y = 0.4663</w:t>
            </w:r>
            <w:r w:rsidR="00EF4CB0">
              <w:rPr>
                <w:rFonts w:cs="Arial"/>
                <w:szCs w:val="18"/>
                <w:lang w:val="en-GB"/>
              </w:rPr>
              <w:t>x</w:t>
            </w:r>
            <w:r w:rsidRPr="00223E17">
              <w:rPr>
                <w:rFonts w:cs="Arial"/>
                <w:szCs w:val="18"/>
                <w:lang w:val="en-GB"/>
              </w:rPr>
              <w:t>+0.2731</w:t>
            </w:r>
          </w:p>
        </w:tc>
        <w:tc>
          <w:tcPr>
            <w:tcW w:w="640" w:type="dxa"/>
            <w:shd w:val="clear" w:color="auto" w:fill="FFFFFF"/>
          </w:tcPr>
          <w:p w14:paraId="519B01E0" w14:textId="2A219303" w:rsidR="00223E17" w:rsidRPr="00B57B36" w:rsidRDefault="00223E17" w:rsidP="008324F9">
            <w:pPr>
              <w:pStyle w:val="CETBodytext"/>
              <w:spacing w:line="360" w:lineRule="auto"/>
              <w:ind w:right="-1"/>
              <w:jc w:val="center"/>
              <w:rPr>
                <w:rFonts w:cs="Arial"/>
                <w:szCs w:val="18"/>
                <w:lang w:val="en-GB"/>
              </w:rPr>
            </w:pPr>
            <w:r>
              <w:rPr>
                <w:rFonts w:cs="Arial"/>
                <w:szCs w:val="18"/>
                <w:lang w:val="en-GB"/>
              </w:rPr>
              <w:t>0.9708</w:t>
            </w:r>
          </w:p>
        </w:tc>
        <w:tc>
          <w:tcPr>
            <w:tcW w:w="1134" w:type="dxa"/>
            <w:shd w:val="clear" w:color="auto" w:fill="FFFFFF"/>
          </w:tcPr>
          <w:p w14:paraId="42A3D819" w14:textId="0DD9F0F5" w:rsidR="00223E17" w:rsidRPr="00B57B36" w:rsidRDefault="00EF4CB0" w:rsidP="008324F9">
            <w:pPr>
              <w:pStyle w:val="CETBodytext"/>
              <w:spacing w:line="360" w:lineRule="auto"/>
              <w:ind w:right="-1"/>
              <w:jc w:val="center"/>
              <w:rPr>
                <w:rFonts w:cs="Arial"/>
                <w:szCs w:val="18"/>
                <w:lang w:val="en-GB"/>
              </w:rPr>
            </w:pPr>
            <w:r>
              <w:rPr>
                <w:rFonts w:cs="Arial"/>
                <w:szCs w:val="18"/>
                <w:lang w:val="en-GB"/>
              </w:rPr>
              <w:t>0.2731</w:t>
            </w:r>
          </w:p>
        </w:tc>
        <w:tc>
          <w:tcPr>
            <w:tcW w:w="1134" w:type="dxa"/>
            <w:shd w:val="clear" w:color="auto" w:fill="FFFFFF"/>
          </w:tcPr>
          <w:p w14:paraId="22A61C3D" w14:textId="528B2476" w:rsidR="00223E17" w:rsidRPr="00B57B36" w:rsidRDefault="00EF4CB0" w:rsidP="008324F9">
            <w:pPr>
              <w:pStyle w:val="CETBodytext"/>
              <w:spacing w:line="360" w:lineRule="auto"/>
              <w:ind w:right="-1"/>
              <w:jc w:val="center"/>
              <w:rPr>
                <w:rFonts w:cs="Arial"/>
                <w:szCs w:val="18"/>
                <w:lang w:val="en-GB"/>
              </w:rPr>
            </w:pPr>
            <w:r>
              <w:rPr>
                <w:rFonts w:cs="Arial"/>
                <w:szCs w:val="18"/>
                <w:lang w:val="en-GB"/>
              </w:rPr>
              <w:t>0.4663</w:t>
            </w:r>
          </w:p>
        </w:tc>
        <w:tc>
          <w:tcPr>
            <w:tcW w:w="1134" w:type="dxa"/>
            <w:shd w:val="clear" w:color="auto" w:fill="FFFFFF"/>
          </w:tcPr>
          <w:p w14:paraId="4B38DC0E" w14:textId="1D951D26" w:rsidR="00223E17" w:rsidRPr="00B57B36" w:rsidRDefault="002D7B32" w:rsidP="008324F9">
            <w:pPr>
              <w:pStyle w:val="CETBodytext"/>
              <w:spacing w:line="360" w:lineRule="auto"/>
              <w:ind w:right="-1"/>
              <w:jc w:val="center"/>
              <w:rPr>
                <w:rFonts w:cs="Arial"/>
                <w:szCs w:val="18"/>
                <w:lang w:val="en-GB"/>
              </w:rPr>
            </w:pPr>
            <w:r w:rsidRPr="002D7B32">
              <w:rPr>
                <w:rFonts w:cs="Arial"/>
                <w:szCs w:val="18"/>
                <w:lang w:val="en-GB"/>
              </w:rPr>
              <w:t>1</w:t>
            </w:r>
            <w:r>
              <w:rPr>
                <w:rFonts w:cs="Arial"/>
                <w:szCs w:val="18"/>
                <w:lang w:val="en-GB"/>
              </w:rPr>
              <w:t>.</w:t>
            </w:r>
            <w:r w:rsidRPr="002D7B32">
              <w:rPr>
                <w:rFonts w:cs="Arial"/>
                <w:szCs w:val="18"/>
                <w:lang w:val="en-GB"/>
              </w:rPr>
              <w:t>87456</w:t>
            </w:r>
          </w:p>
        </w:tc>
        <w:tc>
          <w:tcPr>
            <w:tcW w:w="1134" w:type="dxa"/>
            <w:shd w:val="clear" w:color="auto" w:fill="FFFFFF"/>
          </w:tcPr>
          <w:p w14:paraId="7B14D511" w14:textId="20E1DF14" w:rsidR="00223E17" w:rsidRPr="00B57B36" w:rsidRDefault="002D7B32" w:rsidP="008324F9">
            <w:pPr>
              <w:pStyle w:val="CETBodytext"/>
              <w:spacing w:line="360" w:lineRule="auto"/>
              <w:ind w:right="-1"/>
              <w:jc w:val="center"/>
              <w:rPr>
                <w:rFonts w:cs="Arial"/>
                <w:szCs w:val="18"/>
                <w:lang w:val="en-GB"/>
              </w:rPr>
            </w:pPr>
            <w:r w:rsidRPr="002D7B32">
              <w:rPr>
                <w:rFonts w:cs="Arial"/>
                <w:szCs w:val="18"/>
                <w:lang w:val="en-GB"/>
              </w:rPr>
              <w:t>2</w:t>
            </w:r>
            <w:r>
              <w:rPr>
                <w:rFonts w:cs="Arial"/>
                <w:szCs w:val="18"/>
                <w:lang w:val="en-GB"/>
              </w:rPr>
              <w:t>.</w:t>
            </w:r>
            <w:r w:rsidRPr="002D7B32">
              <w:rPr>
                <w:rFonts w:cs="Arial"/>
                <w:szCs w:val="18"/>
                <w:lang w:val="en-GB"/>
              </w:rPr>
              <w:t>14546</w:t>
            </w:r>
          </w:p>
        </w:tc>
      </w:tr>
    </w:tbl>
    <w:p w14:paraId="4218A236" w14:textId="37EE3221" w:rsidR="00EF4CB0" w:rsidRDefault="008449F4" w:rsidP="00E34692">
      <w:pPr>
        <w:pStyle w:val="CETHeading1"/>
        <w:spacing w:before="0" w:after="0" w:line="360" w:lineRule="auto"/>
        <w:rPr>
          <w:noProof/>
        </w:rPr>
      </w:pPr>
      <w:r w:rsidRPr="008449F4">
        <w:rPr>
          <w:noProof/>
        </w:rPr>
        <w:t>Discussion</w:t>
      </w:r>
    </w:p>
    <w:p w14:paraId="78C2922C" w14:textId="5F1E4742" w:rsidR="006B1894" w:rsidRPr="008449F4" w:rsidRDefault="001F1D8C" w:rsidP="008449F4">
      <w:pPr>
        <w:pStyle w:val="CETBodytext"/>
        <w:spacing w:line="240" w:lineRule="auto"/>
      </w:pPr>
      <w:r w:rsidRPr="001F1D8C">
        <w:t>According to Zhang, Y., and Luo, W. (2014), the adsorption capacity of Cu</w:t>
      </w:r>
      <w:r w:rsidRPr="001F1D8C">
        <w:rPr>
          <w:vertAlign w:val="superscript"/>
        </w:rPr>
        <w:t>2</w:t>
      </w:r>
      <w:r w:rsidRPr="001F1D8C">
        <w:t>+ on AD-char increased as the pH increased up to &lt; 8.6, indicating that the presence of alkaline functional groups on the surface could be responsible for the adsorption capacity of metals with biochar. In the research, the influence of initial pH on Cu (II) adsorption, with pH values of 3 and 5, determined removal rates of 61.20% and 73.08%, respectively.</w:t>
      </w:r>
      <w:r w:rsidR="008449F4" w:rsidRPr="008449F4">
        <w:t xml:space="preserve"> These results are consistent with the findings of Luna et al. (2007) in their research on Cu (II) removal within a pH range of 4 to 5. They also pointed out that at a pH of 3, the removal of Cu (II) was inhibited due to the possible prevalence of hydrogen ions, limiting the approach of metal cations due to repulsive forces. Regarding Mn (II), the removal was 99.14% at pH 3, while at pH 5, it was 89.44%. This result differs from the study by Akl et al. (2013), who investigated Mn (II) removal using activated carbon from organic waste and obtained better results within a pH range of 3 to 5.</w:t>
      </w:r>
    </w:p>
    <w:p w14:paraId="7E47B392" w14:textId="21FCF8FC" w:rsidR="008449F4" w:rsidRDefault="008449F4" w:rsidP="008449F4">
      <w:pPr>
        <w:pStyle w:val="CETBodytext"/>
        <w:spacing w:line="240" w:lineRule="auto"/>
      </w:pPr>
      <w:r w:rsidRPr="008449F4">
        <w:t>The assessment of Cu (II) adsorption is presented in Figure 3, where Freundlich constants (</w:t>
      </w:r>
      <w:proofErr w:type="spellStart"/>
      <w:r w:rsidRPr="008449F4">
        <w:t>Kf</w:t>
      </w:r>
      <w:proofErr w:type="spellEnd"/>
      <w:r w:rsidRPr="008449F4">
        <w:t xml:space="preserve"> and n) were calculated and recorded, as detailed in Table 6. The Freundlich isotherm fits remarkably well, with a coefficient of determination (R</w:t>
      </w:r>
      <w:r w:rsidRPr="008449F4">
        <w:rPr>
          <w:vertAlign w:val="superscript"/>
        </w:rPr>
        <w:t>2</w:t>
      </w:r>
      <w:r w:rsidRPr="008449F4">
        <w:t>) of 0.9618. These results are like those reported by Tapia et al. (2017) using peach pit, who achieved an R</w:t>
      </w:r>
      <w:r w:rsidRPr="008449F4">
        <w:rPr>
          <w:vertAlign w:val="superscript"/>
        </w:rPr>
        <w:t>2</w:t>
      </w:r>
      <w:r w:rsidRPr="008449F4">
        <w:t xml:space="preserve"> of 0.978 when evaluating at pH 5. In their study, they concluded that the Freundlich isotherm best modeled their results. Additionally, the value of 1/n, which is 0.25 according to Table 6, indicates favorable adsorption. This value serves as an indicator of adsorption intensity or surface heterogeneity, being more heterogeneous as its value approaches zero (Adamson, Gast, 2001).</w:t>
      </w:r>
    </w:p>
    <w:p w14:paraId="79706EC0" w14:textId="084F5D63" w:rsidR="006B1894" w:rsidRDefault="008449F4" w:rsidP="008449F4">
      <w:pPr>
        <w:pStyle w:val="CETBodytext"/>
        <w:spacing w:line="240" w:lineRule="auto"/>
      </w:pPr>
      <w:r w:rsidRPr="008449F4">
        <w:t>In the adsorption of Mn (II), Freundlich constants (</w:t>
      </w:r>
      <w:proofErr w:type="spellStart"/>
      <w:r w:rsidRPr="008449F4">
        <w:t>Kf</w:t>
      </w:r>
      <w:proofErr w:type="spellEnd"/>
      <w:r w:rsidRPr="008449F4">
        <w:t xml:space="preserve"> and n) were calculated and recorded from Figure 4, as detailed in Table 6. Figure 4 shows a relatively better fit (R</w:t>
      </w:r>
      <w:r w:rsidRPr="008449F4">
        <w:rPr>
          <w:vertAlign w:val="superscript"/>
        </w:rPr>
        <w:t>2</w:t>
      </w:r>
      <w:r w:rsidRPr="008449F4">
        <w:t xml:space="preserve"> = 0.9709), results that are consistent with those obtained by Li et al. (2020). In their study on Mn (II) adsorption in acidic mine waters with red mud, they concluded that the Freundlich isotherm best modeled their results, achieved under conditions of pH=6 and a temperature of 28 °C. Additionally, the value of 1/n, which is 0.4661 according to Table 6, indicates favorable adsorption, according to the interpretation of Adamson and Gast (2001).</w:t>
      </w:r>
    </w:p>
    <w:p w14:paraId="09318476" w14:textId="77777777" w:rsidR="008449F4" w:rsidRPr="008449F4" w:rsidRDefault="008449F4" w:rsidP="0034729F">
      <w:pPr>
        <w:pStyle w:val="CETBodytext"/>
      </w:pPr>
    </w:p>
    <w:p w14:paraId="797F85C7" w14:textId="1010A689" w:rsidR="00BB76EA" w:rsidRDefault="008449F4" w:rsidP="0033790E">
      <w:pPr>
        <w:pStyle w:val="CETHeading1"/>
        <w:spacing w:before="0" w:after="0" w:line="360" w:lineRule="auto"/>
      </w:pPr>
      <w:r w:rsidRPr="008449F4">
        <w:t>Conclusions</w:t>
      </w:r>
    </w:p>
    <w:p w14:paraId="58DFE5D6" w14:textId="1C50757C" w:rsidR="00813210" w:rsidRDefault="008449F4" w:rsidP="00BB76EA">
      <w:pPr>
        <w:pStyle w:val="CETBodytext"/>
      </w:pPr>
      <w:r w:rsidRPr="008449F4">
        <w:t>The adsorption of Cu (II) and Mn (II) was evaluated at pH 3 and 5, achieving a removal of 61.20% for Cu (II) (Cf=4.80 ppm) and 99.14% for Mn (II) (Cf=0.08 ppm) at pH 3. Similarly, at pH 5, higher removal was achieved for Cu (II) at 73.08% (Cf=3.33 ppm) and for Mn (II) at 89.44% (Cf=0.98 ppm), albeit lower than that obtained at pH 3. The first-order kinetic model was identified for the adsorption of both Cu (II) and Mn (II). Tests were conducted with contact times of 30, 60, 90, and 120 minutes, yielding correlation coefficients of R</w:t>
      </w:r>
      <w:r w:rsidRPr="00AF3B8A">
        <w:rPr>
          <w:vertAlign w:val="superscript"/>
        </w:rPr>
        <w:t>2</w:t>
      </w:r>
      <w:r w:rsidRPr="008449F4">
        <w:t>=0.8252 for Cu (II) and R</w:t>
      </w:r>
      <w:r w:rsidRPr="008449F4">
        <w:rPr>
          <w:vertAlign w:val="superscript"/>
        </w:rPr>
        <w:t>2</w:t>
      </w:r>
      <w:r w:rsidRPr="008449F4">
        <w:t>=0.966 for Mn (II). Adsorption equilibrium was determined through the Freundlich isotherm, which proved to be the model that best fit both Cu (II) and Mn (II) adsorption. Tests were conducted with quantities of 0.5 g, 1 g, 1.5 g, and 2 g of activated olive endocarp charcoal. The most notable correlation coefficient values obtained were R</w:t>
      </w:r>
      <w:r w:rsidRPr="00AF3B8A">
        <w:rPr>
          <w:vertAlign w:val="superscript"/>
        </w:rPr>
        <w:t>2</w:t>
      </w:r>
      <w:r w:rsidRPr="008449F4">
        <w:t>=0.9618 for the Freundlich isotherm in the Cu (II) study and R</w:t>
      </w:r>
      <w:r w:rsidRPr="00AF3B8A">
        <w:rPr>
          <w:vertAlign w:val="superscript"/>
        </w:rPr>
        <w:t>2</w:t>
      </w:r>
      <w:r w:rsidRPr="008449F4">
        <w:t xml:space="preserve">=0.9709 for the Freundlich </w:t>
      </w:r>
      <w:r w:rsidRPr="008449F4">
        <w:lastRenderedPageBreak/>
        <w:t>isotherm in the Mn (II) study</w:t>
      </w:r>
      <w:r w:rsidR="00A5248A">
        <w:t xml:space="preserve">. </w:t>
      </w:r>
      <w:r w:rsidR="00A5248A" w:rsidRPr="00A5248A">
        <w:t xml:space="preserve"> Adjusting the pH to a higher level can enhance the effectiveness of metal removal through adsorption using activated carbon from olive endocarp, which is essential in the management and cleaning of waters contaminated by heavy metals.</w:t>
      </w:r>
    </w:p>
    <w:p w14:paraId="37004690" w14:textId="77777777" w:rsidR="00265BBF" w:rsidRDefault="00265BBF" w:rsidP="00BB76EA">
      <w:pPr>
        <w:pStyle w:val="CETBodytext"/>
      </w:pPr>
    </w:p>
    <w:p w14:paraId="2E6B692E" w14:textId="77777777" w:rsidR="00AF3B8A" w:rsidRPr="00DC5301" w:rsidRDefault="00AF3B8A" w:rsidP="00AF3B8A">
      <w:pPr>
        <w:pStyle w:val="CETBodytext"/>
        <w:spacing w:line="360" w:lineRule="auto"/>
        <w:rPr>
          <w:b/>
          <w:bCs/>
        </w:rPr>
      </w:pPr>
      <w:r w:rsidRPr="00DC5301">
        <w:rPr>
          <w:b/>
          <w:bCs/>
        </w:rPr>
        <w:t>Acknowledgments</w:t>
      </w:r>
    </w:p>
    <w:p w14:paraId="54ADA32A" w14:textId="078F5452" w:rsidR="0033790E" w:rsidRDefault="00AF3B8A" w:rsidP="00BB76EA">
      <w:pPr>
        <w:pStyle w:val="CETBodytext"/>
      </w:pPr>
      <w:r w:rsidRPr="00AF3B8A">
        <w:t>The authors express their gratitude to the Vice Chancellor's Office for Research at Cesar Vallejo University and the Fund for Support of Teaching Research for the financial support provided for the publication of this research.</w:t>
      </w:r>
    </w:p>
    <w:p w14:paraId="166B1230" w14:textId="77777777" w:rsidR="00AF3B8A" w:rsidRPr="00AF3B8A" w:rsidRDefault="00AF3B8A" w:rsidP="00BB76EA">
      <w:pPr>
        <w:pStyle w:val="CETBodytext"/>
      </w:pPr>
    </w:p>
    <w:p w14:paraId="47904FA6" w14:textId="79CAD69B" w:rsidR="009945DF" w:rsidRPr="008343FE" w:rsidRDefault="00AF3B8A" w:rsidP="00813210">
      <w:pPr>
        <w:pStyle w:val="CETReferencetext"/>
        <w:spacing w:line="360" w:lineRule="auto"/>
        <w:rPr>
          <w:b/>
          <w:bCs/>
          <w:sz w:val="20"/>
          <w:lang w:val="en-US"/>
        </w:rPr>
      </w:pPr>
      <w:r w:rsidRPr="008343FE">
        <w:rPr>
          <w:b/>
          <w:bCs/>
          <w:sz w:val="20"/>
          <w:lang w:val="en-US"/>
        </w:rPr>
        <w:t>References</w:t>
      </w:r>
    </w:p>
    <w:p w14:paraId="13E21DB7" w14:textId="77777777" w:rsidR="0033790E" w:rsidRPr="00813210" w:rsidRDefault="0033790E" w:rsidP="00265BBF">
      <w:pPr>
        <w:pStyle w:val="CETReferencetext"/>
        <w:spacing w:line="240" w:lineRule="auto"/>
        <w:rPr>
          <w:lang w:val="en-US"/>
        </w:rPr>
      </w:pPr>
      <w:r w:rsidRPr="00813210">
        <w:rPr>
          <w:lang w:val="en-US"/>
        </w:rPr>
        <w:t xml:space="preserve">Adamson, A.W., Gast A. P., 1997, Physical Chemistry of Surfaces. 5th Edition. New York, USA.: Wiley, </w:t>
      </w:r>
    </w:p>
    <w:p w14:paraId="649AAAAD" w14:textId="77777777" w:rsidR="0033790E" w:rsidRDefault="0033790E" w:rsidP="00265BBF">
      <w:pPr>
        <w:pStyle w:val="CETReferencetext"/>
        <w:spacing w:line="240" w:lineRule="auto"/>
        <w:rPr>
          <w:lang w:val="en-US"/>
        </w:rPr>
      </w:pPr>
      <w:r w:rsidRPr="00145F23">
        <w:rPr>
          <w:lang w:val="en-US"/>
        </w:rPr>
        <w:t>Akl M. A., Yousef A. M., AbdElnasser S., 2013, Removal of Iron and Manganese in Water Samples Using Activated Carbon Derived from Local Agro-Residues. Journal of Chemical Engineering &amp; Process Technology, 4, 4.</w:t>
      </w:r>
    </w:p>
    <w:p w14:paraId="1C92ADB4" w14:textId="77777777" w:rsidR="0033790E" w:rsidRPr="0033790E" w:rsidRDefault="0033790E" w:rsidP="00265BBF">
      <w:pPr>
        <w:pStyle w:val="CETReferencetext"/>
        <w:spacing w:line="240" w:lineRule="auto"/>
        <w:rPr>
          <w:lang w:val="en-US"/>
        </w:rPr>
      </w:pPr>
      <w:r w:rsidRPr="0033790E">
        <w:rPr>
          <w:lang w:val="en-US"/>
        </w:rPr>
        <w:t>Alvarez-Bastida C., Martínez-Miranda V., Vázquez-Mejía G., Solache-Ríos M., Fonseca-Montes de Oca G., Trujillo-Flores E., 2013, The corrosive nature of manganese in drinking water, Science of The Total Environment, 447, 10-16.</w:t>
      </w:r>
    </w:p>
    <w:p w14:paraId="421E99B9" w14:textId="77777777" w:rsidR="0033790E" w:rsidRDefault="0033790E" w:rsidP="00A834BD">
      <w:pPr>
        <w:spacing w:line="240" w:lineRule="auto"/>
        <w:ind w:left="284" w:hanging="284"/>
        <w:rPr>
          <w:lang w:val="en-US"/>
        </w:rPr>
      </w:pPr>
      <w:r w:rsidRPr="00856058">
        <w:rPr>
          <w:lang w:val="en-US"/>
        </w:rPr>
        <w:t>Aziz H. A., Yusoff M. S., Adlan M. N., Adnan N. H., Alias S.,</w:t>
      </w:r>
      <w:r>
        <w:rPr>
          <w:lang w:val="en-US"/>
        </w:rPr>
        <w:t xml:space="preserve"> 2</w:t>
      </w:r>
      <w:r w:rsidRPr="00856058">
        <w:rPr>
          <w:lang w:val="en-US"/>
        </w:rPr>
        <w:t>004</w:t>
      </w:r>
      <w:r>
        <w:rPr>
          <w:lang w:val="en-US"/>
        </w:rPr>
        <w:t xml:space="preserve">, </w:t>
      </w:r>
      <w:r w:rsidRPr="00856058">
        <w:rPr>
          <w:lang w:val="en-US"/>
        </w:rPr>
        <w:t>Physico-chemical removal of iron from semiaerobic landfill leachate by limestone filter. Waste Management, 24,</w:t>
      </w:r>
      <w:r>
        <w:rPr>
          <w:lang w:val="en-US"/>
        </w:rPr>
        <w:t xml:space="preserve"> </w:t>
      </w:r>
      <w:r w:rsidRPr="00856058">
        <w:rPr>
          <w:lang w:val="en-US"/>
        </w:rPr>
        <w:t>4,</w:t>
      </w:r>
      <w:r>
        <w:rPr>
          <w:lang w:val="en-US"/>
        </w:rPr>
        <w:t xml:space="preserve"> </w:t>
      </w:r>
      <w:r w:rsidRPr="00856058">
        <w:rPr>
          <w:lang w:val="en-US"/>
        </w:rPr>
        <w:t xml:space="preserve">353-358. </w:t>
      </w:r>
    </w:p>
    <w:p w14:paraId="2AFC250D" w14:textId="77777777" w:rsidR="0033790E" w:rsidRDefault="0033790E" w:rsidP="00265BBF">
      <w:pPr>
        <w:pStyle w:val="CETReferencetext"/>
        <w:spacing w:line="240" w:lineRule="auto"/>
        <w:rPr>
          <w:lang w:val="en-US"/>
        </w:rPr>
      </w:pPr>
      <w:r w:rsidRPr="0071564D">
        <w:rPr>
          <w:lang w:val="en-US"/>
        </w:rPr>
        <w:t>Balali-Mood M., Naseri K., Tahergorabi Z., Khazdair M.R.</w:t>
      </w:r>
      <w:r>
        <w:rPr>
          <w:lang w:val="en-US"/>
        </w:rPr>
        <w:t xml:space="preserve">, </w:t>
      </w:r>
      <w:r w:rsidRPr="0071564D">
        <w:rPr>
          <w:lang w:val="en-US"/>
        </w:rPr>
        <w:t>Sadeghi, M., 2021, Toxic Mechanisms of Five Heavy Metals: Mercury, Lead, Chromium, Cadmium, and Arsenic. Front. Pharmacol. 2021, 12, 643972.</w:t>
      </w:r>
    </w:p>
    <w:p w14:paraId="26262B35" w14:textId="77777777" w:rsidR="0033790E" w:rsidRPr="00DC5301" w:rsidRDefault="0033790E" w:rsidP="00265BBF">
      <w:pPr>
        <w:pStyle w:val="CETReferencetext"/>
        <w:spacing w:line="240" w:lineRule="auto"/>
        <w:rPr>
          <w:lang w:val="en-US"/>
        </w:rPr>
      </w:pPr>
      <w:r w:rsidRPr="005509DC">
        <w:rPr>
          <w:lang w:val="en-US"/>
        </w:rPr>
        <w:t xml:space="preserve">Bohli T., Ouederni A., Villaescusa., 2013, Evaluation of an activated carbon from olive stones used as an adsorbent for heavy metal removal from aqueous phases. </w:t>
      </w:r>
      <w:r w:rsidRPr="00DC5301">
        <w:rPr>
          <w:lang w:val="en-US"/>
        </w:rPr>
        <w:t>Comptes Rendus Chimie, 89-101.</w:t>
      </w:r>
    </w:p>
    <w:p w14:paraId="6BD72DA6" w14:textId="21C843D5" w:rsidR="009A5979" w:rsidRDefault="009A5979" w:rsidP="00265BBF">
      <w:pPr>
        <w:pStyle w:val="CETReferencetext"/>
        <w:spacing w:line="240" w:lineRule="auto"/>
        <w:rPr>
          <w:lang w:val="en-US"/>
        </w:rPr>
      </w:pPr>
      <w:r w:rsidRPr="009A5979">
        <w:rPr>
          <w:lang w:val="en-US"/>
        </w:rPr>
        <w:t>Calderon J. M., Tuiro M. C., 2021, Precipitation of iron and sequential manganese of drain effluents, Journal of the Research Institute, Faculty. Mines Metallurgy, Geographical Sciences, 24, 47, 41 - 46.</w:t>
      </w:r>
      <w:r w:rsidRPr="009A5979">
        <w:t xml:space="preserve"> </w:t>
      </w:r>
      <w:r w:rsidRPr="009A5979">
        <w:rPr>
          <w:lang w:val="en-US"/>
        </w:rPr>
        <w:t>Spain</w:t>
      </w:r>
    </w:p>
    <w:p w14:paraId="47545796" w14:textId="38FF2F3E" w:rsidR="00AF3B8A" w:rsidRPr="00AF3B8A" w:rsidRDefault="00AF3B8A" w:rsidP="00265BBF">
      <w:pPr>
        <w:pStyle w:val="CETReferencetext"/>
        <w:spacing w:line="240" w:lineRule="auto"/>
        <w:rPr>
          <w:lang w:val="en-US"/>
        </w:rPr>
      </w:pPr>
      <w:r w:rsidRPr="00AF3B8A">
        <w:rPr>
          <w:lang w:val="en-US"/>
        </w:rPr>
        <w:t>Driss Alami S. B., 2010, Exploitation of olive pit for the BIOSORPTION of metal ions, doctoral thesis, University of Granada, Granada, Spain.</w:t>
      </w:r>
    </w:p>
    <w:p w14:paraId="3A5ADBB9" w14:textId="77777777" w:rsidR="0033790E" w:rsidRPr="00617BE5" w:rsidRDefault="0033790E" w:rsidP="00265BBF">
      <w:pPr>
        <w:pStyle w:val="CETReferencetext"/>
        <w:spacing w:line="240" w:lineRule="auto"/>
        <w:rPr>
          <w:lang w:val="en-US"/>
        </w:rPr>
      </w:pPr>
      <w:r w:rsidRPr="00617BE5">
        <w:rPr>
          <w:lang w:val="en-US"/>
        </w:rPr>
        <w:t>Fu F., Wang Q, 2011, Removal of heavy metal ions from wastewaters: A review, Journal of Environmental Management, 92, 3, 407-418.</w:t>
      </w:r>
    </w:p>
    <w:p w14:paraId="4AAC2DBC" w14:textId="77777777" w:rsidR="0033790E" w:rsidRPr="00BB76EA" w:rsidRDefault="0033790E" w:rsidP="00265BBF">
      <w:pPr>
        <w:pStyle w:val="CETReferencetext"/>
        <w:spacing w:line="240" w:lineRule="auto"/>
        <w:rPr>
          <w:lang w:val="en-US"/>
        </w:rPr>
      </w:pPr>
      <w:r w:rsidRPr="009E69BA">
        <w:rPr>
          <w:lang w:val="en-US"/>
        </w:rPr>
        <w:t xml:space="preserve">Holc D., Pruss A., Michałkiewicz M., Cybulski Z., 2016, Effectiveness of organic compounds removing during water treatment by filtration through a biologically active carbon filter with the identification of microorganisms. </w:t>
      </w:r>
      <w:r w:rsidRPr="00BB76EA">
        <w:rPr>
          <w:lang w:val="en-US"/>
        </w:rPr>
        <w:t>Annu. Set Environ. Prot., 18, 235–246.</w:t>
      </w:r>
    </w:p>
    <w:p w14:paraId="4A6363DB" w14:textId="77777777" w:rsidR="0033790E" w:rsidRPr="00C03D48" w:rsidRDefault="0033790E" w:rsidP="00265BBF">
      <w:pPr>
        <w:pStyle w:val="CETReferencetext"/>
        <w:spacing w:line="240" w:lineRule="auto"/>
        <w:rPr>
          <w:lang w:val="en-US"/>
        </w:rPr>
      </w:pPr>
      <w:r w:rsidRPr="00C03D48">
        <w:rPr>
          <w:lang w:val="en-US"/>
        </w:rPr>
        <w:t>Kaur Brar K., Etteieb S., Magdouli S., Calugaru L., Kaur Brar S., 2022, Novel approach for the management of acid mine drainage (AMD) for the recovery of heavy metals along with lipid production by Chlorella vulgaris, Journal of Environmental Management, 308, 114507</w:t>
      </w:r>
      <w:r>
        <w:rPr>
          <w:lang w:val="en-US"/>
        </w:rPr>
        <w:t>.</w:t>
      </w:r>
    </w:p>
    <w:p w14:paraId="61FAAB3D" w14:textId="77777777" w:rsidR="0033790E" w:rsidRPr="009E69BA" w:rsidRDefault="0033790E" w:rsidP="00265BBF">
      <w:pPr>
        <w:pStyle w:val="CETReferencetext"/>
        <w:spacing w:line="240" w:lineRule="auto"/>
        <w:rPr>
          <w:lang w:val="en-US"/>
        </w:rPr>
      </w:pPr>
      <w:r w:rsidRPr="009E69BA">
        <w:rPr>
          <w:lang w:val="en-US"/>
        </w:rPr>
        <w:t>Lazaratou C.V., Vayenas D.V., Papoulis D., 2020, The role of clays, clay minerals and clay-based materials for nitrate removal from water systems: A review. Appl. Clay Sci, 185, 105377.</w:t>
      </w:r>
    </w:p>
    <w:p w14:paraId="68882577" w14:textId="77777777" w:rsidR="0033790E" w:rsidRPr="00813210" w:rsidRDefault="0033790E" w:rsidP="00265BBF">
      <w:pPr>
        <w:pStyle w:val="CETReferencetext"/>
        <w:spacing w:line="240" w:lineRule="auto"/>
        <w:rPr>
          <w:lang w:val="en-US"/>
        </w:rPr>
      </w:pPr>
      <w:r w:rsidRPr="00813210">
        <w:rPr>
          <w:lang w:val="en-US"/>
        </w:rPr>
        <w:t>Li Y., Huang H., Xu Z., Ma H., Guo Y., 2020, Mechanism study on manganese (II) removal from acid mine wastewater using red mud and its application to a lab-scale column. Journal of Cleaner Production, 253, 119955.</w:t>
      </w:r>
    </w:p>
    <w:p w14:paraId="4A122C0F" w14:textId="77777777" w:rsidR="0033790E" w:rsidRDefault="0033790E" w:rsidP="00265BBF">
      <w:pPr>
        <w:pStyle w:val="CETReferencetext"/>
        <w:spacing w:line="240" w:lineRule="auto"/>
        <w:rPr>
          <w:lang w:val="en-US"/>
        </w:rPr>
      </w:pPr>
      <w:r w:rsidRPr="0081131A">
        <w:rPr>
          <w:lang w:val="en-US"/>
        </w:rPr>
        <w:t>Luna A. S., da Costa A. C. A., Henriques C. A., Herbst M.H., 2007, Electron Paramagnetic Resonance and Atomic Absorption Spectrometry as tools for the investigation of Cu</w:t>
      </w:r>
      <w:r>
        <w:rPr>
          <w:lang w:val="en-US"/>
        </w:rPr>
        <w:t xml:space="preserve"> </w:t>
      </w:r>
      <w:r w:rsidRPr="0081131A">
        <w:rPr>
          <w:lang w:val="en-US"/>
        </w:rPr>
        <w:t>(II) biosorption by Sargassum filipendula, Hydrometallurgy, 86, 1–2, 105-113.</w:t>
      </w:r>
    </w:p>
    <w:p w14:paraId="36310F85" w14:textId="77777777" w:rsidR="0033790E" w:rsidRPr="00DC5301" w:rsidRDefault="0033790E" w:rsidP="00265BBF">
      <w:pPr>
        <w:pStyle w:val="CETReferencetext"/>
        <w:spacing w:line="240" w:lineRule="auto"/>
        <w:rPr>
          <w:lang w:val="en-US"/>
        </w:rPr>
      </w:pPr>
      <w:r>
        <w:t>Mang</w:t>
      </w:r>
      <w:r w:rsidRPr="00424D37">
        <w:t xml:space="preserve"> K.C.</w:t>
      </w:r>
      <w:r>
        <w:t>, Ntushelo</w:t>
      </w:r>
      <w:r w:rsidRPr="00424D37">
        <w:t xml:space="preserve"> K.</w:t>
      </w:r>
      <w:r>
        <w:t xml:space="preserve">, 2020, Algae based heavy metal remediation in acid mine drainage: a review </w:t>
      </w:r>
      <w:r w:rsidRPr="00424D37">
        <w:rPr>
          <w:lang w:val="en-US"/>
        </w:rPr>
        <w:t xml:space="preserve">Appl. </w:t>
      </w:r>
      <w:r w:rsidRPr="00DC5301">
        <w:rPr>
          <w:lang w:val="en-US"/>
        </w:rPr>
        <w:t>Ecol. Environ. Res., 18, pp. 2499-2512.</w:t>
      </w:r>
    </w:p>
    <w:p w14:paraId="3A4E3FFD" w14:textId="4023BC97" w:rsidR="00AF3B8A" w:rsidRPr="00AF3B8A" w:rsidRDefault="00AF3B8A" w:rsidP="00265BBF">
      <w:pPr>
        <w:pStyle w:val="CETReferencetext"/>
        <w:spacing w:line="240" w:lineRule="auto"/>
        <w:rPr>
          <w:lang w:val="en-US"/>
        </w:rPr>
      </w:pPr>
      <w:r w:rsidRPr="00AF3B8A">
        <w:rPr>
          <w:lang w:val="en-US"/>
        </w:rPr>
        <w:t>MINISTRY OF ENERGY AND MINES (MINEM), 2010. Water Quality Monitoring Protocol, Lima. Retrieved from: &lt;www.minem.gob.pe/minem/archivos/anexo5.pdf&gt;</w:t>
      </w:r>
      <w:r w:rsidRPr="00AF3B8A">
        <w:t xml:space="preserve"> </w:t>
      </w:r>
      <w:r w:rsidRPr="00AF3B8A">
        <w:rPr>
          <w:lang w:val="en-US"/>
        </w:rPr>
        <w:t>Spain.</w:t>
      </w:r>
    </w:p>
    <w:p w14:paraId="481E0C65" w14:textId="77777777" w:rsidR="0033790E" w:rsidRPr="004B0843" w:rsidRDefault="0033790E" w:rsidP="00265BBF">
      <w:pPr>
        <w:pStyle w:val="CETReferencetext"/>
        <w:spacing w:line="240" w:lineRule="auto"/>
        <w:rPr>
          <w:lang w:val="es-PE"/>
        </w:rPr>
      </w:pPr>
      <w:r w:rsidRPr="009E69BA">
        <w:rPr>
          <w:lang w:val="en-US"/>
        </w:rPr>
        <w:t xml:space="preserve">Pruss A., Maciolek A., Lasocka-Gomula I., 2009, Effect of the biological activity of carbon filter beds on organic matter removal from water. </w:t>
      </w:r>
      <w:r w:rsidRPr="004B0843">
        <w:rPr>
          <w:lang w:val="es-PE"/>
        </w:rPr>
        <w:t xml:space="preserve">Environ. Pollut. Control, 31, 31–34. </w:t>
      </w:r>
    </w:p>
    <w:p w14:paraId="550D1257" w14:textId="77777777" w:rsidR="00AF3B8A" w:rsidRPr="00AF3B8A" w:rsidRDefault="00AF3B8A" w:rsidP="00265BBF">
      <w:pPr>
        <w:pStyle w:val="CETReferencetext"/>
        <w:spacing w:line="240" w:lineRule="auto"/>
        <w:rPr>
          <w:lang w:val="en-US"/>
        </w:rPr>
      </w:pPr>
      <w:r w:rsidRPr="00AF3B8A">
        <w:rPr>
          <w:lang w:val="es-PE"/>
        </w:rPr>
        <w:t xml:space="preserve">Tapia P., Pavez O., Santander M., Sepúlveda B., 2017. </w:t>
      </w:r>
      <w:r w:rsidRPr="00AF3B8A">
        <w:rPr>
          <w:lang w:val="en-US"/>
        </w:rPr>
        <w:t xml:space="preserve">Removal of copper ions with organic sorbents. Holos, 8, 42–55. </w:t>
      </w:r>
      <w:bookmarkStart w:id="14" w:name="_Hlk162116364"/>
      <w:r w:rsidRPr="00AF3B8A">
        <w:rPr>
          <w:lang w:val="en-US"/>
        </w:rPr>
        <w:t>Spain</w:t>
      </w:r>
      <w:bookmarkEnd w:id="14"/>
      <w:r w:rsidRPr="00AF3B8A">
        <w:rPr>
          <w:lang w:val="en-US"/>
        </w:rPr>
        <w:t xml:space="preserve"> </w:t>
      </w:r>
    </w:p>
    <w:p w14:paraId="5DD6AEB3" w14:textId="78E08770" w:rsidR="0033790E" w:rsidRPr="004B0843" w:rsidRDefault="0033790E" w:rsidP="00265BBF">
      <w:pPr>
        <w:pStyle w:val="CETReferencetext"/>
        <w:spacing w:line="240" w:lineRule="auto"/>
        <w:rPr>
          <w:lang w:val="en-US"/>
        </w:rPr>
      </w:pPr>
      <w:r w:rsidRPr="004B0843">
        <w:rPr>
          <w:lang w:val="en-US"/>
        </w:rPr>
        <w:t xml:space="preserve">Tejada-Tovar C.N., Villabona-Ortiz Á., Garcés-Jaraba L., 2015, Adsorption of heavy metals in </w:t>
      </w:r>
      <w:r w:rsidR="00A834BD" w:rsidRPr="004B0843">
        <w:rPr>
          <w:lang w:val="en-US"/>
        </w:rPr>
        <w:t>wastewater</w:t>
      </w:r>
      <w:r w:rsidRPr="004B0843">
        <w:rPr>
          <w:lang w:val="en-US"/>
        </w:rPr>
        <w:t xml:space="preserve"> using biological materials. Tecno Lógicas, 18, 34, 109-123.</w:t>
      </w:r>
    </w:p>
    <w:p w14:paraId="0FF8E2B8" w14:textId="77777777" w:rsidR="0033790E" w:rsidRPr="00BC4CE6" w:rsidRDefault="0033790E" w:rsidP="00265BBF">
      <w:pPr>
        <w:pStyle w:val="CETReferencetext"/>
        <w:spacing w:line="240" w:lineRule="auto"/>
        <w:rPr>
          <w:lang w:val="en-US"/>
        </w:rPr>
      </w:pPr>
      <w:r w:rsidRPr="00BC4CE6">
        <w:rPr>
          <w:lang w:val="en-US"/>
        </w:rPr>
        <w:t>United Nations World Water Development Report 2017. Wastewater: The Untapped Resource. In United Nations World Water Assessment; UN: New York, NY, USA, 2017.</w:t>
      </w:r>
    </w:p>
    <w:p w14:paraId="5A1E7094" w14:textId="77777777" w:rsidR="0033790E" w:rsidRPr="009E69BA" w:rsidRDefault="0033790E" w:rsidP="00265BBF">
      <w:pPr>
        <w:pStyle w:val="CETReferencetext"/>
        <w:spacing w:line="240" w:lineRule="auto"/>
        <w:rPr>
          <w:lang w:val="en-US"/>
        </w:rPr>
      </w:pPr>
      <w:r w:rsidRPr="009E69BA">
        <w:rPr>
          <w:lang w:val="en-US"/>
        </w:rPr>
        <w:t>Ursini O., Lilla E., Montanari R., 2006, The investigation on cationic exchange ca-pacity of zeolites: The use as selective ion trappers in the electrokinetic soil technique. J. Hazard. Mater, 137, 1079 – 1088.</w:t>
      </w:r>
    </w:p>
    <w:p w14:paraId="5CD1BF65" w14:textId="77777777" w:rsidR="0033790E" w:rsidRDefault="0033790E" w:rsidP="00265BBF">
      <w:pPr>
        <w:pStyle w:val="CETReferencetext"/>
        <w:spacing w:line="240" w:lineRule="auto"/>
      </w:pPr>
      <w:r>
        <w:t xml:space="preserve">Yadollahi A., Abdollahi H., Ardejani </w:t>
      </w:r>
      <w:r w:rsidRPr="00465414">
        <w:t>F.D.</w:t>
      </w:r>
      <w:r>
        <w:t>, Mirmohammadi M, Magdouli S., 2021, Bio-oxidation behavior of pyrite, marcasite, pyrrhotite, and arsenopyrite by sulfur- and iron-oxidizing acidophiles Bioresour. Technol. Rep., 15, Article 100699.</w:t>
      </w:r>
    </w:p>
    <w:p w14:paraId="6C81736F" w14:textId="7C8F0590" w:rsidR="009A5979" w:rsidRDefault="005D6149" w:rsidP="00265BBF">
      <w:pPr>
        <w:pStyle w:val="CETReferencetext"/>
        <w:spacing w:line="240" w:lineRule="auto"/>
      </w:pPr>
      <w:r w:rsidRPr="005D6149">
        <w:t>Zhang, Y., Luo, W., 2014, Adsorptive Removal of Heavy Metal from Acidic Wastewater with Biochar Produced from Anaerobically Digested Residues: Kinetics and Surface Complexation Modeling, BioResources, 9, 2, 2484-2499.</w:t>
      </w:r>
    </w:p>
    <w:sectPr w:rsidR="009A5979" w:rsidSect="000F466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BEDD2" w14:textId="77777777" w:rsidR="000F4669" w:rsidRDefault="000F4669" w:rsidP="004F5E36">
      <w:r>
        <w:separator/>
      </w:r>
    </w:p>
  </w:endnote>
  <w:endnote w:type="continuationSeparator" w:id="0">
    <w:p w14:paraId="7E0DCE2B" w14:textId="77777777" w:rsidR="000F4669" w:rsidRDefault="000F466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C245" w14:textId="77777777" w:rsidR="000F4669" w:rsidRDefault="000F4669" w:rsidP="004F5E36">
      <w:r>
        <w:separator/>
      </w:r>
    </w:p>
  </w:footnote>
  <w:footnote w:type="continuationSeparator" w:id="0">
    <w:p w14:paraId="770071EE" w14:textId="77777777" w:rsidR="000F4669" w:rsidRDefault="000F466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3261"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313DB8"/>
    <w:multiLevelType w:val="hybridMultilevel"/>
    <w:tmpl w:val="39C6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518199">
    <w:abstractNumId w:val="10"/>
  </w:num>
  <w:num w:numId="2" w16cid:durableId="1510675918">
    <w:abstractNumId w:val="8"/>
  </w:num>
  <w:num w:numId="3" w16cid:durableId="262105285">
    <w:abstractNumId w:val="3"/>
  </w:num>
  <w:num w:numId="4" w16cid:durableId="1600017553">
    <w:abstractNumId w:val="2"/>
  </w:num>
  <w:num w:numId="5" w16cid:durableId="601572737">
    <w:abstractNumId w:val="1"/>
  </w:num>
  <w:num w:numId="6" w16cid:durableId="1787697181">
    <w:abstractNumId w:val="0"/>
  </w:num>
  <w:num w:numId="7" w16cid:durableId="1991248315">
    <w:abstractNumId w:val="9"/>
  </w:num>
  <w:num w:numId="8" w16cid:durableId="1221745703">
    <w:abstractNumId w:val="7"/>
  </w:num>
  <w:num w:numId="9" w16cid:durableId="784811839">
    <w:abstractNumId w:val="6"/>
  </w:num>
  <w:num w:numId="10" w16cid:durableId="1896505163">
    <w:abstractNumId w:val="5"/>
  </w:num>
  <w:num w:numId="11" w16cid:durableId="1505314383">
    <w:abstractNumId w:val="4"/>
  </w:num>
  <w:num w:numId="12" w16cid:durableId="1102261395">
    <w:abstractNumId w:val="17"/>
  </w:num>
  <w:num w:numId="13" w16cid:durableId="1526551761">
    <w:abstractNumId w:val="12"/>
  </w:num>
  <w:num w:numId="14" w16cid:durableId="852383966">
    <w:abstractNumId w:val="18"/>
  </w:num>
  <w:num w:numId="15" w16cid:durableId="1373767618">
    <w:abstractNumId w:val="20"/>
  </w:num>
  <w:num w:numId="16" w16cid:durableId="236785417">
    <w:abstractNumId w:val="19"/>
  </w:num>
  <w:num w:numId="17" w16cid:durableId="571501897">
    <w:abstractNumId w:val="11"/>
  </w:num>
  <w:num w:numId="18" w16cid:durableId="336419972">
    <w:abstractNumId w:val="12"/>
    <w:lvlOverride w:ilvl="0">
      <w:startOverride w:val="1"/>
    </w:lvlOverride>
  </w:num>
  <w:num w:numId="19" w16cid:durableId="2073579885">
    <w:abstractNumId w:val="16"/>
  </w:num>
  <w:num w:numId="20" w16cid:durableId="880170753">
    <w:abstractNumId w:val="15"/>
  </w:num>
  <w:num w:numId="21" w16cid:durableId="1775514261">
    <w:abstractNumId w:val="14"/>
  </w:num>
  <w:num w:numId="22" w16cid:durableId="12269010">
    <w:abstractNumId w:val="13"/>
  </w:num>
  <w:num w:numId="23" w16cid:durableId="417866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FF"/>
    <w:rsid w:val="000027C0"/>
    <w:rsid w:val="000052FB"/>
    <w:rsid w:val="000117CB"/>
    <w:rsid w:val="0003148D"/>
    <w:rsid w:val="00031EEC"/>
    <w:rsid w:val="00033DCD"/>
    <w:rsid w:val="000368C8"/>
    <w:rsid w:val="00051566"/>
    <w:rsid w:val="000562A9"/>
    <w:rsid w:val="00060BC3"/>
    <w:rsid w:val="00062A9A"/>
    <w:rsid w:val="00065058"/>
    <w:rsid w:val="0006796E"/>
    <w:rsid w:val="00086C39"/>
    <w:rsid w:val="0008751A"/>
    <w:rsid w:val="000A03B2"/>
    <w:rsid w:val="000C7C9A"/>
    <w:rsid w:val="000D0268"/>
    <w:rsid w:val="000D2C0D"/>
    <w:rsid w:val="000D34BE"/>
    <w:rsid w:val="000E102F"/>
    <w:rsid w:val="000E36F1"/>
    <w:rsid w:val="000E3A5C"/>
    <w:rsid w:val="000E3A73"/>
    <w:rsid w:val="000E414A"/>
    <w:rsid w:val="000F093C"/>
    <w:rsid w:val="000F4669"/>
    <w:rsid w:val="000F787B"/>
    <w:rsid w:val="00106E8E"/>
    <w:rsid w:val="0012091F"/>
    <w:rsid w:val="00125D2F"/>
    <w:rsid w:val="00126BC2"/>
    <w:rsid w:val="001308B6"/>
    <w:rsid w:val="0013121F"/>
    <w:rsid w:val="00131FE6"/>
    <w:rsid w:val="0013263F"/>
    <w:rsid w:val="001331DF"/>
    <w:rsid w:val="00134D28"/>
    <w:rsid w:val="00134DE4"/>
    <w:rsid w:val="0014034D"/>
    <w:rsid w:val="00141FCE"/>
    <w:rsid w:val="00144D16"/>
    <w:rsid w:val="00145F23"/>
    <w:rsid w:val="00150E59"/>
    <w:rsid w:val="00152DE3"/>
    <w:rsid w:val="00154D00"/>
    <w:rsid w:val="00156F74"/>
    <w:rsid w:val="00164CF9"/>
    <w:rsid w:val="001657A7"/>
    <w:rsid w:val="001667A6"/>
    <w:rsid w:val="00177B6B"/>
    <w:rsid w:val="001818C6"/>
    <w:rsid w:val="00184AD6"/>
    <w:rsid w:val="001A4AF7"/>
    <w:rsid w:val="001B0349"/>
    <w:rsid w:val="001B1E93"/>
    <w:rsid w:val="001B65C1"/>
    <w:rsid w:val="001B6658"/>
    <w:rsid w:val="001C0225"/>
    <w:rsid w:val="001C684B"/>
    <w:rsid w:val="001D0CFB"/>
    <w:rsid w:val="001D21AF"/>
    <w:rsid w:val="001D3F3E"/>
    <w:rsid w:val="001D53FC"/>
    <w:rsid w:val="001E01D0"/>
    <w:rsid w:val="001E21BB"/>
    <w:rsid w:val="001F1D8C"/>
    <w:rsid w:val="001F42A5"/>
    <w:rsid w:val="001F7B9D"/>
    <w:rsid w:val="00201C93"/>
    <w:rsid w:val="002224B4"/>
    <w:rsid w:val="00223E17"/>
    <w:rsid w:val="0022788E"/>
    <w:rsid w:val="002447EF"/>
    <w:rsid w:val="00251550"/>
    <w:rsid w:val="00261463"/>
    <w:rsid w:val="00262B4B"/>
    <w:rsid w:val="00263B05"/>
    <w:rsid w:val="00265BBF"/>
    <w:rsid w:val="0027221A"/>
    <w:rsid w:val="00275B61"/>
    <w:rsid w:val="00280B4E"/>
    <w:rsid w:val="00280FAF"/>
    <w:rsid w:val="00282656"/>
    <w:rsid w:val="00286504"/>
    <w:rsid w:val="00296B83"/>
    <w:rsid w:val="002B4015"/>
    <w:rsid w:val="002B78CE"/>
    <w:rsid w:val="002C2FB6"/>
    <w:rsid w:val="002D7B32"/>
    <w:rsid w:val="002E5FA7"/>
    <w:rsid w:val="002F3309"/>
    <w:rsid w:val="002F6F08"/>
    <w:rsid w:val="003008CE"/>
    <w:rsid w:val="003009B7"/>
    <w:rsid w:val="00300E32"/>
    <w:rsid w:val="00300E56"/>
    <w:rsid w:val="0030152C"/>
    <w:rsid w:val="0030469C"/>
    <w:rsid w:val="00317EF1"/>
    <w:rsid w:val="00321CA6"/>
    <w:rsid w:val="00323763"/>
    <w:rsid w:val="00323C5F"/>
    <w:rsid w:val="003243D8"/>
    <w:rsid w:val="00334C09"/>
    <w:rsid w:val="0033790E"/>
    <w:rsid w:val="0034729F"/>
    <w:rsid w:val="003723D4"/>
    <w:rsid w:val="00374FFA"/>
    <w:rsid w:val="00377B66"/>
    <w:rsid w:val="00381905"/>
    <w:rsid w:val="00384CC8"/>
    <w:rsid w:val="003871FD"/>
    <w:rsid w:val="003916CC"/>
    <w:rsid w:val="003A1E30"/>
    <w:rsid w:val="003A2829"/>
    <w:rsid w:val="003A5497"/>
    <w:rsid w:val="003A6FC6"/>
    <w:rsid w:val="003A7D1C"/>
    <w:rsid w:val="003B304B"/>
    <w:rsid w:val="003B3146"/>
    <w:rsid w:val="003B7FC9"/>
    <w:rsid w:val="003C07C7"/>
    <w:rsid w:val="003C325F"/>
    <w:rsid w:val="003D55C8"/>
    <w:rsid w:val="003F015E"/>
    <w:rsid w:val="00400414"/>
    <w:rsid w:val="00406F0B"/>
    <w:rsid w:val="00407E12"/>
    <w:rsid w:val="0041446B"/>
    <w:rsid w:val="00424D37"/>
    <w:rsid w:val="0044071E"/>
    <w:rsid w:val="00442DA9"/>
    <w:rsid w:val="0044329C"/>
    <w:rsid w:val="004470E6"/>
    <w:rsid w:val="00453E24"/>
    <w:rsid w:val="00457456"/>
    <w:rsid w:val="004577FE"/>
    <w:rsid w:val="00457B9C"/>
    <w:rsid w:val="0046164A"/>
    <w:rsid w:val="004628D2"/>
    <w:rsid w:val="00462DCD"/>
    <w:rsid w:val="004648AD"/>
    <w:rsid w:val="00465414"/>
    <w:rsid w:val="004703A9"/>
    <w:rsid w:val="004714D5"/>
    <w:rsid w:val="004760DE"/>
    <w:rsid w:val="004761E9"/>
    <w:rsid w:val="004763D7"/>
    <w:rsid w:val="0049626E"/>
    <w:rsid w:val="004A004E"/>
    <w:rsid w:val="004A24CF"/>
    <w:rsid w:val="004B0843"/>
    <w:rsid w:val="004C2E21"/>
    <w:rsid w:val="004C3D1D"/>
    <w:rsid w:val="004C3D84"/>
    <w:rsid w:val="004C7913"/>
    <w:rsid w:val="004E35E3"/>
    <w:rsid w:val="004E4DD6"/>
    <w:rsid w:val="004F3C06"/>
    <w:rsid w:val="004F5E36"/>
    <w:rsid w:val="00501B19"/>
    <w:rsid w:val="00503E26"/>
    <w:rsid w:val="00507B47"/>
    <w:rsid w:val="00507BEF"/>
    <w:rsid w:val="00507CC9"/>
    <w:rsid w:val="005119A5"/>
    <w:rsid w:val="00516AAC"/>
    <w:rsid w:val="00516AF4"/>
    <w:rsid w:val="00526AFC"/>
    <w:rsid w:val="005278B7"/>
    <w:rsid w:val="00532016"/>
    <w:rsid w:val="005346C8"/>
    <w:rsid w:val="00541ACC"/>
    <w:rsid w:val="00543E7D"/>
    <w:rsid w:val="00547A68"/>
    <w:rsid w:val="005509DC"/>
    <w:rsid w:val="005531C9"/>
    <w:rsid w:val="00570C43"/>
    <w:rsid w:val="00570CA4"/>
    <w:rsid w:val="00574F85"/>
    <w:rsid w:val="005B2110"/>
    <w:rsid w:val="005B61E6"/>
    <w:rsid w:val="005C5A17"/>
    <w:rsid w:val="005C77E1"/>
    <w:rsid w:val="005D6149"/>
    <w:rsid w:val="005D668A"/>
    <w:rsid w:val="005D6A2F"/>
    <w:rsid w:val="005E1A82"/>
    <w:rsid w:val="005E794C"/>
    <w:rsid w:val="005F0A28"/>
    <w:rsid w:val="005F0E5E"/>
    <w:rsid w:val="005F6A2D"/>
    <w:rsid w:val="00600535"/>
    <w:rsid w:val="00610CD6"/>
    <w:rsid w:val="00616452"/>
    <w:rsid w:val="00617BE5"/>
    <w:rsid w:val="00620DEE"/>
    <w:rsid w:val="00621F92"/>
    <w:rsid w:val="0062280A"/>
    <w:rsid w:val="00625639"/>
    <w:rsid w:val="0062752A"/>
    <w:rsid w:val="00631B33"/>
    <w:rsid w:val="0064184D"/>
    <w:rsid w:val="006422CC"/>
    <w:rsid w:val="00660E3E"/>
    <w:rsid w:val="00662E74"/>
    <w:rsid w:val="00680C23"/>
    <w:rsid w:val="006868B6"/>
    <w:rsid w:val="00693766"/>
    <w:rsid w:val="006A0FD8"/>
    <w:rsid w:val="006A15D2"/>
    <w:rsid w:val="006A23E9"/>
    <w:rsid w:val="006A3281"/>
    <w:rsid w:val="006B1894"/>
    <w:rsid w:val="006B4888"/>
    <w:rsid w:val="006B5C40"/>
    <w:rsid w:val="006C2E45"/>
    <w:rsid w:val="006C359C"/>
    <w:rsid w:val="006C5579"/>
    <w:rsid w:val="006D44B2"/>
    <w:rsid w:val="006D6E8B"/>
    <w:rsid w:val="006E737D"/>
    <w:rsid w:val="006F00AF"/>
    <w:rsid w:val="006F01E3"/>
    <w:rsid w:val="00713973"/>
    <w:rsid w:val="00714C19"/>
    <w:rsid w:val="0071564D"/>
    <w:rsid w:val="00720A24"/>
    <w:rsid w:val="00732386"/>
    <w:rsid w:val="0073514D"/>
    <w:rsid w:val="00735158"/>
    <w:rsid w:val="007447F3"/>
    <w:rsid w:val="0074719D"/>
    <w:rsid w:val="0075499F"/>
    <w:rsid w:val="007661C8"/>
    <w:rsid w:val="0077098D"/>
    <w:rsid w:val="007805F4"/>
    <w:rsid w:val="00792BC2"/>
    <w:rsid w:val="007931FA"/>
    <w:rsid w:val="00797C5E"/>
    <w:rsid w:val="007A4861"/>
    <w:rsid w:val="007A58D9"/>
    <w:rsid w:val="007A6119"/>
    <w:rsid w:val="007A7BBA"/>
    <w:rsid w:val="007B0C50"/>
    <w:rsid w:val="007B2EBA"/>
    <w:rsid w:val="007B48F9"/>
    <w:rsid w:val="007B4FA8"/>
    <w:rsid w:val="007C1A43"/>
    <w:rsid w:val="007D0951"/>
    <w:rsid w:val="007D200E"/>
    <w:rsid w:val="007D50CA"/>
    <w:rsid w:val="007D7BC4"/>
    <w:rsid w:val="007E32BE"/>
    <w:rsid w:val="0080013E"/>
    <w:rsid w:val="0081131A"/>
    <w:rsid w:val="00813210"/>
    <w:rsid w:val="00813288"/>
    <w:rsid w:val="008168FC"/>
    <w:rsid w:val="00817E20"/>
    <w:rsid w:val="00830996"/>
    <w:rsid w:val="008310D7"/>
    <w:rsid w:val="008324F9"/>
    <w:rsid w:val="008343FE"/>
    <w:rsid w:val="008345F1"/>
    <w:rsid w:val="00843EAC"/>
    <w:rsid w:val="008449F4"/>
    <w:rsid w:val="0084676B"/>
    <w:rsid w:val="00852D8E"/>
    <w:rsid w:val="00856058"/>
    <w:rsid w:val="00856203"/>
    <w:rsid w:val="0086138D"/>
    <w:rsid w:val="00862944"/>
    <w:rsid w:val="00863220"/>
    <w:rsid w:val="00865B07"/>
    <w:rsid w:val="008667EA"/>
    <w:rsid w:val="0087637F"/>
    <w:rsid w:val="0088304A"/>
    <w:rsid w:val="00892AD5"/>
    <w:rsid w:val="008A1512"/>
    <w:rsid w:val="008A18E2"/>
    <w:rsid w:val="008A47FF"/>
    <w:rsid w:val="008A652F"/>
    <w:rsid w:val="008B7C03"/>
    <w:rsid w:val="008C0F31"/>
    <w:rsid w:val="008D32B9"/>
    <w:rsid w:val="008D433B"/>
    <w:rsid w:val="008D4A16"/>
    <w:rsid w:val="008E2473"/>
    <w:rsid w:val="008E5577"/>
    <w:rsid w:val="008E566E"/>
    <w:rsid w:val="008F4EC9"/>
    <w:rsid w:val="0090161A"/>
    <w:rsid w:val="00901EB6"/>
    <w:rsid w:val="00902EDA"/>
    <w:rsid w:val="00904C62"/>
    <w:rsid w:val="009123E2"/>
    <w:rsid w:val="00922BA8"/>
    <w:rsid w:val="00923959"/>
    <w:rsid w:val="00924DAC"/>
    <w:rsid w:val="00927058"/>
    <w:rsid w:val="00942750"/>
    <w:rsid w:val="009450CE"/>
    <w:rsid w:val="009459BB"/>
    <w:rsid w:val="00946279"/>
    <w:rsid w:val="00947179"/>
    <w:rsid w:val="0095164B"/>
    <w:rsid w:val="00954090"/>
    <w:rsid w:val="009573E7"/>
    <w:rsid w:val="0096178A"/>
    <w:rsid w:val="009630EF"/>
    <w:rsid w:val="00963E05"/>
    <w:rsid w:val="00964A45"/>
    <w:rsid w:val="00967843"/>
    <w:rsid w:val="00967D54"/>
    <w:rsid w:val="00971028"/>
    <w:rsid w:val="00980E1C"/>
    <w:rsid w:val="00983269"/>
    <w:rsid w:val="00993B84"/>
    <w:rsid w:val="009945DF"/>
    <w:rsid w:val="00996483"/>
    <w:rsid w:val="00996F5A"/>
    <w:rsid w:val="009A5979"/>
    <w:rsid w:val="009A7D31"/>
    <w:rsid w:val="009B041A"/>
    <w:rsid w:val="009C21C7"/>
    <w:rsid w:val="009C37C3"/>
    <w:rsid w:val="009C7C86"/>
    <w:rsid w:val="009D2FF7"/>
    <w:rsid w:val="009D6873"/>
    <w:rsid w:val="009E69BA"/>
    <w:rsid w:val="009E747D"/>
    <w:rsid w:val="009E7884"/>
    <w:rsid w:val="009E788A"/>
    <w:rsid w:val="009F0E08"/>
    <w:rsid w:val="009F4130"/>
    <w:rsid w:val="009F4DC5"/>
    <w:rsid w:val="00A1763D"/>
    <w:rsid w:val="00A17CEC"/>
    <w:rsid w:val="00A21C6D"/>
    <w:rsid w:val="00A27EF0"/>
    <w:rsid w:val="00A42361"/>
    <w:rsid w:val="00A50B20"/>
    <w:rsid w:val="00A51390"/>
    <w:rsid w:val="00A5248A"/>
    <w:rsid w:val="00A6066B"/>
    <w:rsid w:val="00A60D13"/>
    <w:rsid w:val="00A7223D"/>
    <w:rsid w:val="00A72745"/>
    <w:rsid w:val="00A76EFC"/>
    <w:rsid w:val="00A80242"/>
    <w:rsid w:val="00A82735"/>
    <w:rsid w:val="00A834BD"/>
    <w:rsid w:val="00A87D50"/>
    <w:rsid w:val="00A91010"/>
    <w:rsid w:val="00A97F29"/>
    <w:rsid w:val="00AA01A3"/>
    <w:rsid w:val="00AA37A5"/>
    <w:rsid w:val="00AA4C8F"/>
    <w:rsid w:val="00AA5284"/>
    <w:rsid w:val="00AA702E"/>
    <w:rsid w:val="00AA7D26"/>
    <w:rsid w:val="00AB0964"/>
    <w:rsid w:val="00AB096F"/>
    <w:rsid w:val="00AB5011"/>
    <w:rsid w:val="00AC0953"/>
    <w:rsid w:val="00AC7368"/>
    <w:rsid w:val="00AD16B9"/>
    <w:rsid w:val="00AD3FAF"/>
    <w:rsid w:val="00AD53DA"/>
    <w:rsid w:val="00AD7330"/>
    <w:rsid w:val="00AE377D"/>
    <w:rsid w:val="00AF0EBA"/>
    <w:rsid w:val="00AF3B8A"/>
    <w:rsid w:val="00B02C8A"/>
    <w:rsid w:val="00B15EBF"/>
    <w:rsid w:val="00B17FBD"/>
    <w:rsid w:val="00B315A6"/>
    <w:rsid w:val="00B31813"/>
    <w:rsid w:val="00B33365"/>
    <w:rsid w:val="00B57B36"/>
    <w:rsid w:val="00B57E6F"/>
    <w:rsid w:val="00B65E4C"/>
    <w:rsid w:val="00B8686D"/>
    <w:rsid w:val="00B93F69"/>
    <w:rsid w:val="00BA4FBF"/>
    <w:rsid w:val="00BB1DDC"/>
    <w:rsid w:val="00BB76EA"/>
    <w:rsid w:val="00BC30C9"/>
    <w:rsid w:val="00BC3442"/>
    <w:rsid w:val="00BC4CE6"/>
    <w:rsid w:val="00BD077D"/>
    <w:rsid w:val="00BD0E6D"/>
    <w:rsid w:val="00BE3E58"/>
    <w:rsid w:val="00C01616"/>
    <w:rsid w:val="00C0162B"/>
    <w:rsid w:val="00C03D48"/>
    <w:rsid w:val="00C068ED"/>
    <w:rsid w:val="00C22E0C"/>
    <w:rsid w:val="00C345B1"/>
    <w:rsid w:val="00C40142"/>
    <w:rsid w:val="00C4165A"/>
    <w:rsid w:val="00C52C3C"/>
    <w:rsid w:val="00C57182"/>
    <w:rsid w:val="00C57863"/>
    <w:rsid w:val="00C640AF"/>
    <w:rsid w:val="00C655FD"/>
    <w:rsid w:val="00C75407"/>
    <w:rsid w:val="00C85F10"/>
    <w:rsid w:val="00C870A8"/>
    <w:rsid w:val="00C87C86"/>
    <w:rsid w:val="00C93A3B"/>
    <w:rsid w:val="00C94434"/>
    <w:rsid w:val="00C94504"/>
    <w:rsid w:val="00CA0D4A"/>
    <w:rsid w:val="00CA0D75"/>
    <w:rsid w:val="00CA1C95"/>
    <w:rsid w:val="00CA5A9C"/>
    <w:rsid w:val="00CC1364"/>
    <w:rsid w:val="00CC28B6"/>
    <w:rsid w:val="00CC4C20"/>
    <w:rsid w:val="00CD0DEF"/>
    <w:rsid w:val="00CD3517"/>
    <w:rsid w:val="00CD5FE2"/>
    <w:rsid w:val="00CE7C68"/>
    <w:rsid w:val="00D02B4C"/>
    <w:rsid w:val="00D040C4"/>
    <w:rsid w:val="00D20AD1"/>
    <w:rsid w:val="00D2173B"/>
    <w:rsid w:val="00D46B7E"/>
    <w:rsid w:val="00D57C84"/>
    <w:rsid w:val="00D6057D"/>
    <w:rsid w:val="00D648EC"/>
    <w:rsid w:val="00D71640"/>
    <w:rsid w:val="00D836C5"/>
    <w:rsid w:val="00D84576"/>
    <w:rsid w:val="00DA1399"/>
    <w:rsid w:val="00DA24C6"/>
    <w:rsid w:val="00DA4D7B"/>
    <w:rsid w:val="00DB3233"/>
    <w:rsid w:val="00DC1AFD"/>
    <w:rsid w:val="00DC5301"/>
    <w:rsid w:val="00DD271C"/>
    <w:rsid w:val="00DE264A"/>
    <w:rsid w:val="00DF5072"/>
    <w:rsid w:val="00E014C1"/>
    <w:rsid w:val="00E02D18"/>
    <w:rsid w:val="00E041E7"/>
    <w:rsid w:val="00E23CA1"/>
    <w:rsid w:val="00E33DD7"/>
    <w:rsid w:val="00E34692"/>
    <w:rsid w:val="00E409A8"/>
    <w:rsid w:val="00E50C12"/>
    <w:rsid w:val="00E65B91"/>
    <w:rsid w:val="00E7209D"/>
    <w:rsid w:val="00E72EAD"/>
    <w:rsid w:val="00E7420A"/>
    <w:rsid w:val="00E77223"/>
    <w:rsid w:val="00E8528B"/>
    <w:rsid w:val="00E85656"/>
    <w:rsid w:val="00E85B94"/>
    <w:rsid w:val="00E978D0"/>
    <w:rsid w:val="00EA4613"/>
    <w:rsid w:val="00EA7521"/>
    <w:rsid w:val="00EA7F91"/>
    <w:rsid w:val="00EB1523"/>
    <w:rsid w:val="00EC0E49"/>
    <w:rsid w:val="00EC101F"/>
    <w:rsid w:val="00EC1D9F"/>
    <w:rsid w:val="00EC6D46"/>
    <w:rsid w:val="00EE0131"/>
    <w:rsid w:val="00EE17B0"/>
    <w:rsid w:val="00EF06D9"/>
    <w:rsid w:val="00EF1F56"/>
    <w:rsid w:val="00EF4CB0"/>
    <w:rsid w:val="00EF6290"/>
    <w:rsid w:val="00F3049E"/>
    <w:rsid w:val="00F30C64"/>
    <w:rsid w:val="00F32BA2"/>
    <w:rsid w:val="00F32CDB"/>
    <w:rsid w:val="00F334C0"/>
    <w:rsid w:val="00F565FE"/>
    <w:rsid w:val="00F63A70"/>
    <w:rsid w:val="00F63D8C"/>
    <w:rsid w:val="00F7534E"/>
    <w:rsid w:val="00F93EDF"/>
    <w:rsid w:val="00FA1802"/>
    <w:rsid w:val="00FA21D0"/>
    <w:rsid w:val="00FA5F5F"/>
    <w:rsid w:val="00FB474E"/>
    <w:rsid w:val="00FB730C"/>
    <w:rsid w:val="00FC2314"/>
    <w:rsid w:val="00FC2695"/>
    <w:rsid w:val="00FC3E03"/>
    <w:rsid w:val="00FC3FC1"/>
    <w:rsid w:val="00FD25D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3C325F"/>
    <w:rPr>
      <w:color w:val="605E5C"/>
      <w:shd w:val="clear" w:color="auto" w:fill="E1DFDD"/>
    </w:rPr>
  </w:style>
  <w:style w:type="character" w:styleId="Textodelmarcadordeposicin">
    <w:name w:val="Placeholder Text"/>
    <w:basedOn w:val="Fuentedeprrafopredeter"/>
    <w:uiPriority w:val="99"/>
    <w:semiHidden/>
    <w:rsid w:val="006D4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acostas@ucv.edu.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E03C-A6F8-477A-8DE1-9D9117DE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3400</Words>
  <Characters>18700</Characters>
  <Application>Microsoft Office Word</Application>
  <DocSecurity>0</DocSecurity>
  <Lines>155</Lines>
  <Paragraphs>44</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HORACIO ACOSTA</cp:lastModifiedBy>
  <cp:revision>2</cp:revision>
  <cp:lastPrinted>2015-05-12T18:31:00Z</cp:lastPrinted>
  <dcterms:created xsi:type="dcterms:W3CDTF">2024-03-26T14:59:00Z</dcterms:created>
  <dcterms:modified xsi:type="dcterms:W3CDTF">2024-03-26T14:59:00Z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