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C1EA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C1EA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C1EA2">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B743F58" w:rsidR="00E978D0" w:rsidRPr="00B57B36" w:rsidRDefault="003C7763" w:rsidP="00E978D0">
      <w:pPr>
        <w:pStyle w:val="CETTitle"/>
      </w:pPr>
      <w:r w:rsidRPr="003C7763">
        <w:t>Investigation of interaction between viscosity-modifier polymers and surfactants based on vegetable oil for Chemical Enhanced Oil Recovery</w:t>
      </w:r>
      <w:r w:rsidR="001959C9">
        <w:t xml:space="preserve"> </w:t>
      </w:r>
    </w:p>
    <w:p w14:paraId="7F266BCD" w14:textId="77777777" w:rsidR="005C1EA2" w:rsidRPr="00472B1A" w:rsidRDefault="005C1EA2" w:rsidP="005C1EA2">
      <w:pPr>
        <w:pStyle w:val="CETAuthors"/>
      </w:pPr>
      <w:r>
        <w:t>Roland Nagy</w:t>
      </w:r>
      <w:r>
        <w:rPr>
          <w:vertAlign w:val="superscript"/>
        </w:rPr>
        <w:t>a,</w:t>
      </w:r>
      <w:r>
        <w:t>*</w:t>
      </w:r>
      <w:r w:rsidRPr="00B57B36">
        <w:t xml:space="preserve">, </w:t>
      </w:r>
      <w:r>
        <w:t>Máté Hartyányi</w:t>
      </w:r>
      <w:r w:rsidRPr="00B57B36">
        <w:rPr>
          <w:vertAlign w:val="superscript"/>
        </w:rPr>
        <w:t>a</w:t>
      </w:r>
      <w:r w:rsidRPr="00B57B36">
        <w:t xml:space="preserve">, </w:t>
      </w:r>
      <w:r>
        <w:t>László Bartha</w:t>
      </w:r>
      <w:r>
        <w:rPr>
          <w:vertAlign w:val="superscript"/>
        </w:rPr>
        <w:t>a</w:t>
      </w:r>
      <w:r>
        <w:t>, Sándor Puskás</w:t>
      </w:r>
      <w:r>
        <w:rPr>
          <w:vertAlign w:val="superscript"/>
        </w:rPr>
        <w:t>b</w:t>
      </w:r>
    </w:p>
    <w:p w14:paraId="000296A1" w14:textId="77777777" w:rsidR="005C1EA2" w:rsidRPr="00B57B36" w:rsidRDefault="005C1EA2" w:rsidP="005C1EA2">
      <w:pPr>
        <w:pStyle w:val="CETAddress"/>
      </w:pPr>
      <w:r w:rsidRPr="00B57B36">
        <w:rPr>
          <w:vertAlign w:val="superscript"/>
        </w:rPr>
        <w:t>a</w:t>
      </w:r>
      <w:r w:rsidRPr="00472B1A">
        <w:t>Department of MOL Hydrocarbon and Coal Processing, University of Pannonia, H-8200 Veszprém, Hungary</w:t>
      </w:r>
    </w:p>
    <w:p w14:paraId="7E595B67" w14:textId="77777777" w:rsidR="005C1EA2" w:rsidRPr="00B57B36" w:rsidRDefault="005C1EA2" w:rsidP="005C1EA2">
      <w:pPr>
        <w:pStyle w:val="CETAddress"/>
      </w:pPr>
      <w:r w:rsidRPr="00B57B36">
        <w:rPr>
          <w:vertAlign w:val="superscript"/>
        </w:rPr>
        <w:t>b</w:t>
      </w:r>
      <w:r w:rsidRPr="00472B1A">
        <w:t>Oilfield Chemicals and Technologies, MOL Plc, H-6701 Szeged, Hungary</w:t>
      </w:r>
    </w:p>
    <w:p w14:paraId="4514721C" w14:textId="77777777" w:rsidR="005C1EA2" w:rsidRPr="00B57B36" w:rsidRDefault="005C1EA2" w:rsidP="005C1EA2">
      <w:pPr>
        <w:pStyle w:val="CETemail"/>
      </w:pPr>
      <w:r>
        <w:t>*nagy.roland.dr@mk.uni-pannon.hu</w:t>
      </w:r>
    </w:p>
    <w:p w14:paraId="04B319EE" w14:textId="7E970F20" w:rsidR="00600535" w:rsidRPr="00B57B36" w:rsidRDefault="006E67C5" w:rsidP="006E67C5">
      <w:pPr>
        <w:pStyle w:val="CETBodytext"/>
        <w:rPr>
          <w:lang w:val="en-GB"/>
        </w:rPr>
      </w:pPr>
      <w:bookmarkStart w:id="0" w:name="_Hlk495475023"/>
      <w:r w:rsidRPr="006E67C5">
        <w:rPr>
          <w:lang w:val="en-GB"/>
        </w:rPr>
        <w:t>Chemical enhanced oil recovery (CEOR) is surely a topic of interest. The process of chemical flooding with solutions of polymers and surfactants can be used for developing oil recovery.</w:t>
      </w:r>
      <w:r w:rsidR="00B33B25">
        <w:rPr>
          <w:lang w:val="en-GB"/>
        </w:rPr>
        <w:t xml:space="preserve"> </w:t>
      </w:r>
      <w:r w:rsidRPr="006E67C5">
        <w:rPr>
          <w:lang w:val="en-GB"/>
        </w:rPr>
        <w:t xml:space="preserve">The bio-based surfactants have much attention from both scientific and industrial point of views due to their renewable and environment friendly nature and the bio-based surfactants </w:t>
      </w:r>
      <w:r w:rsidR="00770D8B">
        <w:rPr>
          <w:lang w:val="en-GB"/>
        </w:rPr>
        <w:t>has</w:t>
      </w:r>
      <w:r w:rsidRPr="006E67C5">
        <w:rPr>
          <w:lang w:val="en-GB"/>
        </w:rPr>
        <w:t xml:space="preserve"> lower toxicity</w:t>
      </w:r>
      <w:r w:rsidR="00770D8B">
        <w:rPr>
          <w:lang w:val="en-GB"/>
        </w:rPr>
        <w:t xml:space="preserve"> and</w:t>
      </w:r>
      <w:r w:rsidRPr="006E67C5">
        <w:rPr>
          <w:lang w:val="en-GB"/>
        </w:rPr>
        <w:t xml:space="preserve"> </w:t>
      </w:r>
      <w:r w:rsidR="00770D8B">
        <w:rPr>
          <w:lang w:val="en-GB"/>
        </w:rPr>
        <w:t>better</w:t>
      </w:r>
      <w:r w:rsidRPr="006E67C5">
        <w:rPr>
          <w:lang w:val="en-GB"/>
        </w:rPr>
        <w:t xml:space="preserve"> biodegradability.</w:t>
      </w:r>
      <w:r w:rsidR="00B33B25">
        <w:rPr>
          <w:lang w:val="en-GB"/>
        </w:rPr>
        <w:t xml:space="preserve"> </w:t>
      </w:r>
      <w:r w:rsidRPr="006E67C5">
        <w:rPr>
          <w:lang w:val="en-GB"/>
        </w:rPr>
        <w:t>The</w:t>
      </w:r>
      <w:r w:rsidR="00770D8B">
        <w:rPr>
          <w:lang w:val="en-GB"/>
        </w:rPr>
        <w:t xml:space="preserve"> theory of</w:t>
      </w:r>
      <w:r w:rsidRPr="006E67C5">
        <w:rPr>
          <w:lang w:val="en-GB"/>
        </w:rPr>
        <w:t xml:space="preserve"> interaction</w:t>
      </w:r>
      <w:r w:rsidR="00770D8B">
        <w:rPr>
          <w:lang w:val="en-GB"/>
        </w:rPr>
        <w:t>s</w:t>
      </w:r>
      <w:r w:rsidRPr="006E67C5">
        <w:rPr>
          <w:lang w:val="en-GB"/>
        </w:rPr>
        <w:t xml:space="preserve"> between polymers and surfactants have been markedly studied. This is particularly important for understanding the mechanism of chemical enhanced oil recovery. </w:t>
      </w:r>
      <w:r w:rsidR="00416375" w:rsidRPr="00416375">
        <w:rPr>
          <w:lang w:val="en-GB"/>
        </w:rPr>
        <w:t xml:space="preserve">The interaction between various surfactant mixtures and flow-modifying polymers in brine solutions was investigated </w:t>
      </w:r>
      <w:r w:rsidR="00416375">
        <w:rPr>
          <w:lang w:val="en-GB"/>
        </w:rPr>
        <w:t>(</w:t>
      </w:r>
      <w:r w:rsidR="00416375" w:rsidRPr="00416375">
        <w:rPr>
          <w:lang w:val="en-GB"/>
        </w:rPr>
        <w:t>in practical terms</w:t>
      </w:r>
      <w:r w:rsidR="00416375">
        <w:rPr>
          <w:lang w:val="en-GB"/>
        </w:rPr>
        <w:t xml:space="preserve">) </w:t>
      </w:r>
      <w:r w:rsidR="00416375" w:rsidRPr="00416375">
        <w:rPr>
          <w:lang w:val="en-GB"/>
        </w:rPr>
        <w:t>using various analytical methods, including interfacial tension, emulsification capacity, rheological properties, and oil displacement measurements.</w:t>
      </w:r>
      <w:r w:rsidRPr="006E67C5">
        <w:rPr>
          <w:lang w:val="en-GB"/>
        </w:rPr>
        <w:t xml:space="preserve"> Based on the experimental data a significant level of interaction between the surfactants and the polymers were found. It was obtained that by applying flow modifier polymer together with the investigated surfactants the additional oil production could increase.</w:t>
      </w:r>
    </w:p>
    <w:bookmarkEnd w:id="0"/>
    <w:p w14:paraId="476B2F2E" w14:textId="77777777" w:rsidR="00600535" w:rsidRPr="00B57B36" w:rsidRDefault="00600535" w:rsidP="00600535">
      <w:pPr>
        <w:pStyle w:val="CETHeading1"/>
        <w:rPr>
          <w:lang w:val="en-GB"/>
        </w:rPr>
      </w:pPr>
      <w:r w:rsidRPr="00B57B36">
        <w:rPr>
          <w:lang w:val="en-GB"/>
        </w:rPr>
        <w:t>Introduction</w:t>
      </w:r>
    </w:p>
    <w:p w14:paraId="488B1378" w14:textId="77777777" w:rsidR="007B52F2" w:rsidRPr="007B52F2" w:rsidRDefault="007B52F2" w:rsidP="007B52F2">
      <w:pPr>
        <w:pStyle w:val="CETBodytext"/>
        <w:rPr>
          <w:lang w:val="en-GB"/>
        </w:rPr>
      </w:pPr>
      <w:r w:rsidRPr="007B52F2">
        <w:rPr>
          <w:lang w:val="en-GB"/>
        </w:rPr>
        <w:t>The extensive exploration of interactions between polymers and surfactants stems from their broad industrial applications. The particular focus on polymer-surfactant systems arises from their crucial relevance in the chemical enhanced oil recovery process (Khan et al., 2008).</w:t>
      </w:r>
    </w:p>
    <w:p w14:paraId="4436AAC6" w14:textId="26DA1828" w:rsidR="005F2328" w:rsidRPr="005F2328" w:rsidRDefault="007B52F2" w:rsidP="005F2328">
      <w:r w:rsidRPr="007B52F2">
        <w:t>Various authors have provided insights into Surfactant-Polymer Injection and the influence of salt on these interactions. Numerous laboratory experiments, simulations, and field data have demonstrated that Surfactant-Polymer and Alkali-Surfactant-Polymer flooding are among the most effective techniques for recovering medium and low viscosity oils, with applicability extending to high viscosity oil fields as well.</w:t>
      </w:r>
      <w:r w:rsidR="005F2328" w:rsidRPr="005F2328">
        <w:t xml:space="preserve"> </w:t>
      </w:r>
      <w:r w:rsidR="008F7EED" w:rsidRPr="008F7EED">
        <w:t xml:space="preserve">Kwak (1998) summarized the existing knowledge of interactions between polymers and surfactants in his book, which lays the foundation for the subject area. </w:t>
      </w:r>
      <w:proofErr w:type="spellStart"/>
      <w:r w:rsidR="008F7EED" w:rsidRPr="008F7EED">
        <w:t>Hamouma</w:t>
      </w:r>
      <w:proofErr w:type="spellEnd"/>
      <w:r w:rsidR="008F7EED" w:rsidRPr="008F7EED">
        <w:t xml:space="preserve"> et al. (2021) investigated the negative effects arising from interactions between polymers and surfactants in their work. Afolabi et al. (2022) provided a review article on polymer</w:t>
      </w:r>
      <w:r w:rsidR="008F7EED">
        <w:t xml:space="preserve">ic </w:t>
      </w:r>
      <w:r w:rsidR="008F7EED" w:rsidRPr="008F7EED">
        <w:t xml:space="preserve">surfactant systems. </w:t>
      </w:r>
      <w:proofErr w:type="spellStart"/>
      <w:r w:rsidR="008F7EED" w:rsidRPr="008F7EED">
        <w:t>Druetta</w:t>
      </w:r>
      <w:proofErr w:type="spellEnd"/>
      <w:r w:rsidR="008F7EED" w:rsidRPr="008F7EED">
        <w:t xml:space="preserve"> and </w:t>
      </w:r>
      <w:proofErr w:type="spellStart"/>
      <w:r w:rsidR="008F7EED" w:rsidRPr="008F7EED">
        <w:t>Picchioni</w:t>
      </w:r>
      <w:proofErr w:type="spellEnd"/>
      <w:r w:rsidR="008F7EED" w:rsidRPr="008F7EED">
        <w:t xml:space="preserve"> (2018 and 2020) mathematically described polymer-surfactant systems under various injection schemes. </w:t>
      </w:r>
      <w:proofErr w:type="spellStart"/>
      <w:r w:rsidR="008F7EED" w:rsidRPr="008F7EED">
        <w:t>Firozjaii</w:t>
      </w:r>
      <w:proofErr w:type="spellEnd"/>
      <w:r w:rsidR="008F7EED" w:rsidRPr="008F7EED">
        <w:t xml:space="preserve"> and </w:t>
      </w:r>
      <w:proofErr w:type="spellStart"/>
      <w:r w:rsidR="008F7EED" w:rsidRPr="008F7EED">
        <w:t>Saghafi</w:t>
      </w:r>
      <w:proofErr w:type="spellEnd"/>
      <w:r w:rsidR="008F7EED" w:rsidRPr="008F7EED">
        <w:t xml:space="preserve"> (2020) compiled numerical and experimental simulations in their detailed review. Yang and Pal (2020) examined the interaction between polymers and surfactants through rheological and interfacial tension studies. </w:t>
      </w:r>
      <w:proofErr w:type="spellStart"/>
      <w:r w:rsidR="008F7EED" w:rsidRPr="008F7EED">
        <w:t>Gradzielski</w:t>
      </w:r>
      <w:proofErr w:type="spellEnd"/>
      <w:r w:rsidR="008F7EED" w:rsidRPr="008F7EED">
        <w:t xml:space="preserve"> (2022) investigated the technological implications of interactions in his work.</w:t>
      </w:r>
      <w:r w:rsidR="008F7EED">
        <w:t xml:space="preserve"> </w:t>
      </w:r>
      <w:r w:rsidR="00950A36">
        <w:t xml:space="preserve">Studies have identified interactions between surfactants and polymers for numerous surfactants. </w:t>
      </w:r>
      <w:r w:rsidR="005F2328" w:rsidRPr="005F2328">
        <w:t xml:space="preserve">Interactions in solution between surfactants and </w:t>
      </w:r>
      <w:proofErr w:type="gramStart"/>
      <w:r w:rsidR="005F2328" w:rsidRPr="005F2328">
        <w:t>water soluble</w:t>
      </w:r>
      <w:proofErr w:type="gramEnd"/>
      <w:r w:rsidR="005F2328" w:rsidRPr="005F2328">
        <w:t xml:space="preserve"> macromolecules have been under study for 70 years or more</w:t>
      </w:r>
      <w:r w:rsidR="005F2328">
        <w:t xml:space="preserve"> (</w:t>
      </w:r>
      <w:proofErr w:type="spellStart"/>
      <w:r w:rsidR="005F2328">
        <w:t>Amran</w:t>
      </w:r>
      <w:proofErr w:type="spellEnd"/>
      <w:r w:rsidR="005F2328">
        <w:t xml:space="preserve"> et al. 2022; Goddard and Hannan 1977)</w:t>
      </w:r>
      <w:r w:rsidR="005F2328" w:rsidRPr="005F2328">
        <w:t>.</w:t>
      </w:r>
    </w:p>
    <w:p w14:paraId="7B173132" w14:textId="62F21125" w:rsidR="007B52F2" w:rsidRPr="007B52F2" w:rsidRDefault="007B52F2" w:rsidP="007B52F2">
      <w:pPr>
        <w:pStyle w:val="CETBodytext"/>
        <w:rPr>
          <w:lang w:val="en-GB"/>
        </w:rPr>
      </w:pPr>
      <w:r w:rsidRPr="007B52F2">
        <w:rPr>
          <w:lang w:val="en-GB"/>
        </w:rPr>
        <w:t>In the current study, various experiments were undertaken to characterize the interaction between a flow modifier polymer and different surfactant mixtures developed in-house. This characterization involved measuring the properties of colloidal particles and the rheological characteristics of their solutions. The investigation included examining viscosities at different shear rates and interfacial tension of the polymer-surfactant mixture solutions, providing valuable insights into the robustness of the network formed between the polymer and surfactant.</w:t>
      </w:r>
    </w:p>
    <w:p w14:paraId="0D4FF195" w14:textId="77777777" w:rsidR="005C1EA2" w:rsidRDefault="005C1EA2" w:rsidP="005C1EA2">
      <w:pPr>
        <w:pStyle w:val="CETHeading1"/>
      </w:pPr>
      <w:r w:rsidRPr="000B5D2F">
        <w:lastRenderedPageBreak/>
        <w:t>Materials and methods</w:t>
      </w:r>
    </w:p>
    <w:p w14:paraId="4EF39C9F" w14:textId="77777777" w:rsidR="005C1EA2" w:rsidRPr="00F15B95" w:rsidRDefault="005C1EA2" w:rsidP="005C1EA2">
      <w:pPr>
        <w:pStyle w:val="CETheadingx"/>
      </w:pPr>
      <w:r w:rsidRPr="00F15B95">
        <w:t>Materials</w:t>
      </w:r>
    </w:p>
    <w:p w14:paraId="47D86A6B" w14:textId="237A6032" w:rsidR="00416375" w:rsidRDefault="00950A36" w:rsidP="007B52F2">
      <w:pPr>
        <w:pStyle w:val="CETBodytext"/>
      </w:pPr>
      <w:r w:rsidRPr="00950A36">
        <w:t xml:space="preserve">To create the experimental colloid solutions, an anionic surfactant (PEANION) and </w:t>
      </w:r>
      <w:r w:rsidR="00416375">
        <w:t>three</w:t>
      </w:r>
      <w:r w:rsidRPr="00950A36">
        <w:t xml:space="preserve"> nonionic surfactants (PENONION I</w:t>
      </w:r>
      <w:r w:rsidR="00416375">
        <w:t>-I</w:t>
      </w:r>
      <w:r w:rsidRPr="00950A36">
        <w:t>II) were utilized, developed, and produced through collaboration between research groups at the University of Pannonia and the Hungarian Oil and Gas Company.</w:t>
      </w:r>
      <w:r w:rsidR="007B52F2">
        <w:t xml:space="preserve"> Additionally, a partially hydrolyzed synthetic polyacrylamide (HPAM) was employed as a mobility controller-type polymer.</w:t>
      </w:r>
      <w:r w:rsidR="00B338EA">
        <w:t xml:space="preserve"> Properties of the used surfactants shown in Table 1.</w:t>
      </w:r>
    </w:p>
    <w:p w14:paraId="2D0FD64A" w14:textId="3E96D7B5" w:rsidR="00416375" w:rsidRDefault="00416375" w:rsidP="00416375">
      <w:pPr>
        <w:pStyle w:val="CETTabletitle"/>
      </w:pPr>
      <w:r w:rsidRPr="00611769">
        <w:t xml:space="preserve">Table 1: </w:t>
      </w:r>
      <w:r>
        <w:t xml:space="preserve">Main </w:t>
      </w:r>
      <w:r w:rsidR="00B338EA">
        <w:t>proprieties</w:t>
      </w:r>
      <w:r>
        <w:t xml:space="preserve"> of used surfactants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6"/>
        <w:gridCol w:w="2197"/>
        <w:gridCol w:w="2197"/>
        <w:gridCol w:w="2197"/>
      </w:tblGrid>
      <w:tr w:rsidR="00B338EA" w:rsidRPr="00B57B36" w14:paraId="2E0A9286" w14:textId="77777777" w:rsidTr="00B338EA">
        <w:tc>
          <w:tcPr>
            <w:tcW w:w="1250" w:type="pct"/>
            <w:tcBorders>
              <w:top w:val="single" w:sz="12" w:space="0" w:color="008000"/>
              <w:bottom w:val="single" w:sz="6" w:space="0" w:color="008000"/>
            </w:tcBorders>
            <w:shd w:val="clear" w:color="auto" w:fill="FFFFFF"/>
          </w:tcPr>
          <w:p w14:paraId="1635E192" w14:textId="77777777" w:rsidR="00B338EA" w:rsidRPr="00B57B36" w:rsidRDefault="00B338EA" w:rsidP="00BC5C86">
            <w:pPr>
              <w:pStyle w:val="CETBodytext"/>
              <w:rPr>
                <w:lang w:val="en-GB"/>
              </w:rPr>
            </w:pPr>
          </w:p>
        </w:tc>
        <w:tc>
          <w:tcPr>
            <w:tcW w:w="1250" w:type="pct"/>
            <w:tcBorders>
              <w:top w:val="single" w:sz="12" w:space="0" w:color="008000"/>
              <w:bottom w:val="single" w:sz="6" w:space="0" w:color="008000"/>
            </w:tcBorders>
            <w:shd w:val="clear" w:color="auto" w:fill="FFFFFF"/>
          </w:tcPr>
          <w:p w14:paraId="20F204BD" w14:textId="07DB4BB3" w:rsidR="00B338EA" w:rsidRPr="00B57B36" w:rsidRDefault="00B338EA" w:rsidP="00BC5C86">
            <w:pPr>
              <w:pStyle w:val="CETBodytext"/>
              <w:jc w:val="center"/>
              <w:rPr>
                <w:lang w:val="en-GB"/>
              </w:rPr>
            </w:pPr>
            <w:r>
              <w:rPr>
                <w:lang w:val="en-GB"/>
              </w:rPr>
              <w:t>Ionic charge</w:t>
            </w:r>
          </w:p>
        </w:tc>
        <w:tc>
          <w:tcPr>
            <w:tcW w:w="1250" w:type="pct"/>
            <w:tcBorders>
              <w:top w:val="single" w:sz="12" w:space="0" w:color="008000"/>
              <w:bottom w:val="single" w:sz="6" w:space="0" w:color="008000"/>
            </w:tcBorders>
            <w:shd w:val="clear" w:color="auto" w:fill="FFFFFF"/>
          </w:tcPr>
          <w:p w14:paraId="0769D37F" w14:textId="62AB6A73" w:rsidR="00B338EA" w:rsidRPr="00B57B36" w:rsidRDefault="00B338EA" w:rsidP="00BC5C86">
            <w:pPr>
              <w:pStyle w:val="CETBodytext"/>
              <w:jc w:val="center"/>
              <w:rPr>
                <w:lang w:val="en-GB"/>
              </w:rPr>
            </w:pPr>
            <w:r>
              <w:rPr>
                <w:lang w:val="en-GB"/>
              </w:rPr>
              <w:t>Type</w:t>
            </w:r>
          </w:p>
        </w:tc>
        <w:tc>
          <w:tcPr>
            <w:tcW w:w="1250" w:type="pct"/>
            <w:tcBorders>
              <w:top w:val="single" w:sz="12" w:space="0" w:color="008000"/>
              <w:bottom w:val="single" w:sz="6" w:space="0" w:color="008000"/>
            </w:tcBorders>
            <w:shd w:val="clear" w:color="auto" w:fill="FFFFFF"/>
          </w:tcPr>
          <w:p w14:paraId="1392807B" w14:textId="64BAD7F1" w:rsidR="00B338EA" w:rsidRPr="00B57B36" w:rsidRDefault="00B338EA" w:rsidP="00BC5C86">
            <w:pPr>
              <w:pStyle w:val="CETBodytext"/>
              <w:jc w:val="center"/>
              <w:rPr>
                <w:lang w:val="en-GB"/>
              </w:rPr>
            </w:pPr>
            <w:r>
              <w:rPr>
                <w:lang w:val="en-GB"/>
              </w:rPr>
              <w:t>Producer</w:t>
            </w:r>
          </w:p>
        </w:tc>
      </w:tr>
      <w:tr w:rsidR="00B338EA" w:rsidRPr="00B57B36" w14:paraId="11209185" w14:textId="77777777" w:rsidTr="00B338EA">
        <w:tc>
          <w:tcPr>
            <w:tcW w:w="1250" w:type="pct"/>
            <w:shd w:val="clear" w:color="auto" w:fill="FFFFFF"/>
            <w:vAlign w:val="center"/>
          </w:tcPr>
          <w:p w14:paraId="66A3F392" w14:textId="203B2E64" w:rsidR="00B338EA" w:rsidRPr="00B57B36" w:rsidRDefault="00B338EA" w:rsidP="00B338EA">
            <w:pPr>
              <w:pStyle w:val="CETBodytext"/>
              <w:rPr>
                <w:lang w:val="en-GB"/>
              </w:rPr>
            </w:pPr>
            <w:r w:rsidRPr="008200C5">
              <w:t>MOLANION</w:t>
            </w:r>
          </w:p>
        </w:tc>
        <w:tc>
          <w:tcPr>
            <w:tcW w:w="1250" w:type="pct"/>
            <w:shd w:val="clear" w:color="auto" w:fill="FFFFFF"/>
            <w:vAlign w:val="center"/>
          </w:tcPr>
          <w:p w14:paraId="3DC2D339" w14:textId="0628170B" w:rsidR="00B338EA" w:rsidRPr="00B57B36" w:rsidRDefault="00B338EA" w:rsidP="00B338EA">
            <w:pPr>
              <w:pStyle w:val="CETBodytext"/>
              <w:jc w:val="center"/>
              <w:rPr>
                <w:lang w:val="en-GB"/>
              </w:rPr>
            </w:pPr>
            <w:r>
              <w:rPr>
                <w:lang w:val="en-GB"/>
              </w:rPr>
              <w:t>Anionic</w:t>
            </w:r>
          </w:p>
        </w:tc>
        <w:tc>
          <w:tcPr>
            <w:tcW w:w="1250" w:type="pct"/>
            <w:shd w:val="clear" w:color="auto" w:fill="FFFFFF"/>
            <w:vAlign w:val="center"/>
          </w:tcPr>
          <w:p w14:paraId="4106C0CE" w14:textId="2D5F68E4" w:rsidR="00B338EA" w:rsidRPr="00B57B36" w:rsidRDefault="00B338EA" w:rsidP="00B338EA">
            <w:pPr>
              <w:pStyle w:val="CETBodytext"/>
              <w:jc w:val="center"/>
              <w:rPr>
                <w:lang w:val="en-GB"/>
              </w:rPr>
            </w:pPr>
            <w:r>
              <w:rPr>
                <w:lang w:val="en-GB"/>
              </w:rPr>
              <w:t>Gemini surfactant</w:t>
            </w:r>
          </w:p>
        </w:tc>
        <w:tc>
          <w:tcPr>
            <w:tcW w:w="1250" w:type="pct"/>
            <w:shd w:val="clear" w:color="auto" w:fill="FFFFFF"/>
            <w:vAlign w:val="center"/>
          </w:tcPr>
          <w:p w14:paraId="6D9F99A5" w14:textId="7EAE09E1" w:rsidR="00B338EA" w:rsidRPr="00B57B36" w:rsidRDefault="00B338EA" w:rsidP="00B338EA">
            <w:pPr>
              <w:pStyle w:val="CETBodytext"/>
              <w:jc w:val="center"/>
              <w:rPr>
                <w:lang w:val="en-GB"/>
              </w:rPr>
            </w:pPr>
            <w:r>
              <w:rPr>
                <w:lang w:val="en-GB"/>
              </w:rPr>
              <w:t>MOL-LUB Ltd.</w:t>
            </w:r>
          </w:p>
        </w:tc>
      </w:tr>
      <w:tr w:rsidR="00B338EA" w:rsidRPr="00B57B36" w14:paraId="52B3744F" w14:textId="77777777" w:rsidTr="00B338EA">
        <w:tc>
          <w:tcPr>
            <w:tcW w:w="1250" w:type="pct"/>
            <w:shd w:val="clear" w:color="auto" w:fill="FFFFFF"/>
            <w:vAlign w:val="center"/>
          </w:tcPr>
          <w:p w14:paraId="297B50D1" w14:textId="65AF12D2" w:rsidR="00B338EA" w:rsidRPr="00B57B36" w:rsidRDefault="00B338EA" w:rsidP="00B338EA">
            <w:pPr>
              <w:pStyle w:val="CETBodytext"/>
              <w:rPr>
                <w:lang w:val="en-GB"/>
              </w:rPr>
            </w:pPr>
            <w:r w:rsidRPr="008200C5">
              <w:t>PENONION I</w:t>
            </w:r>
          </w:p>
        </w:tc>
        <w:tc>
          <w:tcPr>
            <w:tcW w:w="1250" w:type="pct"/>
            <w:shd w:val="clear" w:color="auto" w:fill="FFFFFF"/>
            <w:vAlign w:val="center"/>
          </w:tcPr>
          <w:p w14:paraId="02E4CA05" w14:textId="30E48C1E" w:rsidR="00B338EA" w:rsidRPr="00B57B36" w:rsidRDefault="00B338EA" w:rsidP="00B338EA">
            <w:pPr>
              <w:pStyle w:val="CETBodytext"/>
              <w:jc w:val="center"/>
              <w:rPr>
                <w:lang w:val="en-GB"/>
              </w:rPr>
            </w:pPr>
            <w:r>
              <w:rPr>
                <w:lang w:val="en-GB"/>
              </w:rPr>
              <w:t>Non-ionic</w:t>
            </w:r>
          </w:p>
        </w:tc>
        <w:tc>
          <w:tcPr>
            <w:tcW w:w="1250" w:type="pct"/>
            <w:shd w:val="clear" w:color="auto" w:fill="FFFFFF"/>
            <w:vAlign w:val="center"/>
          </w:tcPr>
          <w:p w14:paraId="1CEF0709" w14:textId="0E2D9DD0" w:rsidR="00B338EA" w:rsidRPr="00B57B36" w:rsidRDefault="00B338EA" w:rsidP="00B338EA">
            <w:pPr>
              <w:pStyle w:val="CETBodytext"/>
              <w:jc w:val="center"/>
              <w:rPr>
                <w:lang w:val="en-GB"/>
              </w:rPr>
            </w:pPr>
            <w:proofErr w:type="spellStart"/>
            <w:r w:rsidRPr="00B338EA">
              <w:t>Diethanolamine</w:t>
            </w:r>
            <w:proofErr w:type="spellEnd"/>
            <w:r w:rsidRPr="00B338EA">
              <w:t xml:space="preserve"> and </w:t>
            </w:r>
            <w:r>
              <w:t>f</w:t>
            </w:r>
            <w:r w:rsidRPr="00B338EA">
              <w:t>atty acid methyl ester reaction product</w:t>
            </w:r>
          </w:p>
        </w:tc>
        <w:tc>
          <w:tcPr>
            <w:tcW w:w="1250" w:type="pct"/>
            <w:shd w:val="clear" w:color="auto" w:fill="FFFFFF"/>
            <w:vAlign w:val="center"/>
          </w:tcPr>
          <w:p w14:paraId="0B9BFF30" w14:textId="11E8BA8B" w:rsidR="00B338EA" w:rsidRPr="00B57B36" w:rsidRDefault="00B338EA" w:rsidP="00B338EA">
            <w:pPr>
              <w:pStyle w:val="CETBodytext"/>
              <w:jc w:val="center"/>
              <w:rPr>
                <w:lang w:val="en-GB"/>
              </w:rPr>
            </w:pPr>
            <w:r>
              <w:rPr>
                <w:lang w:val="en-GB"/>
              </w:rPr>
              <w:t>MOL-LUB Ltd.</w:t>
            </w:r>
          </w:p>
        </w:tc>
      </w:tr>
      <w:tr w:rsidR="00B338EA" w:rsidRPr="00B57B36" w14:paraId="0E24096A" w14:textId="77777777" w:rsidTr="00B338EA">
        <w:tc>
          <w:tcPr>
            <w:tcW w:w="1250" w:type="pct"/>
            <w:shd w:val="clear" w:color="auto" w:fill="FFFFFF"/>
            <w:vAlign w:val="center"/>
          </w:tcPr>
          <w:p w14:paraId="4981D30A" w14:textId="144A41D3" w:rsidR="00B338EA" w:rsidRPr="00B57B36" w:rsidRDefault="00B338EA" w:rsidP="00B338EA">
            <w:pPr>
              <w:pStyle w:val="CETBodytext"/>
              <w:ind w:right="-1"/>
              <w:rPr>
                <w:rFonts w:cs="Arial"/>
                <w:szCs w:val="18"/>
                <w:lang w:val="en-GB"/>
              </w:rPr>
            </w:pPr>
            <w:r w:rsidRPr="008200C5">
              <w:t>PENONION II</w:t>
            </w:r>
          </w:p>
        </w:tc>
        <w:tc>
          <w:tcPr>
            <w:tcW w:w="1250" w:type="pct"/>
            <w:shd w:val="clear" w:color="auto" w:fill="FFFFFF"/>
            <w:vAlign w:val="center"/>
          </w:tcPr>
          <w:p w14:paraId="5EF8B258" w14:textId="095A01F6" w:rsidR="00B338EA" w:rsidRPr="00B57B36" w:rsidRDefault="00B338EA" w:rsidP="00B338EA">
            <w:pPr>
              <w:pStyle w:val="CETBodytext"/>
              <w:ind w:right="-1"/>
              <w:jc w:val="center"/>
              <w:rPr>
                <w:rFonts w:cs="Arial"/>
                <w:szCs w:val="18"/>
                <w:lang w:val="en-GB"/>
              </w:rPr>
            </w:pPr>
            <w:r w:rsidRPr="008F22CD">
              <w:rPr>
                <w:lang w:val="en-GB"/>
              </w:rPr>
              <w:t>Non-ionic</w:t>
            </w:r>
          </w:p>
        </w:tc>
        <w:tc>
          <w:tcPr>
            <w:tcW w:w="1250" w:type="pct"/>
            <w:shd w:val="clear" w:color="auto" w:fill="FFFFFF"/>
            <w:vAlign w:val="center"/>
          </w:tcPr>
          <w:p w14:paraId="323264BF" w14:textId="422442FD" w:rsidR="00B338EA" w:rsidRPr="00B57B36" w:rsidRDefault="00B338EA" w:rsidP="00B338EA">
            <w:pPr>
              <w:pStyle w:val="CETBodytext"/>
              <w:ind w:right="-1"/>
              <w:jc w:val="center"/>
              <w:rPr>
                <w:rFonts w:cs="Arial"/>
                <w:szCs w:val="18"/>
                <w:lang w:val="en-GB"/>
              </w:rPr>
            </w:pPr>
            <w:proofErr w:type="spellStart"/>
            <w:r>
              <w:t>Diethanol</w:t>
            </w:r>
            <w:proofErr w:type="spellEnd"/>
            <w:r>
              <w:t xml:space="preserve"> amine</w:t>
            </w:r>
            <w:r w:rsidRPr="00B338EA">
              <w:t xml:space="preserve"> and </w:t>
            </w:r>
            <w:r>
              <w:t>v</w:t>
            </w:r>
            <w:r w:rsidRPr="00B338EA">
              <w:t>egetable oil reaction product</w:t>
            </w:r>
          </w:p>
        </w:tc>
        <w:tc>
          <w:tcPr>
            <w:tcW w:w="1250" w:type="pct"/>
            <w:shd w:val="clear" w:color="auto" w:fill="FFFFFF"/>
            <w:vAlign w:val="center"/>
          </w:tcPr>
          <w:p w14:paraId="4F58CCAF" w14:textId="28492344" w:rsidR="00B338EA" w:rsidRPr="00B57B36" w:rsidRDefault="00B338EA" w:rsidP="00B338EA">
            <w:pPr>
              <w:pStyle w:val="CETBodytext"/>
              <w:ind w:right="-1"/>
              <w:jc w:val="center"/>
              <w:rPr>
                <w:rFonts w:cs="Arial"/>
                <w:szCs w:val="18"/>
                <w:lang w:val="en-GB"/>
              </w:rPr>
            </w:pPr>
            <w:r>
              <w:rPr>
                <w:lang w:val="en-GB"/>
              </w:rPr>
              <w:t>MOL-LUB Ltd.</w:t>
            </w:r>
          </w:p>
        </w:tc>
      </w:tr>
      <w:tr w:rsidR="00B338EA" w:rsidRPr="00B57B36" w14:paraId="1A71D6A3" w14:textId="77777777" w:rsidTr="00B338EA">
        <w:tc>
          <w:tcPr>
            <w:tcW w:w="1250" w:type="pct"/>
            <w:shd w:val="clear" w:color="auto" w:fill="FFFFFF"/>
            <w:vAlign w:val="center"/>
          </w:tcPr>
          <w:p w14:paraId="1789EE3E" w14:textId="5078D5F1" w:rsidR="00B338EA" w:rsidRPr="00BD27A0" w:rsidRDefault="00B338EA" w:rsidP="00B338EA">
            <w:pPr>
              <w:pStyle w:val="CETBodytext"/>
              <w:ind w:right="-1"/>
            </w:pPr>
            <w:r w:rsidRPr="008200C5">
              <w:t>PENONION III</w:t>
            </w:r>
          </w:p>
        </w:tc>
        <w:tc>
          <w:tcPr>
            <w:tcW w:w="1250" w:type="pct"/>
            <w:shd w:val="clear" w:color="auto" w:fill="FFFFFF"/>
            <w:vAlign w:val="center"/>
          </w:tcPr>
          <w:p w14:paraId="40874539" w14:textId="60976D68" w:rsidR="00B338EA" w:rsidRPr="00BD27A0" w:rsidRDefault="00B338EA" w:rsidP="00B338EA">
            <w:pPr>
              <w:pStyle w:val="CETBodytext"/>
              <w:ind w:right="-1"/>
              <w:jc w:val="center"/>
            </w:pPr>
            <w:r w:rsidRPr="008F22CD">
              <w:rPr>
                <w:lang w:val="en-GB"/>
              </w:rPr>
              <w:t>Non-ionic</w:t>
            </w:r>
          </w:p>
        </w:tc>
        <w:tc>
          <w:tcPr>
            <w:tcW w:w="1250" w:type="pct"/>
            <w:shd w:val="clear" w:color="auto" w:fill="FFFFFF"/>
            <w:vAlign w:val="center"/>
          </w:tcPr>
          <w:p w14:paraId="493A77DA" w14:textId="777BF7E2" w:rsidR="00B338EA" w:rsidRPr="00BD27A0" w:rsidRDefault="00B338EA" w:rsidP="00B338EA">
            <w:pPr>
              <w:pStyle w:val="CETBodytext"/>
              <w:ind w:right="-1"/>
              <w:jc w:val="center"/>
            </w:pPr>
            <w:r w:rsidRPr="00B338EA">
              <w:t xml:space="preserve">Polyethylene-glycol and </w:t>
            </w:r>
            <w:r>
              <w:t>v</w:t>
            </w:r>
            <w:r w:rsidRPr="00B338EA">
              <w:t>egetable oil reaction product</w:t>
            </w:r>
          </w:p>
        </w:tc>
        <w:tc>
          <w:tcPr>
            <w:tcW w:w="1250" w:type="pct"/>
            <w:shd w:val="clear" w:color="auto" w:fill="FFFFFF"/>
            <w:vAlign w:val="center"/>
          </w:tcPr>
          <w:p w14:paraId="230E1D1D" w14:textId="18DAA718" w:rsidR="00B338EA" w:rsidRPr="00BD27A0" w:rsidRDefault="00B338EA" w:rsidP="00B338EA">
            <w:pPr>
              <w:pStyle w:val="CETBodytext"/>
              <w:ind w:right="-1"/>
              <w:jc w:val="center"/>
            </w:pPr>
            <w:r>
              <w:rPr>
                <w:lang w:val="en-GB"/>
              </w:rPr>
              <w:t>MOL-LUB Ltd.</w:t>
            </w:r>
          </w:p>
        </w:tc>
      </w:tr>
    </w:tbl>
    <w:p w14:paraId="46C51A70" w14:textId="77777777" w:rsidR="00B338EA" w:rsidRDefault="00B338EA" w:rsidP="007B52F2">
      <w:pPr>
        <w:pStyle w:val="CETBodytext"/>
      </w:pPr>
    </w:p>
    <w:p w14:paraId="6C7AFB71" w14:textId="413FC714" w:rsidR="007B52F2" w:rsidRDefault="007B52F2" w:rsidP="007B52F2">
      <w:pPr>
        <w:pStyle w:val="CETBodytext"/>
      </w:pPr>
      <w:r>
        <w:t xml:space="preserve">The concentrations used were 15 </w:t>
      </w:r>
      <w:r w:rsidR="00950A36">
        <w:t>g/L</w:t>
      </w:r>
      <w:r>
        <w:t xml:space="preserve"> for surfactants and 1 </w:t>
      </w:r>
      <w:r w:rsidR="00950A36">
        <w:t>g/L</w:t>
      </w:r>
      <w:r>
        <w:t xml:space="preserve"> for polymer solutions. These solutions were prepared using natural brine sourced from the </w:t>
      </w:r>
      <w:proofErr w:type="spellStart"/>
      <w:r>
        <w:t>Algyő</w:t>
      </w:r>
      <w:proofErr w:type="spellEnd"/>
      <w:r>
        <w:t xml:space="preserve"> petroleum reservoir. The surfactant-containing solutions were created by homogenizing the components in different ratios using UD 11 type ultrasonic equipment (</w:t>
      </w:r>
      <w:proofErr w:type="spellStart"/>
      <w:r>
        <w:t>Schoeller</w:t>
      </w:r>
      <w:proofErr w:type="spellEnd"/>
      <w:r>
        <w:t xml:space="preserve"> and Co., 250W, 20 kHz). The detailed composition of the mixtures is provided in Table </w:t>
      </w:r>
      <w:r w:rsidR="00416375">
        <w:t>2</w:t>
      </w:r>
      <w:r>
        <w:t>.</w:t>
      </w:r>
    </w:p>
    <w:p w14:paraId="4DAEC053" w14:textId="34F66D9F" w:rsidR="005C1EA2" w:rsidRDefault="005C1EA2" w:rsidP="00611769">
      <w:pPr>
        <w:pStyle w:val="CETTabletitle"/>
      </w:pPr>
      <w:r w:rsidRPr="00611769">
        <w:t xml:space="preserve">Table </w:t>
      </w:r>
      <w:r w:rsidR="00416375">
        <w:t>2</w:t>
      </w:r>
      <w:r w:rsidRPr="00611769">
        <w:t>: Composition of the surfactants and polymer-surfactant mixtures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54"/>
        <w:gridCol w:w="1255"/>
        <w:gridCol w:w="1255"/>
        <w:gridCol w:w="1255"/>
        <w:gridCol w:w="1255"/>
        <w:gridCol w:w="1255"/>
        <w:gridCol w:w="1258"/>
      </w:tblGrid>
      <w:tr w:rsidR="00F74245" w:rsidRPr="00B57B36" w14:paraId="338A3C31" w14:textId="00F007AF" w:rsidTr="00181185">
        <w:tc>
          <w:tcPr>
            <w:tcW w:w="714" w:type="pct"/>
            <w:tcBorders>
              <w:top w:val="single" w:sz="12" w:space="0" w:color="008000"/>
              <w:bottom w:val="nil"/>
            </w:tcBorders>
            <w:shd w:val="clear" w:color="auto" w:fill="FFFFFF"/>
            <w:vAlign w:val="center"/>
          </w:tcPr>
          <w:p w14:paraId="740FAC7F" w14:textId="1BFB9FFE" w:rsidR="00F74245" w:rsidRPr="00B57B36" w:rsidRDefault="00F74245" w:rsidP="00F74245">
            <w:pPr>
              <w:pStyle w:val="CETBodytext"/>
              <w:jc w:val="left"/>
              <w:rPr>
                <w:lang w:val="en-GB"/>
              </w:rPr>
            </w:pPr>
            <w:r w:rsidRPr="001E04C6">
              <w:t>Samples</w:t>
            </w:r>
          </w:p>
        </w:tc>
        <w:tc>
          <w:tcPr>
            <w:tcW w:w="714" w:type="pct"/>
            <w:tcBorders>
              <w:top w:val="single" w:sz="12" w:space="0" w:color="008000"/>
              <w:bottom w:val="nil"/>
            </w:tcBorders>
            <w:shd w:val="clear" w:color="auto" w:fill="FFFFFF"/>
            <w:vAlign w:val="center"/>
          </w:tcPr>
          <w:p w14:paraId="1859852A" w14:textId="6705DCD0" w:rsidR="00F74245" w:rsidRPr="00B57B36" w:rsidRDefault="00F74245" w:rsidP="00F74245">
            <w:pPr>
              <w:pStyle w:val="CETBodytext"/>
              <w:jc w:val="center"/>
              <w:rPr>
                <w:lang w:val="en-GB"/>
              </w:rPr>
            </w:pPr>
            <w:r w:rsidRPr="001E04C6">
              <w:t>SURF-1</w:t>
            </w:r>
          </w:p>
        </w:tc>
        <w:tc>
          <w:tcPr>
            <w:tcW w:w="714" w:type="pct"/>
            <w:tcBorders>
              <w:top w:val="single" w:sz="12" w:space="0" w:color="008000"/>
              <w:bottom w:val="nil"/>
            </w:tcBorders>
            <w:shd w:val="clear" w:color="auto" w:fill="FFFFFF"/>
            <w:vAlign w:val="center"/>
          </w:tcPr>
          <w:p w14:paraId="3D566E01" w14:textId="5F593D04" w:rsidR="00F74245" w:rsidRPr="00B57B36" w:rsidRDefault="00F74245" w:rsidP="00F74245">
            <w:pPr>
              <w:pStyle w:val="CETBodytext"/>
              <w:jc w:val="center"/>
              <w:rPr>
                <w:lang w:val="en-GB"/>
              </w:rPr>
            </w:pPr>
            <w:r w:rsidRPr="001E04C6">
              <w:t>SURF-2</w:t>
            </w:r>
          </w:p>
        </w:tc>
        <w:tc>
          <w:tcPr>
            <w:tcW w:w="714" w:type="pct"/>
            <w:tcBorders>
              <w:top w:val="single" w:sz="12" w:space="0" w:color="008000"/>
              <w:bottom w:val="nil"/>
            </w:tcBorders>
            <w:shd w:val="clear" w:color="auto" w:fill="FFFFFF"/>
            <w:vAlign w:val="center"/>
          </w:tcPr>
          <w:p w14:paraId="37C6FCB9" w14:textId="7D86BB4F" w:rsidR="00F74245" w:rsidRPr="00B57B36" w:rsidRDefault="00F74245" w:rsidP="00F74245">
            <w:pPr>
              <w:pStyle w:val="CETBodytext"/>
              <w:ind w:right="-1"/>
              <w:jc w:val="center"/>
              <w:rPr>
                <w:rFonts w:cs="Arial"/>
                <w:szCs w:val="18"/>
                <w:lang w:val="en-GB"/>
              </w:rPr>
            </w:pPr>
            <w:r w:rsidRPr="001E04C6">
              <w:t>SURF-3</w:t>
            </w:r>
          </w:p>
        </w:tc>
        <w:tc>
          <w:tcPr>
            <w:tcW w:w="714" w:type="pct"/>
            <w:tcBorders>
              <w:top w:val="single" w:sz="12" w:space="0" w:color="008000"/>
              <w:bottom w:val="nil"/>
            </w:tcBorders>
            <w:shd w:val="clear" w:color="auto" w:fill="FFFFFF"/>
            <w:vAlign w:val="center"/>
          </w:tcPr>
          <w:p w14:paraId="67DA0F4F" w14:textId="34CCC561" w:rsidR="00F74245" w:rsidRPr="00B57B36" w:rsidRDefault="00F74245" w:rsidP="00F74245">
            <w:pPr>
              <w:pStyle w:val="CETBodytext"/>
              <w:ind w:right="-1"/>
              <w:jc w:val="center"/>
              <w:rPr>
                <w:rFonts w:cs="Arial"/>
                <w:szCs w:val="18"/>
                <w:lang w:val="en-GB"/>
              </w:rPr>
            </w:pPr>
            <w:r w:rsidRPr="001E04C6">
              <w:t>P+SURF-1</w:t>
            </w:r>
          </w:p>
        </w:tc>
        <w:tc>
          <w:tcPr>
            <w:tcW w:w="714" w:type="pct"/>
            <w:tcBorders>
              <w:top w:val="single" w:sz="12" w:space="0" w:color="008000"/>
              <w:bottom w:val="nil"/>
            </w:tcBorders>
            <w:shd w:val="clear" w:color="auto" w:fill="FFFFFF"/>
            <w:vAlign w:val="center"/>
          </w:tcPr>
          <w:p w14:paraId="13636CAA" w14:textId="2EBCE17F" w:rsidR="00F74245" w:rsidRPr="00B57B36" w:rsidRDefault="00F74245" w:rsidP="00F74245">
            <w:pPr>
              <w:pStyle w:val="CETBodytext"/>
              <w:ind w:right="-1"/>
              <w:jc w:val="center"/>
              <w:rPr>
                <w:rFonts w:cs="Arial"/>
                <w:szCs w:val="18"/>
                <w:lang w:val="en-GB"/>
              </w:rPr>
            </w:pPr>
            <w:r w:rsidRPr="001E04C6">
              <w:t>P+SURF-2</w:t>
            </w:r>
          </w:p>
        </w:tc>
        <w:tc>
          <w:tcPr>
            <w:tcW w:w="716" w:type="pct"/>
            <w:tcBorders>
              <w:top w:val="single" w:sz="12" w:space="0" w:color="008000"/>
              <w:bottom w:val="nil"/>
            </w:tcBorders>
            <w:shd w:val="clear" w:color="auto" w:fill="FFFFFF"/>
            <w:vAlign w:val="center"/>
          </w:tcPr>
          <w:p w14:paraId="684C700D" w14:textId="1F239503" w:rsidR="00F74245" w:rsidRPr="00B57B36" w:rsidRDefault="00F74245" w:rsidP="00F74245">
            <w:pPr>
              <w:pStyle w:val="CETBodytext"/>
              <w:ind w:right="-1"/>
              <w:jc w:val="center"/>
              <w:rPr>
                <w:rFonts w:cs="Arial"/>
                <w:szCs w:val="18"/>
                <w:lang w:val="en-GB"/>
              </w:rPr>
            </w:pPr>
            <w:r w:rsidRPr="001E04C6">
              <w:t>P+SURF-3</w:t>
            </w:r>
          </w:p>
        </w:tc>
      </w:tr>
      <w:tr w:rsidR="00F74245" w:rsidRPr="00B57B36" w14:paraId="3AB5B5A7" w14:textId="77777777" w:rsidTr="00F74245">
        <w:tc>
          <w:tcPr>
            <w:tcW w:w="714" w:type="pct"/>
            <w:tcBorders>
              <w:top w:val="nil"/>
              <w:bottom w:val="single" w:sz="6" w:space="0" w:color="008000"/>
            </w:tcBorders>
            <w:shd w:val="clear" w:color="auto" w:fill="FFFFFF"/>
            <w:vAlign w:val="center"/>
          </w:tcPr>
          <w:p w14:paraId="6C16063E" w14:textId="36DD4951" w:rsidR="00F74245" w:rsidRPr="00B57B36" w:rsidRDefault="00F74245" w:rsidP="00F74245">
            <w:pPr>
              <w:pStyle w:val="CETBodytext"/>
              <w:jc w:val="left"/>
              <w:rPr>
                <w:lang w:val="en-GB"/>
              </w:rPr>
            </w:pPr>
            <w:r w:rsidRPr="008200C5">
              <w:t>Components</w:t>
            </w:r>
          </w:p>
        </w:tc>
        <w:tc>
          <w:tcPr>
            <w:tcW w:w="4286" w:type="pct"/>
            <w:gridSpan w:val="6"/>
            <w:tcBorders>
              <w:top w:val="nil"/>
              <w:bottom w:val="single" w:sz="6" w:space="0" w:color="008000"/>
            </w:tcBorders>
            <w:shd w:val="clear" w:color="auto" w:fill="FFFFFF"/>
            <w:vAlign w:val="center"/>
          </w:tcPr>
          <w:p w14:paraId="55B5CE3C" w14:textId="179A9C10" w:rsidR="00F74245" w:rsidRPr="00B57B36" w:rsidRDefault="00F74245" w:rsidP="00F74245">
            <w:pPr>
              <w:pStyle w:val="CETBodytext"/>
              <w:ind w:right="-1"/>
              <w:jc w:val="center"/>
              <w:rPr>
                <w:rFonts w:cs="Arial"/>
                <w:szCs w:val="18"/>
                <w:lang w:val="en-GB"/>
              </w:rPr>
            </w:pPr>
            <w:r w:rsidRPr="00F74245">
              <w:rPr>
                <w:rFonts w:cs="Arial"/>
                <w:szCs w:val="18"/>
                <w:lang w:val="en-GB"/>
              </w:rPr>
              <w:t>Concentration of components, w/w %</w:t>
            </w:r>
          </w:p>
        </w:tc>
      </w:tr>
      <w:tr w:rsidR="00181185" w:rsidRPr="00B57B36" w14:paraId="0D8D939E" w14:textId="69B09A60" w:rsidTr="00181185">
        <w:tc>
          <w:tcPr>
            <w:tcW w:w="714" w:type="pct"/>
            <w:shd w:val="clear" w:color="auto" w:fill="FFFFFF"/>
            <w:vAlign w:val="center"/>
          </w:tcPr>
          <w:p w14:paraId="5933EC41" w14:textId="117646B9" w:rsidR="00181185" w:rsidRPr="00B57B36" w:rsidRDefault="00181185" w:rsidP="00181185">
            <w:pPr>
              <w:pStyle w:val="CETBodytext"/>
              <w:jc w:val="left"/>
              <w:rPr>
                <w:lang w:val="en-GB"/>
              </w:rPr>
            </w:pPr>
            <w:r w:rsidRPr="008200C5">
              <w:t>MOLANION</w:t>
            </w:r>
          </w:p>
        </w:tc>
        <w:tc>
          <w:tcPr>
            <w:tcW w:w="714" w:type="pct"/>
            <w:shd w:val="clear" w:color="auto" w:fill="FFFFFF"/>
            <w:vAlign w:val="center"/>
          </w:tcPr>
          <w:p w14:paraId="37FB6C41" w14:textId="186AB187" w:rsidR="00181185" w:rsidRPr="00B57B36" w:rsidRDefault="00181185" w:rsidP="00181185">
            <w:pPr>
              <w:pStyle w:val="CETBodytext"/>
              <w:jc w:val="center"/>
              <w:rPr>
                <w:lang w:val="en-GB"/>
              </w:rPr>
            </w:pPr>
            <w:r w:rsidRPr="00DE68E2">
              <w:t>8.25</w:t>
            </w:r>
          </w:p>
        </w:tc>
        <w:tc>
          <w:tcPr>
            <w:tcW w:w="714" w:type="pct"/>
            <w:shd w:val="clear" w:color="auto" w:fill="FFFFFF"/>
            <w:vAlign w:val="center"/>
          </w:tcPr>
          <w:p w14:paraId="4374D001" w14:textId="50294A81" w:rsidR="00181185" w:rsidRPr="00B57B36" w:rsidRDefault="00181185" w:rsidP="00181185">
            <w:pPr>
              <w:pStyle w:val="CETBodytext"/>
              <w:jc w:val="center"/>
              <w:rPr>
                <w:lang w:val="en-GB"/>
              </w:rPr>
            </w:pPr>
            <w:r w:rsidRPr="00DE68E2">
              <w:t>9</w:t>
            </w:r>
          </w:p>
        </w:tc>
        <w:tc>
          <w:tcPr>
            <w:tcW w:w="714" w:type="pct"/>
            <w:shd w:val="clear" w:color="auto" w:fill="FFFFFF"/>
            <w:vAlign w:val="center"/>
          </w:tcPr>
          <w:p w14:paraId="735CA0C2" w14:textId="69F80377" w:rsidR="00181185" w:rsidRPr="00B57B36" w:rsidRDefault="00181185" w:rsidP="00181185">
            <w:pPr>
              <w:pStyle w:val="CETBodytext"/>
              <w:ind w:right="-1"/>
              <w:jc w:val="center"/>
              <w:rPr>
                <w:rFonts w:cs="Arial"/>
                <w:szCs w:val="18"/>
                <w:lang w:val="en-GB"/>
              </w:rPr>
            </w:pPr>
            <w:r w:rsidRPr="00DE68E2">
              <w:t>8.25</w:t>
            </w:r>
          </w:p>
        </w:tc>
        <w:tc>
          <w:tcPr>
            <w:tcW w:w="714" w:type="pct"/>
            <w:shd w:val="clear" w:color="auto" w:fill="FFFFFF"/>
            <w:vAlign w:val="center"/>
          </w:tcPr>
          <w:p w14:paraId="43902FFB" w14:textId="5B1C151F" w:rsidR="00181185" w:rsidRPr="00B57B36" w:rsidRDefault="00181185" w:rsidP="00181185">
            <w:pPr>
              <w:pStyle w:val="CETBodytext"/>
              <w:ind w:right="-1"/>
              <w:jc w:val="center"/>
              <w:rPr>
                <w:rFonts w:cs="Arial"/>
                <w:szCs w:val="18"/>
                <w:lang w:val="en-GB"/>
              </w:rPr>
            </w:pPr>
            <w:r w:rsidRPr="00DE68E2">
              <w:t>7.73</w:t>
            </w:r>
          </w:p>
        </w:tc>
        <w:tc>
          <w:tcPr>
            <w:tcW w:w="714" w:type="pct"/>
            <w:shd w:val="clear" w:color="auto" w:fill="FFFFFF"/>
            <w:vAlign w:val="center"/>
          </w:tcPr>
          <w:p w14:paraId="371F3755" w14:textId="5F63336E" w:rsidR="00181185" w:rsidRPr="00B57B36" w:rsidRDefault="00181185" w:rsidP="00181185">
            <w:pPr>
              <w:pStyle w:val="CETBodytext"/>
              <w:ind w:right="-1"/>
              <w:jc w:val="center"/>
              <w:rPr>
                <w:rFonts w:cs="Arial"/>
                <w:szCs w:val="18"/>
                <w:lang w:val="en-GB"/>
              </w:rPr>
            </w:pPr>
            <w:r w:rsidRPr="00DE68E2">
              <w:t>8.44</w:t>
            </w:r>
          </w:p>
        </w:tc>
        <w:tc>
          <w:tcPr>
            <w:tcW w:w="716" w:type="pct"/>
            <w:shd w:val="clear" w:color="auto" w:fill="FFFFFF"/>
            <w:vAlign w:val="center"/>
          </w:tcPr>
          <w:p w14:paraId="439A8548" w14:textId="6BA99E5F" w:rsidR="00181185" w:rsidRPr="00B57B36" w:rsidRDefault="00181185" w:rsidP="00181185">
            <w:pPr>
              <w:pStyle w:val="CETBodytext"/>
              <w:ind w:right="-1"/>
              <w:jc w:val="center"/>
              <w:rPr>
                <w:rFonts w:cs="Arial"/>
                <w:szCs w:val="18"/>
                <w:lang w:val="en-GB"/>
              </w:rPr>
            </w:pPr>
            <w:r w:rsidRPr="00DE68E2">
              <w:t>7.73</w:t>
            </w:r>
          </w:p>
        </w:tc>
      </w:tr>
      <w:tr w:rsidR="00181185" w:rsidRPr="00B57B36" w14:paraId="0648769B" w14:textId="0135D28A" w:rsidTr="00181185">
        <w:tc>
          <w:tcPr>
            <w:tcW w:w="714" w:type="pct"/>
            <w:shd w:val="clear" w:color="auto" w:fill="FFFFFF"/>
            <w:vAlign w:val="center"/>
          </w:tcPr>
          <w:p w14:paraId="0B64C94D" w14:textId="0183F104" w:rsidR="00181185" w:rsidRPr="00B57B36" w:rsidRDefault="00181185" w:rsidP="00181185">
            <w:pPr>
              <w:pStyle w:val="CETBodytext"/>
              <w:ind w:right="-1"/>
              <w:jc w:val="left"/>
              <w:rPr>
                <w:rFonts w:cs="Arial"/>
                <w:szCs w:val="18"/>
                <w:lang w:val="en-GB"/>
              </w:rPr>
            </w:pPr>
            <w:r w:rsidRPr="008200C5">
              <w:t>PENONION I</w:t>
            </w:r>
          </w:p>
        </w:tc>
        <w:tc>
          <w:tcPr>
            <w:tcW w:w="714" w:type="pct"/>
            <w:shd w:val="clear" w:color="auto" w:fill="FFFFFF"/>
            <w:vAlign w:val="center"/>
          </w:tcPr>
          <w:p w14:paraId="348B4B97" w14:textId="7BB8F5BF" w:rsidR="00181185" w:rsidRPr="00B57B36" w:rsidRDefault="00181185" w:rsidP="00181185">
            <w:pPr>
              <w:pStyle w:val="CETBodytext"/>
              <w:ind w:right="-1"/>
              <w:jc w:val="center"/>
              <w:rPr>
                <w:rFonts w:cs="Arial"/>
                <w:szCs w:val="18"/>
                <w:lang w:val="en-GB"/>
              </w:rPr>
            </w:pPr>
            <w:r w:rsidRPr="00DE68E2">
              <w:t>3.75</w:t>
            </w:r>
          </w:p>
        </w:tc>
        <w:tc>
          <w:tcPr>
            <w:tcW w:w="714" w:type="pct"/>
            <w:shd w:val="clear" w:color="auto" w:fill="FFFFFF"/>
            <w:vAlign w:val="center"/>
          </w:tcPr>
          <w:p w14:paraId="5EDFB7AB" w14:textId="01B8AB15" w:rsidR="00181185" w:rsidRPr="00B57B36" w:rsidRDefault="00181185" w:rsidP="00181185">
            <w:pPr>
              <w:pStyle w:val="CETBodytext"/>
              <w:ind w:right="-1"/>
              <w:jc w:val="center"/>
              <w:rPr>
                <w:rFonts w:cs="Arial"/>
                <w:szCs w:val="18"/>
                <w:lang w:val="en-GB"/>
              </w:rPr>
            </w:pPr>
            <w:r w:rsidRPr="00DE68E2">
              <w:t>6</w:t>
            </w:r>
          </w:p>
        </w:tc>
        <w:tc>
          <w:tcPr>
            <w:tcW w:w="714" w:type="pct"/>
            <w:shd w:val="clear" w:color="auto" w:fill="FFFFFF"/>
            <w:vAlign w:val="center"/>
          </w:tcPr>
          <w:p w14:paraId="479616D4" w14:textId="6AA9C8FD" w:rsidR="00181185" w:rsidRPr="00B57B36" w:rsidRDefault="00181185" w:rsidP="00181185">
            <w:pPr>
              <w:pStyle w:val="CETBodytext"/>
              <w:ind w:right="-1"/>
              <w:jc w:val="center"/>
              <w:rPr>
                <w:rFonts w:cs="Arial"/>
                <w:szCs w:val="18"/>
                <w:lang w:val="en-GB"/>
              </w:rPr>
            </w:pPr>
            <w:r w:rsidRPr="00DE68E2">
              <w:t>3.75</w:t>
            </w:r>
          </w:p>
        </w:tc>
        <w:tc>
          <w:tcPr>
            <w:tcW w:w="714" w:type="pct"/>
            <w:shd w:val="clear" w:color="auto" w:fill="FFFFFF"/>
            <w:vAlign w:val="center"/>
          </w:tcPr>
          <w:p w14:paraId="63F69895" w14:textId="24880080" w:rsidR="00181185" w:rsidRPr="00B57B36" w:rsidRDefault="00181185" w:rsidP="00181185">
            <w:pPr>
              <w:pStyle w:val="CETBodytext"/>
              <w:ind w:right="-1"/>
              <w:jc w:val="center"/>
              <w:rPr>
                <w:rFonts w:cs="Arial"/>
                <w:szCs w:val="18"/>
                <w:lang w:val="en-GB"/>
              </w:rPr>
            </w:pPr>
            <w:r w:rsidRPr="00DE68E2">
              <w:t>3.52</w:t>
            </w:r>
          </w:p>
        </w:tc>
        <w:tc>
          <w:tcPr>
            <w:tcW w:w="714" w:type="pct"/>
            <w:shd w:val="clear" w:color="auto" w:fill="FFFFFF"/>
            <w:vAlign w:val="center"/>
          </w:tcPr>
          <w:p w14:paraId="08DAA6AB" w14:textId="1087E700" w:rsidR="00181185" w:rsidRPr="00B57B36" w:rsidRDefault="00181185" w:rsidP="00181185">
            <w:pPr>
              <w:pStyle w:val="CETBodytext"/>
              <w:ind w:right="-1"/>
              <w:jc w:val="center"/>
              <w:rPr>
                <w:rFonts w:cs="Arial"/>
                <w:szCs w:val="18"/>
                <w:lang w:val="en-GB"/>
              </w:rPr>
            </w:pPr>
            <w:r w:rsidRPr="00DE68E2">
              <w:t>5.63</w:t>
            </w:r>
          </w:p>
        </w:tc>
        <w:tc>
          <w:tcPr>
            <w:tcW w:w="716" w:type="pct"/>
            <w:shd w:val="clear" w:color="auto" w:fill="FFFFFF"/>
            <w:vAlign w:val="center"/>
          </w:tcPr>
          <w:p w14:paraId="473899E1" w14:textId="652DA350" w:rsidR="00181185" w:rsidRPr="00B57B36" w:rsidRDefault="00181185" w:rsidP="00181185">
            <w:pPr>
              <w:pStyle w:val="CETBodytext"/>
              <w:ind w:right="-1"/>
              <w:jc w:val="center"/>
              <w:rPr>
                <w:rFonts w:cs="Arial"/>
                <w:szCs w:val="18"/>
                <w:lang w:val="en-GB"/>
              </w:rPr>
            </w:pPr>
            <w:r w:rsidRPr="00DE68E2">
              <w:t>3.52</w:t>
            </w:r>
          </w:p>
        </w:tc>
      </w:tr>
      <w:tr w:rsidR="00181185" w:rsidRPr="00B57B36" w14:paraId="69F482D2" w14:textId="77777777" w:rsidTr="00181185">
        <w:tc>
          <w:tcPr>
            <w:tcW w:w="714" w:type="pct"/>
            <w:shd w:val="clear" w:color="auto" w:fill="FFFFFF"/>
            <w:vAlign w:val="center"/>
          </w:tcPr>
          <w:p w14:paraId="1B30F5BA" w14:textId="3DC1D6B5" w:rsidR="00181185" w:rsidRPr="00B57B36" w:rsidRDefault="00181185" w:rsidP="00181185">
            <w:pPr>
              <w:pStyle w:val="CETBodytext"/>
              <w:ind w:right="-1"/>
              <w:jc w:val="left"/>
              <w:rPr>
                <w:rFonts w:cs="Arial"/>
                <w:szCs w:val="18"/>
                <w:lang w:val="en-GB"/>
              </w:rPr>
            </w:pPr>
            <w:r w:rsidRPr="008200C5">
              <w:t>PENONION II</w:t>
            </w:r>
          </w:p>
        </w:tc>
        <w:tc>
          <w:tcPr>
            <w:tcW w:w="714" w:type="pct"/>
            <w:shd w:val="clear" w:color="auto" w:fill="FFFFFF"/>
            <w:vAlign w:val="center"/>
          </w:tcPr>
          <w:p w14:paraId="404F96AB" w14:textId="48B5B3D5" w:rsidR="00181185" w:rsidRPr="00B57B36" w:rsidRDefault="00181185" w:rsidP="00181185">
            <w:pPr>
              <w:pStyle w:val="CETBodytext"/>
              <w:ind w:right="-1"/>
              <w:jc w:val="center"/>
              <w:rPr>
                <w:rFonts w:cs="Arial"/>
                <w:szCs w:val="18"/>
                <w:lang w:val="en-GB"/>
              </w:rPr>
            </w:pPr>
            <w:r w:rsidRPr="00DE68E2">
              <w:t>3</w:t>
            </w:r>
          </w:p>
        </w:tc>
        <w:tc>
          <w:tcPr>
            <w:tcW w:w="714" w:type="pct"/>
            <w:shd w:val="clear" w:color="auto" w:fill="FFFFFF"/>
            <w:vAlign w:val="center"/>
          </w:tcPr>
          <w:p w14:paraId="4853FD81" w14:textId="7DC0BB21" w:rsidR="00181185" w:rsidRPr="00B57B36" w:rsidRDefault="00181185" w:rsidP="00181185">
            <w:pPr>
              <w:pStyle w:val="CETBodytext"/>
              <w:ind w:right="-1"/>
              <w:jc w:val="center"/>
              <w:rPr>
                <w:rFonts w:cs="Arial"/>
                <w:szCs w:val="18"/>
                <w:lang w:val="en-GB"/>
              </w:rPr>
            </w:pPr>
            <w:r w:rsidRPr="00DE68E2">
              <w:t>-</w:t>
            </w:r>
          </w:p>
        </w:tc>
        <w:tc>
          <w:tcPr>
            <w:tcW w:w="714" w:type="pct"/>
            <w:shd w:val="clear" w:color="auto" w:fill="FFFFFF"/>
            <w:vAlign w:val="center"/>
          </w:tcPr>
          <w:p w14:paraId="59312078" w14:textId="38BEA8E2" w:rsidR="00181185" w:rsidRPr="00B57B36" w:rsidRDefault="00181185" w:rsidP="00181185">
            <w:pPr>
              <w:pStyle w:val="CETBodytext"/>
              <w:ind w:right="-1"/>
              <w:jc w:val="center"/>
              <w:rPr>
                <w:rFonts w:cs="Arial"/>
                <w:szCs w:val="18"/>
                <w:lang w:val="en-GB"/>
              </w:rPr>
            </w:pPr>
            <w:r>
              <w:rPr>
                <w:rFonts w:cs="Arial"/>
                <w:szCs w:val="18"/>
                <w:lang w:val="en-GB"/>
              </w:rPr>
              <w:t>-</w:t>
            </w:r>
          </w:p>
        </w:tc>
        <w:tc>
          <w:tcPr>
            <w:tcW w:w="714" w:type="pct"/>
            <w:shd w:val="clear" w:color="auto" w:fill="FFFFFF"/>
            <w:vAlign w:val="center"/>
          </w:tcPr>
          <w:p w14:paraId="4CB776EE" w14:textId="65D7EF80" w:rsidR="00181185" w:rsidRPr="00B57B36" w:rsidRDefault="00181185" w:rsidP="00181185">
            <w:pPr>
              <w:pStyle w:val="CETBodytext"/>
              <w:ind w:right="-1"/>
              <w:jc w:val="center"/>
              <w:rPr>
                <w:rFonts w:cs="Arial"/>
                <w:szCs w:val="18"/>
                <w:lang w:val="en-GB"/>
              </w:rPr>
            </w:pPr>
            <w:r w:rsidRPr="00DE68E2">
              <w:t>2.81</w:t>
            </w:r>
          </w:p>
        </w:tc>
        <w:tc>
          <w:tcPr>
            <w:tcW w:w="714" w:type="pct"/>
            <w:shd w:val="clear" w:color="auto" w:fill="FFFFFF"/>
            <w:vAlign w:val="center"/>
          </w:tcPr>
          <w:p w14:paraId="355A7269" w14:textId="280BEDEC" w:rsidR="00181185" w:rsidRPr="00B57B36" w:rsidRDefault="00181185" w:rsidP="00181185">
            <w:pPr>
              <w:pStyle w:val="CETBodytext"/>
              <w:ind w:right="-1"/>
              <w:jc w:val="center"/>
              <w:rPr>
                <w:rFonts w:cs="Arial"/>
                <w:szCs w:val="18"/>
                <w:lang w:val="en-GB"/>
              </w:rPr>
            </w:pPr>
            <w:r w:rsidRPr="00DE68E2">
              <w:t>-</w:t>
            </w:r>
          </w:p>
        </w:tc>
        <w:tc>
          <w:tcPr>
            <w:tcW w:w="716" w:type="pct"/>
            <w:shd w:val="clear" w:color="auto" w:fill="FFFFFF"/>
            <w:vAlign w:val="center"/>
          </w:tcPr>
          <w:p w14:paraId="69E3F9D6" w14:textId="2C32059F" w:rsidR="00181185" w:rsidRPr="00B57B36" w:rsidRDefault="00181185" w:rsidP="00181185">
            <w:pPr>
              <w:pStyle w:val="CETBodytext"/>
              <w:ind w:right="-1"/>
              <w:jc w:val="center"/>
              <w:rPr>
                <w:rFonts w:cs="Arial"/>
                <w:szCs w:val="18"/>
                <w:lang w:val="en-GB"/>
              </w:rPr>
            </w:pPr>
            <w:r>
              <w:rPr>
                <w:rFonts w:cs="Arial"/>
                <w:szCs w:val="18"/>
                <w:lang w:val="en-GB"/>
              </w:rPr>
              <w:t>-</w:t>
            </w:r>
          </w:p>
        </w:tc>
      </w:tr>
      <w:tr w:rsidR="00181185" w:rsidRPr="00B57B36" w14:paraId="5EDC73BD" w14:textId="77777777" w:rsidTr="00181185">
        <w:tc>
          <w:tcPr>
            <w:tcW w:w="714" w:type="pct"/>
            <w:shd w:val="clear" w:color="auto" w:fill="FFFFFF"/>
            <w:vAlign w:val="center"/>
          </w:tcPr>
          <w:p w14:paraId="644BAAB2" w14:textId="5056B6B2" w:rsidR="00181185" w:rsidRPr="00B57B36" w:rsidRDefault="00181185" w:rsidP="00181185">
            <w:pPr>
              <w:pStyle w:val="CETBodytext"/>
              <w:ind w:right="-1"/>
              <w:jc w:val="left"/>
              <w:rPr>
                <w:rFonts w:cs="Arial"/>
                <w:szCs w:val="18"/>
                <w:lang w:val="en-GB"/>
              </w:rPr>
            </w:pPr>
            <w:r w:rsidRPr="008200C5">
              <w:t>PENONION III</w:t>
            </w:r>
          </w:p>
        </w:tc>
        <w:tc>
          <w:tcPr>
            <w:tcW w:w="714" w:type="pct"/>
            <w:shd w:val="clear" w:color="auto" w:fill="FFFFFF"/>
            <w:vAlign w:val="center"/>
          </w:tcPr>
          <w:p w14:paraId="45E06AE5" w14:textId="6CB34A34" w:rsidR="00181185" w:rsidRPr="00B57B36" w:rsidRDefault="00181185" w:rsidP="00181185">
            <w:pPr>
              <w:pStyle w:val="CETBodytext"/>
              <w:ind w:right="-1"/>
              <w:jc w:val="center"/>
              <w:rPr>
                <w:rFonts w:cs="Arial"/>
                <w:szCs w:val="18"/>
                <w:lang w:val="en-GB"/>
              </w:rPr>
            </w:pPr>
            <w:r w:rsidRPr="00DE68E2">
              <w:t>-</w:t>
            </w:r>
          </w:p>
        </w:tc>
        <w:tc>
          <w:tcPr>
            <w:tcW w:w="714" w:type="pct"/>
            <w:shd w:val="clear" w:color="auto" w:fill="FFFFFF"/>
            <w:vAlign w:val="center"/>
          </w:tcPr>
          <w:p w14:paraId="4D71B32D" w14:textId="35329411" w:rsidR="00181185" w:rsidRPr="00B57B36" w:rsidRDefault="00181185" w:rsidP="00181185">
            <w:pPr>
              <w:pStyle w:val="CETBodytext"/>
              <w:ind w:right="-1"/>
              <w:jc w:val="center"/>
              <w:rPr>
                <w:rFonts w:cs="Arial"/>
                <w:szCs w:val="18"/>
                <w:lang w:val="en-GB"/>
              </w:rPr>
            </w:pPr>
            <w:r w:rsidRPr="00DE68E2">
              <w:t>-</w:t>
            </w:r>
          </w:p>
        </w:tc>
        <w:tc>
          <w:tcPr>
            <w:tcW w:w="714" w:type="pct"/>
            <w:shd w:val="clear" w:color="auto" w:fill="FFFFFF"/>
            <w:vAlign w:val="center"/>
          </w:tcPr>
          <w:p w14:paraId="1DF392FA" w14:textId="123B5028" w:rsidR="00181185" w:rsidRPr="00B57B36" w:rsidRDefault="00181185" w:rsidP="00181185">
            <w:pPr>
              <w:pStyle w:val="CETBodytext"/>
              <w:ind w:right="-1"/>
              <w:jc w:val="center"/>
              <w:rPr>
                <w:rFonts w:cs="Arial"/>
                <w:szCs w:val="18"/>
                <w:lang w:val="en-GB"/>
              </w:rPr>
            </w:pPr>
            <w:r>
              <w:t>3</w:t>
            </w:r>
          </w:p>
        </w:tc>
        <w:tc>
          <w:tcPr>
            <w:tcW w:w="714" w:type="pct"/>
            <w:shd w:val="clear" w:color="auto" w:fill="FFFFFF"/>
            <w:vAlign w:val="center"/>
          </w:tcPr>
          <w:p w14:paraId="245A3B31" w14:textId="77777777" w:rsidR="00181185" w:rsidRPr="00B57B36" w:rsidRDefault="00181185" w:rsidP="00181185">
            <w:pPr>
              <w:pStyle w:val="CETBodytext"/>
              <w:ind w:right="-1"/>
              <w:jc w:val="center"/>
              <w:rPr>
                <w:rFonts w:cs="Arial"/>
                <w:szCs w:val="18"/>
                <w:lang w:val="en-GB"/>
              </w:rPr>
            </w:pPr>
          </w:p>
        </w:tc>
        <w:tc>
          <w:tcPr>
            <w:tcW w:w="714" w:type="pct"/>
            <w:shd w:val="clear" w:color="auto" w:fill="FFFFFF"/>
            <w:vAlign w:val="center"/>
          </w:tcPr>
          <w:p w14:paraId="349D8D62" w14:textId="77777777" w:rsidR="00181185" w:rsidRPr="00B57B36" w:rsidRDefault="00181185" w:rsidP="00181185">
            <w:pPr>
              <w:pStyle w:val="CETBodytext"/>
              <w:ind w:right="-1"/>
              <w:jc w:val="center"/>
              <w:rPr>
                <w:rFonts w:cs="Arial"/>
                <w:szCs w:val="18"/>
                <w:lang w:val="en-GB"/>
              </w:rPr>
            </w:pPr>
          </w:p>
        </w:tc>
        <w:tc>
          <w:tcPr>
            <w:tcW w:w="716" w:type="pct"/>
            <w:shd w:val="clear" w:color="auto" w:fill="FFFFFF"/>
            <w:vAlign w:val="center"/>
          </w:tcPr>
          <w:p w14:paraId="1B45C67D" w14:textId="5FBD2025" w:rsidR="00181185" w:rsidRPr="00B57B36" w:rsidRDefault="00181185" w:rsidP="00181185">
            <w:pPr>
              <w:pStyle w:val="CETBodytext"/>
              <w:ind w:right="-1"/>
              <w:jc w:val="center"/>
              <w:rPr>
                <w:rFonts w:cs="Arial"/>
                <w:szCs w:val="18"/>
                <w:lang w:val="en-GB"/>
              </w:rPr>
            </w:pPr>
            <w:r>
              <w:rPr>
                <w:rFonts w:cs="Arial"/>
                <w:szCs w:val="18"/>
                <w:lang w:val="en-GB"/>
              </w:rPr>
              <w:t>2.81</w:t>
            </w:r>
          </w:p>
        </w:tc>
      </w:tr>
      <w:tr w:rsidR="00181185" w:rsidRPr="00B57B36" w14:paraId="41DFE96A" w14:textId="77777777" w:rsidTr="00181185">
        <w:tc>
          <w:tcPr>
            <w:tcW w:w="714" w:type="pct"/>
            <w:shd w:val="clear" w:color="auto" w:fill="FFFFFF"/>
            <w:vAlign w:val="center"/>
          </w:tcPr>
          <w:p w14:paraId="4A50FAB1" w14:textId="29ABA0E9" w:rsidR="00181185" w:rsidRPr="00B57B36" w:rsidRDefault="00181185" w:rsidP="00181185">
            <w:pPr>
              <w:pStyle w:val="CETBodytext"/>
              <w:ind w:right="-1"/>
              <w:jc w:val="left"/>
              <w:rPr>
                <w:rFonts w:cs="Arial"/>
                <w:szCs w:val="18"/>
                <w:lang w:val="en-GB"/>
              </w:rPr>
            </w:pPr>
            <w:r w:rsidRPr="008200C5">
              <w:t>HPAM</w:t>
            </w:r>
          </w:p>
        </w:tc>
        <w:tc>
          <w:tcPr>
            <w:tcW w:w="714" w:type="pct"/>
            <w:shd w:val="clear" w:color="auto" w:fill="FFFFFF"/>
            <w:vAlign w:val="center"/>
          </w:tcPr>
          <w:p w14:paraId="1FAE3AC2" w14:textId="4175E51B" w:rsidR="00181185" w:rsidRPr="00B57B36" w:rsidRDefault="00181185" w:rsidP="00181185">
            <w:pPr>
              <w:pStyle w:val="CETBodytext"/>
              <w:ind w:right="-1"/>
              <w:jc w:val="center"/>
              <w:rPr>
                <w:rFonts w:cs="Arial"/>
                <w:szCs w:val="18"/>
                <w:lang w:val="en-GB"/>
              </w:rPr>
            </w:pPr>
            <w:r w:rsidRPr="00DE68E2">
              <w:t>-</w:t>
            </w:r>
          </w:p>
        </w:tc>
        <w:tc>
          <w:tcPr>
            <w:tcW w:w="714" w:type="pct"/>
            <w:shd w:val="clear" w:color="auto" w:fill="FFFFFF"/>
            <w:vAlign w:val="center"/>
          </w:tcPr>
          <w:p w14:paraId="7A10F1E0" w14:textId="62E3233C" w:rsidR="00181185" w:rsidRPr="00B57B36" w:rsidRDefault="00181185" w:rsidP="00181185">
            <w:pPr>
              <w:pStyle w:val="CETBodytext"/>
              <w:ind w:right="-1"/>
              <w:jc w:val="center"/>
              <w:rPr>
                <w:rFonts w:cs="Arial"/>
                <w:szCs w:val="18"/>
                <w:lang w:val="en-GB"/>
              </w:rPr>
            </w:pPr>
            <w:r w:rsidRPr="00DE68E2">
              <w:t>-</w:t>
            </w:r>
          </w:p>
        </w:tc>
        <w:tc>
          <w:tcPr>
            <w:tcW w:w="714" w:type="pct"/>
            <w:shd w:val="clear" w:color="auto" w:fill="FFFFFF"/>
            <w:vAlign w:val="center"/>
          </w:tcPr>
          <w:p w14:paraId="771C1090" w14:textId="3ECB9A40" w:rsidR="00181185" w:rsidRPr="00B57B36" w:rsidRDefault="00181185" w:rsidP="00181185">
            <w:pPr>
              <w:pStyle w:val="CETBodytext"/>
              <w:ind w:right="-1"/>
              <w:jc w:val="center"/>
              <w:rPr>
                <w:rFonts w:cs="Arial"/>
                <w:szCs w:val="18"/>
                <w:lang w:val="en-GB"/>
              </w:rPr>
            </w:pPr>
            <w:r w:rsidRPr="00DE68E2">
              <w:t>-</w:t>
            </w:r>
          </w:p>
        </w:tc>
        <w:tc>
          <w:tcPr>
            <w:tcW w:w="714" w:type="pct"/>
            <w:shd w:val="clear" w:color="auto" w:fill="FFFFFF"/>
            <w:vAlign w:val="center"/>
          </w:tcPr>
          <w:p w14:paraId="0AB45DA0" w14:textId="23E960D8" w:rsidR="00181185" w:rsidRPr="00B57B36" w:rsidRDefault="00181185" w:rsidP="00181185">
            <w:pPr>
              <w:pStyle w:val="CETBodytext"/>
              <w:ind w:right="-1"/>
              <w:jc w:val="center"/>
              <w:rPr>
                <w:rFonts w:cs="Arial"/>
                <w:szCs w:val="18"/>
                <w:lang w:val="en-GB"/>
              </w:rPr>
            </w:pPr>
            <w:r w:rsidRPr="00DE68E2">
              <w:t>0.94</w:t>
            </w:r>
          </w:p>
        </w:tc>
        <w:tc>
          <w:tcPr>
            <w:tcW w:w="714" w:type="pct"/>
            <w:shd w:val="clear" w:color="auto" w:fill="FFFFFF"/>
            <w:vAlign w:val="center"/>
          </w:tcPr>
          <w:p w14:paraId="44787999" w14:textId="4B34FEE8" w:rsidR="00181185" w:rsidRPr="00B57B36" w:rsidRDefault="00181185" w:rsidP="00181185">
            <w:pPr>
              <w:pStyle w:val="CETBodytext"/>
              <w:ind w:right="-1"/>
              <w:jc w:val="center"/>
              <w:rPr>
                <w:rFonts w:cs="Arial"/>
                <w:szCs w:val="18"/>
                <w:lang w:val="en-GB"/>
              </w:rPr>
            </w:pPr>
            <w:r w:rsidRPr="00DE68E2">
              <w:t>0.94</w:t>
            </w:r>
          </w:p>
        </w:tc>
        <w:tc>
          <w:tcPr>
            <w:tcW w:w="716" w:type="pct"/>
            <w:shd w:val="clear" w:color="auto" w:fill="FFFFFF"/>
            <w:vAlign w:val="center"/>
          </w:tcPr>
          <w:p w14:paraId="5CDDBE71" w14:textId="4B23EC36" w:rsidR="00181185" w:rsidRPr="00B57B36" w:rsidRDefault="00181185" w:rsidP="00181185">
            <w:pPr>
              <w:pStyle w:val="CETBodytext"/>
              <w:ind w:right="-1"/>
              <w:jc w:val="center"/>
              <w:rPr>
                <w:rFonts w:cs="Arial"/>
                <w:szCs w:val="18"/>
                <w:lang w:val="en-GB"/>
              </w:rPr>
            </w:pPr>
            <w:r w:rsidRPr="00DE68E2">
              <w:t>0.94</w:t>
            </w:r>
          </w:p>
        </w:tc>
      </w:tr>
    </w:tbl>
    <w:p w14:paraId="26985253" w14:textId="77777777" w:rsidR="00416375" w:rsidRDefault="00416375" w:rsidP="00416375">
      <w:pPr>
        <w:pStyle w:val="CETBodytext"/>
      </w:pPr>
    </w:p>
    <w:p w14:paraId="3F8C2152" w14:textId="15277AA2" w:rsidR="005C1EA2" w:rsidRDefault="005C1EA2" w:rsidP="005C1EA2">
      <w:pPr>
        <w:pStyle w:val="CETheadingx"/>
      </w:pPr>
      <w:r>
        <w:t xml:space="preserve">Methods </w:t>
      </w:r>
    </w:p>
    <w:p w14:paraId="7DE71995" w14:textId="77777777" w:rsidR="005C1EA2" w:rsidRPr="00A17874" w:rsidRDefault="005C1EA2" w:rsidP="00F74245">
      <w:pPr>
        <w:pStyle w:val="CETBodytextItalic"/>
      </w:pPr>
      <w:r w:rsidRPr="00A17874">
        <w:t>Determination of interfacial tension (IFT)</w:t>
      </w:r>
    </w:p>
    <w:p w14:paraId="25CD5E52" w14:textId="28E75FAA" w:rsidR="005C1EA2" w:rsidRDefault="007B52F2" w:rsidP="005C1EA2">
      <w:pPr>
        <w:pStyle w:val="CETBodytext"/>
      </w:pPr>
      <w:r>
        <w:t xml:space="preserve">The oil-water interfacial tension (IFT) was determined using the spinning (or rotating drop) method. IFT measurements were conducted using the Data Physics Spinning Drop Video Tensiometer SVT 20 device at a temperature of 40 °C with a total concentration of 1 </w:t>
      </w:r>
      <w:r w:rsidR="00950A36">
        <w:t>g/L</w:t>
      </w:r>
      <w:r>
        <w:t xml:space="preserve"> for surfactants and polymer-surfactant mixtures.</w:t>
      </w:r>
    </w:p>
    <w:p w14:paraId="2E8B7C3C" w14:textId="77777777" w:rsidR="007B52F2" w:rsidRPr="00A17874" w:rsidRDefault="007B52F2" w:rsidP="005C1EA2">
      <w:pPr>
        <w:pStyle w:val="CETBodytext"/>
      </w:pPr>
    </w:p>
    <w:p w14:paraId="52A82690" w14:textId="77777777" w:rsidR="005C1EA2" w:rsidRPr="00A17874" w:rsidRDefault="005C1EA2" w:rsidP="00F74245">
      <w:pPr>
        <w:pStyle w:val="CETBodytextItalic"/>
      </w:pPr>
      <w:r w:rsidRPr="00A17874">
        <w:t>Determination of the size distribution by dynamic light scattering (DLS) method</w:t>
      </w:r>
    </w:p>
    <w:p w14:paraId="203CCBC0" w14:textId="3829C691" w:rsidR="007B52F2" w:rsidRDefault="007B52F2" w:rsidP="007B52F2">
      <w:pPr>
        <w:pStyle w:val="CETBodytext"/>
      </w:pPr>
      <w:r>
        <w:t>The hydrodynamic radius of the complexes was determined through photon correlation spectroscopy, specifically dynamic light scattering. The size was estimated based on the diffusivity of particles using the Stokes–Einstein relationship. Further information about the technique can be found in (</w:t>
      </w:r>
      <w:proofErr w:type="spellStart"/>
      <w:r>
        <w:t>Duretta</w:t>
      </w:r>
      <w:proofErr w:type="spellEnd"/>
      <w:r>
        <w:t xml:space="preserve"> and </w:t>
      </w:r>
      <w:proofErr w:type="spellStart"/>
      <w:r>
        <w:t>Picchioni</w:t>
      </w:r>
      <w:proofErr w:type="spellEnd"/>
      <w:r>
        <w:t xml:space="preserve">, 2018). To measure particle size, the prepared colloidal solutions were stored at 80 °C for 3 hours. The measurements were conducted in a PCS8501 glass cuvette at a temperature of 80 °C using Malvern </w:t>
      </w:r>
      <w:proofErr w:type="spellStart"/>
      <w:r>
        <w:t>Zetasizer</w:t>
      </w:r>
      <w:proofErr w:type="spellEnd"/>
      <w:r>
        <w:t xml:space="preserve"> Nano ZS equipment.</w:t>
      </w:r>
    </w:p>
    <w:p w14:paraId="35B36811" w14:textId="1BB5850D" w:rsidR="007B52F2" w:rsidRDefault="007B52F2" w:rsidP="007B52F2">
      <w:pPr>
        <w:pStyle w:val="CETBodytext"/>
      </w:pPr>
    </w:p>
    <w:p w14:paraId="1DBDFD1F" w14:textId="278C11E6" w:rsidR="00B212B7" w:rsidRDefault="00B212B7" w:rsidP="00B212B7">
      <w:pPr>
        <w:pStyle w:val="CETBodytextItalic"/>
      </w:pPr>
      <w:r w:rsidRPr="005C1EA2">
        <w:t>Emulsification effect</w:t>
      </w:r>
      <w:r>
        <w:t xml:space="preserve"> measurement</w:t>
      </w:r>
    </w:p>
    <w:p w14:paraId="22F82319" w14:textId="7562619A" w:rsidR="00B212B7" w:rsidRDefault="006E48AB" w:rsidP="00B212B7">
      <w:pPr>
        <w:pStyle w:val="CETBodytext"/>
      </w:pPr>
      <w:r w:rsidRPr="006E48AB">
        <w:t>For the investigation of emulsifying effects, a shaking cylinder with a nominal volume of 25 ml was utilized. The measurement of the required quantity of the tested phases was conducted using this cylinder. For the entire examination, a total of 20 ml of sample is required. In the case of samples with a 50-50% volume ratio, this corresponds to 10 ml of oily phase and 10 ml of aqueous phase.</w:t>
      </w:r>
      <w:r>
        <w:t xml:space="preserve"> </w:t>
      </w:r>
      <w:r w:rsidR="00B212B7">
        <w:t xml:space="preserve">The homogenization of the phases was carried out by flipping the shaking cylinders 30 times after their closure. Following the homogenization, a drying oven </w:t>
      </w:r>
      <w:r w:rsidR="00B212B7">
        <w:lastRenderedPageBreak/>
        <w:t>was utilized for the tempering of the samples. After the expiration of the test period, the determination of individual phases is performed through visual inspection.</w:t>
      </w:r>
    </w:p>
    <w:p w14:paraId="23364E88" w14:textId="77777777" w:rsidR="00B212B7" w:rsidRDefault="00B212B7" w:rsidP="007B52F2">
      <w:pPr>
        <w:pStyle w:val="CETBodytext"/>
      </w:pPr>
    </w:p>
    <w:p w14:paraId="75B7A473" w14:textId="77777777" w:rsidR="005C1EA2" w:rsidRPr="00A17874" w:rsidRDefault="005C1EA2" w:rsidP="00F74245">
      <w:pPr>
        <w:pStyle w:val="CETBodytextItalic"/>
      </w:pPr>
      <w:r w:rsidRPr="00A17874">
        <w:t>Rheology measurement</w:t>
      </w:r>
    </w:p>
    <w:p w14:paraId="212CD4DA" w14:textId="3EAC2147" w:rsidR="005C1EA2" w:rsidRDefault="007B52F2" w:rsidP="005C1EA2">
      <w:pPr>
        <w:pStyle w:val="CETBodytext"/>
      </w:pPr>
      <w:r>
        <w:t xml:space="preserve">The rheological properties of surfactant solutions were assessed using an Anton </w:t>
      </w:r>
      <w:proofErr w:type="spellStart"/>
      <w:r>
        <w:t>Paar</w:t>
      </w:r>
      <w:proofErr w:type="spellEnd"/>
      <w:r>
        <w:t xml:space="preserve"> dynamic shear rheometer equipped with a concentric cylinder measurement cell and CC27 marked cylinder type. The samples were placed in a temperature-controlled measurement vessel maintained at 80 °C.</w:t>
      </w:r>
    </w:p>
    <w:p w14:paraId="6C85771C" w14:textId="77777777" w:rsidR="007B52F2" w:rsidRPr="00A17874" w:rsidRDefault="007B52F2" w:rsidP="005C1EA2">
      <w:pPr>
        <w:pStyle w:val="CETBodytext"/>
      </w:pPr>
    </w:p>
    <w:p w14:paraId="4FEE7973" w14:textId="77777777" w:rsidR="005C1EA2" w:rsidRPr="00A17874" w:rsidRDefault="005C1EA2" w:rsidP="00F74245">
      <w:pPr>
        <w:pStyle w:val="CETBodytextItalic"/>
        <w:rPr>
          <w:b/>
        </w:rPr>
      </w:pPr>
      <w:r w:rsidRPr="00A17874">
        <w:t>Oil displacement test</w:t>
      </w:r>
    </w:p>
    <w:p w14:paraId="0AB60AD8" w14:textId="1B78A469" w:rsidR="005C1EA2" w:rsidRPr="007B52F2" w:rsidRDefault="007B52F2" w:rsidP="005C1EA2">
      <w:pPr>
        <w:pStyle w:val="CETBodytext"/>
        <w:rPr>
          <w:color w:val="000000"/>
          <w:shd w:val="clear" w:color="auto" w:fill="FFFFFF"/>
        </w:rPr>
      </w:pPr>
      <w:r w:rsidRPr="007B52F2">
        <w:rPr>
          <w:color w:val="000000"/>
          <w:shd w:val="clear" w:color="auto" w:fill="FFFFFF"/>
        </w:rPr>
        <w:t xml:space="preserve">The core flooding tests were conducted using a method designed to simulate high-temperature oil reservoirs. The crude oil used originated from </w:t>
      </w:r>
      <w:proofErr w:type="spellStart"/>
      <w:r w:rsidRPr="007B52F2">
        <w:rPr>
          <w:color w:val="000000"/>
          <w:shd w:val="clear" w:color="auto" w:fill="FFFFFF"/>
        </w:rPr>
        <w:t>Algyő</w:t>
      </w:r>
      <w:proofErr w:type="spellEnd"/>
      <w:r w:rsidRPr="007B52F2">
        <w:rPr>
          <w:color w:val="000000"/>
          <w:shd w:val="clear" w:color="auto" w:fill="FFFFFF"/>
        </w:rPr>
        <w:t>, Hungary, and the testing temperature was set at 80°C. The tests were carried out in a core with an inner diameter of 2.5 and a length of 30 cm. The heterogeneity of the formation was simulated using a consolidated core sample. The total oil recovery and the oil recovery through water flooding were calculated, and the difference between them was considered as the tertiary oil recovery factor by polymer or polymer/surfactant hybrid flooding.</w:t>
      </w:r>
    </w:p>
    <w:p w14:paraId="7625D14B" w14:textId="36391CA7" w:rsidR="005C1EA2" w:rsidRDefault="005C1EA2" w:rsidP="005C1EA2">
      <w:pPr>
        <w:pStyle w:val="CETHeading1"/>
      </w:pPr>
      <w:r w:rsidRPr="00FB1E5C">
        <w:t>Results</w:t>
      </w:r>
    </w:p>
    <w:p w14:paraId="480D046B" w14:textId="412D4734" w:rsidR="00B33B25" w:rsidRPr="00B33B25" w:rsidRDefault="00B33B25" w:rsidP="00B33B25">
      <w:pPr>
        <w:pStyle w:val="CETBodytext"/>
      </w:pPr>
      <w:r>
        <w:t>Surfactant</w:t>
      </w:r>
      <w:r w:rsidR="00D712BE">
        <w:t xml:space="preserve"> and surfactant-polymer</w:t>
      </w:r>
      <w:r>
        <w:t xml:space="preserve"> flooding is an EOR technique in which the phase behavior inside the reservoir can be manipulated by the injection of surfactants and cosurfactants, creating advantageous conditions in order to mobilize trapped oil. The IFT </w:t>
      </w:r>
      <w:r w:rsidR="00D712BE">
        <w:t xml:space="preserve">values </w:t>
      </w:r>
      <w:r>
        <w:t>of t</w:t>
      </w:r>
      <w:bookmarkStart w:id="1" w:name="_GoBack"/>
      <w:bookmarkEnd w:id="1"/>
      <w:r>
        <w:t>he prepared samples were measured at 40°C</w:t>
      </w:r>
      <w:r w:rsidR="00D712BE">
        <w:t>,</w:t>
      </w:r>
      <w:r>
        <w:t xml:space="preserve"> because at higher temperatures bubbles were formed which disturbed the measurements. The results of IFT values are given in Table </w:t>
      </w:r>
      <w:r w:rsidR="00416375">
        <w:t>3</w:t>
      </w:r>
      <w:r>
        <w:t xml:space="preserve">. </w:t>
      </w:r>
    </w:p>
    <w:p w14:paraId="23DB11E0" w14:textId="1320BFD1" w:rsidR="005C1EA2" w:rsidRDefault="005C1EA2" w:rsidP="005C1EA2">
      <w:pPr>
        <w:pStyle w:val="CETTabletitle"/>
      </w:pPr>
      <w:r w:rsidRPr="005C1EA2">
        <w:t xml:space="preserve">Table </w:t>
      </w:r>
      <w:r w:rsidR="00416375">
        <w:t>3</w:t>
      </w:r>
      <w:r w:rsidRPr="005C1EA2">
        <w:t>: IFT values of surfactant mixtures</w:t>
      </w:r>
      <w:r w:rsidR="007B52F2">
        <w:t xml:space="preserve"> and </w:t>
      </w:r>
      <w:r w:rsidR="007B52F2" w:rsidRPr="005C1EA2">
        <w:t>polymer and surfactant mixtures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94"/>
      </w:tblGrid>
      <w:tr w:rsidR="00F74245" w:rsidRPr="00B57B36" w14:paraId="3D5F5237" w14:textId="77777777" w:rsidTr="00F74245">
        <w:tc>
          <w:tcPr>
            <w:tcW w:w="2500" w:type="pct"/>
            <w:tcBorders>
              <w:top w:val="single" w:sz="12" w:space="0" w:color="008000"/>
              <w:bottom w:val="single" w:sz="6" w:space="0" w:color="008000"/>
            </w:tcBorders>
            <w:shd w:val="clear" w:color="auto" w:fill="FFFFFF"/>
          </w:tcPr>
          <w:p w14:paraId="3AE7DFC4" w14:textId="37458F60" w:rsidR="00F74245" w:rsidRPr="00B57B36" w:rsidRDefault="00F74245" w:rsidP="00F74245">
            <w:pPr>
              <w:pStyle w:val="CETBodytext"/>
              <w:rPr>
                <w:lang w:val="en-GB"/>
              </w:rPr>
            </w:pPr>
          </w:p>
        </w:tc>
        <w:tc>
          <w:tcPr>
            <w:tcW w:w="2500" w:type="pct"/>
            <w:tcBorders>
              <w:top w:val="single" w:sz="12" w:space="0" w:color="008000"/>
              <w:bottom w:val="single" w:sz="6" w:space="0" w:color="008000"/>
            </w:tcBorders>
            <w:shd w:val="clear" w:color="auto" w:fill="FFFFFF"/>
          </w:tcPr>
          <w:p w14:paraId="6C802915" w14:textId="6FFFF2D5" w:rsidR="00F74245" w:rsidRPr="00B57B36" w:rsidRDefault="00F74245" w:rsidP="00F74245">
            <w:pPr>
              <w:pStyle w:val="CETBodytext"/>
              <w:jc w:val="center"/>
              <w:rPr>
                <w:lang w:val="en-GB"/>
              </w:rPr>
            </w:pPr>
            <w:r w:rsidRPr="00BD27A0">
              <w:t xml:space="preserve">IFT, </w:t>
            </w:r>
            <w:proofErr w:type="spellStart"/>
            <w:r w:rsidRPr="00BD27A0">
              <w:t>mN</w:t>
            </w:r>
            <w:proofErr w:type="spellEnd"/>
            <w:r w:rsidRPr="00BD27A0">
              <w:t>/m</w:t>
            </w:r>
          </w:p>
        </w:tc>
      </w:tr>
      <w:tr w:rsidR="00F74245" w:rsidRPr="00B57B36" w14:paraId="74604BBD" w14:textId="77777777" w:rsidTr="00F74245">
        <w:tc>
          <w:tcPr>
            <w:tcW w:w="2500" w:type="pct"/>
            <w:shd w:val="clear" w:color="auto" w:fill="FFFFFF"/>
          </w:tcPr>
          <w:p w14:paraId="0CE1D011" w14:textId="156C269F" w:rsidR="00F74245" w:rsidRPr="00B57B36" w:rsidRDefault="00F74245" w:rsidP="00F74245">
            <w:pPr>
              <w:pStyle w:val="CETBodytext"/>
              <w:rPr>
                <w:lang w:val="en-GB"/>
              </w:rPr>
            </w:pPr>
            <w:r w:rsidRPr="00BD27A0">
              <w:t>SURF_1</w:t>
            </w:r>
          </w:p>
        </w:tc>
        <w:tc>
          <w:tcPr>
            <w:tcW w:w="2500" w:type="pct"/>
            <w:shd w:val="clear" w:color="auto" w:fill="FFFFFF"/>
          </w:tcPr>
          <w:p w14:paraId="4DF7C59C" w14:textId="2C63F42B" w:rsidR="00F74245" w:rsidRPr="00B57B36" w:rsidRDefault="00F74245" w:rsidP="00F74245">
            <w:pPr>
              <w:pStyle w:val="CETBodytext"/>
              <w:jc w:val="center"/>
              <w:rPr>
                <w:lang w:val="en-GB"/>
              </w:rPr>
            </w:pPr>
            <w:r w:rsidRPr="00BD27A0">
              <w:t>0</w:t>
            </w:r>
            <w:r w:rsidR="00795BAC">
              <w:t>.</w:t>
            </w:r>
            <w:r w:rsidRPr="00BD27A0">
              <w:t>062</w:t>
            </w:r>
          </w:p>
        </w:tc>
      </w:tr>
      <w:tr w:rsidR="00F74245" w:rsidRPr="00B57B36" w14:paraId="07433215" w14:textId="77777777" w:rsidTr="00F74245">
        <w:tc>
          <w:tcPr>
            <w:tcW w:w="2500" w:type="pct"/>
            <w:shd w:val="clear" w:color="auto" w:fill="FFFFFF"/>
          </w:tcPr>
          <w:p w14:paraId="59B57890" w14:textId="660C85F6" w:rsidR="00F74245" w:rsidRPr="00B57B36" w:rsidRDefault="00F74245" w:rsidP="00F74245">
            <w:pPr>
              <w:pStyle w:val="CETBodytext"/>
              <w:rPr>
                <w:lang w:val="en-GB"/>
              </w:rPr>
            </w:pPr>
            <w:r w:rsidRPr="00BD27A0">
              <w:t>SURF_2</w:t>
            </w:r>
          </w:p>
        </w:tc>
        <w:tc>
          <w:tcPr>
            <w:tcW w:w="2500" w:type="pct"/>
            <w:shd w:val="clear" w:color="auto" w:fill="FFFFFF"/>
          </w:tcPr>
          <w:p w14:paraId="21DF1C08" w14:textId="7E7CE392" w:rsidR="00F74245" w:rsidRPr="00B57B36" w:rsidRDefault="00F74245" w:rsidP="00F74245">
            <w:pPr>
              <w:pStyle w:val="CETBodytext"/>
              <w:jc w:val="center"/>
              <w:rPr>
                <w:lang w:val="en-GB"/>
              </w:rPr>
            </w:pPr>
            <w:r w:rsidRPr="00BD27A0">
              <w:t>0</w:t>
            </w:r>
            <w:r w:rsidR="00795BAC">
              <w:t>.</w:t>
            </w:r>
            <w:r w:rsidRPr="00BD27A0">
              <w:t>039</w:t>
            </w:r>
          </w:p>
        </w:tc>
      </w:tr>
      <w:tr w:rsidR="00F74245" w:rsidRPr="00B57B36" w14:paraId="3C15938F" w14:textId="77777777" w:rsidTr="00F74245">
        <w:tc>
          <w:tcPr>
            <w:tcW w:w="2500" w:type="pct"/>
            <w:shd w:val="clear" w:color="auto" w:fill="FFFFFF"/>
          </w:tcPr>
          <w:p w14:paraId="2D4690E4" w14:textId="7989C5EF" w:rsidR="00F74245" w:rsidRPr="00B57B36" w:rsidRDefault="00F74245" w:rsidP="00F74245">
            <w:pPr>
              <w:pStyle w:val="CETBodytext"/>
              <w:ind w:right="-1"/>
              <w:rPr>
                <w:rFonts w:cs="Arial"/>
                <w:szCs w:val="18"/>
                <w:lang w:val="en-GB"/>
              </w:rPr>
            </w:pPr>
            <w:r w:rsidRPr="00BD27A0">
              <w:t>SURF_3</w:t>
            </w:r>
          </w:p>
        </w:tc>
        <w:tc>
          <w:tcPr>
            <w:tcW w:w="2500" w:type="pct"/>
            <w:shd w:val="clear" w:color="auto" w:fill="FFFFFF"/>
          </w:tcPr>
          <w:p w14:paraId="07313ECB" w14:textId="06933FD7" w:rsidR="00F74245" w:rsidRPr="00B57B36" w:rsidRDefault="00F74245" w:rsidP="00F74245">
            <w:pPr>
              <w:pStyle w:val="CETBodytext"/>
              <w:ind w:right="-1"/>
              <w:jc w:val="center"/>
              <w:rPr>
                <w:rFonts w:cs="Arial"/>
                <w:szCs w:val="18"/>
                <w:lang w:val="en-GB"/>
              </w:rPr>
            </w:pPr>
            <w:r w:rsidRPr="00BD27A0">
              <w:t>0</w:t>
            </w:r>
            <w:r w:rsidR="00795BAC">
              <w:t>.</w:t>
            </w:r>
            <w:r w:rsidRPr="00BD27A0">
              <w:t>091</w:t>
            </w:r>
          </w:p>
        </w:tc>
      </w:tr>
      <w:tr w:rsidR="007B52F2" w:rsidRPr="00B57B36" w14:paraId="161ECB15" w14:textId="77777777" w:rsidTr="00F74245">
        <w:tc>
          <w:tcPr>
            <w:tcW w:w="2500" w:type="pct"/>
            <w:shd w:val="clear" w:color="auto" w:fill="FFFFFF"/>
          </w:tcPr>
          <w:p w14:paraId="56D302A9" w14:textId="0DD7FF50" w:rsidR="007B52F2" w:rsidRPr="00BD27A0" w:rsidRDefault="007B52F2" w:rsidP="007B52F2">
            <w:pPr>
              <w:pStyle w:val="CETBodytext"/>
              <w:ind w:right="-1"/>
            </w:pPr>
            <w:r w:rsidRPr="00AA5327">
              <w:t>P+SURF-1</w:t>
            </w:r>
          </w:p>
        </w:tc>
        <w:tc>
          <w:tcPr>
            <w:tcW w:w="2500" w:type="pct"/>
            <w:shd w:val="clear" w:color="auto" w:fill="FFFFFF"/>
          </w:tcPr>
          <w:p w14:paraId="7819F026" w14:textId="06984EBE" w:rsidR="007B52F2" w:rsidRPr="00BD27A0" w:rsidRDefault="007B52F2" w:rsidP="007B52F2">
            <w:pPr>
              <w:pStyle w:val="CETBodytext"/>
              <w:ind w:right="-1"/>
              <w:jc w:val="center"/>
            </w:pPr>
            <w:r w:rsidRPr="00AA5327">
              <w:t>0</w:t>
            </w:r>
            <w:r w:rsidR="00795BAC">
              <w:t>.</w:t>
            </w:r>
            <w:r w:rsidRPr="00AA5327">
              <w:t>039</w:t>
            </w:r>
          </w:p>
        </w:tc>
      </w:tr>
      <w:tr w:rsidR="007B52F2" w:rsidRPr="00B57B36" w14:paraId="420DC17C" w14:textId="77777777" w:rsidTr="00F74245">
        <w:tc>
          <w:tcPr>
            <w:tcW w:w="2500" w:type="pct"/>
            <w:shd w:val="clear" w:color="auto" w:fill="FFFFFF"/>
          </w:tcPr>
          <w:p w14:paraId="3661A00C" w14:textId="35C00A8A" w:rsidR="007B52F2" w:rsidRPr="00BD27A0" w:rsidRDefault="007B52F2" w:rsidP="007B52F2">
            <w:pPr>
              <w:pStyle w:val="CETBodytext"/>
              <w:ind w:right="-1"/>
            </w:pPr>
            <w:r w:rsidRPr="00AA5327">
              <w:t>P+SURF-2</w:t>
            </w:r>
          </w:p>
        </w:tc>
        <w:tc>
          <w:tcPr>
            <w:tcW w:w="2500" w:type="pct"/>
            <w:shd w:val="clear" w:color="auto" w:fill="FFFFFF"/>
          </w:tcPr>
          <w:p w14:paraId="5A45C7C5" w14:textId="679450FD" w:rsidR="007B52F2" w:rsidRPr="00BD27A0" w:rsidRDefault="007B52F2" w:rsidP="007B52F2">
            <w:pPr>
              <w:pStyle w:val="CETBodytext"/>
              <w:ind w:right="-1"/>
              <w:jc w:val="center"/>
            </w:pPr>
            <w:r w:rsidRPr="00AA5327">
              <w:t>0</w:t>
            </w:r>
            <w:r w:rsidR="00795BAC">
              <w:t>.</w:t>
            </w:r>
            <w:r w:rsidRPr="00AA5327">
              <w:t>021</w:t>
            </w:r>
          </w:p>
        </w:tc>
      </w:tr>
      <w:tr w:rsidR="007B52F2" w:rsidRPr="00B57B36" w14:paraId="191B4E16" w14:textId="77777777" w:rsidTr="00F74245">
        <w:tc>
          <w:tcPr>
            <w:tcW w:w="2500" w:type="pct"/>
            <w:shd w:val="clear" w:color="auto" w:fill="FFFFFF"/>
          </w:tcPr>
          <w:p w14:paraId="24C4819F" w14:textId="601E57F1" w:rsidR="007B52F2" w:rsidRPr="00BD27A0" w:rsidRDefault="007B52F2" w:rsidP="007B52F2">
            <w:pPr>
              <w:pStyle w:val="CETBodytext"/>
              <w:ind w:right="-1"/>
            </w:pPr>
            <w:r w:rsidRPr="00AA5327">
              <w:t>P+SURF-3</w:t>
            </w:r>
          </w:p>
        </w:tc>
        <w:tc>
          <w:tcPr>
            <w:tcW w:w="2500" w:type="pct"/>
            <w:shd w:val="clear" w:color="auto" w:fill="FFFFFF"/>
          </w:tcPr>
          <w:p w14:paraId="21AD86DB" w14:textId="0A230680" w:rsidR="007B52F2" w:rsidRPr="00BD27A0" w:rsidRDefault="007B52F2" w:rsidP="007B52F2">
            <w:pPr>
              <w:pStyle w:val="CETBodytext"/>
              <w:ind w:right="-1"/>
              <w:jc w:val="center"/>
            </w:pPr>
            <w:r w:rsidRPr="00AA5327">
              <w:t>0</w:t>
            </w:r>
            <w:r w:rsidR="00795BAC">
              <w:t>.</w:t>
            </w:r>
            <w:r w:rsidRPr="00AA5327">
              <w:t>028</w:t>
            </w:r>
          </w:p>
        </w:tc>
      </w:tr>
    </w:tbl>
    <w:p w14:paraId="3CD9A8AD" w14:textId="77777777" w:rsidR="00416375" w:rsidRDefault="00416375" w:rsidP="00D712BE">
      <w:pPr>
        <w:pStyle w:val="CETBodytext"/>
      </w:pPr>
    </w:p>
    <w:p w14:paraId="4C45FC0B" w14:textId="52B9A290" w:rsidR="00D712BE" w:rsidRPr="00B33B25" w:rsidRDefault="00D712BE" w:rsidP="00D712BE">
      <w:pPr>
        <w:pStyle w:val="CETBodytext"/>
      </w:pPr>
      <w:r>
        <w:t>The data showed that the IFT decreased when the solutions contained also flow modifier type polymer and not only a mixture of different surfactants.</w:t>
      </w:r>
      <w:r w:rsidR="003524ED">
        <w:t xml:space="preserve"> The difference was </w:t>
      </w:r>
      <w:r w:rsidR="00245EE3">
        <w:t>37-69 %.</w:t>
      </w:r>
      <w:r>
        <w:t xml:space="preserve"> </w:t>
      </w:r>
      <w:proofErr w:type="gramStart"/>
      <w:r>
        <w:t>Therefore</w:t>
      </w:r>
      <w:proofErr w:type="gramEnd"/>
      <w:r>
        <w:t xml:space="preserve"> these polymer-surfactant mixtures with low </w:t>
      </w:r>
      <w:r w:rsidR="00245EE3">
        <w:t>interfacial tension</w:t>
      </w:r>
      <w:r>
        <w:t xml:space="preserve"> can be good candidate for chemical enhanced oil recovery.</w:t>
      </w:r>
    </w:p>
    <w:p w14:paraId="695DBDC4" w14:textId="390C2C80" w:rsidR="00D712BE" w:rsidRPr="00D712BE" w:rsidRDefault="00D712BE" w:rsidP="00A44ED5">
      <w:pPr>
        <w:pStyle w:val="CETBodytext"/>
        <w:rPr>
          <w:i/>
        </w:rPr>
      </w:pPr>
      <w:r w:rsidRPr="00D712BE">
        <w:t>DLS is a technique for measuring the particle size. The size of a particle is calculated from the translational diffusion coefficient by using the Stokes-Einstein equation. The diameter calculated by DLS is a value what refers how a particle diffuses within a fluid so it indicates</w:t>
      </w:r>
      <w:r>
        <w:t xml:space="preserve"> </w:t>
      </w:r>
      <w:r w:rsidRPr="00D712BE">
        <w:t xml:space="preserve">the hydrodynamic diameter. The hydrodynamic sizes of the surfactant mixed micelles and of polymer are given in Table </w:t>
      </w:r>
      <w:r w:rsidR="00416375">
        <w:t>4</w:t>
      </w:r>
      <w:r w:rsidRPr="00D712BE">
        <w:t xml:space="preserve">. </w:t>
      </w:r>
    </w:p>
    <w:p w14:paraId="20529C28" w14:textId="525BEAC0" w:rsidR="005C1EA2" w:rsidRDefault="005C1EA2" w:rsidP="005C1EA2">
      <w:pPr>
        <w:pStyle w:val="CETTabletitle"/>
      </w:pPr>
      <w:r w:rsidRPr="005C1EA2">
        <w:t xml:space="preserve">Table </w:t>
      </w:r>
      <w:r w:rsidR="00416375">
        <w:t>4</w:t>
      </w:r>
      <w:r w:rsidRPr="005C1EA2">
        <w:t>: Hydrodynamic radius of surfactant mixtures</w:t>
      </w:r>
      <w:r w:rsidR="007B52F2">
        <w:t xml:space="preserve"> and </w:t>
      </w:r>
      <w:r w:rsidR="007B52F2" w:rsidRPr="005C1EA2">
        <w:t>polymer and surfactant mixtures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94"/>
      </w:tblGrid>
      <w:tr w:rsidR="00F74245" w:rsidRPr="00B57B36" w14:paraId="033B667C" w14:textId="77777777" w:rsidTr="00C47897">
        <w:tc>
          <w:tcPr>
            <w:tcW w:w="2500" w:type="pct"/>
            <w:tcBorders>
              <w:top w:val="single" w:sz="12" w:space="0" w:color="008000"/>
              <w:bottom w:val="single" w:sz="6" w:space="0" w:color="008000"/>
            </w:tcBorders>
            <w:shd w:val="clear" w:color="auto" w:fill="FFFFFF"/>
          </w:tcPr>
          <w:p w14:paraId="68BD023E" w14:textId="77777777" w:rsidR="00F74245" w:rsidRPr="00B57B36" w:rsidRDefault="00F74245" w:rsidP="00F74245">
            <w:pPr>
              <w:pStyle w:val="CETBodytext"/>
              <w:rPr>
                <w:lang w:val="en-GB"/>
              </w:rPr>
            </w:pPr>
          </w:p>
        </w:tc>
        <w:tc>
          <w:tcPr>
            <w:tcW w:w="2500" w:type="pct"/>
            <w:tcBorders>
              <w:top w:val="single" w:sz="12" w:space="0" w:color="008000"/>
              <w:bottom w:val="single" w:sz="6" w:space="0" w:color="008000"/>
            </w:tcBorders>
            <w:shd w:val="clear" w:color="auto" w:fill="FFFFFF"/>
          </w:tcPr>
          <w:p w14:paraId="360BF178" w14:textId="619EFE26" w:rsidR="00F74245" w:rsidRPr="00B57B36" w:rsidRDefault="00F74245" w:rsidP="00F74245">
            <w:pPr>
              <w:pStyle w:val="CETBodytext"/>
              <w:jc w:val="center"/>
              <w:rPr>
                <w:lang w:val="en-GB"/>
              </w:rPr>
            </w:pPr>
            <w:r w:rsidRPr="005703A1">
              <w:t>Hydrodynamic radius, nm</w:t>
            </w:r>
          </w:p>
        </w:tc>
      </w:tr>
      <w:tr w:rsidR="00F74245" w:rsidRPr="00B57B36" w14:paraId="52D2E1B8" w14:textId="77777777" w:rsidTr="00C47897">
        <w:tc>
          <w:tcPr>
            <w:tcW w:w="2500" w:type="pct"/>
            <w:shd w:val="clear" w:color="auto" w:fill="FFFFFF"/>
          </w:tcPr>
          <w:p w14:paraId="18D74704" w14:textId="3CAE43CB" w:rsidR="00F74245" w:rsidRPr="00B57B36" w:rsidRDefault="00F74245" w:rsidP="00F74245">
            <w:pPr>
              <w:pStyle w:val="CETBodytext"/>
              <w:rPr>
                <w:lang w:val="en-GB"/>
              </w:rPr>
            </w:pPr>
            <w:r w:rsidRPr="005703A1">
              <w:t>SURF-1</w:t>
            </w:r>
          </w:p>
        </w:tc>
        <w:tc>
          <w:tcPr>
            <w:tcW w:w="2500" w:type="pct"/>
            <w:shd w:val="clear" w:color="auto" w:fill="FFFFFF"/>
          </w:tcPr>
          <w:p w14:paraId="15CC1F21" w14:textId="2D9FAC78" w:rsidR="00F74245" w:rsidRPr="00B57B36" w:rsidRDefault="00F74245" w:rsidP="00F74245">
            <w:pPr>
              <w:pStyle w:val="CETBodytext"/>
              <w:jc w:val="center"/>
              <w:rPr>
                <w:lang w:val="en-GB"/>
              </w:rPr>
            </w:pPr>
            <w:r w:rsidRPr="005703A1">
              <w:t>89</w:t>
            </w:r>
          </w:p>
        </w:tc>
      </w:tr>
      <w:tr w:rsidR="00F74245" w:rsidRPr="00B57B36" w14:paraId="3F298BC0" w14:textId="77777777" w:rsidTr="00C47897">
        <w:tc>
          <w:tcPr>
            <w:tcW w:w="2500" w:type="pct"/>
            <w:shd w:val="clear" w:color="auto" w:fill="FFFFFF"/>
          </w:tcPr>
          <w:p w14:paraId="7F2A3A8A" w14:textId="10714AB3" w:rsidR="00F74245" w:rsidRPr="00B57B36" w:rsidRDefault="00F74245" w:rsidP="00F74245">
            <w:pPr>
              <w:pStyle w:val="CETBodytext"/>
              <w:rPr>
                <w:lang w:val="en-GB"/>
              </w:rPr>
            </w:pPr>
            <w:r w:rsidRPr="005703A1">
              <w:t>SURF-2</w:t>
            </w:r>
          </w:p>
        </w:tc>
        <w:tc>
          <w:tcPr>
            <w:tcW w:w="2500" w:type="pct"/>
            <w:shd w:val="clear" w:color="auto" w:fill="FFFFFF"/>
          </w:tcPr>
          <w:p w14:paraId="1214B327" w14:textId="19370B90" w:rsidR="00F74245" w:rsidRPr="00B57B36" w:rsidRDefault="00F74245" w:rsidP="00F74245">
            <w:pPr>
              <w:pStyle w:val="CETBodytext"/>
              <w:jc w:val="center"/>
              <w:rPr>
                <w:lang w:val="en-GB"/>
              </w:rPr>
            </w:pPr>
            <w:r w:rsidRPr="005703A1">
              <w:t>80</w:t>
            </w:r>
          </w:p>
        </w:tc>
      </w:tr>
      <w:tr w:rsidR="00F74245" w:rsidRPr="00B57B36" w14:paraId="77202E2A" w14:textId="77777777" w:rsidTr="00C47897">
        <w:tc>
          <w:tcPr>
            <w:tcW w:w="2500" w:type="pct"/>
            <w:shd w:val="clear" w:color="auto" w:fill="FFFFFF"/>
          </w:tcPr>
          <w:p w14:paraId="37E32183" w14:textId="347942C9" w:rsidR="00F74245" w:rsidRPr="00B57B36" w:rsidRDefault="00F74245" w:rsidP="00F74245">
            <w:pPr>
              <w:pStyle w:val="CETBodytext"/>
              <w:ind w:right="-1"/>
              <w:rPr>
                <w:rFonts w:cs="Arial"/>
                <w:szCs w:val="18"/>
                <w:lang w:val="en-GB"/>
              </w:rPr>
            </w:pPr>
            <w:r w:rsidRPr="005703A1">
              <w:t>SURF-3</w:t>
            </w:r>
          </w:p>
        </w:tc>
        <w:tc>
          <w:tcPr>
            <w:tcW w:w="2500" w:type="pct"/>
            <w:shd w:val="clear" w:color="auto" w:fill="FFFFFF"/>
          </w:tcPr>
          <w:p w14:paraId="1F89737C" w14:textId="4ECB5326" w:rsidR="00F74245" w:rsidRPr="00B57B36" w:rsidRDefault="00F74245" w:rsidP="00F74245">
            <w:pPr>
              <w:pStyle w:val="CETBodytext"/>
              <w:ind w:right="-1"/>
              <w:jc w:val="center"/>
              <w:rPr>
                <w:rFonts w:cs="Arial"/>
                <w:szCs w:val="18"/>
                <w:lang w:val="en-GB"/>
              </w:rPr>
            </w:pPr>
            <w:r w:rsidRPr="005703A1">
              <w:t>94</w:t>
            </w:r>
          </w:p>
        </w:tc>
      </w:tr>
      <w:tr w:rsidR="007B52F2" w:rsidRPr="00B57B36" w14:paraId="3D858E44" w14:textId="77777777" w:rsidTr="00C47897">
        <w:tc>
          <w:tcPr>
            <w:tcW w:w="2500" w:type="pct"/>
            <w:shd w:val="clear" w:color="auto" w:fill="FFFFFF"/>
          </w:tcPr>
          <w:p w14:paraId="3FB6B84C" w14:textId="683D0B3D" w:rsidR="007B52F2" w:rsidRPr="005703A1" w:rsidRDefault="007B52F2" w:rsidP="007B52F2">
            <w:pPr>
              <w:pStyle w:val="CETBodytext"/>
              <w:ind w:right="-1"/>
            </w:pPr>
            <w:r w:rsidRPr="00746212">
              <w:t>P</w:t>
            </w:r>
          </w:p>
        </w:tc>
        <w:tc>
          <w:tcPr>
            <w:tcW w:w="2500" w:type="pct"/>
            <w:shd w:val="clear" w:color="auto" w:fill="FFFFFF"/>
          </w:tcPr>
          <w:p w14:paraId="5FC90304" w14:textId="08E51AE6" w:rsidR="007B52F2" w:rsidRPr="005703A1" w:rsidRDefault="007B52F2" w:rsidP="007B52F2">
            <w:pPr>
              <w:pStyle w:val="CETBodytext"/>
              <w:ind w:right="-1"/>
              <w:jc w:val="center"/>
            </w:pPr>
            <w:r w:rsidRPr="00746212">
              <w:t>18</w:t>
            </w:r>
            <w:r>
              <w:t>2</w:t>
            </w:r>
          </w:p>
        </w:tc>
      </w:tr>
      <w:tr w:rsidR="007B52F2" w:rsidRPr="00B57B36" w14:paraId="0C7121D1" w14:textId="77777777" w:rsidTr="00C47897">
        <w:tc>
          <w:tcPr>
            <w:tcW w:w="2500" w:type="pct"/>
            <w:shd w:val="clear" w:color="auto" w:fill="FFFFFF"/>
          </w:tcPr>
          <w:p w14:paraId="47AF8A10" w14:textId="5845A712" w:rsidR="007B52F2" w:rsidRPr="005703A1" w:rsidRDefault="007B52F2" w:rsidP="007B52F2">
            <w:pPr>
              <w:pStyle w:val="CETBodytext"/>
              <w:ind w:right="-1"/>
            </w:pPr>
            <w:r w:rsidRPr="00746212">
              <w:t>P+SURF-1</w:t>
            </w:r>
          </w:p>
        </w:tc>
        <w:tc>
          <w:tcPr>
            <w:tcW w:w="2500" w:type="pct"/>
            <w:shd w:val="clear" w:color="auto" w:fill="FFFFFF"/>
          </w:tcPr>
          <w:p w14:paraId="34506CF7" w14:textId="03273C41" w:rsidR="007B52F2" w:rsidRPr="005703A1" w:rsidRDefault="007B52F2" w:rsidP="007B52F2">
            <w:pPr>
              <w:pStyle w:val="CETBodytext"/>
              <w:ind w:right="-1"/>
              <w:jc w:val="center"/>
            </w:pPr>
            <w:r w:rsidRPr="00746212">
              <w:t>291</w:t>
            </w:r>
          </w:p>
        </w:tc>
      </w:tr>
      <w:tr w:rsidR="007B52F2" w:rsidRPr="00B57B36" w14:paraId="467D41D5" w14:textId="77777777" w:rsidTr="00C47897">
        <w:tc>
          <w:tcPr>
            <w:tcW w:w="2500" w:type="pct"/>
            <w:shd w:val="clear" w:color="auto" w:fill="FFFFFF"/>
          </w:tcPr>
          <w:p w14:paraId="6B2AF97C" w14:textId="133F2D82" w:rsidR="007B52F2" w:rsidRPr="005703A1" w:rsidRDefault="007B52F2" w:rsidP="007B52F2">
            <w:pPr>
              <w:pStyle w:val="CETBodytext"/>
              <w:ind w:right="-1"/>
            </w:pPr>
            <w:r w:rsidRPr="00746212">
              <w:t>P+SURF-2</w:t>
            </w:r>
          </w:p>
        </w:tc>
        <w:tc>
          <w:tcPr>
            <w:tcW w:w="2500" w:type="pct"/>
            <w:shd w:val="clear" w:color="auto" w:fill="FFFFFF"/>
          </w:tcPr>
          <w:p w14:paraId="6AB1EA7A" w14:textId="79C187ED" w:rsidR="007B52F2" w:rsidRPr="005703A1" w:rsidRDefault="007B52F2" w:rsidP="007B52F2">
            <w:pPr>
              <w:pStyle w:val="CETBodytext"/>
              <w:ind w:right="-1"/>
              <w:jc w:val="center"/>
            </w:pPr>
            <w:r w:rsidRPr="00746212">
              <w:t>262</w:t>
            </w:r>
          </w:p>
        </w:tc>
      </w:tr>
    </w:tbl>
    <w:p w14:paraId="09C1C549" w14:textId="77777777" w:rsidR="00416375" w:rsidRDefault="00416375" w:rsidP="00A44ED5">
      <w:pPr>
        <w:pStyle w:val="CETBodytext"/>
      </w:pPr>
    </w:p>
    <w:p w14:paraId="06E05FB2" w14:textId="7113084F" w:rsidR="00D712BE" w:rsidRDefault="00D712BE" w:rsidP="00A44ED5">
      <w:pPr>
        <w:pStyle w:val="CETBodytext"/>
        <w:rPr>
          <w:i/>
        </w:rPr>
      </w:pPr>
      <w:r w:rsidRPr="00D712BE">
        <w:t xml:space="preserve">The smallest size had the </w:t>
      </w:r>
      <w:r>
        <w:t>SURF-</w:t>
      </w:r>
      <w:r w:rsidRPr="00D712BE">
        <w:t xml:space="preserve">1 and </w:t>
      </w:r>
      <w:r>
        <w:t>SURF</w:t>
      </w:r>
      <w:r w:rsidRPr="00D712BE">
        <w:t>-2 samples, which contained only surfactants. The HPAM alone had higher size (182 nm) and narrower distribution. In case of the combination of the surfactants and the HPAM, a monomodal size distribution with an average micelles size of above 200 nm and a wide range of size distribution (100–</w:t>
      </w:r>
      <w:r>
        <w:t>3</w:t>
      </w:r>
      <w:r w:rsidRPr="00D712BE">
        <w:t>00 nm) were obtained. The type of the wide distribution and the higher particle size indicated the interaction between the surfactants and HPAM in the solution. It was found that the hybrid micelle size obtained from the surfactant mixtures by adding flow modifier polymer significantly increased.</w:t>
      </w:r>
      <w:r w:rsidR="00245EE3">
        <w:t xml:space="preserve"> </w:t>
      </w:r>
      <w:r w:rsidR="00245EE3" w:rsidRPr="00245EE3">
        <w:t xml:space="preserve">The increase in </w:t>
      </w:r>
      <w:r w:rsidR="00245EE3" w:rsidRPr="00245EE3">
        <w:lastRenderedPageBreak/>
        <w:t>the hydrodynamic diameter was less than an order of magnitude, so it does not cause any problems in terms of applicability</w:t>
      </w:r>
    </w:p>
    <w:p w14:paraId="29E0C958" w14:textId="44194065" w:rsidR="00882797" w:rsidRPr="00882797" w:rsidRDefault="0082053E" w:rsidP="00A44ED5">
      <w:pPr>
        <w:pStyle w:val="CETBodytext"/>
        <w:rPr>
          <w:i/>
        </w:rPr>
      </w:pPr>
      <w:r w:rsidRPr="004714CB">
        <w:t>Emulsification</w:t>
      </w:r>
      <w:r w:rsidR="004714CB" w:rsidRPr="004714CB">
        <w:t xml:space="preserve"> effect was tested by bottle test. </w:t>
      </w:r>
      <w:r w:rsidR="00AA38B9" w:rsidRPr="004714CB">
        <w:t>A</w:t>
      </w:r>
      <w:r w:rsidR="004714CB" w:rsidRPr="004714CB">
        <w:t xml:space="preserve"> </w:t>
      </w:r>
      <w:r w:rsidR="004714CB">
        <w:rPr>
          <w:bCs/>
        </w:rPr>
        <w:t>b</w:t>
      </w:r>
      <w:r w:rsidR="00AA38B9" w:rsidRPr="004714CB">
        <w:rPr>
          <w:bCs/>
        </w:rPr>
        <w:t xml:space="preserve">ottle </w:t>
      </w:r>
      <w:r w:rsidR="004714CB">
        <w:rPr>
          <w:bCs/>
        </w:rPr>
        <w:t>t</w:t>
      </w:r>
      <w:r w:rsidR="00AA38B9" w:rsidRPr="004714CB">
        <w:rPr>
          <w:bCs/>
        </w:rPr>
        <w:t>est</w:t>
      </w:r>
      <w:r w:rsidR="004714CB" w:rsidRPr="004714CB">
        <w:t xml:space="preserve"> </w:t>
      </w:r>
      <w:r w:rsidR="00AA38B9" w:rsidRPr="004714CB">
        <w:t>is an analytical procedure in which a chemical is added to samples of a water-oil emulsion to determine the most effective and quantity of chemical needed to separate the emulsion into oil and water fractions</w:t>
      </w:r>
      <w:r w:rsidR="00882797" w:rsidRPr="00882797">
        <w:t xml:space="preserve">. The results are summarized in Table </w:t>
      </w:r>
      <w:r w:rsidR="00416375">
        <w:t>5</w:t>
      </w:r>
      <w:r w:rsidR="00882797" w:rsidRPr="00882797">
        <w:t>.</w:t>
      </w:r>
    </w:p>
    <w:p w14:paraId="1D7A7221" w14:textId="7A310345" w:rsidR="005C1EA2" w:rsidRDefault="005C1EA2" w:rsidP="005C1EA2">
      <w:pPr>
        <w:pStyle w:val="CETTabletitle"/>
      </w:pPr>
      <w:r w:rsidRPr="005C1EA2">
        <w:t xml:space="preserve">Table </w:t>
      </w:r>
      <w:r w:rsidR="00416375">
        <w:t>5</w:t>
      </w:r>
      <w:r w:rsidRPr="005C1EA2">
        <w:t>: Emulsification effect of surfactant mixtures</w:t>
      </w:r>
      <w:r w:rsidR="007B52F2">
        <w:t xml:space="preserve"> and </w:t>
      </w:r>
      <w:r w:rsidR="007B52F2" w:rsidRPr="005C1EA2">
        <w:t>polymer and surfactant mixtures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94"/>
      </w:tblGrid>
      <w:tr w:rsidR="00F74245" w:rsidRPr="00B57B36" w14:paraId="235C3D22" w14:textId="77777777" w:rsidTr="00C47897">
        <w:tc>
          <w:tcPr>
            <w:tcW w:w="2500" w:type="pct"/>
            <w:tcBorders>
              <w:top w:val="single" w:sz="12" w:space="0" w:color="008000"/>
              <w:bottom w:val="single" w:sz="6" w:space="0" w:color="008000"/>
            </w:tcBorders>
            <w:shd w:val="clear" w:color="auto" w:fill="FFFFFF"/>
          </w:tcPr>
          <w:p w14:paraId="67C5DA04" w14:textId="77777777" w:rsidR="00F74245" w:rsidRPr="00B57B36" w:rsidRDefault="00F74245" w:rsidP="00F74245">
            <w:pPr>
              <w:pStyle w:val="CETBodytext"/>
              <w:rPr>
                <w:lang w:val="en-GB"/>
              </w:rPr>
            </w:pPr>
          </w:p>
        </w:tc>
        <w:tc>
          <w:tcPr>
            <w:tcW w:w="2500" w:type="pct"/>
            <w:tcBorders>
              <w:top w:val="single" w:sz="12" w:space="0" w:color="008000"/>
              <w:bottom w:val="single" w:sz="6" w:space="0" w:color="008000"/>
            </w:tcBorders>
            <w:shd w:val="clear" w:color="auto" w:fill="FFFFFF"/>
          </w:tcPr>
          <w:p w14:paraId="2C49B973" w14:textId="6AEEEF24" w:rsidR="00F74245" w:rsidRPr="00B57B36" w:rsidRDefault="00F74245" w:rsidP="00F74245">
            <w:pPr>
              <w:pStyle w:val="CETBodytext"/>
              <w:jc w:val="center"/>
              <w:rPr>
                <w:lang w:val="en-GB"/>
              </w:rPr>
            </w:pPr>
            <w:r w:rsidRPr="00E12A1A">
              <w:t xml:space="preserve">Emulsification effect (middle phase), V/V% </w:t>
            </w:r>
          </w:p>
        </w:tc>
      </w:tr>
      <w:tr w:rsidR="00F74245" w:rsidRPr="00B57B36" w14:paraId="37D7BC30" w14:textId="77777777" w:rsidTr="00C47897">
        <w:tc>
          <w:tcPr>
            <w:tcW w:w="2500" w:type="pct"/>
            <w:shd w:val="clear" w:color="auto" w:fill="FFFFFF"/>
          </w:tcPr>
          <w:p w14:paraId="24A1F85A" w14:textId="5874F80A" w:rsidR="00F74245" w:rsidRPr="00B57B36" w:rsidRDefault="00F74245" w:rsidP="00F74245">
            <w:pPr>
              <w:pStyle w:val="CETBodytext"/>
              <w:rPr>
                <w:lang w:val="en-GB"/>
              </w:rPr>
            </w:pPr>
            <w:r w:rsidRPr="00E12A1A">
              <w:t>SURF-1</w:t>
            </w:r>
          </w:p>
        </w:tc>
        <w:tc>
          <w:tcPr>
            <w:tcW w:w="2500" w:type="pct"/>
            <w:shd w:val="clear" w:color="auto" w:fill="FFFFFF"/>
          </w:tcPr>
          <w:p w14:paraId="74C1549B" w14:textId="6AFAD847" w:rsidR="00F74245" w:rsidRPr="00B57B36" w:rsidRDefault="00F74245" w:rsidP="00F74245">
            <w:pPr>
              <w:pStyle w:val="CETBodytext"/>
              <w:jc w:val="center"/>
              <w:rPr>
                <w:lang w:val="en-GB"/>
              </w:rPr>
            </w:pPr>
            <w:r w:rsidRPr="00E12A1A">
              <w:t>60</w:t>
            </w:r>
          </w:p>
        </w:tc>
      </w:tr>
      <w:tr w:rsidR="00F74245" w:rsidRPr="00B57B36" w14:paraId="3DF595E0" w14:textId="77777777" w:rsidTr="00C47897">
        <w:tc>
          <w:tcPr>
            <w:tcW w:w="2500" w:type="pct"/>
            <w:shd w:val="clear" w:color="auto" w:fill="FFFFFF"/>
          </w:tcPr>
          <w:p w14:paraId="6A5B5D45" w14:textId="4A5EBA4D" w:rsidR="00F74245" w:rsidRPr="00B57B36" w:rsidRDefault="00F74245" w:rsidP="00F74245">
            <w:pPr>
              <w:pStyle w:val="CETBodytext"/>
              <w:rPr>
                <w:lang w:val="en-GB"/>
              </w:rPr>
            </w:pPr>
            <w:r w:rsidRPr="00E12A1A">
              <w:t>SURF-2</w:t>
            </w:r>
          </w:p>
        </w:tc>
        <w:tc>
          <w:tcPr>
            <w:tcW w:w="2500" w:type="pct"/>
            <w:shd w:val="clear" w:color="auto" w:fill="FFFFFF"/>
          </w:tcPr>
          <w:p w14:paraId="4E16061E" w14:textId="2C6BD2BA" w:rsidR="00F74245" w:rsidRPr="00B57B36" w:rsidRDefault="00F74245" w:rsidP="00F74245">
            <w:pPr>
              <w:pStyle w:val="CETBodytext"/>
              <w:jc w:val="center"/>
              <w:rPr>
                <w:lang w:val="en-GB"/>
              </w:rPr>
            </w:pPr>
            <w:r w:rsidRPr="00E12A1A">
              <w:t>50</w:t>
            </w:r>
          </w:p>
        </w:tc>
      </w:tr>
      <w:tr w:rsidR="00F74245" w:rsidRPr="00B57B36" w14:paraId="613ACE40" w14:textId="77777777" w:rsidTr="00C47897">
        <w:tc>
          <w:tcPr>
            <w:tcW w:w="2500" w:type="pct"/>
            <w:shd w:val="clear" w:color="auto" w:fill="FFFFFF"/>
          </w:tcPr>
          <w:p w14:paraId="11837836" w14:textId="29C56AB6" w:rsidR="00F74245" w:rsidRPr="00B57B36" w:rsidRDefault="00F74245" w:rsidP="00F74245">
            <w:pPr>
              <w:pStyle w:val="CETBodytext"/>
              <w:ind w:right="-1"/>
              <w:rPr>
                <w:rFonts w:cs="Arial"/>
                <w:szCs w:val="18"/>
                <w:lang w:val="en-GB"/>
              </w:rPr>
            </w:pPr>
            <w:r w:rsidRPr="00E12A1A">
              <w:t>SURF-3</w:t>
            </w:r>
          </w:p>
        </w:tc>
        <w:tc>
          <w:tcPr>
            <w:tcW w:w="2500" w:type="pct"/>
            <w:shd w:val="clear" w:color="auto" w:fill="FFFFFF"/>
          </w:tcPr>
          <w:p w14:paraId="7BA76E2E" w14:textId="0B8A893E" w:rsidR="00F74245" w:rsidRPr="00B57B36" w:rsidRDefault="00F74245" w:rsidP="00F74245">
            <w:pPr>
              <w:pStyle w:val="CETBodytext"/>
              <w:ind w:right="-1"/>
              <w:jc w:val="center"/>
              <w:rPr>
                <w:rFonts w:cs="Arial"/>
                <w:szCs w:val="18"/>
                <w:lang w:val="en-GB"/>
              </w:rPr>
            </w:pPr>
            <w:r w:rsidRPr="00E12A1A">
              <w:t>55</w:t>
            </w:r>
          </w:p>
        </w:tc>
      </w:tr>
      <w:tr w:rsidR="007B52F2" w:rsidRPr="00B57B36" w14:paraId="07ED72B4" w14:textId="77777777" w:rsidTr="00C47897">
        <w:tc>
          <w:tcPr>
            <w:tcW w:w="2500" w:type="pct"/>
            <w:shd w:val="clear" w:color="auto" w:fill="FFFFFF"/>
          </w:tcPr>
          <w:p w14:paraId="552CEC2F" w14:textId="195D3038" w:rsidR="007B52F2" w:rsidRPr="00E12A1A" w:rsidRDefault="007B52F2" w:rsidP="007B52F2">
            <w:pPr>
              <w:pStyle w:val="CETBodytext"/>
              <w:ind w:right="-1"/>
            </w:pPr>
            <w:r w:rsidRPr="004820C4">
              <w:t>P+SURF-1</w:t>
            </w:r>
          </w:p>
        </w:tc>
        <w:tc>
          <w:tcPr>
            <w:tcW w:w="2500" w:type="pct"/>
            <w:shd w:val="clear" w:color="auto" w:fill="FFFFFF"/>
          </w:tcPr>
          <w:p w14:paraId="376DBCB6" w14:textId="270F8A98" w:rsidR="007B52F2" w:rsidRPr="00E12A1A" w:rsidRDefault="007B52F2" w:rsidP="007B52F2">
            <w:pPr>
              <w:pStyle w:val="CETBodytext"/>
              <w:ind w:right="-1"/>
              <w:jc w:val="center"/>
            </w:pPr>
            <w:r w:rsidRPr="004820C4">
              <w:t>90</w:t>
            </w:r>
          </w:p>
        </w:tc>
      </w:tr>
      <w:tr w:rsidR="007B52F2" w:rsidRPr="00B57B36" w14:paraId="19EAF1A3" w14:textId="77777777" w:rsidTr="00C47897">
        <w:tc>
          <w:tcPr>
            <w:tcW w:w="2500" w:type="pct"/>
            <w:shd w:val="clear" w:color="auto" w:fill="FFFFFF"/>
          </w:tcPr>
          <w:p w14:paraId="3B561C09" w14:textId="1A44B02E" w:rsidR="007B52F2" w:rsidRPr="00E12A1A" w:rsidRDefault="007B52F2" w:rsidP="007B52F2">
            <w:pPr>
              <w:pStyle w:val="CETBodytext"/>
              <w:ind w:right="-1"/>
            </w:pPr>
            <w:r w:rsidRPr="004820C4">
              <w:t>P+SURF-2</w:t>
            </w:r>
          </w:p>
        </w:tc>
        <w:tc>
          <w:tcPr>
            <w:tcW w:w="2500" w:type="pct"/>
            <w:shd w:val="clear" w:color="auto" w:fill="FFFFFF"/>
          </w:tcPr>
          <w:p w14:paraId="717E6B65" w14:textId="582788B6" w:rsidR="007B52F2" w:rsidRPr="00E12A1A" w:rsidRDefault="007B52F2" w:rsidP="007B52F2">
            <w:pPr>
              <w:pStyle w:val="CETBodytext"/>
              <w:ind w:right="-1"/>
              <w:jc w:val="center"/>
            </w:pPr>
            <w:r w:rsidRPr="004820C4">
              <w:t>85</w:t>
            </w:r>
          </w:p>
        </w:tc>
      </w:tr>
      <w:tr w:rsidR="007B52F2" w:rsidRPr="00B57B36" w14:paraId="4DDB04DA" w14:textId="77777777" w:rsidTr="00C47897">
        <w:tc>
          <w:tcPr>
            <w:tcW w:w="2500" w:type="pct"/>
            <w:shd w:val="clear" w:color="auto" w:fill="FFFFFF"/>
          </w:tcPr>
          <w:p w14:paraId="6544BC13" w14:textId="7FB48A33" w:rsidR="007B52F2" w:rsidRPr="00E12A1A" w:rsidRDefault="007B52F2" w:rsidP="007B52F2">
            <w:pPr>
              <w:pStyle w:val="CETBodytext"/>
              <w:ind w:right="-1"/>
            </w:pPr>
            <w:r w:rsidRPr="004820C4">
              <w:t>P+SURF-3</w:t>
            </w:r>
          </w:p>
        </w:tc>
        <w:tc>
          <w:tcPr>
            <w:tcW w:w="2500" w:type="pct"/>
            <w:shd w:val="clear" w:color="auto" w:fill="FFFFFF"/>
          </w:tcPr>
          <w:p w14:paraId="18F01825" w14:textId="4C26CFCC" w:rsidR="007B52F2" w:rsidRPr="00E12A1A" w:rsidRDefault="007B52F2" w:rsidP="007B52F2">
            <w:pPr>
              <w:pStyle w:val="CETBodytext"/>
              <w:ind w:right="-1"/>
              <w:jc w:val="center"/>
            </w:pPr>
            <w:r w:rsidRPr="004820C4">
              <w:t>90</w:t>
            </w:r>
          </w:p>
        </w:tc>
      </w:tr>
    </w:tbl>
    <w:p w14:paraId="27E068B0" w14:textId="77777777" w:rsidR="00416375" w:rsidRDefault="00416375" w:rsidP="007B52F2">
      <w:pPr>
        <w:pStyle w:val="CETBodytext"/>
      </w:pPr>
    </w:p>
    <w:p w14:paraId="7E00448D" w14:textId="4E125DCB" w:rsidR="004C764A" w:rsidRDefault="004C764A" w:rsidP="007B52F2">
      <w:pPr>
        <w:pStyle w:val="CETBodytext"/>
        <w:rPr>
          <w:i/>
        </w:rPr>
      </w:pPr>
      <w:r w:rsidRPr="00D712BE">
        <w:t xml:space="preserve">The smallest </w:t>
      </w:r>
      <w:r>
        <w:t xml:space="preserve">middle phase </w:t>
      </w:r>
      <w:r w:rsidRPr="00D712BE">
        <w:t xml:space="preserve">had the </w:t>
      </w:r>
      <w:r>
        <w:t>SURF-2</w:t>
      </w:r>
      <w:r w:rsidRPr="00D712BE">
        <w:t xml:space="preserve"> and </w:t>
      </w:r>
      <w:r>
        <w:t>SURF</w:t>
      </w:r>
      <w:r w:rsidRPr="00D712BE">
        <w:t>-</w:t>
      </w:r>
      <w:r>
        <w:t>3</w:t>
      </w:r>
      <w:r w:rsidRPr="00D712BE">
        <w:t xml:space="preserve"> samples, which contained only surfactants.</w:t>
      </w:r>
      <w:r>
        <w:t xml:space="preserve"> T</w:t>
      </w:r>
      <w:r w:rsidRPr="00D712BE">
        <w:t>he combination of the surfactants and the HPAM</w:t>
      </w:r>
      <w:r>
        <w:t xml:space="preserve"> had a</w:t>
      </w:r>
      <w:r w:rsidRPr="004C764A">
        <w:t>mount of middle phase above 85 v/v%</w:t>
      </w:r>
      <w:r>
        <w:t>.</w:t>
      </w:r>
      <w:r w:rsidR="00245EE3">
        <w:t xml:space="preserve"> </w:t>
      </w:r>
      <w:r w:rsidR="00245EE3" w:rsidRPr="00245EE3">
        <w:t>By using polymers, it was possible to increase the amount of oil that can be emulsified using a unit of surfactant.</w:t>
      </w:r>
    </w:p>
    <w:p w14:paraId="6241FD56" w14:textId="68820FCB" w:rsidR="00D712BE" w:rsidRPr="00882797" w:rsidRDefault="00882797" w:rsidP="00A44ED5">
      <w:pPr>
        <w:pStyle w:val="CETBodytext"/>
        <w:rPr>
          <w:i/>
        </w:rPr>
      </w:pPr>
      <w:r w:rsidRPr="00882797">
        <w:t xml:space="preserve">Simulating the real </w:t>
      </w:r>
      <w:proofErr w:type="gramStart"/>
      <w:r w:rsidRPr="00882797">
        <w:t>conditions</w:t>
      </w:r>
      <w:proofErr w:type="gramEnd"/>
      <w:r w:rsidRPr="00882797">
        <w:t xml:space="preserve"> the measurement was performed after water flooding and the additional oil production was determined after emulsion breaking. The results are summarized in Table </w:t>
      </w:r>
      <w:r w:rsidR="00416375">
        <w:t>6</w:t>
      </w:r>
      <w:r w:rsidRPr="00882797">
        <w:t>.</w:t>
      </w:r>
    </w:p>
    <w:p w14:paraId="306270D9" w14:textId="459005DA" w:rsidR="005C1EA2" w:rsidRDefault="005C1EA2" w:rsidP="005C1EA2">
      <w:pPr>
        <w:pStyle w:val="CETTabletitle"/>
      </w:pPr>
      <w:r w:rsidRPr="005C1EA2">
        <w:t xml:space="preserve">Table </w:t>
      </w:r>
      <w:r w:rsidR="00416375">
        <w:t>6</w:t>
      </w:r>
      <w:r w:rsidRPr="005C1EA2">
        <w:t>: Additional oil recovery, % (OOIP) of surfactant mixtures</w:t>
      </w:r>
      <w:r w:rsidR="007B52F2">
        <w:t xml:space="preserve"> and </w:t>
      </w:r>
      <w:r w:rsidR="007B52F2" w:rsidRPr="005C1EA2">
        <w:t>polymer and surfactant mixtures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94"/>
      </w:tblGrid>
      <w:tr w:rsidR="00F74245" w:rsidRPr="00B57B36" w14:paraId="724357BF" w14:textId="77777777" w:rsidTr="00C47897">
        <w:tc>
          <w:tcPr>
            <w:tcW w:w="2500" w:type="pct"/>
            <w:tcBorders>
              <w:top w:val="single" w:sz="12" w:space="0" w:color="008000"/>
              <w:bottom w:val="single" w:sz="6" w:space="0" w:color="008000"/>
            </w:tcBorders>
            <w:shd w:val="clear" w:color="auto" w:fill="FFFFFF"/>
          </w:tcPr>
          <w:p w14:paraId="40DDAF99" w14:textId="77777777" w:rsidR="00F74245" w:rsidRPr="00B57B36" w:rsidRDefault="00F74245" w:rsidP="00F74245">
            <w:pPr>
              <w:pStyle w:val="CETBodytext"/>
              <w:rPr>
                <w:lang w:val="en-GB"/>
              </w:rPr>
            </w:pPr>
          </w:p>
        </w:tc>
        <w:tc>
          <w:tcPr>
            <w:tcW w:w="2500" w:type="pct"/>
            <w:tcBorders>
              <w:top w:val="single" w:sz="12" w:space="0" w:color="008000"/>
              <w:bottom w:val="single" w:sz="6" w:space="0" w:color="008000"/>
            </w:tcBorders>
            <w:shd w:val="clear" w:color="auto" w:fill="FFFFFF"/>
          </w:tcPr>
          <w:p w14:paraId="13A66A29" w14:textId="3FB43048" w:rsidR="00F74245" w:rsidRPr="00B57B36" w:rsidRDefault="00F74245" w:rsidP="00F74245">
            <w:pPr>
              <w:pStyle w:val="CETBodytext"/>
              <w:jc w:val="center"/>
              <w:rPr>
                <w:lang w:val="en-GB"/>
              </w:rPr>
            </w:pPr>
            <w:r w:rsidRPr="006907A6">
              <w:t>Additional oil recovery, %</w:t>
            </w:r>
          </w:p>
        </w:tc>
      </w:tr>
      <w:tr w:rsidR="00F74245" w:rsidRPr="00B57B36" w14:paraId="2CF9203B" w14:textId="77777777" w:rsidTr="00C47897">
        <w:tc>
          <w:tcPr>
            <w:tcW w:w="2500" w:type="pct"/>
            <w:shd w:val="clear" w:color="auto" w:fill="FFFFFF"/>
          </w:tcPr>
          <w:p w14:paraId="1C8A24B6" w14:textId="4EE26675" w:rsidR="00F74245" w:rsidRPr="00B57B36" w:rsidRDefault="00F74245" w:rsidP="00F74245">
            <w:pPr>
              <w:pStyle w:val="CETBodytext"/>
              <w:rPr>
                <w:lang w:val="en-GB"/>
              </w:rPr>
            </w:pPr>
            <w:r w:rsidRPr="006907A6">
              <w:t>SURF-1</w:t>
            </w:r>
          </w:p>
        </w:tc>
        <w:tc>
          <w:tcPr>
            <w:tcW w:w="2500" w:type="pct"/>
            <w:shd w:val="clear" w:color="auto" w:fill="FFFFFF"/>
          </w:tcPr>
          <w:p w14:paraId="7AAF2A5D" w14:textId="2801A328" w:rsidR="00F74245" w:rsidRPr="00B57B36" w:rsidRDefault="00F74245" w:rsidP="00F74245">
            <w:pPr>
              <w:pStyle w:val="CETBodytext"/>
              <w:jc w:val="center"/>
              <w:rPr>
                <w:lang w:val="en-GB"/>
              </w:rPr>
            </w:pPr>
            <w:r w:rsidRPr="006907A6">
              <w:t>60</w:t>
            </w:r>
          </w:p>
        </w:tc>
      </w:tr>
      <w:tr w:rsidR="00F74245" w:rsidRPr="00B57B36" w14:paraId="4486716B" w14:textId="77777777" w:rsidTr="00C47897">
        <w:tc>
          <w:tcPr>
            <w:tcW w:w="2500" w:type="pct"/>
            <w:shd w:val="clear" w:color="auto" w:fill="FFFFFF"/>
          </w:tcPr>
          <w:p w14:paraId="6C564761" w14:textId="78644407" w:rsidR="00F74245" w:rsidRPr="00B57B36" w:rsidRDefault="00F74245" w:rsidP="00F74245">
            <w:pPr>
              <w:pStyle w:val="CETBodytext"/>
              <w:rPr>
                <w:lang w:val="en-GB"/>
              </w:rPr>
            </w:pPr>
            <w:r w:rsidRPr="006907A6">
              <w:t>SURF-2</w:t>
            </w:r>
          </w:p>
        </w:tc>
        <w:tc>
          <w:tcPr>
            <w:tcW w:w="2500" w:type="pct"/>
            <w:shd w:val="clear" w:color="auto" w:fill="FFFFFF"/>
          </w:tcPr>
          <w:p w14:paraId="44FD4D2C" w14:textId="4A3EDC12" w:rsidR="00F74245" w:rsidRPr="00B57B36" w:rsidRDefault="00F74245" w:rsidP="00F74245">
            <w:pPr>
              <w:pStyle w:val="CETBodytext"/>
              <w:jc w:val="center"/>
              <w:rPr>
                <w:lang w:val="en-GB"/>
              </w:rPr>
            </w:pPr>
            <w:r w:rsidRPr="006907A6">
              <w:t>50</w:t>
            </w:r>
          </w:p>
        </w:tc>
      </w:tr>
      <w:tr w:rsidR="00F74245" w:rsidRPr="00B57B36" w14:paraId="4266BBA4" w14:textId="77777777" w:rsidTr="00C47897">
        <w:tc>
          <w:tcPr>
            <w:tcW w:w="2500" w:type="pct"/>
            <w:shd w:val="clear" w:color="auto" w:fill="FFFFFF"/>
          </w:tcPr>
          <w:p w14:paraId="74B9E6F1" w14:textId="155B9DE8" w:rsidR="00F74245" w:rsidRPr="00B57B36" w:rsidRDefault="00F74245" w:rsidP="00F74245">
            <w:pPr>
              <w:pStyle w:val="CETBodytext"/>
              <w:ind w:right="-1"/>
              <w:rPr>
                <w:rFonts w:cs="Arial"/>
                <w:szCs w:val="18"/>
                <w:lang w:val="en-GB"/>
              </w:rPr>
            </w:pPr>
            <w:r w:rsidRPr="006907A6">
              <w:t>SURF-3</w:t>
            </w:r>
          </w:p>
        </w:tc>
        <w:tc>
          <w:tcPr>
            <w:tcW w:w="2500" w:type="pct"/>
            <w:shd w:val="clear" w:color="auto" w:fill="FFFFFF"/>
          </w:tcPr>
          <w:p w14:paraId="1ADD99EC" w14:textId="1298BC43" w:rsidR="00F74245" w:rsidRPr="00B57B36" w:rsidRDefault="00F74245" w:rsidP="00F74245">
            <w:pPr>
              <w:pStyle w:val="CETBodytext"/>
              <w:ind w:right="-1"/>
              <w:jc w:val="center"/>
              <w:rPr>
                <w:rFonts w:cs="Arial"/>
                <w:szCs w:val="18"/>
                <w:lang w:val="en-GB"/>
              </w:rPr>
            </w:pPr>
            <w:r w:rsidRPr="006907A6">
              <w:t>55</w:t>
            </w:r>
          </w:p>
        </w:tc>
      </w:tr>
      <w:tr w:rsidR="007B52F2" w:rsidRPr="00B57B36" w14:paraId="723E8766" w14:textId="77777777" w:rsidTr="00C47897">
        <w:tc>
          <w:tcPr>
            <w:tcW w:w="2500" w:type="pct"/>
            <w:shd w:val="clear" w:color="auto" w:fill="FFFFFF"/>
          </w:tcPr>
          <w:p w14:paraId="1A7B6048" w14:textId="11BE482B" w:rsidR="007B52F2" w:rsidRPr="006907A6" w:rsidRDefault="007B52F2" w:rsidP="007B52F2">
            <w:pPr>
              <w:pStyle w:val="CETBodytext"/>
              <w:ind w:right="-1"/>
            </w:pPr>
            <w:r w:rsidRPr="00335B04">
              <w:t>P+SURF-1</w:t>
            </w:r>
          </w:p>
        </w:tc>
        <w:tc>
          <w:tcPr>
            <w:tcW w:w="2500" w:type="pct"/>
            <w:shd w:val="clear" w:color="auto" w:fill="FFFFFF"/>
          </w:tcPr>
          <w:p w14:paraId="0A296CC5" w14:textId="4BE342AE" w:rsidR="007B52F2" w:rsidRPr="006907A6" w:rsidRDefault="007B52F2" w:rsidP="007B52F2">
            <w:pPr>
              <w:pStyle w:val="CETBodytext"/>
              <w:ind w:right="-1"/>
              <w:jc w:val="center"/>
            </w:pPr>
            <w:r w:rsidRPr="00335B04">
              <w:t>90</w:t>
            </w:r>
          </w:p>
        </w:tc>
      </w:tr>
      <w:tr w:rsidR="007B52F2" w:rsidRPr="00B57B36" w14:paraId="00F2BE5E" w14:textId="77777777" w:rsidTr="00C47897">
        <w:tc>
          <w:tcPr>
            <w:tcW w:w="2500" w:type="pct"/>
            <w:shd w:val="clear" w:color="auto" w:fill="FFFFFF"/>
          </w:tcPr>
          <w:p w14:paraId="63DD38FB" w14:textId="6881FBBA" w:rsidR="007B52F2" w:rsidRPr="006907A6" w:rsidRDefault="007B52F2" w:rsidP="007B52F2">
            <w:pPr>
              <w:pStyle w:val="CETBodytext"/>
              <w:ind w:right="-1"/>
            </w:pPr>
            <w:r w:rsidRPr="00335B04">
              <w:t>P+SURF-2</w:t>
            </w:r>
          </w:p>
        </w:tc>
        <w:tc>
          <w:tcPr>
            <w:tcW w:w="2500" w:type="pct"/>
            <w:shd w:val="clear" w:color="auto" w:fill="FFFFFF"/>
          </w:tcPr>
          <w:p w14:paraId="38DFE8CC" w14:textId="5DA30BB3" w:rsidR="007B52F2" w:rsidRPr="006907A6" w:rsidRDefault="007B52F2" w:rsidP="007B52F2">
            <w:pPr>
              <w:pStyle w:val="CETBodytext"/>
              <w:ind w:right="-1"/>
              <w:jc w:val="center"/>
            </w:pPr>
            <w:r w:rsidRPr="00335B04">
              <w:t>85</w:t>
            </w:r>
          </w:p>
        </w:tc>
      </w:tr>
      <w:tr w:rsidR="007B52F2" w:rsidRPr="00B57B36" w14:paraId="77392F11" w14:textId="77777777" w:rsidTr="00C47897">
        <w:tc>
          <w:tcPr>
            <w:tcW w:w="2500" w:type="pct"/>
            <w:shd w:val="clear" w:color="auto" w:fill="FFFFFF"/>
          </w:tcPr>
          <w:p w14:paraId="7B7DD0F8" w14:textId="5304B8E7" w:rsidR="007B52F2" w:rsidRPr="006907A6" w:rsidRDefault="007B52F2" w:rsidP="007B52F2">
            <w:pPr>
              <w:pStyle w:val="CETBodytext"/>
              <w:ind w:right="-1"/>
            </w:pPr>
            <w:r w:rsidRPr="00335B04">
              <w:t>P+SURF-3</w:t>
            </w:r>
          </w:p>
        </w:tc>
        <w:tc>
          <w:tcPr>
            <w:tcW w:w="2500" w:type="pct"/>
            <w:shd w:val="clear" w:color="auto" w:fill="FFFFFF"/>
          </w:tcPr>
          <w:p w14:paraId="24C6BC79" w14:textId="77365ED1" w:rsidR="007B52F2" w:rsidRPr="006907A6" w:rsidRDefault="007B52F2" w:rsidP="007B52F2">
            <w:pPr>
              <w:pStyle w:val="CETBodytext"/>
              <w:ind w:right="-1"/>
              <w:jc w:val="center"/>
            </w:pPr>
            <w:r w:rsidRPr="00335B04">
              <w:t>90</w:t>
            </w:r>
          </w:p>
        </w:tc>
      </w:tr>
    </w:tbl>
    <w:p w14:paraId="5EBD4242" w14:textId="77777777" w:rsidR="00416375" w:rsidRDefault="00416375" w:rsidP="005C1EA2"/>
    <w:p w14:paraId="6B46094B" w14:textId="671D0106" w:rsidR="00D712BE" w:rsidRDefault="00D712BE" w:rsidP="005C1EA2">
      <w:pPr>
        <w:rPr>
          <w:rFonts w:ascii="Times New Roman" w:hAnsi="Times New Roman"/>
          <w:sz w:val="24"/>
          <w:szCs w:val="24"/>
        </w:rPr>
      </w:pPr>
      <w:r>
        <w:t xml:space="preserve">Polymer and surfactant flooding </w:t>
      </w:r>
      <w:r w:rsidR="00950E93">
        <w:t>consist</w:t>
      </w:r>
      <w:r>
        <w:t xml:space="preserve"> in mixing different surfactants and long chain polymer molecules with the injected water in order to increase the water viscosity. Investigating the rheological properties of the flooding solutions is very important. The measure of viscosity as a function of shear rate gives information about the behaviour of the solution during the flooding process (i.e., low velocity of shear rate) is comparable to the conditions in a reservoir (it can be used to characterize the flow in the pores of the rock), the high velocities to the injection well (it can be used to characterize the flow in the well tube). At slow share rates the viscosity is higher for P+SURF-1, P+SURF-2 and P+SURF-3 than for HPAM, which is favourable for the flooding process (see Figure 1). The increase in viscosity can be explained by the increased micelles size obtained by DLS measurements. At high shear rate there is a decrease in viscosity of the mixed solutions close to the HPAM solution viscosity, which is also wanted during the injection of the solution.</w:t>
      </w:r>
    </w:p>
    <w:p w14:paraId="1985CE89" w14:textId="77777777" w:rsidR="005C1EA2" w:rsidRDefault="005C1EA2" w:rsidP="005C1EA2">
      <w:pPr>
        <w:rPr>
          <w:rFonts w:ascii="Times New Roman" w:hAnsi="Times New Roman"/>
          <w:sz w:val="24"/>
          <w:szCs w:val="24"/>
        </w:rPr>
      </w:pPr>
      <w:r>
        <w:rPr>
          <w:rFonts w:ascii="Times New Roman" w:hAnsi="Times New Roman"/>
          <w:noProof/>
          <w:sz w:val="24"/>
          <w:szCs w:val="24"/>
        </w:rPr>
        <w:lastRenderedPageBreak/>
        <w:drawing>
          <wp:inline distT="0" distB="0" distL="0" distR="0" wp14:anchorId="4D40996E" wp14:editId="1818CA2F">
            <wp:extent cx="5739555" cy="3197225"/>
            <wp:effectExtent l="0" t="0" r="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8533" cy="3207797"/>
                    </a:xfrm>
                    <a:prstGeom prst="rect">
                      <a:avLst/>
                    </a:prstGeom>
                    <a:noFill/>
                    <a:ln>
                      <a:noFill/>
                    </a:ln>
                  </pic:spPr>
                </pic:pic>
              </a:graphicData>
            </a:graphic>
          </wp:inline>
        </w:drawing>
      </w:r>
    </w:p>
    <w:p w14:paraId="3D511751" w14:textId="7B601CBF" w:rsidR="005C1EA2" w:rsidRDefault="005C1EA2" w:rsidP="005C1EA2">
      <w:pPr>
        <w:pStyle w:val="CETCaption"/>
        <w:rPr>
          <w:rStyle w:val="CETCaptionCarattere"/>
        </w:rPr>
      </w:pPr>
      <w:r w:rsidRPr="005C1EA2">
        <w:rPr>
          <w:rStyle w:val="CETCaptionCarattere"/>
        </w:rPr>
        <w:t>Figure 1: Rheological properties of polymer and polymer-surfactants solutions</w:t>
      </w:r>
    </w:p>
    <w:p w14:paraId="313BD7A8" w14:textId="4331A391" w:rsidR="003B0077" w:rsidRDefault="00242C5E" w:rsidP="002431C5">
      <w:pPr>
        <w:pStyle w:val="CETCaption"/>
        <w:spacing w:after="0"/>
        <w:rPr>
          <w:i w:val="0"/>
        </w:rPr>
      </w:pPr>
      <w:r w:rsidRPr="00242C5E">
        <w:rPr>
          <w:i w:val="0"/>
        </w:rPr>
        <w:t>The increase in viscosity can be explained by the increased micelles size obtained by DLS measurements. At high shear rate there is a decrease in viscosity of the mixed solutions close to the HPAM solution viscosity, which is also wanted during the injection of the solution.</w:t>
      </w:r>
    </w:p>
    <w:p w14:paraId="625CBF60" w14:textId="13F686DF" w:rsidR="00242C5E" w:rsidRPr="00242C5E" w:rsidRDefault="00242C5E" w:rsidP="005C1EA2">
      <w:pPr>
        <w:pStyle w:val="CETCaption"/>
        <w:rPr>
          <w:i w:val="0"/>
        </w:rPr>
      </w:pPr>
      <w:r w:rsidRPr="00242C5E">
        <w:rPr>
          <w:i w:val="0"/>
        </w:rPr>
        <w:t>Four different techniques were used to demonstrate the interaction between the investigated surfactant compositions and the applied flow modifier type polymer.</w:t>
      </w:r>
    </w:p>
    <w:p w14:paraId="533857AB" w14:textId="77777777" w:rsidR="005C1EA2" w:rsidRPr="006B2AE1" w:rsidRDefault="005C1EA2" w:rsidP="005C1EA2">
      <w:pPr>
        <w:pStyle w:val="CETHeading1"/>
      </w:pPr>
      <w:r w:rsidRPr="006B2AE1">
        <w:t>Conclusion</w:t>
      </w:r>
    </w:p>
    <w:p w14:paraId="3388188F" w14:textId="77777777" w:rsidR="005C1EA2" w:rsidRPr="006B2AE1" w:rsidRDefault="005C1EA2" w:rsidP="005C1EA2">
      <w:pPr>
        <w:pStyle w:val="CETBodytext"/>
      </w:pPr>
      <w:r w:rsidRPr="006B2AE1">
        <w:t xml:space="preserve">The interaction between different surfactant </w:t>
      </w:r>
      <w:r>
        <w:t xml:space="preserve">packages </w:t>
      </w:r>
      <w:r w:rsidRPr="006B2AE1">
        <w:t>and the flow modifier type polymer</w:t>
      </w:r>
      <w:r>
        <w:t xml:space="preserve"> </w:t>
      </w:r>
      <w:r w:rsidRPr="006B2AE1">
        <w:t xml:space="preserve">in </w:t>
      </w:r>
      <w:r>
        <w:t>brine</w:t>
      </w:r>
      <w:r w:rsidRPr="006B2AE1">
        <w:t xml:space="preserve"> solutions were analysed by different methods. The new experimental results are summarized as follows</w:t>
      </w:r>
      <w:r>
        <w:t>:</w:t>
      </w:r>
    </w:p>
    <w:p w14:paraId="0722ECD6" w14:textId="77777777" w:rsidR="005C1EA2" w:rsidRPr="006B2AE1" w:rsidRDefault="005C1EA2" w:rsidP="005C1EA2">
      <w:pPr>
        <w:pStyle w:val="CETListbullets"/>
        <w:numPr>
          <w:ilvl w:val="0"/>
          <w:numId w:val="13"/>
        </w:numPr>
      </w:pPr>
      <w:r w:rsidRPr="006B2AE1">
        <w:t>It was found that in the presence of flow modifier type polymer a significant decrease of IFT values created in the crude oil/</w:t>
      </w:r>
      <w:r>
        <w:t>brine</w:t>
      </w:r>
      <w:r w:rsidRPr="006B2AE1">
        <w:t xml:space="preserve"> emulsions using different mixtures of own developed surfactants.</w:t>
      </w:r>
    </w:p>
    <w:p w14:paraId="61E47AC6" w14:textId="77777777" w:rsidR="005C1EA2" w:rsidRPr="002E2632" w:rsidRDefault="005C1EA2" w:rsidP="005C1EA2">
      <w:pPr>
        <w:pStyle w:val="CETListbullets"/>
        <w:numPr>
          <w:ilvl w:val="0"/>
          <w:numId w:val="13"/>
        </w:numPr>
      </w:pPr>
      <w:r w:rsidRPr="002E2632">
        <w:t>Based on the experimental data a significant level of interaction between the surfactants and the HPAM polymer were found: the hydrodynamic size of the mixed surfactant-polymer composites was higher than alone the size of the polymer or self the surfactant mixtures.</w:t>
      </w:r>
    </w:p>
    <w:p w14:paraId="1546DE24" w14:textId="77777777" w:rsidR="005C1EA2" w:rsidRDefault="005C1EA2" w:rsidP="005C1EA2">
      <w:pPr>
        <w:pStyle w:val="CETListbullets"/>
        <w:numPr>
          <w:ilvl w:val="0"/>
          <w:numId w:val="13"/>
        </w:numPr>
      </w:pPr>
      <w:r w:rsidRPr="006B2AE1">
        <w:t>The results obtained by rheological measurement could be explained by DLS data and confirm the hypothesis, that the higher viscosity of the polymer-surfactant solution can be caused by the increased hybrid micelle size formed by the interaction of the surfactants and the flow improver polymer.</w:t>
      </w:r>
    </w:p>
    <w:p w14:paraId="5AC4C73F" w14:textId="77777777" w:rsidR="005C1EA2" w:rsidRDefault="005C1EA2" w:rsidP="005C1EA2">
      <w:pPr>
        <w:pStyle w:val="CETListbullets"/>
        <w:numPr>
          <w:ilvl w:val="0"/>
          <w:numId w:val="13"/>
        </w:numPr>
      </w:pPr>
      <w:r w:rsidRPr="002E2632">
        <w:t>Based on the experimental data a significant level of interaction between the surfactants</w:t>
      </w:r>
      <w:r>
        <w:t xml:space="preserve"> and the polymer were found, the emulsification effect of surfactants and polymer-surfactant mixtures was higher than alone the surfactant mixtures.</w:t>
      </w:r>
    </w:p>
    <w:p w14:paraId="4A1C9041" w14:textId="77777777" w:rsidR="005C1EA2" w:rsidRDefault="005C1EA2" w:rsidP="005C1EA2">
      <w:pPr>
        <w:pStyle w:val="CETListbullets"/>
        <w:numPr>
          <w:ilvl w:val="0"/>
          <w:numId w:val="13"/>
        </w:numPr>
      </w:pPr>
      <w:r w:rsidRPr="006B2AE1">
        <w:t>It was obtained that by applying flow modifier polymer together with the own developed surfactants the additional oil production could increase.</w:t>
      </w:r>
    </w:p>
    <w:p w14:paraId="06823BE6" w14:textId="375CF484" w:rsidR="005C1EA2" w:rsidRPr="006B2AE1" w:rsidRDefault="00517BC2" w:rsidP="005C1EA2">
      <w:pPr>
        <w:pStyle w:val="CETBodytext"/>
      </w:pPr>
      <w:r w:rsidRPr="00517BC2">
        <w:t xml:space="preserve">We managed to improve the properties of surfactant compositions by adding polymers. Examining the surfactant-polymer compositions together, the results of the efficiency tests of the solutions improved, which was also </w:t>
      </w:r>
      <w:r>
        <w:t>confirmed</w:t>
      </w:r>
      <w:r w:rsidRPr="00517BC2">
        <w:t xml:space="preserve"> by the results of the </w:t>
      </w:r>
      <w:r>
        <w:t>oil</w:t>
      </w:r>
      <w:r w:rsidRPr="00517BC2">
        <w:t xml:space="preserve"> displacement tests.</w:t>
      </w:r>
      <w:r>
        <w:t xml:space="preserve"> </w:t>
      </w:r>
      <w:r w:rsidR="005C1EA2" w:rsidRPr="006B2AE1">
        <w:t>Based on these outcomes it can be stated that significant and advantageous interactions between surfactants and flow improver polymer were detected which caused increased viscosity in flooding solutions. This favourable viscosity change effect can be an important contribution to improve the efficiency of polymer-surfactant compositions used in the EOR type exploration processes.</w:t>
      </w:r>
    </w:p>
    <w:p w14:paraId="07A6D20F" w14:textId="0ECF229E"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25D52BD8" w14:textId="7326D4E4" w:rsidR="00280FAF" w:rsidRPr="00280FAF" w:rsidRDefault="001F0A85" w:rsidP="00280FAF">
      <w:pPr>
        <w:pStyle w:val="CETBodytext"/>
        <w:jc w:val="left"/>
        <w:rPr>
          <w:rFonts w:eastAsia="SimSun"/>
        </w:rPr>
      </w:pPr>
      <w:r>
        <w:rPr>
          <w:rFonts w:eastAsia="SimSun"/>
        </w:rPr>
        <w:lastRenderedPageBreak/>
        <w:t>DLS</w:t>
      </w:r>
      <w:r w:rsidR="00280FAF" w:rsidRPr="00280FAF">
        <w:rPr>
          <w:rFonts w:eastAsia="SimSun"/>
        </w:rPr>
        <w:t xml:space="preserve"> – </w:t>
      </w:r>
      <w:r w:rsidRPr="001F0A85">
        <w:rPr>
          <w:rFonts w:eastAsia="SimSun"/>
        </w:rPr>
        <w:t>dynamic light scattering</w:t>
      </w:r>
    </w:p>
    <w:p w14:paraId="7DFFBF41"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57590CE2" w14:textId="56CF09DC" w:rsidR="00280FAF" w:rsidRPr="00280FAF" w:rsidRDefault="001F0A85" w:rsidP="00280FAF">
      <w:pPr>
        <w:pStyle w:val="CETBodytext"/>
        <w:jc w:val="left"/>
        <w:rPr>
          <w:rFonts w:eastAsia="SimSun"/>
        </w:rPr>
      </w:pPr>
      <w:r>
        <w:rPr>
          <w:rFonts w:eastAsia="SimSun"/>
        </w:rPr>
        <w:t>EOR</w:t>
      </w:r>
      <w:r w:rsidR="00280FAF" w:rsidRPr="00280FAF">
        <w:rPr>
          <w:rFonts w:eastAsia="SimSun"/>
        </w:rPr>
        <w:t xml:space="preserve"> – </w:t>
      </w:r>
      <w:r>
        <w:rPr>
          <w:rFonts w:eastAsia="SimSun"/>
        </w:rPr>
        <w:t>enhanced oil recovery</w:t>
      </w:r>
    </w:p>
    <w:p w14:paraId="0E502614" w14:textId="2198E044" w:rsidR="00280FAF" w:rsidRPr="00280FAF" w:rsidRDefault="001F0A85" w:rsidP="00280FAF">
      <w:pPr>
        <w:pStyle w:val="CETBodytext"/>
        <w:jc w:val="left"/>
        <w:rPr>
          <w:rFonts w:eastAsia="SimSun"/>
        </w:rPr>
      </w:pPr>
      <w:r>
        <w:rPr>
          <w:rFonts w:eastAsia="SimSun"/>
        </w:rPr>
        <w:t>HPAM</w:t>
      </w:r>
      <w:r w:rsidR="00280FAF" w:rsidRPr="00280FAF">
        <w:rPr>
          <w:rFonts w:eastAsia="SimSun"/>
        </w:rPr>
        <w:t xml:space="preserve"> – </w:t>
      </w:r>
      <w:r w:rsidRPr="001F0A85">
        <w:t xml:space="preserve">partially </w:t>
      </w:r>
      <w:proofErr w:type="spellStart"/>
      <w:r w:rsidRPr="001F0A85">
        <w:t>hydrolysed</w:t>
      </w:r>
      <w:proofErr w:type="spellEnd"/>
      <w:r w:rsidRPr="001F0A85">
        <w:t xml:space="preserve"> polyacrylamide</w:t>
      </w:r>
    </w:p>
    <w:p w14:paraId="33D176ED" w14:textId="5A55FDBE" w:rsidR="00280FAF" w:rsidRPr="00280FAF" w:rsidRDefault="001F0A85" w:rsidP="00280FAF">
      <w:pPr>
        <w:pStyle w:val="CETBodytext"/>
        <w:jc w:val="left"/>
        <w:rPr>
          <w:rFonts w:eastAsia="SimSun"/>
        </w:rPr>
      </w:pPr>
      <w:r>
        <w:rPr>
          <w:rFonts w:eastAsia="SimSun"/>
        </w:rPr>
        <w:t>IFT</w:t>
      </w:r>
      <w:r w:rsidR="00280FAF" w:rsidRPr="00280FAF">
        <w:rPr>
          <w:rFonts w:eastAsia="SimSun"/>
        </w:rPr>
        <w:t xml:space="preserve"> – </w:t>
      </w:r>
      <w:r>
        <w:rPr>
          <w:rFonts w:eastAsia="SimSun"/>
        </w:rPr>
        <w:t>interfacial tension</w:t>
      </w:r>
    </w:p>
    <w:p w14:paraId="38BFE636" w14:textId="7AB39C2A" w:rsidR="00280FAF" w:rsidRPr="00E377D0" w:rsidRDefault="001F0A85" w:rsidP="00280FAF">
      <w:pPr>
        <w:pStyle w:val="CETBodytext"/>
        <w:jc w:val="left"/>
        <w:rPr>
          <w:rFonts w:eastAsia="SimSun"/>
        </w:rPr>
        <w:sectPr w:rsidR="00280FAF" w:rsidRPr="00E377D0" w:rsidSect="00200ECB">
          <w:type w:val="continuous"/>
          <w:pgSz w:w="11906" w:h="16838" w:code="9"/>
          <w:pgMar w:top="1701" w:right="1418" w:bottom="1701" w:left="1701" w:header="1701" w:footer="0" w:gutter="0"/>
          <w:cols w:num="2" w:space="708"/>
          <w:formProt w:val="0"/>
          <w:titlePg/>
          <w:docGrid w:linePitch="360"/>
        </w:sectPr>
      </w:pPr>
      <w:r>
        <w:rPr>
          <w:rFonts w:eastAsia="SimSun"/>
        </w:rPr>
        <w:t>OOIP</w:t>
      </w:r>
      <w:r w:rsidR="00280FAF" w:rsidRPr="00280FAF">
        <w:rPr>
          <w:rFonts w:eastAsia="SimSun"/>
        </w:rPr>
        <w:t xml:space="preserve"> – </w:t>
      </w:r>
      <w:r>
        <w:rPr>
          <w:rFonts w:eastAsia="SimSun"/>
        </w:rPr>
        <w:t>original oil in place, %</w:t>
      </w:r>
      <w:r w:rsidR="00280FAF" w:rsidRPr="00280FAF">
        <w:rPr>
          <w:rFonts w:eastAsia="SimSun"/>
        </w:rPr>
        <w:t xml:space="preserve"> </w:t>
      </w:r>
    </w:p>
    <w:p w14:paraId="459D05E6" w14:textId="77777777" w:rsidR="00600535" w:rsidRPr="00B57B36" w:rsidRDefault="00600535" w:rsidP="00600535">
      <w:pPr>
        <w:pStyle w:val="CETAcknowledgementstitle"/>
      </w:pPr>
      <w:r w:rsidRPr="00B57B36">
        <w:t>Acknowledgments</w:t>
      </w:r>
    </w:p>
    <w:p w14:paraId="178E1421" w14:textId="35BF1225" w:rsidR="003C7763" w:rsidRDefault="003C7763" w:rsidP="003C7763">
      <w:pPr>
        <w:pStyle w:val="CETBodytext"/>
        <w:rPr>
          <w:lang w:val="en-GB"/>
        </w:rPr>
      </w:pPr>
      <w:r w:rsidRPr="00B94DAC">
        <w:rPr>
          <w:lang w:val="en-GB"/>
        </w:rPr>
        <w:t>Prepared with the professional support of the Doctoral Student Scholarship Program of the Co-operative Doctoral Program of Ministry of Innovation and Technology financed from the National Research, Development and Innovation Fund. Founding number: KDP-11-3/PALY-2021</w:t>
      </w:r>
    </w:p>
    <w:p w14:paraId="7E27E982" w14:textId="62C57635" w:rsidR="00D23796" w:rsidRPr="00B57B36" w:rsidRDefault="00D23796" w:rsidP="003C7763">
      <w:pPr>
        <w:pStyle w:val="CETBodytext"/>
        <w:rPr>
          <w:lang w:val="en-GB"/>
        </w:rPr>
      </w:pPr>
      <w:r w:rsidRPr="00D23796">
        <w:rPr>
          <w:lang w:val="en-GB"/>
        </w:rPr>
        <w:t>Expressing gratitude to MOL Plc for their generous support of the research and providing the opportunity for publication.</w:t>
      </w:r>
    </w:p>
    <w:p w14:paraId="4F1327F8" w14:textId="77777777" w:rsidR="00600535" w:rsidRPr="00B57B36" w:rsidRDefault="00600535" w:rsidP="00600535">
      <w:pPr>
        <w:pStyle w:val="CETReference"/>
      </w:pPr>
      <w:r w:rsidRPr="00B57B36">
        <w:t>References</w:t>
      </w:r>
    </w:p>
    <w:p w14:paraId="289FC287" w14:textId="0E08B09E" w:rsidR="001F0A85" w:rsidRDefault="001F0A85" w:rsidP="001F0A85">
      <w:pPr>
        <w:pStyle w:val="CETReferencetext"/>
      </w:pPr>
      <w:bookmarkStart w:id="2" w:name="_Hlk155787251"/>
      <w:r w:rsidRPr="001F0A85">
        <w:t xml:space="preserve">Afolabi F., Mahmood S. M., </w:t>
      </w:r>
      <w:proofErr w:type="spellStart"/>
      <w:r w:rsidRPr="001F0A85">
        <w:t>Yekeen</w:t>
      </w:r>
      <w:proofErr w:type="spellEnd"/>
      <w:r w:rsidRPr="001F0A85">
        <w:t xml:space="preserve"> N., Akbari S., </w:t>
      </w:r>
      <w:proofErr w:type="spellStart"/>
      <w:r w:rsidRPr="001F0A85">
        <w:t>Sharifigaliuk</w:t>
      </w:r>
      <w:proofErr w:type="spellEnd"/>
      <w:r w:rsidRPr="001F0A85">
        <w:t xml:space="preserve"> H., 2022. Polymeric surfactants for enhanced oil recovery: A review of recent progress. Journal of Petroleum Science and Engineering, 208, 109358.</w:t>
      </w:r>
    </w:p>
    <w:p w14:paraId="7E6C6540" w14:textId="05F7E376" w:rsidR="005F2328" w:rsidRPr="001F0A85" w:rsidRDefault="005F2328" w:rsidP="001F0A85">
      <w:pPr>
        <w:pStyle w:val="CETReferencetext"/>
      </w:pPr>
      <w:proofErr w:type="spellStart"/>
      <w:r w:rsidRPr="005F2328">
        <w:t>Amran</w:t>
      </w:r>
      <w:proofErr w:type="spellEnd"/>
      <w:r w:rsidRPr="005F2328">
        <w:t xml:space="preserve"> T., </w:t>
      </w:r>
      <w:proofErr w:type="spellStart"/>
      <w:r w:rsidRPr="005F2328">
        <w:t>Mohd</w:t>
      </w:r>
      <w:proofErr w:type="spellEnd"/>
      <w:r w:rsidRPr="005F2328">
        <w:t xml:space="preserve"> T., </w:t>
      </w:r>
      <w:proofErr w:type="spellStart"/>
      <w:r w:rsidRPr="005F2328">
        <w:t>Bohairah</w:t>
      </w:r>
      <w:proofErr w:type="spellEnd"/>
      <w:r w:rsidRPr="005F2328">
        <w:t xml:space="preserve"> T. A., Jaafar M. Z., 2022, Characterization of Quartz Sand as an Adsorbent for Anionic Surfactant Adsorption with Presences of Alkaline and Polymer, Chemical Engineering Transactions, 95, 283-288.</w:t>
      </w:r>
    </w:p>
    <w:p w14:paraId="34B9725A" w14:textId="77777777" w:rsidR="001F0A85" w:rsidRPr="001F0A85" w:rsidRDefault="001F0A85" w:rsidP="001F0A85">
      <w:pPr>
        <w:pStyle w:val="CETReferencetext"/>
      </w:pPr>
      <w:proofErr w:type="spellStart"/>
      <w:r w:rsidRPr="001F0A85">
        <w:t>Druetta</w:t>
      </w:r>
      <w:proofErr w:type="spellEnd"/>
      <w:r w:rsidRPr="001F0A85">
        <w:t xml:space="preserve"> P., </w:t>
      </w:r>
      <w:proofErr w:type="spellStart"/>
      <w:r w:rsidRPr="001F0A85">
        <w:t>Picchioni</w:t>
      </w:r>
      <w:proofErr w:type="spellEnd"/>
      <w:r w:rsidRPr="001F0A85">
        <w:t xml:space="preserve"> F., 2018, Surfactant–polymer flooding: influence of the injection scheme, Energy and fuels, 32(12), 12231-12246.</w:t>
      </w:r>
    </w:p>
    <w:p w14:paraId="4964B0A6" w14:textId="77777777" w:rsidR="001F0A85" w:rsidRPr="001F0A85" w:rsidRDefault="001F0A85" w:rsidP="001F0A85">
      <w:pPr>
        <w:pStyle w:val="CETReferencetext"/>
      </w:pPr>
      <w:proofErr w:type="spellStart"/>
      <w:r w:rsidRPr="001F0A85">
        <w:t>Druetta</w:t>
      </w:r>
      <w:proofErr w:type="spellEnd"/>
      <w:r w:rsidRPr="001F0A85">
        <w:t xml:space="preserve"> P., </w:t>
      </w:r>
      <w:proofErr w:type="spellStart"/>
      <w:r w:rsidRPr="001F0A85">
        <w:t>Picchioni</w:t>
      </w:r>
      <w:proofErr w:type="spellEnd"/>
      <w:r w:rsidRPr="001F0A85">
        <w:t xml:space="preserve"> F., 2020, Surfactant-polymer interactions in a combined enhanced oil recovery flooding, Energies, 13(24), 6520.</w:t>
      </w:r>
    </w:p>
    <w:p w14:paraId="72910563" w14:textId="7B1BF305" w:rsidR="001F0A85" w:rsidRDefault="001F0A85" w:rsidP="001F0A85">
      <w:pPr>
        <w:pStyle w:val="CETReferencetext"/>
      </w:pPr>
      <w:proofErr w:type="spellStart"/>
      <w:r w:rsidRPr="001F0A85">
        <w:t>Firozjaii</w:t>
      </w:r>
      <w:proofErr w:type="spellEnd"/>
      <w:r w:rsidRPr="001F0A85">
        <w:t xml:space="preserve"> A. M., </w:t>
      </w:r>
      <w:proofErr w:type="spellStart"/>
      <w:r w:rsidRPr="001F0A85">
        <w:t>Saghafi</w:t>
      </w:r>
      <w:proofErr w:type="spellEnd"/>
      <w:r w:rsidRPr="001F0A85">
        <w:t xml:space="preserve"> H. R., 2020, Review on chemical enhanced oil recovery using polymer flooding: Fundamentals, experimental and numerical simulation, Petroleum, 6(2), 115-122.</w:t>
      </w:r>
    </w:p>
    <w:p w14:paraId="7A46F46F" w14:textId="4587F9A8" w:rsidR="005F2328" w:rsidRPr="001F0A85" w:rsidRDefault="005F2328" w:rsidP="001F0A85">
      <w:pPr>
        <w:pStyle w:val="CETReferencetext"/>
      </w:pPr>
      <w:r w:rsidRPr="005F2328">
        <w:t>Goddard E. D., Hannan R. B., 1977, Polymer/surfactant interactions, Journal of the American Oil Chemists' Society, 54(12), 561-566.</w:t>
      </w:r>
    </w:p>
    <w:p w14:paraId="612B86AA" w14:textId="77777777" w:rsidR="001F0A85" w:rsidRPr="001F0A85" w:rsidRDefault="001F0A85" w:rsidP="001F0A85">
      <w:pPr>
        <w:pStyle w:val="CETReferencetext"/>
      </w:pPr>
      <w:proofErr w:type="spellStart"/>
      <w:r w:rsidRPr="001F0A85">
        <w:t>Gradzielski</w:t>
      </w:r>
      <w:proofErr w:type="spellEnd"/>
      <w:r w:rsidRPr="001F0A85">
        <w:t xml:space="preserve"> M, 2022, Polymer-Surfactant Interaction for Controlling the Rheological Properties of Aqueous Surfactant Solutions, Current Opinion in Colloid &amp; Interface Science, 63, 101662.</w:t>
      </w:r>
    </w:p>
    <w:p w14:paraId="1B0EB433" w14:textId="77777777" w:rsidR="001F0A85" w:rsidRPr="001F0A85" w:rsidRDefault="001F0A85" w:rsidP="001F0A85">
      <w:pPr>
        <w:pStyle w:val="CETReferencetext"/>
      </w:pPr>
      <w:proofErr w:type="spellStart"/>
      <w:r w:rsidRPr="001F0A85">
        <w:t>Hamouma</w:t>
      </w:r>
      <w:proofErr w:type="spellEnd"/>
      <w:r w:rsidRPr="001F0A85">
        <w:t xml:space="preserve"> M., </w:t>
      </w:r>
      <w:proofErr w:type="spellStart"/>
      <w:r w:rsidRPr="001F0A85">
        <w:t>Delbos</w:t>
      </w:r>
      <w:proofErr w:type="spellEnd"/>
      <w:r w:rsidRPr="001F0A85">
        <w:t xml:space="preserve"> A., </w:t>
      </w:r>
      <w:proofErr w:type="spellStart"/>
      <w:r w:rsidRPr="001F0A85">
        <w:t>Dalmazzone</w:t>
      </w:r>
      <w:proofErr w:type="spellEnd"/>
      <w:r w:rsidRPr="001F0A85">
        <w:t xml:space="preserve"> C., Colin A., 2021, Polymer surfactant interactions in oil enhanced recovery processes, Energy &amp; Fuels, 35(11), 9312-9321.</w:t>
      </w:r>
    </w:p>
    <w:p w14:paraId="4292B55A" w14:textId="77777777" w:rsidR="001F0A85" w:rsidRPr="001F0A85" w:rsidRDefault="001F0A85" w:rsidP="001F0A85">
      <w:pPr>
        <w:pStyle w:val="CETReferencetext"/>
      </w:pPr>
      <w:r w:rsidRPr="001F0A85">
        <w:t xml:space="preserve">Khan M. Y., </w:t>
      </w:r>
      <w:proofErr w:type="spellStart"/>
      <w:r w:rsidRPr="001F0A85">
        <w:t>Samanta</w:t>
      </w:r>
      <w:proofErr w:type="spellEnd"/>
      <w:r w:rsidRPr="001F0A85">
        <w:t xml:space="preserve"> A., Ojha K., Mandal A., 2008. Interaction between aqueous solutions of polymer and surfactant and its effect on physicochemical properties, Asia</w:t>
      </w:r>
      <w:r w:rsidRPr="001F0A85">
        <w:rPr>
          <w:rFonts w:ascii="Cambria Math" w:hAnsi="Cambria Math" w:cs="Cambria Math"/>
        </w:rPr>
        <w:t>‐</w:t>
      </w:r>
      <w:r w:rsidRPr="001F0A85">
        <w:t>Pacific Journal of Chemical Engineering, 3(5), 579-585.</w:t>
      </w:r>
    </w:p>
    <w:p w14:paraId="369CE943" w14:textId="77777777" w:rsidR="001F0A85" w:rsidRDefault="001F0A85" w:rsidP="001F0A85">
      <w:pPr>
        <w:pStyle w:val="CETReferencetext"/>
      </w:pPr>
      <w:r w:rsidRPr="001F0A85">
        <w:t>Kwak J. C., 1998. Polymer-surfactant systems Dekker, New York, US</w:t>
      </w:r>
    </w:p>
    <w:p w14:paraId="13281E50" w14:textId="77777777" w:rsidR="001F0A85" w:rsidRPr="001F0A85" w:rsidRDefault="001F0A85" w:rsidP="001F0A85">
      <w:pPr>
        <w:pStyle w:val="CETReferencetext"/>
      </w:pPr>
      <w:r w:rsidRPr="001F0A85">
        <w:t>Yang J., Pal R., 2020, Investigation of surfactant-polymer interactions using rheology and surface tension measurements, Polymers, 12(10), 2302.</w:t>
      </w:r>
      <w:bookmarkEnd w:id="2"/>
    </w:p>
    <w:sectPr w:rsidR="001F0A85" w:rsidRPr="001F0A8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B7F0" w14:textId="77777777" w:rsidR="002A5AE5" w:rsidRDefault="002A5AE5" w:rsidP="004F5E36">
      <w:r>
        <w:separator/>
      </w:r>
    </w:p>
  </w:endnote>
  <w:endnote w:type="continuationSeparator" w:id="0">
    <w:p w14:paraId="2351EA20" w14:textId="77777777" w:rsidR="002A5AE5" w:rsidRDefault="002A5AE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charset w:val="00"/>
    <w:family w:val="auto"/>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1050" w14:textId="77777777" w:rsidR="002A5AE5" w:rsidRDefault="002A5AE5" w:rsidP="004F5E36">
      <w:r>
        <w:separator/>
      </w:r>
    </w:p>
  </w:footnote>
  <w:footnote w:type="continuationSeparator" w:id="0">
    <w:p w14:paraId="7852D994" w14:textId="77777777" w:rsidR="002A5AE5" w:rsidRDefault="002A5AE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9C574A5"/>
    <w:multiLevelType w:val="hybridMultilevel"/>
    <w:tmpl w:val="5FC69DBA"/>
    <w:lvl w:ilvl="0" w:tplc="040E0001">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11" w15:restartNumberingAfterBreak="0">
    <w:nsid w:val="0BE17906"/>
    <w:multiLevelType w:val="hybridMultilevel"/>
    <w:tmpl w:val="714E34D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77EC5"/>
    <w:rsid w:val="00181185"/>
    <w:rsid w:val="00184AD6"/>
    <w:rsid w:val="001959C9"/>
    <w:rsid w:val="001A4AF7"/>
    <w:rsid w:val="001B0349"/>
    <w:rsid w:val="001B1E93"/>
    <w:rsid w:val="001B65C1"/>
    <w:rsid w:val="001C684B"/>
    <w:rsid w:val="001D0CFB"/>
    <w:rsid w:val="001D21AF"/>
    <w:rsid w:val="001D53FC"/>
    <w:rsid w:val="001D5AF2"/>
    <w:rsid w:val="001F0A85"/>
    <w:rsid w:val="001F42A5"/>
    <w:rsid w:val="001F7B9D"/>
    <w:rsid w:val="00201C93"/>
    <w:rsid w:val="002217D4"/>
    <w:rsid w:val="002224B4"/>
    <w:rsid w:val="00242C5E"/>
    <w:rsid w:val="002431C5"/>
    <w:rsid w:val="002447EF"/>
    <w:rsid w:val="00245EE3"/>
    <w:rsid w:val="00251550"/>
    <w:rsid w:val="00263B05"/>
    <w:rsid w:val="0027221A"/>
    <w:rsid w:val="00275B61"/>
    <w:rsid w:val="00280FAF"/>
    <w:rsid w:val="00282656"/>
    <w:rsid w:val="00296B83"/>
    <w:rsid w:val="002A4C21"/>
    <w:rsid w:val="002A5AE5"/>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524ED"/>
    <w:rsid w:val="003723D4"/>
    <w:rsid w:val="00381905"/>
    <w:rsid w:val="00384CC8"/>
    <w:rsid w:val="003871FD"/>
    <w:rsid w:val="003A1E30"/>
    <w:rsid w:val="003A2829"/>
    <w:rsid w:val="003A7D1C"/>
    <w:rsid w:val="003B0077"/>
    <w:rsid w:val="003B304B"/>
    <w:rsid w:val="003B3146"/>
    <w:rsid w:val="003C7763"/>
    <w:rsid w:val="003D3F57"/>
    <w:rsid w:val="003F015E"/>
    <w:rsid w:val="00400414"/>
    <w:rsid w:val="0041446B"/>
    <w:rsid w:val="00416375"/>
    <w:rsid w:val="004340AC"/>
    <w:rsid w:val="0044071E"/>
    <w:rsid w:val="0044329C"/>
    <w:rsid w:val="00453E24"/>
    <w:rsid w:val="00457456"/>
    <w:rsid w:val="004577FE"/>
    <w:rsid w:val="00457B9C"/>
    <w:rsid w:val="0046164A"/>
    <w:rsid w:val="004628D2"/>
    <w:rsid w:val="00462DCD"/>
    <w:rsid w:val="004648AD"/>
    <w:rsid w:val="004703A9"/>
    <w:rsid w:val="004714CB"/>
    <w:rsid w:val="004760DE"/>
    <w:rsid w:val="004763D7"/>
    <w:rsid w:val="004A004E"/>
    <w:rsid w:val="004A24CF"/>
    <w:rsid w:val="004C3D1D"/>
    <w:rsid w:val="004C3D84"/>
    <w:rsid w:val="004C764A"/>
    <w:rsid w:val="004C7913"/>
    <w:rsid w:val="004E4DD6"/>
    <w:rsid w:val="004F5E36"/>
    <w:rsid w:val="00507B47"/>
    <w:rsid w:val="00507BEF"/>
    <w:rsid w:val="00507CC9"/>
    <w:rsid w:val="005119A5"/>
    <w:rsid w:val="00517BC2"/>
    <w:rsid w:val="005278B7"/>
    <w:rsid w:val="00532016"/>
    <w:rsid w:val="005325D8"/>
    <w:rsid w:val="005346C8"/>
    <w:rsid w:val="00543E7D"/>
    <w:rsid w:val="00547A68"/>
    <w:rsid w:val="005531C9"/>
    <w:rsid w:val="00557E00"/>
    <w:rsid w:val="00570C43"/>
    <w:rsid w:val="005917C1"/>
    <w:rsid w:val="005B2110"/>
    <w:rsid w:val="005B61E6"/>
    <w:rsid w:val="005C0505"/>
    <w:rsid w:val="005C1EA2"/>
    <w:rsid w:val="005C77E1"/>
    <w:rsid w:val="005D668A"/>
    <w:rsid w:val="005D6A2F"/>
    <w:rsid w:val="005E1A82"/>
    <w:rsid w:val="005E794C"/>
    <w:rsid w:val="005F0A28"/>
    <w:rsid w:val="005F0E5E"/>
    <w:rsid w:val="005F2328"/>
    <w:rsid w:val="00600535"/>
    <w:rsid w:val="00605EC4"/>
    <w:rsid w:val="00610CD6"/>
    <w:rsid w:val="00611769"/>
    <w:rsid w:val="00616E62"/>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48AB"/>
    <w:rsid w:val="006E67C5"/>
    <w:rsid w:val="006E737D"/>
    <w:rsid w:val="00707DD1"/>
    <w:rsid w:val="00713973"/>
    <w:rsid w:val="00720A24"/>
    <w:rsid w:val="00732386"/>
    <w:rsid w:val="0073514D"/>
    <w:rsid w:val="007447F3"/>
    <w:rsid w:val="0075499F"/>
    <w:rsid w:val="007661C8"/>
    <w:rsid w:val="0077098D"/>
    <w:rsid w:val="00770D8B"/>
    <w:rsid w:val="007931FA"/>
    <w:rsid w:val="00795BAC"/>
    <w:rsid w:val="007A4861"/>
    <w:rsid w:val="007A7BBA"/>
    <w:rsid w:val="007B0C50"/>
    <w:rsid w:val="007B48F9"/>
    <w:rsid w:val="007B52F2"/>
    <w:rsid w:val="007C1A43"/>
    <w:rsid w:val="007D0951"/>
    <w:rsid w:val="0080013E"/>
    <w:rsid w:val="00813288"/>
    <w:rsid w:val="008168FC"/>
    <w:rsid w:val="0082053E"/>
    <w:rsid w:val="00830996"/>
    <w:rsid w:val="008345F1"/>
    <w:rsid w:val="00865B07"/>
    <w:rsid w:val="008667EA"/>
    <w:rsid w:val="0087637F"/>
    <w:rsid w:val="00882797"/>
    <w:rsid w:val="00892AD5"/>
    <w:rsid w:val="008A1512"/>
    <w:rsid w:val="008D32B9"/>
    <w:rsid w:val="008D433B"/>
    <w:rsid w:val="008D4A16"/>
    <w:rsid w:val="008E566E"/>
    <w:rsid w:val="008F7EED"/>
    <w:rsid w:val="0090161A"/>
    <w:rsid w:val="00901EB6"/>
    <w:rsid w:val="00904C62"/>
    <w:rsid w:val="00922BA8"/>
    <w:rsid w:val="00924DAC"/>
    <w:rsid w:val="00927058"/>
    <w:rsid w:val="00942750"/>
    <w:rsid w:val="009450CE"/>
    <w:rsid w:val="009459BB"/>
    <w:rsid w:val="00947179"/>
    <w:rsid w:val="00950A36"/>
    <w:rsid w:val="00950E93"/>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D35E3"/>
    <w:rsid w:val="009E7884"/>
    <w:rsid w:val="009E788A"/>
    <w:rsid w:val="009F0E08"/>
    <w:rsid w:val="00A1763D"/>
    <w:rsid w:val="00A17CEC"/>
    <w:rsid w:val="00A27EF0"/>
    <w:rsid w:val="00A42361"/>
    <w:rsid w:val="00A44ED5"/>
    <w:rsid w:val="00A50B20"/>
    <w:rsid w:val="00A51390"/>
    <w:rsid w:val="00A60D13"/>
    <w:rsid w:val="00A7223D"/>
    <w:rsid w:val="00A72745"/>
    <w:rsid w:val="00A76EFC"/>
    <w:rsid w:val="00A87D50"/>
    <w:rsid w:val="00A91010"/>
    <w:rsid w:val="00A97F29"/>
    <w:rsid w:val="00AA38B9"/>
    <w:rsid w:val="00AA702E"/>
    <w:rsid w:val="00AA7D26"/>
    <w:rsid w:val="00AB0964"/>
    <w:rsid w:val="00AB5011"/>
    <w:rsid w:val="00AC7368"/>
    <w:rsid w:val="00AD16B9"/>
    <w:rsid w:val="00AE377D"/>
    <w:rsid w:val="00AF0EBA"/>
    <w:rsid w:val="00B02C8A"/>
    <w:rsid w:val="00B17FBD"/>
    <w:rsid w:val="00B212B7"/>
    <w:rsid w:val="00B315A6"/>
    <w:rsid w:val="00B31813"/>
    <w:rsid w:val="00B33365"/>
    <w:rsid w:val="00B338EA"/>
    <w:rsid w:val="00B33B2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105F"/>
    <w:rsid w:val="00C841C6"/>
    <w:rsid w:val="00C870A8"/>
    <w:rsid w:val="00C94434"/>
    <w:rsid w:val="00CA0D75"/>
    <w:rsid w:val="00CA1C95"/>
    <w:rsid w:val="00CA5A9C"/>
    <w:rsid w:val="00CC4C20"/>
    <w:rsid w:val="00CD3517"/>
    <w:rsid w:val="00CD5FE2"/>
    <w:rsid w:val="00CE7C68"/>
    <w:rsid w:val="00D02B4C"/>
    <w:rsid w:val="00D040C4"/>
    <w:rsid w:val="00D20AD1"/>
    <w:rsid w:val="00D23796"/>
    <w:rsid w:val="00D2582C"/>
    <w:rsid w:val="00D46B7E"/>
    <w:rsid w:val="00D57C84"/>
    <w:rsid w:val="00D6057D"/>
    <w:rsid w:val="00D712BE"/>
    <w:rsid w:val="00D71640"/>
    <w:rsid w:val="00D836C5"/>
    <w:rsid w:val="00D84576"/>
    <w:rsid w:val="00DA1399"/>
    <w:rsid w:val="00DA24C6"/>
    <w:rsid w:val="00DA4D7B"/>
    <w:rsid w:val="00DB21D4"/>
    <w:rsid w:val="00DB5ECB"/>
    <w:rsid w:val="00DD271C"/>
    <w:rsid w:val="00DE264A"/>
    <w:rsid w:val="00DF5072"/>
    <w:rsid w:val="00DF7419"/>
    <w:rsid w:val="00E02D18"/>
    <w:rsid w:val="00E041E7"/>
    <w:rsid w:val="00E23CA1"/>
    <w:rsid w:val="00E409A8"/>
    <w:rsid w:val="00E50C12"/>
    <w:rsid w:val="00E52918"/>
    <w:rsid w:val="00E65B91"/>
    <w:rsid w:val="00E7209D"/>
    <w:rsid w:val="00E72EAD"/>
    <w:rsid w:val="00E76A57"/>
    <w:rsid w:val="00E77223"/>
    <w:rsid w:val="00E8528B"/>
    <w:rsid w:val="00E85B94"/>
    <w:rsid w:val="00E9005A"/>
    <w:rsid w:val="00E978D0"/>
    <w:rsid w:val="00EA4613"/>
    <w:rsid w:val="00EA7F91"/>
    <w:rsid w:val="00EB1523"/>
    <w:rsid w:val="00EC0E49"/>
    <w:rsid w:val="00EC101F"/>
    <w:rsid w:val="00EC1D9F"/>
    <w:rsid w:val="00EE0131"/>
    <w:rsid w:val="00EE17B0"/>
    <w:rsid w:val="00EF06D9"/>
    <w:rsid w:val="00EF781F"/>
    <w:rsid w:val="00F3049E"/>
    <w:rsid w:val="00F30C64"/>
    <w:rsid w:val="00F32BA2"/>
    <w:rsid w:val="00F32CDB"/>
    <w:rsid w:val="00F565FE"/>
    <w:rsid w:val="00F63A70"/>
    <w:rsid w:val="00F63D8C"/>
    <w:rsid w:val="00F74245"/>
    <w:rsid w:val="00F7534E"/>
    <w:rsid w:val="00F93EDF"/>
    <w:rsid w:val="00F9646D"/>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
    <w:name w:val="E-mail Signature"/>
    <w:basedOn w:val="Norml"/>
    <w:link w:val="E-mail-alrsChar"/>
    <w:uiPriority w:val="99"/>
    <w:semiHidden/>
    <w:unhideWhenUsed/>
    <w:rsid w:val="0003148D"/>
    <w:pPr>
      <w:spacing w:line="240" w:lineRule="auto"/>
    </w:pPr>
  </w:style>
  <w:style w:type="character" w:customStyle="1" w:styleId="E-mail-alrsChar">
    <w:name w:val="E-mail-aláírás Char"/>
    <w:basedOn w:val="Bekezdsalapbettpusa"/>
    <w:link w:val="E-mail-alrs"/>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qFormat/>
    <w:rsid w:val="00280FAF"/>
    <w:pPr>
      <w:ind w:left="720"/>
      <w:contextualSpacing/>
    </w:pPr>
  </w:style>
  <w:style w:type="character" w:customStyle="1" w:styleId="gmail-apple-converted-space">
    <w:name w:val="gmail-apple-converted-space"/>
    <w:basedOn w:val="Bekezdsalapbettpusa"/>
    <w:rsid w:val="00005A19"/>
  </w:style>
  <w:style w:type="character" w:customStyle="1" w:styleId="apple-converted-space">
    <w:name w:val="apple-converted-space"/>
    <w:rsid w:val="005C1EA2"/>
    <w:rPr>
      <w:rFonts w:cs="Times New Roman"/>
    </w:rPr>
  </w:style>
  <w:style w:type="character" w:styleId="Kiemels2">
    <w:name w:val="Strong"/>
    <w:basedOn w:val="Bekezdsalapbettpusa"/>
    <w:uiPriority w:val="22"/>
    <w:qFormat/>
    <w:rsid w:val="00AA3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9104">
      <w:bodyDiv w:val="1"/>
      <w:marLeft w:val="0"/>
      <w:marRight w:val="0"/>
      <w:marTop w:val="0"/>
      <w:marBottom w:val="0"/>
      <w:divBdr>
        <w:top w:val="none" w:sz="0" w:space="0" w:color="auto"/>
        <w:left w:val="none" w:sz="0" w:space="0" w:color="auto"/>
        <w:bottom w:val="none" w:sz="0" w:space="0" w:color="auto"/>
        <w:right w:val="none" w:sz="0" w:space="0" w:color="auto"/>
      </w:divBdr>
      <w:divsChild>
        <w:div w:id="1232425418">
          <w:marLeft w:val="0"/>
          <w:marRight w:val="0"/>
          <w:marTop w:val="0"/>
          <w:marBottom w:val="0"/>
          <w:divBdr>
            <w:top w:val="single" w:sz="2" w:space="0" w:color="D9D9E3"/>
            <w:left w:val="single" w:sz="2" w:space="0" w:color="D9D9E3"/>
            <w:bottom w:val="single" w:sz="2" w:space="0" w:color="D9D9E3"/>
            <w:right w:val="single" w:sz="2" w:space="0" w:color="D9D9E3"/>
          </w:divBdr>
          <w:divsChild>
            <w:div w:id="1292246187">
              <w:marLeft w:val="0"/>
              <w:marRight w:val="0"/>
              <w:marTop w:val="0"/>
              <w:marBottom w:val="0"/>
              <w:divBdr>
                <w:top w:val="single" w:sz="2" w:space="0" w:color="D9D9E3"/>
                <w:left w:val="single" w:sz="2" w:space="0" w:color="D9D9E3"/>
                <w:bottom w:val="single" w:sz="2" w:space="0" w:color="D9D9E3"/>
                <w:right w:val="single" w:sz="2" w:space="0" w:color="D9D9E3"/>
              </w:divBdr>
              <w:divsChild>
                <w:div w:id="761100178">
                  <w:marLeft w:val="0"/>
                  <w:marRight w:val="0"/>
                  <w:marTop w:val="0"/>
                  <w:marBottom w:val="0"/>
                  <w:divBdr>
                    <w:top w:val="single" w:sz="2" w:space="0" w:color="D9D9E3"/>
                    <w:left w:val="single" w:sz="2" w:space="0" w:color="D9D9E3"/>
                    <w:bottom w:val="single" w:sz="2" w:space="0" w:color="D9D9E3"/>
                    <w:right w:val="single" w:sz="2" w:space="0" w:color="D9D9E3"/>
                  </w:divBdr>
                  <w:divsChild>
                    <w:div w:id="616525419">
                      <w:marLeft w:val="0"/>
                      <w:marRight w:val="0"/>
                      <w:marTop w:val="0"/>
                      <w:marBottom w:val="0"/>
                      <w:divBdr>
                        <w:top w:val="single" w:sz="2" w:space="0" w:color="D9D9E3"/>
                        <w:left w:val="single" w:sz="2" w:space="0" w:color="D9D9E3"/>
                        <w:bottom w:val="single" w:sz="2" w:space="0" w:color="D9D9E3"/>
                        <w:right w:val="single" w:sz="2" w:space="0" w:color="D9D9E3"/>
                      </w:divBdr>
                      <w:divsChild>
                        <w:div w:id="756250086">
                          <w:marLeft w:val="0"/>
                          <w:marRight w:val="0"/>
                          <w:marTop w:val="0"/>
                          <w:marBottom w:val="0"/>
                          <w:divBdr>
                            <w:top w:val="single" w:sz="2" w:space="0" w:color="D9D9E3"/>
                            <w:left w:val="single" w:sz="2" w:space="0" w:color="D9D9E3"/>
                            <w:bottom w:val="single" w:sz="2" w:space="0" w:color="D9D9E3"/>
                            <w:right w:val="single" w:sz="2" w:space="0" w:color="D9D9E3"/>
                          </w:divBdr>
                          <w:divsChild>
                            <w:div w:id="375201375">
                              <w:marLeft w:val="0"/>
                              <w:marRight w:val="0"/>
                              <w:marTop w:val="100"/>
                              <w:marBottom w:val="100"/>
                              <w:divBdr>
                                <w:top w:val="single" w:sz="2" w:space="0" w:color="D9D9E3"/>
                                <w:left w:val="single" w:sz="2" w:space="0" w:color="D9D9E3"/>
                                <w:bottom w:val="single" w:sz="2" w:space="0" w:color="D9D9E3"/>
                                <w:right w:val="single" w:sz="2" w:space="0" w:color="D9D9E3"/>
                              </w:divBdr>
                              <w:divsChild>
                                <w:div w:id="45957082">
                                  <w:marLeft w:val="0"/>
                                  <w:marRight w:val="0"/>
                                  <w:marTop w:val="0"/>
                                  <w:marBottom w:val="0"/>
                                  <w:divBdr>
                                    <w:top w:val="single" w:sz="2" w:space="0" w:color="D9D9E3"/>
                                    <w:left w:val="single" w:sz="2" w:space="0" w:color="D9D9E3"/>
                                    <w:bottom w:val="single" w:sz="2" w:space="0" w:color="D9D9E3"/>
                                    <w:right w:val="single" w:sz="2" w:space="0" w:color="D9D9E3"/>
                                  </w:divBdr>
                                  <w:divsChild>
                                    <w:div w:id="708457129">
                                      <w:marLeft w:val="0"/>
                                      <w:marRight w:val="0"/>
                                      <w:marTop w:val="0"/>
                                      <w:marBottom w:val="0"/>
                                      <w:divBdr>
                                        <w:top w:val="single" w:sz="2" w:space="0" w:color="D9D9E3"/>
                                        <w:left w:val="single" w:sz="2" w:space="0" w:color="D9D9E3"/>
                                        <w:bottom w:val="single" w:sz="2" w:space="0" w:color="D9D9E3"/>
                                        <w:right w:val="single" w:sz="2" w:space="0" w:color="D9D9E3"/>
                                      </w:divBdr>
                                      <w:divsChild>
                                        <w:div w:id="805270554">
                                          <w:marLeft w:val="0"/>
                                          <w:marRight w:val="0"/>
                                          <w:marTop w:val="0"/>
                                          <w:marBottom w:val="0"/>
                                          <w:divBdr>
                                            <w:top w:val="single" w:sz="2" w:space="0" w:color="D9D9E3"/>
                                            <w:left w:val="single" w:sz="2" w:space="0" w:color="D9D9E3"/>
                                            <w:bottom w:val="single" w:sz="2" w:space="0" w:color="D9D9E3"/>
                                            <w:right w:val="single" w:sz="2" w:space="0" w:color="D9D9E3"/>
                                          </w:divBdr>
                                          <w:divsChild>
                                            <w:div w:id="285358666">
                                              <w:marLeft w:val="0"/>
                                              <w:marRight w:val="0"/>
                                              <w:marTop w:val="0"/>
                                              <w:marBottom w:val="0"/>
                                              <w:divBdr>
                                                <w:top w:val="single" w:sz="2" w:space="0" w:color="D9D9E3"/>
                                                <w:left w:val="single" w:sz="2" w:space="0" w:color="D9D9E3"/>
                                                <w:bottom w:val="single" w:sz="2" w:space="0" w:color="D9D9E3"/>
                                                <w:right w:val="single" w:sz="2" w:space="0" w:color="D9D9E3"/>
                                              </w:divBdr>
                                              <w:divsChild>
                                                <w:div w:id="1360619868">
                                                  <w:marLeft w:val="0"/>
                                                  <w:marRight w:val="0"/>
                                                  <w:marTop w:val="0"/>
                                                  <w:marBottom w:val="0"/>
                                                  <w:divBdr>
                                                    <w:top w:val="single" w:sz="2" w:space="0" w:color="D9D9E3"/>
                                                    <w:left w:val="single" w:sz="2" w:space="0" w:color="D9D9E3"/>
                                                    <w:bottom w:val="single" w:sz="2" w:space="0" w:color="D9D9E3"/>
                                                    <w:right w:val="single" w:sz="2" w:space="0" w:color="D9D9E3"/>
                                                  </w:divBdr>
                                                  <w:divsChild>
                                                    <w:div w:id="247006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325067">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7ae5c1-9264-4c89-a5a8-01a46081ad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6831288171E1418BBA8476CF306F87" ma:contentTypeVersion="17" ma:contentTypeDescription="Create a new document." ma:contentTypeScope="" ma:versionID="49727f9d4d1708d0296353762af4a138">
  <xsd:schema xmlns:xsd="http://www.w3.org/2001/XMLSchema" xmlns:xs="http://www.w3.org/2001/XMLSchema" xmlns:p="http://schemas.microsoft.com/office/2006/metadata/properties" xmlns:ns3="cd7ae5c1-9264-4c89-a5a8-01a46081adcc" xmlns:ns4="04a3aaf5-6d6c-4790-9474-80f43a3ac91c" targetNamespace="http://schemas.microsoft.com/office/2006/metadata/properties" ma:root="true" ma:fieldsID="eeb572be1bee119c287975f7d35beacf" ns3:_="" ns4:_="">
    <xsd:import namespace="cd7ae5c1-9264-4c89-a5a8-01a46081adcc"/>
    <xsd:import namespace="04a3aaf5-6d6c-4790-9474-80f43a3ac9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ae5c1-9264-4c89-a5a8-01a46081a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3aaf5-6d6c-4790-9474-80f43a3ac9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B4E5-EBA2-4BBB-8CA4-08A31FE803EE}">
  <ds:schemaRefs>
    <ds:schemaRef ds:uri="http://purl.org/dc/elements/1.1/"/>
    <ds:schemaRef ds:uri="cd7ae5c1-9264-4c89-a5a8-01a46081adcc"/>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4a3aaf5-6d6c-4790-9474-80f43a3ac91c"/>
    <ds:schemaRef ds:uri="http://purl.org/dc/dcmitype/"/>
  </ds:schemaRefs>
</ds:datastoreItem>
</file>

<file path=customXml/itemProps2.xml><?xml version="1.0" encoding="utf-8"?>
<ds:datastoreItem xmlns:ds="http://schemas.openxmlformats.org/officeDocument/2006/customXml" ds:itemID="{C9F44E39-8C6B-478E-BE0D-D594C2F3DCD5}">
  <ds:schemaRefs>
    <ds:schemaRef ds:uri="http://schemas.microsoft.com/sharepoint/v3/contenttype/forms"/>
  </ds:schemaRefs>
</ds:datastoreItem>
</file>

<file path=customXml/itemProps3.xml><?xml version="1.0" encoding="utf-8"?>
<ds:datastoreItem xmlns:ds="http://schemas.openxmlformats.org/officeDocument/2006/customXml" ds:itemID="{BB242124-C299-4615-AB83-ACA842C1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ae5c1-9264-4c89-a5a8-01a46081adcc"/>
    <ds:schemaRef ds:uri="04a3aaf5-6d6c-4790-9474-80f43a3ac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F9122-BCE6-4160-8B61-18B813F2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Pages>
  <Words>2273</Words>
  <Characters>15691</Characters>
  <Application>Microsoft Office Word</Application>
  <DocSecurity>0</DocSecurity>
  <Lines>130</Lines>
  <Paragraphs>35</Paragraphs>
  <ScaleCrop>false</ScaleCrop>
  <HeadingPairs>
    <vt:vector size="6" baseType="variant">
      <vt:variant>
        <vt:lpstr>Cím</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Máté Hartyányi</cp:lastModifiedBy>
  <cp:revision>12</cp:revision>
  <cp:lastPrinted>2015-05-12T18:31:00Z</cp:lastPrinted>
  <dcterms:created xsi:type="dcterms:W3CDTF">2024-01-15T11:04:00Z</dcterms:created>
  <dcterms:modified xsi:type="dcterms:W3CDTF">2024-02-23T14:21:00Z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0x010100376831288171E1418BBA8476CF306F87</vt:lpwstr>
  </property>
</Properties>
</file>