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8D2846">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1381D578"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843EAC">
              <w:rPr>
                <w:rFonts w:cs="Arial"/>
                <w:b/>
                <w:bCs/>
                <w:i/>
                <w:iCs/>
                <w:color w:val="000066"/>
                <w:sz w:val="22"/>
                <w:szCs w:val="22"/>
                <w:lang w:eastAsia="it-IT"/>
              </w:rPr>
              <w:t xml:space="preserve">    </w:t>
            </w:r>
            <w:r w:rsidR="004761E9">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8D2846">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8D2846">
        <w:trPr>
          <w:trHeight w:val="68"/>
          <w:jc w:val="center"/>
        </w:trPr>
        <w:tc>
          <w:tcPr>
            <w:tcW w:w="8782" w:type="dxa"/>
            <w:gridSpan w:val="2"/>
          </w:tcPr>
          <w:p w14:paraId="1D8DD3C9" w14:textId="475D992A" w:rsidR="00AA7D26" w:rsidRPr="005263A7" w:rsidRDefault="00AA7D26" w:rsidP="00AA7D26">
            <w:pPr>
              <w:ind w:left="-107"/>
              <w:outlineLvl w:val="2"/>
              <w:rPr>
                <w:rFonts w:ascii="Tahoma" w:hAnsi="Tahoma" w:cs="Tahoma"/>
                <w:bCs/>
                <w:color w:val="000000"/>
                <w:sz w:val="14"/>
                <w:szCs w:val="14"/>
                <w:lang w:val="it-IT" w:eastAsia="it-IT"/>
              </w:rPr>
            </w:pPr>
            <w:r w:rsidRPr="005263A7">
              <w:rPr>
                <w:rFonts w:ascii="Tahoma" w:hAnsi="Tahoma" w:cs="Tahoma"/>
                <w:iCs/>
                <w:color w:val="333333"/>
                <w:sz w:val="14"/>
                <w:szCs w:val="14"/>
                <w:lang w:val="it-IT" w:eastAsia="it-IT"/>
              </w:rPr>
              <w:t>Guest Editors:</w:t>
            </w:r>
            <w:r w:rsidRPr="005263A7">
              <w:rPr>
                <w:rFonts w:ascii="Tahoma" w:hAnsi="Tahoma" w:cs="Tahoma"/>
                <w:color w:val="000000"/>
                <w:sz w:val="14"/>
                <w:szCs w:val="14"/>
                <w:shd w:val="clear" w:color="auto" w:fill="FFFFFF"/>
                <w:lang w:val="it-IT"/>
              </w:rPr>
              <w:t xml:space="preserve"> </w:t>
            </w:r>
            <w:r w:rsidR="006A23E9" w:rsidRPr="005263A7">
              <w:rPr>
                <w:rFonts w:ascii="Tahoma" w:hAnsi="Tahoma" w:cs="Tahoma"/>
                <w:color w:val="000000"/>
                <w:sz w:val="14"/>
                <w:szCs w:val="14"/>
                <w:shd w:val="clear" w:color="auto" w:fill="FFFFFF"/>
                <w:lang w:val="it-IT"/>
              </w:rPr>
              <w:t xml:space="preserve">Leonardo Tognotti, </w:t>
            </w:r>
            <w:r w:rsidR="006A23E9" w:rsidRPr="005263A7">
              <w:rPr>
                <w:rFonts w:ascii="Tahoma" w:hAnsi="Tahoma" w:cs="Tahoma"/>
                <w:color w:val="000000"/>
                <w:sz w:val="14"/>
                <w:szCs w:val="14"/>
                <w:lang w:val="it-IT"/>
              </w:rPr>
              <w:t>Rubens Maciel Filho</w:t>
            </w:r>
            <w:r w:rsidR="006A23E9" w:rsidRPr="005263A7">
              <w:rPr>
                <w:rFonts w:ascii="Tahoma" w:hAnsi="Tahoma" w:cs="Tahoma"/>
                <w:color w:val="000000"/>
                <w:sz w:val="14"/>
                <w:szCs w:val="14"/>
                <w:shd w:val="clear" w:color="auto" w:fill="FFFFFF"/>
                <w:lang w:val="it-IT"/>
              </w:rPr>
              <w:t xml:space="preserve">, </w:t>
            </w:r>
            <w:r w:rsidR="006A23E9" w:rsidRPr="005263A7">
              <w:rPr>
                <w:rFonts w:ascii="Tahoma" w:hAnsi="Tahoma" w:cs="Tahoma"/>
                <w:color w:val="000000"/>
                <w:sz w:val="14"/>
                <w:szCs w:val="14"/>
                <w:lang w:val="it-IT"/>
              </w:rPr>
              <w:t>Viatcheslav Kafarov</w:t>
            </w:r>
          </w:p>
          <w:p w14:paraId="1B0F1814" w14:textId="78121263"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843EAC">
              <w:rPr>
                <w:rFonts w:ascii="Tahoma" w:hAnsi="Tahoma" w:cs="Tahoma"/>
                <w:iCs/>
                <w:color w:val="333333"/>
                <w:sz w:val="14"/>
                <w:szCs w:val="14"/>
                <w:lang w:eastAsia="it-IT"/>
              </w:rPr>
              <w:t>4</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902EDA">
              <w:rPr>
                <w:rFonts w:ascii="Tahoma" w:hAnsi="Tahoma" w:cs="Tahoma"/>
                <w:sz w:val="14"/>
                <w:szCs w:val="14"/>
              </w:rPr>
              <w:t>10</w:t>
            </w:r>
            <w:r>
              <w:rPr>
                <w:rFonts w:ascii="Tahoma" w:hAnsi="Tahoma" w:cs="Tahoma"/>
                <w:sz w:val="14"/>
                <w:szCs w:val="14"/>
              </w:rPr>
              <w:t>-</w:t>
            </w:r>
            <w:r w:rsidR="00902EDA">
              <w:rPr>
                <w:rFonts w:ascii="Tahoma" w:hAnsi="Tahoma" w:cs="Tahoma"/>
                <w:sz w:val="14"/>
                <w:szCs w:val="14"/>
              </w:rPr>
              <w:t>1</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68118C92" w14:textId="3ADF9691" w:rsidR="008D2846" w:rsidRDefault="008D2846" w:rsidP="008D2846">
      <w:pPr>
        <w:pStyle w:val="CETTitle"/>
        <w:spacing w:after="0"/>
      </w:pPr>
      <w:r>
        <w:t xml:space="preserve">Development of Biochar-based </w:t>
      </w:r>
      <w:r w:rsidR="00A42F8E">
        <w:t xml:space="preserve">Composites </w:t>
      </w:r>
      <w:r>
        <w:t xml:space="preserve">Electrodes from Pyrolysis of </w:t>
      </w:r>
      <w:r w:rsidR="00A42F8E">
        <w:t>Coffee Silverskin</w:t>
      </w:r>
      <w:r>
        <w:t xml:space="preserve">: Microbial Fuel Cells </w:t>
      </w:r>
    </w:p>
    <w:p w14:paraId="2E667253" w14:textId="296D7AED" w:rsidR="00E978D0" w:rsidRPr="00564429" w:rsidRDefault="008D2846" w:rsidP="008D2846">
      <w:pPr>
        <w:pStyle w:val="CETTitle"/>
        <w:spacing w:before="0"/>
        <w:rPr>
          <w:lang w:val="it-IT"/>
        </w:rPr>
      </w:pPr>
      <w:r w:rsidRPr="00564429">
        <w:rPr>
          <w:lang w:val="it-IT"/>
        </w:rPr>
        <w:t>for Wastewater Treatment</w:t>
      </w:r>
    </w:p>
    <w:p w14:paraId="6C9245C8" w14:textId="7128A248" w:rsidR="008D2846" w:rsidRPr="00564429" w:rsidRDefault="008D2846" w:rsidP="00B57E6F">
      <w:pPr>
        <w:pStyle w:val="CETAuthors"/>
        <w:rPr>
          <w:lang w:val="it-IT"/>
        </w:rPr>
      </w:pPr>
      <w:r w:rsidRPr="00564429">
        <w:rPr>
          <w:lang w:val="it-IT"/>
        </w:rPr>
        <w:t>Stefania Marzorati</w:t>
      </w:r>
      <w:r w:rsidRPr="00564429">
        <w:rPr>
          <w:vertAlign w:val="superscript"/>
          <w:lang w:val="it-IT"/>
        </w:rPr>
        <w:t>a</w:t>
      </w:r>
      <w:r w:rsidR="005F2BE8" w:rsidRPr="00564429">
        <w:rPr>
          <w:vertAlign w:val="superscript"/>
          <w:lang w:val="it-IT"/>
        </w:rPr>
        <w:t>*</w:t>
      </w:r>
      <w:r w:rsidRPr="00564429">
        <w:rPr>
          <w:lang w:val="it-IT"/>
        </w:rPr>
        <w:t>, Mirko Magni</w:t>
      </w:r>
      <w:r w:rsidRPr="00564429">
        <w:rPr>
          <w:vertAlign w:val="superscript"/>
          <w:lang w:val="it-IT"/>
        </w:rPr>
        <w:t>a</w:t>
      </w:r>
      <w:r w:rsidRPr="00564429">
        <w:rPr>
          <w:lang w:val="it-IT"/>
        </w:rPr>
        <w:t>, Sebastiano Campisi</w:t>
      </w:r>
      <w:r w:rsidRPr="00564429">
        <w:rPr>
          <w:vertAlign w:val="superscript"/>
          <w:lang w:val="it-IT"/>
        </w:rPr>
        <w:t>b</w:t>
      </w:r>
      <w:r w:rsidRPr="00564429">
        <w:rPr>
          <w:lang w:val="it-IT"/>
        </w:rPr>
        <w:t>, Giorgia Ghiara</w:t>
      </w:r>
      <w:r w:rsidRPr="00564429">
        <w:rPr>
          <w:vertAlign w:val="superscript"/>
          <w:lang w:val="it-IT"/>
        </w:rPr>
        <w:t>a</w:t>
      </w:r>
      <w:r w:rsidRPr="00564429">
        <w:rPr>
          <w:lang w:val="it-IT"/>
        </w:rPr>
        <w:t>, Gabriele Angelo Valtorta</w:t>
      </w:r>
      <w:r w:rsidRPr="00564429">
        <w:rPr>
          <w:vertAlign w:val="superscript"/>
          <w:lang w:val="it-IT"/>
        </w:rPr>
        <w:t>b</w:t>
      </w:r>
      <w:r w:rsidRPr="00564429">
        <w:rPr>
          <w:lang w:val="it-IT"/>
        </w:rPr>
        <w:t>, Antonella Gervasi</w:t>
      </w:r>
      <w:r w:rsidR="005F2BE8" w:rsidRPr="00564429">
        <w:rPr>
          <w:lang w:val="it-IT"/>
        </w:rPr>
        <w:t>ni</w:t>
      </w:r>
      <w:r w:rsidR="005F2BE8" w:rsidRPr="00564429">
        <w:rPr>
          <w:vertAlign w:val="superscript"/>
          <w:lang w:val="it-IT"/>
        </w:rPr>
        <w:t>b</w:t>
      </w:r>
      <w:r w:rsidR="005F2BE8" w:rsidRPr="00564429">
        <w:rPr>
          <w:lang w:val="it-IT"/>
        </w:rPr>
        <w:t>, Stefano P.M. Trasatti</w:t>
      </w:r>
      <w:r w:rsidR="005F2BE8" w:rsidRPr="00564429">
        <w:rPr>
          <w:vertAlign w:val="superscript"/>
          <w:lang w:val="it-IT"/>
        </w:rPr>
        <w:t>a</w:t>
      </w:r>
    </w:p>
    <w:p w14:paraId="445D4B0F" w14:textId="5501CF7B" w:rsidR="005F2BE8" w:rsidRPr="00564429" w:rsidRDefault="00B57E6F" w:rsidP="00B57E6F">
      <w:pPr>
        <w:pStyle w:val="CETAddress"/>
        <w:rPr>
          <w:lang w:val="it-IT"/>
        </w:rPr>
      </w:pPr>
      <w:r w:rsidRPr="00564429">
        <w:rPr>
          <w:vertAlign w:val="superscript"/>
          <w:lang w:val="it-IT"/>
        </w:rPr>
        <w:t>a</w:t>
      </w:r>
      <w:r w:rsidR="005F2BE8" w:rsidRPr="00564429">
        <w:rPr>
          <w:lang w:val="it-IT"/>
        </w:rPr>
        <w:t>Department of Environmental Science and Policy, Università degli Studi di Milano, via Celoria 2, 20133, Milan, Italy</w:t>
      </w:r>
    </w:p>
    <w:p w14:paraId="3D72B0B0" w14:textId="718EBE19" w:rsidR="00B57E6F" w:rsidRPr="00564429" w:rsidRDefault="00FF542F" w:rsidP="00B57E6F">
      <w:pPr>
        <w:pStyle w:val="CETAddress"/>
        <w:rPr>
          <w:lang w:val="it-IT"/>
        </w:rPr>
      </w:pPr>
      <w:r w:rsidRPr="002F13AB">
        <w:rPr>
          <w:color w:val="000000" w:themeColor="text1"/>
          <w:vertAlign w:val="superscript"/>
          <w:lang w:val="it-IT"/>
        </w:rPr>
        <w:t>b</w:t>
      </w:r>
      <w:r w:rsidRPr="002F13AB">
        <w:rPr>
          <w:color w:val="000000" w:themeColor="text1"/>
          <w:lang w:val="it-IT"/>
        </w:rPr>
        <w:t>Dipartimento di Chimica</w:t>
      </w:r>
      <w:r w:rsidR="005F2BE8" w:rsidRPr="00564429">
        <w:rPr>
          <w:lang w:val="it-IT"/>
        </w:rPr>
        <w:t>, Università degli Studi di Milano, via Golgi 19, 20133, Milan, Italy</w:t>
      </w:r>
    </w:p>
    <w:p w14:paraId="73F1267A" w14:textId="36A8FBF6" w:rsidR="00B57E6F" w:rsidRPr="00B57B36" w:rsidRDefault="005F2BE8" w:rsidP="00B57E6F">
      <w:pPr>
        <w:pStyle w:val="CETemail"/>
      </w:pPr>
      <w:r>
        <w:t>stefania.marzorati</w:t>
      </w:r>
      <w:r w:rsidR="00B57E6F" w:rsidRPr="00B57B36">
        <w:t>@</w:t>
      </w:r>
      <w:r>
        <w:t>unimi.it</w:t>
      </w:r>
    </w:p>
    <w:p w14:paraId="1AB9966D" w14:textId="5ED4B6AF" w:rsidR="00AD064C" w:rsidRDefault="005675B0" w:rsidP="00AD064C">
      <w:pPr>
        <w:pStyle w:val="CETBodytext"/>
        <w:rPr>
          <w:lang w:val="en-GB"/>
        </w:rPr>
      </w:pPr>
      <w:r>
        <w:rPr>
          <w:lang w:val="en-GB"/>
        </w:rPr>
        <w:t xml:space="preserve">Addressing </w:t>
      </w:r>
      <w:r w:rsidR="00F9284F">
        <w:rPr>
          <w:lang w:val="en-GB"/>
        </w:rPr>
        <w:t xml:space="preserve">the </w:t>
      </w:r>
      <w:r w:rsidRPr="005675B0">
        <w:rPr>
          <w:lang w:val="en-GB"/>
        </w:rPr>
        <w:t>need for cost-efficient and environmentally friendly electrode materials for large-scale applications</w:t>
      </w:r>
      <w:r>
        <w:rPr>
          <w:lang w:val="en-GB"/>
        </w:rPr>
        <w:t xml:space="preserve"> of bioelectrochemical systems, this </w:t>
      </w:r>
      <w:r w:rsidRPr="005675B0">
        <w:rPr>
          <w:lang w:val="en-GB"/>
        </w:rPr>
        <w:t xml:space="preserve">study </w:t>
      </w:r>
      <w:r w:rsidR="005263A7">
        <w:rPr>
          <w:lang w:val="en-GB"/>
        </w:rPr>
        <w:t>implemented</w:t>
      </w:r>
      <w:r w:rsidRPr="005675B0">
        <w:rPr>
          <w:lang w:val="en-GB"/>
        </w:rPr>
        <w:t xml:space="preserve"> the principles of circular economy to </w:t>
      </w:r>
      <w:r>
        <w:rPr>
          <w:lang w:val="en-GB"/>
        </w:rPr>
        <w:t>produce</w:t>
      </w:r>
      <w:r w:rsidRPr="005675B0">
        <w:rPr>
          <w:lang w:val="en-GB"/>
        </w:rPr>
        <w:t xml:space="preserve"> biochar- </w:t>
      </w:r>
      <w:r w:rsidR="008F166C">
        <w:rPr>
          <w:lang w:val="en-GB"/>
        </w:rPr>
        <w:t>and hydroxyapatite/biochar-</w:t>
      </w:r>
      <w:r w:rsidR="008F166C" w:rsidRPr="005675B0">
        <w:rPr>
          <w:lang w:val="en-GB"/>
        </w:rPr>
        <w:t>based</w:t>
      </w:r>
      <w:r w:rsidR="008F166C">
        <w:rPr>
          <w:lang w:val="en-GB"/>
        </w:rPr>
        <w:t xml:space="preserve"> </w:t>
      </w:r>
      <w:r w:rsidRPr="005675B0">
        <w:rPr>
          <w:lang w:val="en-GB"/>
        </w:rPr>
        <w:t>conductive cathodes</w:t>
      </w:r>
      <w:r w:rsidR="004567B7">
        <w:rPr>
          <w:lang w:val="en-GB"/>
        </w:rPr>
        <w:t xml:space="preserve"> </w:t>
      </w:r>
      <w:r w:rsidR="00331E72">
        <w:rPr>
          <w:lang w:val="en-GB"/>
        </w:rPr>
        <w:t>to</w:t>
      </w:r>
      <w:r w:rsidR="005263A7">
        <w:rPr>
          <w:lang w:val="en-GB"/>
        </w:rPr>
        <w:t xml:space="preserve"> be</w:t>
      </w:r>
      <w:r w:rsidR="00331E72">
        <w:rPr>
          <w:lang w:val="en-GB"/>
        </w:rPr>
        <w:t xml:space="preserve"> employ</w:t>
      </w:r>
      <w:r w:rsidR="005263A7">
        <w:rPr>
          <w:lang w:val="en-GB"/>
        </w:rPr>
        <w:t>ed</w:t>
      </w:r>
      <w:r w:rsidR="00331E72">
        <w:rPr>
          <w:lang w:val="en-GB"/>
        </w:rPr>
        <w:t xml:space="preserve"> in </w:t>
      </w:r>
      <w:r w:rsidR="004567B7">
        <w:rPr>
          <w:lang w:val="en-GB"/>
        </w:rPr>
        <w:t>clean and green technologi</w:t>
      </w:r>
      <w:r w:rsidR="00711E5F">
        <w:rPr>
          <w:lang w:val="en-GB"/>
        </w:rPr>
        <w:t>es for wastewater treatment</w:t>
      </w:r>
      <w:r w:rsidRPr="005675B0">
        <w:rPr>
          <w:lang w:val="en-GB"/>
        </w:rPr>
        <w:t>. Silversk</w:t>
      </w:r>
      <w:r>
        <w:rPr>
          <w:lang w:val="en-GB"/>
        </w:rPr>
        <w:t>in, the</w:t>
      </w:r>
      <w:r w:rsidRPr="005675B0">
        <w:rPr>
          <w:lang w:val="en-GB"/>
        </w:rPr>
        <w:t xml:space="preserve"> byproduct of coffee roasting responsible for generating significant waste</w:t>
      </w:r>
      <w:r w:rsidR="00711E5F">
        <w:rPr>
          <w:lang w:val="en-GB"/>
        </w:rPr>
        <w:t xml:space="preserve"> worldwide</w:t>
      </w:r>
      <w:r w:rsidRPr="005675B0">
        <w:rPr>
          <w:lang w:val="en-GB"/>
        </w:rPr>
        <w:t xml:space="preserve">, </w:t>
      </w:r>
      <w:r>
        <w:rPr>
          <w:lang w:val="en-GB"/>
        </w:rPr>
        <w:t>was</w:t>
      </w:r>
      <w:r w:rsidRPr="005675B0">
        <w:rPr>
          <w:lang w:val="en-GB"/>
        </w:rPr>
        <w:t xml:space="preserve"> subjected to a pyrolysis process </w:t>
      </w:r>
      <w:r w:rsidR="008F166C">
        <w:rPr>
          <w:lang w:val="en-GB"/>
        </w:rPr>
        <w:t>to produce conductive biochar,</w:t>
      </w:r>
      <w:r w:rsidR="003D7D68">
        <w:rPr>
          <w:lang w:val="en-GB"/>
        </w:rPr>
        <w:t xml:space="preserve"> </w:t>
      </w:r>
      <w:r w:rsidR="008F166C">
        <w:rPr>
          <w:lang w:val="en-GB"/>
        </w:rPr>
        <w:t>then</w:t>
      </w:r>
      <w:r>
        <w:rPr>
          <w:lang w:val="en-GB"/>
        </w:rPr>
        <w:t xml:space="preserve"> </w:t>
      </w:r>
      <w:r w:rsidRPr="005675B0">
        <w:rPr>
          <w:lang w:val="en-GB"/>
        </w:rPr>
        <w:t>ch</w:t>
      </w:r>
      <w:r>
        <w:rPr>
          <w:lang w:val="en-GB"/>
        </w:rPr>
        <w:t>aracterized in terms of physico-</w:t>
      </w:r>
      <w:r w:rsidRPr="005675B0">
        <w:rPr>
          <w:lang w:val="en-GB"/>
        </w:rPr>
        <w:t xml:space="preserve">chemical properties. </w:t>
      </w:r>
      <w:r w:rsidR="004567B7">
        <w:rPr>
          <w:lang w:val="en-GB"/>
        </w:rPr>
        <w:t>B</w:t>
      </w:r>
      <w:r w:rsidRPr="005675B0">
        <w:rPr>
          <w:lang w:val="en-GB"/>
        </w:rPr>
        <w:t xml:space="preserve">iochar-based inks </w:t>
      </w:r>
      <w:r w:rsidR="004567B7">
        <w:rPr>
          <w:lang w:val="en-GB"/>
        </w:rPr>
        <w:t>were</w:t>
      </w:r>
      <w:r w:rsidRPr="005675B0">
        <w:rPr>
          <w:lang w:val="en-GB"/>
        </w:rPr>
        <w:t xml:space="preserve"> formulated </w:t>
      </w:r>
      <w:r w:rsidR="004567B7" w:rsidRPr="004567B7">
        <w:rPr>
          <w:lang w:val="en-GB"/>
        </w:rPr>
        <w:t>and employed to produce microporous layers on carbon cloth, finally used as cathodic materials in microbial fuel cells</w:t>
      </w:r>
      <w:r w:rsidR="00377854">
        <w:rPr>
          <w:lang w:val="en-GB"/>
        </w:rPr>
        <w:t xml:space="preserve"> systems</w:t>
      </w:r>
      <w:r w:rsidR="004567B7" w:rsidRPr="004567B7">
        <w:rPr>
          <w:lang w:val="en-GB"/>
        </w:rPr>
        <w:t>.</w:t>
      </w:r>
      <w:r w:rsidR="004567B7">
        <w:rPr>
          <w:lang w:val="en-GB"/>
        </w:rPr>
        <w:t xml:space="preserve"> </w:t>
      </w:r>
      <w:r w:rsidR="00BC5F07">
        <w:rPr>
          <w:lang w:val="en-GB"/>
        </w:rPr>
        <w:t xml:space="preserve">The presence of </w:t>
      </w:r>
      <w:r w:rsidR="00BC5F07" w:rsidRPr="00BC5F07">
        <w:rPr>
          <w:lang w:val="en-GB"/>
        </w:rPr>
        <w:t xml:space="preserve">hydroxyapatite </w:t>
      </w:r>
      <w:r w:rsidR="00377854">
        <w:rPr>
          <w:lang w:val="en-GB"/>
        </w:rPr>
        <w:t>in</w:t>
      </w:r>
      <w:r w:rsidR="00BC5F07">
        <w:rPr>
          <w:lang w:val="en-GB"/>
        </w:rPr>
        <w:t xml:space="preserve"> biochar</w:t>
      </w:r>
      <w:r w:rsidR="00377854">
        <w:rPr>
          <w:lang w:val="en-GB"/>
        </w:rPr>
        <w:t>-based composites</w:t>
      </w:r>
      <w:r w:rsidR="00BC5F07">
        <w:rPr>
          <w:lang w:val="en-GB"/>
        </w:rPr>
        <w:t xml:space="preserve"> was also evaluated </w:t>
      </w:r>
      <w:r w:rsidR="00BC5F07" w:rsidRPr="00BC5F07">
        <w:rPr>
          <w:lang w:val="en-GB"/>
        </w:rPr>
        <w:t xml:space="preserve">with the goal of combining </w:t>
      </w:r>
      <w:r w:rsidR="008F166C" w:rsidRPr="00BC5F07">
        <w:rPr>
          <w:lang w:val="en-GB"/>
        </w:rPr>
        <w:t xml:space="preserve">the remediation activity of </w:t>
      </w:r>
      <w:r w:rsidR="00BC5F07" w:rsidRPr="00BC5F07">
        <w:rPr>
          <w:lang w:val="en-GB"/>
        </w:rPr>
        <w:t xml:space="preserve">biochar </w:t>
      </w:r>
      <w:r w:rsidR="008F166C">
        <w:rPr>
          <w:lang w:val="en-GB"/>
        </w:rPr>
        <w:t xml:space="preserve">towards </w:t>
      </w:r>
      <w:r w:rsidR="00320E4C">
        <w:rPr>
          <w:lang w:val="en-GB"/>
        </w:rPr>
        <w:t xml:space="preserve">dissolved </w:t>
      </w:r>
      <w:r w:rsidR="008F166C">
        <w:rPr>
          <w:lang w:val="en-GB"/>
        </w:rPr>
        <w:t xml:space="preserve">organic </w:t>
      </w:r>
      <w:r w:rsidR="00320E4C">
        <w:rPr>
          <w:lang w:val="en-GB"/>
        </w:rPr>
        <w:t>compounds</w:t>
      </w:r>
      <w:r w:rsidR="008F166C">
        <w:rPr>
          <w:lang w:val="en-GB"/>
        </w:rPr>
        <w:t xml:space="preserve">, </w:t>
      </w:r>
      <w:r w:rsidR="00BC5F07" w:rsidRPr="00BC5F07">
        <w:rPr>
          <w:lang w:val="en-GB"/>
        </w:rPr>
        <w:t xml:space="preserve">with </w:t>
      </w:r>
      <w:r w:rsidR="00331E72">
        <w:rPr>
          <w:lang w:val="en-GB"/>
        </w:rPr>
        <w:t>that</w:t>
      </w:r>
      <w:r w:rsidR="00BC5F07" w:rsidRPr="00BC5F07">
        <w:rPr>
          <w:lang w:val="en-GB"/>
        </w:rPr>
        <w:t xml:space="preserve"> of hydroxyapatite towards inorganic </w:t>
      </w:r>
      <w:r w:rsidR="00331E72">
        <w:rPr>
          <w:lang w:val="en-GB"/>
        </w:rPr>
        <w:t xml:space="preserve">ionic </w:t>
      </w:r>
      <w:r w:rsidR="00BC5F07" w:rsidRPr="00BC5F07">
        <w:rPr>
          <w:lang w:val="en-GB"/>
        </w:rPr>
        <w:t>pollutants (such as Cd(II) and Zn(II)).</w:t>
      </w:r>
      <w:r w:rsidR="00BC5F07">
        <w:rPr>
          <w:lang w:val="en-GB"/>
        </w:rPr>
        <w:t xml:space="preserve"> </w:t>
      </w:r>
      <w:r w:rsidR="00BC5F07" w:rsidRPr="00BC5F07">
        <w:rPr>
          <w:lang w:val="en-GB"/>
        </w:rPr>
        <w:t xml:space="preserve">Despite underperforming compared to other more technological and optimized materials, waste-derived biochar and </w:t>
      </w:r>
      <w:r w:rsidR="00331E72">
        <w:rPr>
          <w:lang w:val="en-GB"/>
        </w:rPr>
        <w:t xml:space="preserve">its composite with </w:t>
      </w:r>
      <w:r w:rsidR="00BC5F07" w:rsidRPr="00BC5F07">
        <w:rPr>
          <w:lang w:val="en-GB"/>
        </w:rPr>
        <w:t xml:space="preserve">hydroxyapatite </w:t>
      </w:r>
      <w:r w:rsidR="00BC5F07">
        <w:rPr>
          <w:lang w:val="en-GB"/>
        </w:rPr>
        <w:t xml:space="preserve">were demonstrated to </w:t>
      </w:r>
      <w:r w:rsidR="00BC5F07" w:rsidRPr="00BC5F07">
        <w:rPr>
          <w:lang w:val="en-GB"/>
        </w:rPr>
        <w:t xml:space="preserve">open </w:t>
      </w:r>
      <w:r w:rsidR="00331E72">
        <w:rPr>
          <w:lang w:val="en-GB"/>
        </w:rPr>
        <w:t>novel</w:t>
      </w:r>
      <w:r w:rsidR="00331E72" w:rsidRPr="00BC5F07">
        <w:rPr>
          <w:lang w:val="en-GB"/>
        </w:rPr>
        <w:t xml:space="preserve"> </w:t>
      </w:r>
      <w:r w:rsidR="00BC5F07" w:rsidRPr="00BC5F07">
        <w:rPr>
          <w:lang w:val="en-GB"/>
        </w:rPr>
        <w:t xml:space="preserve">frontiers in design and architecture of </w:t>
      </w:r>
      <w:r w:rsidR="005263A7">
        <w:rPr>
          <w:lang w:val="en-GB"/>
        </w:rPr>
        <w:t>“</w:t>
      </w:r>
      <w:r w:rsidR="005263A7" w:rsidRPr="005263A7">
        <w:rPr>
          <w:i/>
          <w:lang w:val="en-GB"/>
        </w:rPr>
        <w:t>multi-pollutants targeted</w:t>
      </w:r>
      <w:r w:rsidR="005263A7">
        <w:rPr>
          <w:lang w:val="en-GB"/>
        </w:rPr>
        <w:t xml:space="preserve">” </w:t>
      </w:r>
      <w:r w:rsidR="00331E72">
        <w:rPr>
          <w:lang w:val="en-GB"/>
        </w:rPr>
        <w:t>smarter</w:t>
      </w:r>
      <w:r w:rsidR="00331E72" w:rsidRPr="00BC5F07">
        <w:rPr>
          <w:lang w:val="en-GB"/>
        </w:rPr>
        <w:t xml:space="preserve"> </w:t>
      </w:r>
      <w:r w:rsidR="000D52D4" w:rsidRPr="00BC5F07">
        <w:rPr>
          <w:lang w:val="en-GB"/>
        </w:rPr>
        <w:t>bioelectrochemical systems</w:t>
      </w:r>
      <w:r w:rsidR="00BC5F07" w:rsidRPr="00BC5F07">
        <w:rPr>
          <w:lang w:val="en-GB"/>
        </w:rPr>
        <w:t xml:space="preserve">, where not only microcurrent production, but </w:t>
      </w:r>
      <w:r w:rsidR="000D52D4">
        <w:rPr>
          <w:lang w:val="en-GB"/>
        </w:rPr>
        <w:t>a broad</w:t>
      </w:r>
      <w:r w:rsidR="003D7D68">
        <w:rPr>
          <w:lang w:val="en-GB"/>
        </w:rPr>
        <w:t>er</w:t>
      </w:r>
      <w:r w:rsidR="000D52D4">
        <w:rPr>
          <w:lang w:val="en-GB"/>
        </w:rPr>
        <w:t xml:space="preserve"> range </w:t>
      </w:r>
      <w:r w:rsidR="002F13AB">
        <w:rPr>
          <w:lang w:val="en-GB"/>
        </w:rPr>
        <w:t xml:space="preserve">of </w:t>
      </w:r>
      <w:r w:rsidR="00BC5F07" w:rsidRPr="00BC5F07">
        <w:rPr>
          <w:lang w:val="en-GB"/>
        </w:rPr>
        <w:t>wastewater treatment can be addressed.</w:t>
      </w:r>
    </w:p>
    <w:p w14:paraId="476B2F2E" w14:textId="77777777" w:rsidR="00600535" w:rsidRPr="00B57B36" w:rsidRDefault="00600535" w:rsidP="005F2BE8">
      <w:pPr>
        <w:pStyle w:val="CETHeading1"/>
        <w:tabs>
          <w:tab w:val="clear" w:pos="360"/>
        </w:tabs>
        <w:rPr>
          <w:lang w:val="en-GB"/>
        </w:rPr>
      </w:pPr>
      <w:r w:rsidRPr="00B57B36">
        <w:rPr>
          <w:lang w:val="en-GB"/>
        </w:rPr>
        <w:t>Introduction</w:t>
      </w:r>
    </w:p>
    <w:p w14:paraId="7D7062BF" w14:textId="0A8CF6E2" w:rsidR="00F452A0" w:rsidRDefault="00E4320C" w:rsidP="00E4320C">
      <w:pPr>
        <w:pStyle w:val="CETHeading1"/>
        <w:numPr>
          <w:ilvl w:val="0"/>
          <w:numId w:val="0"/>
        </w:numPr>
        <w:spacing w:before="0" w:after="0"/>
        <w:jc w:val="both"/>
        <w:rPr>
          <w:b w:val="0"/>
          <w:sz w:val="18"/>
          <w:lang w:val="en-GB"/>
        </w:rPr>
      </w:pPr>
      <w:r w:rsidRPr="00E4320C">
        <w:rPr>
          <w:b w:val="0"/>
          <w:sz w:val="18"/>
          <w:lang w:val="en-GB"/>
        </w:rPr>
        <w:t>Among bioelectrochemical systems, microbial fuel cells (MFC</w:t>
      </w:r>
      <w:r w:rsidR="00C25E07">
        <w:rPr>
          <w:b w:val="0"/>
          <w:sz w:val="18"/>
          <w:lang w:val="en-GB"/>
        </w:rPr>
        <w:t>s</w:t>
      </w:r>
      <w:r w:rsidRPr="00E4320C">
        <w:rPr>
          <w:b w:val="0"/>
          <w:sz w:val="18"/>
          <w:lang w:val="en-GB"/>
        </w:rPr>
        <w:t xml:space="preserve">) </w:t>
      </w:r>
      <w:r>
        <w:rPr>
          <w:b w:val="0"/>
          <w:sz w:val="18"/>
          <w:lang w:val="en-GB"/>
        </w:rPr>
        <w:t xml:space="preserve">are </w:t>
      </w:r>
      <w:r w:rsidRPr="00E4320C">
        <w:rPr>
          <w:b w:val="0"/>
          <w:sz w:val="18"/>
          <w:lang w:val="en-GB"/>
        </w:rPr>
        <w:t>investiga</w:t>
      </w:r>
      <w:r>
        <w:rPr>
          <w:b w:val="0"/>
          <w:sz w:val="18"/>
          <w:lang w:val="en-GB"/>
        </w:rPr>
        <w:t xml:space="preserve">ted as promising technologies </w:t>
      </w:r>
      <w:r w:rsidRPr="00E4320C">
        <w:rPr>
          <w:b w:val="0"/>
          <w:sz w:val="18"/>
          <w:lang w:val="en-GB"/>
        </w:rPr>
        <w:t>due to their dual capability of effectively treating wastewater, while simultaneously yielding energy</w:t>
      </w:r>
      <w:r w:rsidR="00F5342C">
        <w:rPr>
          <w:b w:val="0"/>
          <w:sz w:val="18"/>
          <w:lang w:val="en-GB"/>
        </w:rPr>
        <w:t xml:space="preserve"> </w:t>
      </w:r>
      <w:r w:rsidR="00564429">
        <w:rPr>
          <w:b w:val="0"/>
          <w:sz w:val="18"/>
          <w:lang w:val="en-GB"/>
        </w:rPr>
        <w:fldChar w:fldCharType="begin" w:fldLock="1"/>
      </w:r>
      <w:r w:rsidR="00A77A2E">
        <w:rPr>
          <w:b w:val="0"/>
          <w:sz w:val="18"/>
          <w:lang w:val="en-GB"/>
        </w:rPr>
        <w:instrText>ADDIN CSL_CITATION {"citationItems":[{"id":"ITEM-1","itemData":{"DOI":"10.1016/B978-0-12-409548-9.10122-8","ISBN":"9780128046777","abstract":"Microbial fuel cells (MFCs) are bioelectrochemical devices that produces electric power while treating wastewaters. These unique systems relies on the ability of certain electroactive bacteria to transfer their electrons extracellulary as a part of their metabolism when placed in proximity to a solid electrode. In recent years, the research interst in these systems have grown tremendously and the first commercial prototypes are expected soon. This chapter presents an introduction to the MFC technology, its working principle, common measurement techniques, the basic design and structure of the cell, electron transfer mechanism and some proven and potential applications.","author":[{"dropping-particle":"","family":"Roy","given":"S.","non-dropping-particle":"","parse-names":false,"suffix":""},{"dropping-particle":"","family":"Marzorati","given":"S.","non-dropping-particle":"","parse-names":false,"suffix":""},{"dropping-particle":"","family":"Schievano","given":"A.","non-dropping-particle":"","parse-names":false,"suffix":""},{"dropping-particle":"","family":"Pant","given":"D.","non-dropping-particle":"","parse-names":false,"suffix":""}],"container-title":"Encyclopedia of Sustainable Technologies","id":"ITEM-1","issued":{"date-parts":[["2017"]]},"page":"245-259","publisher":"Elsevier Inc.","title":"Microbial Fuel Cells","type":"chapter"},"uris":["http://www.mendeley.com/documents/?uuid=bbbd9c02-5392-461d-9336-449328b5c048"]}],"mendeley":{"formattedCitation":"(Roy et al., 2017)","plainTextFormattedCitation":"(Roy et al., 2017)","previouslyFormattedCitation":"(Roy et al., 2017)"},"properties":{"noteIndex":0},"schema":"https://github.com/citation-style-language/schema/raw/master/csl-citation.json"}</w:instrText>
      </w:r>
      <w:r w:rsidR="00564429">
        <w:rPr>
          <w:b w:val="0"/>
          <w:sz w:val="18"/>
          <w:lang w:val="en-GB"/>
        </w:rPr>
        <w:fldChar w:fldCharType="separate"/>
      </w:r>
      <w:r w:rsidR="00177554" w:rsidRPr="00177554">
        <w:rPr>
          <w:b w:val="0"/>
          <w:noProof/>
          <w:sz w:val="18"/>
          <w:lang w:val="en-GB"/>
        </w:rPr>
        <w:t>(Roy et al., 2017)</w:t>
      </w:r>
      <w:r w:rsidR="00564429">
        <w:rPr>
          <w:b w:val="0"/>
          <w:sz w:val="18"/>
          <w:lang w:val="en-GB"/>
        </w:rPr>
        <w:fldChar w:fldCharType="end"/>
      </w:r>
      <w:r w:rsidRPr="00E4320C">
        <w:rPr>
          <w:b w:val="0"/>
          <w:sz w:val="18"/>
          <w:lang w:val="en-GB"/>
        </w:rPr>
        <w:t>.</w:t>
      </w:r>
      <w:r>
        <w:rPr>
          <w:b w:val="0"/>
          <w:sz w:val="18"/>
          <w:lang w:val="en-GB"/>
        </w:rPr>
        <w:t xml:space="preserve"> </w:t>
      </w:r>
    </w:p>
    <w:p w14:paraId="56ECC125" w14:textId="211D4B1E" w:rsidR="005A59CB" w:rsidRDefault="00E4320C" w:rsidP="005A59CB">
      <w:pPr>
        <w:pStyle w:val="CETHeading1"/>
        <w:numPr>
          <w:ilvl w:val="0"/>
          <w:numId w:val="0"/>
        </w:numPr>
        <w:spacing w:before="0" w:after="0"/>
        <w:jc w:val="both"/>
        <w:rPr>
          <w:b w:val="0"/>
          <w:sz w:val="18"/>
        </w:rPr>
      </w:pPr>
      <w:r w:rsidRPr="00E4320C">
        <w:rPr>
          <w:b w:val="0"/>
          <w:sz w:val="18"/>
          <w:lang w:val="en-GB"/>
        </w:rPr>
        <w:t xml:space="preserve">The core principle of MFCs involves the </w:t>
      </w:r>
      <w:r>
        <w:rPr>
          <w:b w:val="0"/>
          <w:sz w:val="18"/>
          <w:lang w:val="en-GB"/>
        </w:rPr>
        <w:t>presence</w:t>
      </w:r>
      <w:r w:rsidRPr="00E4320C">
        <w:rPr>
          <w:b w:val="0"/>
          <w:sz w:val="18"/>
          <w:lang w:val="en-GB"/>
        </w:rPr>
        <w:t xml:space="preserve"> of mixed bacterial cultures</w:t>
      </w:r>
      <w:r>
        <w:rPr>
          <w:b w:val="0"/>
          <w:sz w:val="18"/>
          <w:lang w:val="en-GB"/>
        </w:rPr>
        <w:t>,</w:t>
      </w:r>
      <w:r w:rsidRPr="00E4320C">
        <w:rPr>
          <w:b w:val="0"/>
          <w:sz w:val="18"/>
          <w:lang w:val="en-GB"/>
        </w:rPr>
        <w:t xml:space="preserve"> naturally found in wastewater</w:t>
      </w:r>
      <w:r>
        <w:rPr>
          <w:b w:val="0"/>
          <w:sz w:val="18"/>
          <w:lang w:val="en-GB"/>
        </w:rPr>
        <w:t xml:space="preserve">, able to </w:t>
      </w:r>
      <w:r w:rsidRPr="00E4320C">
        <w:rPr>
          <w:b w:val="0"/>
          <w:sz w:val="18"/>
          <w:lang w:val="en-GB"/>
        </w:rPr>
        <w:t xml:space="preserve">adhere to one or both of the anodic and cathodic electrodes, where they </w:t>
      </w:r>
      <w:r w:rsidR="003D4194">
        <w:rPr>
          <w:b w:val="0"/>
          <w:sz w:val="18"/>
          <w:lang w:val="en-GB"/>
        </w:rPr>
        <w:t>catalyse electrochemical reactions</w:t>
      </w:r>
      <w:r w:rsidRPr="00E4320C">
        <w:rPr>
          <w:b w:val="0"/>
          <w:sz w:val="18"/>
          <w:lang w:val="en-GB"/>
        </w:rPr>
        <w:t>.</w:t>
      </w:r>
      <w:r>
        <w:rPr>
          <w:b w:val="0"/>
          <w:sz w:val="18"/>
          <w:lang w:val="en-GB"/>
        </w:rPr>
        <w:t xml:space="preserve"> </w:t>
      </w:r>
      <w:r w:rsidRPr="00E4320C">
        <w:rPr>
          <w:b w:val="0"/>
          <w:sz w:val="18"/>
          <w:lang w:val="en-GB"/>
        </w:rPr>
        <w:t>At the anode</w:t>
      </w:r>
      <w:r w:rsidR="00C25E07">
        <w:rPr>
          <w:b w:val="0"/>
          <w:sz w:val="18"/>
          <w:lang w:val="en-GB"/>
        </w:rPr>
        <w:t xml:space="preserve"> (</w:t>
      </w:r>
      <w:r w:rsidR="00C25E07" w:rsidRPr="005263A7">
        <w:rPr>
          <w:b w:val="0"/>
          <w:i/>
          <w:sz w:val="18"/>
          <w:lang w:val="en-GB"/>
        </w:rPr>
        <w:t>i.e</w:t>
      </w:r>
      <w:r w:rsidR="00C25E07">
        <w:rPr>
          <w:b w:val="0"/>
          <w:sz w:val="18"/>
          <w:lang w:val="en-GB"/>
        </w:rPr>
        <w:t>., negative electrode)</w:t>
      </w:r>
      <w:r w:rsidR="003D4194">
        <w:rPr>
          <w:b w:val="0"/>
          <w:sz w:val="18"/>
          <w:lang w:val="en-GB"/>
        </w:rPr>
        <w:t>,</w:t>
      </w:r>
      <w:r w:rsidRPr="00E4320C">
        <w:rPr>
          <w:b w:val="0"/>
          <w:sz w:val="18"/>
          <w:lang w:val="en-GB"/>
        </w:rPr>
        <w:t xml:space="preserve"> m</w:t>
      </w:r>
      <w:r w:rsidR="003D4194">
        <w:rPr>
          <w:b w:val="0"/>
          <w:sz w:val="18"/>
          <w:lang w:val="en-GB"/>
        </w:rPr>
        <w:t xml:space="preserve">icroorganisms perform </w:t>
      </w:r>
      <w:r w:rsidRPr="00E4320C">
        <w:rPr>
          <w:b w:val="0"/>
          <w:sz w:val="18"/>
          <w:lang w:val="en-GB"/>
        </w:rPr>
        <w:t>the oxidation of biodegradable dissolved organic compounds, resulting in a Chemical Oxygen Demand (COD)</w:t>
      </w:r>
      <w:r w:rsidR="003D4194">
        <w:rPr>
          <w:b w:val="0"/>
          <w:sz w:val="18"/>
          <w:lang w:val="en-GB"/>
        </w:rPr>
        <w:t xml:space="preserve"> reduction </w:t>
      </w:r>
      <w:r w:rsidRPr="00E4320C">
        <w:rPr>
          <w:b w:val="0"/>
          <w:sz w:val="18"/>
          <w:lang w:val="en-GB"/>
        </w:rPr>
        <w:t xml:space="preserve">in the wastewater. Simultaneously, </w:t>
      </w:r>
      <w:r w:rsidR="00434DB0">
        <w:rPr>
          <w:b w:val="0"/>
          <w:sz w:val="18"/>
          <w:lang w:val="en-GB"/>
        </w:rPr>
        <w:t>this oxidation</w:t>
      </w:r>
      <w:r w:rsidRPr="00E4320C">
        <w:rPr>
          <w:b w:val="0"/>
          <w:sz w:val="18"/>
          <w:lang w:val="en-GB"/>
        </w:rPr>
        <w:t xml:space="preserve"> process generates electrons, which </w:t>
      </w:r>
      <w:r w:rsidR="00C13E0F">
        <w:rPr>
          <w:b w:val="0"/>
          <w:sz w:val="18"/>
          <w:lang w:val="en-GB"/>
        </w:rPr>
        <w:t xml:space="preserve">are </w:t>
      </w:r>
      <w:r w:rsidR="00D96C16">
        <w:rPr>
          <w:b w:val="0"/>
          <w:sz w:val="18"/>
          <w:lang w:val="en-GB"/>
        </w:rPr>
        <w:t>conveyed</w:t>
      </w:r>
      <w:r w:rsidRPr="00E4320C">
        <w:rPr>
          <w:b w:val="0"/>
          <w:sz w:val="18"/>
          <w:lang w:val="en-GB"/>
        </w:rPr>
        <w:t xml:space="preserve"> </w:t>
      </w:r>
      <w:r w:rsidR="00D96C16">
        <w:rPr>
          <w:b w:val="0"/>
          <w:sz w:val="18"/>
          <w:lang w:val="en-GB"/>
        </w:rPr>
        <w:t xml:space="preserve">through </w:t>
      </w:r>
      <w:r w:rsidRPr="00E4320C">
        <w:rPr>
          <w:b w:val="0"/>
          <w:sz w:val="18"/>
          <w:lang w:val="en-GB"/>
        </w:rPr>
        <w:t xml:space="preserve">an external electrical circuit to </w:t>
      </w:r>
      <w:r w:rsidR="00D96C16">
        <w:rPr>
          <w:b w:val="0"/>
          <w:sz w:val="18"/>
          <w:lang w:val="en-GB"/>
        </w:rPr>
        <w:t>an air-exposed cathode</w:t>
      </w:r>
      <w:r w:rsidR="00C25E07">
        <w:rPr>
          <w:b w:val="0"/>
          <w:sz w:val="18"/>
          <w:lang w:val="en-GB"/>
        </w:rPr>
        <w:t xml:space="preserve"> (</w:t>
      </w:r>
      <w:r w:rsidR="00C25E07" w:rsidRPr="00C127B4">
        <w:rPr>
          <w:b w:val="0"/>
          <w:i/>
          <w:sz w:val="18"/>
          <w:lang w:val="en-GB"/>
        </w:rPr>
        <w:t>i.e</w:t>
      </w:r>
      <w:r w:rsidR="00C25E07">
        <w:rPr>
          <w:b w:val="0"/>
          <w:sz w:val="18"/>
          <w:lang w:val="en-GB"/>
        </w:rPr>
        <w:t>., positive electrode)</w:t>
      </w:r>
      <w:r w:rsidR="00D96C16">
        <w:rPr>
          <w:b w:val="0"/>
          <w:sz w:val="18"/>
          <w:lang w:val="en-GB"/>
        </w:rPr>
        <w:t xml:space="preserve">, where </w:t>
      </w:r>
      <w:r w:rsidRPr="00E4320C">
        <w:rPr>
          <w:b w:val="0"/>
          <w:sz w:val="18"/>
          <w:lang w:val="en-GB"/>
        </w:rPr>
        <w:t>the oxygen reduction reaction takes p</w:t>
      </w:r>
      <w:r w:rsidR="00434DB0">
        <w:rPr>
          <w:b w:val="0"/>
          <w:sz w:val="18"/>
          <w:lang w:val="en-GB"/>
        </w:rPr>
        <w:t>lace. This combination of electrochemical processes in</w:t>
      </w:r>
      <w:r w:rsidRPr="00E4320C">
        <w:rPr>
          <w:b w:val="0"/>
          <w:sz w:val="18"/>
          <w:lang w:val="en-GB"/>
        </w:rPr>
        <w:t xml:space="preserve"> MFCs leads to the production of micro-electrical power, all the while effectiv</w:t>
      </w:r>
      <w:r>
        <w:rPr>
          <w:b w:val="0"/>
          <w:sz w:val="18"/>
          <w:lang w:val="en-GB"/>
        </w:rPr>
        <w:t>ely remediating the wastewater</w:t>
      </w:r>
      <w:r w:rsidR="00564429">
        <w:rPr>
          <w:b w:val="0"/>
          <w:sz w:val="18"/>
          <w:lang w:val="en-GB"/>
        </w:rPr>
        <w:t xml:space="preserve"> </w:t>
      </w:r>
      <w:r w:rsidR="00564429">
        <w:rPr>
          <w:b w:val="0"/>
          <w:sz w:val="18"/>
          <w:lang w:val="en-GB"/>
        </w:rPr>
        <w:fldChar w:fldCharType="begin" w:fldLock="1"/>
      </w:r>
      <w:r w:rsidR="00FF28A5">
        <w:rPr>
          <w:b w:val="0"/>
          <w:sz w:val="18"/>
          <w:lang w:val="en-GB"/>
        </w:rPr>
        <w:instrText>ADDIN CSL_CITATION {"citationItems":[{"id":"ITEM-1","itemData":{"DOI":"10.1021/es9017464","ISBN":"0013-936X","ISSN":"0013-936X","PMID":"19921843","abstract":"Current production by microorganisms colonizing subsurface electrodes and its relationship to substrate availability and microbial activity was evaluated in an aquifer undergoing bioremediation. Borehole graphite anodes were installed downgradient from a region of acetate injection designed to stimulate bioreduction of U(VI); cathodes consisted of graphite electrodes embedded at the ground surface. Significant increases in current density (&lt;= 50 mA/m(2)) tracked delivery of acetate to the electrodes, dropping rapidly when acetate inputs were discontinued. An upgradient control electrode not exposed to acetate produced low, steady currents (&lt;= 0.2 mA/m(2)). Elevated current was strongly correlated with uranium removal but minimal correlation existed with elevated Fe(II). Confocal laser scanning microscopy of electrodes revealed firmly attached biofilms, and analysis of 16S rRNA gene sequences indicated the electrode surfaces were dominated (67-80%) by Geobacter species. This is the first demonstration that electrodes can produce readily detectable currents despite long-range (6 m) separation of anode and cathode, and these results suggest that oxidation of acetate coupled to electron transfer to electrodes by Geobacter species was the primary source of current Thus it is expected that current production may serve as an effective proxy for monitoring in situ microbial activity in a variety of subsurface anoxic environments.","author":[{"dropping-particle":"","family":"Williams","given":"K H","non-dropping-particle":"","parse-names":false,"suffix":""},{"dropping-particle":"","family":"Nevin","given":"K P","non-dropping-particle":"","parse-names":false,"suffix":""},{"dropping-particle":"","family":"Franks","given":"a","non-dropping-particle":"","parse-names":false,"suffix":""},{"dropping-particle":"","family":"Englert","given":"a","non-dropping-particle":"","parse-names":false,"suffix":""},{"dropping-particle":"","family":"Long","given":"P E","non-dropping-particle":"","parse-names":false,"suffix":""},{"dropping-particle":"","family":"Lovley","given":"D R","non-dropping-particle":"","parse-names":false,"suffix":""}],"container-title":"Environmental Science &amp; Technology","id":"ITEM-1","issue":"1","issued":{"date-parts":[["2010"]]},"page":"47-54","title":"Electrode-based approach for monitoring &lt;i&gt;in situ&lt;/i&gt; microbial activity during subsurface bioremediation","type":"article-journal","volume":"44"},"uris":["http://www.mendeley.com/documents/?uuid=ea956589-10f1-4615-926b-786881b3c3de"]}],"mendeley":{"formattedCitation":"(Williams et al., 2010)","plainTextFormattedCitation":"(Williams et al., 2010)","previouslyFormattedCitation":"(Williams et al., 2010)"},"properties":{"noteIndex":0},"schema":"https://github.com/citation-style-language/schema/raw/master/csl-citation.json"}</w:instrText>
      </w:r>
      <w:r w:rsidR="00564429">
        <w:rPr>
          <w:b w:val="0"/>
          <w:sz w:val="18"/>
          <w:lang w:val="en-GB"/>
        </w:rPr>
        <w:fldChar w:fldCharType="separate"/>
      </w:r>
      <w:r w:rsidR="00177554" w:rsidRPr="00177554">
        <w:rPr>
          <w:b w:val="0"/>
          <w:noProof/>
          <w:sz w:val="18"/>
          <w:lang w:val="en-GB"/>
        </w:rPr>
        <w:t>(Williams et al., 2010)</w:t>
      </w:r>
      <w:r w:rsidR="00564429">
        <w:rPr>
          <w:b w:val="0"/>
          <w:sz w:val="18"/>
          <w:lang w:val="en-GB"/>
        </w:rPr>
        <w:fldChar w:fldCharType="end"/>
      </w:r>
      <w:r w:rsidR="002753B3">
        <w:rPr>
          <w:b w:val="0"/>
          <w:sz w:val="18"/>
          <w:lang w:val="en-GB"/>
        </w:rPr>
        <w:t>.</w:t>
      </w:r>
      <w:r w:rsidR="00047052">
        <w:rPr>
          <w:b w:val="0"/>
          <w:sz w:val="18"/>
          <w:lang w:val="en-GB"/>
        </w:rPr>
        <w:t xml:space="preserve"> </w:t>
      </w:r>
      <w:r w:rsidRPr="00E4320C">
        <w:rPr>
          <w:b w:val="0"/>
          <w:sz w:val="18"/>
          <w:lang w:val="en-GB"/>
        </w:rPr>
        <w:t>Although systematic studies on bioelectrochemical systems dat</w:t>
      </w:r>
      <w:r w:rsidR="00355158">
        <w:rPr>
          <w:b w:val="0"/>
          <w:sz w:val="18"/>
          <w:lang w:val="en-GB"/>
        </w:rPr>
        <w:t>e</w:t>
      </w:r>
      <w:r w:rsidRPr="00E4320C">
        <w:rPr>
          <w:b w:val="0"/>
          <w:sz w:val="18"/>
          <w:lang w:val="en-GB"/>
        </w:rPr>
        <w:t xml:space="preserve"> back to the 1990s, the practical large-scale implementation of this technology still </w:t>
      </w:r>
      <w:r w:rsidR="00355158">
        <w:rPr>
          <w:b w:val="0"/>
          <w:sz w:val="18"/>
          <w:lang w:val="en-GB"/>
        </w:rPr>
        <w:t xml:space="preserve">waits to overcome </w:t>
      </w:r>
      <w:r w:rsidRPr="00E4320C">
        <w:rPr>
          <w:b w:val="0"/>
          <w:sz w:val="18"/>
          <w:lang w:val="en-GB"/>
        </w:rPr>
        <w:t xml:space="preserve">the challenge of </w:t>
      </w:r>
      <w:r w:rsidR="00355158">
        <w:rPr>
          <w:b w:val="0"/>
          <w:sz w:val="18"/>
          <w:lang w:val="en-GB"/>
        </w:rPr>
        <w:t>finding</w:t>
      </w:r>
      <w:r w:rsidRPr="00E4320C">
        <w:rPr>
          <w:b w:val="0"/>
          <w:sz w:val="18"/>
          <w:lang w:val="en-GB"/>
        </w:rPr>
        <w:t xml:space="preserve"> an optimal balance between process efficiency and cost-effectiveness</w:t>
      </w:r>
      <w:r w:rsidR="00564429">
        <w:rPr>
          <w:b w:val="0"/>
          <w:sz w:val="18"/>
          <w:lang w:val="en-GB"/>
        </w:rPr>
        <w:t xml:space="preserve"> </w:t>
      </w:r>
      <w:r w:rsidR="00564429">
        <w:rPr>
          <w:b w:val="0"/>
        </w:rPr>
        <w:fldChar w:fldCharType="begin" w:fldLock="1"/>
      </w:r>
      <w:r w:rsidR="00177554">
        <w:rPr>
          <w:b w:val="0"/>
          <w:sz w:val="18"/>
          <w:lang w:val="en-GB"/>
        </w:rPr>
        <w:instrText>ADDIN CSL_CITATION {"citationItems":[{"id":"ITEM-1","itemData":{"DOI":"10.1016/j.tim.2006.10.003","ISSN":"0966-842X","PMID":"17049240","abstract":"Microbial fuel cells (MFCs) are not yet commercialized but they show great promise as a method of water treatment and as power sources for environmental sensors. The power produced by these systems is currently limited, primarily by high internal (ohmic) resistance. However, improvements in the system architecture will soon result in power generation that is dependent on the capabilities of the microorganisms. The bacterial communities that develop in these systems show great diversity, ranging from primarily delta-Proteobacteria that predominate in sediment MFCs to communities composed of alpha-, beta-, gamma- or delta-Proteobacteria, Firmicutes and uncharacterized clones in other types of MFCs. Much remains to be discovered about the physiology of these bacteria capable of exocellular electron transfer, collectively defined as a community of \"exoelectrogens\". Here, we review the microbial communities found in MFCs and the prospects for this emerging bioenergy technology.","author":[{"dropping-particle":"","family":"Logan","given":"Bruce E","non-dropping-particle":"","parse-names":false,"suffix":""},{"dropping-particle":"","family":"Regan","given":"John M","non-dropping-particle":"","parse-names":false,"suffix":""}],"container-title":"Trends in microbiology","id":"ITEM-1","issue":"12","issued":{"date-parts":[["2006","12"]]},"page":"512-8","title":"Electricity-producing bacterial communities in microbial fuel cells.","type":"article-journal","volume":"14"},"uris":["http://www.mendeley.com/documents/?uuid=b29e40ee-a59e-4b88-a86c-e49cfae6bfa0"]}],"mendeley":{"formattedCitation":"(Logan and Regan, 2006)","plainTextFormattedCitation":"(Logan and Regan, 2006)","previouslyFormattedCitation":"(Logan and Regan, 2006)"},"properties":{"noteIndex":0},"schema":"https://github.com/citation-style-language/schema/raw/master/csl-citation.json"}</w:instrText>
      </w:r>
      <w:r w:rsidR="00564429">
        <w:rPr>
          <w:b w:val="0"/>
        </w:rPr>
        <w:fldChar w:fldCharType="separate"/>
      </w:r>
      <w:r w:rsidR="00177554" w:rsidRPr="00177554">
        <w:rPr>
          <w:b w:val="0"/>
          <w:noProof/>
          <w:sz w:val="18"/>
          <w:lang w:val="en-GB"/>
        </w:rPr>
        <w:t>(Logan and Regan, 2006)</w:t>
      </w:r>
      <w:r w:rsidR="00564429">
        <w:rPr>
          <w:b w:val="0"/>
        </w:rPr>
        <w:fldChar w:fldCharType="end"/>
      </w:r>
      <w:r w:rsidRPr="00E4320C">
        <w:rPr>
          <w:b w:val="0"/>
          <w:sz w:val="18"/>
          <w:lang w:val="en-GB"/>
        </w:rPr>
        <w:t xml:space="preserve">. </w:t>
      </w:r>
      <w:r w:rsidR="00C837C0">
        <w:rPr>
          <w:b w:val="0"/>
          <w:sz w:val="18"/>
          <w:lang w:val="en-GB"/>
        </w:rPr>
        <w:t>MFCs</w:t>
      </w:r>
      <w:r w:rsidR="00C837C0" w:rsidRPr="00C837C0">
        <w:rPr>
          <w:b w:val="0"/>
          <w:sz w:val="18"/>
          <w:lang w:val="en-GB"/>
        </w:rPr>
        <w:t xml:space="preserve"> architectures and materials frequently draw inspiration from conventional engineered electrochemical cells</w:t>
      </w:r>
      <w:r w:rsidR="002753B3">
        <w:rPr>
          <w:b w:val="0"/>
          <w:sz w:val="18"/>
          <w:lang w:val="en-GB"/>
        </w:rPr>
        <w:t xml:space="preserve"> (</w:t>
      </w:r>
      <w:r w:rsidR="002753B3" w:rsidRPr="005263A7">
        <w:rPr>
          <w:b w:val="0"/>
          <w:i/>
          <w:sz w:val="18"/>
          <w:lang w:val="en-GB"/>
        </w:rPr>
        <w:t>i.e</w:t>
      </w:r>
      <w:r w:rsidR="002753B3">
        <w:rPr>
          <w:b w:val="0"/>
          <w:sz w:val="18"/>
          <w:lang w:val="en-GB"/>
        </w:rPr>
        <w:t>., electrolysers, electrodialysis systems, electroplating plants)</w:t>
      </w:r>
      <w:r w:rsidR="00C837C0">
        <w:rPr>
          <w:b w:val="0"/>
          <w:sz w:val="18"/>
          <w:lang w:val="en-GB"/>
        </w:rPr>
        <w:t xml:space="preserve">. </w:t>
      </w:r>
      <w:r w:rsidR="00C837C0" w:rsidRPr="00C837C0">
        <w:rPr>
          <w:b w:val="0"/>
          <w:sz w:val="18"/>
          <w:lang w:val="en-GB"/>
        </w:rPr>
        <w:t>Nevertheless, when considering applications on a larger scale for environmental purposes</w:t>
      </w:r>
      <w:r w:rsidR="002753B3">
        <w:rPr>
          <w:b w:val="0"/>
          <w:sz w:val="18"/>
          <w:lang w:val="en-GB"/>
        </w:rPr>
        <w:t>,</w:t>
      </w:r>
      <w:r w:rsidR="00C837C0" w:rsidRPr="00C837C0">
        <w:rPr>
          <w:b w:val="0"/>
          <w:sz w:val="18"/>
          <w:lang w:val="en-GB"/>
        </w:rPr>
        <w:t xml:space="preserve"> like wastewater treatment, employing these materials and architectures could pose significant challenges</w:t>
      </w:r>
      <w:r w:rsidR="00C837C0">
        <w:rPr>
          <w:b w:val="0"/>
          <w:sz w:val="18"/>
          <w:lang w:val="en-GB"/>
        </w:rPr>
        <w:t xml:space="preserve"> </w:t>
      </w:r>
      <w:r w:rsidR="00C837C0" w:rsidRPr="00C837C0">
        <w:rPr>
          <w:b w:val="0"/>
          <w:sz w:val="18"/>
          <w:lang w:val="en-GB"/>
        </w:rPr>
        <w:t>due to their relatively high economic and environmental fabrication costs, as well as their limited sustainability at the end of their lifecycle</w:t>
      </w:r>
      <w:r w:rsidR="00564429">
        <w:rPr>
          <w:b w:val="0"/>
          <w:sz w:val="18"/>
          <w:lang w:val="en-GB"/>
        </w:rPr>
        <w:t xml:space="preserve"> </w:t>
      </w:r>
      <w:r w:rsidR="00564429">
        <w:rPr>
          <w:b w:val="0"/>
          <w:sz w:val="18"/>
          <w:lang w:val="en-GB"/>
        </w:rPr>
        <w:fldChar w:fldCharType="begin" w:fldLock="1"/>
      </w:r>
      <w:r w:rsidR="00177554">
        <w:rPr>
          <w:b w:val="0"/>
          <w:sz w:val="18"/>
          <w:lang w:val="en-GB"/>
        </w:rPr>
        <w:instrText>ADDIN CSL_CITATION {"citationItems":[{"id":"ITEM-1","itemData":{"DOI":"10.1021/acssuschemeng.9b04229","ISSN":"21680485","abstract":"Large-scale environmental applications of microbial electrochemical technologies (MET), such as wastewater treatment, bioremediation, or soil improvement, would be more feasible if bioelectrodes could be fabricated with simpler materials. Biochar with potentially improved electroactive properties (e-biochar) can be an ideal candidate for this scope, being at the same time widely available, biocompatible, and fully recyclable at its end-of-life as a soil amendment. Here we review the application of biochar to MET, to set benchmarks aimed at tuning the electroactive properties of such materials from the point of view of MET. The precursor biomass, thermochemical process conditions, and pre-, in situ-, and/or post-treatments should tailor optimized combinations of electrical conductivity, capacitance, superficial redox-active and electroactive functional groups, porosity distribution, and capacity to host electroactive microbial communities. We also discuss methods to rigorously characterize e-biochar properties and the most relevant multidisciplinary research challenges toward its application in large-scale MET.","author":[{"dropping-particle":"","family":"Schievano","given":"Andrea","non-dropping-particle":"","parse-names":false,"suffix":""},{"dropping-particle":"","family":"Berenguer","given":"Raúl","non-dropping-particle":"","parse-names":false,"suffix":""},{"dropping-particle":"","family":"Goglio","given":"Andrea","non-dropping-particle":"","parse-names":false,"suffix":""},{"dropping-particle":"","family":"Bocchi","given":"Stefano","non-dropping-particle":"","parse-names":false,"suffix":""},{"dropping-particle":"","family":"Marzorati","given":"Stefania","non-dropping-particle":"","parse-names":false,"suffix":""},{"dropping-particle":"","family":"Rago","given":"Laura","non-dropping-particle":"","parse-names":false,"suffix":""},{"dropping-particle":"","family":"Louro","given":"Ricardo O.","non-dropping-particle":"","parse-names":false,"suffix":""},{"dropping-particle":"","family":"Paquete","given":"Catarina M.","non-dropping-particle":"","parse-names":false,"suffix":""},{"dropping-particle":"","family":"Esteve-Núñez","given":"Abraham","non-dropping-particle":"","parse-names":false,"suffix":""}],"container-title":"ACS Sustainable Chemistry and Engineering","id":"ITEM-1","issue":"22","issued":{"date-parts":[["2019"]]},"page":"18198-18212","title":"Electroactive Biochar for Large-Scale Environmental Applications of Microbial Electrochemistry","type":"article-journal","volume":"7"},"uris":["http://www.mendeley.com/documents/?uuid=85135022-7b42-4bf3-844c-9afc7b25f25b"]},{"id":"ITEM-2","itemData":{"DOI":"10.1016/j.jclepro.2017.09.142","ISSN":"09596526","abstract":"© 2017 Elsevier Ltd Low-cost materials and low-tech architectures could give competitive advantage in scaling-up applications of microbial fuel cells (MFC), especially for nutrients recovery from wastewater. Here a novel concept is presented, based on cylindrical ligno-cellulosic materials, available as agricultural residues or spontaneous vegetation. Giant canes (Arundo Donax L.) and maize (Zea Mays) stalks were used as porous separators (naturally tubular) for air-cathode MFC modules (GC-MFC and MS-MFC, meaning Giant Cane and Maize Stalk, respectively), with carbon cloth-based electrodes. The MFCs were operated across 100 Ω external load, enriching swine-farming wastewater with addition of sodium acetate (3 g L −1 ). Initially, these systems showed relatively high internal resist ances (especially GC, with R int = 5600 Ω), before the material was completely imbibed by the anolyte. After 10–20 days acclimation, despite sufficient electrolytic conductivity was established in both systems (internal resistance around 60–90 Ω), relatively low power densities (around 40 mW m −2 , normalized by cathode's surface projection) were achieved, if compared to state-of-the-art MFCs, oriented to electricity harvesting. However, the generated electric field was enough to sustain electro-osmotic ions mobility and to establish high pH conditions (pH 11–12) at the cathode. Over 70 days of operation, electro-migration and deposition phenomena of valuable elements (Na, Ca, Mg, Mn, K, etc.) were observed, both inside the separator and on the cathode surface. Simultaneously, partial biodegradation of the ligno-cellulosic biomass, especially for MS, drove partial release of organic carbon, nitrogen, phosphorous and other elements in the anodic chamber. These relevant phenomena have to be taken into account in view of possible applications of ligno-cellulosic materials in MFC-driven nutrients recovery from wastewater.","author":[{"dropping-particle":"","family":"Marzorati","given":"S.","non-dropping-particle":"","parse-names":false,"suffix":""},{"dropping-particle":"","family":"Schievano","given":"A.","non-dropping-particle":"","parse-names":false,"suffix":""},{"dropping-particle":"","family":"Colombo","given":"A.","non-dropping-particle":"","parse-names":false,"suffix":""},{"dropping-particle":"","family":"Lucchini","given":"G.","non-dropping-particle":"","parse-names":false,"suffix":""},{"dropping-particle":"","family":"Cristiani","given":"P.","non-dropping-particle":"","parse-names":false,"suffix":""}],"container-title":"Journal of Cleaner Production","id":"ITEM-2","issued":{"date-parts":[["2018"]]},"title":"Ligno-cellulosic materials as air-water separators in low-tech microbial fuel cells for nutrients recovery","type":"article-journal","volume":"170"},"uris":["http://www.mendeley.com/documents/?uuid=eb097419-2d70-3ea6-a0dc-884b0d2ef0fe"]}],"mendeley":{"formattedCitation":"(Marzorati et al., 2018; Schievano et al., 2019)","plainTextFormattedCitation":"(Marzorati et al., 2018; Schievano et al., 2019)","previouslyFormattedCitation":"(Marzorati et al., 2018; Schievano et al., 2019)"},"properties":{"noteIndex":0},"schema":"https://github.com/citation-style-language/schema/raw/master/csl-citation.json"}</w:instrText>
      </w:r>
      <w:r w:rsidR="00564429">
        <w:rPr>
          <w:b w:val="0"/>
          <w:sz w:val="18"/>
          <w:lang w:val="en-GB"/>
        </w:rPr>
        <w:fldChar w:fldCharType="separate"/>
      </w:r>
      <w:r w:rsidR="00177554" w:rsidRPr="00177554">
        <w:rPr>
          <w:b w:val="0"/>
          <w:noProof/>
          <w:sz w:val="18"/>
          <w:lang w:val="en-GB"/>
        </w:rPr>
        <w:t>(Marzorati et al., 2018; Schievano et al., 2019)</w:t>
      </w:r>
      <w:r w:rsidR="00564429">
        <w:rPr>
          <w:b w:val="0"/>
          <w:sz w:val="18"/>
          <w:lang w:val="en-GB"/>
        </w:rPr>
        <w:fldChar w:fldCharType="end"/>
      </w:r>
      <w:r w:rsidR="00C837C0" w:rsidRPr="00C837C0">
        <w:rPr>
          <w:b w:val="0"/>
          <w:sz w:val="18"/>
          <w:lang w:val="en-GB"/>
        </w:rPr>
        <w:t>.</w:t>
      </w:r>
      <w:r w:rsidR="00C837C0">
        <w:rPr>
          <w:b w:val="0"/>
          <w:sz w:val="18"/>
          <w:lang w:val="en-GB"/>
        </w:rPr>
        <w:t xml:space="preserve"> </w:t>
      </w:r>
      <w:r w:rsidR="008173E8" w:rsidRPr="00E4320C">
        <w:rPr>
          <w:b w:val="0"/>
          <w:sz w:val="18"/>
          <w:lang w:val="en-GB"/>
        </w:rPr>
        <w:t xml:space="preserve">In this context, </w:t>
      </w:r>
      <w:r w:rsidR="008173E8">
        <w:rPr>
          <w:b w:val="0"/>
          <w:sz w:val="18"/>
          <w:lang w:val="en-GB"/>
        </w:rPr>
        <w:t>following</w:t>
      </w:r>
      <w:r w:rsidR="008173E8" w:rsidRPr="00E4320C">
        <w:rPr>
          <w:b w:val="0"/>
          <w:sz w:val="18"/>
          <w:lang w:val="en-GB"/>
        </w:rPr>
        <w:t xml:space="preserve"> the guiding principles of circular economy, this study </w:t>
      </w:r>
      <w:r w:rsidR="008173E8">
        <w:rPr>
          <w:b w:val="0"/>
          <w:sz w:val="18"/>
          <w:lang w:val="en-GB"/>
        </w:rPr>
        <w:t xml:space="preserve">aims to </w:t>
      </w:r>
      <w:r w:rsidR="008173E8" w:rsidRPr="003E6961">
        <w:rPr>
          <w:b w:val="0"/>
          <w:sz w:val="18"/>
          <w:lang w:val="en-GB"/>
        </w:rPr>
        <w:t xml:space="preserve">produce </w:t>
      </w:r>
      <w:r w:rsidR="008173E8">
        <w:rPr>
          <w:b w:val="0"/>
          <w:sz w:val="18"/>
          <w:lang w:val="en-GB"/>
        </w:rPr>
        <w:t xml:space="preserve">sustainable </w:t>
      </w:r>
      <w:r w:rsidR="008173E8" w:rsidRPr="003E6961">
        <w:rPr>
          <w:b w:val="0"/>
          <w:sz w:val="18"/>
          <w:lang w:val="en-GB"/>
        </w:rPr>
        <w:t>biochar-based conductive cathodes</w:t>
      </w:r>
      <w:r w:rsidR="008173E8">
        <w:rPr>
          <w:b w:val="0"/>
          <w:sz w:val="18"/>
          <w:lang w:val="en-GB"/>
        </w:rPr>
        <w:t xml:space="preserve">, derived from biomass wastes, </w:t>
      </w:r>
      <w:r w:rsidR="008173E8" w:rsidRPr="003E6961">
        <w:rPr>
          <w:b w:val="0"/>
          <w:sz w:val="18"/>
          <w:lang w:val="en-GB"/>
        </w:rPr>
        <w:t xml:space="preserve">to be employed in </w:t>
      </w:r>
      <w:r w:rsidR="008173E8">
        <w:rPr>
          <w:b w:val="0"/>
          <w:sz w:val="18"/>
          <w:lang w:val="en-GB"/>
        </w:rPr>
        <w:t>MFCs, assisting the</w:t>
      </w:r>
      <w:r w:rsidR="00355158">
        <w:rPr>
          <w:b w:val="0"/>
          <w:sz w:val="18"/>
          <w:lang w:val="en-GB"/>
        </w:rPr>
        <w:t xml:space="preserve"> need</w:t>
      </w:r>
      <w:r w:rsidRPr="00E4320C">
        <w:rPr>
          <w:b w:val="0"/>
          <w:sz w:val="18"/>
          <w:lang w:val="en-GB"/>
        </w:rPr>
        <w:t xml:space="preserve"> to innovate and develop </w:t>
      </w:r>
      <w:r w:rsidR="001401C7">
        <w:rPr>
          <w:b w:val="0"/>
          <w:sz w:val="18"/>
          <w:lang w:val="en-GB"/>
        </w:rPr>
        <w:t xml:space="preserve">the palette of </w:t>
      </w:r>
      <w:r w:rsidRPr="00E4320C">
        <w:rPr>
          <w:b w:val="0"/>
          <w:sz w:val="18"/>
          <w:lang w:val="en-GB"/>
        </w:rPr>
        <w:t xml:space="preserve">materials that are </w:t>
      </w:r>
      <w:r w:rsidRPr="00E4320C">
        <w:rPr>
          <w:b w:val="0"/>
          <w:sz w:val="18"/>
          <w:lang w:val="en-GB"/>
        </w:rPr>
        <w:lastRenderedPageBreak/>
        <w:t>both low-cost and environmentally compatible for the fabrication of electrodes on a scale suitable for industrial applications.</w:t>
      </w:r>
      <w:r w:rsidR="008849CB">
        <w:rPr>
          <w:b w:val="0"/>
          <w:sz w:val="18"/>
          <w:lang w:val="en-GB"/>
        </w:rPr>
        <w:t xml:space="preserve"> </w:t>
      </w:r>
      <w:r w:rsidRPr="00E4320C">
        <w:rPr>
          <w:b w:val="0"/>
          <w:sz w:val="18"/>
          <w:lang w:val="en-GB"/>
        </w:rPr>
        <w:t>Specifically, silverskin, the outer layer of coffee beans that is typically discarded during the coffee roasting process</w:t>
      </w:r>
      <w:r w:rsidR="008B30BB">
        <w:rPr>
          <w:b w:val="0"/>
          <w:sz w:val="18"/>
          <w:lang w:val="en-GB"/>
        </w:rPr>
        <w:t xml:space="preserve"> and </w:t>
      </w:r>
      <w:r w:rsidR="008B30BB" w:rsidRPr="008B30BB">
        <w:rPr>
          <w:b w:val="0"/>
          <w:sz w:val="18"/>
          <w:lang w:val="en-GB"/>
        </w:rPr>
        <w:t>responsible of the generation of 2400 tons of waste produced per year only in Italy</w:t>
      </w:r>
      <w:r w:rsidRPr="00E4320C">
        <w:rPr>
          <w:b w:val="0"/>
          <w:sz w:val="18"/>
          <w:lang w:val="en-GB"/>
        </w:rPr>
        <w:t xml:space="preserve">, </w:t>
      </w:r>
      <w:r w:rsidR="008B30BB">
        <w:rPr>
          <w:b w:val="0"/>
          <w:sz w:val="18"/>
          <w:lang w:val="en-GB"/>
        </w:rPr>
        <w:t>was</w:t>
      </w:r>
      <w:r w:rsidRPr="00E4320C">
        <w:rPr>
          <w:b w:val="0"/>
          <w:sz w:val="18"/>
          <w:lang w:val="en-GB"/>
        </w:rPr>
        <w:t xml:space="preserve"> subjected to a py</w:t>
      </w:r>
      <w:r w:rsidR="008B30BB">
        <w:rPr>
          <w:b w:val="0"/>
          <w:sz w:val="18"/>
          <w:lang w:val="en-GB"/>
        </w:rPr>
        <w:t xml:space="preserve">rolysis procedure at </w:t>
      </w:r>
      <w:r w:rsidR="00A77A2E">
        <w:rPr>
          <w:b w:val="0"/>
          <w:sz w:val="18"/>
          <w:lang w:val="en-GB"/>
        </w:rPr>
        <w:t xml:space="preserve">900°C, </w:t>
      </w:r>
      <w:r w:rsidRPr="00E4320C">
        <w:rPr>
          <w:b w:val="0"/>
          <w:sz w:val="18"/>
          <w:lang w:val="en-GB"/>
        </w:rPr>
        <w:t>yield</w:t>
      </w:r>
      <w:r w:rsidR="00A77A2E">
        <w:rPr>
          <w:b w:val="0"/>
          <w:sz w:val="18"/>
          <w:lang w:val="en-GB"/>
        </w:rPr>
        <w:t>ing</w:t>
      </w:r>
      <w:r w:rsidRPr="00E4320C">
        <w:rPr>
          <w:b w:val="0"/>
          <w:sz w:val="18"/>
          <w:lang w:val="en-GB"/>
        </w:rPr>
        <w:t xml:space="preserve"> a conductive biochar</w:t>
      </w:r>
      <w:r w:rsidR="00564429">
        <w:rPr>
          <w:b w:val="0"/>
          <w:sz w:val="18"/>
          <w:lang w:val="en-GB"/>
        </w:rPr>
        <w:t xml:space="preserve"> </w:t>
      </w:r>
      <w:r w:rsidR="00564429">
        <w:rPr>
          <w:b w:val="0"/>
        </w:rPr>
        <w:fldChar w:fldCharType="begin" w:fldLock="1"/>
      </w:r>
      <w:r w:rsidR="00177554">
        <w:rPr>
          <w:b w:val="0"/>
          <w:sz w:val="18"/>
          <w:lang w:val="en-GB"/>
        </w:rPr>
        <w:instrText>ADDIN CSL_CITATION {"citationItems":[{"id":"ITEM-1","itemData":{"DOI":"10.1016/j.bcab.2021.102145","ISSN":"18788181","abstract":"If waste biomass from food processing can be harnessed to create new bioproducts, it will not pollute the environment by its disposal. Hydrothermal carbonization (HTC) has been found to be effective on some types of biomass to produce a solid fuel product and a sugar-rich liquid product. This research investigated the effect of HTC at various temperatures on bioproducts from coffee silverskins, the low-density waste from roasting coffee beans. HTC was performed on coffee silverskins at four different temperatures 180 °C, 200 °C, 230 °C, and 260 °C. Fiber analysis, heats of combustion, and Fourier transform infrared spectroscopy were performed on the untreated and HTC pretreated solid biomass. On the HTC liquid products, pH was found and then sugar monomer concentration determined using high performance liquid chromatography. HTC processing of coffee silverskins increased the energy density of the solid product, with higher temperatures increasing energy density more. The pH of the liquid product was near 4.5 for all experiments. The concentrations of glucose, galactose, and arabinose in the liquid HTC product decreased with higher HTC temperatures. Thus, HTC can convert coffee silverskins into a higher fuel value solid product and a liquid rich in monomeric sugars. Processing temperature affects the solid bioproduct's energy densification and the liquid bioproduct's sugar content.","author":[{"dropping-particle":"","family":"Kumar","given":"Narendra","non-dropping-particle":"","parse-names":false,"suffix":""},{"dropping-particle":"","family":"Weldon","given":"Raymond","non-dropping-particle":"","parse-names":false,"suffix":""},{"dropping-particle":"","family":"Lynam","given":"Joan G.","non-dropping-particle":"","parse-names":false,"suffix":""}],"container-title":"Biocatalysis and Agricultural Biotechnology","id":"ITEM-1","issue":"July","issued":{"date-parts":[["2021"]]},"page":"102145","publisher":"Elsevier Ltd","title":"Hydrothermal carbonization of coffee silverskins","type":"article-journal","volume":"36"},"uris":["http://www.mendeley.com/documents/?uuid=489f6c05-3340-4c24-954c-de3fef9f42f3"]}],"mendeley":{"formattedCitation":"(Kumar et al., 2021)","plainTextFormattedCitation":"(Kumar et al., 2021)","previouslyFormattedCitation":"(Kumar et al., 2021)"},"properties":{"noteIndex":0},"schema":"https://github.com/citation-style-language/schema/raw/master/csl-citation.json"}</w:instrText>
      </w:r>
      <w:r w:rsidR="00564429">
        <w:rPr>
          <w:b w:val="0"/>
        </w:rPr>
        <w:fldChar w:fldCharType="separate"/>
      </w:r>
      <w:r w:rsidR="00177554" w:rsidRPr="00177554">
        <w:rPr>
          <w:b w:val="0"/>
          <w:noProof/>
          <w:sz w:val="18"/>
          <w:lang w:val="en-GB"/>
        </w:rPr>
        <w:t>(Kumar et al., 2021)</w:t>
      </w:r>
      <w:r w:rsidR="00564429">
        <w:rPr>
          <w:b w:val="0"/>
        </w:rPr>
        <w:fldChar w:fldCharType="end"/>
      </w:r>
      <w:r w:rsidRPr="00E4320C">
        <w:rPr>
          <w:b w:val="0"/>
          <w:sz w:val="18"/>
          <w:lang w:val="en-GB"/>
        </w:rPr>
        <w:t>.</w:t>
      </w:r>
      <w:r w:rsidR="009B4654">
        <w:rPr>
          <w:b w:val="0"/>
          <w:sz w:val="18"/>
          <w:lang w:val="en-GB"/>
        </w:rPr>
        <w:t xml:space="preserve"> </w:t>
      </w:r>
      <w:r w:rsidRPr="00E4320C">
        <w:rPr>
          <w:b w:val="0"/>
          <w:sz w:val="18"/>
          <w:lang w:val="en-GB"/>
        </w:rPr>
        <w:t xml:space="preserve">Biochar-based inks </w:t>
      </w:r>
      <w:r w:rsidR="001470F3">
        <w:rPr>
          <w:b w:val="0"/>
          <w:sz w:val="18"/>
          <w:lang w:val="en-GB"/>
        </w:rPr>
        <w:t xml:space="preserve">were then </w:t>
      </w:r>
      <w:r w:rsidRPr="00E4320C">
        <w:rPr>
          <w:b w:val="0"/>
          <w:sz w:val="18"/>
          <w:lang w:val="en-GB"/>
        </w:rPr>
        <w:t xml:space="preserve">formulated and utilized </w:t>
      </w:r>
      <w:r w:rsidR="001470F3">
        <w:rPr>
          <w:b w:val="0"/>
          <w:sz w:val="18"/>
          <w:lang w:val="en-GB"/>
        </w:rPr>
        <w:t>to fabricate</w:t>
      </w:r>
      <w:r w:rsidRPr="00E4320C">
        <w:rPr>
          <w:b w:val="0"/>
          <w:sz w:val="18"/>
          <w:lang w:val="en-GB"/>
        </w:rPr>
        <w:t xml:space="preserve"> microporous layers on carbon cloth</w:t>
      </w:r>
      <w:r w:rsidR="006857E8">
        <w:rPr>
          <w:b w:val="0"/>
          <w:sz w:val="18"/>
          <w:lang w:val="en-GB"/>
        </w:rPr>
        <w:t>,</w:t>
      </w:r>
      <w:r w:rsidRPr="00E4320C">
        <w:rPr>
          <w:b w:val="0"/>
          <w:sz w:val="18"/>
          <w:lang w:val="en-GB"/>
        </w:rPr>
        <w:t xml:space="preserve"> subsequently </w:t>
      </w:r>
      <w:r w:rsidR="006857E8">
        <w:rPr>
          <w:b w:val="0"/>
          <w:sz w:val="18"/>
          <w:lang w:val="en-GB"/>
        </w:rPr>
        <w:t>employed</w:t>
      </w:r>
      <w:r w:rsidRPr="00E4320C">
        <w:rPr>
          <w:b w:val="0"/>
          <w:sz w:val="18"/>
          <w:lang w:val="en-GB"/>
        </w:rPr>
        <w:t xml:space="preserve"> as the</w:t>
      </w:r>
      <w:r w:rsidR="003B54DB">
        <w:rPr>
          <w:b w:val="0"/>
          <w:sz w:val="18"/>
          <w:lang w:val="en-GB"/>
        </w:rPr>
        <w:t xml:space="preserve"> cathodic materials within MFCs, operated in the presence of </w:t>
      </w:r>
      <w:r w:rsidR="001E0409">
        <w:rPr>
          <w:b w:val="0"/>
          <w:sz w:val="18"/>
          <w:lang w:val="en-GB"/>
        </w:rPr>
        <w:t xml:space="preserve">simulated </w:t>
      </w:r>
      <w:r w:rsidR="003B54DB">
        <w:rPr>
          <w:b w:val="0"/>
          <w:sz w:val="18"/>
          <w:lang w:val="en-GB"/>
        </w:rPr>
        <w:t>brewery wastewater.</w:t>
      </w:r>
      <w:r w:rsidRPr="00E4320C">
        <w:rPr>
          <w:b w:val="0"/>
          <w:sz w:val="18"/>
          <w:lang w:val="en-GB"/>
        </w:rPr>
        <w:t xml:space="preserve"> Simultaneously, </w:t>
      </w:r>
      <w:r w:rsidR="002405A5">
        <w:rPr>
          <w:b w:val="0"/>
          <w:sz w:val="18"/>
          <w:lang w:val="en-GB"/>
        </w:rPr>
        <w:t>to broad</w:t>
      </w:r>
      <w:r w:rsidR="009B4654">
        <w:rPr>
          <w:b w:val="0"/>
          <w:sz w:val="18"/>
          <w:lang w:val="en-GB"/>
        </w:rPr>
        <w:t>e</w:t>
      </w:r>
      <w:r w:rsidR="005263A7">
        <w:rPr>
          <w:b w:val="0"/>
          <w:sz w:val="18"/>
          <w:lang w:val="en-GB"/>
        </w:rPr>
        <w:t>n</w:t>
      </w:r>
      <w:r w:rsidR="002405A5">
        <w:rPr>
          <w:b w:val="0"/>
          <w:sz w:val="18"/>
          <w:lang w:val="en-GB"/>
        </w:rPr>
        <w:t xml:space="preserve"> the spectrum of pollutants </w:t>
      </w:r>
      <w:r w:rsidR="009B4654">
        <w:rPr>
          <w:b w:val="0"/>
          <w:sz w:val="18"/>
          <w:lang w:val="en-GB"/>
        </w:rPr>
        <w:t>that can be</w:t>
      </w:r>
      <w:r w:rsidR="002405A5">
        <w:rPr>
          <w:b w:val="0"/>
          <w:sz w:val="18"/>
          <w:lang w:val="en-GB"/>
        </w:rPr>
        <w:t xml:space="preserve"> removed </w:t>
      </w:r>
      <w:r w:rsidR="009B4654">
        <w:rPr>
          <w:b w:val="0"/>
          <w:sz w:val="18"/>
          <w:lang w:val="en-GB"/>
        </w:rPr>
        <w:t xml:space="preserve">efficiently </w:t>
      </w:r>
      <w:r w:rsidR="002405A5">
        <w:rPr>
          <w:b w:val="0"/>
          <w:sz w:val="18"/>
          <w:lang w:val="en-GB"/>
        </w:rPr>
        <w:t xml:space="preserve">by </w:t>
      </w:r>
      <w:r w:rsidR="009B4654">
        <w:rPr>
          <w:b w:val="0"/>
          <w:sz w:val="18"/>
          <w:lang w:val="en-GB"/>
        </w:rPr>
        <w:t xml:space="preserve">a </w:t>
      </w:r>
      <w:r w:rsidR="002405A5">
        <w:rPr>
          <w:b w:val="0"/>
          <w:sz w:val="18"/>
          <w:lang w:val="en-GB"/>
        </w:rPr>
        <w:t xml:space="preserve">wastewater, </w:t>
      </w:r>
      <w:r w:rsidRPr="00E4320C">
        <w:rPr>
          <w:b w:val="0"/>
          <w:sz w:val="18"/>
          <w:lang w:val="en-GB"/>
        </w:rPr>
        <w:t>the development of hydroxyapatite/biochar composites</w:t>
      </w:r>
      <w:r w:rsidR="001E0409">
        <w:rPr>
          <w:b w:val="0"/>
          <w:sz w:val="18"/>
          <w:lang w:val="en-GB"/>
        </w:rPr>
        <w:t xml:space="preserve"> was carried out</w:t>
      </w:r>
      <w:r w:rsidR="001E0409" w:rsidRPr="001E0409">
        <w:rPr>
          <w:b w:val="0"/>
          <w:sz w:val="18"/>
          <w:lang w:val="en-GB"/>
        </w:rPr>
        <w:t xml:space="preserve"> with the goal of combining the electrocatalytic properties of biochar with the remediation activity of hydroxyapatite towards </w:t>
      </w:r>
      <w:r w:rsidR="001E0409" w:rsidRPr="00656AB0">
        <w:rPr>
          <w:b w:val="0"/>
          <w:sz w:val="18"/>
          <w:lang w:val="en-GB"/>
        </w:rPr>
        <w:t>inorganic pollutants.</w:t>
      </w:r>
      <w:r w:rsidRPr="00656AB0">
        <w:rPr>
          <w:b w:val="0"/>
          <w:sz w:val="18"/>
          <w:lang w:val="en-GB"/>
        </w:rPr>
        <w:t xml:space="preserve"> </w:t>
      </w:r>
      <w:r w:rsidR="005A59CB" w:rsidRPr="00656AB0">
        <w:rPr>
          <w:b w:val="0"/>
          <w:sz w:val="18"/>
        </w:rPr>
        <w:t>Hydroxyapatite, a biocompatible material</w:t>
      </w:r>
      <w:r w:rsidR="002405A5">
        <w:rPr>
          <w:b w:val="0"/>
          <w:sz w:val="18"/>
        </w:rPr>
        <w:t xml:space="preserve"> of general formula </w:t>
      </w:r>
      <w:r w:rsidR="002405A5" w:rsidRPr="002405A5">
        <w:rPr>
          <w:b w:val="0"/>
          <w:sz w:val="18"/>
        </w:rPr>
        <w:t>Ca</w:t>
      </w:r>
      <w:r w:rsidR="002405A5" w:rsidRPr="002405A5">
        <w:rPr>
          <w:rFonts w:ascii="Cambria Math" w:hAnsi="Cambria Math" w:cs="Cambria Math"/>
          <w:b w:val="0"/>
          <w:sz w:val="18"/>
        </w:rPr>
        <w:t>₁₀</w:t>
      </w:r>
      <w:r w:rsidR="002405A5" w:rsidRPr="002405A5">
        <w:rPr>
          <w:b w:val="0"/>
          <w:sz w:val="18"/>
        </w:rPr>
        <w:t>(PO</w:t>
      </w:r>
      <w:r w:rsidR="002405A5" w:rsidRPr="002405A5">
        <w:rPr>
          <w:rFonts w:ascii="Cambria Math" w:hAnsi="Cambria Math" w:cs="Cambria Math"/>
          <w:b w:val="0"/>
          <w:sz w:val="18"/>
        </w:rPr>
        <w:t>₄</w:t>
      </w:r>
      <w:r w:rsidR="002405A5" w:rsidRPr="002405A5">
        <w:rPr>
          <w:b w:val="0"/>
          <w:sz w:val="18"/>
        </w:rPr>
        <w:t>)</w:t>
      </w:r>
      <w:r w:rsidR="002405A5" w:rsidRPr="002405A5">
        <w:rPr>
          <w:rFonts w:ascii="Cambria Math" w:hAnsi="Cambria Math" w:cs="Cambria Math"/>
          <w:b w:val="0"/>
          <w:sz w:val="18"/>
        </w:rPr>
        <w:t>₆</w:t>
      </w:r>
      <w:r w:rsidR="002405A5" w:rsidRPr="002405A5">
        <w:rPr>
          <w:b w:val="0"/>
          <w:sz w:val="18"/>
        </w:rPr>
        <w:t>(OH)</w:t>
      </w:r>
      <w:r w:rsidR="002405A5" w:rsidRPr="002405A5">
        <w:rPr>
          <w:rFonts w:ascii="Cambria Math" w:hAnsi="Cambria Math" w:cs="Cambria Math"/>
          <w:b w:val="0"/>
          <w:sz w:val="18"/>
        </w:rPr>
        <w:t>₂</w:t>
      </w:r>
      <w:r w:rsidR="005A59CB" w:rsidRPr="00656AB0">
        <w:rPr>
          <w:b w:val="0"/>
          <w:sz w:val="18"/>
        </w:rPr>
        <w:t>, can be sourced from waste materials (animal bones, eggshells, seafood shells, agricultural residues, ashes) or synthesized from readily available, low-cost feedstock, with an estimated production cost of approximately $1.25 per kilogram</w:t>
      </w:r>
      <w:r w:rsidR="00A77A2E">
        <w:rPr>
          <w:b w:val="0"/>
          <w:sz w:val="18"/>
        </w:rPr>
        <w:t xml:space="preserve"> </w:t>
      </w:r>
      <w:r w:rsidR="00A77A2E">
        <w:rPr>
          <w:b w:val="0"/>
        </w:rPr>
        <w:fldChar w:fldCharType="begin" w:fldLock="1"/>
      </w:r>
      <w:r w:rsidR="00A77A2E">
        <w:rPr>
          <w:b w:val="0"/>
          <w:sz w:val="18"/>
        </w:rPr>
        <w:instrText>ADDIN CSL_CITATION {"citationItems":[{"id":"ITEM-1","itemData":{"DOI":"10.1016/j.jhazmat.2019.121139","ISSN":"18733336","PMID":"31520935","abstract":"Hydroxyapatite (Ca10(PO4)6(OH)2), a calcium phosphate biomaterial, is a very promising candidate for the treatment of air, water and soil pollution. Indeed, hydroxyapatite (Hap) can be extremely useful in the field of environmental management, due in one part to its particular structure and attractive properties, such as its great adsorption capacities, its acid-base adjustability, its ion-exchange capability and its good thermal stability. Moreover, Hap is able to constitute a valuable resource recovery route. The first part of this review will be dedicated towards presenting Hap's structure and defining properties that result in its viability as an environmental remediation material. The second will focus on its use as adsorbent for wastewater and soil treatment, while indicating the mechanisms involved in this remediation process. Finally, the last part will impart all findings on Hap's applications in the field of catalysis, whether it be as catalyst, as photocatalyst, or as active phase support. Hence, all of the above will have served in showcasing the benefits gained by employing hydroxyapatite in air, water and soil clean-up.","author":[{"dropping-particle":"","family":"Ibrahim","given":"Maya","non-dropping-particle":"","parse-names":false,"suffix":""},{"dropping-particle":"","family":"Labaki","given":"Madona","non-dropping-particle":"","parse-names":false,"suffix":""},{"dropping-particle":"","family":"Giraudon","given":"Jean Marc","non-dropping-particle":"","parse-names":false,"suffix":""},{"dropping-particle":"","family":"Lamonier","given":"Jean François","non-dropping-particle":"","parse-names":false,"suffix":""}],"container-title":"Journal of Hazardous Materials","id":"ITEM-1","issue":"September 2019","issued":{"date-parts":[["2020"]]},"page":"121139","publisher":"Elsevier","title":"Hydroxyapatite, a multifunctional material for air, water and soil pollution control: A review","type":"article-journal","volume":"383"},"uris":["http://www.mendeley.com/documents/?uuid=0aa4e758-f1c3-4f3b-8796-3d1f7775cc82"]},{"id":"ITEM-2","itemData":{"DOI":"10.1016/j.jhazmat.2021.126656","ISSN":"18733336","PMID":"34329080","abstract":"In this paper, we report on the rational design, synthesis, characterization, and application of eco-friendly hydroxyapatite/carbon (HAP/C) composites as effective sorbents for the simultaneous remediation of organic-inorganic pollution in wastewaters. Carbon content in composites ranged from ca. 4 to ca. 20 wt%. Structural and morphological features of the composites were studied by N2 adsorption/desorption analyses, electron microscopy (TEM and HAADF-STEM/EDX) and X-ray powder diffraction (XRPD). These features were correlated with the composition and the exposure of surface functional groups. Surface acid-base groups were assessed by liquid-solid acid/base titrations and results depended on the composition ratio of the two components. Batch adsorption tests, performed with various initial concentrations of pollutant species and dosages, proved that composites merged the sorption properties of the two moieties, being able to simultaneously adsorb organic (methylene blue) and inorganic (Cu(II) and Ni(II)) pollutants. On the optimal carbonaceous scaffold content (ca. 8 wt% carbon), kinetic tests revealed that this composite could almost completely remove high concentrations of co-present pollutants, namely, Cu(II), Ni(II), (300 ppm) and methylene blue (250 ppm) in ca. 1 h, with sorbent dosage of 10 g L−1. In addition, leaching tests proved the permanent retention of the hazardous species on the composites.","author":[{"dropping-particle":"","family":"Ferri","given":"Michele","non-dropping-particle":"","parse-names":false,"suffix":""},{"dropping-particle":"","family":"Campisi","given":"Sebastiano","non-dropping-particle":"","parse-names":false,"suffix":""},{"dropping-particle":"","family":"Polito","given":"Laura","non-dropping-particle":"","parse-names":false,"suffix":""},{"dropping-particle":"","family":"Shen","given":"Jianyi","non-dropping-particle":"","parse-names":false,"suffix":""},{"dropping-particle":"","family":"Gervasini","given":"Antonella","non-dropping-particle":"","parse-names":false,"suffix":""}],"container-title":"Journal of Hazardous Materials","id":"ITEM-2","issue":"June","issued":{"date-parts":[["2021"]]},"page":"126656","publisher":"Elsevier B.V.","title":"Tuning the sorption ability of hydroxyapatite/carbon composites for the simultaneous remediation of wastewaters containing organic-inorganic pollutants","type":"article-journal","volume":"420"},"uris":["http://www.mendeley.com/documents/?uuid=d85442fe-4252-4e76-8e3a-bc11f17c53b3"]}],"mendeley":{"formattedCitation":"(Ferri et al., 2021; Ibrahim et al., 2020)","plainTextFormattedCitation":"(Ferri et al., 2021; Ibrahim et al., 2020)","previouslyFormattedCitation":"(Ferri et al., 2021; Ibrahim et al., 2020)"},"properties":{"noteIndex":0},"schema":"https://github.com/citation-style-language/schema/raw/master/csl-citation.json"}</w:instrText>
      </w:r>
      <w:r w:rsidR="00A77A2E">
        <w:rPr>
          <w:b w:val="0"/>
        </w:rPr>
        <w:fldChar w:fldCharType="separate"/>
      </w:r>
      <w:r w:rsidR="00A77A2E" w:rsidRPr="00A77A2E">
        <w:rPr>
          <w:b w:val="0"/>
          <w:noProof/>
          <w:sz w:val="18"/>
        </w:rPr>
        <w:t>(Ferri et al., 2021; Ibrahim et al., 2020)</w:t>
      </w:r>
      <w:r w:rsidR="00A77A2E">
        <w:rPr>
          <w:b w:val="0"/>
        </w:rPr>
        <w:fldChar w:fldCharType="end"/>
      </w:r>
      <w:r w:rsidR="005A59CB" w:rsidRPr="00656AB0">
        <w:rPr>
          <w:b w:val="0"/>
          <w:sz w:val="18"/>
        </w:rPr>
        <w:t>.</w:t>
      </w:r>
      <w:r w:rsidR="00795A99">
        <w:rPr>
          <w:b w:val="0"/>
          <w:sz w:val="18"/>
        </w:rPr>
        <w:t xml:space="preserve"> I</w:t>
      </w:r>
      <w:r w:rsidR="005A59CB" w:rsidRPr="00656AB0">
        <w:rPr>
          <w:b w:val="0"/>
          <w:sz w:val="18"/>
        </w:rPr>
        <w:t xml:space="preserve">t has been compellingly demonstrated that the combination of hydroxyapatite </w:t>
      </w:r>
      <w:r w:rsidR="009C0101">
        <w:rPr>
          <w:b w:val="0"/>
          <w:sz w:val="18"/>
        </w:rPr>
        <w:t>with</w:t>
      </w:r>
      <w:r w:rsidR="009C0101" w:rsidRPr="00656AB0">
        <w:rPr>
          <w:b w:val="0"/>
          <w:sz w:val="18"/>
        </w:rPr>
        <w:t xml:space="preserve"> </w:t>
      </w:r>
      <w:r w:rsidR="00100288">
        <w:rPr>
          <w:b w:val="0"/>
          <w:sz w:val="18"/>
        </w:rPr>
        <w:t xml:space="preserve">few amount of </w:t>
      </w:r>
      <w:r w:rsidR="009C0101">
        <w:rPr>
          <w:b w:val="0"/>
          <w:sz w:val="18"/>
        </w:rPr>
        <w:t xml:space="preserve">different </w:t>
      </w:r>
      <w:r w:rsidR="00795A99">
        <w:rPr>
          <w:b w:val="0"/>
          <w:sz w:val="18"/>
        </w:rPr>
        <w:t>carbon-based materials</w:t>
      </w:r>
      <w:r w:rsidR="009C0101">
        <w:rPr>
          <w:b w:val="0"/>
          <w:sz w:val="18"/>
        </w:rPr>
        <w:t xml:space="preserve"> is able to provide electrically conductive composites that can be used to simultaneously remove and detect inorganic pollutants</w:t>
      </w:r>
      <w:r w:rsidR="00100288">
        <w:rPr>
          <w:b w:val="0"/>
          <w:sz w:val="18"/>
        </w:rPr>
        <w:t>,</w:t>
      </w:r>
      <w:r w:rsidR="009C0101">
        <w:rPr>
          <w:b w:val="0"/>
          <w:sz w:val="18"/>
        </w:rPr>
        <w:t xml:space="preserve"> even </w:t>
      </w:r>
      <w:r w:rsidR="00100288">
        <w:rPr>
          <w:b w:val="0"/>
          <w:sz w:val="18"/>
        </w:rPr>
        <w:t xml:space="preserve">when crafted </w:t>
      </w:r>
      <w:r w:rsidR="009C0101">
        <w:rPr>
          <w:b w:val="0"/>
          <w:sz w:val="18"/>
        </w:rPr>
        <w:t>as self-standing electrodes</w:t>
      </w:r>
      <w:r w:rsidR="005263A7">
        <w:rPr>
          <w:b w:val="0"/>
          <w:sz w:val="18"/>
        </w:rPr>
        <w:t xml:space="preserve"> </w:t>
      </w:r>
      <w:r w:rsidR="005263A7">
        <w:rPr>
          <w:b w:val="0"/>
          <w:sz w:val="18"/>
        </w:rPr>
        <w:fldChar w:fldCharType="begin" w:fldLock="1"/>
      </w:r>
      <w:r w:rsidR="00047052">
        <w:rPr>
          <w:b w:val="0"/>
          <w:sz w:val="18"/>
        </w:rPr>
        <w:instrText>ADDIN CSL_CITATION {"citationItems":[{"id":"ITEM-1","itemData":{"DOI":"10.1002/celc.202201017","ISSN":"21960216","abstract":"The great performance of nanostructured hydroxyapatite (Hap) in adsorbing heavy metal cations with the good electrical conductivity of high-surface carbon materials was here combined for the crafting of high-content hydroxyapatite electrodes (Hap 84–96 wt.%) endowed with the synergistic capability of detection and adsorption of heavy metal cations by water solutions. To improve the sustainability of the sensor, a mesoporous carbon (derivable by bio-waste) was selected as scaffold for depositing Hap by simply co-precipitation. The composite with 92 wt.% of Hap, which exhibited ca. 1 : 1 ratio between the exposed area of Hap and carbon (by Brunauer-Emmett-Teller method), invariably showed an average stripping oxidation peak intensity of ca. 250 μA cm−2 and 150 μA cm−2 for a 50 μM Pb2+ and Cu2+ solution, respectively. Control experiments showed that the above sensor outperformed the sensibility of two low-content Hap electrodes (4 and 8 wt.%), representative of the best performing Hap-carbon composites available in literature.","author":[{"dropping-particle":"","family":"Magni","given":"Mirko","non-dropping-particle":"","parse-names":false,"suffix":""},{"dropping-particle":"","family":"Sironi","given":"Davide","non-dropping-particle":"","parse-names":false,"suffix":""},{"dropping-particle":"","family":"Ferri","given":"Michele","non-dropping-particle":"","parse-names":false,"suffix":""},{"dropping-particle":"","family":"Trasatti","given":"Stefano","non-dropping-particle":"","parse-names":false,"suffix":""},{"dropping-particle":"","family":"Campisi","given":"Sebastiano","non-dropping-particle":"","parse-names":false,"suffix":""},{"dropping-particle":"","family":"Gervasini","given":"Antonella","non-dropping-particle":"","parse-names":false,"suffix":""},{"dropping-particle":"","family":"Papacchini","given":"Maddalena","non-dropping-particle":"","parse-names":false,"suffix":""},{"dropping-particle":"","family":"Cristiani","given":"Pierangela","non-dropping-particle":"","parse-names":false,"suffix":""}],"container-title":"ChemElectroChem","id":"ITEM-1","issue":"4","issued":{"date-parts":[["2023"]]},"page":"1-10","title":"High-Content Hydroxyapatite Carbon Composites for the Electrochemical Detection of Heavy Metal Cations in Water","type":"article-journal","volume":"10"},"uris":["http://www.mendeley.com/documents/?uuid=77361ae0-636b-4296-8438-ddc7bea7b0db"]}],"mendeley":{"formattedCitation":"(Magni et al., 2023)","plainTextFormattedCitation":"(Magni et al., 2023)","previouslyFormattedCitation":"(Magni et al., 2023)"},"properties":{"noteIndex":0},"schema":"https://github.com/citation-style-language/schema/raw/master/csl-citation.json"}</w:instrText>
      </w:r>
      <w:r w:rsidR="005263A7">
        <w:rPr>
          <w:b w:val="0"/>
          <w:sz w:val="18"/>
        </w:rPr>
        <w:fldChar w:fldCharType="separate"/>
      </w:r>
      <w:r w:rsidR="005263A7" w:rsidRPr="005263A7">
        <w:rPr>
          <w:b w:val="0"/>
          <w:noProof/>
          <w:sz w:val="18"/>
        </w:rPr>
        <w:t>(Magni et al., 2023)</w:t>
      </w:r>
      <w:r w:rsidR="005263A7">
        <w:rPr>
          <w:b w:val="0"/>
          <w:sz w:val="18"/>
        </w:rPr>
        <w:fldChar w:fldCharType="end"/>
      </w:r>
      <w:r w:rsidR="00795A99">
        <w:rPr>
          <w:b w:val="0"/>
          <w:sz w:val="18"/>
        </w:rPr>
        <w:t xml:space="preserve">. Moreover, in combination with </w:t>
      </w:r>
      <w:r w:rsidR="00795A99" w:rsidRPr="00656AB0">
        <w:rPr>
          <w:b w:val="0"/>
          <w:sz w:val="18"/>
        </w:rPr>
        <w:t>biochar</w:t>
      </w:r>
      <w:r w:rsidR="00795A99">
        <w:rPr>
          <w:b w:val="0"/>
          <w:sz w:val="18"/>
        </w:rPr>
        <w:t xml:space="preserve">, </w:t>
      </w:r>
      <w:r w:rsidR="00795A99" w:rsidRPr="00656AB0">
        <w:rPr>
          <w:b w:val="0"/>
          <w:sz w:val="18"/>
        </w:rPr>
        <w:t xml:space="preserve">hydroxyapatite </w:t>
      </w:r>
      <w:r w:rsidR="005A59CB" w:rsidRPr="00656AB0">
        <w:rPr>
          <w:b w:val="0"/>
          <w:sz w:val="18"/>
        </w:rPr>
        <w:t>yields versatile composites serving for an array of applications, spanning from water remediation (targeting both organic and inorganic pollutants) to cutting-edge sensor technology, and from electrocatalytic CO</w:t>
      </w:r>
      <w:r w:rsidR="005A59CB" w:rsidRPr="00656AB0">
        <w:rPr>
          <w:b w:val="0"/>
          <w:sz w:val="18"/>
          <w:vertAlign w:val="subscript"/>
        </w:rPr>
        <w:t>2</w:t>
      </w:r>
      <w:r w:rsidR="005A59CB" w:rsidRPr="00656AB0">
        <w:rPr>
          <w:b w:val="0"/>
          <w:sz w:val="18"/>
        </w:rPr>
        <w:t xml:space="preserve"> reduction reactions to power-to-gas systems</w:t>
      </w:r>
      <w:r w:rsidR="00A77A2E">
        <w:rPr>
          <w:b w:val="0"/>
          <w:sz w:val="18"/>
        </w:rPr>
        <w:t xml:space="preserve"> </w:t>
      </w:r>
      <w:r w:rsidR="00A77A2E">
        <w:rPr>
          <w:b w:val="0"/>
          <w:sz w:val="18"/>
        </w:rPr>
        <w:fldChar w:fldCharType="begin" w:fldLock="1"/>
      </w:r>
      <w:r w:rsidR="001B2199">
        <w:rPr>
          <w:b w:val="0"/>
          <w:sz w:val="18"/>
        </w:rPr>
        <w:instrText>ADDIN CSL_CITATION {"citationItems":[{"id":"ITEM-1","itemData":{"DOI":"10.1021/acsenergylett.2c01144","ISSN":"23808195","abstract":"Among all CO2 reduction reaction (CO2RR) active metals, copper is the only one that exhibits optimal *CO binding energy for multiple electron transfers. Despite such a unique feature, the use of Cu-based CO2RR catalysts at the industrial scale is hampered by large overpotentials and poor selectivity. In this realm, the introduction of acidic/basic functionalities at the catalyst surface may help to both overcome scaling relations (i.e., lower CO2RR overpotential) and tune the selectivity of Cu-based catalysts. Herein, we demonstrate that an amphoteric calcium phosphate additive (hydroxyapatite, HAP, Ca10(PO4)6(OH)2) alters the product distribution from Cu-based catalysts by steering CO2RR selectivity toward liquid oxygenated products, promoting formate production over CO.","author":[{"dropping-particle":"","family":"Ferri","given":"Michele","non-dropping-particle":"","parse-names":false,"suffix":""},{"dropping-particle":"","family":"Delafontaine","given":"Laurent","non-dropping-particle":"","parse-names":false,"suffix":""},{"dropping-particle":"","family":"Guo","given":"Shengyuan","non-dropping-particle":"","parse-names":false,"suffix":""},{"dropping-particle":"","family":"Asset","given":"Tristan","non-dropping-particle":"","parse-names":false,"suffix":""},{"dropping-particle":"","family":"Cristiani","given":"Pierangela","non-dropping-particle":"","parse-names":false,"suffix":""},{"dropping-particle":"","family":"Campisi","given":"Sebastiano","non-dropping-particle":"","parse-names":false,"suffix":""},{"dropping-particle":"","family":"Gervasini","given":"Antonella","non-dropping-particle":"","parse-names":false,"suffix":""},{"dropping-particle":"","family":"Atanassov","given":"Plamen","non-dropping-particle":"","parse-names":false,"suffix":""}],"container-title":"ACS Energy Letters","id":"ITEM-1","issue":"7","issued":{"date-parts":[["2022"]]},"page":"2304-2310","title":"Steering Cu-Based CO2RR Electrocatalysts' Selectivity: Effect of Hydroxyapatite Acid/Base Moieties in Promoting Formate Production","type":"article-journal","volume":"7"},"uris":["http://www.mendeley.com/documents/?uuid=cdef3e72-3e9f-4750-bd7f-c31805fe374a"]},{"id":"ITEM-2","itemData":{"DOI":"10.1016/j.seta.2023.103274","ISSN":"22131388","abstract":"Electromethanogenesis is an innovative technology addressing the need of storing renewable energy from unprogrammable sources. It allows for the electrochemical production of methane from CO2-rich wastes on microbial cathodes, in a logic of power-to-gas (BEP2G). The challenge of cost-effective and sustainable biocathodes enhancing the microorganism performance and yield of electromethanogenesis is approached in this work. For the first time, porous carbonaceous cathodes were functionalized with Cu nanoparticles and hydroxyapatite (HAP) and successfully experimented for supporting microbial CO2 reduction reaction (CO2RR) to methane. Tests were performed in a double chamber system under CO2 flow at 45 °C. Next Generation Sequencing of 16S RNA indicated that the microbial pool on the cathodes was mostly enriched in Metanobacteriaceae (hydrogenotrophic Archaea) and different fermenting bacteria, depending on the cathode type. High methane production on cathodes made of Cu 20%, HAP 10%, and carbon balance (20Cu/10HAP) was achieved, with a maximum of 866 ± 199 mmol m−2 d−1 (projected cathode area, Coulombic efficiency of 64%), corresponding to values comparable to the maximum in literature, but in shorter timespans (8 vs. 30 days). The documented effect of pH stabilization in the cathodic chamber by HAP was one of the main parameters that concurred to the selectivity of CO2RR towards methane.","author":[{"dropping-particle":"","family":"Ghiara","given":"G.","non-dropping-particle":"","parse-names":false,"suffix":""},{"dropping-particle":"","family":"Campisi","given":"S.","non-dropping-particle":"","parse-names":false,"suffix":""},{"dropping-particle":"","family":"Goglio","given":"A.","non-dropping-particle":"","parse-names":false,"suffix":""},{"dropping-particle":"","family":"Formicola","given":"F.","non-dropping-particle":"","parse-names":false,"suffix":""},{"dropping-particle":"","family":"Balordi","given":"M.","non-dropping-particle":"","parse-names":false,"suffix":""},{"dropping-particle":"","family":"Gervasini","given":"A.","non-dropping-particle":"","parse-names":false,"suffix":""},{"dropping-particle":"","family":"Trasatti","given":"S. P.M.","non-dropping-particle":"","parse-names":false,"suffix":""},{"dropping-particle":"","family":"Adani","given":"F.","non-dropping-particle":"","parse-names":false,"suffix":""},{"dropping-particle":"","family":"Franzetti","given":"A.","non-dropping-particle":"","parse-names":false,"suffix":""},{"dropping-particle":"","family":"Cristiani","given":"P.","non-dropping-particle":"","parse-names":false,"suffix":""}],"container-title":"Sustainable Energy Technologies and Assessments","id":"ITEM-2","issue":"May 2022","issued":{"date-parts":[["2023"]]},"page":"103274","publisher":"Elsevier Ltd","title":"Biochar based cathode enriched with hydroxyapatite and Cu nanoparticles boosting electromethanogenesis","type":"article-journal","volume":"57"},"uris":["http://www.mendeley.com/documents/?uuid=da64df1a-0e89-49fe-beab-bb70453cbe70"]}],"mendeley":{"formattedCitation":"(Ferri et al., 2022; Ghiara et al., 2023)","plainTextFormattedCitation":"(Ferri et al., 2022; Ghiara et al., 2023)","previouslyFormattedCitation":"(Ferri et al., 2022; Ghiara et al., 2023)"},"properties":{"noteIndex":0},"schema":"https://github.com/citation-style-language/schema/raw/master/csl-citation.json"}</w:instrText>
      </w:r>
      <w:r w:rsidR="00A77A2E">
        <w:rPr>
          <w:b w:val="0"/>
          <w:sz w:val="18"/>
        </w:rPr>
        <w:fldChar w:fldCharType="separate"/>
      </w:r>
      <w:r w:rsidR="00A77A2E" w:rsidRPr="00A77A2E">
        <w:rPr>
          <w:b w:val="0"/>
          <w:noProof/>
          <w:sz w:val="18"/>
        </w:rPr>
        <w:t>(Ferri et al., 2022; Ghiara et al., 2023)</w:t>
      </w:r>
      <w:r w:rsidR="00A77A2E">
        <w:rPr>
          <w:b w:val="0"/>
          <w:sz w:val="18"/>
        </w:rPr>
        <w:fldChar w:fldCharType="end"/>
      </w:r>
      <w:r w:rsidR="005A59CB" w:rsidRPr="00656AB0">
        <w:rPr>
          <w:b w:val="0"/>
          <w:sz w:val="18"/>
        </w:rPr>
        <w:t>.</w:t>
      </w:r>
    </w:p>
    <w:p w14:paraId="64A1E133" w14:textId="03C8998C" w:rsidR="007931FA" w:rsidRPr="00B57B36" w:rsidRDefault="00A41732" w:rsidP="0090577E">
      <w:pPr>
        <w:pStyle w:val="CETHeading1"/>
        <w:numPr>
          <w:ilvl w:val="0"/>
          <w:numId w:val="0"/>
        </w:numPr>
        <w:spacing w:before="0"/>
        <w:jc w:val="both"/>
      </w:pPr>
      <w:r>
        <w:rPr>
          <w:b w:val="0"/>
          <w:sz w:val="18"/>
          <w:lang w:val="en-GB"/>
        </w:rPr>
        <w:t>In this work, w</w:t>
      </w:r>
      <w:r w:rsidR="00E4320C" w:rsidRPr="00E4320C">
        <w:rPr>
          <w:b w:val="0"/>
          <w:sz w:val="18"/>
          <w:lang w:val="en-GB"/>
        </w:rPr>
        <w:t>aste-derived biochar and the novel biochar/hydroxyapatite composite materials</w:t>
      </w:r>
      <w:r w:rsidR="00820ED9">
        <w:rPr>
          <w:b w:val="0"/>
          <w:sz w:val="18"/>
          <w:lang w:val="en-GB"/>
        </w:rPr>
        <w:t xml:space="preserve">, </w:t>
      </w:r>
      <w:r w:rsidR="00AE2E1E">
        <w:rPr>
          <w:b w:val="0"/>
          <w:sz w:val="18"/>
          <w:lang w:val="en-GB"/>
        </w:rPr>
        <w:t xml:space="preserve">the latter </w:t>
      </w:r>
      <w:r w:rsidR="00820ED9">
        <w:rPr>
          <w:b w:val="0"/>
          <w:sz w:val="18"/>
          <w:lang w:val="en-GB"/>
        </w:rPr>
        <w:t xml:space="preserve">obtained by </w:t>
      </w:r>
      <w:r w:rsidR="00820ED9" w:rsidRPr="00E4320C">
        <w:rPr>
          <w:b w:val="0"/>
          <w:sz w:val="18"/>
          <w:lang w:val="en-GB"/>
        </w:rPr>
        <w:t xml:space="preserve">the precipitation of hydroxyapatite within a dispersion of </w:t>
      </w:r>
      <w:r w:rsidR="003D7D68">
        <w:rPr>
          <w:b w:val="0"/>
          <w:sz w:val="18"/>
          <w:lang w:val="en-GB"/>
        </w:rPr>
        <w:t>silverskin-</w:t>
      </w:r>
      <w:r w:rsidR="00820ED9">
        <w:rPr>
          <w:b w:val="0"/>
          <w:sz w:val="18"/>
          <w:lang w:val="en-GB"/>
        </w:rPr>
        <w:t xml:space="preserve">derived </w:t>
      </w:r>
      <w:r w:rsidR="00820ED9" w:rsidRPr="00E4320C">
        <w:rPr>
          <w:b w:val="0"/>
          <w:sz w:val="18"/>
          <w:lang w:val="en-GB"/>
        </w:rPr>
        <w:t>biochar in water</w:t>
      </w:r>
      <w:r w:rsidR="00820ED9">
        <w:rPr>
          <w:b w:val="0"/>
          <w:sz w:val="18"/>
          <w:lang w:val="en-GB"/>
        </w:rPr>
        <w:t>,</w:t>
      </w:r>
      <w:r w:rsidR="001E0409">
        <w:rPr>
          <w:b w:val="0"/>
          <w:sz w:val="18"/>
          <w:lang w:val="en-GB"/>
        </w:rPr>
        <w:t xml:space="preserve"> were demonstrated to</w:t>
      </w:r>
      <w:r w:rsidR="00E4320C" w:rsidRPr="00E4320C">
        <w:rPr>
          <w:b w:val="0"/>
          <w:sz w:val="18"/>
          <w:lang w:val="en-GB"/>
        </w:rPr>
        <w:t xml:space="preserve"> serve as pioneering </w:t>
      </w:r>
      <w:r w:rsidR="00820ED9">
        <w:rPr>
          <w:b w:val="0"/>
          <w:sz w:val="18"/>
          <w:lang w:val="en-GB"/>
        </w:rPr>
        <w:t xml:space="preserve">electrode </w:t>
      </w:r>
      <w:r w:rsidR="001E0409">
        <w:rPr>
          <w:b w:val="0"/>
          <w:sz w:val="18"/>
          <w:lang w:val="en-GB"/>
        </w:rPr>
        <w:t>materials</w:t>
      </w:r>
      <w:r w:rsidR="00E4320C" w:rsidRPr="00E4320C">
        <w:rPr>
          <w:b w:val="0"/>
          <w:sz w:val="18"/>
          <w:lang w:val="en-GB"/>
        </w:rPr>
        <w:t xml:space="preserve"> in the design and architecture of next-generation bioelectrochemical systems</w:t>
      </w:r>
      <w:r w:rsidR="00820ED9">
        <w:rPr>
          <w:b w:val="0"/>
          <w:sz w:val="18"/>
          <w:lang w:val="en-GB"/>
        </w:rPr>
        <w:t xml:space="preserve">. </w:t>
      </w:r>
      <w:r w:rsidR="00AE2E1E">
        <w:rPr>
          <w:b w:val="0"/>
          <w:sz w:val="18"/>
          <w:lang w:val="en-GB"/>
        </w:rPr>
        <w:t>Here t</w:t>
      </w:r>
      <w:r w:rsidR="00E4320C" w:rsidRPr="00E4320C">
        <w:rPr>
          <w:b w:val="0"/>
          <w:sz w:val="18"/>
          <w:lang w:val="en-GB"/>
        </w:rPr>
        <w:t xml:space="preserve">he primary focus extends beyond </w:t>
      </w:r>
      <w:r w:rsidR="00AE2E1E">
        <w:rPr>
          <w:b w:val="0"/>
          <w:sz w:val="18"/>
          <w:lang w:val="en-GB"/>
        </w:rPr>
        <w:t>micro</w:t>
      </w:r>
      <w:r w:rsidR="00E4320C" w:rsidRPr="00E4320C">
        <w:rPr>
          <w:b w:val="0"/>
          <w:sz w:val="18"/>
          <w:lang w:val="en-GB"/>
        </w:rPr>
        <w:t xml:space="preserve">current production, with wastewater treatment emerging as the </w:t>
      </w:r>
      <w:r w:rsidR="00AE2E1E">
        <w:rPr>
          <w:b w:val="0"/>
          <w:sz w:val="18"/>
          <w:lang w:val="en-GB"/>
        </w:rPr>
        <w:t xml:space="preserve">real </w:t>
      </w:r>
      <w:r w:rsidR="00E4320C" w:rsidRPr="00E4320C">
        <w:rPr>
          <w:b w:val="0"/>
          <w:sz w:val="18"/>
          <w:lang w:val="en-GB"/>
        </w:rPr>
        <w:t>objective</w:t>
      </w:r>
      <w:r w:rsidR="001E0409">
        <w:rPr>
          <w:b w:val="0"/>
          <w:sz w:val="18"/>
          <w:lang w:val="en-GB"/>
        </w:rPr>
        <w:t xml:space="preserve"> towards organic and inorganic pollutants</w:t>
      </w:r>
      <w:r w:rsidR="00AE2E1E">
        <w:rPr>
          <w:b w:val="0"/>
          <w:sz w:val="18"/>
          <w:lang w:val="en-GB"/>
        </w:rPr>
        <w:t xml:space="preserve"> at the same time</w:t>
      </w:r>
      <w:r w:rsidR="00820ED9">
        <w:rPr>
          <w:b w:val="0"/>
          <w:sz w:val="18"/>
          <w:lang w:val="en-GB"/>
        </w:rPr>
        <w:t>.</w:t>
      </w:r>
      <w:r w:rsidR="005041B3">
        <w:rPr>
          <w:b w:val="0"/>
          <w:sz w:val="18"/>
          <w:lang w:val="en-GB"/>
        </w:rPr>
        <w:t xml:space="preserve"> Results here reported could </w:t>
      </w:r>
      <w:r w:rsidR="005041B3" w:rsidRPr="00E4320C">
        <w:rPr>
          <w:b w:val="0"/>
          <w:sz w:val="18"/>
          <w:lang w:val="en-GB"/>
        </w:rPr>
        <w:t>contribut</w:t>
      </w:r>
      <w:r w:rsidR="005041B3">
        <w:rPr>
          <w:b w:val="0"/>
          <w:sz w:val="18"/>
          <w:lang w:val="en-GB"/>
        </w:rPr>
        <w:t>e</w:t>
      </w:r>
      <w:r w:rsidR="005041B3" w:rsidRPr="00E4320C">
        <w:rPr>
          <w:b w:val="0"/>
          <w:sz w:val="18"/>
          <w:lang w:val="en-GB"/>
        </w:rPr>
        <w:t xml:space="preserve"> </w:t>
      </w:r>
      <w:r w:rsidR="00E4320C" w:rsidRPr="00E4320C">
        <w:rPr>
          <w:b w:val="0"/>
          <w:sz w:val="18"/>
          <w:lang w:val="en-GB"/>
        </w:rPr>
        <w:t>significantly to the ongoing evolution of sustainable and efficient technologies that address the dual challenges of environmental remediation and clean energy generation.</w:t>
      </w:r>
    </w:p>
    <w:p w14:paraId="780C5E66" w14:textId="1ADA2D4B" w:rsidR="0015785A" w:rsidRPr="00B57B36" w:rsidRDefault="0015785A" w:rsidP="0090577E">
      <w:pPr>
        <w:pStyle w:val="CETHeading1"/>
        <w:tabs>
          <w:tab w:val="clear" w:pos="360"/>
        </w:tabs>
        <w:jc w:val="both"/>
        <w:rPr>
          <w:lang w:val="en-GB"/>
        </w:rPr>
      </w:pPr>
      <w:r>
        <w:rPr>
          <w:lang w:val="en-GB"/>
        </w:rPr>
        <w:t>Materials and Methods</w:t>
      </w:r>
    </w:p>
    <w:p w14:paraId="30C3E26A" w14:textId="3EA177FB" w:rsidR="0015785A" w:rsidRDefault="003D7D68" w:rsidP="001543BF">
      <w:pPr>
        <w:pStyle w:val="CETheadingx"/>
      </w:pPr>
      <w:r>
        <w:t xml:space="preserve">2.1 </w:t>
      </w:r>
      <w:r w:rsidR="0015785A">
        <w:t>Biochar Productio</w:t>
      </w:r>
      <w:r w:rsidR="007D559D">
        <w:t>n</w:t>
      </w:r>
      <w:r w:rsidR="009C6BBF">
        <w:t xml:space="preserve"> and characterization</w:t>
      </w:r>
    </w:p>
    <w:p w14:paraId="6A197572" w14:textId="041DC237" w:rsidR="006976DA" w:rsidRPr="0033645F" w:rsidRDefault="0015785A" w:rsidP="001543BF">
      <w:pPr>
        <w:pStyle w:val="CETheadingx"/>
        <w:rPr>
          <w:b w:val="0"/>
        </w:rPr>
      </w:pPr>
      <w:r w:rsidRPr="0033645F">
        <w:rPr>
          <w:b w:val="0"/>
        </w:rPr>
        <w:t>Silverskin</w:t>
      </w:r>
      <w:r w:rsidR="007D559D" w:rsidRPr="0033645F">
        <w:rPr>
          <w:b w:val="0"/>
        </w:rPr>
        <w:t xml:space="preserve">, </w:t>
      </w:r>
      <w:r w:rsidRPr="0033645F">
        <w:rPr>
          <w:b w:val="0"/>
        </w:rPr>
        <w:t>p</w:t>
      </w:r>
      <w:r w:rsidR="007D559D" w:rsidRPr="0033645F">
        <w:rPr>
          <w:b w:val="0"/>
        </w:rPr>
        <w:t xml:space="preserve">rovided by Caffè Verderio S.r.l, </w:t>
      </w:r>
      <w:r w:rsidRPr="0033645F">
        <w:rPr>
          <w:b w:val="0"/>
        </w:rPr>
        <w:t xml:space="preserve">was ground into powder using a knife mill (Fritsch, Pulverisette 11, Italy) at 10,000 RPM for 5 seconds and then dried in an oven for two days at 85°C. Before pyrolysis, </w:t>
      </w:r>
      <w:r w:rsidR="00F76FFE" w:rsidRPr="0033645F">
        <w:rPr>
          <w:b w:val="0"/>
        </w:rPr>
        <w:t>the biomass was introduced into a quartz reactor positioned in a furnace</w:t>
      </w:r>
      <w:r w:rsidR="00D73454">
        <w:rPr>
          <w:b w:val="0"/>
        </w:rPr>
        <w:t xml:space="preserve"> and</w:t>
      </w:r>
      <w:r w:rsidR="00F76FFE" w:rsidRPr="0033645F">
        <w:rPr>
          <w:b w:val="0"/>
        </w:rPr>
        <w:t xml:space="preserve"> </w:t>
      </w:r>
      <w:r w:rsidRPr="0033645F">
        <w:rPr>
          <w:b w:val="0"/>
        </w:rPr>
        <w:t xml:space="preserve">nitrogen was </w:t>
      </w:r>
      <w:r w:rsidR="007D559D" w:rsidRPr="0033645F">
        <w:rPr>
          <w:b w:val="0"/>
        </w:rPr>
        <w:t xml:space="preserve">fluxed </w:t>
      </w:r>
      <w:r w:rsidR="006976DA" w:rsidRPr="0033645F">
        <w:rPr>
          <w:b w:val="0"/>
        </w:rPr>
        <w:t xml:space="preserve">at 0.5 L </w:t>
      </w:r>
      <w:r w:rsidRPr="0033645F">
        <w:rPr>
          <w:b w:val="0"/>
        </w:rPr>
        <w:t>h</w:t>
      </w:r>
      <w:r w:rsidR="006976DA" w:rsidRPr="0033645F">
        <w:rPr>
          <w:b w:val="0"/>
          <w:vertAlign w:val="superscript"/>
        </w:rPr>
        <w:t>-1</w:t>
      </w:r>
      <w:r w:rsidRPr="0033645F">
        <w:rPr>
          <w:b w:val="0"/>
        </w:rPr>
        <w:t xml:space="preserve"> for 2 hours to completely remove the oxygen present. Subsequently, a thermal ramp was set, which included an increase from room tempera</w:t>
      </w:r>
      <w:r w:rsidR="007D559D" w:rsidRPr="0033645F">
        <w:rPr>
          <w:b w:val="0"/>
        </w:rPr>
        <w:t>ture to 900°C at a rate of 10°C</w:t>
      </w:r>
      <w:r w:rsidR="006976DA" w:rsidRPr="0033645F">
        <w:rPr>
          <w:b w:val="0"/>
        </w:rPr>
        <w:t xml:space="preserve"> </w:t>
      </w:r>
      <w:r w:rsidRPr="0033645F">
        <w:rPr>
          <w:b w:val="0"/>
        </w:rPr>
        <w:t>min</w:t>
      </w:r>
      <w:r w:rsidR="006976DA" w:rsidRPr="0033645F">
        <w:rPr>
          <w:b w:val="0"/>
          <w:vertAlign w:val="superscript"/>
        </w:rPr>
        <w:t>-1</w:t>
      </w:r>
      <w:r w:rsidRPr="0033645F">
        <w:rPr>
          <w:b w:val="0"/>
        </w:rPr>
        <w:t>, followed by a static phase at 900°C for 1 hour, under nitrogen flow. The furnace was then turned off, and the nitrogen flow was maintained until the temperature dropped below 50°C.</w:t>
      </w:r>
      <w:r w:rsidR="009C6BBF" w:rsidRPr="0033645F">
        <w:rPr>
          <w:b w:val="0"/>
        </w:rPr>
        <w:t xml:space="preserve"> </w:t>
      </w:r>
    </w:p>
    <w:p w14:paraId="774E49EF" w14:textId="11489882" w:rsidR="00F76FFE" w:rsidRDefault="003D7D68" w:rsidP="001543BF">
      <w:pPr>
        <w:pStyle w:val="CETheadingx"/>
      </w:pPr>
      <w:r>
        <w:t xml:space="preserve">2.2 </w:t>
      </w:r>
      <w:r w:rsidR="00F76FFE">
        <w:t>MFC components and set-up</w:t>
      </w:r>
    </w:p>
    <w:p w14:paraId="1B77317B" w14:textId="7533895D" w:rsidR="00FF40DA" w:rsidRPr="0033645F" w:rsidRDefault="008B5E3F" w:rsidP="001543BF">
      <w:pPr>
        <w:pStyle w:val="CETheadingx"/>
        <w:rPr>
          <w:b w:val="0"/>
        </w:rPr>
      </w:pPr>
      <w:r w:rsidRPr="00B21D6C">
        <w:rPr>
          <w:b w:val="0"/>
          <w:i/>
        </w:rPr>
        <w:t>Cathodes</w:t>
      </w:r>
      <w:r w:rsidR="00047052" w:rsidRPr="00B21D6C">
        <w:rPr>
          <w:b w:val="0"/>
          <w:i/>
        </w:rPr>
        <w:t>:</w:t>
      </w:r>
      <w:r w:rsidR="00047052">
        <w:t xml:space="preserve"> e</w:t>
      </w:r>
      <w:r w:rsidRPr="0033645F">
        <w:rPr>
          <w:b w:val="0"/>
        </w:rPr>
        <w:t xml:space="preserve">ach cathode was </w:t>
      </w:r>
      <w:r w:rsidR="003D7D68">
        <w:rPr>
          <w:b w:val="0"/>
        </w:rPr>
        <w:t>made</w:t>
      </w:r>
      <w:r w:rsidRPr="0033645F">
        <w:rPr>
          <w:b w:val="0"/>
        </w:rPr>
        <w:t xml:space="preserve"> </w:t>
      </w:r>
      <w:r w:rsidR="006E2862" w:rsidRPr="0033645F">
        <w:rPr>
          <w:b w:val="0"/>
        </w:rPr>
        <w:t xml:space="preserve">of carbon cloth (SAATI C1, Appiano Gentile, Italy) </w:t>
      </w:r>
      <w:r w:rsidR="00D27EBB" w:rsidRPr="0033645F">
        <w:rPr>
          <w:b w:val="0"/>
        </w:rPr>
        <w:t xml:space="preserve">by </w:t>
      </w:r>
      <w:r w:rsidRPr="0033645F">
        <w:rPr>
          <w:b w:val="0"/>
        </w:rPr>
        <w:t xml:space="preserve">cutting a </w:t>
      </w:r>
      <w:r w:rsidR="00FF40DA" w:rsidRPr="0033645F">
        <w:rPr>
          <w:b w:val="0"/>
        </w:rPr>
        <w:t xml:space="preserve">circular </w:t>
      </w:r>
      <w:r w:rsidRPr="0033645F">
        <w:rPr>
          <w:b w:val="0"/>
        </w:rPr>
        <w:t>piece</w:t>
      </w:r>
      <w:r w:rsidR="00266252" w:rsidRPr="0033645F">
        <w:rPr>
          <w:b w:val="0"/>
        </w:rPr>
        <w:t>,</w:t>
      </w:r>
      <w:r w:rsidRPr="0033645F">
        <w:rPr>
          <w:b w:val="0"/>
        </w:rPr>
        <w:t xml:space="preserve"> </w:t>
      </w:r>
      <w:r w:rsidR="00266252" w:rsidRPr="0033645F">
        <w:rPr>
          <w:b w:val="0"/>
        </w:rPr>
        <w:t xml:space="preserve">9 </w:t>
      </w:r>
      <w:r w:rsidRPr="0033645F">
        <w:rPr>
          <w:b w:val="0"/>
        </w:rPr>
        <w:t xml:space="preserve">cm </w:t>
      </w:r>
      <w:r w:rsidR="00266252" w:rsidRPr="0033645F">
        <w:rPr>
          <w:b w:val="0"/>
        </w:rPr>
        <w:t xml:space="preserve">in diameter, </w:t>
      </w:r>
      <w:r w:rsidR="005263A7" w:rsidRPr="0033645F">
        <w:rPr>
          <w:b w:val="0"/>
        </w:rPr>
        <w:t>keeping</w:t>
      </w:r>
      <w:r w:rsidR="00344268" w:rsidRPr="0033645F">
        <w:rPr>
          <w:b w:val="0"/>
        </w:rPr>
        <w:t xml:space="preserve"> a </w:t>
      </w:r>
      <w:r w:rsidR="005263A7" w:rsidRPr="0033645F">
        <w:rPr>
          <w:b w:val="0"/>
        </w:rPr>
        <w:t xml:space="preserve">lateral </w:t>
      </w:r>
      <w:r w:rsidR="00344268" w:rsidRPr="0033645F">
        <w:rPr>
          <w:b w:val="0"/>
        </w:rPr>
        <w:t>strip (ca. 5 cm in length)</w:t>
      </w:r>
      <w:r w:rsidR="00D27EBB" w:rsidRPr="0033645F">
        <w:rPr>
          <w:b w:val="0"/>
        </w:rPr>
        <w:t xml:space="preserve"> </w:t>
      </w:r>
      <w:r w:rsidR="00344268" w:rsidRPr="0033645F">
        <w:rPr>
          <w:b w:val="0"/>
        </w:rPr>
        <w:t>for allowing the external electrical connection through a thin titanium wire. The</w:t>
      </w:r>
      <w:r w:rsidR="00FF40DA" w:rsidRPr="0033645F">
        <w:rPr>
          <w:b w:val="0"/>
        </w:rPr>
        <w:t xml:space="preserve"> central area</w:t>
      </w:r>
      <w:r w:rsidR="00344268" w:rsidRPr="0033645F">
        <w:rPr>
          <w:b w:val="0"/>
        </w:rPr>
        <w:t xml:space="preserve"> was covered</w:t>
      </w:r>
      <w:r w:rsidR="00FF40DA" w:rsidRPr="0033645F">
        <w:rPr>
          <w:b w:val="0"/>
        </w:rPr>
        <w:t xml:space="preserve"> </w:t>
      </w:r>
      <w:r w:rsidRPr="0033645F">
        <w:rPr>
          <w:b w:val="0"/>
        </w:rPr>
        <w:t xml:space="preserve">with </w:t>
      </w:r>
      <w:r w:rsidR="00D27EBB" w:rsidRPr="0033645F">
        <w:rPr>
          <w:b w:val="0"/>
        </w:rPr>
        <w:t>a conductive ink, the latter</w:t>
      </w:r>
      <w:r w:rsidR="00206C7E" w:rsidRPr="0033645F">
        <w:rPr>
          <w:b w:val="0"/>
        </w:rPr>
        <w:t xml:space="preserve"> prepared by mixing</w:t>
      </w:r>
      <w:r w:rsidRPr="0033645F">
        <w:rPr>
          <w:b w:val="0"/>
        </w:rPr>
        <w:t xml:space="preserve"> 1</w:t>
      </w:r>
      <w:r w:rsidR="00206C7E" w:rsidRPr="0033645F">
        <w:rPr>
          <w:b w:val="0"/>
        </w:rPr>
        <w:t>.00</w:t>
      </w:r>
      <w:r w:rsidRPr="0033645F">
        <w:rPr>
          <w:b w:val="0"/>
        </w:rPr>
        <w:t xml:space="preserve"> gram of </w:t>
      </w:r>
      <w:r w:rsidR="004D107E" w:rsidRPr="0033645F">
        <w:rPr>
          <w:b w:val="0"/>
        </w:rPr>
        <w:t>carbon source (</w:t>
      </w:r>
      <w:r w:rsidRPr="0033645F">
        <w:rPr>
          <w:b w:val="0"/>
        </w:rPr>
        <w:t>biochar</w:t>
      </w:r>
      <w:r w:rsidR="004D107E" w:rsidRPr="0033645F">
        <w:rPr>
          <w:b w:val="0"/>
        </w:rPr>
        <w:t xml:space="preserve"> </w:t>
      </w:r>
      <w:r w:rsidR="00D73454">
        <w:rPr>
          <w:b w:val="0"/>
        </w:rPr>
        <w:t xml:space="preserve">for the experiment </w:t>
      </w:r>
      <w:r w:rsidR="004D107E" w:rsidRPr="0033645F">
        <w:rPr>
          <w:b w:val="0"/>
        </w:rPr>
        <w:t>or activated carbon</w:t>
      </w:r>
      <w:r w:rsidR="005263A7" w:rsidRPr="0033645F">
        <w:rPr>
          <w:b w:val="0"/>
        </w:rPr>
        <w:t xml:space="preserve"> Timcal-ENSACO</w:t>
      </w:r>
      <w:r w:rsidR="004D107E" w:rsidRPr="0033645F">
        <w:rPr>
          <w:b w:val="0"/>
        </w:rPr>
        <w:t xml:space="preserve"> </w:t>
      </w:r>
      <w:r w:rsidR="005263A7" w:rsidRPr="0033645F">
        <w:rPr>
          <w:b w:val="0"/>
        </w:rPr>
        <w:t>for</w:t>
      </w:r>
      <w:r w:rsidR="004D107E" w:rsidRPr="0033645F">
        <w:rPr>
          <w:b w:val="0"/>
        </w:rPr>
        <w:t xml:space="preserve"> control)</w:t>
      </w:r>
      <w:r w:rsidR="00FF40DA" w:rsidRPr="0033645F">
        <w:rPr>
          <w:b w:val="0"/>
        </w:rPr>
        <w:t xml:space="preserve">, </w:t>
      </w:r>
      <w:r w:rsidRPr="0033645F">
        <w:rPr>
          <w:b w:val="0"/>
        </w:rPr>
        <w:t>4.56 mL of milli-Q water</w:t>
      </w:r>
      <w:r w:rsidR="00FF40DA" w:rsidRPr="0033645F">
        <w:rPr>
          <w:b w:val="0"/>
        </w:rPr>
        <w:t>,</w:t>
      </w:r>
      <w:r w:rsidRPr="0033645F">
        <w:rPr>
          <w:b w:val="0"/>
        </w:rPr>
        <w:t xml:space="preserve"> 0.95 mL of a 60% suspension of PTFE (Merck)</w:t>
      </w:r>
      <w:r w:rsidR="003D7D68">
        <w:rPr>
          <w:b w:val="0"/>
        </w:rPr>
        <w:t xml:space="preserve"> and</w:t>
      </w:r>
      <w:r w:rsidR="00FF40DA" w:rsidRPr="0033645F">
        <w:rPr>
          <w:b w:val="0"/>
        </w:rPr>
        <w:t xml:space="preserve"> </w:t>
      </w:r>
      <w:r w:rsidRPr="0033645F">
        <w:rPr>
          <w:b w:val="0"/>
        </w:rPr>
        <w:t>0.41 mL of T</w:t>
      </w:r>
      <w:r w:rsidR="00FF40DA" w:rsidRPr="0033645F">
        <w:rPr>
          <w:b w:val="0"/>
        </w:rPr>
        <w:t>riton</w:t>
      </w:r>
      <w:r w:rsidR="00FF40DA" w:rsidRPr="0033645F">
        <w:rPr>
          <w:rFonts w:cs="Arial"/>
          <w:b w:val="0"/>
          <w:vertAlign w:val="superscript"/>
        </w:rPr>
        <w:t>®</w:t>
      </w:r>
      <w:r w:rsidR="00FF40DA" w:rsidRPr="0033645F">
        <w:rPr>
          <w:b w:val="0"/>
        </w:rPr>
        <w:t xml:space="preserve"> (Merck). </w:t>
      </w:r>
      <w:r w:rsidRPr="0033645F">
        <w:rPr>
          <w:b w:val="0"/>
        </w:rPr>
        <w:t>The</w:t>
      </w:r>
      <w:r w:rsidR="00FF40DA" w:rsidRPr="0033645F">
        <w:rPr>
          <w:b w:val="0"/>
        </w:rPr>
        <w:t xml:space="preserve"> resulting</w:t>
      </w:r>
      <w:r w:rsidRPr="0033645F">
        <w:rPr>
          <w:b w:val="0"/>
        </w:rPr>
        <w:t xml:space="preserve"> ink, homogenized by manual stirring, was spread using a spatula over the surface of the previously prepared carbon cloth, limited to a circular area</w:t>
      </w:r>
      <w:r w:rsidR="00206C7E" w:rsidRPr="0033645F">
        <w:rPr>
          <w:b w:val="0"/>
        </w:rPr>
        <w:t xml:space="preserve"> of ca. 38 cm</w:t>
      </w:r>
      <w:r w:rsidR="00206C7E" w:rsidRPr="0033645F">
        <w:rPr>
          <w:b w:val="0"/>
          <w:vertAlign w:val="superscript"/>
        </w:rPr>
        <w:t>2</w:t>
      </w:r>
      <w:r w:rsidRPr="0033645F">
        <w:rPr>
          <w:b w:val="0"/>
        </w:rPr>
        <w:t xml:space="preserve">. The coated </w:t>
      </w:r>
      <w:r w:rsidR="00FF40DA" w:rsidRPr="0033645F">
        <w:rPr>
          <w:b w:val="0"/>
        </w:rPr>
        <w:t xml:space="preserve">carbon </w:t>
      </w:r>
      <w:r w:rsidRPr="0033645F">
        <w:rPr>
          <w:b w:val="0"/>
        </w:rPr>
        <w:t xml:space="preserve">cloth was then placed in an oven for 30 minutes at a temperature of 340°C. The </w:t>
      </w:r>
      <w:r w:rsidR="00FF40DA" w:rsidRPr="0033645F">
        <w:rPr>
          <w:b w:val="0"/>
        </w:rPr>
        <w:t>ink was applied, layer by layer, three times.</w:t>
      </w:r>
      <w:r w:rsidR="00062889" w:rsidRPr="0033645F">
        <w:rPr>
          <w:b w:val="0"/>
        </w:rPr>
        <w:t xml:space="preserve"> </w:t>
      </w:r>
      <w:r w:rsidR="00C12ED3" w:rsidRPr="0033645F">
        <w:rPr>
          <w:b w:val="0"/>
        </w:rPr>
        <w:t>A polystyrene ring</w:t>
      </w:r>
      <w:r w:rsidR="007E255A" w:rsidRPr="0033645F">
        <w:rPr>
          <w:b w:val="0"/>
        </w:rPr>
        <w:t xml:space="preserve"> (1.5 cm thick, external diameter of 9 cm, internal void diameter of 7 cm)</w:t>
      </w:r>
      <w:r w:rsidR="00062889" w:rsidRPr="0033645F">
        <w:rPr>
          <w:b w:val="0"/>
        </w:rPr>
        <w:t xml:space="preserve">, working as a floater, </w:t>
      </w:r>
      <w:r w:rsidR="00C12ED3" w:rsidRPr="0033645F">
        <w:rPr>
          <w:b w:val="0"/>
        </w:rPr>
        <w:t xml:space="preserve">was </w:t>
      </w:r>
      <w:r w:rsidR="007E255A" w:rsidRPr="0033645F">
        <w:rPr>
          <w:b w:val="0"/>
        </w:rPr>
        <w:t xml:space="preserve">attached to each cathode by an inert </w:t>
      </w:r>
      <w:r w:rsidR="00062889" w:rsidRPr="0033645F">
        <w:rPr>
          <w:b w:val="0"/>
        </w:rPr>
        <w:t xml:space="preserve">sealing </w:t>
      </w:r>
      <w:r w:rsidR="007E255A" w:rsidRPr="0033645F">
        <w:rPr>
          <w:b w:val="0"/>
        </w:rPr>
        <w:t>glue (Gomma Nera Bostik).</w:t>
      </w:r>
      <w:r w:rsidR="00605E5D" w:rsidRPr="0033645F" w:rsidDel="00062889">
        <w:rPr>
          <w:b w:val="0"/>
        </w:rPr>
        <w:t xml:space="preserve"> </w:t>
      </w:r>
    </w:p>
    <w:p w14:paraId="5618AF34" w14:textId="51842D92" w:rsidR="00171242" w:rsidRPr="0033645F" w:rsidRDefault="007E255A" w:rsidP="001543BF">
      <w:pPr>
        <w:pStyle w:val="CETheadingx"/>
        <w:rPr>
          <w:b w:val="0"/>
        </w:rPr>
      </w:pPr>
      <w:r w:rsidRPr="00B21D6C">
        <w:rPr>
          <w:b w:val="0"/>
          <w:i/>
        </w:rPr>
        <w:t>MFC Set up</w:t>
      </w:r>
      <w:r w:rsidR="00047052" w:rsidRPr="00B21D6C">
        <w:rPr>
          <w:b w:val="0"/>
          <w:i/>
        </w:rPr>
        <w:t>:</w:t>
      </w:r>
      <w:r w:rsidR="00047052">
        <w:t xml:space="preserve"> </w:t>
      </w:r>
      <w:r w:rsidR="00047052" w:rsidRPr="00047052">
        <w:rPr>
          <w:b w:val="0"/>
        </w:rPr>
        <w:t>t</w:t>
      </w:r>
      <w:r w:rsidRPr="0033645F">
        <w:rPr>
          <w:b w:val="0"/>
        </w:rPr>
        <w:t xml:space="preserve">wo types of MFCs, differing </w:t>
      </w:r>
      <w:r w:rsidR="00A714BD" w:rsidRPr="0033645F">
        <w:rPr>
          <w:b w:val="0"/>
        </w:rPr>
        <w:t xml:space="preserve">only </w:t>
      </w:r>
      <w:r w:rsidRPr="0033645F">
        <w:rPr>
          <w:b w:val="0"/>
        </w:rPr>
        <w:t xml:space="preserve">in the cathodic material, were operated in duplicate, yielding </w:t>
      </w:r>
      <w:r w:rsidR="00171242" w:rsidRPr="0033645F">
        <w:rPr>
          <w:b w:val="0"/>
        </w:rPr>
        <w:t>four</w:t>
      </w:r>
      <w:r w:rsidRPr="0033645F">
        <w:rPr>
          <w:b w:val="0"/>
        </w:rPr>
        <w:t xml:space="preserve"> MFCs in total:</w:t>
      </w:r>
    </w:p>
    <w:p w14:paraId="7E454436" w14:textId="4BA317D5" w:rsidR="00171242" w:rsidRPr="0033645F" w:rsidRDefault="007E255A" w:rsidP="00047052">
      <w:pPr>
        <w:pStyle w:val="CETheadingx"/>
        <w:numPr>
          <w:ilvl w:val="0"/>
          <w:numId w:val="23"/>
        </w:numPr>
        <w:spacing w:after="0"/>
        <w:rPr>
          <w:b w:val="0"/>
        </w:rPr>
      </w:pPr>
      <w:r w:rsidRPr="0033645F">
        <w:rPr>
          <w:b w:val="0"/>
        </w:rPr>
        <w:t>SK-MFC</w:t>
      </w:r>
      <w:r w:rsidR="00171242" w:rsidRPr="0033645F">
        <w:rPr>
          <w:b w:val="0"/>
        </w:rPr>
        <w:t>s</w:t>
      </w:r>
      <w:r w:rsidR="003D7D68">
        <w:rPr>
          <w:b w:val="0"/>
        </w:rPr>
        <w:t xml:space="preserve">, operated in the presence of </w:t>
      </w:r>
      <w:r w:rsidRPr="0033645F">
        <w:rPr>
          <w:b w:val="0"/>
        </w:rPr>
        <w:t>silverskin-based biochar cathode</w:t>
      </w:r>
    </w:p>
    <w:p w14:paraId="39AC0FD3" w14:textId="3D926DF6" w:rsidR="00171242" w:rsidRPr="0033645F" w:rsidRDefault="00171242" w:rsidP="00047052">
      <w:pPr>
        <w:pStyle w:val="CETheadingx"/>
        <w:numPr>
          <w:ilvl w:val="0"/>
          <w:numId w:val="23"/>
        </w:numPr>
        <w:spacing w:before="0" w:after="0"/>
        <w:rPr>
          <w:b w:val="0"/>
        </w:rPr>
      </w:pPr>
      <w:r w:rsidRPr="0033645F">
        <w:rPr>
          <w:b w:val="0"/>
        </w:rPr>
        <w:t>CTRL-MFCs</w:t>
      </w:r>
      <w:r w:rsidR="003D7D68">
        <w:rPr>
          <w:b w:val="0"/>
        </w:rPr>
        <w:t xml:space="preserve">, operated in the presence of </w:t>
      </w:r>
      <w:r w:rsidRPr="0033645F">
        <w:rPr>
          <w:b w:val="0"/>
        </w:rPr>
        <w:t>commercial carbon cathode.</w:t>
      </w:r>
    </w:p>
    <w:p w14:paraId="3D17EF3E" w14:textId="359156CD" w:rsidR="001B2199" w:rsidRPr="001644F1" w:rsidRDefault="00171242" w:rsidP="003D7D68">
      <w:pPr>
        <w:pStyle w:val="CETheadingx"/>
        <w:spacing w:after="0"/>
        <w:jc w:val="left"/>
        <w:rPr>
          <w:bCs/>
          <w:lang w:val="en-GB"/>
        </w:rPr>
      </w:pPr>
      <w:r w:rsidRPr="0033645F">
        <w:rPr>
          <w:b w:val="0"/>
        </w:rPr>
        <w:t xml:space="preserve">Each MFC </w:t>
      </w:r>
      <w:r w:rsidR="002E1949">
        <w:rPr>
          <w:b w:val="0"/>
        </w:rPr>
        <w:t>(Figure 1A</w:t>
      </w:r>
      <w:r w:rsidR="00291A3C" w:rsidRPr="0033645F">
        <w:rPr>
          <w:b w:val="0"/>
        </w:rPr>
        <w:t xml:space="preserve">) </w:t>
      </w:r>
      <w:r w:rsidR="007E255A" w:rsidRPr="0033645F">
        <w:rPr>
          <w:b w:val="0"/>
        </w:rPr>
        <w:t xml:space="preserve">was assembled using a cylindrical </w:t>
      </w:r>
      <w:r w:rsidR="005108CC" w:rsidRPr="0033645F">
        <w:rPr>
          <w:b w:val="0"/>
        </w:rPr>
        <w:t xml:space="preserve">polypropylene </w:t>
      </w:r>
      <w:r w:rsidR="007E255A" w:rsidRPr="0033645F">
        <w:rPr>
          <w:b w:val="0"/>
        </w:rPr>
        <w:t>container, approximately 12 cm tall and with a</w:t>
      </w:r>
      <w:r w:rsidR="0000267B" w:rsidRPr="0033645F">
        <w:rPr>
          <w:b w:val="0"/>
        </w:rPr>
        <w:t>n internal</w:t>
      </w:r>
      <w:r w:rsidR="007E255A" w:rsidRPr="0033645F">
        <w:rPr>
          <w:b w:val="0"/>
        </w:rPr>
        <w:t xml:space="preserve"> diameter of about 10 cm</w:t>
      </w:r>
      <w:r w:rsidR="0000267B" w:rsidRPr="0033645F">
        <w:rPr>
          <w:b w:val="0"/>
        </w:rPr>
        <w:t xml:space="preserve"> on the top</w:t>
      </w:r>
      <w:r w:rsidR="007E255A" w:rsidRPr="0033645F">
        <w:rPr>
          <w:b w:val="0"/>
        </w:rPr>
        <w:t xml:space="preserve">. </w:t>
      </w:r>
      <w:r w:rsidR="00BF4D07" w:rsidRPr="0033645F">
        <w:rPr>
          <w:b w:val="0"/>
        </w:rPr>
        <w:t xml:space="preserve">About </w:t>
      </w:r>
      <w:r w:rsidR="00A714BD" w:rsidRPr="0033645F">
        <w:rPr>
          <w:b w:val="0"/>
        </w:rPr>
        <w:t>175</w:t>
      </w:r>
      <w:r w:rsidR="00BF4D07" w:rsidRPr="0033645F">
        <w:rPr>
          <w:b w:val="0"/>
        </w:rPr>
        <w:t xml:space="preserve"> g </w:t>
      </w:r>
      <w:r w:rsidR="00A714BD" w:rsidRPr="0033645F">
        <w:rPr>
          <w:b w:val="0"/>
        </w:rPr>
        <w:t>of g</w:t>
      </w:r>
      <w:r w:rsidR="007E255A" w:rsidRPr="0033645F">
        <w:rPr>
          <w:b w:val="0"/>
        </w:rPr>
        <w:t xml:space="preserve">raphite granules were introduced at the bottom of the cell, covering about one-third of its height. To maximize contact with the graphite granules, a current collector </w:t>
      </w:r>
      <w:r w:rsidRPr="0033645F">
        <w:rPr>
          <w:b w:val="0"/>
        </w:rPr>
        <w:t xml:space="preserve">made of 10x10 cm carbon cloth </w:t>
      </w:r>
      <w:r w:rsidR="007E255A" w:rsidRPr="0033645F">
        <w:rPr>
          <w:b w:val="0"/>
        </w:rPr>
        <w:t xml:space="preserve">was inserted </w:t>
      </w:r>
      <w:r w:rsidRPr="0033645F">
        <w:rPr>
          <w:b w:val="0"/>
        </w:rPr>
        <w:t>within graphite, connected to a</w:t>
      </w:r>
      <w:r w:rsidR="00F54386" w:rsidRPr="0033645F">
        <w:rPr>
          <w:b w:val="0"/>
        </w:rPr>
        <w:t xml:space="preserve"> thin</w:t>
      </w:r>
      <w:r w:rsidR="007E255A" w:rsidRPr="0033645F">
        <w:rPr>
          <w:b w:val="0"/>
        </w:rPr>
        <w:t xml:space="preserve"> titanium </w:t>
      </w:r>
      <w:r w:rsidRPr="0033645F">
        <w:rPr>
          <w:b w:val="0"/>
        </w:rPr>
        <w:t>wire</w:t>
      </w:r>
      <w:r w:rsidR="007E255A" w:rsidRPr="0033645F">
        <w:rPr>
          <w:b w:val="0"/>
        </w:rPr>
        <w:t xml:space="preserve"> exit</w:t>
      </w:r>
      <w:r w:rsidRPr="0033645F">
        <w:rPr>
          <w:b w:val="0"/>
        </w:rPr>
        <w:t xml:space="preserve">ing from the top of the container. After the introduction of wastewater, </w:t>
      </w:r>
      <w:r w:rsidR="007E255A" w:rsidRPr="0033645F">
        <w:rPr>
          <w:b w:val="0"/>
        </w:rPr>
        <w:t xml:space="preserve">the cathode was </w:t>
      </w:r>
      <w:r w:rsidRPr="0033645F">
        <w:rPr>
          <w:b w:val="0"/>
        </w:rPr>
        <w:t xml:space="preserve">positioned in a way </w:t>
      </w:r>
      <w:r w:rsidR="007E255A" w:rsidRPr="0033645F">
        <w:rPr>
          <w:b w:val="0"/>
        </w:rPr>
        <w:t>that it co</w:t>
      </w:r>
      <w:r w:rsidRPr="0033645F">
        <w:rPr>
          <w:b w:val="0"/>
        </w:rPr>
        <w:t xml:space="preserve">uld </w:t>
      </w:r>
      <w:r w:rsidR="00291A3C" w:rsidRPr="0033645F">
        <w:rPr>
          <w:b w:val="0"/>
        </w:rPr>
        <w:t xml:space="preserve">freely </w:t>
      </w:r>
      <w:r w:rsidRPr="0033645F">
        <w:rPr>
          <w:b w:val="0"/>
        </w:rPr>
        <w:t>float on the surface of the liquid</w:t>
      </w:r>
      <w:r w:rsidR="00291A3C" w:rsidRPr="0033645F">
        <w:rPr>
          <w:b w:val="0"/>
        </w:rPr>
        <w:t xml:space="preserve"> in order to </w:t>
      </w:r>
      <w:r w:rsidR="00A714BD" w:rsidRPr="0033645F">
        <w:rPr>
          <w:b w:val="0"/>
        </w:rPr>
        <w:t>maintain the contact with wastewater even in the case of a certain liquid</w:t>
      </w:r>
      <w:r w:rsidR="00291A3C" w:rsidRPr="0033645F">
        <w:rPr>
          <w:b w:val="0"/>
        </w:rPr>
        <w:t xml:space="preserve"> evaporation</w:t>
      </w:r>
      <w:r w:rsidR="007E255A" w:rsidRPr="0033645F">
        <w:rPr>
          <w:b w:val="0"/>
        </w:rPr>
        <w:t>.</w:t>
      </w:r>
      <w:r w:rsidR="008250D5" w:rsidRPr="0033645F">
        <w:rPr>
          <w:b w:val="0"/>
        </w:rPr>
        <w:t xml:space="preserve"> </w:t>
      </w:r>
      <w:r w:rsidR="00291A3C" w:rsidRPr="0033645F">
        <w:rPr>
          <w:b w:val="0"/>
        </w:rPr>
        <w:t xml:space="preserve">Milli-Q water was carefully added when the level of liquid </w:t>
      </w:r>
      <w:r w:rsidR="001543BF" w:rsidRPr="0033645F">
        <w:rPr>
          <w:b w:val="0"/>
        </w:rPr>
        <w:t>was found lower than</w:t>
      </w:r>
      <w:r w:rsidR="00291A3C" w:rsidRPr="0033645F">
        <w:rPr>
          <w:b w:val="0"/>
        </w:rPr>
        <w:t xml:space="preserve"> the original one. </w:t>
      </w:r>
      <w:r w:rsidR="008250D5" w:rsidRPr="0033645F">
        <w:rPr>
          <w:b w:val="0"/>
        </w:rPr>
        <w:t xml:space="preserve">The anode and cathode of the MFC were connected </w:t>
      </w:r>
      <w:r w:rsidR="001543BF" w:rsidRPr="0033645F">
        <w:rPr>
          <w:b w:val="0"/>
        </w:rPr>
        <w:t>through</w:t>
      </w:r>
      <w:r w:rsidR="00291A3C" w:rsidRPr="0033645F">
        <w:rPr>
          <w:b w:val="0"/>
        </w:rPr>
        <w:t xml:space="preserve"> insulated copper wires </w:t>
      </w:r>
      <w:r w:rsidR="008250D5" w:rsidRPr="0033645F">
        <w:rPr>
          <w:b w:val="0"/>
        </w:rPr>
        <w:t>with an external load of 1</w:t>
      </w:r>
      <w:r w:rsidR="001B2199" w:rsidRPr="0033645F">
        <w:rPr>
          <w:b w:val="0"/>
        </w:rPr>
        <w:t>0</w:t>
      </w:r>
      <w:r w:rsidR="008250D5" w:rsidRPr="0033645F">
        <w:rPr>
          <w:b w:val="0"/>
        </w:rPr>
        <w:t>0 Ω.</w:t>
      </w:r>
    </w:p>
    <w:p w14:paraId="53586120" w14:textId="539F1305" w:rsidR="00233CA0" w:rsidRPr="001644F1" w:rsidRDefault="0033521B" w:rsidP="0090577E">
      <w:pPr>
        <w:pStyle w:val="CETBodytext"/>
        <w:rPr>
          <w:bCs/>
          <w:lang w:val="en-GB"/>
        </w:rPr>
      </w:pPr>
      <w:r w:rsidRPr="001644F1">
        <w:rPr>
          <w:bCs/>
          <w:lang w:val="en-GB"/>
        </w:rPr>
        <w:t>For the acclimation phase, MFCs were filled with</w:t>
      </w:r>
      <w:r w:rsidR="001543BF">
        <w:rPr>
          <w:bCs/>
          <w:lang w:val="en-GB"/>
        </w:rPr>
        <w:t xml:space="preserve"> 400 mL of</w:t>
      </w:r>
      <w:r w:rsidRPr="001644F1">
        <w:rPr>
          <w:bCs/>
          <w:lang w:val="en-GB"/>
        </w:rPr>
        <w:t xml:space="preserve"> a solution composed of</w:t>
      </w:r>
      <w:r w:rsidR="00936748">
        <w:rPr>
          <w:bCs/>
          <w:lang w:val="en-GB"/>
        </w:rPr>
        <w:t>:</w:t>
      </w:r>
      <w:r w:rsidRPr="001644F1">
        <w:rPr>
          <w:bCs/>
          <w:lang w:val="en-GB"/>
        </w:rPr>
        <w:t xml:space="preserve"> </w:t>
      </w:r>
      <w:r w:rsidR="00BF4D07" w:rsidRPr="001644F1">
        <w:rPr>
          <w:bCs/>
          <w:lang w:val="en-GB"/>
        </w:rPr>
        <w:t xml:space="preserve">i) </w:t>
      </w:r>
      <w:r w:rsidRPr="001644F1">
        <w:rPr>
          <w:bCs/>
          <w:lang w:val="en-GB"/>
        </w:rPr>
        <w:t xml:space="preserve">a bacterial inoculum from a biological methanation plant, </w:t>
      </w:r>
      <w:r w:rsidR="00BF4D07" w:rsidRPr="001644F1">
        <w:rPr>
          <w:bCs/>
          <w:lang w:val="en-GB"/>
        </w:rPr>
        <w:t xml:space="preserve">ii) </w:t>
      </w:r>
      <w:r w:rsidRPr="001644F1">
        <w:rPr>
          <w:bCs/>
          <w:lang w:val="en-GB"/>
        </w:rPr>
        <w:t xml:space="preserve">non-pasteurized beer, and </w:t>
      </w:r>
      <w:r w:rsidR="00BF4D07" w:rsidRPr="001644F1">
        <w:rPr>
          <w:bCs/>
          <w:lang w:val="en-GB"/>
        </w:rPr>
        <w:t xml:space="preserve">iii) </w:t>
      </w:r>
      <w:r w:rsidR="00D73454">
        <w:rPr>
          <w:bCs/>
          <w:lang w:val="en-GB"/>
        </w:rPr>
        <w:t>tap water</w:t>
      </w:r>
      <w:r w:rsidR="00936748">
        <w:rPr>
          <w:bCs/>
          <w:lang w:val="en-GB"/>
        </w:rPr>
        <w:t xml:space="preserve"> (</w:t>
      </w:r>
      <w:r w:rsidRPr="001644F1">
        <w:rPr>
          <w:bCs/>
          <w:lang w:val="en-GB"/>
        </w:rPr>
        <w:t>volume ratio</w:t>
      </w:r>
      <w:r w:rsidR="00BF4D07" w:rsidRPr="001644F1">
        <w:rPr>
          <w:bCs/>
          <w:lang w:val="en-GB"/>
        </w:rPr>
        <w:t xml:space="preserve"> 300:7:693</w:t>
      </w:r>
      <w:r w:rsidR="00936748">
        <w:rPr>
          <w:bCs/>
          <w:lang w:val="en-GB"/>
        </w:rPr>
        <w:t>)</w:t>
      </w:r>
      <w:r w:rsidRPr="001644F1">
        <w:rPr>
          <w:bCs/>
          <w:lang w:val="en-GB"/>
        </w:rPr>
        <w:t>.</w:t>
      </w:r>
      <w:r w:rsidR="00BF4D07" w:rsidRPr="001644F1">
        <w:rPr>
          <w:bCs/>
          <w:lang w:val="en-GB"/>
        </w:rPr>
        <w:t xml:space="preserve"> </w:t>
      </w:r>
      <w:r w:rsidRPr="001644F1">
        <w:rPr>
          <w:bCs/>
          <w:lang w:val="en-GB"/>
        </w:rPr>
        <w:t xml:space="preserve">After the acclimation, a first cycle (CYCLE 1) and a second cycle (CYCLE 2) were run filling each MFC with </w:t>
      </w:r>
      <w:r w:rsidR="001543BF">
        <w:rPr>
          <w:bCs/>
          <w:lang w:val="en-GB"/>
        </w:rPr>
        <w:t xml:space="preserve">400 mL of </w:t>
      </w:r>
      <w:r w:rsidRPr="001644F1">
        <w:rPr>
          <w:bCs/>
          <w:lang w:val="en-GB"/>
        </w:rPr>
        <w:t>a solution of diluted non-pasteurized beer in tap water at a concentration of 14 mg/L and 30 mg/L, respectively.</w:t>
      </w:r>
    </w:p>
    <w:p w14:paraId="6B4C63E5" w14:textId="230D7902" w:rsidR="00600535" w:rsidRPr="001543BF" w:rsidRDefault="003D7D68" w:rsidP="003D7D68">
      <w:pPr>
        <w:pStyle w:val="CETheadingx"/>
        <w:jc w:val="left"/>
      </w:pPr>
      <w:r>
        <w:t xml:space="preserve">2.3 </w:t>
      </w:r>
      <w:r w:rsidR="008250D5" w:rsidRPr="001543BF">
        <w:t>MFC monitoring</w:t>
      </w:r>
    </w:p>
    <w:p w14:paraId="609D14A7" w14:textId="427E3A76" w:rsidR="000632AE" w:rsidRPr="0033645F" w:rsidRDefault="000632AE" w:rsidP="008D6344">
      <w:pPr>
        <w:pStyle w:val="CETheadingx"/>
        <w:spacing w:before="0" w:after="0"/>
        <w:rPr>
          <w:b w:val="0"/>
        </w:rPr>
      </w:pPr>
      <w:r w:rsidRPr="0033645F">
        <w:rPr>
          <w:b w:val="0"/>
          <w:i/>
        </w:rPr>
        <w:t>Chemical parameters</w:t>
      </w:r>
      <w:r w:rsidR="00AC7407">
        <w:rPr>
          <w:b w:val="0"/>
          <w:i/>
        </w:rPr>
        <w:t xml:space="preserve">: </w:t>
      </w:r>
      <w:r w:rsidR="00AC7407" w:rsidRPr="00D73454">
        <w:rPr>
          <w:b w:val="0"/>
        </w:rPr>
        <w:t>t</w:t>
      </w:r>
      <w:r w:rsidRPr="0033645F">
        <w:rPr>
          <w:b w:val="0"/>
        </w:rPr>
        <w:t xml:space="preserve">he Chemical Oxygen Demand </w:t>
      </w:r>
      <w:r w:rsidR="00233CA0" w:rsidRPr="0033645F">
        <w:rPr>
          <w:b w:val="0"/>
        </w:rPr>
        <w:t xml:space="preserve">(COD) </w:t>
      </w:r>
      <w:r w:rsidRPr="0033645F">
        <w:rPr>
          <w:b w:val="0"/>
        </w:rPr>
        <w:t>was periodically measured by a spectrophotometric method. A</w:t>
      </w:r>
      <w:r w:rsidR="003515DE" w:rsidRPr="0033645F">
        <w:rPr>
          <w:b w:val="0"/>
        </w:rPr>
        <w:t>n aliquot</w:t>
      </w:r>
      <w:r w:rsidRPr="0033645F">
        <w:rPr>
          <w:b w:val="0"/>
        </w:rPr>
        <w:t xml:space="preserve"> of solution sampled from each </w:t>
      </w:r>
      <w:r w:rsidR="003515DE" w:rsidRPr="0033645F">
        <w:rPr>
          <w:b w:val="0"/>
        </w:rPr>
        <w:t>M</w:t>
      </w:r>
      <w:r w:rsidRPr="0033645F">
        <w:rPr>
          <w:b w:val="0"/>
        </w:rPr>
        <w:t xml:space="preserve">FC was carefully added to HT-COD cuvette test (Hach Lange Gmbh) and digested at 175 °C for 15 min (Lange HT 200 S). Upon cooling, the COD value was read </w:t>
      </w:r>
      <w:r w:rsidR="002675BA" w:rsidRPr="0033645F">
        <w:rPr>
          <w:b w:val="0"/>
        </w:rPr>
        <w:t>with</w:t>
      </w:r>
      <w:r w:rsidRPr="0033645F">
        <w:rPr>
          <w:b w:val="0"/>
        </w:rPr>
        <w:t xml:space="preserve"> a spectrophotometer (Lange DR 3900).</w:t>
      </w:r>
    </w:p>
    <w:p w14:paraId="457CDBD3" w14:textId="4291B360" w:rsidR="008250D5" w:rsidRDefault="008250D5" w:rsidP="008D6344">
      <w:pPr>
        <w:pStyle w:val="CETheadingx"/>
        <w:spacing w:before="0" w:after="0"/>
        <w:rPr>
          <w:lang w:val="en-GB"/>
        </w:rPr>
      </w:pPr>
      <w:r w:rsidRPr="0033645F">
        <w:rPr>
          <w:b w:val="0"/>
          <w:i/>
        </w:rPr>
        <w:t>Electrochemical parameters</w:t>
      </w:r>
      <w:r w:rsidR="00AC7407">
        <w:rPr>
          <w:b w:val="0"/>
          <w:i/>
        </w:rPr>
        <w:t xml:space="preserve">: </w:t>
      </w:r>
      <w:r w:rsidR="00AC7407">
        <w:rPr>
          <w:b w:val="0"/>
        </w:rPr>
        <w:t>t</w:t>
      </w:r>
      <w:r w:rsidRPr="00AC7407">
        <w:rPr>
          <w:b w:val="0"/>
          <w:lang w:val="en-GB"/>
        </w:rPr>
        <w:t xml:space="preserve">he </w:t>
      </w:r>
      <w:r w:rsidR="002A3FCE" w:rsidRPr="00AC7407">
        <w:rPr>
          <w:b w:val="0"/>
          <w:lang w:val="en-GB"/>
        </w:rPr>
        <w:t>cell potential</w:t>
      </w:r>
      <w:r w:rsidRPr="00AC7407">
        <w:rPr>
          <w:b w:val="0"/>
          <w:lang w:val="en-GB"/>
        </w:rPr>
        <w:t xml:space="preserve"> </w:t>
      </w:r>
      <w:r w:rsidR="001B2199" w:rsidRPr="00AC7407">
        <w:rPr>
          <w:b w:val="0"/>
          <w:lang w:val="en-GB"/>
        </w:rPr>
        <w:t>(</w:t>
      </w:r>
      <w:r w:rsidR="002A3FCE" w:rsidRPr="00AC7407">
        <w:rPr>
          <w:b w:val="0"/>
          <w:i/>
          <w:lang w:val="en-GB"/>
        </w:rPr>
        <w:t>E</w:t>
      </w:r>
      <w:r w:rsidR="002A3FCE" w:rsidRPr="00AC7407">
        <w:rPr>
          <w:b w:val="0"/>
          <w:i/>
          <w:vertAlign w:val="subscript"/>
        </w:rPr>
        <w:t>cell</w:t>
      </w:r>
      <w:r w:rsidR="001B2199" w:rsidRPr="00AC7407">
        <w:rPr>
          <w:b w:val="0"/>
          <w:lang w:val="en-GB"/>
        </w:rPr>
        <w:t xml:space="preserve">) </w:t>
      </w:r>
      <w:r w:rsidR="00E524CE" w:rsidRPr="00AC7407">
        <w:rPr>
          <w:b w:val="0"/>
          <w:lang w:val="en-GB"/>
        </w:rPr>
        <w:t xml:space="preserve">of each device was monitored over time through the potential drop generated </w:t>
      </w:r>
      <w:r w:rsidRPr="00AC7407">
        <w:rPr>
          <w:b w:val="0"/>
          <w:lang w:val="en-GB"/>
        </w:rPr>
        <w:t xml:space="preserve">across </w:t>
      </w:r>
      <w:r w:rsidR="00E524CE" w:rsidRPr="00AC7407">
        <w:rPr>
          <w:b w:val="0"/>
          <w:lang w:val="en-GB"/>
        </w:rPr>
        <w:t xml:space="preserve">a </w:t>
      </w:r>
      <w:r w:rsidRPr="00AC7407">
        <w:rPr>
          <w:b w:val="0"/>
          <w:lang w:val="en-GB"/>
        </w:rPr>
        <w:t>100 Ω resistance (</w:t>
      </w:r>
      <w:r w:rsidRPr="00AC7407">
        <w:rPr>
          <w:b w:val="0"/>
          <w:i/>
          <w:lang w:val="en-GB"/>
        </w:rPr>
        <w:t>R</w:t>
      </w:r>
      <w:r w:rsidRPr="00AC7407">
        <w:rPr>
          <w:b w:val="0"/>
          <w:lang w:val="en-GB"/>
        </w:rPr>
        <w:t>)</w:t>
      </w:r>
      <w:r w:rsidR="00E524CE" w:rsidRPr="00AC7407">
        <w:rPr>
          <w:b w:val="0"/>
          <w:lang w:val="en-GB"/>
        </w:rPr>
        <w:t>,</w:t>
      </w:r>
      <w:r w:rsidRPr="00AC7407">
        <w:rPr>
          <w:b w:val="0"/>
          <w:lang w:val="en-GB"/>
        </w:rPr>
        <w:t xml:space="preserve"> </w:t>
      </w:r>
      <w:r w:rsidR="00E524CE" w:rsidRPr="00AC7407">
        <w:rPr>
          <w:b w:val="0"/>
          <w:lang w:val="en-GB"/>
        </w:rPr>
        <w:t xml:space="preserve">used </w:t>
      </w:r>
      <w:r w:rsidR="001543BF" w:rsidRPr="00AC7407">
        <w:rPr>
          <w:b w:val="0"/>
          <w:lang w:val="en-GB"/>
        </w:rPr>
        <w:t>as</w:t>
      </w:r>
      <w:r w:rsidR="00E524CE" w:rsidRPr="00AC7407">
        <w:rPr>
          <w:b w:val="0"/>
          <w:lang w:val="en-GB"/>
        </w:rPr>
        <w:t xml:space="preserve"> electrical load and shunt resistance, by </w:t>
      </w:r>
      <w:r w:rsidRPr="00AC7407">
        <w:rPr>
          <w:b w:val="0"/>
          <w:lang w:val="en-GB"/>
        </w:rPr>
        <w:t>acquir</w:t>
      </w:r>
      <w:r w:rsidR="00E524CE" w:rsidRPr="00AC7407">
        <w:rPr>
          <w:b w:val="0"/>
          <w:lang w:val="en-GB"/>
        </w:rPr>
        <w:t>ing</w:t>
      </w:r>
      <w:r w:rsidRPr="00AC7407">
        <w:rPr>
          <w:b w:val="0"/>
          <w:lang w:val="en-GB"/>
        </w:rPr>
        <w:t xml:space="preserve"> </w:t>
      </w:r>
      <w:r w:rsidR="00933190" w:rsidRPr="00AC7407">
        <w:rPr>
          <w:b w:val="0"/>
          <w:lang w:val="en-GB"/>
        </w:rPr>
        <w:t>a</w:t>
      </w:r>
      <w:r w:rsidR="00E524CE" w:rsidRPr="00AC7407">
        <w:rPr>
          <w:b w:val="0"/>
          <w:lang w:val="en-GB"/>
        </w:rPr>
        <w:t xml:space="preserve"> value </w:t>
      </w:r>
      <w:r w:rsidRPr="00AC7407">
        <w:rPr>
          <w:b w:val="0"/>
          <w:lang w:val="en-GB"/>
        </w:rPr>
        <w:t>every 20 min with a multichannel Data Logger (Graphtech midi Logger GL820). The generated current (</w:t>
      </w:r>
      <w:r w:rsidRPr="00AC7407">
        <w:rPr>
          <w:b w:val="0"/>
          <w:i/>
          <w:lang w:val="en-GB"/>
        </w:rPr>
        <w:t>I</w:t>
      </w:r>
      <w:r w:rsidRPr="00AC7407">
        <w:rPr>
          <w:b w:val="0"/>
          <w:lang w:val="en-GB"/>
        </w:rPr>
        <w:t xml:space="preserve">) was calculated by the </w:t>
      </w:r>
      <w:r w:rsidR="005D34A3" w:rsidRPr="00AC7407">
        <w:rPr>
          <w:b w:val="0"/>
          <w:lang w:val="en-GB"/>
        </w:rPr>
        <w:t xml:space="preserve">Ohm law </w:t>
      </w:r>
      <w:r w:rsidRPr="00AC7407">
        <w:rPr>
          <w:b w:val="0"/>
          <w:lang w:val="en-GB"/>
        </w:rPr>
        <w:t>equation</w:t>
      </w:r>
      <w:r w:rsidR="005D34A3" w:rsidRPr="00AC7407">
        <w:rPr>
          <w:b w:val="0"/>
          <w:i/>
          <w:lang w:val="en-GB"/>
        </w:rPr>
        <w:t xml:space="preserve"> </w:t>
      </w:r>
      <w:r w:rsidRPr="00AC7407">
        <w:rPr>
          <w:b w:val="0"/>
          <w:i/>
          <w:lang w:val="en-GB"/>
        </w:rPr>
        <w:t xml:space="preserve">I = </w:t>
      </w:r>
      <w:r w:rsidR="00E524CE" w:rsidRPr="00AC7407">
        <w:rPr>
          <w:b w:val="0"/>
          <w:i/>
          <w:lang w:val="en-GB"/>
        </w:rPr>
        <w:t>E</w:t>
      </w:r>
      <w:r w:rsidR="00E524CE" w:rsidRPr="00AC7407">
        <w:rPr>
          <w:b w:val="0"/>
          <w:i/>
          <w:vertAlign w:val="subscript"/>
          <w:lang w:val="en-GB"/>
        </w:rPr>
        <w:t>cell</w:t>
      </w:r>
      <w:r w:rsidRPr="00AC7407">
        <w:rPr>
          <w:b w:val="0"/>
          <w:i/>
          <w:lang w:val="en-GB"/>
        </w:rPr>
        <w:t xml:space="preserve"> R</w:t>
      </w:r>
      <w:r w:rsidRPr="00AC7407">
        <w:rPr>
          <w:b w:val="0"/>
          <w:i/>
          <w:vertAlign w:val="superscript"/>
          <w:lang w:val="en-GB"/>
        </w:rPr>
        <w:t>−1</w:t>
      </w:r>
      <w:r w:rsidRPr="00AC7407">
        <w:rPr>
          <w:b w:val="0"/>
          <w:lang w:val="en-GB"/>
        </w:rPr>
        <w:t>.</w:t>
      </w:r>
    </w:p>
    <w:p w14:paraId="35D11E51" w14:textId="064B7EA3" w:rsidR="008250D5" w:rsidRDefault="008250D5" w:rsidP="008D6344">
      <w:pPr>
        <w:pStyle w:val="CETBodytext"/>
        <w:rPr>
          <w:lang w:val="en-GB"/>
        </w:rPr>
      </w:pPr>
      <w:r w:rsidRPr="008250D5">
        <w:rPr>
          <w:lang w:val="en-GB"/>
        </w:rPr>
        <w:t xml:space="preserve">Power curve </w:t>
      </w:r>
      <w:r w:rsidR="00AC3CC6">
        <w:rPr>
          <w:lang w:val="en-GB"/>
        </w:rPr>
        <w:t xml:space="preserve">of each device </w:t>
      </w:r>
      <w:r w:rsidR="00AC3CC6" w:rsidRPr="008250D5">
        <w:rPr>
          <w:lang w:val="en-GB"/>
        </w:rPr>
        <w:t>w</w:t>
      </w:r>
      <w:r w:rsidR="00AC3CC6">
        <w:rPr>
          <w:lang w:val="en-GB"/>
        </w:rPr>
        <w:t>as</w:t>
      </w:r>
      <w:r w:rsidR="00AC3CC6" w:rsidRPr="008250D5">
        <w:rPr>
          <w:lang w:val="en-GB"/>
        </w:rPr>
        <w:t xml:space="preserve"> </w:t>
      </w:r>
      <w:r w:rsidR="00AC3CC6">
        <w:rPr>
          <w:lang w:val="en-GB"/>
        </w:rPr>
        <w:t>obtained from potentiodynamic polarization curves recorded</w:t>
      </w:r>
      <w:r w:rsidR="00AC3CC6" w:rsidRPr="008250D5">
        <w:rPr>
          <w:lang w:val="en-GB"/>
        </w:rPr>
        <w:t xml:space="preserve"> </w:t>
      </w:r>
      <w:r w:rsidR="00AC3CC6">
        <w:rPr>
          <w:lang w:val="en-GB"/>
        </w:rPr>
        <w:t xml:space="preserve">by varying the cell potential, </w:t>
      </w:r>
      <w:r w:rsidR="00AC3CC6" w:rsidRPr="008250D5">
        <w:rPr>
          <w:lang w:val="en-GB"/>
        </w:rPr>
        <w:t>at a</w:t>
      </w:r>
      <w:r w:rsidR="00AC3CC6">
        <w:rPr>
          <w:lang w:val="en-GB"/>
        </w:rPr>
        <w:t xml:space="preserve"> fixed</w:t>
      </w:r>
      <w:r w:rsidR="00AC3CC6" w:rsidRPr="008250D5">
        <w:rPr>
          <w:lang w:val="en-GB"/>
        </w:rPr>
        <w:t xml:space="preserve"> scan rate of 10 mV min</w:t>
      </w:r>
      <w:r w:rsidR="00AC3CC6" w:rsidRPr="000632AE">
        <w:rPr>
          <w:vertAlign w:val="superscript"/>
          <w:lang w:val="en-GB"/>
        </w:rPr>
        <w:t>−1</w:t>
      </w:r>
      <w:r w:rsidR="00AC3CC6">
        <w:rPr>
          <w:lang w:val="en-GB"/>
        </w:rPr>
        <w:t>, f</w:t>
      </w:r>
      <w:r w:rsidRPr="008250D5">
        <w:rPr>
          <w:lang w:val="en-GB"/>
        </w:rPr>
        <w:t xml:space="preserve">rom open circuit </w:t>
      </w:r>
      <w:r w:rsidR="00AC3CC6">
        <w:rPr>
          <w:lang w:val="en-GB"/>
        </w:rPr>
        <w:t>potential</w:t>
      </w:r>
      <w:r w:rsidR="00AC3CC6" w:rsidRPr="008250D5">
        <w:rPr>
          <w:lang w:val="en-GB"/>
        </w:rPr>
        <w:t xml:space="preserve"> </w:t>
      </w:r>
      <w:r w:rsidRPr="008250D5">
        <w:rPr>
          <w:lang w:val="en-GB"/>
        </w:rPr>
        <w:t>to short circuit using potentiostat</w:t>
      </w:r>
      <w:r w:rsidR="00AC3CC6">
        <w:rPr>
          <w:lang w:val="en-GB"/>
        </w:rPr>
        <w:t>s/galvanostats (Interface 1000, Gamry)</w:t>
      </w:r>
      <w:r w:rsidRPr="008250D5">
        <w:rPr>
          <w:lang w:val="en-GB"/>
        </w:rPr>
        <w:t xml:space="preserve"> connected to a personal computer.</w:t>
      </w:r>
    </w:p>
    <w:p w14:paraId="48C58B0A" w14:textId="07842626" w:rsidR="005A59CB" w:rsidRPr="00656AB0" w:rsidRDefault="003D7D68" w:rsidP="001543BF">
      <w:pPr>
        <w:pStyle w:val="CETheadingx"/>
      </w:pPr>
      <w:r>
        <w:t xml:space="preserve">2.4 </w:t>
      </w:r>
      <w:r w:rsidR="005A59CB" w:rsidRPr="00656AB0">
        <w:t>Hydroxyapatite/biochar composite production</w:t>
      </w:r>
    </w:p>
    <w:p w14:paraId="5D73DA6B" w14:textId="66221CD6" w:rsidR="005A59CB" w:rsidRPr="00656AB0" w:rsidRDefault="005A59CB" w:rsidP="005A59CB">
      <w:pPr>
        <w:pStyle w:val="CETBodytext"/>
      </w:pPr>
      <w:r w:rsidRPr="00656AB0">
        <w:t>Composites were prepared via a wet deposition method at 80°C in an excess of phosphate. Initially, 1</w:t>
      </w:r>
      <w:r w:rsidR="00C21025">
        <w:t>.00</w:t>
      </w:r>
      <w:r w:rsidRPr="00656AB0">
        <w:t xml:space="preserve"> g of</w:t>
      </w:r>
      <w:r w:rsidRPr="00656AB0">
        <w:rPr>
          <w:lang w:val="en-GB"/>
        </w:rPr>
        <w:t xml:space="preserve"> silverskin-based biochar </w:t>
      </w:r>
      <w:r w:rsidRPr="00656AB0">
        <w:t xml:space="preserve">was dispersed in </w:t>
      </w:r>
      <w:r w:rsidR="001644F1" w:rsidRPr="001543BF">
        <w:t>250</w:t>
      </w:r>
      <w:r w:rsidR="00636E83" w:rsidRPr="001543BF">
        <w:t xml:space="preserve"> mL </w:t>
      </w:r>
      <w:r w:rsidRPr="001543BF">
        <w:t>a</w:t>
      </w:r>
      <w:r w:rsidRPr="00656AB0">
        <w:t xml:space="preserve"> 0.07 M (NH</w:t>
      </w:r>
      <w:r w:rsidRPr="00656AB0">
        <w:rPr>
          <w:vertAlign w:val="subscript"/>
        </w:rPr>
        <w:t>4</w:t>
      </w:r>
      <w:r w:rsidRPr="00656AB0">
        <w:t>)</w:t>
      </w:r>
      <w:r w:rsidRPr="00656AB0">
        <w:rPr>
          <w:vertAlign w:val="subscript"/>
        </w:rPr>
        <w:t>2</w:t>
      </w:r>
      <w:r w:rsidRPr="00656AB0">
        <w:t>HPO</w:t>
      </w:r>
      <w:r w:rsidRPr="00656AB0">
        <w:rPr>
          <w:vertAlign w:val="subscript"/>
        </w:rPr>
        <w:t>4</w:t>
      </w:r>
      <w:r w:rsidRPr="00656AB0">
        <w:t xml:space="preserve"> solution in a five-necked round flask and maintained under stirring and inert atmosphere (N</w:t>
      </w:r>
      <w:r w:rsidRPr="00656AB0">
        <w:rPr>
          <w:vertAlign w:val="subscript"/>
        </w:rPr>
        <w:t>2</w:t>
      </w:r>
      <w:r w:rsidRPr="00656AB0">
        <w:t xml:space="preserve"> flux) for 30 minutes. The pH was adjusted to ca. 10 (±0.2) by adding around 10 mL of a 28–30 wt% NH</w:t>
      </w:r>
      <w:r w:rsidRPr="00656AB0">
        <w:rPr>
          <w:vertAlign w:val="subscript"/>
        </w:rPr>
        <w:t>4</w:t>
      </w:r>
      <w:r w:rsidRPr="00656AB0">
        <w:t>OH solution. Subsequently, 100 mL of 0.11 M Ca(NO</w:t>
      </w:r>
      <w:r w:rsidRPr="00656AB0">
        <w:rPr>
          <w:vertAlign w:val="subscript"/>
        </w:rPr>
        <w:t>3</w:t>
      </w:r>
      <w:r w:rsidRPr="00656AB0">
        <w:t>)</w:t>
      </w:r>
      <w:r w:rsidRPr="00656AB0">
        <w:rPr>
          <w:vertAlign w:val="subscript"/>
        </w:rPr>
        <w:t>2</w:t>
      </w:r>
      <w:r w:rsidRPr="00656AB0">
        <w:rPr>
          <w:vertAlign w:val="superscript"/>
        </w:rPr>
        <w:t>.</w:t>
      </w:r>
      <w:r w:rsidRPr="00656AB0">
        <w:t>4H</w:t>
      </w:r>
      <w:r w:rsidRPr="00656AB0">
        <w:rPr>
          <w:vertAlign w:val="subscript"/>
        </w:rPr>
        <w:t>2</w:t>
      </w:r>
      <w:r w:rsidRPr="00656AB0">
        <w:t>O solution was added dropwise via a p</w:t>
      </w:r>
      <w:r w:rsidR="001B2199">
        <w:t xml:space="preserve">eristaltic pump (1.65 mL </w:t>
      </w:r>
      <w:r w:rsidRPr="00656AB0">
        <w:t>min</w:t>
      </w:r>
      <w:r w:rsidR="001B2199" w:rsidRPr="001B2199">
        <w:rPr>
          <w:vertAlign w:val="superscript"/>
        </w:rPr>
        <w:t>-1</w:t>
      </w:r>
      <w:r w:rsidRPr="00656AB0">
        <w:t>). To maintain a constant basic pH, periodic additions of ammonia solution were made. After completing the addition of the Ca(II) precursor solution, the suspension was stirred for 5 minutes, followed by vacuum filtration. The obtained powders were washed with MilliQ water until the washing waters reached neutrality, then dried for 16 hours at 50 °C under vacuum. Finally, the dried powders were thermally treated for 8 hours at 120 °C under air</w:t>
      </w:r>
      <w:r w:rsidR="00FF3D45">
        <w:t xml:space="preserve">, obtaining around </w:t>
      </w:r>
      <w:r w:rsidR="001644F1">
        <w:t>1.18</w:t>
      </w:r>
      <w:r w:rsidR="00FF3D45">
        <w:t xml:space="preserve"> g of composite</w:t>
      </w:r>
      <w:r w:rsidRPr="00656AB0">
        <w:t>. The formation of HAP was verified by X-</w:t>
      </w:r>
      <w:r w:rsidR="001B2199">
        <w:t>R</w:t>
      </w:r>
      <w:r w:rsidRPr="00656AB0">
        <w:t>ay diffraction by comparison with reference pattern (JCPDS 00-064-0738).</w:t>
      </w:r>
    </w:p>
    <w:p w14:paraId="4F089A09" w14:textId="54FBB25E" w:rsidR="005A59CB" w:rsidRPr="00656AB0" w:rsidRDefault="003D7D68" w:rsidP="001543BF">
      <w:pPr>
        <w:pStyle w:val="CETheadingx"/>
      </w:pPr>
      <w:r>
        <w:t xml:space="preserve">2.5 </w:t>
      </w:r>
      <w:r w:rsidR="0097331C">
        <w:t>A</w:t>
      </w:r>
      <w:r w:rsidR="005A59CB" w:rsidRPr="00656AB0">
        <w:t>dsorption tests</w:t>
      </w:r>
      <w:r w:rsidR="0097331C">
        <w:t xml:space="preserve"> on composite</w:t>
      </w:r>
    </w:p>
    <w:p w14:paraId="180A233D" w14:textId="7D72780F" w:rsidR="005A59CB" w:rsidRDefault="005A59CB" w:rsidP="005A59CB">
      <w:pPr>
        <w:pStyle w:val="CETBodytext"/>
        <w:rPr>
          <w:lang w:val="en-GB"/>
        </w:rPr>
      </w:pPr>
      <w:bookmarkStart w:id="0" w:name="_Hlk154006933"/>
      <w:r w:rsidRPr="00656AB0">
        <w:t xml:space="preserve">The sorption ability of biochar and composite was evaluated </w:t>
      </w:r>
      <w:r w:rsidRPr="00656AB0">
        <w:rPr>
          <w:i/>
          <w:iCs/>
        </w:rPr>
        <w:t>ex situ</w:t>
      </w:r>
      <w:r w:rsidRPr="00656AB0">
        <w:t xml:space="preserve">, by means of static batch adsorption tests. </w:t>
      </w:r>
      <w:bookmarkEnd w:id="0"/>
      <w:r w:rsidRPr="00656AB0">
        <w:t>Sorbent (typically ca. 100 mg) was placed in test tubes, equipped with magnetic stirrers and contacted with aqueous solutions containing 1 mg L</w:t>
      </w:r>
      <w:r w:rsidRPr="00656AB0">
        <w:rPr>
          <w:vertAlign w:val="superscript"/>
        </w:rPr>
        <w:t xml:space="preserve">−1 </w:t>
      </w:r>
      <w:r w:rsidRPr="00656AB0">
        <w:t>Cd(II</w:t>
      </w:r>
      <w:r w:rsidR="0097331C" w:rsidRPr="00656AB0">
        <w:t>)</w:t>
      </w:r>
      <w:r w:rsidR="0097331C">
        <w:t xml:space="preserve"> and</w:t>
      </w:r>
      <w:r w:rsidR="0097331C" w:rsidRPr="00656AB0">
        <w:t xml:space="preserve"> </w:t>
      </w:r>
      <w:r w:rsidRPr="00656AB0">
        <w:t>5 mg L</w:t>
      </w:r>
      <w:r w:rsidRPr="00656AB0">
        <w:rPr>
          <w:vertAlign w:val="superscript"/>
        </w:rPr>
        <w:t xml:space="preserve">−1 </w:t>
      </w:r>
      <w:r w:rsidRPr="00656AB0">
        <w:t>Zn(II).</w:t>
      </w:r>
      <w:r w:rsidR="002E0670">
        <w:t xml:space="preserve"> </w:t>
      </w:r>
      <w:r w:rsidRPr="00656AB0">
        <w:t>Tests were carried out with a constant solid to liquid ratio of 4 g</w:t>
      </w:r>
      <w:r w:rsidRPr="002E0670">
        <w:rPr>
          <w:vertAlign w:val="subscript"/>
        </w:rPr>
        <w:t>sorbent</w:t>
      </w:r>
      <w:r w:rsidRPr="00656AB0">
        <w:t xml:space="preserve"> L</w:t>
      </w:r>
      <w:r w:rsidRPr="00656AB0">
        <w:rPr>
          <w:vertAlign w:val="superscript"/>
        </w:rPr>
        <w:t>−1</w:t>
      </w:r>
      <w:r w:rsidRPr="00656AB0">
        <w:t xml:space="preserve">, at 30.0 ± 0.1 °C. Adsorption kinetics in </w:t>
      </w:r>
      <w:r w:rsidR="00B876CE">
        <w:t>bi</w:t>
      </w:r>
      <w:r w:rsidRPr="00656AB0">
        <w:t>nary Cd(II)-Zn(II) mixtures was studied monitoring the supernatant Cd(II)</w:t>
      </w:r>
      <w:r w:rsidR="00B876CE">
        <w:t xml:space="preserve"> and</w:t>
      </w:r>
      <w:r w:rsidRPr="00656AB0">
        <w:t xml:space="preserve"> Zn(II) concentration at successive intervals of contact time, up to 4 days, by ICP-AES (Perkin-Elmer, Optical Emission Spectrofotometer, Model Optima 8000 DV).</w:t>
      </w:r>
      <w:r>
        <w:t xml:space="preserve"> </w:t>
      </w:r>
    </w:p>
    <w:p w14:paraId="4241D432" w14:textId="73B3C681" w:rsidR="0033521B" w:rsidRPr="00B57B36" w:rsidRDefault="0033521B" w:rsidP="0090577E">
      <w:pPr>
        <w:pStyle w:val="CETHeading1"/>
        <w:tabs>
          <w:tab w:val="clear" w:pos="360"/>
        </w:tabs>
        <w:jc w:val="both"/>
        <w:rPr>
          <w:lang w:val="en-GB"/>
        </w:rPr>
      </w:pPr>
      <w:r>
        <w:rPr>
          <w:lang w:val="en-GB"/>
        </w:rPr>
        <w:t>Results and Discussion</w:t>
      </w:r>
    </w:p>
    <w:p w14:paraId="1C59D47C" w14:textId="073A992B" w:rsidR="00974C6E" w:rsidRPr="00B57B36" w:rsidRDefault="000C7D38" w:rsidP="001543BF">
      <w:pPr>
        <w:pStyle w:val="CETheadingx"/>
      </w:pPr>
      <w:r>
        <w:t xml:space="preserve">3.1 </w:t>
      </w:r>
      <w:r w:rsidR="00974C6E">
        <w:t xml:space="preserve">Biochar production </w:t>
      </w:r>
    </w:p>
    <w:p w14:paraId="173546A7" w14:textId="0E2DCAF9" w:rsidR="00EB0803" w:rsidRDefault="00B32025" w:rsidP="00B32025">
      <w:pPr>
        <w:pStyle w:val="CETBodytext"/>
        <w:rPr>
          <w:lang w:val="en-GB"/>
        </w:rPr>
      </w:pPr>
      <w:r w:rsidRPr="00B32025">
        <w:rPr>
          <w:lang w:val="en-GB"/>
        </w:rPr>
        <w:t xml:space="preserve">The temperature at which pyrolysis occurs strongly influences the characteristics of biochar, such as the surface area and pore surface distribution, which increase with </w:t>
      </w:r>
      <w:r>
        <w:rPr>
          <w:lang w:val="en-GB"/>
        </w:rPr>
        <w:t>pyrolisis</w:t>
      </w:r>
      <w:r w:rsidRPr="00B32025">
        <w:rPr>
          <w:lang w:val="en-GB"/>
        </w:rPr>
        <w:t xml:space="preserve"> temperature</w:t>
      </w:r>
      <w:r w:rsidR="001B2199">
        <w:rPr>
          <w:lang w:val="en-GB"/>
        </w:rPr>
        <w:t xml:space="preserve"> </w:t>
      </w:r>
      <w:r w:rsidR="00D07F82">
        <w:rPr>
          <w:lang w:val="en-GB"/>
        </w:rPr>
        <w:fldChar w:fldCharType="begin" w:fldLock="1"/>
      </w:r>
      <w:r w:rsidR="00D07F82">
        <w:rPr>
          <w:lang w:val="en-GB"/>
        </w:rPr>
        <w:instrText>ADDIN CSL_CITATION {"citationItems":[{"id":"ITEM-1","itemData":{"DOI":"10.1016/j.jclepro.2019.01.106","ISSN":"09596526","abstract":"Biochar has been widely studied as a soil amendment to improve soil properties. When different feedstocks are used to produce biochar under different pyrolysis conditions, the resulting biochar would typically differ in physicochemical properties, which consequently impact the agricultural and environmental performance of biochar in its real-world applications. In this work, based on previously reported data from independent studies, different biochar properties were synthesized as a continuum of pyrolysis temperature and feedstock type. Despite the fact that other factors besides pyrolysis temperature and feedstock type might also impact biochar properties, given the same category of feedstock, many critical properties such as biochar yield, pH, cation exchange capacity, specific surface area, ash content, volatile matter content, and elemental composition have been found to well correlate with pyrolysis temperature, showing p-values smaller than 0.05. At the same time, through meta-analyses, the effects of pyrolysis temperature and feedstock type on the agricultural and environmental impacts of biochar, including nitrogen retention, nitrous oxide emission and crop production, have been evaluated. The study has demonstrated that quantitative approaches such as data syntheses and meta-analyses are potential for revealing predictive relationships that can link biochar production with its properties and performance in real-world applications.","author":[{"dropping-particle":"","family":"Li","given":"Simeng","non-dropping-particle":"","parse-names":false,"suffix":""},{"dropping-particle":"","family":"Harris","given":"Scott","non-dropping-particle":"","parse-names":false,"suffix":""},{"dropping-particle":"","family":"Anandhi","given":"Aavudai","non-dropping-particle":"","parse-names":false,"suffix":""},{"dropping-particle":"","family":"Chen","given":"Gang","non-dropping-particle":"","parse-names":false,"suffix":""}],"container-title":"Journal of Cleaner Production","id":"ITEM-1","issued":{"date-parts":[["2019"]]},"page":"890-902","publisher":"Elsevier Ltd","title":"Predicting biochar properties and functions based on feedstock and pyrolysis temperature: A review and data syntheses","type":"article-journal","volume":"215"},"uris":["http://www.mendeley.com/documents/?uuid=e48b4082-4e4e-43b6-a2b6-afc87d00d02f"]},{"id":"ITEM-2","itemData":{"DOI":"10.1016/j.biortech.2011.11.084","ISSN":"09608524","PMID":"22237173","abstract":"While pyrolysis of livestock manures generates nutrient-rich biochars with potential agronomic uses, studies are needed to clarify biochar properties across manure varieties under similar controlled conditions. This paper reports selected physicochemical results for five manure-based biochars pyrolyzed at 350 and 700 °C: swine separated-solids; paved-feedlot manure; dairy manure; poultry litter; and turkey litter. Elemental and FTIR analyses of these alkaline biochars demonstrated variations and similarities in physicochemical characteristics. The FTIR spectra were similar for (1) turkey and poultry and (2) feedlot and dairy, but were distinct for swine biochars. Dairy biochars contained the greatest volatile matter, C, and energy content and lowest ash, N, and S contents. Swine biochars had the greatest P, N, and S contents alongside the lowest pH and EC values. Poultry litter biochars exhibited the greatest EC values. With the greatest ash contents, turkey litter biochars had the greatest biochar mass recoveries, whereas feedlot biochars demonstrated the lowest. © 2011.","author":[{"dropping-particle":"","family":"Cantrell","given":"Keri B.","non-dropping-particle":"","parse-names":false,"suffix":""},{"dropping-particle":"","family":"Hunt","given":"Patrick G.","non-dropping-particle":"","parse-names":false,"suffix":""},{"dropping-particle":"","family":"Uchimiya","given":"Minori","non-dropping-particle":"","parse-names":false,"suffix":""},{"dropping-particle":"","family":"Novak","given":"Jeffrey M.","non-dropping-particle":"","parse-names":false,"suffix":""},{"dropping-particle":"","family":"Ro","given":"Kyoung S.","non-dropping-particle":"","parse-names":false,"suffix":""}],"container-title":"Bioresource Technology","id":"ITEM-2","issue":"January 2019","issued":{"date-parts":[["2012"]]},"page":"419-428","publisher":"Elsevier Ltd","title":"Impact of pyrolysis temperature and manure source on physicochemical characteristics of biochar","type":"article-journal","volume":"107"},"uris":["http://www.mendeley.com/documents/?uuid=45a4c43c-147f-43fe-8334-31fec12eef29"]}],"mendeley":{"formattedCitation":"(Cantrell et al., 2012; Li et al., 2019)","plainTextFormattedCitation":"(Cantrell et al., 2012; Li et al., 2019)","previouslyFormattedCitation":"(Cantrell et al., 2012; Li et al., 2019)"},"properties":{"noteIndex":0},"schema":"https://github.com/citation-style-language/schema/raw/master/csl-citation.json"}</w:instrText>
      </w:r>
      <w:r w:rsidR="00D07F82">
        <w:rPr>
          <w:lang w:val="en-GB"/>
        </w:rPr>
        <w:fldChar w:fldCharType="separate"/>
      </w:r>
      <w:r w:rsidR="00D07F82" w:rsidRPr="00D07F82">
        <w:rPr>
          <w:noProof/>
          <w:lang w:val="en-GB"/>
        </w:rPr>
        <w:t>(Cantrell et al., 2012; Li et al., 2019)</w:t>
      </w:r>
      <w:r w:rsidR="00D07F82">
        <w:rPr>
          <w:lang w:val="en-GB"/>
        </w:rPr>
        <w:fldChar w:fldCharType="end"/>
      </w:r>
      <w:r w:rsidR="00D07F82">
        <w:rPr>
          <w:lang w:val="en-GB"/>
        </w:rPr>
        <w:t>.</w:t>
      </w:r>
      <w:r>
        <w:rPr>
          <w:lang w:val="en-GB"/>
        </w:rPr>
        <w:t xml:space="preserve"> </w:t>
      </w:r>
      <w:r w:rsidRPr="00B32025">
        <w:rPr>
          <w:lang w:val="en-GB"/>
        </w:rPr>
        <w:t>Above 500°C, biochar is more stable and resistant to microbial degradation compared to that produced at lower temperatures</w:t>
      </w:r>
      <w:r w:rsidR="00D07F82">
        <w:rPr>
          <w:lang w:val="en-GB"/>
        </w:rPr>
        <w:t xml:space="preserve"> </w:t>
      </w:r>
      <w:r w:rsidR="00D07F82">
        <w:rPr>
          <w:lang w:val="en-GB"/>
        </w:rPr>
        <w:fldChar w:fldCharType="begin" w:fldLock="1"/>
      </w:r>
      <w:r w:rsidR="00D07F82">
        <w:rPr>
          <w:lang w:val="en-GB"/>
        </w:rPr>
        <w:instrText>ADDIN CSL_CITATION {"citationItems":[{"id":"ITEM-1","itemData":{"DOI":"10.1088/1742-6596/2256/1/012005","ISSN":"17426596","abstract":"The properties of biochars and their adsorption performance are highly dependent on the pyrolysis temperature. In this study, tea waste-based biochars at the different pyrolysis temperature (573K-973K) were investigated, and adsorption capacities of heavy metals from solution by biochars were studied. TG/DTA and SEM results showed that with the increased of pyrolysis temperature, the yield of biochar sharply declined and reached stable at 973K. Moreover, low ratios of H/C, O/C and (O+N)/C were obtained at high pyrolysis temperature, which could produce more pore structure and be conducive to the adsorption of heavy metal ions. The adsorption experiments confirmed that the Pb and Zn absorption efficiency at 973K could reach 99.98% and 30.49%, respectively, which was the optimum temperature.","author":[{"dropping-particle":"","family":"Cui","given":"X. L.","non-dropping-particle":"","parse-names":false,"suffix":""},{"dropping-particle":"","family":"Zhong","given":"J.","non-dropping-particle":"","parse-names":false,"suffix":""},{"dropping-particle":"","family":"Li","given":"H. X.","non-dropping-particle":"","parse-names":false,"suffix":""},{"dropping-particle":"","family":"Jin","given":"R. Z.","non-dropping-particle":"","parse-names":false,"suffix":""},{"dropping-particle":"","family":"Liu","given":"Y.","non-dropping-particle":"","parse-names":false,"suffix":""},{"dropping-particle":"","family":"Che","given":"X. K.","non-dropping-particle":"","parse-names":false,"suffix":""},{"dropping-particle":"","family":"Yuan","given":"X. T.","non-dropping-particle":"","parse-names":false,"suffix":""},{"dropping-particle":"","family":"Zhang","given":"Q. D.","non-dropping-particle":"","parse-names":false,"suffix":""},{"dropping-particle":"","family":"Fu","given":"H.","non-dropping-particle":"","parse-names":false,"suffix":""}],"container-title":"Journal of Physics: Conference Series","id":"ITEM-1","issue":"1","issued":{"date-parts":[["2022"]]},"page":"2501-2510","title":"Influence of pyrolysis temperature on tea waste-based biochar property and function as a heavy metal sorbent in aqueous solution","type":"article-journal","volume":"2256"},"uris":["http://www.mendeley.com/documents/?uuid=7c05e3c8-fc8d-4069-a41b-9e371c272642"]}],"mendeley":{"formattedCitation":"(Cui et al., 2022)","plainTextFormattedCitation":"(Cui et al., 2022)","previouslyFormattedCitation":"(Cui et al., 2022)"},"properties":{"noteIndex":0},"schema":"https://github.com/citation-style-language/schema/raw/master/csl-citation.json"}</w:instrText>
      </w:r>
      <w:r w:rsidR="00D07F82">
        <w:rPr>
          <w:lang w:val="en-GB"/>
        </w:rPr>
        <w:fldChar w:fldCharType="separate"/>
      </w:r>
      <w:r w:rsidR="00D07F82" w:rsidRPr="00D07F82">
        <w:rPr>
          <w:noProof/>
          <w:lang w:val="en-GB"/>
        </w:rPr>
        <w:t>(Cui et al., 2022)</w:t>
      </w:r>
      <w:r w:rsidR="00D07F82">
        <w:rPr>
          <w:lang w:val="en-GB"/>
        </w:rPr>
        <w:fldChar w:fldCharType="end"/>
      </w:r>
      <w:r w:rsidRPr="00B32025">
        <w:rPr>
          <w:lang w:val="en-GB"/>
        </w:rPr>
        <w:t>.</w:t>
      </w:r>
      <w:r>
        <w:rPr>
          <w:lang w:val="en-GB"/>
        </w:rPr>
        <w:t xml:space="preserve"> Pyrolis</w:t>
      </w:r>
      <w:r w:rsidR="002F6971">
        <w:rPr>
          <w:lang w:val="en-GB"/>
        </w:rPr>
        <w:t>is</w:t>
      </w:r>
      <w:r>
        <w:rPr>
          <w:lang w:val="en-GB"/>
        </w:rPr>
        <w:t xml:space="preserve"> te</w:t>
      </w:r>
      <w:r w:rsidR="004D0493">
        <w:rPr>
          <w:lang w:val="en-GB"/>
        </w:rPr>
        <w:t xml:space="preserve">mperature also affects the </w:t>
      </w:r>
      <w:r w:rsidR="008F262E">
        <w:rPr>
          <w:lang w:val="en-GB"/>
        </w:rPr>
        <w:t xml:space="preserve">electrochemical </w:t>
      </w:r>
      <w:r>
        <w:rPr>
          <w:lang w:val="en-GB"/>
        </w:rPr>
        <w:t>behaviour, enabling the production of more conductive and electrocatalytically active biochar, when the temperature</w:t>
      </w:r>
      <w:r w:rsidR="00D07F82">
        <w:rPr>
          <w:lang w:val="en-GB"/>
        </w:rPr>
        <w:t xml:space="preserve"> is set between 900 and 1100°C </w:t>
      </w:r>
      <w:r w:rsidR="00D07F82">
        <w:rPr>
          <w:lang w:val="en-GB"/>
        </w:rPr>
        <w:fldChar w:fldCharType="begin" w:fldLock="1"/>
      </w:r>
      <w:r w:rsidR="00615386">
        <w:rPr>
          <w:lang w:val="en-GB"/>
        </w:rPr>
        <w:instrText>ADDIN CSL_CITATION {"citationItems":[{"id":"ITEM-1","itemData":{"DOI":"10.1038/s41598-021-98009-5","ISBN":"0123456789","ISSN":"20452322","PMID":"34531503","abstract":"We investigate conducting characteristics of biochar derived from the pyrolysis of a paper at terahertz frequencies. Paper is annealed under temperatures ranging from 600 to 1000 °C to modify structural and electrical properties. We experimentally observe that the terahertz conductivity increases above 102 S/m as the annealing temperature increases up to 800 °C. From structural characterization using energy-dispersive X-ray spectroscopy, Fourier-transform infrared spectroscopy, Raman spectroscopy, X-ray diffraction, and X-ray photoelectron spectroscopy, we confirm that more graphitic biochars are produced in high annealing temperature, in agreement with the improvement of terahertz conductivity. Our results show that biochar can be a highly promising candidate to be used in paper-based devices operating at terahertz frequencies.","author":[{"dropping-particle":"","family":"Park","given":"Woongkyu","non-dropping-particle":"","parse-names":false,"suffix":""},{"dropping-particle":"","family":"Kim","given":"Hyuntae","non-dropping-particle":"","parse-names":false,"suffix":""},{"dropping-particle":"","family":"Park","given":"Hajung","non-dropping-particle":"","parse-names":false,"suffix":""},{"dropping-particle":"","family":"Choi","given":"Soobong","non-dropping-particle":"","parse-names":false,"suffix":""},{"dropping-particle":"","family":"Hong","given":"Sung Ju","non-dropping-particle":"","parse-names":false,"suffix":""},{"dropping-particle":"","family":"Bahk","given":"Young Mi","non-dropping-particle":"","parse-names":false,"suffix":""}],"container-title":"Scientific Reports","id":"ITEM-1","issue":"1","issued":{"date-parts":[["2021"]]},"page":"1-8","publisher":"Nature Publishing Group UK","title":"Biochar as a low-cost, eco-friendly, and electrically conductive material for terahertz applications","type":"article-journal","volume":"11"},"uris":["http://www.mendeley.com/documents/?uuid=c0c3c7e9-9e70-4b90-9c43-b078734ed574"]}],"mendeley":{"formattedCitation":"(Park et al., 2021)","plainTextFormattedCitation":"(Park et al., 2021)","previouslyFormattedCitation":"(Park et al., 2021)"},"properties":{"noteIndex":0},"schema":"https://github.com/citation-style-language/schema/raw/master/csl-citation.json"}</w:instrText>
      </w:r>
      <w:r w:rsidR="00D07F82">
        <w:rPr>
          <w:lang w:val="en-GB"/>
        </w:rPr>
        <w:fldChar w:fldCharType="separate"/>
      </w:r>
      <w:r w:rsidR="00D07F82" w:rsidRPr="00D07F82">
        <w:rPr>
          <w:noProof/>
          <w:lang w:val="en-GB"/>
        </w:rPr>
        <w:t>(Park et al., 2021)</w:t>
      </w:r>
      <w:r w:rsidR="00D07F82">
        <w:rPr>
          <w:lang w:val="en-GB"/>
        </w:rPr>
        <w:fldChar w:fldCharType="end"/>
      </w:r>
      <w:r>
        <w:rPr>
          <w:lang w:val="en-GB"/>
        </w:rPr>
        <w:t xml:space="preserve">. </w:t>
      </w:r>
      <w:r w:rsidRPr="00B32025">
        <w:rPr>
          <w:lang w:val="en-GB"/>
        </w:rPr>
        <w:t xml:space="preserve">Furthermore, in a study by </w:t>
      </w:r>
      <w:r w:rsidRPr="00615386">
        <w:rPr>
          <w:lang w:val="en-GB"/>
        </w:rPr>
        <w:t>Yuan and colleagues in 2013</w:t>
      </w:r>
      <w:r w:rsidRPr="00B32025">
        <w:rPr>
          <w:lang w:val="en-GB"/>
        </w:rPr>
        <w:t xml:space="preserve">, the </w:t>
      </w:r>
      <w:r w:rsidR="008F262E">
        <w:rPr>
          <w:lang w:val="en-GB"/>
        </w:rPr>
        <w:t xml:space="preserve">electrical </w:t>
      </w:r>
      <w:r w:rsidRPr="00B32025">
        <w:rPr>
          <w:lang w:val="en-GB"/>
        </w:rPr>
        <w:t xml:space="preserve">power </w:t>
      </w:r>
      <w:r w:rsidR="008F262E">
        <w:rPr>
          <w:lang w:val="en-GB"/>
        </w:rPr>
        <w:t xml:space="preserve">of devices crafted with a cathode made </w:t>
      </w:r>
      <w:r w:rsidR="0033645F">
        <w:rPr>
          <w:lang w:val="en-GB"/>
        </w:rPr>
        <w:t>of</w:t>
      </w:r>
      <w:r w:rsidRPr="00B32025">
        <w:rPr>
          <w:lang w:val="en-GB"/>
        </w:rPr>
        <w:t xml:space="preserve"> biochar derived from sewage sludge</w:t>
      </w:r>
      <w:r w:rsidR="008F262E" w:rsidRPr="008F262E">
        <w:rPr>
          <w:lang w:val="en-GB"/>
        </w:rPr>
        <w:t xml:space="preserve"> </w:t>
      </w:r>
      <w:r w:rsidR="008F262E">
        <w:rPr>
          <w:lang w:val="en-GB"/>
        </w:rPr>
        <w:t xml:space="preserve">and </w:t>
      </w:r>
      <w:r w:rsidR="008F262E" w:rsidRPr="00B32025">
        <w:rPr>
          <w:lang w:val="en-GB"/>
        </w:rPr>
        <w:t>pyrolyzed at 900°C</w:t>
      </w:r>
      <w:r w:rsidRPr="00B32025">
        <w:rPr>
          <w:lang w:val="en-GB"/>
        </w:rPr>
        <w:t>, was found to be five times higher than that of biochar produced at 500°C and three times higher than that produced at 700°C</w:t>
      </w:r>
      <w:r w:rsidR="00615386">
        <w:rPr>
          <w:lang w:val="en-GB"/>
        </w:rPr>
        <w:t xml:space="preserve"> </w:t>
      </w:r>
      <w:r w:rsidR="00615386">
        <w:rPr>
          <w:lang w:val="en-GB"/>
        </w:rPr>
        <w:fldChar w:fldCharType="begin" w:fldLock="1"/>
      </w:r>
      <w:r w:rsidR="007E5972">
        <w:rPr>
          <w:lang w:val="en-GB"/>
        </w:rPr>
        <w:instrText>ADDIN CSL_CITATION {"citationItems":[{"id":"ITEM-1","itemData":{"DOI":"10.1016/j.ijhydene.2016.08.132","ISSN":"03603199","abstract":"Cathode catalysts with excellent efficiencies, low costs and long-term durability in microbial fuel cell (MFC) applications have attracted considerable attention. Herein, hierarchically structured carbons with honeycomb-like interconnected macro-mesoporous frameworks and N, P, and Fe heteroatom doping have been successfully prepared through direct pyrolysis from livestock sewage sludge. In neutral media, the as-prepared activated livestock sewage sludge carbon (LSC-A) catalyst displayed great electrocatalytic activity for the oxygen reduction reaction (ORR), and a maximum power density of 1273 ± 3 mW/m2 was obtained when this catalyst applied in MFCs, which is comparable to that of commercial Pt/C (1294 ± 2 mW/m2). Furthermore, after 90 days of operation, the voltage output of the MFC with the LSC-A cathode decreased only 10.2%, which is considerably lower than the 28.4% decrease of the Pt/C cathode, indicating that LSC-A possesses a greater long-term stability than the Pt/C cathode. This study demonstrated that the N, P, Fe-doped honeycomb-like hierarchically structured carbon derived from livestock sewage sludge is a cost-efficient and promising cathode catalyst for scaling up MFCs.","author":[{"dropping-particle":"","family":"Deng","given":"Lifang","non-dropping-particle":"","parse-names":false,"suffix":""},{"dropping-particle":"","family":"Yuan","given":"Haoran","non-dropping-particle":"","parse-names":false,"suffix":""},{"dropping-particle":"","family":"Cai","given":"Xixi","non-dropping-particle":"","parse-names":false,"suffix":""},{"dropping-particle":"","family":"Ruan","given":"Yingying","non-dropping-particle":"","parse-names":false,"suffix":""},{"dropping-particle":"","family":"Zhou","given":"Shungui","non-dropping-particle":"","parse-names":false,"suffix":""},{"dropping-particle":"","family":"Chen","given":"Yong","non-dropping-particle":"","parse-names":false,"suffix":""},{"dropping-particle":"","family":"Yuan","given":"Yong","non-dropping-particle":"","parse-names":false,"suffix":""}],"container-title":"International Journal of Hydrogen Energy","id":"ITEM-1","issue":"47","issued":{"date-parts":[["2016"]]},"page":"22328-22336","publisher":"Elsevier Ltd","title":"Honeycomb-like hierarchical carbon derived from livestock sewage sludge as oxygen reduction reaction catalysts in microbial fuel cells","type":"article-journal","volume":"41"},"uris":["http://www.mendeley.com/documents/?uuid=e0687663-06f5-4a7a-8c94-ed9f092e1fc0"]}],"mendeley":{"formattedCitation":"(Deng et al., 2016)","plainTextFormattedCitation":"(Deng et al., 2016)","previouslyFormattedCitation":"(Deng et al., 2016)"},"properties":{"noteIndex":0},"schema":"https://github.com/citation-style-language/schema/raw/master/csl-citation.json"}</w:instrText>
      </w:r>
      <w:r w:rsidR="00615386">
        <w:rPr>
          <w:lang w:val="en-GB"/>
        </w:rPr>
        <w:fldChar w:fldCharType="separate"/>
      </w:r>
      <w:r w:rsidR="00615386" w:rsidRPr="00615386">
        <w:rPr>
          <w:noProof/>
          <w:lang w:val="en-GB"/>
        </w:rPr>
        <w:t>(Deng et al., 2016)</w:t>
      </w:r>
      <w:r w:rsidR="00615386">
        <w:rPr>
          <w:lang w:val="en-GB"/>
        </w:rPr>
        <w:fldChar w:fldCharType="end"/>
      </w:r>
      <w:r w:rsidRPr="00B32025">
        <w:rPr>
          <w:lang w:val="en-GB"/>
        </w:rPr>
        <w:t>.</w:t>
      </w:r>
      <w:r>
        <w:rPr>
          <w:lang w:val="en-GB"/>
        </w:rPr>
        <w:t xml:space="preserve"> </w:t>
      </w:r>
      <w:r w:rsidRPr="00B32025">
        <w:rPr>
          <w:lang w:val="en-GB"/>
        </w:rPr>
        <w:t>Based on these literature findings, the pyrolysis temperat</w:t>
      </w:r>
      <w:r>
        <w:rPr>
          <w:lang w:val="en-GB"/>
        </w:rPr>
        <w:t>ure was therefore set at 900°C.</w:t>
      </w:r>
      <w:r w:rsidR="00C41998">
        <w:rPr>
          <w:lang w:val="en-GB"/>
        </w:rPr>
        <w:t xml:space="preserve"> By pyrolysis, </w:t>
      </w:r>
      <w:r w:rsidR="006077A2">
        <w:rPr>
          <w:lang w:val="en-GB"/>
        </w:rPr>
        <w:t xml:space="preserve">silverskin-based biochar was produced, resulting in </w:t>
      </w:r>
      <w:r w:rsidR="00C41998" w:rsidRPr="00C41998">
        <w:rPr>
          <w:lang w:val="en-GB"/>
        </w:rPr>
        <w:t xml:space="preserve">weight loss of </w:t>
      </w:r>
      <w:r w:rsidR="004C49AB">
        <w:rPr>
          <w:lang w:val="en-GB"/>
        </w:rPr>
        <w:t>74%</w:t>
      </w:r>
      <w:r w:rsidR="00141354">
        <w:rPr>
          <w:lang w:val="en-GB"/>
        </w:rPr>
        <w:t xml:space="preserve"> (</w:t>
      </w:r>
      <w:r w:rsidR="006077A2">
        <w:rPr>
          <w:lang w:val="en-GB"/>
        </w:rPr>
        <w:t>p</w:t>
      </w:r>
      <w:r w:rsidR="00C41998" w:rsidRPr="00C41998">
        <w:rPr>
          <w:lang w:val="en-GB"/>
        </w:rPr>
        <w:t>yrolysis yield of 26%</w:t>
      </w:r>
      <w:r w:rsidR="00141354">
        <w:rPr>
          <w:lang w:val="en-GB"/>
        </w:rPr>
        <w:t>)</w:t>
      </w:r>
      <w:r w:rsidR="00C41998" w:rsidRPr="00C41998">
        <w:rPr>
          <w:lang w:val="en-GB"/>
        </w:rPr>
        <w:t>.</w:t>
      </w:r>
      <w:r w:rsidR="004C49AB">
        <w:rPr>
          <w:lang w:val="en-GB"/>
        </w:rPr>
        <w:t xml:space="preserve"> </w:t>
      </w:r>
    </w:p>
    <w:p w14:paraId="24936899" w14:textId="42FDB366" w:rsidR="00974C6E" w:rsidRDefault="000C7D38" w:rsidP="001543BF">
      <w:pPr>
        <w:pStyle w:val="CETheadingx"/>
        <w:rPr>
          <w:lang w:val="en-GB"/>
        </w:rPr>
      </w:pPr>
      <w:r>
        <w:t xml:space="preserve">3.2 </w:t>
      </w:r>
      <w:r w:rsidR="00974C6E">
        <w:t>MFC operation</w:t>
      </w:r>
    </w:p>
    <w:p w14:paraId="377BCE94" w14:textId="49207BCB" w:rsidR="002F6971" w:rsidRDefault="00C47325" w:rsidP="002F6971">
      <w:pPr>
        <w:pStyle w:val="CETBodytext"/>
        <w:rPr>
          <w:lang w:val="en-GB"/>
        </w:rPr>
      </w:pPr>
      <w:r>
        <w:rPr>
          <w:lang w:val="en-GB"/>
        </w:rPr>
        <w:t>D</w:t>
      </w:r>
      <w:r w:rsidR="00241A14">
        <w:rPr>
          <w:lang w:val="en-GB"/>
        </w:rPr>
        <w:t xml:space="preserve">uplicates of the </w:t>
      </w:r>
      <w:r>
        <w:rPr>
          <w:lang w:val="en-GB"/>
        </w:rPr>
        <w:t xml:space="preserve">device coded </w:t>
      </w:r>
      <w:r w:rsidR="0033645F">
        <w:rPr>
          <w:lang w:val="en-GB"/>
        </w:rPr>
        <w:t xml:space="preserve">as </w:t>
      </w:r>
      <w:r>
        <w:rPr>
          <w:lang w:val="en-GB"/>
        </w:rPr>
        <w:t xml:space="preserve">SK-MFC </w:t>
      </w:r>
      <w:r w:rsidR="002F6971">
        <w:rPr>
          <w:lang w:val="en-GB"/>
        </w:rPr>
        <w:t>were operated in the presence of a simulated brewery wastewater</w:t>
      </w:r>
      <w:r>
        <w:rPr>
          <w:lang w:val="en-GB"/>
        </w:rPr>
        <w:t>, using a cathode made from the silverskin-based biochar, as above described</w:t>
      </w:r>
      <w:r w:rsidR="002F6971">
        <w:rPr>
          <w:lang w:val="en-GB"/>
        </w:rPr>
        <w:t xml:space="preserve">. </w:t>
      </w:r>
      <w:r>
        <w:rPr>
          <w:lang w:val="en-GB"/>
        </w:rPr>
        <w:t>At the same time, two replicates called</w:t>
      </w:r>
      <w:r w:rsidR="002F6971">
        <w:rPr>
          <w:lang w:val="en-GB"/>
        </w:rPr>
        <w:t xml:space="preserve"> CTRL-MFC</w:t>
      </w:r>
      <w:r>
        <w:rPr>
          <w:lang w:val="en-GB"/>
        </w:rPr>
        <w:t xml:space="preserve"> </w:t>
      </w:r>
      <w:r w:rsidR="002F6971">
        <w:rPr>
          <w:lang w:val="en-GB"/>
        </w:rPr>
        <w:t>w</w:t>
      </w:r>
      <w:r>
        <w:rPr>
          <w:lang w:val="en-GB"/>
        </w:rPr>
        <w:t>ere</w:t>
      </w:r>
      <w:r w:rsidR="002F6971">
        <w:rPr>
          <w:lang w:val="en-GB"/>
        </w:rPr>
        <w:t xml:space="preserve"> </w:t>
      </w:r>
      <w:r w:rsidR="002F6971" w:rsidRPr="002F6971">
        <w:rPr>
          <w:lang w:val="en-GB"/>
        </w:rPr>
        <w:t xml:space="preserve">operated in the presence of a </w:t>
      </w:r>
      <w:r>
        <w:rPr>
          <w:lang w:val="en-GB"/>
        </w:rPr>
        <w:t xml:space="preserve">cathode made of a </w:t>
      </w:r>
      <w:r w:rsidR="002F6971" w:rsidRPr="002F6971">
        <w:rPr>
          <w:lang w:val="en-GB"/>
        </w:rPr>
        <w:t xml:space="preserve">commercial </w:t>
      </w:r>
      <w:r>
        <w:rPr>
          <w:lang w:val="en-GB"/>
        </w:rPr>
        <w:t xml:space="preserve">activated </w:t>
      </w:r>
      <w:r w:rsidR="002F6971" w:rsidRPr="002F6971">
        <w:rPr>
          <w:lang w:val="en-GB"/>
        </w:rPr>
        <w:t>carbon</w:t>
      </w:r>
      <w:r w:rsidR="002F6971">
        <w:rPr>
          <w:lang w:val="en-GB"/>
        </w:rPr>
        <w:t>.</w:t>
      </w:r>
    </w:p>
    <w:p w14:paraId="646D5511" w14:textId="7F23CED0" w:rsidR="00F94820" w:rsidRDefault="000E19CB" w:rsidP="0090577E">
      <w:pPr>
        <w:pStyle w:val="CETBodytext"/>
        <w:rPr>
          <w:lang w:val="en-GB"/>
        </w:rPr>
      </w:pPr>
      <w:r>
        <w:rPr>
          <w:lang w:val="en-GB"/>
        </w:rPr>
        <w:t>C</w:t>
      </w:r>
      <w:r w:rsidR="00197E05">
        <w:rPr>
          <w:lang w:val="en-GB"/>
        </w:rPr>
        <w:t>urrent</w:t>
      </w:r>
      <w:r w:rsidR="00197E05" w:rsidRPr="00197E05">
        <w:rPr>
          <w:lang w:val="en-GB"/>
        </w:rPr>
        <w:t xml:space="preserve"> trends of the </w:t>
      </w:r>
      <w:r w:rsidR="00C93AB9">
        <w:rPr>
          <w:lang w:val="en-GB"/>
        </w:rPr>
        <w:t xml:space="preserve">four </w:t>
      </w:r>
      <w:r w:rsidR="00197E05" w:rsidRPr="00197E05">
        <w:rPr>
          <w:lang w:val="en-GB"/>
        </w:rPr>
        <w:t>MFCs</w:t>
      </w:r>
      <w:r>
        <w:rPr>
          <w:lang w:val="en-GB"/>
        </w:rPr>
        <w:t xml:space="preserve"> were </w:t>
      </w:r>
      <w:r w:rsidR="00197E05" w:rsidRPr="00197E05">
        <w:rPr>
          <w:lang w:val="en-GB"/>
        </w:rPr>
        <w:t xml:space="preserve">measured </w:t>
      </w:r>
      <w:r>
        <w:rPr>
          <w:lang w:val="en-GB"/>
        </w:rPr>
        <w:t>over 45 days monitoring an initial acclimation cycle followed by two</w:t>
      </w:r>
      <w:r w:rsidR="00197E05" w:rsidRPr="00197E05">
        <w:rPr>
          <w:lang w:val="en-GB"/>
        </w:rPr>
        <w:t xml:space="preserve"> </w:t>
      </w:r>
      <w:r w:rsidR="00C93AB9">
        <w:rPr>
          <w:lang w:val="en-GB"/>
        </w:rPr>
        <w:t xml:space="preserve">remediation </w:t>
      </w:r>
      <w:r w:rsidR="00197E05" w:rsidRPr="00197E05">
        <w:rPr>
          <w:lang w:val="en-GB"/>
        </w:rPr>
        <w:t>cycle</w:t>
      </w:r>
      <w:r w:rsidR="00C93AB9">
        <w:rPr>
          <w:lang w:val="en-GB"/>
        </w:rPr>
        <w:t xml:space="preserve">s, by removing each time the treated wastewater through </w:t>
      </w:r>
      <w:r w:rsidR="0033645F">
        <w:rPr>
          <w:lang w:val="en-GB"/>
        </w:rPr>
        <w:t>a</w:t>
      </w:r>
      <w:r w:rsidR="00C93AB9">
        <w:rPr>
          <w:lang w:val="en-GB"/>
        </w:rPr>
        <w:t xml:space="preserve"> valve </w:t>
      </w:r>
      <w:r w:rsidR="00996910">
        <w:rPr>
          <w:lang w:val="en-GB"/>
        </w:rPr>
        <w:t>placed</w:t>
      </w:r>
      <w:r w:rsidR="00C93AB9">
        <w:rPr>
          <w:lang w:val="en-GB"/>
        </w:rPr>
        <w:t xml:space="preserve"> in the bottom of the cells and replacing it with fresh</w:t>
      </w:r>
      <w:r w:rsidR="00197E05" w:rsidRPr="00197E05">
        <w:rPr>
          <w:lang w:val="en-GB"/>
        </w:rPr>
        <w:t xml:space="preserve"> </w:t>
      </w:r>
      <w:r>
        <w:rPr>
          <w:lang w:val="en-GB"/>
        </w:rPr>
        <w:t xml:space="preserve">wastewater. Results </w:t>
      </w:r>
      <w:r w:rsidR="00197E05" w:rsidRPr="00197E05">
        <w:rPr>
          <w:lang w:val="en-GB"/>
        </w:rPr>
        <w:t>are reported</w:t>
      </w:r>
      <w:r>
        <w:rPr>
          <w:lang w:val="en-GB"/>
        </w:rPr>
        <w:t xml:space="preserve"> </w:t>
      </w:r>
      <w:r w:rsidR="00197E05" w:rsidRPr="00197E05">
        <w:rPr>
          <w:lang w:val="en-GB"/>
        </w:rPr>
        <w:t>in Fig</w:t>
      </w:r>
      <w:r>
        <w:rPr>
          <w:lang w:val="en-GB"/>
        </w:rPr>
        <w:t xml:space="preserve">ure </w:t>
      </w:r>
      <w:r w:rsidR="002E1949">
        <w:rPr>
          <w:lang w:val="en-GB"/>
        </w:rPr>
        <w:t>1B</w:t>
      </w:r>
      <w:r w:rsidR="00F94820">
        <w:rPr>
          <w:lang w:val="en-GB"/>
        </w:rPr>
        <w:t xml:space="preserve">, </w:t>
      </w:r>
      <w:r w:rsidR="00CF3DFE">
        <w:rPr>
          <w:lang w:val="en-GB"/>
        </w:rPr>
        <w:t xml:space="preserve">with </w:t>
      </w:r>
      <w:r w:rsidR="00F94820">
        <w:rPr>
          <w:lang w:val="en-GB"/>
        </w:rPr>
        <w:t xml:space="preserve">error bars for each displayed </w:t>
      </w:r>
      <w:r w:rsidR="00DC0627">
        <w:rPr>
          <w:lang w:val="en-GB"/>
        </w:rPr>
        <w:t>data</w:t>
      </w:r>
      <w:r w:rsidR="00197E05" w:rsidRPr="00197E05">
        <w:rPr>
          <w:lang w:val="en-GB"/>
        </w:rPr>
        <w:t xml:space="preserve">. </w:t>
      </w:r>
      <w:r w:rsidR="004D0493" w:rsidRPr="004D0493">
        <w:rPr>
          <w:lang w:val="en-GB"/>
        </w:rPr>
        <w:t>The current trends</w:t>
      </w:r>
      <w:r w:rsidR="00BE3D62">
        <w:rPr>
          <w:lang w:val="en-GB"/>
        </w:rPr>
        <w:t xml:space="preserve"> </w:t>
      </w:r>
      <w:r w:rsidR="004D0493" w:rsidRPr="004D0493">
        <w:rPr>
          <w:lang w:val="en-GB"/>
        </w:rPr>
        <w:t xml:space="preserve">showed a </w:t>
      </w:r>
      <w:r w:rsidR="00682BC9">
        <w:rPr>
          <w:lang w:val="en-GB"/>
        </w:rPr>
        <w:t xml:space="preserve">percentage </w:t>
      </w:r>
      <w:r w:rsidR="004D0493" w:rsidRPr="004D0493">
        <w:rPr>
          <w:lang w:val="en-GB"/>
        </w:rPr>
        <w:t xml:space="preserve">standard deviation between the </w:t>
      </w:r>
      <w:r w:rsidR="00BE3D62">
        <w:rPr>
          <w:lang w:val="en-GB"/>
        </w:rPr>
        <w:t>dup</w:t>
      </w:r>
      <w:r w:rsidR="004D0493" w:rsidRPr="004D0493">
        <w:rPr>
          <w:lang w:val="en-GB"/>
        </w:rPr>
        <w:t>licates of ab</w:t>
      </w:r>
      <w:r w:rsidR="00BE3D62">
        <w:rPr>
          <w:lang w:val="en-GB"/>
        </w:rPr>
        <w:t>out 5%. During the first acclima</w:t>
      </w:r>
      <w:r w:rsidR="004D0493" w:rsidRPr="004D0493">
        <w:rPr>
          <w:lang w:val="en-GB"/>
        </w:rPr>
        <w:t>tion period,</w:t>
      </w:r>
      <w:r w:rsidR="00682BC9">
        <w:rPr>
          <w:lang w:val="en-GB"/>
        </w:rPr>
        <w:t xml:space="preserve"> the system took around 48 hours before</w:t>
      </w:r>
      <w:r w:rsidR="004D0493" w:rsidRPr="004D0493">
        <w:rPr>
          <w:lang w:val="en-GB"/>
        </w:rPr>
        <w:t xml:space="preserve"> </w:t>
      </w:r>
      <w:r w:rsidR="00682BC9">
        <w:rPr>
          <w:lang w:val="en-GB"/>
        </w:rPr>
        <w:t xml:space="preserve">assuming the correct polarization, with the floating electrode being the positive </w:t>
      </w:r>
      <w:r w:rsidR="006F08CD">
        <w:rPr>
          <w:lang w:val="en-GB"/>
        </w:rPr>
        <w:t xml:space="preserve">one of the </w:t>
      </w:r>
      <w:r w:rsidR="000E327A">
        <w:rPr>
          <w:lang w:val="en-GB"/>
        </w:rPr>
        <w:t>bio</w:t>
      </w:r>
      <w:r w:rsidR="006F08CD">
        <w:rPr>
          <w:lang w:val="en-GB"/>
        </w:rPr>
        <w:t xml:space="preserve">electrochemical device. </w:t>
      </w:r>
      <w:r w:rsidR="00EB699A">
        <w:rPr>
          <w:lang w:val="en-GB"/>
        </w:rPr>
        <w:t>This polarization switch is common in MFC</w:t>
      </w:r>
      <w:r w:rsidR="00D70CA1">
        <w:rPr>
          <w:lang w:val="en-GB"/>
        </w:rPr>
        <w:t>s</w:t>
      </w:r>
      <w:r w:rsidR="00EB699A">
        <w:rPr>
          <w:lang w:val="en-GB"/>
        </w:rPr>
        <w:t xml:space="preserve"> and is mainly related to the creation of an oxygen gradient </w:t>
      </w:r>
      <w:r w:rsidR="00D70CA1">
        <w:rPr>
          <w:lang w:val="en-GB"/>
        </w:rPr>
        <w:t xml:space="preserve">along the depth of the solution </w:t>
      </w:r>
      <w:r w:rsidR="00EB699A">
        <w:rPr>
          <w:lang w:val="en-GB"/>
        </w:rPr>
        <w:t>that decrease</w:t>
      </w:r>
      <w:r w:rsidR="00D70CA1">
        <w:rPr>
          <w:lang w:val="en-GB"/>
        </w:rPr>
        <w:t>s</w:t>
      </w:r>
      <w:r w:rsidR="00EB699A">
        <w:rPr>
          <w:lang w:val="en-GB"/>
        </w:rPr>
        <w:t xml:space="preserve"> from the surface to the bottom of the device as a consequence of </w:t>
      </w:r>
      <w:r w:rsidR="00D70CA1">
        <w:rPr>
          <w:lang w:val="en-GB"/>
        </w:rPr>
        <w:t xml:space="preserve">the </w:t>
      </w:r>
      <w:r w:rsidR="00EB699A">
        <w:rPr>
          <w:lang w:val="en-GB"/>
        </w:rPr>
        <w:t xml:space="preserve">resting condition of the solution and </w:t>
      </w:r>
      <w:r w:rsidR="00D70CA1">
        <w:rPr>
          <w:lang w:val="en-GB"/>
        </w:rPr>
        <w:t xml:space="preserve">of </w:t>
      </w:r>
      <w:r w:rsidR="00EB699A">
        <w:rPr>
          <w:lang w:val="en-GB"/>
        </w:rPr>
        <w:t>the natural aerobic processe</w:t>
      </w:r>
      <w:r w:rsidR="00D70CA1">
        <w:rPr>
          <w:lang w:val="en-GB"/>
        </w:rPr>
        <w:t>s</w:t>
      </w:r>
      <w:r w:rsidR="00EB699A">
        <w:rPr>
          <w:lang w:val="en-GB"/>
        </w:rPr>
        <w:t xml:space="preserve"> occurring in the wastewater. </w:t>
      </w:r>
      <w:r w:rsidR="006F08CD">
        <w:rPr>
          <w:lang w:val="en-GB"/>
        </w:rPr>
        <w:t>Maximum current</w:t>
      </w:r>
      <w:r w:rsidR="002E0670">
        <w:rPr>
          <w:lang w:val="en-GB"/>
        </w:rPr>
        <w:t xml:space="preserve"> densities  (currents normalized by the cathodic</w:t>
      </w:r>
      <w:r w:rsidR="00555FEA">
        <w:rPr>
          <w:lang w:val="en-GB"/>
        </w:rPr>
        <w:t xml:space="preserve"> geometrical </w:t>
      </w:r>
      <w:r w:rsidR="002E0670">
        <w:rPr>
          <w:lang w:val="en-GB"/>
        </w:rPr>
        <w:t>area)</w:t>
      </w:r>
      <w:r w:rsidR="006F08CD">
        <w:rPr>
          <w:lang w:val="en-GB"/>
        </w:rPr>
        <w:t xml:space="preserve">, </w:t>
      </w:r>
      <w:r w:rsidR="00682BC9">
        <w:rPr>
          <w:lang w:val="en-GB"/>
        </w:rPr>
        <w:t xml:space="preserve">detected </w:t>
      </w:r>
      <w:r w:rsidR="006F08CD">
        <w:rPr>
          <w:lang w:val="en-GB"/>
        </w:rPr>
        <w:t xml:space="preserve">after ca. four days from the beginning, </w:t>
      </w:r>
      <w:r w:rsidR="00682BC9">
        <w:rPr>
          <w:lang w:val="en-GB"/>
        </w:rPr>
        <w:t>was</w:t>
      </w:r>
      <w:r w:rsidR="004D0493" w:rsidRPr="004D0493">
        <w:rPr>
          <w:lang w:val="en-GB"/>
        </w:rPr>
        <w:t xml:space="preserve"> up to about </w:t>
      </w:r>
      <w:r w:rsidR="002E0670">
        <w:rPr>
          <w:lang w:val="en-GB"/>
        </w:rPr>
        <w:t>370</w:t>
      </w:r>
      <w:r w:rsidR="00BE3D62">
        <w:rPr>
          <w:lang w:val="en-GB"/>
        </w:rPr>
        <w:t xml:space="preserve"> mA</w:t>
      </w:r>
      <w:r w:rsidR="002E0670">
        <w:rPr>
          <w:lang w:val="en-GB"/>
        </w:rPr>
        <w:t xml:space="preserve"> m</w:t>
      </w:r>
      <w:r w:rsidR="002E0670" w:rsidRPr="002E0670">
        <w:rPr>
          <w:vertAlign w:val="superscript"/>
          <w:lang w:val="en-GB"/>
        </w:rPr>
        <w:t>-2</w:t>
      </w:r>
      <w:r w:rsidR="00BE3D62">
        <w:rPr>
          <w:lang w:val="en-GB"/>
        </w:rPr>
        <w:t xml:space="preserve"> and </w:t>
      </w:r>
      <w:r w:rsidR="002E0670">
        <w:rPr>
          <w:lang w:val="en-GB"/>
        </w:rPr>
        <w:t>220</w:t>
      </w:r>
      <w:r w:rsidR="00BE3D62">
        <w:rPr>
          <w:lang w:val="en-GB"/>
        </w:rPr>
        <w:t xml:space="preserve"> mA </w:t>
      </w:r>
      <w:r w:rsidR="002E0670">
        <w:rPr>
          <w:lang w:val="en-GB"/>
        </w:rPr>
        <w:t>m</w:t>
      </w:r>
      <w:r w:rsidR="002E0670" w:rsidRPr="002E0670">
        <w:rPr>
          <w:vertAlign w:val="superscript"/>
          <w:lang w:val="en-GB"/>
        </w:rPr>
        <w:t>-2</w:t>
      </w:r>
      <w:r w:rsidR="002E0670">
        <w:rPr>
          <w:vertAlign w:val="superscript"/>
          <w:lang w:val="en-GB"/>
        </w:rPr>
        <w:t xml:space="preserve"> </w:t>
      </w:r>
      <w:r w:rsidR="00BE3D62">
        <w:rPr>
          <w:lang w:val="en-GB"/>
        </w:rPr>
        <w:t>for SK-MFC and</w:t>
      </w:r>
      <w:r w:rsidR="00BE3D62" w:rsidRPr="00BE3D62">
        <w:rPr>
          <w:lang w:val="en-GB"/>
        </w:rPr>
        <w:t xml:space="preserve"> </w:t>
      </w:r>
      <w:r w:rsidR="00BE3D62">
        <w:rPr>
          <w:lang w:val="en-GB"/>
        </w:rPr>
        <w:t xml:space="preserve">CTRL-MFC, </w:t>
      </w:r>
      <w:r w:rsidR="00DC0627">
        <w:rPr>
          <w:lang w:val="en-GB"/>
        </w:rPr>
        <w:t>respectively</w:t>
      </w:r>
      <w:r w:rsidR="004D0493" w:rsidRPr="004D0493">
        <w:rPr>
          <w:lang w:val="en-GB"/>
        </w:rPr>
        <w:t xml:space="preserve">. </w:t>
      </w:r>
    </w:p>
    <w:p w14:paraId="0A7CEFC9" w14:textId="5D5FF348" w:rsidR="00EB0803" w:rsidRDefault="004D0493" w:rsidP="0090577E">
      <w:pPr>
        <w:pStyle w:val="CETBodytext"/>
        <w:rPr>
          <w:lang w:val="en-GB"/>
        </w:rPr>
      </w:pPr>
      <w:r w:rsidRPr="004D0493">
        <w:rPr>
          <w:lang w:val="en-GB"/>
        </w:rPr>
        <w:t xml:space="preserve">After </w:t>
      </w:r>
      <w:r w:rsidR="00BE3D62">
        <w:rPr>
          <w:lang w:val="en-GB"/>
        </w:rPr>
        <w:t>the acclimation</w:t>
      </w:r>
      <w:r w:rsidRPr="004D0493">
        <w:rPr>
          <w:lang w:val="en-GB"/>
        </w:rPr>
        <w:t xml:space="preserve"> phase, the real operational period began</w:t>
      </w:r>
      <w:r w:rsidR="00DC0627">
        <w:rPr>
          <w:lang w:val="en-GB"/>
        </w:rPr>
        <w:t xml:space="preserve"> with cycle 1</w:t>
      </w:r>
      <w:r w:rsidR="00F94820">
        <w:rPr>
          <w:lang w:val="en-GB"/>
        </w:rPr>
        <w:t>, followed by cycle 2</w:t>
      </w:r>
      <w:r w:rsidR="00DC0627">
        <w:rPr>
          <w:lang w:val="en-GB"/>
        </w:rPr>
        <w:t xml:space="preserve">, </w:t>
      </w:r>
      <w:r w:rsidR="0073615D">
        <w:rPr>
          <w:lang w:val="en-GB"/>
        </w:rPr>
        <w:t xml:space="preserve">both of them </w:t>
      </w:r>
      <w:r w:rsidR="00DC0627">
        <w:rPr>
          <w:lang w:val="en-GB"/>
        </w:rPr>
        <w:t xml:space="preserve">started with a replacement of the </w:t>
      </w:r>
      <w:r w:rsidR="00F94820">
        <w:rPr>
          <w:lang w:val="en-GB"/>
        </w:rPr>
        <w:t xml:space="preserve">whole </w:t>
      </w:r>
      <w:r w:rsidR="00DC0627">
        <w:rPr>
          <w:lang w:val="en-GB"/>
        </w:rPr>
        <w:t>wastewater</w:t>
      </w:r>
      <w:r w:rsidR="00F94820">
        <w:rPr>
          <w:lang w:val="en-GB"/>
        </w:rPr>
        <w:t xml:space="preserve"> content of each MFC</w:t>
      </w:r>
      <w:r w:rsidR="00DC0627">
        <w:rPr>
          <w:lang w:val="en-GB"/>
        </w:rPr>
        <w:t>. Cycle 1 was</w:t>
      </w:r>
      <w:r w:rsidRPr="004D0493">
        <w:rPr>
          <w:lang w:val="en-GB"/>
        </w:rPr>
        <w:t xml:space="preserve"> characterized by current</w:t>
      </w:r>
      <w:r w:rsidR="00555FEA">
        <w:rPr>
          <w:lang w:val="en-GB"/>
        </w:rPr>
        <w:t xml:space="preserve"> densities </w:t>
      </w:r>
      <w:r w:rsidR="00DC0627">
        <w:rPr>
          <w:lang w:val="en-GB"/>
        </w:rPr>
        <w:t xml:space="preserve">reaching a maximum of </w:t>
      </w:r>
      <w:r w:rsidR="00555FEA">
        <w:rPr>
          <w:lang w:val="en-GB"/>
        </w:rPr>
        <w:t>150</w:t>
      </w:r>
      <w:r w:rsidR="00DC0627">
        <w:rPr>
          <w:lang w:val="en-GB"/>
        </w:rPr>
        <w:t xml:space="preserve"> mA</w:t>
      </w:r>
      <w:r w:rsidR="00BE14B3">
        <w:rPr>
          <w:lang w:val="en-GB"/>
        </w:rPr>
        <w:t xml:space="preserve"> m</w:t>
      </w:r>
      <w:r w:rsidR="00BE14B3" w:rsidRPr="00BE14B3">
        <w:rPr>
          <w:vertAlign w:val="superscript"/>
          <w:lang w:val="en-GB"/>
        </w:rPr>
        <w:t>-2</w:t>
      </w:r>
      <w:r w:rsidR="00BE14B3">
        <w:rPr>
          <w:lang w:val="en-GB"/>
        </w:rPr>
        <w:t xml:space="preserve"> and </w:t>
      </w:r>
      <w:r w:rsidR="00555FEA">
        <w:rPr>
          <w:lang w:val="en-GB"/>
        </w:rPr>
        <w:t>95</w:t>
      </w:r>
      <w:r w:rsidR="00DC0627">
        <w:rPr>
          <w:lang w:val="en-GB"/>
        </w:rPr>
        <w:t xml:space="preserve"> mA</w:t>
      </w:r>
      <w:r w:rsidR="00BE14B3">
        <w:rPr>
          <w:lang w:val="en-GB"/>
        </w:rPr>
        <w:t xml:space="preserve"> m</w:t>
      </w:r>
      <w:r w:rsidR="00BE14B3" w:rsidRPr="00BE14B3">
        <w:rPr>
          <w:vertAlign w:val="superscript"/>
          <w:lang w:val="en-GB"/>
        </w:rPr>
        <w:t>-2</w:t>
      </w:r>
      <w:r w:rsidR="00BE14B3">
        <w:rPr>
          <w:lang w:val="en-GB"/>
        </w:rPr>
        <w:t xml:space="preserve"> </w:t>
      </w:r>
      <w:r w:rsidR="00DC0627">
        <w:rPr>
          <w:lang w:val="en-GB"/>
        </w:rPr>
        <w:t>for SK-MFC and</w:t>
      </w:r>
      <w:r w:rsidR="00DC0627" w:rsidRPr="00BE3D62">
        <w:rPr>
          <w:lang w:val="en-GB"/>
        </w:rPr>
        <w:t xml:space="preserve"> </w:t>
      </w:r>
      <w:r w:rsidR="00DC0627">
        <w:rPr>
          <w:lang w:val="en-GB"/>
        </w:rPr>
        <w:t>CTRL-MFC, respectively. Cycle 2 was characterized by slightly higher currents</w:t>
      </w:r>
      <w:r w:rsidR="0073615D">
        <w:rPr>
          <w:lang w:val="en-GB"/>
        </w:rPr>
        <w:t xml:space="preserve">, </w:t>
      </w:r>
      <w:r w:rsidR="001F0A3D">
        <w:rPr>
          <w:lang w:val="en-GB"/>
        </w:rPr>
        <w:t>for both cell types</w:t>
      </w:r>
      <w:r w:rsidR="00DC0627">
        <w:rPr>
          <w:lang w:val="en-GB"/>
        </w:rPr>
        <w:t>.</w:t>
      </w:r>
      <w:r w:rsidR="00B24BAF">
        <w:rPr>
          <w:lang w:val="en-GB"/>
        </w:rPr>
        <w:t xml:space="preserve"> SK-MFC, throughout the monitoring operational period, was always performing better in terms of current production, if compared to </w:t>
      </w:r>
      <w:r w:rsidR="001F0A3D">
        <w:rPr>
          <w:lang w:val="en-GB"/>
        </w:rPr>
        <w:t xml:space="preserve">the </w:t>
      </w:r>
      <w:r w:rsidR="00B24BAF">
        <w:rPr>
          <w:lang w:val="en-GB"/>
        </w:rPr>
        <w:t>control cell CTRL-MFC, thus evidencing the b</w:t>
      </w:r>
      <w:r w:rsidR="000E4E42">
        <w:rPr>
          <w:lang w:val="en-GB"/>
        </w:rPr>
        <w:t>eneficial presence of silver</w:t>
      </w:r>
      <w:r w:rsidR="001F0A3D">
        <w:rPr>
          <w:lang w:val="en-GB"/>
        </w:rPr>
        <w:t>s</w:t>
      </w:r>
      <w:r w:rsidR="000E4E42">
        <w:rPr>
          <w:lang w:val="en-GB"/>
        </w:rPr>
        <w:t>kin</w:t>
      </w:r>
      <w:r w:rsidR="00B24BAF">
        <w:rPr>
          <w:lang w:val="en-GB"/>
        </w:rPr>
        <w:t xml:space="preserve">-derived biochar on the cathodic </w:t>
      </w:r>
      <w:r w:rsidR="00700E6D">
        <w:rPr>
          <w:lang w:val="en-GB"/>
        </w:rPr>
        <w:t>performance</w:t>
      </w:r>
      <w:r w:rsidR="00B24BAF">
        <w:rPr>
          <w:lang w:val="en-GB"/>
        </w:rPr>
        <w:t>.</w:t>
      </w:r>
    </w:p>
    <w:p w14:paraId="6B0363BA" w14:textId="17BDE59B" w:rsidR="00FF28A5" w:rsidRDefault="001C5316" w:rsidP="00600535">
      <w:pPr>
        <w:pStyle w:val="CETAcknowledgementstitle"/>
      </w:pPr>
      <w:r>
        <w:rPr>
          <w:noProof/>
          <w:lang w:val="it-IT" w:eastAsia="it-IT"/>
        </w:rPr>
        <w:drawing>
          <wp:anchor distT="0" distB="0" distL="114300" distR="114300" simplePos="0" relativeHeight="251661824" behindDoc="1" locked="0" layoutInCell="1" allowOverlap="1" wp14:anchorId="3F0080E4" wp14:editId="470B87E8">
            <wp:simplePos x="0" y="0"/>
            <wp:positionH relativeFrom="column">
              <wp:posOffset>3519161</wp:posOffset>
            </wp:positionH>
            <wp:positionV relativeFrom="paragraph">
              <wp:posOffset>126204</wp:posOffset>
            </wp:positionV>
            <wp:extent cx="2311953" cy="1385248"/>
            <wp:effectExtent l="0" t="0" r="0" b="571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25305" cy="1393248"/>
                    </a:xfrm>
                    <a:prstGeom prst="rect">
                      <a:avLst/>
                    </a:prstGeom>
                    <a:noFill/>
                  </pic:spPr>
                </pic:pic>
              </a:graphicData>
            </a:graphic>
            <wp14:sizeRelH relativeFrom="page">
              <wp14:pctWidth>0</wp14:pctWidth>
            </wp14:sizeRelH>
            <wp14:sizeRelV relativeFrom="page">
              <wp14:pctHeight>0</wp14:pctHeight>
            </wp14:sizeRelV>
          </wp:anchor>
        </w:drawing>
      </w:r>
      <w:r w:rsidR="007A3AA3">
        <w:rPr>
          <w:noProof/>
          <w:lang w:val="it-IT" w:eastAsia="it-IT"/>
        </w:rPr>
        <mc:AlternateContent>
          <mc:Choice Requires="wpg">
            <w:drawing>
              <wp:anchor distT="0" distB="0" distL="114300" distR="114300" simplePos="0" relativeHeight="251655680" behindDoc="0" locked="0" layoutInCell="1" allowOverlap="1" wp14:anchorId="71134EF6" wp14:editId="04FF1753">
                <wp:simplePos x="0" y="0"/>
                <wp:positionH relativeFrom="column">
                  <wp:posOffset>1501140</wp:posOffset>
                </wp:positionH>
                <wp:positionV relativeFrom="paragraph">
                  <wp:posOffset>60960</wp:posOffset>
                </wp:positionV>
                <wp:extent cx="2232660" cy="314960"/>
                <wp:effectExtent l="0" t="0" r="0" b="0"/>
                <wp:wrapNone/>
                <wp:docPr id="20" name="Gruppo 20"/>
                <wp:cNvGraphicFramePr/>
                <a:graphic xmlns:a="http://schemas.openxmlformats.org/drawingml/2006/main">
                  <a:graphicData uri="http://schemas.microsoft.com/office/word/2010/wordprocessingGroup">
                    <wpg:wgp>
                      <wpg:cNvGrpSpPr/>
                      <wpg:grpSpPr>
                        <a:xfrm>
                          <a:off x="0" y="0"/>
                          <a:ext cx="2232660" cy="314960"/>
                          <a:chOff x="-280076" y="-117741"/>
                          <a:chExt cx="2493885" cy="351985"/>
                        </a:xfrm>
                      </wpg:grpSpPr>
                      <wpg:grpSp>
                        <wpg:cNvPr id="15" name="Gruppo 15"/>
                        <wpg:cNvGrpSpPr/>
                        <wpg:grpSpPr>
                          <a:xfrm>
                            <a:off x="-280076" y="-117741"/>
                            <a:ext cx="2493885" cy="249576"/>
                            <a:chOff x="-280076" y="-89166"/>
                            <a:chExt cx="2493885" cy="249576"/>
                          </a:xfrm>
                        </wpg:grpSpPr>
                        <wps:wsp>
                          <wps:cNvPr id="217" name="Casella di testo 2"/>
                          <wps:cNvSpPr txBox="1">
                            <a:spLocks noChangeArrowheads="1"/>
                          </wps:cNvSpPr>
                          <wps:spPr bwMode="auto">
                            <a:xfrm>
                              <a:off x="-280076" y="-89166"/>
                              <a:ext cx="323850" cy="245110"/>
                            </a:xfrm>
                            <a:prstGeom prst="rect">
                              <a:avLst/>
                            </a:prstGeom>
                            <a:noFill/>
                            <a:ln w="9525">
                              <a:noFill/>
                              <a:miter lim="800000"/>
                              <a:headEnd/>
                              <a:tailEnd/>
                            </a:ln>
                          </wps:spPr>
                          <wps:txbx>
                            <w:txbxContent>
                              <w:p w14:paraId="034A07D2" w14:textId="75AED393" w:rsidR="003B43B6" w:rsidRDefault="004A7335">
                                <w:r>
                                  <w:t>B</w:t>
                                </w:r>
                                <w:r w:rsidR="003B43B6">
                                  <w:t>)</w:t>
                                </w:r>
                              </w:p>
                            </w:txbxContent>
                          </wps:txbx>
                          <wps:bodyPr rot="0" vert="horz" wrap="square" lIns="91440" tIns="45720" rIns="91440" bIns="45720" anchor="t" anchorCtr="0">
                            <a:noAutofit/>
                          </wps:bodyPr>
                        </wps:wsp>
                        <wps:wsp>
                          <wps:cNvPr id="14" name="Casella di testo 2"/>
                          <wps:cNvSpPr txBox="1">
                            <a:spLocks noChangeArrowheads="1"/>
                          </wps:cNvSpPr>
                          <wps:spPr bwMode="auto">
                            <a:xfrm>
                              <a:off x="1889959" y="-84700"/>
                              <a:ext cx="323850" cy="245110"/>
                            </a:xfrm>
                            <a:prstGeom prst="rect">
                              <a:avLst/>
                            </a:prstGeom>
                            <a:noFill/>
                            <a:ln w="9525">
                              <a:noFill/>
                              <a:miter lim="800000"/>
                              <a:headEnd/>
                              <a:tailEnd/>
                            </a:ln>
                          </wps:spPr>
                          <wps:txbx>
                            <w:txbxContent>
                              <w:p w14:paraId="780F5A55" w14:textId="0E120C25" w:rsidR="003B43B6" w:rsidRDefault="004A7335" w:rsidP="003B43B6">
                                <w:r>
                                  <w:t>C</w:t>
                                </w:r>
                                <w:r w:rsidR="003B43B6">
                                  <w:t>)</w:t>
                                </w:r>
                              </w:p>
                            </w:txbxContent>
                          </wps:txbx>
                          <wps:bodyPr rot="0" vert="horz" wrap="square" lIns="91440" tIns="45720" rIns="91440" bIns="45720" anchor="t" anchorCtr="0">
                            <a:noAutofit/>
                          </wps:bodyPr>
                        </wps:wsp>
                      </wpg:grpSp>
                      <wps:wsp>
                        <wps:cNvPr id="16" name="Casella di testo 2"/>
                        <wps:cNvSpPr txBox="1">
                          <a:spLocks noChangeArrowheads="1"/>
                        </wps:cNvSpPr>
                        <wps:spPr bwMode="auto">
                          <a:xfrm>
                            <a:off x="115002" y="-13854"/>
                            <a:ext cx="809625" cy="245111"/>
                          </a:xfrm>
                          <a:prstGeom prst="rect">
                            <a:avLst/>
                          </a:prstGeom>
                          <a:noFill/>
                          <a:ln w="9525">
                            <a:noFill/>
                            <a:miter lim="800000"/>
                            <a:headEnd/>
                            <a:tailEnd/>
                          </a:ln>
                        </wps:spPr>
                        <wps:txbx>
                          <w:txbxContent>
                            <w:p w14:paraId="2F70F583" w14:textId="47E3149E" w:rsidR="0030302C" w:rsidRPr="0030302C" w:rsidRDefault="0030302C" w:rsidP="0030302C">
                              <w:pPr>
                                <w:rPr>
                                  <w:sz w:val="12"/>
                                </w:rPr>
                              </w:pPr>
                              <w:r w:rsidRPr="0030302C">
                                <w:rPr>
                                  <w:sz w:val="12"/>
                                </w:rPr>
                                <w:t>ACCLIM</w:t>
                              </w:r>
                              <w:r w:rsidR="004A7335">
                                <w:rPr>
                                  <w:sz w:val="12"/>
                                </w:rPr>
                                <w:t>.</w:t>
                              </w:r>
                            </w:p>
                          </w:txbxContent>
                        </wps:txbx>
                        <wps:bodyPr rot="0" vert="horz" wrap="square" lIns="91440" tIns="45720" rIns="91440" bIns="45720" anchor="t" anchorCtr="0">
                          <a:noAutofit/>
                        </wps:bodyPr>
                      </wps:wsp>
                      <wps:wsp>
                        <wps:cNvPr id="17" name="Casella di testo 2"/>
                        <wps:cNvSpPr txBox="1">
                          <a:spLocks noChangeArrowheads="1"/>
                        </wps:cNvSpPr>
                        <wps:spPr bwMode="auto">
                          <a:xfrm>
                            <a:off x="603964" y="-13853"/>
                            <a:ext cx="809625" cy="245111"/>
                          </a:xfrm>
                          <a:prstGeom prst="rect">
                            <a:avLst/>
                          </a:prstGeom>
                          <a:noFill/>
                          <a:ln w="9525">
                            <a:noFill/>
                            <a:miter lim="800000"/>
                            <a:headEnd/>
                            <a:tailEnd/>
                          </a:ln>
                        </wps:spPr>
                        <wps:txbx>
                          <w:txbxContent>
                            <w:p w14:paraId="610B9934" w14:textId="317732E5" w:rsidR="0030302C" w:rsidRPr="0030302C" w:rsidRDefault="0030302C" w:rsidP="0030302C">
                              <w:pPr>
                                <w:rPr>
                                  <w:sz w:val="12"/>
                                </w:rPr>
                              </w:pPr>
                              <w:r>
                                <w:rPr>
                                  <w:sz w:val="12"/>
                                </w:rPr>
                                <w:t>CYCLE 1</w:t>
                              </w:r>
                            </w:p>
                          </w:txbxContent>
                        </wps:txbx>
                        <wps:bodyPr rot="0" vert="horz" wrap="square" lIns="91440" tIns="45720" rIns="91440" bIns="45720" anchor="t" anchorCtr="0">
                          <a:noAutofit/>
                        </wps:bodyPr>
                      </wps:wsp>
                      <wps:wsp>
                        <wps:cNvPr id="18" name="Casella di testo 2"/>
                        <wps:cNvSpPr txBox="1">
                          <a:spLocks noChangeArrowheads="1"/>
                        </wps:cNvSpPr>
                        <wps:spPr bwMode="auto">
                          <a:xfrm>
                            <a:off x="1166641" y="-10867"/>
                            <a:ext cx="809625" cy="245111"/>
                          </a:xfrm>
                          <a:prstGeom prst="rect">
                            <a:avLst/>
                          </a:prstGeom>
                          <a:noFill/>
                          <a:ln w="9525">
                            <a:noFill/>
                            <a:miter lim="800000"/>
                            <a:headEnd/>
                            <a:tailEnd/>
                          </a:ln>
                        </wps:spPr>
                        <wps:txbx>
                          <w:txbxContent>
                            <w:p w14:paraId="3AF6A097" w14:textId="3E4A6A7A" w:rsidR="0030302C" w:rsidRPr="0030302C" w:rsidRDefault="0030302C" w:rsidP="0030302C">
                              <w:pPr>
                                <w:rPr>
                                  <w:sz w:val="12"/>
                                </w:rPr>
                              </w:pPr>
                              <w:r>
                                <w:rPr>
                                  <w:sz w:val="12"/>
                                </w:rPr>
                                <w:t>CYCLE 2</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71134EF6" id="Gruppo 20" o:spid="_x0000_s1026" style="position:absolute;margin-left:118.2pt;margin-top:4.8pt;width:175.8pt;height:24.8pt;z-index:251655680;mso-width-relative:margin" coordorigin="-2800,-1177" coordsize="24938,3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">
                <v:group id="Gruppo 15" o:spid="_x0000_s1027" style="position:absolute;left:-2800;top:-1177;width:24938;height:2495" coordorigin="-2800,-891" coordsize="24938,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_x0000_s1028" type="#_x0000_t202" style="position:absolute;left:-2800;top:-891;width:3237;height:2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034A07D2" w14:textId="75AED393" w:rsidR="003B43B6" w:rsidRDefault="004A7335">
                          <w:r>
                            <w:t>B</w:t>
                          </w:r>
                          <w:r w:rsidR="003B43B6">
                            <w:t>)</w:t>
                          </w:r>
                        </w:p>
                      </w:txbxContent>
                    </v:textbox>
                  </v:shape>
                  <v:shape id="_x0000_s1029" type="#_x0000_t202" style="position:absolute;left:18899;top:-847;width:3239;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780F5A55" w14:textId="0E120C25" w:rsidR="003B43B6" w:rsidRDefault="004A7335" w:rsidP="003B43B6">
                          <w:r>
                            <w:t>C</w:t>
                          </w:r>
                          <w:r w:rsidR="003B43B6">
                            <w:t>)</w:t>
                          </w:r>
                        </w:p>
                      </w:txbxContent>
                    </v:textbox>
                  </v:shape>
                </v:group>
                <v:shape id="_x0000_s1030" type="#_x0000_t202" style="position:absolute;left:1150;top:-138;width:8096;height:2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2F70F583" w14:textId="47E3149E" w:rsidR="0030302C" w:rsidRPr="0030302C" w:rsidRDefault="0030302C" w:rsidP="0030302C">
                        <w:pPr>
                          <w:rPr>
                            <w:sz w:val="12"/>
                          </w:rPr>
                        </w:pPr>
                        <w:r w:rsidRPr="0030302C">
                          <w:rPr>
                            <w:sz w:val="12"/>
                          </w:rPr>
                          <w:t>ACCLIM</w:t>
                        </w:r>
                        <w:r w:rsidR="004A7335">
                          <w:rPr>
                            <w:sz w:val="12"/>
                          </w:rPr>
                          <w:t>.</w:t>
                        </w:r>
                      </w:p>
                    </w:txbxContent>
                  </v:textbox>
                </v:shape>
                <v:shape id="_x0000_s1031" type="#_x0000_t202" style="position:absolute;left:6039;top:-138;width:8096;height:2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10B9934" w14:textId="317732E5" w:rsidR="0030302C" w:rsidRPr="0030302C" w:rsidRDefault="0030302C" w:rsidP="0030302C">
                        <w:pPr>
                          <w:rPr>
                            <w:sz w:val="12"/>
                          </w:rPr>
                        </w:pPr>
                        <w:r>
                          <w:rPr>
                            <w:sz w:val="12"/>
                          </w:rPr>
                          <w:t>CYCLE 1</w:t>
                        </w:r>
                      </w:p>
                    </w:txbxContent>
                  </v:textbox>
                </v:shape>
                <v:shape id="_x0000_s1032" type="#_x0000_t202" style="position:absolute;left:11666;top:-108;width:8096;height:2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3AF6A097" w14:textId="3E4A6A7A" w:rsidR="0030302C" w:rsidRPr="0030302C" w:rsidRDefault="0030302C" w:rsidP="0030302C">
                        <w:pPr>
                          <w:rPr>
                            <w:sz w:val="12"/>
                          </w:rPr>
                        </w:pPr>
                        <w:r>
                          <w:rPr>
                            <w:sz w:val="12"/>
                          </w:rPr>
                          <w:t>CYCLE 2</w:t>
                        </w:r>
                      </w:p>
                    </w:txbxContent>
                  </v:textbox>
                </v:shape>
              </v:group>
            </w:pict>
          </mc:Fallback>
        </mc:AlternateContent>
      </w:r>
      <w:r w:rsidR="00BE14B3">
        <w:rPr>
          <w:noProof/>
          <w:lang w:val="it-IT" w:eastAsia="it-IT"/>
        </w:rPr>
        <mc:AlternateContent>
          <mc:Choice Requires="wps">
            <w:drawing>
              <wp:anchor distT="0" distB="0" distL="114300" distR="114300" simplePos="0" relativeHeight="251659776" behindDoc="0" locked="0" layoutInCell="1" allowOverlap="1" wp14:anchorId="6DA622B0" wp14:editId="72C87CA5">
                <wp:simplePos x="0" y="0"/>
                <wp:positionH relativeFrom="column">
                  <wp:posOffset>-57150</wp:posOffset>
                </wp:positionH>
                <wp:positionV relativeFrom="paragraph">
                  <wp:posOffset>62865</wp:posOffset>
                </wp:positionV>
                <wp:extent cx="289560" cy="219075"/>
                <wp:effectExtent l="0" t="0" r="0" b="0"/>
                <wp:wrapNone/>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219075"/>
                        </a:xfrm>
                        <a:prstGeom prst="rect">
                          <a:avLst/>
                        </a:prstGeom>
                        <a:noFill/>
                        <a:ln w="9525">
                          <a:noFill/>
                          <a:miter lim="800000"/>
                          <a:headEnd/>
                          <a:tailEnd/>
                        </a:ln>
                      </wps:spPr>
                      <wps:txbx>
                        <w:txbxContent>
                          <w:p w14:paraId="4875CFAE" w14:textId="07CA3F63" w:rsidR="00233F0A" w:rsidRDefault="00233F0A" w:rsidP="00233F0A">
                            <w:r>
                              <w:t>A)</w:t>
                            </w:r>
                          </w:p>
                        </w:txbxContent>
                      </wps:txbx>
                      <wps:bodyPr rot="0" vert="horz" wrap="square" lIns="91440" tIns="45720" rIns="91440" bIns="45720" anchor="t" anchorCtr="0">
                        <a:noAutofit/>
                      </wps:bodyPr>
                    </wps:wsp>
                  </a:graphicData>
                </a:graphic>
              </wp:anchor>
            </w:drawing>
          </mc:Choice>
          <mc:Fallback>
            <w:pict>
              <v:shape w14:anchorId="6DA622B0" id="Casella di testo 2" o:spid="_x0000_s1033" type="#_x0000_t202" style="position:absolute;margin-left:-4.5pt;margin-top:4.95pt;width:22.8pt;height:17.2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" filled="f" stroked="f">
                <v:textbox>
                  <w:txbxContent>
                    <w:p w14:paraId="4875CFAE" w14:textId="07CA3F63" w:rsidR="00233F0A" w:rsidRDefault="00233F0A" w:rsidP="00233F0A">
                      <w:r>
                        <w:t>A)</w:t>
                      </w:r>
                    </w:p>
                  </w:txbxContent>
                </v:textbox>
              </v:shape>
            </w:pict>
          </mc:Fallback>
        </mc:AlternateContent>
      </w:r>
      <w:r w:rsidR="00BE14B3">
        <w:rPr>
          <w:noProof/>
          <w:lang w:val="it-IT" w:eastAsia="it-IT"/>
        </w:rPr>
        <w:drawing>
          <wp:anchor distT="0" distB="0" distL="114300" distR="114300" simplePos="0" relativeHeight="251660800" behindDoc="1" locked="0" layoutInCell="1" allowOverlap="1" wp14:anchorId="6159F334" wp14:editId="3B9498EA">
            <wp:simplePos x="0" y="0"/>
            <wp:positionH relativeFrom="column">
              <wp:posOffset>1624965</wp:posOffset>
            </wp:positionH>
            <wp:positionV relativeFrom="paragraph">
              <wp:posOffset>128905</wp:posOffset>
            </wp:positionV>
            <wp:extent cx="2247900" cy="146795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47900" cy="1467955"/>
                    </a:xfrm>
                    <a:prstGeom prst="rect">
                      <a:avLst/>
                    </a:prstGeom>
                    <a:noFill/>
                  </pic:spPr>
                </pic:pic>
              </a:graphicData>
            </a:graphic>
            <wp14:sizeRelH relativeFrom="page">
              <wp14:pctWidth>0</wp14:pctWidth>
            </wp14:sizeRelH>
            <wp14:sizeRelV relativeFrom="page">
              <wp14:pctHeight>0</wp14:pctHeight>
            </wp14:sizeRelV>
          </wp:anchor>
        </w:drawing>
      </w:r>
      <w:r w:rsidR="00233F0A">
        <w:rPr>
          <w:noProof/>
          <w:lang w:val="it-IT" w:eastAsia="it-IT"/>
        </w:rPr>
        <w:drawing>
          <wp:anchor distT="0" distB="0" distL="114300" distR="114300" simplePos="0" relativeHeight="251658752" behindDoc="0" locked="0" layoutInCell="1" allowOverlap="1" wp14:anchorId="48082E5D" wp14:editId="467ADE6E">
            <wp:simplePos x="0" y="0"/>
            <wp:positionH relativeFrom="column">
              <wp:posOffset>-38573</wp:posOffset>
            </wp:positionH>
            <wp:positionV relativeFrom="paragraph">
              <wp:posOffset>183515</wp:posOffset>
            </wp:positionV>
            <wp:extent cx="1614383" cy="1169581"/>
            <wp:effectExtent l="0" t="0" r="508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4383" cy="1169581"/>
                    </a:xfrm>
                    <a:prstGeom prst="rect">
                      <a:avLst/>
                    </a:prstGeom>
                    <a:noFill/>
                  </pic:spPr>
                </pic:pic>
              </a:graphicData>
            </a:graphic>
            <wp14:sizeRelH relativeFrom="page">
              <wp14:pctWidth>0</wp14:pctWidth>
            </wp14:sizeRelH>
            <wp14:sizeRelV relativeFrom="page">
              <wp14:pctHeight>0</wp14:pctHeight>
            </wp14:sizeRelV>
          </wp:anchor>
        </w:drawing>
      </w:r>
    </w:p>
    <w:p w14:paraId="6D4796D0" w14:textId="1ED7D34B" w:rsidR="00FF28A5" w:rsidRDefault="00FF28A5" w:rsidP="00600535">
      <w:pPr>
        <w:pStyle w:val="CETAcknowledgementstitle"/>
      </w:pPr>
    </w:p>
    <w:p w14:paraId="19A194EB" w14:textId="6EDC357F" w:rsidR="00FF28A5" w:rsidRDefault="00FF28A5" w:rsidP="00600535">
      <w:pPr>
        <w:pStyle w:val="CETAcknowledgementstitle"/>
      </w:pPr>
    </w:p>
    <w:p w14:paraId="0BC0438B" w14:textId="2317ADCB" w:rsidR="0033645F" w:rsidRDefault="0033645F" w:rsidP="0033645F">
      <w:pPr>
        <w:pStyle w:val="CETBodytext"/>
        <w:rPr>
          <w:lang w:val="en-GB"/>
        </w:rPr>
      </w:pPr>
    </w:p>
    <w:p w14:paraId="1B5C8B08" w14:textId="397F158D" w:rsidR="0033645F" w:rsidRPr="0033645F" w:rsidRDefault="0033645F" w:rsidP="0033645F">
      <w:pPr>
        <w:pStyle w:val="CETBodytext"/>
        <w:rPr>
          <w:lang w:val="en-GB"/>
        </w:rPr>
      </w:pPr>
    </w:p>
    <w:p w14:paraId="703E77CF" w14:textId="62B41A66" w:rsidR="00FF28A5" w:rsidRDefault="00FF28A5" w:rsidP="00600535">
      <w:pPr>
        <w:pStyle w:val="CETAcknowledgementstitle"/>
      </w:pPr>
    </w:p>
    <w:p w14:paraId="78D8ACAB" w14:textId="25970A88" w:rsidR="00BE0821" w:rsidRDefault="000E19CB" w:rsidP="00BE0821">
      <w:pPr>
        <w:pStyle w:val="CETBodytext"/>
        <w:rPr>
          <w:lang w:val="en-GB"/>
        </w:rPr>
      </w:pPr>
      <w:r w:rsidRPr="0033521B">
        <w:rPr>
          <w:rStyle w:val="CETCaptionCarattere"/>
        </w:rPr>
        <w:t xml:space="preserve">Figure </w:t>
      </w:r>
      <w:r w:rsidR="00233F0A">
        <w:rPr>
          <w:rStyle w:val="CETCaptionCarattere"/>
        </w:rPr>
        <w:t>1</w:t>
      </w:r>
      <w:r w:rsidRPr="0033521B">
        <w:rPr>
          <w:rStyle w:val="CETCaptionCarattere"/>
        </w:rPr>
        <w:t xml:space="preserve">: </w:t>
      </w:r>
      <w:r>
        <w:rPr>
          <w:rStyle w:val="CETCaptionCarattere"/>
        </w:rPr>
        <w:t xml:space="preserve">A) </w:t>
      </w:r>
      <w:r w:rsidR="00233F0A" w:rsidRPr="001644F1">
        <w:rPr>
          <w:rStyle w:val="CETCaptionCarattere"/>
          <w:bCs/>
        </w:rPr>
        <w:t xml:space="preserve">Schematic representation of MFC </w:t>
      </w:r>
      <w:r w:rsidR="00233F0A">
        <w:rPr>
          <w:rStyle w:val="CETCaptionCarattere"/>
          <w:bCs/>
        </w:rPr>
        <w:t xml:space="preserve">set-up; B) </w:t>
      </w:r>
      <w:r w:rsidR="00BE14B3">
        <w:rPr>
          <w:rStyle w:val="CETCaptionCarattere"/>
        </w:rPr>
        <w:t>Current densities</w:t>
      </w:r>
      <w:r>
        <w:rPr>
          <w:rStyle w:val="CETCaptionCarattere"/>
        </w:rPr>
        <w:t xml:space="preserve"> trends, reported as average values of duplicates (error bars are reported</w:t>
      </w:r>
      <w:r w:rsidR="0073615D">
        <w:rPr>
          <w:rStyle w:val="CETCaptionCarattere"/>
        </w:rPr>
        <w:t xml:space="preserve"> for each point</w:t>
      </w:r>
      <w:r w:rsidR="00233F0A">
        <w:rPr>
          <w:rStyle w:val="CETCaptionCarattere"/>
        </w:rPr>
        <w:t>); C</w:t>
      </w:r>
      <w:r>
        <w:rPr>
          <w:rStyle w:val="CETCaptionCarattere"/>
        </w:rPr>
        <w:t>) Power curves (measured on the peak of curr</w:t>
      </w:r>
      <w:r w:rsidR="00C01E9E">
        <w:rPr>
          <w:rStyle w:val="CETCaptionCarattere"/>
        </w:rPr>
        <w:t>ent production during cycle 2).</w:t>
      </w:r>
      <w:r w:rsidR="00BE0821" w:rsidRPr="00BE0821">
        <w:rPr>
          <w:lang w:val="en-GB"/>
        </w:rPr>
        <w:t xml:space="preserve"> </w:t>
      </w:r>
    </w:p>
    <w:p w14:paraId="616F68B9" w14:textId="77777777" w:rsidR="00BE0821" w:rsidRDefault="00BE0821" w:rsidP="00BE0821">
      <w:pPr>
        <w:pStyle w:val="CETBodytext"/>
        <w:rPr>
          <w:lang w:val="en-GB"/>
        </w:rPr>
      </w:pPr>
    </w:p>
    <w:p w14:paraId="5B829D0D" w14:textId="157396A4" w:rsidR="00BE0821" w:rsidRPr="0033645F" w:rsidRDefault="00BE0821" w:rsidP="00BE0821">
      <w:pPr>
        <w:pStyle w:val="CETBodytext"/>
      </w:pPr>
      <w:r>
        <w:rPr>
          <w:lang w:val="en-GB"/>
        </w:rPr>
        <w:t xml:space="preserve">In order to </w:t>
      </w:r>
      <w:r w:rsidR="007A7353">
        <w:rPr>
          <w:lang w:val="en-GB"/>
        </w:rPr>
        <w:t xml:space="preserve">better </w:t>
      </w:r>
      <w:r>
        <w:rPr>
          <w:lang w:val="en-GB"/>
        </w:rPr>
        <w:t xml:space="preserve">assess </w:t>
      </w:r>
      <w:r w:rsidR="00C252D0">
        <w:rPr>
          <w:lang w:val="en-GB"/>
        </w:rPr>
        <w:t xml:space="preserve">any difference in the </w:t>
      </w:r>
      <w:r>
        <w:rPr>
          <w:lang w:val="en-GB"/>
        </w:rPr>
        <w:t xml:space="preserve">electrochemical performance </w:t>
      </w:r>
      <w:r w:rsidR="00C252D0">
        <w:rPr>
          <w:lang w:val="en-GB"/>
        </w:rPr>
        <w:t xml:space="preserve">among the two types of </w:t>
      </w:r>
      <w:r w:rsidR="007A7353">
        <w:rPr>
          <w:lang w:val="en-GB"/>
        </w:rPr>
        <w:t>device</w:t>
      </w:r>
      <w:r w:rsidR="00C252D0">
        <w:rPr>
          <w:lang w:val="en-GB"/>
        </w:rPr>
        <w:t>s</w:t>
      </w:r>
      <w:r>
        <w:rPr>
          <w:lang w:val="en-GB"/>
        </w:rPr>
        <w:t>, t</w:t>
      </w:r>
      <w:r w:rsidRPr="00C01E9E">
        <w:rPr>
          <w:lang w:val="en-GB"/>
        </w:rPr>
        <w:t xml:space="preserve">he </w:t>
      </w:r>
      <w:r w:rsidR="007A7353">
        <w:rPr>
          <w:lang w:val="en-GB"/>
        </w:rPr>
        <w:t xml:space="preserve">polarization </w:t>
      </w:r>
      <w:r w:rsidRPr="00C01E9E">
        <w:rPr>
          <w:lang w:val="en-GB"/>
        </w:rPr>
        <w:t>curve</w:t>
      </w:r>
      <w:r>
        <w:rPr>
          <w:lang w:val="en-GB"/>
        </w:rPr>
        <w:t>s were recorded during the</w:t>
      </w:r>
      <w:r w:rsidR="00F16981">
        <w:rPr>
          <w:lang w:val="en-GB"/>
        </w:rPr>
        <w:t xml:space="preserve"> best operative </w:t>
      </w:r>
      <w:r w:rsidR="007A7353">
        <w:rPr>
          <w:lang w:val="en-GB"/>
        </w:rPr>
        <w:t>period</w:t>
      </w:r>
      <w:r w:rsidR="00F16981">
        <w:rPr>
          <w:lang w:val="en-GB"/>
        </w:rPr>
        <w:t xml:space="preserve"> of cycle 2 (</w:t>
      </w:r>
      <w:r w:rsidR="00F16981" w:rsidRPr="0033645F">
        <w:rPr>
          <w:i/>
        </w:rPr>
        <w:t>i.e.</w:t>
      </w:r>
      <w:r w:rsidR="00F16981">
        <w:rPr>
          <w:lang w:val="en-GB"/>
        </w:rPr>
        <w:t xml:space="preserve">, when </w:t>
      </w:r>
      <w:r w:rsidR="007A7353">
        <w:rPr>
          <w:lang w:val="en-GB"/>
        </w:rPr>
        <w:t xml:space="preserve">the highest current was detected for both cells). </w:t>
      </w:r>
      <w:r w:rsidR="005B7EA9">
        <w:rPr>
          <w:lang w:val="en-GB"/>
        </w:rPr>
        <w:t>The derived power curves</w:t>
      </w:r>
      <w:r>
        <w:rPr>
          <w:lang w:val="en-GB"/>
        </w:rPr>
        <w:t xml:space="preserve"> </w:t>
      </w:r>
      <w:r w:rsidR="005B7EA9">
        <w:rPr>
          <w:lang w:val="en-GB"/>
        </w:rPr>
        <w:t xml:space="preserve">(Figure </w:t>
      </w:r>
      <w:r w:rsidR="002E1949">
        <w:rPr>
          <w:lang w:val="en-GB"/>
        </w:rPr>
        <w:t>1C</w:t>
      </w:r>
      <w:r w:rsidR="00B84AE3">
        <w:rPr>
          <w:lang w:val="en-GB"/>
        </w:rPr>
        <w:t xml:space="preserve"> and Table 1</w:t>
      </w:r>
      <w:r w:rsidR="005B7EA9">
        <w:rPr>
          <w:lang w:val="en-GB"/>
        </w:rPr>
        <w:t>) de</w:t>
      </w:r>
      <w:r w:rsidR="005B7EA9" w:rsidRPr="00C01E9E">
        <w:rPr>
          <w:lang w:val="en-GB"/>
        </w:rPr>
        <w:t>tect</w:t>
      </w:r>
      <w:r w:rsidR="005B7EA9">
        <w:rPr>
          <w:lang w:val="en-GB"/>
        </w:rPr>
        <w:t>ed</w:t>
      </w:r>
      <w:r w:rsidR="005B7EA9" w:rsidRPr="00C01E9E">
        <w:rPr>
          <w:lang w:val="en-GB"/>
        </w:rPr>
        <w:t xml:space="preserve"> </w:t>
      </w:r>
      <w:r w:rsidRPr="00C01E9E">
        <w:rPr>
          <w:lang w:val="en-GB"/>
        </w:rPr>
        <w:t>a maximum</w:t>
      </w:r>
      <w:r>
        <w:rPr>
          <w:lang w:val="en-GB"/>
        </w:rPr>
        <w:t xml:space="preserve"> </w:t>
      </w:r>
      <w:r w:rsidRPr="00C01E9E">
        <w:rPr>
          <w:lang w:val="en-GB"/>
        </w:rPr>
        <w:t>power density of</w:t>
      </w:r>
      <w:r>
        <w:rPr>
          <w:lang w:val="en-GB"/>
        </w:rPr>
        <w:t xml:space="preserve"> about </w:t>
      </w:r>
      <w:r>
        <w:rPr>
          <w:rFonts w:cs="Arial"/>
          <w:szCs w:val="18"/>
          <w:lang w:val="en-GB"/>
        </w:rPr>
        <w:t>27.7 m</w:t>
      </w:r>
      <w:r w:rsidRPr="00C01E9E">
        <w:rPr>
          <w:lang w:val="en-GB"/>
        </w:rPr>
        <w:t>W</w:t>
      </w:r>
      <w:r>
        <w:rPr>
          <w:lang w:val="en-GB"/>
        </w:rPr>
        <w:t xml:space="preserve"> </w:t>
      </w:r>
      <w:r w:rsidRPr="00C01E9E">
        <w:rPr>
          <w:lang w:val="en-GB"/>
        </w:rPr>
        <w:t>m</w:t>
      </w:r>
      <w:r w:rsidRPr="006E5341">
        <w:rPr>
          <w:vertAlign w:val="superscript"/>
          <w:lang w:val="en-GB"/>
        </w:rPr>
        <w:t>-2</w:t>
      </w:r>
      <w:r>
        <w:rPr>
          <w:lang w:val="en-GB"/>
        </w:rPr>
        <w:t xml:space="preserve"> for SK-MFC, a value almost 3 times higher than the </w:t>
      </w:r>
      <w:r w:rsidRPr="00C01E9E">
        <w:rPr>
          <w:lang w:val="en-GB"/>
        </w:rPr>
        <w:t>maximum</w:t>
      </w:r>
      <w:r>
        <w:rPr>
          <w:lang w:val="en-GB"/>
        </w:rPr>
        <w:t xml:space="preserve"> </w:t>
      </w:r>
      <w:r w:rsidRPr="00C01E9E">
        <w:rPr>
          <w:lang w:val="en-GB"/>
        </w:rPr>
        <w:t>power density</w:t>
      </w:r>
      <w:r>
        <w:rPr>
          <w:lang w:val="en-GB"/>
        </w:rPr>
        <w:t xml:space="preserve"> recorded for CTRL-MFC</w:t>
      </w:r>
      <w:r w:rsidR="00D81E2A">
        <w:rPr>
          <w:lang w:val="en-GB"/>
        </w:rPr>
        <w:t xml:space="preserve"> (Table 1)</w:t>
      </w:r>
      <w:r>
        <w:rPr>
          <w:lang w:val="en-GB"/>
        </w:rPr>
        <w:t xml:space="preserve">. </w:t>
      </w:r>
      <w:r w:rsidR="00021AD5">
        <w:rPr>
          <w:lang w:val="en-GB"/>
        </w:rPr>
        <w:t xml:space="preserve">Interestingly, cells equipped with a silverskin-based cathode </w:t>
      </w:r>
      <w:r w:rsidR="00AD5DB4">
        <w:rPr>
          <w:lang w:val="en-GB"/>
        </w:rPr>
        <w:t>are</w:t>
      </w:r>
      <w:r w:rsidR="00021AD5">
        <w:rPr>
          <w:lang w:val="en-GB"/>
        </w:rPr>
        <w:t xml:space="preserve"> able to efficiently work at current densities neatly higher</w:t>
      </w:r>
      <w:r w:rsidR="00AD5DB4">
        <w:rPr>
          <w:lang w:val="en-GB"/>
        </w:rPr>
        <w:t xml:space="preserve"> than those of control MFCs, evidencing a faster electrode kinetics, more efficient mass transportation and, hence, lower overpotentials that result in </w:t>
      </w:r>
      <w:r w:rsidR="007811AC">
        <w:rPr>
          <w:lang w:val="en-GB"/>
        </w:rPr>
        <w:t xml:space="preserve">lower </w:t>
      </w:r>
      <w:r w:rsidR="00AD5DB4">
        <w:rPr>
          <w:lang w:val="en-GB"/>
        </w:rPr>
        <w:t>energy dissipation and loose in performance</w:t>
      </w:r>
      <w:r w:rsidR="00021AD5">
        <w:rPr>
          <w:lang w:val="en-GB"/>
        </w:rPr>
        <w:t xml:space="preserve">. </w:t>
      </w:r>
      <w:r w:rsidR="0034406C">
        <w:rPr>
          <w:lang w:val="en-GB"/>
        </w:rPr>
        <w:t>Despite</w:t>
      </w:r>
      <w:r w:rsidR="003B3314">
        <w:rPr>
          <w:lang w:val="en-GB"/>
        </w:rPr>
        <w:t xml:space="preserve"> the</w:t>
      </w:r>
      <w:r w:rsidR="00F302DB">
        <w:rPr>
          <w:lang w:val="en-GB"/>
        </w:rPr>
        <w:t xml:space="preserve"> </w:t>
      </w:r>
      <w:r w:rsidR="000E4E42">
        <w:rPr>
          <w:lang w:val="en-GB"/>
        </w:rPr>
        <w:t>enhanced performance of silver</w:t>
      </w:r>
      <w:r w:rsidR="00021AD5">
        <w:rPr>
          <w:lang w:val="en-GB"/>
        </w:rPr>
        <w:t>s</w:t>
      </w:r>
      <w:r w:rsidR="000E4E42">
        <w:rPr>
          <w:lang w:val="en-GB"/>
        </w:rPr>
        <w:t>kin-based MFC</w:t>
      </w:r>
      <w:r w:rsidR="003B3314">
        <w:rPr>
          <w:lang w:val="en-GB"/>
        </w:rPr>
        <w:t>s</w:t>
      </w:r>
      <w:r w:rsidR="0033488F">
        <w:rPr>
          <w:lang w:val="en-GB"/>
        </w:rPr>
        <w:t>,</w:t>
      </w:r>
      <w:r w:rsidR="00526324">
        <w:rPr>
          <w:lang w:val="en-GB"/>
        </w:rPr>
        <w:t xml:space="preserve"> </w:t>
      </w:r>
      <w:r w:rsidR="0033488F">
        <w:rPr>
          <w:lang w:val="en-GB"/>
        </w:rPr>
        <w:t>with respect</w:t>
      </w:r>
      <w:r w:rsidR="00526324">
        <w:rPr>
          <w:lang w:val="en-GB"/>
        </w:rPr>
        <w:t xml:space="preserve"> to the control MFC</w:t>
      </w:r>
      <w:r w:rsidR="003B3314">
        <w:rPr>
          <w:lang w:val="en-GB"/>
        </w:rPr>
        <w:t>s</w:t>
      </w:r>
      <w:r w:rsidR="00526324">
        <w:rPr>
          <w:lang w:val="en-GB"/>
        </w:rPr>
        <w:t xml:space="preserve">, </w:t>
      </w:r>
      <w:r w:rsidR="003B3314">
        <w:rPr>
          <w:lang w:val="en-GB"/>
        </w:rPr>
        <w:t xml:space="preserve">they invariably </w:t>
      </w:r>
      <w:r w:rsidR="00526324">
        <w:rPr>
          <w:lang w:val="en-GB"/>
        </w:rPr>
        <w:t xml:space="preserve">resulted underperforming compared to other literature optimized systems </w:t>
      </w:r>
      <w:r w:rsidR="00526324">
        <w:fldChar w:fldCharType="begin" w:fldLock="1"/>
      </w:r>
      <w:r w:rsidR="005263A7">
        <w:rPr>
          <w:lang w:val="en-GB"/>
        </w:rPr>
        <w:instrText>ADDIN CSL_CITATION {"citationItems":[{"id":"ITEM-1","itemData":{"DOI":"10.1016/j.gee.2020.11.010","ISSN":"24680257","abstract":"Microbial fuel cells (MFCs) have gained remarkable attention as a novel wastewater treatment that simultaneously generates electricity. The low activity of the oxygen reduction reaction (ORR) remains one of the most critical bottlenecks limiting the development of MFCs. To date, although research on biochar as an electrocatalyst in MFCs has made tremendous progress, further improvements are needed to make it economically practical. Recently, biochars have been considered to be ORR electrocatalysts with developmental potential. In this review, the ORR mechanism and the essential requirements of ORR catalysts in MFC applications are introduced. Moreover, the focus is to highlight the material selection, properties, and preparation of biochar electrocatalysts, as well as the evaluation and measurement of biochar electrodes. Additionally, in order to provide comprehensive information on the specific applications of biochars in the field of MFCs, their applications as electrocatalysts, are then discussed in detail, including the uses of nitrogen-doped biochar and other heteroatom-doped biochars as electrocatalysts, poisoning tests for biochar catalysts, and the cost estimation of biochar catalysts. Finally, profound insights into the current challenges and clear directions for future perspectives and research are concluded.","author":[{"dropping-particle":"","family":"Li","given":"Shengnan","non-dropping-particle":"","parse-names":false,"suffix":""},{"dropping-particle":"","family":"Ho","given":"Shih Hsin","non-dropping-particle":"","parse-names":false,"suffix":""},{"dropping-particle":"","family":"Hua","given":"Tao","non-dropping-particle":"","parse-names":false,"suffix":""},{"dropping-particle":"","family":"Zhou","given":"Qixing","non-dropping-particle":"","parse-names":false,"suffix":""},{"dropping-particle":"","family":"Li","given":"Fengxiang","non-dropping-particle":"","parse-names":false,"suffix":""},{"dropping-particle":"","family":"Tang","given":"Jingchun","non-dropping-particle":"","parse-names":false,"suffix":""}],"container-title":"Green Energy and Environment","id":"ITEM-1","issue":"5","issued":{"date-parts":[["2021"]]},"page":"644-659","publisher":"Elsevier Ltd","title":"Sustainable biochar as an electrocatalysts for the oxygen reduction reaction in microbial fuel cells","type":"article-journal","volume":"6"},"uris":["http://www.mendeley.com/documents/?uuid=f6257d2d-4249-46fe-8dc3-cb71fa2d0010"]}],"mendeley":{"formattedCitation":"(Li et al., 2021)","plainTextFormattedCitation":"(Li et al., 2021)","previouslyFormattedCitation":"(Li et al., 2021)"},"properties":{"noteIndex":0},"schema":"https://github.com/citation-style-language/schema/raw/master/csl-citation.json"}</w:instrText>
      </w:r>
      <w:r w:rsidR="00526324">
        <w:fldChar w:fldCharType="separate"/>
      </w:r>
      <w:r w:rsidR="00526324" w:rsidRPr="00526324">
        <w:rPr>
          <w:noProof/>
          <w:lang w:val="en-GB"/>
        </w:rPr>
        <w:t>(Li et al., 2021)</w:t>
      </w:r>
      <w:r w:rsidR="00526324">
        <w:fldChar w:fldCharType="end"/>
      </w:r>
      <w:r w:rsidR="00526324">
        <w:rPr>
          <w:lang w:val="en-GB"/>
        </w:rPr>
        <w:t>.</w:t>
      </w:r>
      <w:r w:rsidR="0034406C">
        <w:t xml:space="preserve"> </w:t>
      </w:r>
      <w:r w:rsidR="00953B84">
        <w:t>According to</w:t>
      </w:r>
      <w:r w:rsidR="007E5972" w:rsidRPr="00331E72">
        <w:t xml:space="preserve"> Li and co-workers, significant </w:t>
      </w:r>
      <w:r w:rsidR="0034406C" w:rsidRPr="00331E72">
        <w:t>challenges</w:t>
      </w:r>
      <w:r w:rsidR="007E5972" w:rsidRPr="00331E72">
        <w:t xml:space="preserve"> still need to overcome the poor electrocatalytic properties of biochar</w:t>
      </w:r>
      <w:r w:rsidR="00953B84">
        <w:t>s</w:t>
      </w:r>
      <w:r w:rsidR="00220215" w:rsidRPr="00331E72">
        <w:t xml:space="preserve">, </w:t>
      </w:r>
      <w:r w:rsidR="00953B84">
        <w:t>as the</w:t>
      </w:r>
      <w:r w:rsidR="00D22BEA">
        <w:t xml:space="preserve"> </w:t>
      </w:r>
      <w:r w:rsidR="001625DC">
        <w:t>very high energy barrier</w:t>
      </w:r>
      <w:r w:rsidR="00D22BEA">
        <w:t xml:space="preserve"> of the oxygen reduction reaction </w:t>
      </w:r>
      <w:r w:rsidR="00220215" w:rsidRPr="00331E72">
        <w:t>hinder</w:t>
      </w:r>
      <w:r w:rsidR="00D22BEA">
        <w:t>s</w:t>
      </w:r>
      <w:r w:rsidR="00220215" w:rsidRPr="00331E72">
        <w:t xml:space="preserve"> the </w:t>
      </w:r>
      <w:r w:rsidR="00953B84">
        <w:t xml:space="preserve">overall </w:t>
      </w:r>
      <w:r w:rsidR="00220215" w:rsidRPr="00331E72">
        <w:t>current production</w:t>
      </w:r>
      <w:r w:rsidR="00953B84">
        <w:t xml:space="preserve"> of the device</w:t>
      </w:r>
      <w:r w:rsidR="00967998">
        <w:t>s</w:t>
      </w:r>
      <w:r w:rsidR="007E5972" w:rsidRPr="00331E72">
        <w:t>. H</w:t>
      </w:r>
      <w:r w:rsidR="00220215" w:rsidRPr="00331E72">
        <w:t>o</w:t>
      </w:r>
      <w:r w:rsidR="007E5972" w:rsidRPr="00331E72">
        <w:t xml:space="preserve">wever, </w:t>
      </w:r>
      <w:r w:rsidR="0033645F">
        <w:t>through a wider</w:t>
      </w:r>
      <w:r w:rsidR="009A190E">
        <w:t xml:space="preserve"> viewpoint,</w:t>
      </w:r>
      <w:r w:rsidR="007E5972" w:rsidRPr="00331E72">
        <w:t xml:space="preserve"> an optimal electrode catalyst must possess not only electrocatalytic activity and electrical conductivity but also exhibit recyclable or reusable traits. Achieving these attributes means minimizing material cost and energy consumption during the manufacturing process </w:t>
      </w:r>
      <w:r w:rsidR="007E5972">
        <w:rPr>
          <w:lang w:val="it-IT"/>
        </w:rPr>
        <w:fldChar w:fldCharType="begin" w:fldLock="1"/>
      </w:r>
      <w:r w:rsidR="00526324" w:rsidRPr="00331E72">
        <w:instrText>ADDIN CSL_CITATION {"citationItems":[{"id":"ITEM-1","itemData":{"DOI":"10.1016/j.gee.2020.11.010","ISSN":"24680257","abstract":"Microbial fuel cells (MFCs) have gained remarkable attention as a novel wastewater treatment that simultaneously generates electricity. The low activity of the oxygen reduction reaction (ORR) remains one of the most critical bottlenecks limiting the development of MFCs. To date, although research on biochar as an electrocatalyst in MFCs has made tremendous progress, further improvements are needed to make it economically practical. Recently, biochars have been considered to be ORR electrocatalysts with developmental potential. In this review, the ORR mechanism and the essential requirements of ORR catalysts in MFC applications are introduced. Moreover, the focus is to highlight the material selection, properties, and preparation of biochar electrocatalysts, as well as the evaluation and measurement of biochar electrodes. Additionally, in order to provide comprehensive information on the specific applications of biochars in the field of MFCs, their applications as electrocatalysts, are then discussed in detail, including the uses of nitrogen-doped biochar and other heteroatom-doped biochars as electrocatalysts, poisoning tests for biochar catalysts, and the cost estimation of biochar catalysts. Finally, profound insights into the current challenges and clear directions for future perspectives and research are concluded.","author":[{"dropping-particle":"","family":"Li","given":"Shengnan","non-dropping-particle":"","parse-names":false,"suffix":""},{"dropping-particle":"","family":"Ho","given":"Shih Hsin","non-dropping-particle":"","parse-names":false,"suffix":""},{"dropping-particle":"","family":"Hua","given":"Tao","non-dropping-particle":"","parse-names":false,"suffix":""},{"dropping-particle":"","family":"Zhou","given":"Qixing","non-dropping-particle":"","parse-names":false,"suffix":""},{"dropping-particle":"","family":"Li","given":"Fengxiang","non-dropping-particle":"","parse-names":false,"suffix":""},{"dropping-particle":"","family":"Tang","given":"Jingchun","non-dropping-particle":"","parse-names":false,"suffix":""}],"container-title":"Green Energy and Environment","id":"ITEM-1","issue":"5","issued":{"date-parts":[["2021"]]},"page":"644-659","publisher":"Elsevier Ltd","title":"Sustainable biochar as an electrocatalysts for the oxygen reduction reaction in microbial fuel cells","type":"article-journal","</w:instrText>
      </w:r>
      <w:r w:rsidR="00526324" w:rsidRPr="0033645F">
        <w:instrText>volume":"6"},"uris":["http://www.mendeley.com/documents/?uuid=f6257d2d-4249-46fe-8dc3-cb71fa2d0010"]}],"mendeley":{"formattedCitation":"(Li et al., 2021)","plainTextFormattedCitation":"(Li et al., 2021)","previouslyFormattedCitation":"(Li et al., 2021)"},"properties":{"noteIndex":0},"schema":"https://github.com/citation-style-language/schema/raw/master/csl-citation.json"}</w:instrText>
      </w:r>
      <w:r w:rsidR="007E5972">
        <w:rPr>
          <w:lang w:val="it-IT"/>
        </w:rPr>
        <w:fldChar w:fldCharType="separate"/>
      </w:r>
      <w:r w:rsidR="007E5972" w:rsidRPr="0033645F">
        <w:rPr>
          <w:noProof/>
        </w:rPr>
        <w:t>(Li et al., 2021)</w:t>
      </w:r>
      <w:r w:rsidR="007E5972">
        <w:rPr>
          <w:lang w:val="it-IT"/>
        </w:rPr>
        <w:fldChar w:fldCharType="end"/>
      </w:r>
      <w:r w:rsidR="007E5972" w:rsidRPr="0033645F">
        <w:t>.</w:t>
      </w:r>
    </w:p>
    <w:p w14:paraId="756984EC" w14:textId="6D8ADA33" w:rsidR="00935811" w:rsidRDefault="00935811" w:rsidP="00BE0821">
      <w:pPr>
        <w:pStyle w:val="CETBodytext"/>
      </w:pPr>
      <w:r w:rsidRPr="00331E72">
        <w:t xml:space="preserve">In order to characterize the organics remediation properties of each system, </w:t>
      </w:r>
      <w:r w:rsidR="008D64B0" w:rsidRPr="00331E72">
        <w:t xml:space="preserve">the real focus of this work, </w:t>
      </w:r>
      <w:r w:rsidRPr="00331E72">
        <w:t xml:space="preserve">COD values were </w:t>
      </w:r>
      <w:r w:rsidR="005B7EA9">
        <w:t>determined</w:t>
      </w:r>
      <w:r w:rsidR="005B7EA9" w:rsidRPr="00331E72">
        <w:t xml:space="preserve"> </w:t>
      </w:r>
      <w:r w:rsidRPr="00331E72">
        <w:t>at the begin</w:t>
      </w:r>
      <w:r w:rsidR="00C651F4" w:rsidRPr="00331E72">
        <w:t>n</w:t>
      </w:r>
      <w:r w:rsidRPr="00331E72">
        <w:t xml:space="preserve">ing and </w:t>
      </w:r>
      <w:r w:rsidR="005B7EA9">
        <w:t xml:space="preserve">at the </w:t>
      </w:r>
      <w:r w:rsidRPr="00331E72">
        <w:t>end of each operational stage.</w:t>
      </w:r>
    </w:p>
    <w:p w14:paraId="1034C896" w14:textId="7D0CE2FD" w:rsidR="00FA6288" w:rsidRDefault="00FA6288" w:rsidP="00FA6288">
      <w:pPr>
        <w:pStyle w:val="CETBodytext"/>
        <w:rPr>
          <w:lang w:val="en-GB"/>
        </w:rPr>
      </w:pPr>
      <w:r>
        <w:rPr>
          <w:lang w:val="en-GB"/>
        </w:rPr>
        <w:t>Table 1 displays the COD removal for both cells in each cycle, demonstrating that t</w:t>
      </w:r>
      <w:r w:rsidRPr="00C01E9E">
        <w:rPr>
          <w:lang w:val="en-GB"/>
        </w:rPr>
        <w:t>he consumption of organic substrate occurred wi</w:t>
      </w:r>
      <w:r>
        <w:rPr>
          <w:lang w:val="en-GB"/>
        </w:rPr>
        <w:t xml:space="preserve">th high efficiency, in all cycles within about 10 days. At the end of cycle 2, </w:t>
      </w:r>
      <w:r w:rsidRPr="00C01E9E">
        <w:rPr>
          <w:lang w:val="en-GB"/>
        </w:rPr>
        <w:t xml:space="preserve">COD removal resulted of </w:t>
      </w:r>
      <w:r>
        <w:rPr>
          <w:lang w:val="en-GB"/>
        </w:rPr>
        <w:t>97±3</w:t>
      </w:r>
      <w:r w:rsidRPr="00C01E9E">
        <w:rPr>
          <w:lang w:val="en-GB"/>
        </w:rPr>
        <w:t xml:space="preserve"> for </w:t>
      </w:r>
      <w:r>
        <w:rPr>
          <w:lang w:val="en-GB"/>
        </w:rPr>
        <w:t>SK</w:t>
      </w:r>
      <w:r w:rsidRPr="00C01E9E">
        <w:rPr>
          <w:lang w:val="en-GB"/>
        </w:rPr>
        <w:t xml:space="preserve">-MFC </w:t>
      </w:r>
      <w:r>
        <w:rPr>
          <w:lang w:val="en-GB"/>
        </w:rPr>
        <w:t>and 99</w:t>
      </w:r>
      <w:r w:rsidRPr="00C01E9E">
        <w:rPr>
          <w:lang w:val="en-GB"/>
        </w:rPr>
        <w:t>±</w:t>
      </w:r>
      <w:r>
        <w:rPr>
          <w:lang w:val="en-GB"/>
        </w:rPr>
        <w:t>2 for CTRL</w:t>
      </w:r>
      <w:r w:rsidRPr="00C01E9E">
        <w:rPr>
          <w:lang w:val="en-GB"/>
        </w:rPr>
        <w:t>-MFC, respectively, with no significant differences among systems</w:t>
      </w:r>
      <w:r>
        <w:rPr>
          <w:lang w:val="en-GB"/>
        </w:rPr>
        <w:t xml:space="preserve">, contrary to the evident differences detected for the electrochemical key features of the devices. It could be </w:t>
      </w:r>
      <w:r w:rsidR="00555FEA">
        <w:rPr>
          <w:lang w:val="en-GB"/>
        </w:rPr>
        <w:t>inferred</w:t>
      </w:r>
      <w:r>
        <w:rPr>
          <w:lang w:val="en-GB"/>
        </w:rPr>
        <w:t xml:space="preserve"> that </w:t>
      </w:r>
      <w:r w:rsidR="00555FEA">
        <w:rPr>
          <w:lang w:val="en-GB"/>
        </w:rPr>
        <w:t xml:space="preserve">a parallel </w:t>
      </w:r>
      <w:r>
        <w:rPr>
          <w:lang w:val="en-GB"/>
        </w:rPr>
        <w:t xml:space="preserve">pathway </w:t>
      </w:r>
      <w:r w:rsidR="00555FEA">
        <w:rPr>
          <w:lang w:val="en-GB"/>
        </w:rPr>
        <w:t xml:space="preserve">(bulk microbial degradation processes. </w:t>
      </w:r>
      <w:r w:rsidR="00555FEA" w:rsidRPr="0033645F">
        <w:rPr>
          <w:i/>
          <w:lang w:val="en-GB"/>
        </w:rPr>
        <w:t>i.e</w:t>
      </w:r>
      <w:r w:rsidR="00555FEA">
        <w:rPr>
          <w:lang w:val="en-GB"/>
        </w:rPr>
        <w:t xml:space="preserve">., fermentation) competes in yielding an </w:t>
      </w:r>
      <w:r>
        <w:rPr>
          <w:lang w:val="en-GB"/>
        </w:rPr>
        <w:t xml:space="preserve">almost complete organic removal </w:t>
      </w:r>
      <w:r w:rsidR="00555FEA">
        <w:rPr>
          <w:lang w:val="en-GB"/>
        </w:rPr>
        <w:t>together with</w:t>
      </w:r>
      <w:r>
        <w:rPr>
          <w:lang w:val="en-GB"/>
        </w:rPr>
        <w:t xml:space="preserve"> the surface-mediated processes triggered by the electrophilic consortia of bacteria grown on the electrodes, in turn the only responsible for the current production.</w:t>
      </w:r>
    </w:p>
    <w:p w14:paraId="726CEC35" w14:textId="57AEA776" w:rsidR="00555FEA" w:rsidRDefault="00555FEA" w:rsidP="00FA6288">
      <w:pPr>
        <w:pStyle w:val="CETBodytext"/>
        <w:rPr>
          <w:lang w:val="en-GB"/>
        </w:rPr>
      </w:pPr>
    </w:p>
    <w:p w14:paraId="625B3D98" w14:textId="77777777" w:rsidR="00555FEA" w:rsidRDefault="00555FEA" w:rsidP="00FA6288">
      <w:pPr>
        <w:pStyle w:val="CETBodytext"/>
        <w:rPr>
          <w:lang w:val="en-GB"/>
        </w:rPr>
      </w:pPr>
    </w:p>
    <w:p w14:paraId="1637BE7D" w14:textId="4D324A47" w:rsidR="00C01E9E" w:rsidRPr="00C01E9E" w:rsidRDefault="00C01E9E" w:rsidP="00555FEA">
      <w:pPr>
        <w:pStyle w:val="CETTabletitle"/>
        <w:spacing w:before="0"/>
      </w:pPr>
      <w:r w:rsidRPr="00C01E9E">
        <w:t>Table 1: Results of monitored chemical and electrochemical parameters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418"/>
        <w:gridCol w:w="947"/>
        <w:gridCol w:w="1463"/>
        <w:gridCol w:w="3118"/>
      </w:tblGrid>
      <w:tr w:rsidR="00C01E9E" w:rsidRPr="00C01E9E" w14:paraId="39E6D5FF" w14:textId="77777777" w:rsidTr="00C01E9E">
        <w:tc>
          <w:tcPr>
            <w:tcW w:w="1134" w:type="dxa"/>
            <w:vMerge w:val="restart"/>
            <w:tcBorders>
              <w:top w:val="single" w:sz="12" w:space="0" w:color="008000"/>
            </w:tcBorders>
            <w:shd w:val="clear" w:color="auto" w:fill="FFFFFF"/>
            <w:vAlign w:val="center"/>
          </w:tcPr>
          <w:p w14:paraId="73937EB3" w14:textId="6F24C23C" w:rsidR="00C01E9E" w:rsidRPr="00C01E9E" w:rsidRDefault="00C01E9E" w:rsidP="00C01E9E">
            <w:pPr>
              <w:pStyle w:val="CETBodytext"/>
              <w:jc w:val="center"/>
              <w:rPr>
                <w:lang w:val="en-GB"/>
              </w:rPr>
            </w:pPr>
            <w:r w:rsidRPr="00C01E9E">
              <w:rPr>
                <w:lang w:val="en-GB"/>
              </w:rPr>
              <w:t>MFC</w:t>
            </w:r>
          </w:p>
        </w:tc>
        <w:tc>
          <w:tcPr>
            <w:tcW w:w="3828" w:type="dxa"/>
            <w:gridSpan w:val="3"/>
            <w:tcBorders>
              <w:top w:val="single" w:sz="12" w:space="0" w:color="008000"/>
              <w:bottom w:val="single" w:sz="6" w:space="0" w:color="008000"/>
            </w:tcBorders>
            <w:shd w:val="clear" w:color="auto" w:fill="FFFFFF"/>
            <w:vAlign w:val="center"/>
          </w:tcPr>
          <w:p w14:paraId="567AED49" w14:textId="3CA67060" w:rsidR="00C01E9E" w:rsidRPr="00C01E9E" w:rsidRDefault="00C01E9E" w:rsidP="00C01E9E">
            <w:pPr>
              <w:pStyle w:val="CETBodytext"/>
              <w:ind w:right="-1"/>
              <w:jc w:val="center"/>
              <w:rPr>
                <w:rFonts w:cs="Arial"/>
                <w:szCs w:val="18"/>
                <w:lang w:val="en-GB"/>
              </w:rPr>
            </w:pPr>
            <w:r>
              <w:rPr>
                <w:lang w:val="en-GB"/>
              </w:rPr>
              <w:t>COD REMOVAL (%)</w:t>
            </w:r>
          </w:p>
        </w:tc>
        <w:tc>
          <w:tcPr>
            <w:tcW w:w="3118" w:type="dxa"/>
            <w:vMerge w:val="restart"/>
            <w:tcBorders>
              <w:top w:val="single" w:sz="12" w:space="0" w:color="008000"/>
            </w:tcBorders>
            <w:shd w:val="clear" w:color="auto" w:fill="FFFFFF"/>
            <w:vAlign w:val="center"/>
          </w:tcPr>
          <w:p w14:paraId="7688C68A" w14:textId="403D6976" w:rsidR="00C01E9E" w:rsidRPr="00C01E9E" w:rsidRDefault="00C01E9E" w:rsidP="00C01E9E">
            <w:pPr>
              <w:pStyle w:val="CETBodytext"/>
              <w:ind w:right="-1"/>
              <w:jc w:val="center"/>
              <w:rPr>
                <w:rFonts w:cs="Arial"/>
                <w:szCs w:val="18"/>
                <w:lang w:val="en-GB"/>
              </w:rPr>
            </w:pPr>
            <w:r>
              <w:rPr>
                <w:rFonts w:cs="Arial"/>
                <w:szCs w:val="18"/>
                <w:lang w:val="en-GB"/>
              </w:rPr>
              <w:t>POWER DENSITY (mW m</w:t>
            </w:r>
            <w:r w:rsidRPr="00C01E9E">
              <w:rPr>
                <w:rFonts w:cs="Arial"/>
                <w:szCs w:val="18"/>
                <w:vertAlign w:val="superscript"/>
                <w:lang w:val="en-GB"/>
              </w:rPr>
              <w:t>-2</w:t>
            </w:r>
            <w:r>
              <w:rPr>
                <w:rFonts w:cs="Arial"/>
                <w:szCs w:val="18"/>
                <w:lang w:val="en-GB"/>
              </w:rPr>
              <w:t>)</w:t>
            </w:r>
          </w:p>
        </w:tc>
      </w:tr>
      <w:tr w:rsidR="00C01E9E" w:rsidRPr="00C01E9E" w14:paraId="75499533" w14:textId="77777777" w:rsidTr="00C01E9E">
        <w:tc>
          <w:tcPr>
            <w:tcW w:w="1134" w:type="dxa"/>
            <w:vMerge/>
            <w:tcBorders>
              <w:bottom w:val="single" w:sz="6" w:space="0" w:color="008000"/>
            </w:tcBorders>
            <w:shd w:val="clear" w:color="auto" w:fill="FFFFFF"/>
            <w:vAlign w:val="center"/>
          </w:tcPr>
          <w:p w14:paraId="57613DB5" w14:textId="77777777" w:rsidR="00C01E9E" w:rsidRPr="00C01E9E" w:rsidRDefault="00C01E9E" w:rsidP="00C01E9E">
            <w:pPr>
              <w:pStyle w:val="CETBodytext"/>
              <w:jc w:val="center"/>
              <w:rPr>
                <w:lang w:val="en-GB"/>
              </w:rPr>
            </w:pPr>
          </w:p>
        </w:tc>
        <w:tc>
          <w:tcPr>
            <w:tcW w:w="1418" w:type="dxa"/>
            <w:tcBorders>
              <w:top w:val="single" w:sz="12" w:space="0" w:color="008000"/>
              <w:bottom w:val="single" w:sz="6" w:space="0" w:color="008000"/>
            </w:tcBorders>
            <w:shd w:val="clear" w:color="auto" w:fill="FFFFFF"/>
            <w:vAlign w:val="center"/>
          </w:tcPr>
          <w:p w14:paraId="488932B4" w14:textId="61D26642" w:rsidR="00C01E9E" w:rsidRDefault="00C01E9E" w:rsidP="00C01E9E">
            <w:pPr>
              <w:pStyle w:val="CETBodytext"/>
              <w:jc w:val="center"/>
              <w:rPr>
                <w:lang w:val="en-GB"/>
              </w:rPr>
            </w:pPr>
            <w:r>
              <w:rPr>
                <w:lang w:val="en-GB"/>
              </w:rPr>
              <w:t>ACCLIMATION</w:t>
            </w:r>
          </w:p>
        </w:tc>
        <w:tc>
          <w:tcPr>
            <w:tcW w:w="947" w:type="dxa"/>
            <w:tcBorders>
              <w:top w:val="single" w:sz="12" w:space="0" w:color="008000"/>
              <w:bottom w:val="single" w:sz="6" w:space="0" w:color="008000"/>
            </w:tcBorders>
            <w:shd w:val="clear" w:color="auto" w:fill="FFFFFF"/>
            <w:vAlign w:val="center"/>
          </w:tcPr>
          <w:p w14:paraId="526AF716" w14:textId="2489A194" w:rsidR="00C01E9E" w:rsidRPr="00C01E9E" w:rsidRDefault="00C01E9E" w:rsidP="00C01E9E">
            <w:pPr>
              <w:pStyle w:val="CETBodytext"/>
              <w:jc w:val="center"/>
              <w:rPr>
                <w:lang w:val="en-GB"/>
              </w:rPr>
            </w:pPr>
            <w:r>
              <w:rPr>
                <w:lang w:val="en-GB"/>
              </w:rPr>
              <w:t>CYCLE 1</w:t>
            </w:r>
          </w:p>
        </w:tc>
        <w:tc>
          <w:tcPr>
            <w:tcW w:w="1463" w:type="dxa"/>
            <w:tcBorders>
              <w:top w:val="single" w:sz="12" w:space="0" w:color="008000"/>
              <w:bottom w:val="single" w:sz="6" w:space="0" w:color="008000"/>
            </w:tcBorders>
            <w:shd w:val="clear" w:color="auto" w:fill="FFFFFF"/>
            <w:vAlign w:val="center"/>
          </w:tcPr>
          <w:p w14:paraId="794003AA" w14:textId="4F088162" w:rsidR="00C01E9E" w:rsidRPr="00C01E9E" w:rsidRDefault="00C01E9E" w:rsidP="00C01E9E">
            <w:pPr>
              <w:pStyle w:val="CETBodytext"/>
              <w:ind w:right="-1"/>
              <w:jc w:val="center"/>
              <w:rPr>
                <w:rFonts w:cs="Arial"/>
                <w:szCs w:val="18"/>
                <w:lang w:val="en-GB"/>
              </w:rPr>
            </w:pPr>
            <w:r>
              <w:rPr>
                <w:lang w:val="en-GB"/>
              </w:rPr>
              <w:t>CYCLE 2</w:t>
            </w:r>
          </w:p>
        </w:tc>
        <w:tc>
          <w:tcPr>
            <w:tcW w:w="3118" w:type="dxa"/>
            <w:vMerge/>
            <w:tcBorders>
              <w:bottom w:val="single" w:sz="6" w:space="0" w:color="008000"/>
            </w:tcBorders>
            <w:shd w:val="clear" w:color="auto" w:fill="FFFFFF"/>
            <w:vAlign w:val="center"/>
          </w:tcPr>
          <w:p w14:paraId="6C95DCB5" w14:textId="44EDFE42" w:rsidR="00C01E9E" w:rsidRPr="00C01E9E" w:rsidRDefault="00C01E9E" w:rsidP="00C01E9E">
            <w:pPr>
              <w:pStyle w:val="CETBodytext"/>
              <w:ind w:right="-1"/>
              <w:jc w:val="center"/>
              <w:rPr>
                <w:rFonts w:cs="Arial"/>
                <w:szCs w:val="18"/>
                <w:lang w:val="en-GB"/>
              </w:rPr>
            </w:pPr>
          </w:p>
        </w:tc>
      </w:tr>
      <w:tr w:rsidR="00C01E9E" w:rsidRPr="00C01E9E" w14:paraId="2FFFB2E7" w14:textId="77777777" w:rsidTr="00C01E9E">
        <w:tc>
          <w:tcPr>
            <w:tcW w:w="1134" w:type="dxa"/>
            <w:shd w:val="clear" w:color="auto" w:fill="FFFFFF"/>
            <w:vAlign w:val="center"/>
          </w:tcPr>
          <w:p w14:paraId="67AC5E4B" w14:textId="0F93A535" w:rsidR="00C01E9E" w:rsidRPr="00C01E9E" w:rsidRDefault="00C01E9E" w:rsidP="00C01E9E">
            <w:pPr>
              <w:pStyle w:val="CETBodytext"/>
              <w:jc w:val="center"/>
              <w:rPr>
                <w:lang w:val="en-GB"/>
              </w:rPr>
            </w:pPr>
            <w:r w:rsidRPr="00C01E9E">
              <w:rPr>
                <w:lang w:val="en-GB"/>
              </w:rPr>
              <w:t>SK-MFC</w:t>
            </w:r>
          </w:p>
        </w:tc>
        <w:tc>
          <w:tcPr>
            <w:tcW w:w="1418" w:type="dxa"/>
            <w:shd w:val="clear" w:color="auto" w:fill="FFFFFF"/>
            <w:vAlign w:val="center"/>
          </w:tcPr>
          <w:p w14:paraId="5AAA4819" w14:textId="703CB2CB" w:rsidR="00C01E9E" w:rsidRPr="00C01E9E" w:rsidRDefault="00C01E9E" w:rsidP="00C01E9E">
            <w:pPr>
              <w:pStyle w:val="CETBodytext"/>
              <w:jc w:val="center"/>
              <w:rPr>
                <w:lang w:val="en-GB"/>
              </w:rPr>
            </w:pPr>
            <w:r>
              <w:rPr>
                <w:lang w:val="en-GB"/>
              </w:rPr>
              <w:t>100</w:t>
            </w:r>
            <w:r>
              <w:rPr>
                <w:rFonts w:cs="Arial"/>
                <w:lang w:val="en-GB"/>
              </w:rPr>
              <w:t>±2</w:t>
            </w:r>
          </w:p>
        </w:tc>
        <w:tc>
          <w:tcPr>
            <w:tcW w:w="947" w:type="dxa"/>
            <w:shd w:val="clear" w:color="auto" w:fill="FFFFFF"/>
            <w:vAlign w:val="center"/>
          </w:tcPr>
          <w:p w14:paraId="519CD3A7" w14:textId="5A8B0C45" w:rsidR="00C01E9E" w:rsidRPr="00C01E9E" w:rsidRDefault="00954EF6" w:rsidP="00C01E9E">
            <w:pPr>
              <w:pStyle w:val="CETBodytext"/>
              <w:jc w:val="center"/>
              <w:rPr>
                <w:lang w:val="en-GB"/>
              </w:rPr>
            </w:pPr>
            <w:r>
              <w:rPr>
                <w:lang w:val="en-GB"/>
              </w:rPr>
              <w:t>69</w:t>
            </w:r>
            <w:r>
              <w:rPr>
                <w:rFonts w:cs="Arial"/>
                <w:lang w:val="en-GB"/>
              </w:rPr>
              <w:t>±5</w:t>
            </w:r>
          </w:p>
        </w:tc>
        <w:tc>
          <w:tcPr>
            <w:tcW w:w="1463" w:type="dxa"/>
            <w:shd w:val="clear" w:color="auto" w:fill="FFFFFF"/>
            <w:vAlign w:val="center"/>
          </w:tcPr>
          <w:p w14:paraId="5D4B0530" w14:textId="0F934213" w:rsidR="00C01E9E" w:rsidRPr="00C01E9E" w:rsidRDefault="00954EF6" w:rsidP="00C01E9E">
            <w:pPr>
              <w:pStyle w:val="CETBodytext"/>
              <w:ind w:right="-1"/>
              <w:jc w:val="center"/>
              <w:rPr>
                <w:rFonts w:cs="Arial"/>
                <w:szCs w:val="18"/>
                <w:lang w:val="en-GB"/>
              </w:rPr>
            </w:pPr>
            <w:r>
              <w:rPr>
                <w:rFonts w:cs="Arial"/>
                <w:szCs w:val="18"/>
                <w:lang w:val="en-GB"/>
              </w:rPr>
              <w:t>97</w:t>
            </w:r>
            <w:r>
              <w:rPr>
                <w:rFonts w:cs="Arial"/>
                <w:lang w:val="en-GB"/>
              </w:rPr>
              <w:t>±3</w:t>
            </w:r>
          </w:p>
        </w:tc>
        <w:tc>
          <w:tcPr>
            <w:tcW w:w="3118" w:type="dxa"/>
            <w:shd w:val="clear" w:color="auto" w:fill="FFFFFF"/>
            <w:vAlign w:val="center"/>
          </w:tcPr>
          <w:p w14:paraId="08708F14" w14:textId="27093130" w:rsidR="00C01E9E" w:rsidRPr="00C01E9E" w:rsidRDefault="00C01E9E" w:rsidP="00C01E9E">
            <w:pPr>
              <w:pStyle w:val="CETBodytext"/>
              <w:ind w:right="-1"/>
              <w:jc w:val="center"/>
              <w:rPr>
                <w:rFonts w:cs="Arial"/>
                <w:szCs w:val="18"/>
                <w:lang w:val="en-GB"/>
              </w:rPr>
            </w:pPr>
            <w:r>
              <w:rPr>
                <w:rFonts w:cs="Arial"/>
                <w:szCs w:val="18"/>
                <w:lang w:val="en-GB"/>
              </w:rPr>
              <w:t>27.7</w:t>
            </w:r>
          </w:p>
        </w:tc>
      </w:tr>
      <w:tr w:rsidR="00C01E9E" w:rsidRPr="00177554" w14:paraId="26041695" w14:textId="77777777" w:rsidTr="00C01E9E">
        <w:tc>
          <w:tcPr>
            <w:tcW w:w="1134" w:type="dxa"/>
            <w:shd w:val="clear" w:color="auto" w:fill="FFFFFF"/>
            <w:vAlign w:val="center"/>
          </w:tcPr>
          <w:p w14:paraId="7F7F159D" w14:textId="7ADB3D35" w:rsidR="00C01E9E" w:rsidRPr="00C01E9E" w:rsidRDefault="00C01E9E" w:rsidP="00C01E9E">
            <w:pPr>
              <w:pStyle w:val="CETBodytext"/>
              <w:ind w:right="-1"/>
              <w:jc w:val="center"/>
              <w:rPr>
                <w:rFonts w:cs="Arial"/>
                <w:szCs w:val="18"/>
                <w:lang w:val="en-GB"/>
              </w:rPr>
            </w:pPr>
            <w:r w:rsidRPr="00C01E9E">
              <w:rPr>
                <w:rFonts w:cs="Arial"/>
                <w:szCs w:val="18"/>
                <w:lang w:val="en-GB"/>
              </w:rPr>
              <w:t>CTRL-MFC</w:t>
            </w:r>
          </w:p>
        </w:tc>
        <w:tc>
          <w:tcPr>
            <w:tcW w:w="1418" w:type="dxa"/>
            <w:shd w:val="clear" w:color="auto" w:fill="FFFFFF"/>
            <w:vAlign w:val="center"/>
          </w:tcPr>
          <w:p w14:paraId="496D3619" w14:textId="472CDF90" w:rsidR="00C01E9E" w:rsidRPr="00C01E9E" w:rsidRDefault="00C01E9E" w:rsidP="00C01E9E">
            <w:pPr>
              <w:pStyle w:val="CETBodytext"/>
              <w:ind w:right="-1"/>
              <w:jc w:val="center"/>
              <w:rPr>
                <w:rFonts w:cs="Arial"/>
                <w:szCs w:val="18"/>
                <w:lang w:val="en-GB"/>
              </w:rPr>
            </w:pPr>
            <w:r>
              <w:rPr>
                <w:lang w:val="en-GB"/>
              </w:rPr>
              <w:t>100</w:t>
            </w:r>
            <w:r>
              <w:rPr>
                <w:rFonts w:cs="Arial"/>
                <w:lang w:val="en-GB"/>
              </w:rPr>
              <w:t>±3</w:t>
            </w:r>
          </w:p>
        </w:tc>
        <w:tc>
          <w:tcPr>
            <w:tcW w:w="947" w:type="dxa"/>
            <w:shd w:val="clear" w:color="auto" w:fill="FFFFFF"/>
            <w:vAlign w:val="center"/>
          </w:tcPr>
          <w:p w14:paraId="7DC145E7" w14:textId="0027BD3B" w:rsidR="00C01E9E" w:rsidRPr="00C01E9E" w:rsidRDefault="00954EF6" w:rsidP="00C01E9E">
            <w:pPr>
              <w:pStyle w:val="CETBodytext"/>
              <w:ind w:right="-1"/>
              <w:jc w:val="center"/>
              <w:rPr>
                <w:rFonts w:cs="Arial"/>
                <w:szCs w:val="18"/>
                <w:lang w:val="en-GB"/>
              </w:rPr>
            </w:pPr>
            <w:r>
              <w:rPr>
                <w:rFonts w:cs="Arial"/>
                <w:szCs w:val="18"/>
                <w:lang w:val="en-GB"/>
              </w:rPr>
              <w:t>72</w:t>
            </w:r>
            <w:r>
              <w:rPr>
                <w:rFonts w:cs="Arial"/>
                <w:lang w:val="en-GB"/>
              </w:rPr>
              <w:t>±2</w:t>
            </w:r>
          </w:p>
        </w:tc>
        <w:tc>
          <w:tcPr>
            <w:tcW w:w="1463" w:type="dxa"/>
            <w:shd w:val="clear" w:color="auto" w:fill="FFFFFF"/>
            <w:vAlign w:val="center"/>
          </w:tcPr>
          <w:p w14:paraId="4C7ED497" w14:textId="1BCE6411" w:rsidR="00C01E9E" w:rsidRPr="00C01E9E" w:rsidRDefault="00954EF6" w:rsidP="00C01E9E">
            <w:pPr>
              <w:pStyle w:val="CETBodytext"/>
              <w:ind w:right="-1"/>
              <w:jc w:val="center"/>
              <w:rPr>
                <w:rFonts w:cs="Arial"/>
                <w:szCs w:val="18"/>
                <w:lang w:val="en-GB"/>
              </w:rPr>
            </w:pPr>
            <w:r>
              <w:rPr>
                <w:rFonts w:cs="Arial"/>
                <w:szCs w:val="18"/>
                <w:lang w:val="en-GB"/>
              </w:rPr>
              <w:t>99</w:t>
            </w:r>
            <w:r>
              <w:rPr>
                <w:rFonts w:cs="Arial"/>
                <w:lang w:val="en-GB"/>
              </w:rPr>
              <w:t>±2</w:t>
            </w:r>
          </w:p>
        </w:tc>
        <w:tc>
          <w:tcPr>
            <w:tcW w:w="3118" w:type="dxa"/>
            <w:shd w:val="clear" w:color="auto" w:fill="FFFFFF"/>
            <w:vAlign w:val="center"/>
          </w:tcPr>
          <w:p w14:paraId="7AA3B38A" w14:textId="26A32881" w:rsidR="00C01E9E" w:rsidRPr="00C01E9E" w:rsidRDefault="00C01E9E" w:rsidP="00C01E9E">
            <w:pPr>
              <w:pStyle w:val="CETBodytext"/>
              <w:ind w:right="-1"/>
              <w:jc w:val="center"/>
              <w:rPr>
                <w:rFonts w:cs="Arial"/>
                <w:szCs w:val="18"/>
                <w:lang w:val="en-GB"/>
              </w:rPr>
            </w:pPr>
            <w:r>
              <w:rPr>
                <w:rFonts w:cs="Arial"/>
                <w:szCs w:val="18"/>
                <w:lang w:val="en-GB"/>
              </w:rPr>
              <w:t>10.9</w:t>
            </w:r>
          </w:p>
        </w:tc>
      </w:tr>
    </w:tbl>
    <w:p w14:paraId="3DC90C25" w14:textId="77777777" w:rsidR="00C01E9E" w:rsidRDefault="00C01E9E" w:rsidP="00C01E9E">
      <w:pPr>
        <w:pStyle w:val="CETBodytext"/>
        <w:jc w:val="center"/>
        <w:rPr>
          <w:lang w:val="en-GB"/>
        </w:rPr>
      </w:pPr>
    </w:p>
    <w:p w14:paraId="4F95B102" w14:textId="10A18A26" w:rsidR="002977C3" w:rsidRDefault="002977C3" w:rsidP="001543BF">
      <w:pPr>
        <w:pStyle w:val="CETheadingx"/>
        <w:rPr>
          <w:lang w:val="en-GB"/>
        </w:rPr>
      </w:pPr>
      <w:r>
        <w:t xml:space="preserve">HAP/biochar composites production </w:t>
      </w:r>
    </w:p>
    <w:p w14:paraId="40A81182" w14:textId="2224C91D" w:rsidR="008A0A6D" w:rsidRDefault="00E704BE" w:rsidP="002977C3">
      <w:pPr>
        <w:pStyle w:val="CETBodytext"/>
        <w:rPr>
          <w:lang w:val="en-GB"/>
        </w:rPr>
      </w:pPr>
      <w:r>
        <w:rPr>
          <w:lang w:val="en-GB"/>
        </w:rPr>
        <w:t>As a preliminary study, u</w:t>
      </w:r>
      <w:r w:rsidR="00A270A9">
        <w:rPr>
          <w:lang w:val="en-GB"/>
        </w:rPr>
        <w:t xml:space="preserve">nder the </w:t>
      </w:r>
      <w:r w:rsidR="00382CD0">
        <w:rPr>
          <w:lang w:val="en-GB"/>
        </w:rPr>
        <w:t>per</w:t>
      </w:r>
      <w:r>
        <w:rPr>
          <w:lang w:val="en-GB"/>
        </w:rPr>
        <w:t>sp</w:t>
      </w:r>
      <w:r w:rsidR="00382CD0">
        <w:rPr>
          <w:lang w:val="en-GB"/>
        </w:rPr>
        <w:t>e</w:t>
      </w:r>
      <w:r>
        <w:rPr>
          <w:lang w:val="en-GB"/>
        </w:rPr>
        <w:t>c</w:t>
      </w:r>
      <w:r w:rsidR="00382CD0">
        <w:rPr>
          <w:lang w:val="en-GB"/>
        </w:rPr>
        <w:t>tive</w:t>
      </w:r>
      <w:r w:rsidR="00A270A9">
        <w:rPr>
          <w:lang w:val="en-GB"/>
        </w:rPr>
        <w:t xml:space="preserve"> view of a second generation MFC</w:t>
      </w:r>
      <w:r w:rsidR="00D66A4E">
        <w:rPr>
          <w:lang w:val="en-GB"/>
        </w:rPr>
        <w:t>s</w:t>
      </w:r>
      <w:r w:rsidR="00A270A9">
        <w:rPr>
          <w:lang w:val="en-GB"/>
        </w:rPr>
        <w:t>, where the organics removal occurs parallel to inorganics remediation, s</w:t>
      </w:r>
      <w:r w:rsidR="00435E13" w:rsidRPr="00435E13">
        <w:rPr>
          <w:lang w:val="en-GB"/>
        </w:rPr>
        <w:t xml:space="preserve">ilverskin-derived biochar </w:t>
      </w:r>
      <w:r>
        <w:rPr>
          <w:lang w:val="en-GB"/>
        </w:rPr>
        <w:t xml:space="preserve">had also </w:t>
      </w:r>
      <w:r w:rsidR="00435E13" w:rsidRPr="00435E13">
        <w:rPr>
          <w:lang w:val="en-GB"/>
        </w:rPr>
        <w:t xml:space="preserve">served as the </w:t>
      </w:r>
      <w:r w:rsidR="00435E13">
        <w:rPr>
          <w:lang w:val="en-GB"/>
        </w:rPr>
        <w:t>scaffold</w:t>
      </w:r>
      <w:r w:rsidR="00435E13" w:rsidRPr="00435E13">
        <w:rPr>
          <w:lang w:val="en-GB"/>
        </w:rPr>
        <w:t xml:space="preserve"> for fabricating biochar/hydroxyapatite composite materials with a 10 wt.% </w:t>
      </w:r>
      <w:r w:rsidR="006C2948">
        <w:rPr>
          <w:lang w:val="en-GB"/>
        </w:rPr>
        <w:t>HAP</w:t>
      </w:r>
      <w:r w:rsidR="00435E13" w:rsidRPr="00435E13">
        <w:rPr>
          <w:lang w:val="en-GB"/>
        </w:rPr>
        <w:t xml:space="preserve"> content. The hydroxyapatite was precipitated from an aqueous solution containing Ca and P precursors, with biochar suspension serving as the medium for this process. The attachment and growth of hydroxyapatite onto the biochar surface were </w:t>
      </w:r>
      <w:r w:rsidR="00435E13">
        <w:rPr>
          <w:lang w:val="en-GB"/>
        </w:rPr>
        <w:t>corroborated</w:t>
      </w:r>
      <w:r w:rsidR="00A270A9">
        <w:rPr>
          <w:lang w:val="en-GB"/>
        </w:rPr>
        <w:t xml:space="preserve"> through X-R</w:t>
      </w:r>
      <w:r w:rsidR="00435E13" w:rsidRPr="00435E13">
        <w:rPr>
          <w:lang w:val="en-GB"/>
        </w:rPr>
        <w:t xml:space="preserve">ay </w:t>
      </w:r>
      <w:r w:rsidR="00A270A9">
        <w:rPr>
          <w:lang w:val="en-GB"/>
        </w:rPr>
        <w:t>P</w:t>
      </w:r>
      <w:r w:rsidR="00435E13" w:rsidRPr="00435E13">
        <w:rPr>
          <w:lang w:val="en-GB"/>
        </w:rPr>
        <w:t xml:space="preserve">owder </w:t>
      </w:r>
      <w:r w:rsidR="00A270A9">
        <w:rPr>
          <w:lang w:val="en-GB"/>
        </w:rPr>
        <w:t>D</w:t>
      </w:r>
      <w:r w:rsidR="00435E13" w:rsidRPr="00435E13">
        <w:rPr>
          <w:lang w:val="en-GB"/>
        </w:rPr>
        <w:t xml:space="preserve">iffraction (XRPD) analysis. Indeed, the XRPD pattern of the composite material (Figure </w:t>
      </w:r>
      <w:r w:rsidR="00B82B05">
        <w:rPr>
          <w:lang w:val="en-GB"/>
        </w:rPr>
        <w:t>2A</w:t>
      </w:r>
      <w:r w:rsidR="00435E13" w:rsidRPr="00435E13">
        <w:rPr>
          <w:lang w:val="en-GB"/>
        </w:rPr>
        <w:t xml:space="preserve">) revealed distinctive reflections characteristic of crystalline </w:t>
      </w:r>
      <w:r w:rsidR="006C2948">
        <w:rPr>
          <w:lang w:val="en-GB"/>
        </w:rPr>
        <w:t>HAP</w:t>
      </w:r>
      <w:r w:rsidR="00435E13" w:rsidRPr="00435E13">
        <w:rPr>
          <w:lang w:val="en-GB"/>
        </w:rPr>
        <w:t xml:space="preserve"> (JCPDS 00-064-0738). Additionally, the broad </w:t>
      </w:r>
      <w:r w:rsidR="00435E13">
        <w:rPr>
          <w:lang w:val="en-GB"/>
        </w:rPr>
        <w:t>signal</w:t>
      </w:r>
      <w:r w:rsidR="00435E13" w:rsidRPr="00435E13">
        <w:rPr>
          <w:lang w:val="en-GB"/>
        </w:rPr>
        <w:t xml:space="preserve"> corresponding to biochar in the 2theta range of 20˚–30˚ was distinctly observed.</w:t>
      </w:r>
    </w:p>
    <w:p w14:paraId="17674AA2" w14:textId="09675FCC" w:rsidR="00047052" w:rsidRDefault="006C2948" w:rsidP="006C2948">
      <w:pPr>
        <w:pStyle w:val="CETBodytext"/>
        <w:jc w:val="center"/>
        <w:rPr>
          <w:lang w:val="en-GB"/>
        </w:rPr>
      </w:pPr>
      <w:r>
        <w:rPr>
          <w:noProof/>
          <w:lang w:val="it-IT" w:eastAsia="it-IT"/>
        </w:rPr>
        <w:drawing>
          <wp:inline distT="0" distB="0" distL="0" distR="0" wp14:anchorId="088204A8" wp14:editId="235947E1">
            <wp:extent cx="5511800" cy="1720850"/>
            <wp:effectExtent l="0" t="0" r="0" b="0"/>
            <wp:docPr id="177179607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a:extLst>
                        <a:ext uri="{28A0092B-C50C-407E-A947-70E740481C1C}">
                          <a14:useLocalDpi xmlns:a14="http://schemas.microsoft.com/office/drawing/2010/main" val="0"/>
                        </a:ext>
                      </a:extLst>
                    </a:blip>
                    <a:srcRect t="1" r="12574" b="2970"/>
                    <a:stretch/>
                  </pic:blipFill>
                  <pic:spPr bwMode="auto">
                    <a:xfrm>
                      <a:off x="0" y="0"/>
                      <a:ext cx="5531320" cy="1726944"/>
                    </a:xfrm>
                    <a:prstGeom prst="rect">
                      <a:avLst/>
                    </a:prstGeom>
                    <a:noFill/>
                    <a:ln>
                      <a:noFill/>
                    </a:ln>
                    <a:extLst>
                      <a:ext uri="{53640926-AAD7-44D8-BBD7-CCE9431645EC}">
                        <a14:shadowObscured xmlns:a14="http://schemas.microsoft.com/office/drawing/2010/main"/>
                      </a:ext>
                    </a:extLst>
                  </pic:spPr>
                </pic:pic>
              </a:graphicData>
            </a:graphic>
          </wp:inline>
        </w:drawing>
      </w:r>
    </w:p>
    <w:p w14:paraId="62868C9A" w14:textId="6758CD92" w:rsidR="007212CB" w:rsidRDefault="008A0A6D" w:rsidP="007212CB">
      <w:pPr>
        <w:pStyle w:val="CETBodytext"/>
        <w:rPr>
          <w:b/>
          <w:bCs/>
        </w:rPr>
      </w:pPr>
      <w:r w:rsidRPr="0033521B">
        <w:rPr>
          <w:rStyle w:val="CETCaptionCarattere"/>
        </w:rPr>
        <w:t xml:space="preserve">Figure </w:t>
      </w:r>
      <w:r w:rsidR="00B82B05">
        <w:rPr>
          <w:rStyle w:val="CETCaptionCarattere"/>
        </w:rPr>
        <w:t>2</w:t>
      </w:r>
      <w:r w:rsidRPr="0033521B">
        <w:rPr>
          <w:rStyle w:val="CETCaptionCarattere"/>
        </w:rPr>
        <w:t xml:space="preserve">: </w:t>
      </w:r>
      <w:r w:rsidR="00B82B05">
        <w:rPr>
          <w:rStyle w:val="CETCaptionCarattere"/>
        </w:rPr>
        <w:t xml:space="preserve">A) </w:t>
      </w:r>
      <w:r w:rsidRPr="008A0A6D">
        <w:rPr>
          <w:rStyle w:val="CETCaptionCarattere"/>
        </w:rPr>
        <w:t xml:space="preserve">XRPD pattern of </w:t>
      </w:r>
      <w:r w:rsidR="006C2948">
        <w:rPr>
          <w:rStyle w:val="CETCaptionCarattere"/>
        </w:rPr>
        <w:t>HAP</w:t>
      </w:r>
      <w:r w:rsidRPr="008A0A6D">
        <w:rPr>
          <w:rStyle w:val="CETCaptionCarattere"/>
        </w:rPr>
        <w:t>/biochar composite.</w:t>
      </w:r>
      <w:r w:rsidR="007212CB" w:rsidRPr="0033521B">
        <w:rPr>
          <w:rStyle w:val="CETCaptionCarattere"/>
        </w:rPr>
        <w:t xml:space="preserve"> </w:t>
      </w:r>
      <w:r w:rsidR="007212CB" w:rsidRPr="00435E13">
        <w:rPr>
          <w:rStyle w:val="CETCaptionCarattere"/>
        </w:rPr>
        <w:t xml:space="preserve">Results of </w:t>
      </w:r>
      <w:r w:rsidR="007212CB">
        <w:rPr>
          <w:rStyle w:val="CETCaptionCarattere"/>
        </w:rPr>
        <w:t>adsorption</w:t>
      </w:r>
      <w:r w:rsidR="007212CB" w:rsidRPr="00435E13">
        <w:rPr>
          <w:rStyle w:val="CETCaptionCarattere"/>
        </w:rPr>
        <w:t xml:space="preserve"> tests </w:t>
      </w:r>
      <w:r w:rsidR="007212CB">
        <w:rPr>
          <w:rStyle w:val="CETCaptionCarattere"/>
        </w:rPr>
        <w:t>on biochar- and composite-based</w:t>
      </w:r>
      <w:r w:rsidR="007212CB" w:rsidRPr="00435E13">
        <w:rPr>
          <w:rStyle w:val="CETCaptionCarattere"/>
        </w:rPr>
        <w:t xml:space="preserve"> sorbents</w:t>
      </w:r>
      <w:r w:rsidR="007212CB">
        <w:rPr>
          <w:rStyle w:val="CETCaptionCarattere"/>
        </w:rPr>
        <w:t xml:space="preserve"> for </w:t>
      </w:r>
      <w:r w:rsidR="00B82B05">
        <w:rPr>
          <w:rStyle w:val="CETCaptionCarattere"/>
        </w:rPr>
        <w:t>B</w:t>
      </w:r>
      <w:r w:rsidR="007212CB">
        <w:rPr>
          <w:rStyle w:val="CETCaptionCarattere"/>
        </w:rPr>
        <w:t>) Cd</w:t>
      </w:r>
      <w:r w:rsidR="006C2948">
        <w:rPr>
          <w:rStyle w:val="CETCaptionCarattere"/>
        </w:rPr>
        <w:t>(II)</w:t>
      </w:r>
      <w:r w:rsidR="007212CB">
        <w:rPr>
          <w:rStyle w:val="CETCaptionCarattere"/>
        </w:rPr>
        <w:t xml:space="preserve"> (initial concentration 1 mg L</w:t>
      </w:r>
      <w:r w:rsidR="007212CB" w:rsidRPr="00435E13">
        <w:rPr>
          <w:rStyle w:val="CETCaptionCarattere"/>
          <w:vertAlign w:val="superscript"/>
        </w:rPr>
        <w:t>-1</w:t>
      </w:r>
      <w:r w:rsidR="007212CB">
        <w:rPr>
          <w:rStyle w:val="CETCaptionCarattere"/>
        </w:rPr>
        <w:t xml:space="preserve">) and </w:t>
      </w:r>
      <w:r w:rsidR="00B82B05">
        <w:rPr>
          <w:rStyle w:val="CETCaptionCarattere"/>
        </w:rPr>
        <w:t>C</w:t>
      </w:r>
      <w:r w:rsidR="007212CB">
        <w:rPr>
          <w:rStyle w:val="CETCaptionCarattere"/>
        </w:rPr>
        <w:t>) Z</w:t>
      </w:r>
      <w:r w:rsidR="006C2948">
        <w:rPr>
          <w:rStyle w:val="CETCaptionCarattere"/>
        </w:rPr>
        <w:t>n(II)</w:t>
      </w:r>
      <w:r w:rsidR="006C2948">
        <w:rPr>
          <w:rStyle w:val="CETCaptionCarattere"/>
          <w:vertAlign w:val="superscript"/>
        </w:rPr>
        <w:t xml:space="preserve"> </w:t>
      </w:r>
      <w:r w:rsidR="007212CB">
        <w:rPr>
          <w:rStyle w:val="CETCaptionCarattere"/>
        </w:rPr>
        <w:t xml:space="preserve">(initial concentration </w:t>
      </w:r>
      <w:r w:rsidR="003461BA">
        <w:rPr>
          <w:rStyle w:val="CETCaptionCarattere"/>
        </w:rPr>
        <w:t>5</w:t>
      </w:r>
      <w:r w:rsidR="007212CB">
        <w:rPr>
          <w:rStyle w:val="CETCaptionCarattere"/>
        </w:rPr>
        <w:t xml:space="preserve"> mg L</w:t>
      </w:r>
      <w:r w:rsidR="007212CB" w:rsidRPr="00435E13">
        <w:rPr>
          <w:rStyle w:val="CETCaptionCarattere"/>
          <w:vertAlign w:val="superscript"/>
        </w:rPr>
        <w:t>-1</w:t>
      </w:r>
      <w:r w:rsidR="007212CB">
        <w:rPr>
          <w:rStyle w:val="CETCaptionCarattere"/>
        </w:rPr>
        <w:t>)</w:t>
      </w:r>
    </w:p>
    <w:p w14:paraId="1A3E18DB" w14:textId="49B9F35D" w:rsidR="00FF28A5" w:rsidRPr="004349BD" w:rsidRDefault="00E704BE" w:rsidP="00FA6288">
      <w:pPr>
        <w:pStyle w:val="CETAcknowledgementstitle"/>
        <w:jc w:val="both"/>
        <w:rPr>
          <w:b w:val="0"/>
          <w:bCs/>
          <w:lang w:val="en-US"/>
        </w:rPr>
      </w:pPr>
      <w:r>
        <w:rPr>
          <w:b w:val="0"/>
          <w:bCs/>
          <w:lang w:val="en-US"/>
        </w:rPr>
        <w:t xml:space="preserve">Before studying the performance of the composite </w:t>
      </w:r>
      <w:r w:rsidR="00DB2FF6">
        <w:rPr>
          <w:b w:val="0"/>
          <w:bCs/>
          <w:lang w:val="en-US"/>
        </w:rPr>
        <w:t xml:space="preserve">as cathode </w:t>
      </w:r>
      <w:r>
        <w:rPr>
          <w:b w:val="0"/>
          <w:bCs/>
          <w:lang w:val="en-US"/>
        </w:rPr>
        <w:t xml:space="preserve">in MFCs for </w:t>
      </w:r>
      <w:r w:rsidR="00DB2FF6">
        <w:rPr>
          <w:b w:val="0"/>
          <w:bCs/>
          <w:lang w:val="en-US"/>
        </w:rPr>
        <w:t xml:space="preserve">the </w:t>
      </w:r>
      <w:r>
        <w:rPr>
          <w:b w:val="0"/>
          <w:bCs/>
          <w:lang w:val="en-US"/>
        </w:rPr>
        <w:t>hybrid remediation</w:t>
      </w:r>
      <w:r w:rsidR="00DB2FF6">
        <w:rPr>
          <w:b w:val="0"/>
          <w:bCs/>
          <w:lang w:val="en-US"/>
        </w:rPr>
        <w:t xml:space="preserve"> of wastewater,</w:t>
      </w:r>
      <w:r w:rsidR="004349BD">
        <w:rPr>
          <w:b w:val="0"/>
          <w:bCs/>
          <w:lang w:val="en-US"/>
        </w:rPr>
        <w:t xml:space="preserve"> </w:t>
      </w:r>
      <w:r w:rsidR="00967C59">
        <w:rPr>
          <w:b w:val="0"/>
          <w:bCs/>
          <w:lang w:val="en-US"/>
        </w:rPr>
        <w:t xml:space="preserve">the </w:t>
      </w:r>
      <w:r w:rsidR="00967C59" w:rsidRPr="00967C59">
        <w:rPr>
          <w:b w:val="0"/>
          <w:bCs/>
          <w:lang w:val="en-US"/>
        </w:rPr>
        <w:t xml:space="preserve">sorption ability of </w:t>
      </w:r>
      <w:r w:rsidR="00967C59">
        <w:rPr>
          <w:b w:val="0"/>
          <w:bCs/>
          <w:lang w:val="en-US"/>
        </w:rPr>
        <w:t>the</w:t>
      </w:r>
      <w:r w:rsidR="00967C59" w:rsidRPr="00967C59">
        <w:rPr>
          <w:b w:val="0"/>
          <w:bCs/>
          <w:lang w:val="en-US"/>
        </w:rPr>
        <w:t xml:space="preserve"> composite </w:t>
      </w:r>
      <w:r w:rsidR="00967C59">
        <w:rPr>
          <w:b w:val="0"/>
          <w:bCs/>
          <w:lang w:val="en-US"/>
        </w:rPr>
        <w:t xml:space="preserve">toward Cd(II) and Zn(II) ions </w:t>
      </w:r>
      <w:r w:rsidR="00967C59" w:rsidRPr="00967C59">
        <w:rPr>
          <w:b w:val="0"/>
          <w:bCs/>
          <w:lang w:val="en-US"/>
        </w:rPr>
        <w:t xml:space="preserve">was evaluated </w:t>
      </w:r>
      <w:r w:rsidR="00967C59" w:rsidRPr="00967C59">
        <w:rPr>
          <w:b w:val="0"/>
          <w:bCs/>
          <w:i/>
          <w:iCs/>
          <w:lang w:val="en-US"/>
        </w:rPr>
        <w:t>ex situ</w:t>
      </w:r>
      <w:r w:rsidR="00967C59" w:rsidRPr="00967C59">
        <w:rPr>
          <w:b w:val="0"/>
          <w:bCs/>
          <w:lang w:val="en-US"/>
        </w:rPr>
        <w:t>, by means of static batch adsorption tests</w:t>
      </w:r>
      <w:r w:rsidR="00967C59">
        <w:rPr>
          <w:b w:val="0"/>
          <w:bCs/>
          <w:lang w:val="en-US"/>
        </w:rPr>
        <w:t xml:space="preserve"> as a function of time. </w:t>
      </w:r>
      <w:r w:rsidR="009F2243">
        <w:rPr>
          <w:b w:val="0"/>
          <w:bCs/>
          <w:lang w:val="en-US"/>
        </w:rPr>
        <w:t>For comparative purpose</w:t>
      </w:r>
      <w:r w:rsidR="00A76DC4" w:rsidRPr="00A76DC4">
        <w:rPr>
          <w:b w:val="0"/>
          <w:bCs/>
          <w:lang w:val="en-US"/>
        </w:rPr>
        <w:t>, the sorption capacity of the silverskin-biochar</w:t>
      </w:r>
      <w:r w:rsidR="009F2243">
        <w:rPr>
          <w:b w:val="0"/>
          <w:bCs/>
          <w:lang w:val="en-US"/>
        </w:rPr>
        <w:t xml:space="preserve"> was also studied</w:t>
      </w:r>
      <w:r w:rsidR="00A76DC4" w:rsidRPr="00A76DC4">
        <w:rPr>
          <w:b w:val="0"/>
          <w:bCs/>
          <w:lang w:val="en-US"/>
        </w:rPr>
        <w:t xml:space="preserve"> independently, aiming to discern the potential added value brought by the inclusion of </w:t>
      </w:r>
      <w:r w:rsidR="006C2948">
        <w:rPr>
          <w:b w:val="0"/>
          <w:bCs/>
          <w:lang w:val="en-US"/>
        </w:rPr>
        <w:t>HAP</w:t>
      </w:r>
      <w:r w:rsidR="00A76DC4" w:rsidRPr="00A76DC4">
        <w:rPr>
          <w:b w:val="0"/>
          <w:bCs/>
          <w:lang w:val="en-US"/>
        </w:rPr>
        <w:t xml:space="preserve"> in the composite.</w:t>
      </w:r>
      <w:r w:rsidR="00A76DC4">
        <w:rPr>
          <w:b w:val="0"/>
          <w:bCs/>
          <w:lang w:val="en-US"/>
        </w:rPr>
        <w:t xml:space="preserve"> </w:t>
      </w:r>
      <w:r w:rsidR="00B44FF5">
        <w:rPr>
          <w:b w:val="0"/>
          <w:bCs/>
          <w:lang w:val="en-US"/>
        </w:rPr>
        <w:t>The</w:t>
      </w:r>
      <w:r w:rsidR="00A76DC4" w:rsidRPr="00A76DC4">
        <w:rPr>
          <w:b w:val="0"/>
          <w:bCs/>
          <w:lang w:val="en-US"/>
        </w:rPr>
        <w:t xml:space="preserve"> obtained results</w:t>
      </w:r>
      <w:r w:rsidR="00A76DC4">
        <w:rPr>
          <w:b w:val="0"/>
          <w:bCs/>
          <w:lang w:val="en-US"/>
        </w:rPr>
        <w:t xml:space="preserve"> </w:t>
      </w:r>
      <w:r w:rsidR="003461BA">
        <w:rPr>
          <w:b w:val="0"/>
          <w:bCs/>
          <w:lang w:val="en-US"/>
        </w:rPr>
        <w:t xml:space="preserve">on residual elements concentration in solution </w:t>
      </w:r>
      <w:r w:rsidR="00A76DC4">
        <w:rPr>
          <w:b w:val="0"/>
          <w:bCs/>
          <w:lang w:val="en-US"/>
        </w:rPr>
        <w:t xml:space="preserve">(Figure </w:t>
      </w:r>
      <w:r w:rsidR="00B82B05">
        <w:rPr>
          <w:b w:val="0"/>
          <w:bCs/>
          <w:lang w:val="en-US"/>
        </w:rPr>
        <w:t>2B and 2C</w:t>
      </w:r>
      <w:r w:rsidR="00A76DC4">
        <w:rPr>
          <w:b w:val="0"/>
          <w:bCs/>
          <w:lang w:val="en-US"/>
        </w:rPr>
        <w:t>)</w:t>
      </w:r>
      <w:r w:rsidR="00B44FF5">
        <w:rPr>
          <w:b w:val="0"/>
          <w:bCs/>
          <w:lang w:val="en-US"/>
        </w:rPr>
        <w:t xml:space="preserve"> </w:t>
      </w:r>
      <w:r w:rsidR="00A76DC4" w:rsidRPr="00A76DC4">
        <w:rPr>
          <w:b w:val="0"/>
          <w:bCs/>
          <w:lang w:val="en-US"/>
        </w:rPr>
        <w:t>eviden</w:t>
      </w:r>
      <w:r w:rsidR="00B44FF5">
        <w:rPr>
          <w:b w:val="0"/>
          <w:bCs/>
          <w:lang w:val="en-US"/>
        </w:rPr>
        <w:t>ce</w:t>
      </w:r>
      <w:r w:rsidR="00A76DC4" w:rsidRPr="00A76DC4">
        <w:rPr>
          <w:b w:val="0"/>
          <w:bCs/>
          <w:lang w:val="en-US"/>
        </w:rPr>
        <w:t xml:space="preserve"> that</w:t>
      </w:r>
      <w:r w:rsidR="00A76DC4">
        <w:rPr>
          <w:b w:val="0"/>
          <w:bCs/>
          <w:lang w:val="en-US"/>
        </w:rPr>
        <w:t xml:space="preserve"> the presence of HAP in the </w:t>
      </w:r>
      <w:r w:rsidR="00A76DC4" w:rsidRPr="00A76DC4">
        <w:rPr>
          <w:b w:val="0"/>
          <w:bCs/>
          <w:lang w:val="en-US"/>
        </w:rPr>
        <w:t xml:space="preserve">composite material imparts significant </w:t>
      </w:r>
      <w:r w:rsidR="00252AC2">
        <w:rPr>
          <w:b w:val="0"/>
          <w:bCs/>
          <w:lang w:val="en-US"/>
        </w:rPr>
        <w:t>improvements</w:t>
      </w:r>
      <w:r w:rsidR="00A76DC4" w:rsidRPr="00A76DC4">
        <w:rPr>
          <w:b w:val="0"/>
          <w:bCs/>
          <w:lang w:val="en-US"/>
        </w:rPr>
        <w:t>, especially in the case of Cd</w:t>
      </w:r>
      <w:r w:rsidR="006C2948">
        <w:rPr>
          <w:b w:val="0"/>
          <w:bCs/>
          <w:lang w:val="en-US"/>
        </w:rPr>
        <w:t>(II)</w:t>
      </w:r>
      <w:r w:rsidR="00252AC2">
        <w:rPr>
          <w:b w:val="0"/>
          <w:bCs/>
          <w:lang w:val="en-US"/>
        </w:rPr>
        <w:t xml:space="preserve"> contamination</w:t>
      </w:r>
      <w:r w:rsidR="00A76DC4" w:rsidRPr="00A76DC4">
        <w:rPr>
          <w:b w:val="0"/>
          <w:bCs/>
          <w:lang w:val="en-US"/>
        </w:rPr>
        <w:t>,</w:t>
      </w:r>
      <w:r w:rsidR="0006100E">
        <w:rPr>
          <w:b w:val="0"/>
          <w:bCs/>
          <w:lang w:val="en-US"/>
        </w:rPr>
        <w:t xml:space="preserve"> as the heavy metal cations</w:t>
      </w:r>
      <w:r w:rsidR="00A76DC4" w:rsidRPr="00A76DC4">
        <w:rPr>
          <w:b w:val="0"/>
          <w:bCs/>
          <w:lang w:val="en-US"/>
        </w:rPr>
        <w:t xml:space="preserve"> </w:t>
      </w:r>
      <w:r w:rsidR="0006100E">
        <w:rPr>
          <w:b w:val="0"/>
          <w:bCs/>
          <w:lang w:val="en-US"/>
        </w:rPr>
        <w:t>are</w:t>
      </w:r>
      <w:r w:rsidR="00A76DC4" w:rsidRPr="00A76DC4">
        <w:rPr>
          <w:b w:val="0"/>
          <w:bCs/>
          <w:lang w:val="en-US"/>
        </w:rPr>
        <w:t xml:space="preserve"> almost entirely adsorbed </w:t>
      </w:r>
      <w:r w:rsidR="0073573C">
        <w:rPr>
          <w:b w:val="0"/>
          <w:bCs/>
          <w:lang w:val="en-US"/>
        </w:rPr>
        <w:t xml:space="preserve">(residual concentration &lt; </w:t>
      </w:r>
      <w:r w:rsidR="005E3B5E" w:rsidRPr="00047052">
        <w:rPr>
          <w:b w:val="0"/>
          <w:bCs/>
          <w:lang w:val="en-US"/>
        </w:rPr>
        <w:t>10</w:t>
      </w:r>
      <w:r w:rsidR="0073573C">
        <w:rPr>
          <w:b w:val="0"/>
          <w:bCs/>
          <w:lang w:val="en-US"/>
        </w:rPr>
        <w:t xml:space="preserve"> ppb</w:t>
      </w:r>
      <w:r w:rsidR="00B82B05">
        <w:rPr>
          <w:b w:val="0"/>
          <w:bCs/>
          <w:lang w:val="en-US"/>
        </w:rPr>
        <w:t>, Figure 2B</w:t>
      </w:r>
      <w:r w:rsidR="0073573C">
        <w:rPr>
          <w:b w:val="0"/>
          <w:bCs/>
          <w:lang w:val="en-US"/>
        </w:rPr>
        <w:t xml:space="preserve">) </w:t>
      </w:r>
      <w:r w:rsidR="00A76DC4" w:rsidRPr="00A76DC4">
        <w:rPr>
          <w:b w:val="0"/>
          <w:bCs/>
          <w:lang w:val="en-US"/>
        </w:rPr>
        <w:t>by the composite within just 24 hours. This outcome can be attributed to the fact that the Ca</w:t>
      </w:r>
      <w:r w:rsidR="006C2948">
        <w:rPr>
          <w:b w:val="0"/>
          <w:bCs/>
          <w:lang w:val="en-US"/>
        </w:rPr>
        <w:t>(II)</w:t>
      </w:r>
      <w:r w:rsidR="00A76DC4" w:rsidRPr="00A76DC4">
        <w:rPr>
          <w:b w:val="0"/>
          <w:bCs/>
          <w:lang w:val="en-US"/>
        </w:rPr>
        <w:t xml:space="preserve"> ion, </w:t>
      </w:r>
      <w:r w:rsidR="00435E13">
        <w:rPr>
          <w:b w:val="0"/>
          <w:bCs/>
          <w:lang w:val="en-US"/>
        </w:rPr>
        <w:t>the</w:t>
      </w:r>
      <w:r w:rsidR="00A76DC4" w:rsidRPr="00A76DC4">
        <w:rPr>
          <w:b w:val="0"/>
          <w:bCs/>
          <w:lang w:val="en-US"/>
        </w:rPr>
        <w:t xml:space="preserve"> constituent</w:t>
      </w:r>
      <w:r w:rsidR="00435E13">
        <w:rPr>
          <w:b w:val="0"/>
          <w:bCs/>
          <w:lang w:val="en-US"/>
        </w:rPr>
        <w:t xml:space="preserve"> cation o</w:t>
      </w:r>
      <w:r w:rsidR="00A76DC4" w:rsidRPr="00A76DC4">
        <w:rPr>
          <w:b w:val="0"/>
          <w:bCs/>
          <w:lang w:val="en-US"/>
        </w:rPr>
        <w:t>f HAP, has an ion radius very similar to that of Cd</w:t>
      </w:r>
      <w:r w:rsidR="006C2948">
        <w:rPr>
          <w:b w:val="0"/>
          <w:bCs/>
          <w:lang w:val="en-US"/>
        </w:rPr>
        <w:t>(II)</w:t>
      </w:r>
      <w:r w:rsidR="006C2948">
        <w:rPr>
          <w:b w:val="0"/>
          <w:bCs/>
          <w:vertAlign w:val="superscript"/>
          <w:lang w:val="en-US"/>
        </w:rPr>
        <w:t xml:space="preserve"> </w:t>
      </w:r>
      <w:r w:rsidR="00A76DC4" w:rsidRPr="00A76DC4">
        <w:rPr>
          <w:b w:val="0"/>
          <w:bCs/>
          <w:lang w:val="en-US"/>
        </w:rPr>
        <w:t>(0.1nm and 0.095nm, respectively). The resemblance in their ionic radii facilitates the exchange of Ca</w:t>
      </w:r>
      <w:r w:rsidR="00B44FF5">
        <w:rPr>
          <w:b w:val="0"/>
          <w:bCs/>
          <w:lang w:val="en-US"/>
        </w:rPr>
        <w:t>(II)</w:t>
      </w:r>
      <w:r w:rsidR="00A76DC4" w:rsidRPr="00A76DC4">
        <w:rPr>
          <w:b w:val="0"/>
          <w:bCs/>
          <w:lang w:val="en-US"/>
        </w:rPr>
        <w:t xml:space="preserve"> ions with Cd</w:t>
      </w:r>
      <w:r w:rsidR="00B44FF5">
        <w:rPr>
          <w:b w:val="0"/>
          <w:bCs/>
          <w:lang w:val="en-US"/>
        </w:rPr>
        <w:t>(II)</w:t>
      </w:r>
      <w:r w:rsidR="00A76DC4" w:rsidRPr="00A76DC4">
        <w:rPr>
          <w:b w:val="0"/>
          <w:bCs/>
          <w:lang w:val="en-US"/>
        </w:rPr>
        <w:t xml:space="preserve"> ions, making the adsorption process thermodynamically favorable.</w:t>
      </w:r>
      <w:r w:rsidR="007212CB">
        <w:rPr>
          <w:b w:val="0"/>
          <w:bCs/>
          <w:lang w:val="en-US"/>
        </w:rPr>
        <w:t xml:space="preserve"> </w:t>
      </w:r>
      <w:r w:rsidR="00A76DC4" w:rsidRPr="00A76DC4">
        <w:rPr>
          <w:b w:val="0"/>
          <w:bCs/>
          <w:lang w:val="en-US"/>
        </w:rPr>
        <w:t xml:space="preserve">For both ions, it is observed that, at the end of the 4-day period, the quantity of ions adsorbed by the composite material </w:t>
      </w:r>
      <w:r w:rsidR="002A4297">
        <w:rPr>
          <w:b w:val="0"/>
          <w:bCs/>
          <w:lang w:val="en-US"/>
        </w:rPr>
        <w:t xml:space="preserve">neatly </w:t>
      </w:r>
      <w:r w:rsidR="00A76DC4" w:rsidRPr="00A76DC4">
        <w:rPr>
          <w:b w:val="0"/>
          <w:bCs/>
          <w:lang w:val="en-US"/>
        </w:rPr>
        <w:t>surpasses that of biochar alone. After four days, biochar had adsorbed 98.4% of Zn</w:t>
      </w:r>
      <w:r w:rsidR="00B44FF5">
        <w:rPr>
          <w:b w:val="0"/>
          <w:bCs/>
          <w:lang w:val="en-US"/>
        </w:rPr>
        <w:t>(II)</w:t>
      </w:r>
      <w:r w:rsidR="00A76DC4" w:rsidRPr="00A76DC4">
        <w:rPr>
          <w:b w:val="0"/>
          <w:bCs/>
          <w:lang w:val="en-US"/>
        </w:rPr>
        <w:t xml:space="preserve"> and 93% of Cd</w:t>
      </w:r>
      <w:r w:rsidR="00B44FF5">
        <w:rPr>
          <w:b w:val="0"/>
          <w:bCs/>
          <w:lang w:val="en-US"/>
        </w:rPr>
        <w:t>(II)</w:t>
      </w:r>
      <w:r w:rsidR="00A76DC4" w:rsidRPr="00A76DC4">
        <w:rPr>
          <w:b w:val="0"/>
          <w:bCs/>
          <w:lang w:val="en-US"/>
        </w:rPr>
        <w:t>, while the composite with HAP adsorbed 99.6% and 99.9%, respectively.</w:t>
      </w:r>
      <w:r w:rsidR="00EF42D6">
        <w:rPr>
          <w:b w:val="0"/>
          <w:bCs/>
          <w:lang w:val="en-US"/>
        </w:rPr>
        <w:t xml:space="preserve"> Based on these </w:t>
      </w:r>
      <w:r w:rsidR="00EF42D6" w:rsidRPr="00EF42D6">
        <w:rPr>
          <w:b w:val="0"/>
          <w:bCs/>
          <w:lang w:val="en-US"/>
        </w:rPr>
        <w:t xml:space="preserve">data, it is legitimate to assert that composites comprising </w:t>
      </w:r>
      <w:r w:rsidR="00EF42D6">
        <w:rPr>
          <w:b w:val="0"/>
          <w:bCs/>
          <w:lang w:val="en-US"/>
        </w:rPr>
        <w:t xml:space="preserve">silverskin-derived </w:t>
      </w:r>
      <w:r w:rsidR="00EF42D6" w:rsidRPr="00EF42D6">
        <w:rPr>
          <w:b w:val="0"/>
          <w:bCs/>
          <w:lang w:val="en-US"/>
        </w:rPr>
        <w:t xml:space="preserve">biochar and hydroxyapatite </w:t>
      </w:r>
      <w:r w:rsidR="00EF42D6">
        <w:rPr>
          <w:b w:val="0"/>
          <w:bCs/>
          <w:lang w:val="en-US"/>
        </w:rPr>
        <w:t>deserve</w:t>
      </w:r>
      <w:r w:rsidR="00EF42D6" w:rsidRPr="00EF42D6">
        <w:rPr>
          <w:b w:val="0"/>
          <w:bCs/>
          <w:lang w:val="en-US"/>
        </w:rPr>
        <w:t xml:space="preserve"> in-depth investigation as cathodic materials in the field of </w:t>
      </w:r>
      <w:r w:rsidR="002A4297">
        <w:rPr>
          <w:b w:val="0"/>
          <w:bCs/>
          <w:lang w:val="en-US"/>
        </w:rPr>
        <w:t xml:space="preserve">microbial </w:t>
      </w:r>
      <w:r w:rsidR="00EF42D6" w:rsidRPr="00EF42D6">
        <w:rPr>
          <w:b w:val="0"/>
          <w:bCs/>
          <w:lang w:val="en-US"/>
        </w:rPr>
        <w:t>fuel cells, particularly for their application in the treatment of wastewater containing</w:t>
      </w:r>
      <w:r w:rsidR="002A4297">
        <w:rPr>
          <w:b w:val="0"/>
          <w:bCs/>
          <w:lang w:val="en-US"/>
        </w:rPr>
        <w:t xml:space="preserve"> (potential)</w:t>
      </w:r>
      <w:r w:rsidR="00EF42D6" w:rsidRPr="00EF42D6">
        <w:rPr>
          <w:b w:val="0"/>
          <w:bCs/>
          <w:lang w:val="en-US"/>
        </w:rPr>
        <w:t xml:space="preserve"> inorganic pollutants </w:t>
      </w:r>
      <w:r w:rsidR="002A4297">
        <w:rPr>
          <w:b w:val="0"/>
          <w:bCs/>
          <w:lang w:val="en-US"/>
        </w:rPr>
        <w:t>besides</w:t>
      </w:r>
      <w:r w:rsidR="002A4297" w:rsidRPr="00EF42D6">
        <w:rPr>
          <w:b w:val="0"/>
          <w:bCs/>
          <w:lang w:val="en-US"/>
        </w:rPr>
        <w:t xml:space="preserve"> </w:t>
      </w:r>
      <w:r w:rsidR="00EF42D6" w:rsidRPr="00EF42D6">
        <w:rPr>
          <w:b w:val="0"/>
          <w:bCs/>
          <w:lang w:val="en-US"/>
        </w:rPr>
        <w:t>organic contaminants.</w:t>
      </w:r>
    </w:p>
    <w:p w14:paraId="59CD4D16" w14:textId="77777777" w:rsidR="00A270A9" w:rsidRDefault="00A270A9" w:rsidP="00600535">
      <w:pPr>
        <w:pStyle w:val="CETAcknowledgementstitle"/>
        <w:rPr>
          <w:lang w:val="en-US"/>
        </w:rPr>
      </w:pPr>
      <w:r>
        <w:rPr>
          <w:lang w:val="en-US"/>
        </w:rPr>
        <w:t>Conclusions</w:t>
      </w:r>
    </w:p>
    <w:p w14:paraId="61414D1F" w14:textId="2350CCFF" w:rsidR="00A270A9" w:rsidRPr="00A270A9" w:rsidRDefault="00A270A9" w:rsidP="006C2948">
      <w:pPr>
        <w:pStyle w:val="CETAcknowledgementstitle"/>
        <w:jc w:val="both"/>
        <w:rPr>
          <w:b w:val="0"/>
          <w:lang w:val="en-US"/>
        </w:rPr>
      </w:pPr>
      <w:r w:rsidRPr="00A270A9">
        <w:rPr>
          <w:b w:val="0"/>
          <w:lang w:val="en-US"/>
        </w:rPr>
        <w:t>In summary, microbial fuel cell experiments reveal</w:t>
      </w:r>
      <w:r w:rsidR="00A330EF">
        <w:rPr>
          <w:b w:val="0"/>
          <w:lang w:val="en-US"/>
        </w:rPr>
        <w:t>ed</w:t>
      </w:r>
      <w:r w:rsidRPr="00A270A9">
        <w:rPr>
          <w:b w:val="0"/>
          <w:lang w:val="en-US"/>
        </w:rPr>
        <w:t xml:space="preserve"> </w:t>
      </w:r>
      <w:r w:rsidR="001165B6">
        <w:rPr>
          <w:b w:val="0"/>
          <w:lang w:val="en-US"/>
        </w:rPr>
        <w:t>satisf</w:t>
      </w:r>
      <w:r w:rsidR="00D03D20">
        <w:rPr>
          <w:b w:val="0"/>
          <w:lang w:val="en-US"/>
        </w:rPr>
        <w:t>y</w:t>
      </w:r>
      <w:r w:rsidR="001165B6">
        <w:rPr>
          <w:b w:val="0"/>
          <w:lang w:val="en-US"/>
        </w:rPr>
        <w:t>ing</w:t>
      </w:r>
      <w:r w:rsidR="001165B6" w:rsidRPr="00A270A9">
        <w:rPr>
          <w:b w:val="0"/>
          <w:lang w:val="en-US"/>
        </w:rPr>
        <w:t xml:space="preserve"> </w:t>
      </w:r>
      <w:r w:rsidRPr="00A270A9">
        <w:rPr>
          <w:b w:val="0"/>
          <w:lang w:val="en-US"/>
        </w:rPr>
        <w:t>electrochemical performance, with the silverskin-based MFC consistently outperforming the control MFC</w:t>
      </w:r>
      <w:r w:rsidR="001165B6">
        <w:rPr>
          <w:b w:val="0"/>
          <w:lang w:val="en-US"/>
        </w:rPr>
        <w:t xml:space="preserve">s both in term of maximum power and current output, because of </w:t>
      </w:r>
      <w:r w:rsidR="008C5A99">
        <w:rPr>
          <w:b w:val="0"/>
          <w:lang w:val="en-US"/>
        </w:rPr>
        <w:t xml:space="preserve">a reduction of </w:t>
      </w:r>
      <w:r w:rsidR="001165B6">
        <w:rPr>
          <w:b w:val="0"/>
          <w:lang w:val="en-US"/>
        </w:rPr>
        <w:t>undesired overpotential</w:t>
      </w:r>
      <w:r w:rsidR="008C5A99">
        <w:rPr>
          <w:b w:val="0"/>
          <w:lang w:val="en-US"/>
        </w:rPr>
        <w:t>s</w:t>
      </w:r>
      <w:r w:rsidRPr="00A270A9">
        <w:rPr>
          <w:b w:val="0"/>
          <w:lang w:val="en-US"/>
        </w:rPr>
        <w:t>. The observed high chemical oxygen demand (COD) removal efficiencies in both systems affirm their effectiveness in organic substrate consumption.</w:t>
      </w:r>
      <w:r>
        <w:rPr>
          <w:b w:val="0"/>
          <w:lang w:val="en-US"/>
        </w:rPr>
        <w:t xml:space="preserve"> </w:t>
      </w:r>
      <w:r w:rsidRPr="00A270A9">
        <w:rPr>
          <w:b w:val="0"/>
          <w:lang w:val="en-US"/>
        </w:rPr>
        <w:t xml:space="preserve">Additionally, </w:t>
      </w:r>
      <w:r w:rsidR="00123E03">
        <w:rPr>
          <w:b w:val="0"/>
          <w:lang w:val="en-US"/>
        </w:rPr>
        <w:t>a</w:t>
      </w:r>
      <w:r w:rsidR="00123E03" w:rsidRPr="00A270A9">
        <w:rPr>
          <w:b w:val="0"/>
          <w:lang w:val="en-US"/>
        </w:rPr>
        <w:t xml:space="preserve"> </w:t>
      </w:r>
      <w:r w:rsidR="00123E03">
        <w:rPr>
          <w:b w:val="0"/>
          <w:lang w:val="en-US"/>
        </w:rPr>
        <w:t xml:space="preserve">very preliminary </w:t>
      </w:r>
      <w:r w:rsidRPr="00A270A9">
        <w:rPr>
          <w:b w:val="0"/>
          <w:lang w:val="en-US"/>
        </w:rPr>
        <w:t xml:space="preserve">study </w:t>
      </w:r>
      <w:r w:rsidR="00123E03">
        <w:rPr>
          <w:b w:val="0"/>
          <w:lang w:val="en-US"/>
        </w:rPr>
        <w:t>disclosed</w:t>
      </w:r>
      <w:r w:rsidR="00123E03" w:rsidRPr="00A270A9">
        <w:rPr>
          <w:b w:val="0"/>
          <w:lang w:val="en-US"/>
        </w:rPr>
        <w:t xml:space="preserve"> </w:t>
      </w:r>
      <w:r w:rsidR="00123E03">
        <w:rPr>
          <w:b w:val="0"/>
          <w:lang w:val="en-US"/>
        </w:rPr>
        <w:t xml:space="preserve">the </w:t>
      </w:r>
      <w:r w:rsidR="00123E03" w:rsidRPr="00A270A9">
        <w:rPr>
          <w:b w:val="0"/>
          <w:lang w:val="en-US"/>
        </w:rPr>
        <w:t xml:space="preserve">remarkable sorption capacities </w:t>
      </w:r>
      <w:r w:rsidR="00123E03">
        <w:rPr>
          <w:b w:val="0"/>
          <w:lang w:val="en-US"/>
        </w:rPr>
        <w:t xml:space="preserve">of </w:t>
      </w:r>
      <w:r w:rsidRPr="00A270A9">
        <w:rPr>
          <w:b w:val="0"/>
          <w:lang w:val="en-US"/>
        </w:rPr>
        <w:t xml:space="preserve">silverskin-derived biochar/hydroxyapatite composites </w:t>
      </w:r>
      <w:r w:rsidR="00123E03">
        <w:rPr>
          <w:b w:val="0"/>
          <w:lang w:val="en-US"/>
        </w:rPr>
        <w:t>towards both</w:t>
      </w:r>
      <w:r w:rsidR="00123E03" w:rsidRPr="00A270A9">
        <w:rPr>
          <w:b w:val="0"/>
          <w:lang w:val="en-US"/>
        </w:rPr>
        <w:t xml:space="preserve"> Cd(II) and Zn(II) ions</w:t>
      </w:r>
      <w:r w:rsidR="00123E03">
        <w:rPr>
          <w:b w:val="0"/>
          <w:lang w:val="en-US"/>
        </w:rPr>
        <w:t xml:space="preserve">, </w:t>
      </w:r>
      <w:r w:rsidR="000672D5">
        <w:rPr>
          <w:b w:val="0"/>
          <w:lang w:val="en-US"/>
        </w:rPr>
        <w:t>a proof-of-concept</w:t>
      </w:r>
      <w:r w:rsidR="00123E03">
        <w:rPr>
          <w:b w:val="0"/>
          <w:lang w:val="en-US"/>
        </w:rPr>
        <w:t xml:space="preserve"> </w:t>
      </w:r>
      <w:r w:rsidRPr="00A270A9">
        <w:rPr>
          <w:b w:val="0"/>
          <w:lang w:val="en-US"/>
        </w:rPr>
        <w:t xml:space="preserve">for </w:t>
      </w:r>
      <w:r w:rsidR="00123E03">
        <w:rPr>
          <w:b w:val="0"/>
          <w:lang w:val="en-US"/>
        </w:rPr>
        <w:t xml:space="preserve">the development of a novel generation of MFC aimed at the </w:t>
      </w:r>
      <w:r w:rsidRPr="00A270A9">
        <w:rPr>
          <w:b w:val="0"/>
          <w:lang w:val="en-US"/>
        </w:rPr>
        <w:t xml:space="preserve">simultaneous </w:t>
      </w:r>
      <w:r w:rsidR="000672D5">
        <w:rPr>
          <w:b w:val="0"/>
          <w:lang w:val="en-US"/>
        </w:rPr>
        <w:t>remediation of wastewater polluted by both in</w:t>
      </w:r>
      <w:r w:rsidRPr="00A270A9">
        <w:rPr>
          <w:b w:val="0"/>
          <w:lang w:val="en-US"/>
        </w:rPr>
        <w:t>organics and inorganics</w:t>
      </w:r>
      <w:r w:rsidR="000672D5">
        <w:rPr>
          <w:b w:val="0"/>
          <w:lang w:val="en-US"/>
        </w:rPr>
        <w:t>.</w:t>
      </w:r>
      <w:r w:rsidRPr="00A270A9">
        <w:rPr>
          <w:b w:val="0"/>
          <w:lang w:val="en-US"/>
        </w:rPr>
        <w:t xml:space="preserve"> </w:t>
      </w:r>
    </w:p>
    <w:p w14:paraId="459D05E6" w14:textId="34133E14" w:rsidR="00600535" w:rsidRPr="00B876CE" w:rsidRDefault="00600535" w:rsidP="00600535">
      <w:pPr>
        <w:pStyle w:val="CETAcknowledgementstitle"/>
        <w:rPr>
          <w:lang w:val="en-US"/>
        </w:rPr>
      </w:pPr>
      <w:r w:rsidRPr="00B876CE">
        <w:rPr>
          <w:lang w:val="en-US"/>
        </w:rPr>
        <w:t>Acknowledgments</w:t>
      </w:r>
    </w:p>
    <w:p w14:paraId="33F8138F" w14:textId="3097EA8D" w:rsidR="00600535" w:rsidRPr="00331E72" w:rsidRDefault="008115BC" w:rsidP="00600535">
      <w:pPr>
        <w:pStyle w:val="CETBodytext"/>
      </w:pPr>
      <w:r w:rsidRPr="008115BC">
        <w:rPr>
          <w:lang w:val="en-GB"/>
        </w:rPr>
        <w:t xml:space="preserve">This study was carried out within the Agritech National Research Center and received funding from the European Union Next-GenerationEU (PIANO NAZIONALE DI RIPRESA E RESILIENZA (PNRR) – MISSIONE 4 COMPONENTE 2, INVESTIMENTO 1.4 – D.D. 1032 17/06/2022, CN00000022). This </w:t>
      </w:r>
      <w:r>
        <w:rPr>
          <w:lang w:val="en-GB"/>
        </w:rPr>
        <w:t>article</w:t>
      </w:r>
      <w:r w:rsidRPr="008115BC">
        <w:rPr>
          <w:lang w:val="en-GB"/>
        </w:rPr>
        <w:t xml:space="preserve"> reflects only the authors’ views and opin</w:t>
      </w:r>
      <w:bookmarkStart w:id="1" w:name="_GoBack"/>
      <w:bookmarkEnd w:id="1"/>
      <w:r w:rsidRPr="008115BC">
        <w:rPr>
          <w:lang w:val="en-GB"/>
        </w:rPr>
        <w:t>ions, neither the European Union nor the European Commission can be considered responsible for them.</w:t>
      </w:r>
      <w:r>
        <w:rPr>
          <w:lang w:val="en-GB"/>
        </w:rPr>
        <w:t xml:space="preserve"> </w:t>
      </w:r>
      <w:r w:rsidR="00CD44C6" w:rsidRPr="00CD44C6">
        <w:rPr>
          <w:lang w:val="en-GB"/>
        </w:rPr>
        <w:t>M.M. e S.C. acknowledge the Italian Ministry of Education, University and Research (MIUR) and European Social Fund (ESF) for the PON 2014-2020 program, action IV.6 ‘Research contracts on green issues’ PON (DM 10/08/2021 n. 1062)</w:t>
      </w:r>
      <w:r w:rsidR="00CD44C6">
        <w:rPr>
          <w:lang w:val="en-GB"/>
        </w:rPr>
        <w:t xml:space="preserve">. </w:t>
      </w:r>
      <w:r w:rsidR="00BC53B9" w:rsidRPr="00BC53B9">
        <w:rPr>
          <w:lang w:val="en-GB"/>
        </w:rPr>
        <w:t>The authors thank Ideal Caff</w:t>
      </w:r>
      <w:r w:rsidR="00BC53B9">
        <w:rPr>
          <w:lang w:val="en-GB"/>
        </w:rPr>
        <w:t>è</w:t>
      </w:r>
      <w:r w:rsidR="00BC53B9" w:rsidRPr="00BC53B9">
        <w:rPr>
          <w:lang w:val="en-GB"/>
        </w:rPr>
        <w:t xml:space="preserve"> snc (Verderio) for providing the biomass</w:t>
      </w:r>
      <w:r w:rsidR="004F74CA">
        <w:rPr>
          <w:lang w:val="en-GB"/>
        </w:rPr>
        <w:t>.</w:t>
      </w:r>
    </w:p>
    <w:p w14:paraId="4F1327F8" w14:textId="77777777" w:rsidR="00600535" w:rsidRPr="00047052" w:rsidRDefault="00600535" w:rsidP="00600535">
      <w:pPr>
        <w:pStyle w:val="CETReference"/>
        <w:rPr>
          <w:lang w:val="en-US"/>
        </w:rPr>
      </w:pPr>
      <w:r w:rsidRPr="00047052">
        <w:rPr>
          <w:lang w:val="en-US"/>
        </w:rPr>
        <w:t>References</w:t>
      </w:r>
    </w:p>
    <w:p w14:paraId="78C50F8B" w14:textId="1F20F83A" w:rsidR="00C70F40" w:rsidRDefault="00C70F40" w:rsidP="00C70F40">
      <w:pPr>
        <w:pStyle w:val="CETReferencetext"/>
      </w:pPr>
      <w:r>
        <w:t xml:space="preserve">Cantrell K.B., Hunt P.G., Uchimiya M., Novak J.M., Ro K.S., 2012, Impact of pyrolysis temperature and manure source on physicochemical characteristics of biochar, Bioresour. Technol., 107, 419–428. </w:t>
      </w:r>
    </w:p>
    <w:p w14:paraId="3AF22F7F" w14:textId="6FC80C5F" w:rsidR="00C70F40" w:rsidRDefault="00C70F40" w:rsidP="00C70F40">
      <w:pPr>
        <w:pStyle w:val="CETReferencetext"/>
      </w:pPr>
      <w:r>
        <w:t xml:space="preserve">Cui X.L., Zhong J., Li H.X., Jin R.Z., Liu Y., Che X.K., Yuan X.T., Zhang Q.D., Fu H., 2022, Influence of pyrolysis temperature on tea waste-based biochar property and function as a heavy metal sorbent in aqueous solution, J. Phys. Conf. Ser., 2256, 2501–2510. </w:t>
      </w:r>
    </w:p>
    <w:p w14:paraId="7814F978" w14:textId="29F1ACE3" w:rsidR="00C70F40" w:rsidRDefault="00C70F40" w:rsidP="00C70F40">
      <w:pPr>
        <w:pStyle w:val="CETReferencetext"/>
      </w:pPr>
      <w:r>
        <w:t xml:space="preserve">Deng L., Yuan H., Cai X., Ruan Y., Zhou S., Chen Y., Yuan Y., 2016, Honeycomb-like hierarchical carbon derived from livestock sewage sludge as oxygen reduction reaction catalysts in microbial fuel cells, Int. J. Hydrogen Energy, 41, 22328–22336. </w:t>
      </w:r>
    </w:p>
    <w:p w14:paraId="57B364BB" w14:textId="1D6A8C76" w:rsidR="00C70F40" w:rsidRDefault="00C70F40" w:rsidP="00C70F40">
      <w:pPr>
        <w:pStyle w:val="CETReferencetext"/>
      </w:pPr>
      <w:r>
        <w:t xml:space="preserve">Ferri M., Campisi S., Polito L., Shen J., Gervasini A., 2021, Tuning the sorption ability of hydroxyapatite/carbon composites for the simultaneous remediation of wastewaters containing organic-inorganic pollutants, J. Hazard. Mater., 420, 126656. </w:t>
      </w:r>
    </w:p>
    <w:p w14:paraId="182C48C1" w14:textId="45F39CD7" w:rsidR="00C70F40" w:rsidRDefault="00C70F40" w:rsidP="00C70F40">
      <w:pPr>
        <w:pStyle w:val="CETReferencetext"/>
      </w:pPr>
      <w:r>
        <w:t>Ferri M., Delafontaine L., Guo S., Asset T., Cristiani P., Campisi S., Gervasini A., Atanassov P., 2022, Steering Cu-Based CO2RR Electrocatalysts’ Selectivity: Effect of Hydroxyapatite Acid/Base Moieties in Promoting Formate Production</w:t>
      </w:r>
      <w:r w:rsidR="00F36EF0">
        <w:t>,</w:t>
      </w:r>
      <w:r>
        <w:t xml:space="preserve"> ACS Energy Lett.</w:t>
      </w:r>
      <w:r w:rsidR="00F36EF0">
        <w:t>,</w:t>
      </w:r>
      <w:r>
        <w:t xml:space="preserve"> 7, 2304–2310. </w:t>
      </w:r>
    </w:p>
    <w:p w14:paraId="75EFE063" w14:textId="4CA73AA2" w:rsidR="00C70F40" w:rsidRDefault="00C70F40" w:rsidP="00C70F40">
      <w:pPr>
        <w:pStyle w:val="CETReferencetext"/>
      </w:pPr>
      <w:r>
        <w:t>Ghiara G., Campisi S., Goglio A., Formicola F., Balordi M., Gervasini A., Trasatti S.P.M., Adani</w:t>
      </w:r>
      <w:r w:rsidR="00F36EF0">
        <w:t xml:space="preserve"> F., Franzetti</w:t>
      </w:r>
      <w:r>
        <w:t xml:space="preserve"> A., Cristiani P., 2023</w:t>
      </w:r>
      <w:r w:rsidR="00F36EF0">
        <w:t>,</w:t>
      </w:r>
      <w:r>
        <w:t xml:space="preserve"> Biochar based cathode enriched with hydroxyapatite and Cu nanoparticles boosting electromethanogenesis</w:t>
      </w:r>
      <w:r w:rsidR="00F36EF0">
        <w:t>,</w:t>
      </w:r>
      <w:r>
        <w:t xml:space="preserve"> Sustain. Energy Technol.</w:t>
      </w:r>
      <w:r w:rsidR="00F36EF0">
        <w:t>,</w:t>
      </w:r>
      <w:r>
        <w:t xml:space="preserve"> Assessments 57, 103274. </w:t>
      </w:r>
    </w:p>
    <w:p w14:paraId="0E8032B9" w14:textId="39F46186" w:rsidR="00C70F40" w:rsidRDefault="00C70F40" w:rsidP="00C70F40">
      <w:pPr>
        <w:pStyle w:val="CETReferencetext"/>
      </w:pPr>
      <w:r>
        <w:t>Ibrahim M., Labaki M., Giraudon J.M., Lamonier J.F., 2020</w:t>
      </w:r>
      <w:r w:rsidR="00F36EF0">
        <w:t>,</w:t>
      </w:r>
      <w:r>
        <w:t xml:space="preserve"> Hydroxyapatite, a multifunctional material for air, water and s</w:t>
      </w:r>
      <w:r w:rsidR="00F36EF0">
        <w:t>oil pollution control: A review,</w:t>
      </w:r>
      <w:r>
        <w:t xml:space="preserve"> J. Hazard. Mater.</w:t>
      </w:r>
      <w:r w:rsidR="00F36EF0">
        <w:t>,</w:t>
      </w:r>
      <w:r>
        <w:t xml:space="preserve"> 383, 121139. </w:t>
      </w:r>
    </w:p>
    <w:p w14:paraId="6726A751" w14:textId="5B3E752A" w:rsidR="00C70F40" w:rsidRDefault="00C70F40" w:rsidP="00C70F40">
      <w:pPr>
        <w:pStyle w:val="CETReferencetext"/>
      </w:pPr>
      <w:r>
        <w:t>Kumar N., Weldon R., Lynam</w:t>
      </w:r>
      <w:r w:rsidR="00F36EF0">
        <w:t xml:space="preserve"> J.G., 2021,</w:t>
      </w:r>
      <w:r>
        <w:t xml:space="preserve"> Hydrothermal carb</w:t>
      </w:r>
      <w:r w:rsidR="00F36EF0">
        <w:t>onization of coffee silverskins,</w:t>
      </w:r>
      <w:r>
        <w:t xml:space="preserve"> Biocatal. Agric. Biotechnol.</w:t>
      </w:r>
      <w:r w:rsidR="00F36EF0">
        <w:t>, 36, 102145.</w:t>
      </w:r>
      <w:r>
        <w:t xml:space="preserve"> </w:t>
      </w:r>
    </w:p>
    <w:p w14:paraId="50EDAC89" w14:textId="0583C444" w:rsidR="00C70F40" w:rsidRDefault="00F36EF0" w:rsidP="00C70F40">
      <w:pPr>
        <w:pStyle w:val="CETReferencetext"/>
      </w:pPr>
      <w:r>
        <w:t>Li</w:t>
      </w:r>
      <w:r w:rsidR="00C70F40">
        <w:t xml:space="preserve"> S., Harris</w:t>
      </w:r>
      <w:r>
        <w:t xml:space="preserve"> S., Anandhi</w:t>
      </w:r>
      <w:r w:rsidR="00C70F40">
        <w:t xml:space="preserve"> A., Chen</w:t>
      </w:r>
      <w:r>
        <w:t xml:space="preserve"> G., 2019,</w:t>
      </w:r>
      <w:r w:rsidR="00C70F40">
        <w:t xml:space="preserve"> Predicting biochar properties and functions based on feedstock and pyrolysis temperature: A review and data syntheses</w:t>
      </w:r>
      <w:r>
        <w:t>,</w:t>
      </w:r>
      <w:r w:rsidR="00C70F40">
        <w:t xml:space="preserve"> J. Clean. Prod.</w:t>
      </w:r>
      <w:r>
        <w:t>,</w:t>
      </w:r>
      <w:r w:rsidR="00C70F40">
        <w:t xml:space="preserve"> 215, 890–902. </w:t>
      </w:r>
    </w:p>
    <w:p w14:paraId="4900E301" w14:textId="0C3F9E61" w:rsidR="00C70F40" w:rsidRDefault="00C70F40" w:rsidP="00C70F40">
      <w:pPr>
        <w:pStyle w:val="CETReferencetext"/>
      </w:pPr>
      <w:r>
        <w:t>Li S., Ho S.H., Hua T., Zhou</w:t>
      </w:r>
      <w:r w:rsidR="00F36EF0">
        <w:t xml:space="preserve"> Q., Li</w:t>
      </w:r>
      <w:r>
        <w:t xml:space="preserve"> F., Tang J., 2021</w:t>
      </w:r>
      <w:r w:rsidR="00F36EF0">
        <w:t>,</w:t>
      </w:r>
      <w:r>
        <w:t xml:space="preserve"> Sustainable biochar as an electrocatalysts for the oxygen reduction </w:t>
      </w:r>
      <w:r w:rsidR="00F36EF0">
        <w:t>reaction in microbial fuel cells,</w:t>
      </w:r>
      <w:r>
        <w:t xml:space="preserve"> Green Energy Environ.</w:t>
      </w:r>
      <w:r w:rsidR="00F36EF0">
        <w:t>,</w:t>
      </w:r>
      <w:r>
        <w:t xml:space="preserve"> 6, 644–659. </w:t>
      </w:r>
    </w:p>
    <w:p w14:paraId="42117208" w14:textId="44659F2D" w:rsidR="00C70F40" w:rsidRDefault="00F36EF0" w:rsidP="00C70F40">
      <w:pPr>
        <w:pStyle w:val="CETReferencetext"/>
      </w:pPr>
      <w:r>
        <w:t>Logan B.E., Regan J.M., 2006,</w:t>
      </w:r>
      <w:r w:rsidR="00C70F40">
        <w:t xml:space="preserve"> Electricity-producing bacterial communities in microbial fuel cells</w:t>
      </w:r>
      <w:r>
        <w:t>,</w:t>
      </w:r>
      <w:r w:rsidR="00C70F40">
        <w:t xml:space="preserve"> Trends Microbiol.</w:t>
      </w:r>
      <w:r>
        <w:t>,</w:t>
      </w:r>
      <w:r w:rsidR="00C70F40">
        <w:t xml:space="preserve"> 14, 512–8. </w:t>
      </w:r>
    </w:p>
    <w:p w14:paraId="3250807D" w14:textId="20398557" w:rsidR="00C70F40" w:rsidRDefault="00F36EF0" w:rsidP="00C70F40">
      <w:pPr>
        <w:pStyle w:val="CETReferencetext"/>
      </w:pPr>
      <w:r>
        <w:t>Magni</w:t>
      </w:r>
      <w:r w:rsidR="00C70F40">
        <w:t xml:space="preserve"> M., Sironi D., Ferri M., Trasatti S., Campisi</w:t>
      </w:r>
      <w:r>
        <w:t xml:space="preserve"> S., Gervasini A., Papacchini M., Cristiani P., 2023,</w:t>
      </w:r>
      <w:r w:rsidR="00C70F40">
        <w:t xml:space="preserve"> High-Content Hydroxyapatite Carbon Composites for the Electrochemical Detection o</w:t>
      </w:r>
      <w:r>
        <w:t xml:space="preserve">f Heavy Metal Cations in Water, </w:t>
      </w:r>
      <w:r w:rsidR="00C70F40">
        <w:t>ChemElectroChem</w:t>
      </w:r>
      <w:r>
        <w:t>,</w:t>
      </w:r>
      <w:r w:rsidR="00C70F40">
        <w:t xml:space="preserve"> 10, 1–10. </w:t>
      </w:r>
    </w:p>
    <w:p w14:paraId="555DFE3F" w14:textId="4B13D185" w:rsidR="00C70F40" w:rsidRDefault="00F36EF0" w:rsidP="00C70F40">
      <w:pPr>
        <w:pStyle w:val="CETReferencetext"/>
      </w:pPr>
      <w:r>
        <w:t>Marzorati S., Schievano</w:t>
      </w:r>
      <w:r w:rsidR="00C70F40">
        <w:t xml:space="preserve"> A., Colombo</w:t>
      </w:r>
      <w:r>
        <w:t xml:space="preserve"> A., Lucchini G., Cristiani</w:t>
      </w:r>
      <w:r w:rsidR="00C70F40">
        <w:t xml:space="preserve"> P., 2018</w:t>
      </w:r>
      <w:r>
        <w:t>,</w:t>
      </w:r>
      <w:r w:rsidR="00C70F40">
        <w:t xml:space="preserve"> Ligno-cellulosic materials as air-water separators in low-tech microbial fuel cells for nutrients recovery</w:t>
      </w:r>
      <w:r>
        <w:t>,</w:t>
      </w:r>
      <w:r w:rsidR="00C70F40">
        <w:t xml:space="preserve"> J. Clean. Prod.</w:t>
      </w:r>
      <w:r>
        <w:t>,</w:t>
      </w:r>
      <w:r w:rsidR="00C70F40">
        <w:t xml:space="preserve"> 170. </w:t>
      </w:r>
    </w:p>
    <w:p w14:paraId="11EF91A1" w14:textId="7FD2681E" w:rsidR="00C70F40" w:rsidRDefault="00F36EF0" w:rsidP="00C70F40">
      <w:pPr>
        <w:pStyle w:val="CETReferencetext"/>
      </w:pPr>
      <w:r>
        <w:t>Park W., Kim</w:t>
      </w:r>
      <w:r w:rsidR="00C70F40">
        <w:t xml:space="preserve"> H., Park</w:t>
      </w:r>
      <w:r>
        <w:t xml:space="preserve"> H., Choi</w:t>
      </w:r>
      <w:r w:rsidR="00C70F40">
        <w:t xml:space="preserve"> S., Hong</w:t>
      </w:r>
      <w:r>
        <w:t xml:space="preserve"> S.J., Bahk Y.M., 2021,</w:t>
      </w:r>
      <w:r w:rsidR="00C70F40">
        <w:t xml:space="preserve"> Biochar as a low-cost, eco-friendly, and electrically conductive material for terahertz applications</w:t>
      </w:r>
      <w:r>
        <w:t>,</w:t>
      </w:r>
      <w:r w:rsidR="00C70F40">
        <w:t xml:space="preserve"> Sci. Rep.</w:t>
      </w:r>
      <w:r>
        <w:t>,</w:t>
      </w:r>
      <w:r w:rsidR="00C70F40">
        <w:t xml:space="preserve"> 11, 1–8. </w:t>
      </w:r>
    </w:p>
    <w:p w14:paraId="2EB27FB1" w14:textId="1598A091" w:rsidR="00C70F40" w:rsidRDefault="00F36EF0" w:rsidP="00C70F40">
      <w:pPr>
        <w:pStyle w:val="CETReferencetext"/>
      </w:pPr>
      <w:r>
        <w:t>Roy S., Marzorati S., Schievano A., Pant D., 2017,</w:t>
      </w:r>
      <w:r w:rsidR="00C70F40">
        <w:t xml:space="preserve"> Microbial Fuel Cells, in: Encyclope</w:t>
      </w:r>
      <w:r>
        <w:t>dia of Sustainable Technologies,</w:t>
      </w:r>
      <w:r w:rsidR="00C70F40">
        <w:t xml:space="preserve"> Elsevier Inc., pp. 245–259. </w:t>
      </w:r>
    </w:p>
    <w:p w14:paraId="10D9779B" w14:textId="7D1E27F1" w:rsidR="00C70F40" w:rsidRDefault="00C70F40" w:rsidP="00C70F40">
      <w:pPr>
        <w:pStyle w:val="CETReferencetext"/>
      </w:pPr>
      <w:r>
        <w:t>Schievano A., Berenguer R., Goglio A., Bocchi</w:t>
      </w:r>
      <w:r w:rsidR="00F36EF0">
        <w:t xml:space="preserve"> S., Marzorati</w:t>
      </w:r>
      <w:r>
        <w:t xml:space="preserve"> S., Rago</w:t>
      </w:r>
      <w:r w:rsidR="00F36EF0">
        <w:t xml:space="preserve"> L., Louro R.O., Paquete</w:t>
      </w:r>
      <w:r>
        <w:t xml:space="preserve"> C.M., Esteve-Núñez</w:t>
      </w:r>
      <w:r w:rsidR="00F36EF0">
        <w:t xml:space="preserve"> A., 2019,</w:t>
      </w:r>
      <w:r>
        <w:t xml:space="preserve"> Electroactive Biochar for Large-Scale Environmental Applications of Microbial Electrochemistry</w:t>
      </w:r>
      <w:r w:rsidR="00F36EF0">
        <w:t>,</w:t>
      </w:r>
      <w:r>
        <w:t xml:space="preserve"> ACS Sustain. Chem. Eng.</w:t>
      </w:r>
      <w:r w:rsidR="00CA19DA">
        <w:t>,</w:t>
      </w:r>
      <w:r>
        <w:t xml:space="preserve"> 7, 18198–18212. </w:t>
      </w:r>
    </w:p>
    <w:p w14:paraId="19C4FC68" w14:textId="59B375E6" w:rsidR="004628D2" w:rsidRDefault="00CA19DA" w:rsidP="009B3535">
      <w:pPr>
        <w:pStyle w:val="CETReferencetext"/>
      </w:pPr>
      <w:r>
        <w:t>Williams K.H., Nevin K.P., Franks</w:t>
      </w:r>
      <w:r w:rsidR="00C70F40">
        <w:t xml:space="preserve"> Englert,  </w:t>
      </w:r>
      <w:r>
        <w:t>Long</w:t>
      </w:r>
      <w:r w:rsidR="00C70F40">
        <w:t xml:space="preserve"> P.E., Lovley,</w:t>
      </w:r>
      <w:r>
        <w:t xml:space="preserve"> D.R., 2010,</w:t>
      </w:r>
      <w:r w:rsidR="00C70F40">
        <w:t xml:space="preserve"> Electrode-based approach for monitoring in situ microbial activity during subsurface bioremediation</w:t>
      </w:r>
      <w:r>
        <w:t>,</w:t>
      </w:r>
      <w:r w:rsidR="00C70F40">
        <w:t xml:space="preserve"> Environ. Sci. Technol.</w:t>
      </w:r>
      <w:r>
        <w:t>,</w:t>
      </w:r>
      <w:r w:rsidR="00C70F40">
        <w:t xml:space="preserve"> 44, 47–54. </w:t>
      </w:r>
    </w:p>
    <w:sectPr w:rsidR="004628D2" w:rsidSect="007942DC">
      <w:type w:val="continuous"/>
      <w:pgSz w:w="11906" w:h="16838" w:code="9"/>
      <w:pgMar w:top="1701" w:right="1418" w:bottom="1701" w:left="1701" w:header="1701" w:footer="0" w:gutter="0"/>
      <w:cols w:space="708"/>
      <w:formProt w:val="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A6E343" w16cid:durableId="5E8226E0"/>
  <w16cid:commentId w16cid:paraId="6EA308C2" w16cid:durableId="546A22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26966" w14:textId="77777777" w:rsidR="00231540" w:rsidRDefault="00231540" w:rsidP="004F5E36">
      <w:r>
        <w:separator/>
      </w:r>
    </w:p>
  </w:endnote>
  <w:endnote w:type="continuationSeparator" w:id="0">
    <w:p w14:paraId="0C1A6944" w14:textId="77777777" w:rsidR="00231540" w:rsidRDefault="0023154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BC779" w14:textId="77777777" w:rsidR="00231540" w:rsidRDefault="00231540" w:rsidP="004F5E36">
      <w:r>
        <w:separator/>
      </w:r>
    </w:p>
  </w:footnote>
  <w:footnote w:type="continuationSeparator" w:id="0">
    <w:p w14:paraId="2AF8CBA2" w14:textId="77777777" w:rsidR="00231540" w:rsidRDefault="00231540"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851"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936303A"/>
    <w:multiLevelType w:val="hybridMultilevel"/>
    <w:tmpl w:val="31CE27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67B"/>
    <w:rsid w:val="000027C0"/>
    <w:rsid w:val="000052FB"/>
    <w:rsid w:val="000117CB"/>
    <w:rsid w:val="00021AD5"/>
    <w:rsid w:val="0003148D"/>
    <w:rsid w:val="00031EEC"/>
    <w:rsid w:val="000375F6"/>
    <w:rsid w:val="0004000C"/>
    <w:rsid w:val="00047052"/>
    <w:rsid w:val="00051566"/>
    <w:rsid w:val="000562A9"/>
    <w:rsid w:val="0006100E"/>
    <w:rsid w:val="00062889"/>
    <w:rsid w:val="00062A9A"/>
    <w:rsid w:val="000632AE"/>
    <w:rsid w:val="00065058"/>
    <w:rsid w:val="000672D5"/>
    <w:rsid w:val="00086C39"/>
    <w:rsid w:val="000A03B2"/>
    <w:rsid w:val="000C7D38"/>
    <w:rsid w:val="000D0268"/>
    <w:rsid w:val="000D202A"/>
    <w:rsid w:val="000D34BE"/>
    <w:rsid w:val="000D52D4"/>
    <w:rsid w:val="000E102F"/>
    <w:rsid w:val="000E19CB"/>
    <w:rsid w:val="000E327A"/>
    <w:rsid w:val="000E36F1"/>
    <w:rsid w:val="000E3A73"/>
    <w:rsid w:val="000E414A"/>
    <w:rsid w:val="000E4E42"/>
    <w:rsid w:val="000E5BD8"/>
    <w:rsid w:val="000F093C"/>
    <w:rsid w:val="000F787B"/>
    <w:rsid w:val="00100288"/>
    <w:rsid w:val="001165B6"/>
    <w:rsid w:val="0012091F"/>
    <w:rsid w:val="00123E03"/>
    <w:rsid w:val="00126BC2"/>
    <w:rsid w:val="001308B6"/>
    <w:rsid w:val="0013121F"/>
    <w:rsid w:val="00131FE6"/>
    <w:rsid w:val="0013263F"/>
    <w:rsid w:val="001331DF"/>
    <w:rsid w:val="00134DE4"/>
    <w:rsid w:val="001401C7"/>
    <w:rsid w:val="0014034D"/>
    <w:rsid w:val="00141354"/>
    <w:rsid w:val="00144D16"/>
    <w:rsid w:val="001470F3"/>
    <w:rsid w:val="00150E59"/>
    <w:rsid w:val="00152DE3"/>
    <w:rsid w:val="001543BF"/>
    <w:rsid w:val="00156F74"/>
    <w:rsid w:val="0015785A"/>
    <w:rsid w:val="001625DC"/>
    <w:rsid w:val="001644F1"/>
    <w:rsid w:val="00164CF9"/>
    <w:rsid w:val="001667A6"/>
    <w:rsid w:val="001704E4"/>
    <w:rsid w:val="00171242"/>
    <w:rsid w:val="00173228"/>
    <w:rsid w:val="00177554"/>
    <w:rsid w:val="00184AD6"/>
    <w:rsid w:val="00197E05"/>
    <w:rsid w:val="001A4AF7"/>
    <w:rsid w:val="001B0349"/>
    <w:rsid w:val="001B1E93"/>
    <w:rsid w:val="001B2199"/>
    <w:rsid w:val="001B65C1"/>
    <w:rsid w:val="001C5316"/>
    <w:rsid w:val="001C684B"/>
    <w:rsid w:val="001D0CFB"/>
    <w:rsid w:val="001D21AF"/>
    <w:rsid w:val="001D53FC"/>
    <w:rsid w:val="001E0409"/>
    <w:rsid w:val="001F0A3D"/>
    <w:rsid w:val="001F42A5"/>
    <w:rsid w:val="001F6CB9"/>
    <w:rsid w:val="001F7B9D"/>
    <w:rsid w:val="00201C93"/>
    <w:rsid w:val="00206C7E"/>
    <w:rsid w:val="00220215"/>
    <w:rsid w:val="002224B4"/>
    <w:rsid w:val="00231540"/>
    <w:rsid w:val="00233CA0"/>
    <w:rsid w:val="00233F0A"/>
    <w:rsid w:val="00236752"/>
    <w:rsid w:val="002405A5"/>
    <w:rsid w:val="00241A14"/>
    <w:rsid w:val="002447EF"/>
    <w:rsid w:val="00251550"/>
    <w:rsid w:val="00252AC2"/>
    <w:rsid w:val="00263B05"/>
    <w:rsid w:val="00266252"/>
    <w:rsid w:val="002675BA"/>
    <w:rsid w:val="0027221A"/>
    <w:rsid w:val="002753B3"/>
    <w:rsid w:val="00275B61"/>
    <w:rsid w:val="00280FAF"/>
    <w:rsid w:val="00282656"/>
    <w:rsid w:val="00291A3C"/>
    <w:rsid w:val="002923A7"/>
    <w:rsid w:val="00296B83"/>
    <w:rsid w:val="002977C3"/>
    <w:rsid w:val="002A3FCE"/>
    <w:rsid w:val="002A4297"/>
    <w:rsid w:val="002B4015"/>
    <w:rsid w:val="002B78CE"/>
    <w:rsid w:val="002C2FB6"/>
    <w:rsid w:val="002E0670"/>
    <w:rsid w:val="002E1949"/>
    <w:rsid w:val="002E5FA7"/>
    <w:rsid w:val="002F13AB"/>
    <w:rsid w:val="002F3309"/>
    <w:rsid w:val="002F6971"/>
    <w:rsid w:val="002F7EEF"/>
    <w:rsid w:val="003008CE"/>
    <w:rsid w:val="003009B7"/>
    <w:rsid w:val="00300E56"/>
    <w:rsid w:val="0030152C"/>
    <w:rsid w:val="0030302C"/>
    <w:rsid w:val="0030469C"/>
    <w:rsid w:val="00320E4C"/>
    <w:rsid w:val="00321CA6"/>
    <w:rsid w:val="00323763"/>
    <w:rsid w:val="00323C5F"/>
    <w:rsid w:val="00331E72"/>
    <w:rsid w:val="0033488F"/>
    <w:rsid w:val="00334C09"/>
    <w:rsid w:val="0033521B"/>
    <w:rsid w:val="0033645F"/>
    <w:rsid w:val="0034406C"/>
    <w:rsid w:val="00344268"/>
    <w:rsid w:val="003461BA"/>
    <w:rsid w:val="003463EA"/>
    <w:rsid w:val="003515DE"/>
    <w:rsid w:val="00355158"/>
    <w:rsid w:val="003723D4"/>
    <w:rsid w:val="00377854"/>
    <w:rsid w:val="00381905"/>
    <w:rsid w:val="00382CD0"/>
    <w:rsid w:val="00384CC8"/>
    <w:rsid w:val="003871FD"/>
    <w:rsid w:val="003A1E30"/>
    <w:rsid w:val="003A2829"/>
    <w:rsid w:val="003A6FC6"/>
    <w:rsid w:val="003A7D1C"/>
    <w:rsid w:val="003A7D32"/>
    <w:rsid w:val="003B304B"/>
    <w:rsid w:val="003B3146"/>
    <w:rsid w:val="003B3314"/>
    <w:rsid w:val="003B43B6"/>
    <w:rsid w:val="003B54DB"/>
    <w:rsid w:val="003D33D6"/>
    <w:rsid w:val="003D4194"/>
    <w:rsid w:val="003D7D68"/>
    <w:rsid w:val="003E1694"/>
    <w:rsid w:val="003E6961"/>
    <w:rsid w:val="003F015E"/>
    <w:rsid w:val="003F2503"/>
    <w:rsid w:val="00400414"/>
    <w:rsid w:val="0040116E"/>
    <w:rsid w:val="0041446B"/>
    <w:rsid w:val="004349BD"/>
    <w:rsid w:val="00434DB0"/>
    <w:rsid w:val="00435E13"/>
    <w:rsid w:val="0044071E"/>
    <w:rsid w:val="0044329C"/>
    <w:rsid w:val="00453E24"/>
    <w:rsid w:val="00454B03"/>
    <w:rsid w:val="004567B7"/>
    <w:rsid w:val="00457456"/>
    <w:rsid w:val="004577FE"/>
    <w:rsid w:val="00457B9C"/>
    <w:rsid w:val="0046164A"/>
    <w:rsid w:val="004628D2"/>
    <w:rsid w:val="00462DCD"/>
    <w:rsid w:val="00464359"/>
    <w:rsid w:val="004648AD"/>
    <w:rsid w:val="004703A9"/>
    <w:rsid w:val="004760DE"/>
    <w:rsid w:val="004761E9"/>
    <w:rsid w:val="004763D7"/>
    <w:rsid w:val="004A004E"/>
    <w:rsid w:val="004A24CF"/>
    <w:rsid w:val="004A7335"/>
    <w:rsid w:val="004C3D1D"/>
    <w:rsid w:val="004C3D84"/>
    <w:rsid w:val="004C49AB"/>
    <w:rsid w:val="004C7913"/>
    <w:rsid w:val="004D0493"/>
    <w:rsid w:val="004D107E"/>
    <w:rsid w:val="004D5730"/>
    <w:rsid w:val="004E43D9"/>
    <w:rsid w:val="004E4DD6"/>
    <w:rsid w:val="004F5E36"/>
    <w:rsid w:val="004F74CA"/>
    <w:rsid w:val="005041B3"/>
    <w:rsid w:val="00507B47"/>
    <w:rsid w:val="00507BEF"/>
    <w:rsid w:val="00507CC9"/>
    <w:rsid w:val="005108CC"/>
    <w:rsid w:val="005119A5"/>
    <w:rsid w:val="00516AAC"/>
    <w:rsid w:val="00517308"/>
    <w:rsid w:val="00526324"/>
    <w:rsid w:val="005263A7"/>
    <w:rsid w:val="005278B7"/>
    <w:rsid w:val="0053095C"/>
    <w:rsid w:val="00532016"/>
    <w:rsid w:val="005346C8"/>
    <w:rsid w:val="00543E7D"/>
    <w:rsid w:val="00547A68"/>
    <w:rsid w:val="00551CDE"/>
    <w:rsid w:val="005531C9"/>
    <w:rsid w:val="00555FEA"/>
    <w:rsid w:val="00564429"/>
    <w:rsid w:val="005675B0"/>
    <w:rsid w:val="00570C43"/>
    <w:rsid w:val="005A59CB"/>
    <w:rsid w:val="005B2110"/>
    <w:rsid w:val="005B61E6"/>
    <w:rsid w:val="005B7EA9"/>
    <w:rsid w:val="005C5ED8"/>
    <w:rsid w:val="005C77E1"/>
    <w:rsid w:val="005C7BB4"/>
    <w:rsid w:val="005D34A3"/>
    <w:rsid w:val="005D668A"/>
    <w:rsid w:val="005D6A2F"/>
    <w:rsid w:val="005E1A82"/>
    <w:rsid w:val="005E3B5E"/>
    <w:rsid w:val="005E794C"/>
    <w:rsid w:val="005F0A28"/>
    <w:rsid w:val="005F0E5E"/>
    <w:rsid w:val="005F2BE8"/>
    <w:rsid w:val="00600535"/>
    <w:rsid w:val="00605E5D"/>
    <w:rsid w:val="006077A2"/>
    <w:rsid w:val="00610CD6"/>
    <w:rsid w:val="00615386"/>
    <w:rsid w:val="00620DEE"/>
    <w:rsid w:val="00621F92"/>
    <w:rsid w:val="0062280A"/>
    <w:rsid w:val="00625639"/>
    <w:rsid w:val="00631B33"/>
    <w:rsid w:val="00634614"/>
    <w:rsid w:val="00636E83"/>
    <w:rsid w:val="0064184D"/>
    <w:rsid w:val="006422CC"/>
    <w:rsid w:val="00656AB0"/>
    <w:rsid w:val="006608EA"/>
    <w:rsid w:val="00660E3E"/>
    <w:rsid w:val="00662E74"/>
    <w:rsid w:val="00666058"/>
    <w:rsid w:val="00680C23"/>
    <w:rsid w:val="00682BC9"/>
    <w:rsid w:val="006857E8"/>
    <w:rsid w:val="00693766"/>
    <w:rsid w:val="006976DA"/>
    <w:rsid w:val="006A23E9"/>
    <w:rsid w:val="006A3281"/>
    <w:rsid w:val="006A3F70"/>
    <w:rsid w:val="006B4888"/>
    <w:rsid w:val="006C2948"/>
    <w:rsid w:val="006C2E45"/>
    <w:rsid w:val="006C359C"/>
    <w:rsid w:val="006C5579"/>
    <w:rsid w:val="006D6E8B"/>
    <w:rsid w:val="006E048D"/>
    <w:rsid w:val="006E0FD9"/>
    <w:rsid w:val="006E2862"/>
    <w:rsid w:val="006E5341"/>
    <w:rsid w:val="006E737D"/>
    <w:rsid w:val="006F08CD"/>
    <w:rsid w:val="006F2206"/>
    <w:rsid w:val="00700E6D"/>
    <w:rsid w:val="00711E5F"/>
    <w:rsid w:val="00713973"/>
    <w:rsid w:val="00716D7C"/>
    <w:rsid w:val="00720A24"/>
    <w:rsid w:val="007212CB"/>
    <w:rsid w:val="00732386"/>
    <w:rsid w:val="0073514D"/>
    <w:rsid w:val="0073573C"/>
    <w:rsid w:val="0073615D"/>
    <w:rsid w:val="007447F3"/>
    <w:rsid w:val="0075499F"/>
    <w:rsid w:val="00757227"/>
    <w:rsid w:val="007661C8"/>
    <w:rsid w:val="0077098D"/>
    <w:rsid w:val="007811AC"/>
    <w:rsid w:val="0079268D"/>
    <w:rsid w:val="007931FA"/>
    <w:rsid w:val="007942DC"/>
    <w:rsid w:val="00795A99"/>
    <w:rsid w:val="00797C5E"/>
    <w:rsid w:val="007A3AA3"/>
    <w:rsid w:val="007A4861"/>
    <w:rsid w:val="007A543D"/>
    <w:rsid w:val="007A7353"/>
    <w:rsid w:val="007A7BBA"/>
    <w:rsid w:val="007B0C50"/>
    <w:rsid w:val="007B48F9"/>
    <w:rsid w:val="007C1A43"/>
    <w:rsid w:val="007D0951"/>
    <w:rsid w:val="007D559D"/>
    <w:rsid w:val="007E255A"/>
    <w:rsid w:val="007E5972"/>
    <w:rsid w:val="0080013E"/>
    <w:rsid w:val="008115BC"/>
    <w:rsid w:val="00813288"/>
    <w:rsid w:val="008168FC"/>
    <w:rsid w:val="008173E8"/>
    <w:rsid w:val="00820ED9"/>
    <w:rsid w:val="00824E83"/>
    <w:rsid w:val="008250D5"/>
    <w:rsid w:val="00830996"/>
    <w:rsid w:val="008345F1"/>
    <w:rsid w:val="00843EAC"/>
    <w:rsid w:val="00856314"/>
    <w:rsid w:val="00861BCA"/>
    <w:rsid w:val="00865B07"/>
    <w:rsid w:val="008667EA"/>
    <w:rsid w:val="0087637F"/>
    <w:rsid w:val="008849CB"/>
    <w:rsid w:val="00892AD5"/>
    <w:rsid w:val="008A0A6D"/>
    <w:rsid w:val="008A1512"/>
    <w:rsid w:val="008A591C"/>
    <w:rsid w:val="008A771F"/>
    <w:rsid w:val="008B30BB"/>
    <w:rsid w:val="008B5E3F"/>
    <w:rsid w:val="008B7C03"/>
    <w:rsid w:val="008C5A99"/>
    <w:rsid w:val="008D2846"/>
    <w:rsid w:val="008D32B9"/>
    <w:rsid w:val="008D433B"/>
    <w:rsid w:val="008D4A16"/>
    <w:rsid w:val="008D4E19"/>
    <w:rsid w:val="008D6344"/>
    <w:rsid w:val="008D64B0"/>
    <w:rsid w:val="008E0F2F"/>
    <w:rsid w:val="008E566E"/>
    <w:rsid w:val="008F166C"/>
    <w:rsid w:val="008F262E"/>
    <w:rsid w:val="0090161A"/>
    <w:rsid w:val="00901EB6"/>
    <w:rsid w:val="00902EDA"/>
    <w:rsid w:val="00904C62"/>
    <w:rsid w:val="0090577E"/>
    <w:rsid w:val="00922BA8"/>
    <w:rsid w:val="00924DAC"/>
    <w:rsid w:val="00927058"/>
    <w:rsid w:val="00933190"/>
    <w:rsid w:val="00935811"/>
    <w:rsid w:val="00935EEE"/>
    <w:rsid w:val="00936748"/>
    <w:rsid w:val="00942750"/>
    <w:rsid w:val="009450CE"/>
    <w:rsid w:val="009459BB"/>
    <w:rsid w:val="00947179"/>
    <w:rsid w:val="0095164B"/>
    <w:rsid w:val="00953B84"/>
    <w:rsid w:val="00954090"/>
    <w:rsid w:val="00954EF6"/>
    <w:rsid w:val="009573E7"/>
    <w:rsid w:val="0096178A"/>
    <w:rsid w:val="00963E05"/>
    <w:rsid w:val="00964A45"/>
    <w:rsid w:val="00967843"/>
    <w:rsid w:val="00967998"/>
    <w:rsid w:val="00967C59"/>
    <w:rsid w:val="00967D54"/>
    <w:rsid w:val="00971028"/>
    <w:rsid w:val="0097331C"/>
    <w:rsid w:val="00974C6E"/>
    <w:rsid w:val="00993B84"/>
    <w:rsid w:val="00996483"/>
    <w:rsid w:val="00996910"/>
    <w:rsid w:val="00996F5A"/>
    <w:rsid w:val="009A190E"/>
    <w:rsid w:val="009A76F9"/>
    <w:rsid w:val="009B041A"/>
    <w:rsid w:val="009B3535"/>
    <w:rsid w:val="009B4654"/>
    <w:rsid w:val="009C0101"/>
    <w:rsid w:val="009C37C3"/>
    <w:rsid w:val="009C6BBF"/>
    <w:rsid w:val="009C7C86"/>
    <w:rsid w:val="009D2FF7"/>
    <w:rsid w:val="009E7884"/>
    <w:rsid w:val="009E788A"/>
    <w:rsid w:val="009F0E08"/>
    <w:rsid w:val="009F2243"/>
    <w:rsid w:val="009F72A2"/>
    <w:rsid w:val="00A1763D"/>
    <w:rsid w:val="00A17CEC"/>
    <w:rsid w:val="00A270A9"/>
    <w:rsid w:val="00A27EF0"/>
    <w:rsid w:val="00A330EF"/>
    <w:rsid w:val="00A41732"/>
    <w:rsid w:val="00A42361"/>
    <w:rsid w:val="00A42F8E"/>
    <w:rsid w:val="00A50B20"/>
    <w:rsid w:val="00A51390"/>
    <w:rsid w:val="00A60D13"/>
    <w:rsid w:val="00A714BD"/>
    <w:rsid w:val="00A7223D"/>
    <w:rsid w:val="00A72745"/>
    <w:rsid w:val="00A76DC4"/>
    <w:rsid w:val="00A76EFC"/>
    <w:rsid w:val="00A77A2E"/>
    <w:rsid w:val="00A87D50"/>
    <w:rsid w:val="00A91010"/>
    <w:rsid w:val="00A97F29"/>
    <w:rsid w:val="00AA702E"/>
    <w:rsid w:val="00AA7D26"/>
    <w:rsid w:val="00AB0964"/>
    <w:rsid w:val="00AB5011"/>
    <w:rsid w:val="00AC3CC6"/>
    <w:rsid w:val="00AC7368"/>
    <w:rsid w:val="00AC7407"/>
    <w:rsid w:val="00AD064C"/>
    <w:rsid w:val="00AD16B9"/>
    <w:rsid w:val="00AD5DB4"/>
    <w:rsid w:val="00AE2E1E"/>
    <w:rsid w:val="00AE377D"/>
    <w:rsid w:val="00AF0EBA"/>
    <w:rsid w:val="00B02C8A"/>
    <w:rsid w:val="00B15EBF"/>
    <w:rsid w:val="00B17FBD"/>
    <w:rsid w:val="00B21D6C"/>
    <w:rsid w:val="00B24BAF"/>
    <w:rsid w:val="00B315A6"/>
    <w:rsid w:val="00B31813"/>
    <w:rsid w:val="00B32025"/>
    <w:rsid w:val="00B33365"/>
    <w:rsid w:val="00B44FF5"/>
    <w:rsid w:val="00B57B36"/>
    <w:rsid w:val="00B57E6F"/>
    <w:rsid w:val="00B82B05"/>
    <w:rsid w:val="00B84AE3"/>
    <w:rsid w:val="00B8686D"/>
    <w:rsid w:val="00B876CE"/>
    <w:rsid w:val="00B93F69"/>
    <w:rsid w:val="00BB1DDC"/>
    <w:rsid w:val="00BB631E"/>
    <w:rsid w:val="00BC30C9"/>
    <w:rsid w:val="00BC53B9"/>
    <w:rsid w:val="00BC5F07"/>
    <w:rsid w:val="00BD077D"/>
    <w:rsid w:val="00BE0288"/>
    <w:rsid w:val="00BE0821"/>
    <w:rsid w:val="00BE14B3"/>
    <w:rsid w:val="00BE3D62"/>
    <w:rsid w:val="00BE3E58"/>
    <w:rsid w:val="00BF4D07"/>
    <w:rsid w:val="00C01616"/>
    <w:rsid w:val="00C0162B"/>
    <w:rsid w:val="00C01AE1"/>
    <w:rsid w:val="00C01E9E"/>
    <w:rsid w:val="00C068ED"/>
    <w:rsid w:val="00C12ED3"/>
    <w:rsid w:val="00C13E0F"/>
    <w:rsid w:val="00C21025"/>
    <w:rsid w:val="00C22E0C"/>
    <w:rsid w:val="00C252D0"/>
    <w:rsid w:val="00C25E07"/>
    <w:rsid w:val="00C345B1"/>
    <w:rsid w:val="00C40142"/>
    <w:rsid w:val="00C41998"/>
    <w:rsid w:val="00C47325"/>
    <w:rsid w:val="00C52C3C"/>
    <w:rsid w:val="00C54082"/>
    <w:rsid w:val="00C57182"/>
    <w:rsid w:val="00C57863"/>
    <w:rsid w:val="00C640AF"/>
    <w:rsid w:val="00C651F4"/>
    <w:rsid w:val="00C655FD"/>
    <w:rsid w:val="00C70F40"/>
    <w:rsid w:val="00C75407"/>
    <w:rsid w:val="00C837C0"/>
    <w:rsid w:val="00C870A8"/>
    <w:rsid w:val="00C93AB9"/>
    <w:rsid w:val="00C94434"/>
    <w:rsid w:val="00CA0D4A"/>
    <w:rsid w:val="00CA0D75"/>
    <w:rsid w:val="00CA19DA"/>
    <w:rsid w:val="00CA1C95"/>
    <w:rsid w:val="00CA5A9C"/>
    <w:rsid w:val="00CB169C"/>
    <w:rsid w:val="00CC4670"/>
    <w:rsid w:val="00CC4C20"/>
    <w:rsid w:val="00CD3517"/>
    <w:rsid w:val="00CD44C6"/>
    <w:rsid w:val="00CD5FE2"/>
    <w:rsid w:val="00CE0353"/>
    <w:rsid w:val="00CE7C68"/>
    <w:rsid w:val="00CF3DFE"/>
    <w:rsid w:val="00D02B4C"/>
    <w:rsid w:val="00D03D20"/>
    <w:rsid w:val="00D040C4"/>
    <w:rsid w:val="00D07F82"/>
    <w:rsid w:val="00D20AD1"/>
    <w:rsid w:val="00D22BEA"/>
    <w:rsid w:val="00D27EBB"/>
    <w:rsid w:val="00D46B7E"/>
    <w:rsid w:val="00D56BA4"/>
    <w:rsid w:val="00D57C84"/>
    <w:rsid w:val="00D6057D"/>
    <w:rsid w:val="00D648EC"/>
    <w:rsid w:val="00D66A4E"/>
    <w:rsid w:val="00D70CA1"/>
    <w:rsid w:val="00D71640"/>
    <w:rsid w:val="00D73454"/>
    <w:rsid w:val="00D81E2A"/>
    <w:rsid w:val="00D836C5"/>
    <w:rsid w:val="00D84576"/>
    <w:rsid w:val="00D96603"/>
    <w:rsid w:val="00D96C16"/>
    <w:rsid w:val="00DA1399"/>
    <w:rsid w:val="00DA24C6"/>
    <w:rsid w:val="00DA4D7B"/>
    <w:rsid w:val="00DA5A98"/>
    <w:rsid w:val="00DB2FF6"/>
    <w:rsid w:val="00DB4B63"/>
    <w:rsid w:val="00DC0627"/>
    <w:rsid w:val="00DD271C"/>
    <w:rsid w:val="00DE264A"/>
    <w:rsid w:val="00DF0B61"/>
    <w:rsid w:val="00DF4052"/>
    <w:rsid w:val="00DF5072"/>
    <w:rsid w:val="00E02D18"/>
    <w:rsid w:val="00E041E7"/>
    <w:rsid w:val="00E10A23"/>
    <w:rsid w:val="00E23CA1"/>
    <w:rsid w:val="00E25057"/>
    <w:rsid w:val="00E33DD7"/>
    <w:rsid w:val="00E409A8"/>
    <w:rsid w:val="00E4320C"/>
    <w:rsid w:val="00E50C12"/>
    <w:rsid w:val="00E51A45"/>
    <w:rsid w:val="00E524CE"/>
    <w:rsid w:val="00E65B91"/>
    <w:rsid w:val="00E704BE"/>
    <w:rsid w:val="00E7209D"/>
    <w:rsid w:val="00E72EAD"/>
    <w:rsid w:val="00E77223"/>
    <w:rsid w:val="00E80017"/>
    <w:rsid w:val="00E8528B"/>
    <w:rsid w:val="00E85B94"/>
    <w:rsid w:val="00E970BB"/>
    <w:rsid w:val="00E978D0"/>
    <w:rsid w:val="00EA4613"/>
    <w:rsid w:val="00EA7F91"/>
    <w:rsid w:val="00EB0803"/>
    <w:rsid w:val="00EB1523"/>
    <w:rsid w:val="00EB699A"/>
    <w:rsid w:val="00EC0E49"/>
    <w:rsid w:val="00EC101F"/>
    <w:rsid w:val="00EC1D9F"/>
    <w:rsid w:val="00ED7EAC"/>
    <w:rsid w:val="00EE0131"/>
    <w:rsid w:val="00EE17B0"/>
    <w:rsid w:val="00EE310D"/>
    <w:rsid w:val="00EE45C3"/>
    <w:rsid w:val="00EF06D9"/>
    <w:rsid w:val="00EF42D6"/>
    <w:rsid w:val="00F16981"/>
    <w:rsid w:val="00F302DB"/>
    <w:rsid w:val="00F3049E"/>
    <w:rsid w:val="00F30C64"/>
    <w:rsid w:val="00F32BA2"/>
    <w:rsid w:val="00F32CDB"/>
    <w:rsid w:val="00F3372A"/>
    <w:rsid w:val="00F36EF0"/>
    <w:rsid w:val="00F452A0"/>
    <w:rsid w:val="00F5342C"/>
    <w:rsid w:val="00F54386"/>
    <w:rsid w:val="00F565FE"/>
    <w:rsid w:val="00F63A70"/>
    <w:rsid w:val="00F63D8C"/>
    <w:rsid w:val="00F6601A"/>
    <w:rsid w:val="00F7534E"/>
    <w:rsid w:val="00F76FFE"/>
    <w:rsid w:val="00F9284F"/>
    <w:rsid w:val="00F93EDF"/>
    <w:rsid w:val="00F94820"/>
    <w:rsid w:val="00FA1802"/>
    <w:rsid w:val="00FA21D0"/>
    <w:rsid w:val="00FA24A7"/>
    <w:rsid w:val="00FA5F5F"/>
    <w:rsid w:val="00FA6288"/>
    <w:rsid w:val="00FA7AD2"/>
    <w:rsid w:val="00FB4290"/>
    <w:rsid w:val="00FB730C"/>
    <w:rsid w:val="00FC051A"/>
    <w:rsid w:val="00FC2695"/>
    <w:rsid w:val="00FC3E03"/>
    <w:rsid w:val="00FC3FC1"/>
    <w:rsid w:val="00FF28A5"/>
    <w:rsid w:val="00FF3D45"/>
    <w:rsid w:val="00FF40DA"/>
    <w:rsid w:val="00FF542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1543BF"/>
    <w:pPr>
      <w:keepNext/>
      <w:suppressAutoHyphens/>
      <w:spacing w:before="120" w:after="120" w:line="240" w:lineRule="auto"/>
      <w:jc w:val="both"/>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1543B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Collegamentovisitato">
    <w:name w:val="FollowedHyperlink"/>
    <w:basedOn w:val="Carpredefinitoparagrafo"/>
    <w:uiPriority w:val="99"/>
    <w:semiHidden/>
    <w:unhideWhenUsed/>
    <w:rsid w:val="00A77A2E"/>
    <w:rPr>
      <w:color w:val="800080" w:themeColor="followedHyperlink"/>
      <w:u w:val="single"/>
    </w:rPr>
  </w:style>
  <w:style w:type="paragraph" w:styleId="Revisione">
    <w:name w:val="Revision"/>
    <w:hidden/>
    <w:uiPriority w:val="99"/>
    <w:semiHidden/>
    <w:rsid w:val="001644F1"/>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18396">
      <w:bodyDiv w:val="1"/>
      <w:marLeft w:val="0"/>
      <w:marRight w:val="0"/>
      <w:marTop w:val="0"/>
      <w:marBottom w:val="0"/>
      <w:divBdr>
        <w:top w:val="none" w:sz="0" w:space="0" w:color="auto"/>
        <w:left w:val="none" w:sz="0" w:space="0" w:color="auto"/>
        <w:bottom w:val="none" w:sz="0" w:space="0" w:color="auto"/>
        <w:right w:val="none" w:sz="0" w:space="0" w:color="auto"/>
      </w:divBdr>
      <w:divsChild>
        <w:div w:id="1780562155">
          <w:marLeft w:val="0"/>
          <w:marRight w:val="0"/>
          <w:marTop w:val="0"/>
          <w:marBottom w:val="0"/>
          <w:divBdr>
            <w:top w:val="single" w:sz="2" w:space="0" w:color="D9D9E3"/>
            <w:left w:val="single" w:sz="2" w:space="0" w:color="D9D9E3"/>
            <w:bottom w:val="single" w:sz="2" w:space="0" w:color="D9D9E3"/>
            <w:right w:val="single" w:sz="2" w:space="0" w:color="D9D9E3"/>
          </w:divBdr>
          <w:divsChild>
            <w:div w:id="1128090065">
              <w:marLeft w:val="0"/>
              <w:marRight w:val="0"/>
              <w:marTop w:val="100"/>
              <w:marBottom w:val="100"/>
              <w:divBdr>
                <w:top w:val="single" w:sz="2" w:space="0" w:color="D9D9E3"/>
                <w:left w:val="single" w:sz="2" w:space="0" w:color="D9D9E3"/>
                <w:bottom w:val="single" w:sz="2" w:space="0" w:color="D9D9E3"/>
                <w:right w:val="single" w:sz="2" w:space="0" w:color="D9D9E3"/>
              </w:divBdr>
              <w:divsChild>
                <w:div w:id="481048622">
                  <w:marLeft w:val="0"/>
                  <w:marRight w:val="0"/>
                  <w:marTop w:val="0"/>
                  <w:marBottom w:val="0"/>
                  <w:divBdr>
                    <w:top w:val="single" w:sz="2" w:space="0" w:color="D9D9E3"/>
                    <w:left w:val="single" w:sz="2" w:space="0" w:color="D9D9E3"/>
                    <w:bottom w:val="single" w:sz="2" w:space="0" w:color="D9D9E3"/>
                    <w:right w:val="single" w:sz="2" w:space="0" w:color="D9D9E3"/>
                  </w:divBdr>
                  <w:divsChild>
                    <w:div w:id="104034669">
                      <w:marLeft w:val="0"/>
                      <w:marRight w:val="0"/>
                      <w:marTop w:val="0"/>
                      <w:marBottom w:val="0"/>
                      <w:divBdr>
                        <w:top w:val="single" w:sz="2" w:space="0" w:color="D9D9E3"/>
                        <w:left w:val="single" w:sz="2" w:space="0" w:color="D9D9E3"/>
                        <w:bottom w:val="single" w:sz="2" w:space="0" w:color="D9D9E3"/>
                        <w:right w:val="single" w:sz="2" w:space="0" w:color="D9D9E3"/>
                      </w:divBdr>
                      <w:divsChild>
                        <w:div w:id="1638410953">
                          <w:marLeft w:val="0"/>
                          <w:marRight w:val="0"/>
                          <w:marTop w:val="0"/>
                          <w:marBottom w:val="0"/>
                          <w:divBdr>
                            <w:top w:val="single" w:sz="2" w:space="0" w:color="D9D9E3"/>
                            <w:left w:val="single" w:sz="2" w:space="0" w:color="D9D9E3"/>
                            <w:bottom w:val="single" w:sz="2" w:space="0" w:color="D9D9E3"/>
                            <w:right w:val="single" w:sz="2" w:space="0" w:color="D9D9E3"/>
                          </w:divBdr>
                          <w:divsChild>
                            <w:div w:id="1612013997">
                              <w:marLeft w:val="0"/>
                              <w:marRight w:val="0"/>
                              <w:marTop w:val="0"/>
                              <w:marBottom w:val="0"/>
                              <w:divBdr>
                                <w:top w:val="single" w:sz="2" w:space="0" w:color="D9D9E3"/>
                                <w:left w:val="single" w:sz="2" w:space="0" w:color="D9D9E3"/>
                                <w:bottom w:val="single" w:sz="2" w:space="0" w:color="D9D9E3"/>
                                <w:right w:val="single" w:sz="2" w:space="0" w:color="D9D9E3"/>
                              </w:divBdr>
                              <w:divsChild>
                                <w:div w:id="780303311">
                                  <w:marLeft w:val="0"/>
                                  <w:marRight w:val="0"/>
                                  <w:marTop w:val="0"/>
                                  <w:marBottom w:val="0"/>
                                  <w:divBdr>
                                    <w:top w:val="single" w:sz="2" w:space="0" w:color="D9D9E3"/>
                                    <w:left w:val="single" w:sz="2" w:space="0" w:color="D9D9E3"/>
                                    <w:bottom w:val="single" w:sz="2" w:space="0" w:color="D9D9E3"/>
                                    <w:right w:val="single" w:sz="2" w:space="0" w:color="D9D9E3"/>
                                  </w:divBdr>
                                  <w:divsChild>
                                    <w:div w:id="5536152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16/09/relationships/commentsIds" Target="commentsId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CDCB9A-0630-4996-9833-EF6BB781B925}">
  <we:reference id="wa104382081" version="1.55.1.0" store="it-IT" storeType="OMEX"/>
  <we:alternateReferences>
    <we:reference id="wa104382081" version="1.55.1.0" store="wa104382081"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9f2c8c3-8183-485e-832b-d0a0fc7341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F2D63394A92AF4EA1939242F2FF55D6" ma:contentTypeVersion="16" ma:contentTypeDescription="Creare un nuovo documento." ma:contentTypeScope="" ma:versionID="63ab8362b4259c6775a7f306eb089c11">
  <xsd:schema xmlns:xsd="http://www.w3.org/2001/XMLSchema" xmlns:xs="http://www.w3.org/2001/XMLSchema" xmlns:p="http://schemas.microsoft.com/office/2006/metadata/properties" xmlns:ns3="49f2c8c3-8183-485e-832b-d0a0fc7341fb" xmlns:ns4="15f3c3e9-d720-405b-9909-5c2894843c5e" targetNamespace="http://schemas.microsoft.com/office/2006/metadata/properties" ma:root="true" ma:fieldsID="e565fc7669602b2187279d65e0864c5b" ns3:_="" ns4:_="">
    <xsd:import namespace="49f2c8c3-8183-485e-832b-d0a0fc7341fb"/>
    <xsd:import namespace="15f3c3e9-d720-405b-9909-5c2894843c5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2c8c3-8183-485e-832b-d0a0fc7341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3c3e9-d720-405b-9909-5c2894843c5e"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FDDBE-5D69-445F-83B3-C0A91BCD2530}">
  <ds:schemaRefs>
    <ds:schemaRef ds:uri="http://purl.org/dc/terms/"/>
    <ds:schemaRef ds:uri="49f2c8c3-8183-485e-832b-d0a0fc7341fb"/>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15f3c3e9-d720-405b-9909-5c2894843c5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B9668F9-998B-4DFC-83A3-32894AAF951E}">
  <ds:schemaRefs>
    <ds:schemaRef ds:uri="http://schemas.microsoft.com/sharepoint/v3/contenttype/forms"/>
  </ds:schemaRefs>
</ds:datastoreItem>
</file>

<file path=customXml/itemProps3.xml><?xml version="1.0" encoding="utf-8"?>
<ds:datastoreItem xmlns:ds="http://schemas.openxmlformats.org/officeDocument/2006/customXml" ds:itemID="{072EFB21-4E6D-43F5-A734-A8AAE0DB4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2c8c3-8183-485e-832b-d0a0fc7341fb"/>
    <ds:schemaRef ds:uri="15f3c3e9-d720-405b-9909-5c2894843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FCD71A-9970-4F18-B3D4-B6375D8F7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6</Pages>
  <Words>11307</Words>
  <Characters>64454</Characters>
  <Application>Microsoft Office Word</Application>
  <DocSecurity>0</DocSecurity>
  <Lines>537</Lines>
  <Paragraphs>151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75610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Stefania Marzorati</cp:lastModifiedBy>
  <cp:revision>3</cp:revision>
  <cp:lastPrinted>2015-05-12T18:31:00Z</cp:lastPrinted>
  <dcterms:created xsi:type="dcterms:W3CDTF">2024-01-09T10:52:00Z</dcterms:created>
  <dcterms:modified xsi:type="dcterms:W3CDTF">2024-02-12T11:07:00Z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0x0101005F2D63394A92AF4EA1939242F2FF55D6</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http://www.zotero.org/styles/bioresource-technology</vt:lpwstr>
  </property>
  <property fmtid="{D5CDD505-2E9C-101B-9397-08002B2CF9AE}" pid="14" name="Mendeley Recent Style Name 4_1">
    <vt:lpwstr>Bioresource Technology</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12th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y fmtid="{D5CDD505-2E9C-101B-9397-08002B2CF9AE}" pid="25" name="Mendeley Document_1">
    <vt:lpwstr>True</vt:lpwstr>
  </property>
  <property fmtid="{D5CDD505-2E9C-101B-9397-08002B2CF9AE}" pid="26" name="Mendeley Unique User Id_1">
    <vt:lpwstr>0b475a96-0196-331a-9658-f91eb76ffba4</vt:lpwstr>
  </property>
  <property fmtid="{D5CDD505-2E9C-101B-9397-08002B2CF9AE}" pid="27" name="Mendeley Citation Style_1">
    <vt:lpwstr>http://www.zotero.org/styles/bioresource-technology</vt:lpwstr>
  </property>
</Properties>
</file>