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15DAE12D"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843EAC">
              <w:rPr>
                <w:rFonts w:cs="Arial"/>
                <w:b/>
                <w:bCs/>
                <w:i/>
                <w:iCs/>
                <w:color w:val="000066"/>
                <w:sz w:val="22"/>
                <w:szCs w:val="22"/>
                <w:lang w:eastAsia="it-IT"/>
              </w:rPr>
              <w:t xml:space="preserve">   </w:t>
            </w:r>
            <w:proofErr w:type="gramStart"/>
            <w:r w:rsidR="00843EAC">
              <w:rPr>
                <w:rFonts w:cs="Arial"/>
                <w:b/>
                <w:bCs/>
                <w:i/>
                <w:iCs/>
                <w:color w:val="000066"/>
                <w:sz w:val="22"/>
                <w:szCs w:val="22"/>
                <w:lang w:eastAsia="it-IT"/>
              </w:rPr>
              <w:t xml:space="preserve"> </w:t>
            </w:r>
            <w:r w:rsidR="004761E9">
              <w:rPr>
                <w:rFonts w:cs="Arial"/>
                <w:b/>
                <w:bCs/>
                <w:i/>
                <w:iCs/>
                <w:color w:val="000066"/>
                <w:sz w:val="22"/>
                <w:szCs w:val="22"/>
                <w:lang w:eastAsia="it-IT"/>
              </w:rPr>
              <w:t xml:space="preserve"> </w:t>
            </w:r>
            <w:r w:rsidR="007B48F9">
              <w:rPr>
                <w:rFonts w:cs="Arial"/>
                <w:b/>
                <w:bCs/>
                <w:i/>
                <w:iCs/>
                <w:color w:val="000066"/>
                <w:sz w:val="22"/>
                <w:szCs w:val="22"/>
                <w:lang w:eastAsia="it-IT"/>
              </w:rPr>
              <w:t>,</w:t>
            </w:r>
            <w:proofErr w:type="gramEnd"/>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DB3233">
              <w:rPr>
                <w:rFonts w:cs="Arial"/>
                <w:b/>
                <w:bCs/>
                <w:i/>
                <w:iCs/>
                <w:color w:val="000066"/>
                <w:sz w:val="22"/>
                <w:szCs w:val="22"/>
                <w:lang w:eastAsia="it-IT"/>
              </w:rPr>
              <w:t>4</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475D992A" w:rsidR="00AA7D26" w:rsidRPr="006A23E9" w:rsidRDefault="00AA7D26" w:rsidP="00AA7D26">
            <w:pPr>
              <w:ind w:left="-107"/>
              <w:outlineLvl w:val="2"/>
              <w:rPr>
                <w:rFonts w:ascii="Tahoma" w:hAnsi="Tahoma" w:cs="Tahoma"/>
                <w:bCs/>
                <w:color w:val="000000"/>
                <w:sz w:val="14"/>
                <w:szCs w:val="14"/>
                <w:lang w:eastAsia="it-IT"/>
              </w:rPr>
            </w:pPr>
            <w:r w:rsidRPr="006A23E9">
              <w:rPr>
                <w:rFonts w:ascii="Tahoma" w:hAnsi="Tahoma" w:cs="Tahoma"/>
                <w:iCs/>
                <w:color w:val="333333"/>
                <w:sz w:val="14"/>
                <w:szCs w:val="14"/>
                <w:lang w:eastAsia="it-IT"/>
              </w:rPr>
              <w:t>Guest Editors:</w:t>
            </w:r>
            <w:r w:rsidRPr="006A23E9">
              <w:rPr>
                <w:rFonts w:ascii="Tahoma" w:hAnsi="Tahoma" w:cs="Tahoma"/>
                <w:color w:val="000000"/>
                <w:sz w:val="14"/>
                <w:szCs w:val="14"/>
                <w:shd w:val="clear" w:color="auto" w:fill="FFFFFF"/>
              </w:rPr>
              <w:t xml:space="preserve"> </w:t>
            </w:r>
            <w:r w:rsidR="006A23E9" w:rsidRPr="00946B70">
              <w:rPr>
                <w:rFonts w:ascii="Tahoma" w:hAnsi="Tahoma" w:cs="Tahoma"/>
                <w:color w:val="000000"/>
                <w:sz w:val="14"/>
                <w:szCs w:val="14"/>
                <w:shd w:val="clear" w:color="auto" w:fill="FFFFFF"/>
              </w:rPr>
              <w:t xml:space="preserve">Leonardo </w:t>
            </w:r>
            <w:proofErr w:type="spellStart"/>
            <w:r w:rsidR="006A23E9" w:rsidRPr="00946B70">
              <w:rPr>
                <w:rFonts w:ascii="Tahoma" w:hAnsi="Tahoma" w:cs="Tahoma"/>
                <w:color w:val="000000"/>
                <w:sz w:val="14"/>
                <w:szCs w:val="14"/>
                <w:shd w:val="clear" w:color="auto" w:fill="FFFFFF"/>
              </w:rPr>
              <w:t>Tognotti</w:t>
            </w:r>
            <w:proofErr w:type="spellEnd"/>
            <w:r w:rsidR="006A23E9" w:rsidRPr="00946B70">
              <w:rPr>
                <w:rFonts w:ascii="Tahoma" w:hAnsi="Tahoma" w:cs="Tahoma"/>
                <w:color w:val="000000"/>
                <w:sz w:val="14"/>
                <w:szCs w:val="14"/>
                <w:shd w:val="clear" w:color="auto" w:fill="FFFFFF"/>
              </w:rPr>
              <w:t xml:space="preserve">, </w:t>
            </w:r>
            <w:r w:rsidR="006A23E9" w:rsidRPr="00946B70">
              <w:rPr>
                <w:rFonts w:ascii="Tahoma" w:hAnsi="Tahoma" w:cs="Tahoma"/>
                <w:color w:val="000000"/>
                <w:sz w:val="14"/>
                <w:szCs w:val="14"/>
              </w:rPr>
              <w:t>Rubens Maciel Filho</w:t>
            </w:r>
            <w:r w:rsidR="006A23E9" w:rsidRPr="00946B70">
              <w:rPr>
                <w:rFonts w:ascii="Tahoma" w:hAnsi="Tahoma" w:cs="Tahoma"/>
                <w:color w:val="000000"/>
                <w:sz w:val="14"/>
                <w:szCs w:val="14"/>
                <w:shd w:val="clear" w:color="auto" w:fill="FFFFFF"/>
              </w:rPr>
              <w:t xml:space="preserve">, </w:t>
            </w:r>
            <w:proofErr w:type="spellStart"/>
            <w:r w:rsidR="006A23E9" w:rsidRPr="00946B70">
              <w:rPr>
                <w:rFonts w:ascii="Tahoma" w:hAnsi="Tahoma" w:cs="Tahoma"/>
                <w:color w:val="000000"/>
                <w:sz w:val="14"/>
                <w:szCs w:val="14"/>
              </w:rPr>
              <w:t>Viatcheslav</w:t>
            </w:r>
            <w:proofErr w:type="spellEnd"/>
            <w:r w:rsidR="006A23E9" w:rsidRPr="00946B70">
              <w:rPr>
                <w:rFonts w:ascii="Tahoma" w:hAnsi="Tahoma" w:cs="Tahoma"/>
                <w:color w:val="000000"/>
                <w:sz w:val="14"/>
                <w:szCs w:val="14"/>
              </w:rPr>
              <w:t xml:space="preserve"> Kafarov</w:t>
            </w:r>
          </w:p>
          <w:p w14:paraId="1B0F1814" w14:textId="3AD74145"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843EAC">
              <w:rPr>
                <w:rFonts w:ascii="Tahoma" w:hAnsi="Tahoma" w:cs="Tahoma"/>
                <w:iCs/>
                <w:color w:val="333333"/>
                <w:sz w:val="14"/>
                <w:szCs w:val="14"/>
                <w:lang w:eastAsia="it-IT"/>
              </w:rPr>
              <w:t>4</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8B7C03" w:rsidRPr="000562A9">
              <w:rPr>
                <w:rFonts w:ascii="Tahoma" w:hAnsi="Tahoma" w:cs="Tahoma"/>
                <w:sz w:val="14"/>
                <w:szCs w:val="14"/>
              </w:rPr>
              <w:t>97</w:t>
            </w:r>
            <w:r w:rsidR="008B7C03">
              <w:rPr>
                <w:rFonts w:ascii="Tahoma" w:hAnsi="Tahoma" w:cs="Tahoma"/>
                <w:sz w:val="14"/>
                <w:szCs w:val="14"/>
              </w:rPr>
              <w:t>9</w:t>
            </w:r>
            <w:r w:rsidR="008B7C03" w:rsidRPr="000562A9">
              <w:rPr>
                <w:rFonts w:ascii="Tahoma" w:hAnsi="Tahoma" w:cs="Tahoma"/>
                <w:sz w:val="14"/>
                <w:szCs w:val="14"/>
              </w:rPr>
              <w:t>-</w:t>
            </w:r>
            <w:r w:rsidR="008B7C03">
              <w:rPr>
                <w:rFonts w:ascii="Tahoma" w:hAnsi="Tahoma" w:cs="Tahoma"/>
                <w:sz w:val="14"/>
                <w:szCs w:val="14"/>
              </w:rPr>
              <w:t>12</w:t>
            </w:r>
            <w:r w:rsidR="008B7C03" w:rsidRPr="000562A9">
              <w:rPr>
                <w:rFonts w:ascii="Tahoma" w:hAnsi="Tahoma" w:cs="Tahoma"/>
                <w:sz w:val="14"/>
                <w:szCs w:val="14"/>
              </w:rPr>
              <w:t>-</w:t>
            </w:r>
            <w:r w:rsidR="008B7C03">
              <w:rPr>
                <w:rFonts w:ascii="Tahoma" w:hAnsi="Tahoma" w:cs="Tahoma"/>
                <w:sz w:val="14"/>
                <w:szCs w:val="14"/>
              </w:rPr>
              <w:t>81206</w:t>
            </w:r>
            <w:r>
              <w:rPr>
                <w:rFonts w:ascii="Tahoma" w:hAnsi="Tahoma" w:cs="Tahoma"/>
                <w:sz w:val="14"/>
                <w:szCs w:val="14"/>
              </w:rPr>
              <w:t>-</w:t>
            </w:r>
            <w:r w:rsidR="00DB3233">
              <w:rPr>
                <w:rFonts w:ascii="Tahoma" w:hAnsi="Tahoma" w:cs="Tahoma"/>
                <w:sz w:val="14"/>
                <w:szCs w:val="14"/>
              </w:rPr>
              <w:t>09</w:t>
            </w:r>
            <w:r>
              <w:rPr>
                <w:rFonts w:ascii="Tahoma" w:hAnsi="Tahoma" w:cs="Tahoma"/>
                <w:sz w:val="14"/>
                <w:szCs w:val="14"/>
              </w:rPr>
              <w:t>-</w:t>
            </w:r>
            <w:r w:rsidR="00DB3233">
              <w:rPr>
                <w:rFonts w:ascii="Tahoma" w:hAnsi="Tahoma" w:cs="Tahoma"/>
                <w:sz w:val="14"/>
                <w:szCs w:val="14"/>
              </w:rPr>
              <w:t>0</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1B9BD9F9" w:rsidR="00E978D0" w:rsidRPr="00B57B36" w:rsidRDefault="009D24C8" w:rsidP="00E978D0">
      <w:pPr>
        <w:pStyle w:val="CETTitle"/>
      </w:pPr>
      <w:r w:rsidRPr="009D24C8">
        <w:t xml:space="preserve">Thermal Performance </w:t>
      </w:r>
      <w:r w:rsidR="00286C27">
        <w:t>o</w:t>
      </w:r>
      <w:r w:rsidRPr="009D24C8">
        <w:t xml:space="preserve">f Hydrogenated Palm Stearin </w:t>
      </w:r>
      <w:r w:rsidR="00286C27">
        <w:t>a</w:t>
      </w:r>
      <w:r w:rsidRPr="009D24C8">
        <w:t xml:space="preserve">s Phase Change Material </w:t>
      </w:r>
      <w:r w:rsidR="00286C27">
        <w:t>i</w:t>
      </w:r>
      <w:r w:rsidRPr="009D24C8">
        <w:t xml:space="preserve">n </w:t>
      </w:r>
      <w:r w:rsidR="00286C27">
        <w:t>a</w:t>
      </w:r>
      <w:r w:rsidRPr="009D24C8">
        <w:t xml:space="preserve"> Pilot Solar Thermal Energy Storage System</w:t>
      </w:r>
    </w:p>
    <w:p w14:paraId="0488FED2" w14:textId="23588166" w:rsidR="00B57E6F" w:rsidRPr="0017710D" w:rsidRDefault="00B968E4" w:rsidP="00B57E6F">
      <w:pPr>
        <w:pStyle w:val="CETAuthors"/>
        <w:rPr>
          <w:lang w:val="es-CO"/>
        </w:rPr>
      </w:pPr>
      <w:r w:rsidRPr="0017710D">
        <w:rPr>
          <w:lang w:val="es-CO"/>
        </w:rPr>
        <w:t>Víctor A. Lizcano-González</w:t>
      </w:r>
      <w:r w:rsidR="00B57E6F" w:rsidRPr="0017710D">
        <w:rPr>
          <w:vertAlign w:val="superscript"/>
          <w:lang w:val="es-CO"/>
        </w:rPr>
        <w:t>a</w:t>
      </w:r>
      <w:r w:rsidR="00B57E6F" w:rsidRPr="0017710D">
        <w:rPr>
          <w:lang w:val="es-CO"/>
        </w:rPr>
        <w:t xml:space="preserve">, </w:t>
      </w:r>
      <w:r w:rsidRPr="0017710D">
        <w:rPr>
          <w:lang w:val="es-CO"/>
        </w:rPr>
        <w:t>Viatcheslav Kafarov</w:t>
      </w:r>
      <w:r w:rsidR="0017710D">
        <w:rPr>
          <w:vertAlign w:val="superscript"/>
          <w:lang w:val="es-CO"/>
        </w:rPr>
        <w:t>a</w:t>
      </w:r>
      <w:r w:rsidR="00B57E6F" w:rsidRPr="0017710D">
        <w:rPr>
          <w:vertAlign w:val="superscript"/>
          <w:lang w:val="es-CO"/>
        </w:rPr>
        <w:t>,</w:t>
      </w:r>
      <w:r w:rsidR="00B57E6F" w:rsidRPr="0017710D">
        <w:rPr>
          <w:lang w:val="es-CO"/>
        </w:rPr>
        <w:t xml:space="preserve">*, </w:t>
      </w:r>
      <w:r w:rsidR="002F2981" w:rsidRPr="0017710D">
        <w:rPr>
          <w:lang w:val="es-CO"/>
        </w:rPr>
        <w:t>Khamid Mahkamov</w:t>
      </w:r>
      <w:r w:rsidR="0017710D" w:rsidRPr="0017710D">
        <w:rPr>
          <w:vertAlign w:val="superscript"/>
          <w:lang w:val="es-CO"/>
        </w:rPr>
        <w:t>b</w:t>
      </w:r>
    </w:p>
    <w:p w14:paraId="6B2D21B3" w14:textId="0378059B" w:rsidR="00B57E6F" w:rsidRPr="00B57B36" w:rsidRDefault="00B57E6F" w:rsidP="00B57E6F">
      <w:pPr>
        <w:pStyle w:val="CETAddress"/>
      </w:pPr>
      <w:r w:rsidRPr="00B57B36">
        <w:rPr>
          <w:vertAlign w:val="superscript"/>
        </w:rPr>
        <w:t>a</w:t>
      </w:r>
      <w:r w:rsidR="003D30D1" w:rsidRPr="003D30D1">
        <w:t>Department of Chemical Engineering</w:t>
      </w:r>
      <w:r w:rsidR="00233D32">
        <w:t>,</w:t>
      </w:r>
      <w:r w:rsidR="003D30D1" w:rsidRPr="003D30D1">
        <w:t xml:space="preserve"> </w:t>
      </w:r>
      <w:r w:rsidR="003D30D1">
        <w:t>U</w:t>
      </w:r>
      <w:r w:rsidR="00A07007">
        <w:t>niversidad Industrial de Santander</w:t>
      </w:r>
      <w:r w:rsidR="00A366FE">
        <w:t>,</w:t>
      </w:r>
      <w:r w:rsidRPr="00B57B36">
        <w:t xml:space="preserve"> </w:t>
      </w:r>
      <w:r w:rsidR="00A366FE" w:rsidRPr="00A366FE">
        <w:t>Carrera 27 Calle 9</w:t>
      </w:r>
      <w:r w:rsidRPr="00B57B36">
        <w:t>,</w:t>
      </w:r>
      <w:r w:rsidR="00A366FE">
        <w:t xml:space="preserve"> Bucaramanga, Colombia</w:t>
      </w:r>
      <w:r w:rsidRPr="00B57B36">
        <w:t xml:space="preserve"> </w:t>
      </w:r>
    </w:p>
    <w:p w14:paraId="3D72B0B0" w14:textId="01CEFE8B" w:rsidR="00B57E6F" w:rsidRPr="00B57B36" w:rsidRDefault="00B57E6F" w:rsidP="00B57E6F">
      <w:pPr>
        <w:pStyle w:val="CETAddress"/>
      </w:pPr>
      <w:r w:rsidRPr="00B57B36">
        <w:rPr>
          <w:vertAlign w:val="superscript"/>
        </w:rPr>
        <w:t>b</w:t>
      </w:r>
      <w:r w:rsidR="00381559" w:rsidRPr="00381559">
        <w:t>Department of Mechanical and Construction Engineering</w:t>
      </w:r>
      <w:r w:rsidR="00381559">
        <w:t xml:space="preserve">, Northumbria University, </w:t>
      </w:r>
      <w:r w:rsidR="001F2793" w:rsidRPr="001F2793">
        <w:t>Sutherland Building Newcastle-upon-Tyne NE1 8ST, United Kingdom</w:t>
      </w:r>
      <w:r w:rsidRPr="00B57B36">
        <w:t xml:space="preserve"> and Address </w:t>
      </w:r>
    </w:p>
    <w:p w14:paraId="73F1267A" w14:textId="0ACFCC8A" w:rsidR="00B57E6F" w:rsidRPr="00B57B36" w:rsidRDefault="00B57E6F" w:rsidP="00B57E6F">
      <w:pPr>
        <w:pStyle w:val="CETemail"/>
      </w:pPr>
      <w:r>
        <w:t xml:space="preserve"> </w:t>
      </w:r>
      <w:r w:rsidR="00233D32">
        <w:t>kafarov@uis.edu.co</w:t>
      </w:r>
    </w:p>
    <w:p w14:paraId="6893AF25" w14:textId="452ECA1A" w:rsidR="004B713F" w:rsidRPr="00B57B36" w:rsidRDefault="004B713F" w:rsidP="004B713F">
      <w:pPr>
        <w:pStyle w:val="CETBodytext"/>
        <w:rPr>
          <w:lang w:val="en-GB"/>
        </w:rPr>
      </w:pPr>
      <w:r w:rsidRPr="004B713F">
        <w:rPr>
          <w:lang w:val="en-GB"/>
        </w:rPr>
        <w:t xml:space="preserve">The search for new phase change materials (PCM) of renewable origin and low cost, as an alternative to the use of paraffin wax, contributes to the environmental resilience of solar thermal energy systems. An important source of PCMs of renewable origin are vegetable oils and fats, especially those with established agro-industrial chains. Globally, palm oil has positioned as an indispensable product in many industrial sectors. One of the main by-products of palm oil refining is palm stearin, which can be hydrogenated to improve its thermal properties. This paper presents the results of the performance of a </w:t>
      </w:r>
      <w:bookmarkStart w:id="0" w:name="_Hlk156194715"/>
      <w:r w:rsidRPr="004B713F">
        <w:rPr>
          <w:lang w:val="en-GB"/>
        </w:rPr>
        <w:t>Solar thermal energy storage system (STESS) located in a Colombian paramo area with an altitude of 3,200 m.a.s.l.</w:t>
      </w:r>
      <w:bookmarkEnd w:id="0"/>
      <w:r w:rsidRPr="004B713F">
        <w:rPr>
          <w:lang w:val="en-GB"/>
        </w:rPr>
        <w:t xml:space="preserve"> The system store heat in 550 kg of Hydrogenated Palm Stearin (HPS), contained in a rectangular vessel, which allow to supply hot water and space heating for a country house. The average ambient temperature is 12 °C during the day and 7 °C at night. This experimental station implements a robust measurement and control system including 39 PT-100 type temperature sensors, and different actuators connected to a control system based on Arduino and Raspberry Pi devices. This configuration permit also to implement a remote monitoring system. The constructed STESS employs 140 collector tubes, running at a maximum temperature of 95 °C. According to the energy load tests during a period of </w:t>
      </w:r>
      <w:r w:rsidR="00FF6B8A">
        <w:rPr>
          <w:lang w:val="en-GB"/>
        </w:rPr>
        <w:t>7</w:t>
      </w:r>
      <w:r w:rsidRPr="004B713F">
        <w:rPr>
          <w:lang w:val="en-GB"/>
        </w:rPr>
        <w:t xml:space="preserve"> hours of operation, approximately </w:t>
      </w:r>
      <w:r w:rsidR="00FF6B8A">
        <w:rPr>
          <w:lang w:val="en-GB"/>
        </w:rPr>
        <w:t>40</w:t>
      </w:r>
      <w:r w:rsidRPr="004B713F">
        <w:rPr>
          <w:lang w:val="en-GB"/>
        </w:rPr>
        <w:t>.</w:t>
      </w:r>
      <w:r w:rsidR="00FF6B8A">
        <w:rPr>
          <w:lang w:val="en-GB"/>
        </w:rPr>
        <w:t>0</w:t>
      </w:r>
      <w:r w:rsidRPr="004B713F">
        <w:rPr>
          <w:lang w:val="en-GB"/>
        </w:rPr>
        <w:t xml:space="preserve"> MJ were stored as heat in the hydrogenated palm stearin. For the same period, the heat transfer fluid received approximately 170 MJ of energy. In subsequent discharge tests, the heat stored in the HPS allowed the ambient temperature inside the room to be maintained 8 °C above the external ambient temperature for up to </w:t>
      </w:r>
      <w:r w:rsidR="00EC16B4">
        <w:rPr>
          <w:lang w:val="en-GB"/>
        </w:rPr>
        <w:t>8</w:t>
      </w:r>
      <w:r w:rsidRPr="004B713F">
        <w:rPr>
          <w:lang w:val="en-GB"/>
        </w:rPr>
        <w:t xml:space="preserve"> hours during the night, demonstrating the technical feasibility of using this new PCM from renewable sources.</w:t>
      </w:r>
      <w:bookmarkStart w:id="1" w:name="_Hlk495475023"/>
    </w:p>
    <w:bookmarkEnd w:id="1"/>
    <w:p w14:paraId="37A61FCE" w14:textId="51C58CFB" w:rsidR="00DA24C6" w:rsidRPr="00900770" w:rsidRDefault="00DA24C6" w:rsidP="00900770">
      <w:pPr>
        <w:pStyle w:val="CETBodytext"/>
        <w:rPr>
          <w:lang w:val="en-GB"/>
        </w:rPr>
      </w:pPr>
    </w:p>
    <w:p w14:paraId="476B2F2E" w14:textId="77777777" w:rsidR="00600535" w:rsidRPr="00B57B36" w:rsidRDefault="00600535" w:rsidP="00600535">
      <w:pPr>
        <w:pStyle w:val="CETHeading1"/>
        <w:rPr>
          <w:lang w:val="en-GB"/>
        </w:rPr>
      </w:pPr>
      <w:r w:rsidRPr="00B57B36">
        <w:rPr>
          <w:lang w:val="en-GB"/>
        </w:rPr>
        <w:t>Introduction</w:t>
      </w:r>
    </w:p>
    <w:p w14:paraId="1AED3853" w14:textId="73DBB084" w:rsidR="00600535" w:rsidRPr="00862B79" w:rsidRDefault="00FC0F47" w:rsidP="00F361B4">
      <w:pPr>
        <w:pStyle w:val="CETBodytext"/>
      </w:pPr>
      <w:r w:rsidRPr="00FC0F47">
        <w:rPr>
          <w:lang w:val="en-GB"/>
        </w:rPr>
        <w:t xml:space="preserve">Low </w:t>
      </w:r>
      <w:r w:rsidR="00672C20">
        <w:rPr>
          <w:lang w:val="en-GB"/>
        </w:rPr>
        <w:t>and</w:t>
      </w:r>
      <w:r w:rsidRPr="00FC0F47">
        <w:rPr>
          <w:lang w:val="en-GB"/>
        </w:rPr>
        <w:t xml:space="preserve"> medium temperature Solar Thermal </w:t>
      </w:r>
      <w:r w:rsidR="000C6A09">
        <w:rPr>
          <w:lang w:val="en-GB"/>
        </w:rPr>
        <w:t>Energy Storage</w:t>
      </w:r>
      <w:r w:rsidRPr="00FC0F47">
        <w:rPr>
          <w:lang w:val="en-GB"/>
        </w:rPr>
        <w:t xml:space="preserve"> Systems </w:t>
      </w:r>
      <w:r w:rsidR="007D5511">
        <w:rPr>
          <w:lang w:val="en-GB"/>
        </w:rPr>
        <w:t xml:space="preserve">(STESS) </w:t>
      </w:r>
      <w:r w:rsidRPr="00FC0F47">
        <w:rPr>
          <w:lang w:val="en-GB"/>
        </w:rPr>
        <w:t>are equipment used to supply hot water and/or heating or steam. These systems are generally composed of solar thermal energy collectors, a control system and instruments, an energy storage tank, and an auxiliary system for heat supply</w:t>
      </w:r>
      <w:r w:rsidR="00B257FF">
        <w:rPr>
          <w:lang w:val="en-GB"/>
        </w:rPr>
        <w:t xml:space="preserve"> </w:t>
      </w:r>
      <w:sdt>
        <w:sdtPr>
          <w:rPr>
            <w:color w:val="000000"/>
            <w:lang w:val="en-GB"/>
          </w:rPr>
          <w:tag w:val="MENDELEY_CITATION_v3_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"/>
          <w:id w:val="1357615134"/>
          <w:placeholder>
            <w:docPart w:val="DefaultPlaceholder_-1854013440"/>
          </w:placeholder>
        </w:sdtPr>
        <w:sdtEndPr/>
        <w:sdtContent>
          <w:r w:rsidR="004568C1" w:rsidRPr="004568C1">
            <w:rPr>
              <w:color w:val="000000"/>
              <w:lang w:val="en-GB"/>
            </w:rPr>
            <w:t>(Mahkamov et al., 2018)</w:t>
          </w:r>
        </w:sdtContent>
      </w:sdt>
      <w:r w:rsidRPr="00FC0F47">
        <w:rPr>
          <w:lang w:val="en-GB"/>
        </w:rPr>
        <w:t>. Materials that accumulate energy as sensible heat or latent heat are used in heat storage tanks. In general, energy storage as latent heat is preferred because it provides greater energy density, using different phase change materials (PCM). PCMs are used to store energy during the fusion process and release it during the crystallization process</w:t>
      </w:r>
      <w:r w:rsidR="004568C1">
        <w:rPr>
          <w:lang w:val="en-GB"/>
        </w:rPr>
        <w:t xml:space="preserve"> </w:t>
      </w:r>
      <w:sdt>
        <w:sdtPr>
          <w:rPr>
            <w:lang w:val="en-GB"/>
          </w:rPr>
          <w:tag w:val="MENDELEY_CITATION_v3_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"/>
          <w:id w:val="-832911610"/>
          <w:placeholder>
            <w:docPart w:val="DefaultPlaceholder_-1854013440"/>
          </w:placeholder>
        </w:sdtPr>
        <w:sdtEndPr/>
        <w:sdtContent>
          <w:r w:rsidR="00E9355E">
            <w:t>(</w:t>
          </w:r>
          <w:proofErr w:type="spellStart"/>
          <w:r w:rsidR="00E9355E">
            <w:t>Pielichowska</w:t>
          </w:r>
          <w:proofErr w:type="spellEnd"/>
          <w:r w:rsidR="00E9355E">
            <w:t xml:space="preserve"> &amp; </w:t>
          </w:r>
          <w:proofErr w:type="spellStart"/>
          <w:r w:rsidR="00E9355E">
            <w:t>Pielichowski</w:t>
          </w:r>
          <w:proofErr w:type="spellEnd"/>
          <w:r w:rsidR="00E9355E">
            <w:t>, 2014)</w:t>
          </w:r>
        </w:sdtContent>
      </w:sdt>
      <w:r w:rsidRPr="00FC0F47">
        <w:rPr>
          <w:lang w:val="en-GB"/>
        </w:rPr>
        <w:t>. PCMs are classified based on the phase transition they make and the chemical nature of the substance. This transition can be Gas-Liquid, Solid-Gas, Solid-Liquid and Solid-Solid, although for technical and safety considerations, most applications focus on Solid-Liquid transition</w:t>
      </w:r>
      <w:r w:rsidR="00E9355E">
        <w:rPr>
          <w:lang w:val="en-GB"/>
        </w:rPr>
        <w:t xml:space="preserve"> </w:t>
      </w:r>
      <w:sdt>
        <w:sdtPr>
          <w:rPr>
            <w:lang w:val="en-GB"/>
          </w:rPr>
          <w:tag w:val="MENDELEY_CITATION_v3_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"/>
          <w:id w:val="-2142647779"/>
          <w:placeholder>
            <w:docPart w:val="DefaultPlaceholder_-1854013440"/>
          </w:placeholder>
        </w:sdtPr>
        <w:sdtEndPr/>
        <w:sdtContent>
          <w:r w:rsidR="004B3027">
            <w:t>(Riffat, Mempouo, &amp; Fang, 2015)</w:t>
          </w:r>
        </w:sdtContent>
      </w:sdt>
      <w:r w:rsidRPr="00FC0F47">
        <w:rPr>
          <w:lang w:val="en-GB"/>
        </w:rPr>
        <w:t>.</w:t>
      </w:r>
      <w:r>
        <w:rPr>
          <w:lang w:val="en-GB"/>
        </w:rPr>
        <w:t xml:space="preserve"> </w:t>
      </w:r>
      <w:r w:rsidRPr="00FC0F47">
        <w:rPr>
          <w:lang w:val="en-GB"/>
        </w:rPr>
        <w:t xml:space="preserve">PCMs offer the advantage of a high energy storage to mass ratio and a quasi-isothermal operating process. Although the amount of energy stored depends on the material used, the rate of transfer with the surrounding medium also depends on the operating conditions and system design. Among the different applications reported in the literature, there are important differences in device configuration and performance efficiency. For the desalination of seawater, a solar still was used made up of a </w:t>
      </w:r>
      <w:r w:rsidRPr="00FC0F47">
        <w:rPr>
          <w:lang w:val="en-GB"/>
        </w:rPr>
        <w:lastRenderedPageBreak/>
        <w:t>glass box, whose black bottom served as a collector and storage tank for the PCM, in this case paraffin wax. This configuration, tested under conditions of the Egyptian desert over the Mediterranean Sea, allowed the production of up to 3.8 kg of water per square meter of collector area</w:t>
      </w:r>
      <w:r w:rsidR="00606A95">
        <w:rPr>
          <w:lang w:val="en-GB"/>
        </w:rPr>
        <w:t xml:space="preserve"> </w:t>
      </w:r>
      <w:sdt>
        <w:sdtPr>
          <w:rPr>
            <w:lang w:val="en-GB"/>
          </w:rPr>
          <w:tag w:val="MENDELEY_CITATION_v3_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"/>
          <w:id w:val="1605077527"/>
          <w:placeholder>
            <w:docPart w:val="DefaultPlaceholder_-1854013440"/>
          </w:placeholder>
        </w:sdtPr>
        <w:sdtEndPr/>
        <w:sdtContent>
          <w:r w:rsidR="00E54E9F">
            <w:t>(Yousef &amp; Hassan, 2019)</w:t>
          </w:r>
        </w:sdtContent>
      </w:sdt>
      <w:r w:rsidRPr="00FC0F47">
        <w:rPr>
          <w:lang w:val="en-GB"/>
        </w:rPr>
        <w:t>. A second work compares the performance of a heat exchanger for the supply of domestic hot water, using paraffin wax or a mixture of fatty alcohols. The exchanger constructed with a heat sink configuration with copper tubing and heat-conducting baffles was immersed in 94 kg of PCM and was capable of heating 164 l of water from 5 °C to over 40 °C at a rate of 8 l/min</w:t>
      </w:r>
      <w:r w:rsidR="00E54E9F">
        <w:rPr>
          <w:lang w:val="en-GB"/>
        </w:rPr>
        <w:t xml:space="preserve"> </w:t>
      </w:r>
      <w:sdt>
        <w:sdtPr>
          <w:rPr>
            <w:color w:val="000000"/>
            <w:lang w:val="en-GB"/>
          </w:rPr>
          <w:tag w:val="MENDELEY_CITATION_v3_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"/>
          <w:id w:val="-976069246"/>
          <w:placeholder>
            <w:docPart w:val="DefaultPlaceholder_-1854013440"/>
          </w:placeholder>
        </w:sdtPr>
        <w:sdtEndPr/>
        <w:sdtContent>
          <w:r w:rsidR="00A60511" w:rsidRPr="00A60511">
            <w:rPr>
              <w:color w:val="000000"/>
              <w:lang w:val="en-GB"/>
            </w:rPr>
            <w:t>(</w:t>
          </w:r>
          <w:proofErr w:type="spellStart"/>
          <w:r w:rsidR="00A60511" w:rsidRPr="00A60511">
            <w:rPr>
              <w:color w:val="000000"/>
              <w:lang w:val="en-GB"/>
            </w:rPr>
            <w:t>Dogkas</w:t>
          </w:r>
          <w:proofErr w:type="spellEnd"/>
          <w:r w:rsidR="00A60511" w:rsidRPr="00A60511">
            <w:rPr>
              <w:color w:val="000000"/>
              <w:lang w:val="en-GB"/>
            </w:rPr>
            <w:t xml:space="preserve"> et al., 2019)</w:t>
          </w:r>
        </w:sdtContent>
      </w:sdt>
      <w:r w:rsidRPr="00FC0F47">
        <w:rPr>
          <w:lang w:val="en-GB"/>
        </w:rPr>
        <w:t>. The construction of a mobile system for the supply of hot water, using 2.5 kg of phase change material, has also been reported. A vacuum tube collector with a total area of 0.29 m</w:t>
      </w:r>
      <w:r w:rsidRPr="00C469B2">
        <w:rPr>
          <w:vertAlign w:val="superscript"/>
          <w:lang w:val="en-GB"/>
        </w:rPr>
        <w:t>2</w:t>
      </w:r>
      <w:r w:rsidRPr="00FC0F47">
        <w:rPr>
          <w:lang w:val="en-GB"/>
        </w:rPr>
        <w:t xml:space="preserve"> was used to charge the PCM. Under the conditions of the city of Mesa, Arizona, USA, this configuration was capable of storing up to 1.21 MJ of energy during an 8-hour charging cycle, when stearic acid and palmitic acid were used as PCM</w:t>
      </w:r>
      <w:r w:rsidR="00A60511">
        <w:rPr>
          <w:lang w:val="en-GB"/>
        </w:rPr>
        <w:t xml:space="preserve"> </w:t>
      </w:r>
      <w:sdt>
        <w:sdtPr>
          <w:rPr>
            <w:color w:val="000000"/>
            <w:lang w:val="en-GB"/>
          </w:rPr>
          <w:tag w:val="MENDELEY_CITATION_v3_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"/>
          <w:id w:val="-1368908574"/>
          <w:placeholder>
            <w:docPart w:val="DefaultPlaceholder_-1854013440"/>
          </w:placeholder>
        </w:sdtPr>
        <w:sdtEndPr/>
        <w:sdtContent>
          <w:r w:rsidR="009F58A7" w:rsidRPr="009F58A7">
            <w:rPr>
              <w:color w:val="000000"/>
              <w:lang w:val="en-GB"/>
            </w:rPr>
            <w:t>(Prakash et al., 2019)</w:t>
          </w:r>
        </w:sdtContent>
      </w:sdt>
      <w:r w:rsidRPr="00FC0F47">
        <w:rPr>
          <w:lang w:val="en-GB"/>
        </w:rPr>
        <w:t>.</w:t>
      </w:r>
      <w:r w:rsidR="008809E7">
        <w:rPr>
          <w:lang w:val="en-GB"/>
        </w:rPr>
        <w:t xml:space="preserve"> </w:t>
      </w:r>
      <w:r w:rsidR="008809E7" w:rsidRPr="008809E7">
        <w:rPr>
          <w:lang w:val="en-GB"/>
        </w:rPr>
        <w:t>In the present work, the performance of hydrogenated palm stearin as a phase change material in a pilot system for the storage of solar thermal energy located in a high mountain area is evaluated.</w:t>
      </w:r>
      <w:r w:rsidR="0008030E">
        <w:rPr>
          <w:lang w:val="en-GB"/>
        </w:rPr>
        <w:t xml:space="preserve"> </w:t>
      </w:r>
      <w:r w:rsidR="009026C4" w:rsidRPr="001F686C">
        <w:t>Palm stearin</w:t>
      </w:r>
      <w:r w:rsidR="0054356D">
        <w:t xml:space="preserve"> (PS)</w:t>
      </w:r>
      <w:r w:rsidR="009026C4" w:rsidRPr="001F686C">
        <w:t xml:space="preserve"> is the main by-product in palm oil refining, representing up to 30% of the total content of crude palm oil</w:t>
      </w:r>
      <w:r w:rsidR="009026C4">
        <w:t xml:space="preserve"> </w:t>
      </w:r>
      <w:sdt>
        <w:sdtPr>
          <w:tag w:val="MENDELEY_CITATION_v3_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"/>
          <w:id w:val="-187842506"/>
          <w:placeholder>
            <w:docPart w:val="F6241A522C7A461FB4C2CF122224A108"/>
          </w:placeholder>
        </w:sdtPr>
        <w:sdtContent>
          <w:r w:rsidR="009026C4">
            <w:t xml:space="preserve">(Tan &amp; </w:t>
          </w:r>
          <w:proofErr w:type="spellStart"/>
          <w:r w:rsidR="009026C4">
            <w:t>Nehdi</w:t>
          </w:r>
          <w:proofErr w:type="spellEnd"/>
          <w:r w:rsidR="009026C4">
            <w:t>, 2012)</w:t>
          </w:r>
        </w:sdtContent>
      </w:sdt>
      <w:r w:rsidR="009026C4" w:rsidRPr="001F686C">
        <w:t xml:space="preserve"> and can be hydrogenated </w:t>
      </w:r>
      <w:r w:rsidR="0054356D">
        <w:t xml:space="preserve">(HPS) </w:t>
      </w:r>
      <w:r w:rsidR="009026C4" w:rsidRPr="001F686C">
        <w:t>in order to increase its temperature value and enthalpy of fusion, as well as improve chemical stability</w:t>
      </w:r>
      <w:r w:rsidR="009026C4">
        <w:t xml:space="preserve"> </w:t>
      </w:r>
      <w:sdt>
        <w:sdtPr>
          <w:rPr>
            <w:color w:val="000000"/>
          </w:rPr>
          <w:tag w:val="MENDELEY_CITATION_v3_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"/>
          <w:id w:val="-1241862368"/>
          <w:placeholder>
            <w:docPart w:val="F6241A522C7A461FB4C2CF122224A108"/>
          </w:placeholder>
        </w:sdtPr>
        <w:sdtContent>
          <w:r w:rsidR="009026C4" w:rsidRPr="00355E35">
            <w:rPr>
              <w:color w:val="000000"/>
            </w:rPr>
            <w:t>(Patterson, 2011)</w:t>
          </w:r>
        </w:sdtContent>
      </w:sdt>
      <w:r w:rsidR="009026C4" w:rsidRPr="00E229F2">
        <w:t>.</w:t>
      </w:r>
      <w:r w:rsidR="009026C4">
        <w:t xml:space="preserve"> </w:t>
      </w:r>
      <w:r w:rsidR="0092513A" w:rsidRPr="00911703">
        <w:t xml:space="preserve">HPS is a renewable </w:t>
      </w:r>
      <w:r w:rsidR="0092513A">
        <w:t>PCM</w:t>
      </w:r>
      <w:r w:rsidR="0092513A" w:rsidRPr="00911703">
        <w:t xml:space="preserve"> of agro-industrial origin and whose production can take place on a large scale</w:t>
      </w:r>
      <w:r w:rsidR="00911703" w:rsidRPr="0092513A">
        <w:t xml:space="preserve">. </w:t>
      </w:r>
      <w:r w:rsidR="00862B79" w:rsidRPr="001E4081">
        <w:t>To the authors' knowledge, this is the first solar thermal energy harnessing system that uses hydrogenated palm stearin as PCM</w:t>
      </w:r>
      <w:r w:rsidR="001E4081" w:rsidRPr="00862B79">
        <w:t>.</w:t>
      </w:r>
    </w:p>
    <w:p w14:paraId="5741900F" w14:textId="76C3D410" w:rsidR="00453E24" w:rsidRDefault="00C90918" w:rsidP="00453E24">
      <w:pPr>
        <w:pStyle w:val="CETHeading1"/>
      </w:pPr>
      <w:r>
        <w:t>Methods</w:t>
      </w:r>
    </w:p>
    <w:p w14:paraId="09406386" w14:textId="2560EABB" w:rsidR="00453E24" w:rsidRDefault="00FF6B8A" w:rsidP="00453E24">
      <w:pPr>
        <w:pStyle w:val="CETBodytext"/>
      </w:pPr>
      <w:r w:rsidRPr="00FF6B8A">
        <w:t>A brief description of the device used and the method of calculating the heat exchanged is given below.</w:t>
      </w:r>
    </w:p>
    <w:p w14:paraId="0636B784" w14:textId="6A2C3792" w:rsidR="00453E24" w:rsidRDefault="009A05C0" w:rsidP="00453E24">
      <w:pPr>
        <w:pStyle w:val="CETheadingx"/>
      </w:pPr>
      <w:r>
        <w:t>Experimental set</w:t>
      </w:r>
      <w:r w:rsidR="007361DF">
        <w:t>up</w:t>
      </w:r>
    </w:p>
    <w:p w14:paraId="2F6D87A0" w14:textId="77AD3600" w:rsidR="002F4666" w:rsidRDefault="00500B64" w:rsidP="00453E24">
      <w:pPr>
        <w:pStyle w:val="CETBodytext"/>
      </w:pPr>
      <w:r w:rsidRPr="00500B64">
        <w:t xml:space="preserve">The heat storage tank consists of a rectangular stainless-steel vessel with internal dimensions of 0.76 m x 0.76 m x 1.2 m as shown in </w:t>
      </w:r>
      <w:r w:rsidR="00606D34" w:rsidRPr="00606D34">
        <w:fldChar w:fldCharType="begin"/>
      </w:r>
      <w:r w:rsidR="00606D34" w:rsidRPr="00606D34">
        <w:instrText xml:space="preserve"> REF _Ref156191257 \h  \* MERGEFORMAT </w:instrText>
      </w:r>
      <w:r w:rsidR="00606D34" w:rsidRPr="00606D34">
        <w:fldChar w:fldCharType="separate"/>
      </w:r>
      <w:r w:rsidR="00606D34" w:rsidRPr="00606D34">
        <w:t>Figure 1</w:t>
      </w:r>
      <w:r w:rsidR="00606D34" w:rsidRPr="00606D34">
        <w:fldChar w:fldCharType="end"/>
      </w:r>
      <w:r w:rsidRPr="00606D34">
        <w:t>.</w:t>
      </w:r>
      <w:r w:rsidRPr="00500B64">
        <w:t xml:space="preserve"> </w:t>
      </w:r>
      <w:r w:rsidR="00410F9B" w:rsidRPr="00BA675E">
        <w:t xml:space="preserve">Inside the storage tank, 27 temperature sensors were located inside the PCM, distributed in three groups of nine units, called sections A, B and C. </w:t>
      </w:r>
      <w:r w:rsidR="00BA675E" w:rsidRPr="00BA675E">
        <w:t xml:space="preserve">The sensors are distributed following the nine vertical guides shown in Figure 1, located at the bottom, middle, and top of the PCM. </w:t>
      </w:r>
      <w:r w:rsidRPr="00500B64">
        <w:t>Two coils, called the large coil and the small coil, made of copper and with a rectangular profile, were placed inside the tank. The total capacity of the tank is 5</w:t>
      </w:r>
      <w:r w:rsidR="00B347CA">
        <w:t>5</w:t>
      </w:r>
      <w:r w:rsidRPr="00500B64">
        <w:t>0 kg of hydrogenated palm stearin.</w:t>
      </w:r>
    </w:p>
    <w:p w14:paraId="06CB880A" w14:textId="77777777" w:rsidR="000C6077" w:rsidRDefault="002462A9" w:rsidP="000C6077">
      <w:pPr>
        <w:pStyle w:val="CETBodytext"/>
        <w:keepNext/>
      </w:pPr>
      <w:r w:rsidRPr="002462A9">
        <w:rPr>
          <w:noProof/>
        </w:rPr>
        <w:drawing>
          <wp:inline distT="0" distB="0" distL="0" distR="0" wp14:anchorId="4FDA11F1" wp14:editId="7BEF32C6">
            <wp:extent cx="2796782" cy="2110923"/>
            <wp:effectExtent l="0" t="0" r="3810" b="3810"/>
            <wp:docPr id="13687530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753067" name=""/>
                    <pic:cNvPicPr/>
                  </pic:nvPicPr>
                  <pic:blipFill>
                    <a:blip r:embed="rId10"/>
                    <a:stretch>
                      <a:fillRect/>
                    </a:stretch>
                  </pic:blipFill>
                  <pic:spPr>
                    <a:xfrm>
                      <a:off x="0" y="0"/>
                      <a:ext cx="2796782" cy="2110923"/>
                    </a:xfrm>
                    <a:prstGeom prst="rect">
                      <a:avLst/>
                    </a:prstGeom>
                  </pic:spPr>
                </pic:pic>
              </a:graphicData>
            </a:graphic>
          </wp:inline>
        </w:drawing>
      </w:r>
    </w:p>
    <w:p w14:paraId="419CDAC2" w14:textId="027DA1DE" w:rsidR="002F4666" w:rsidRPr="000C6077" w:rsidRDefault="000C6077" w:rsidP="000C6077">
      <w:pPr>
        <w:pStyle w:val="Descripcin"/>
        <w:rPr>
          <w:rStyle w:val="CETCaptionCarattere"/>
          <w:b w:val="0"/>
          <w:bCs w:val="0"/>
          <w:color w:val="auto"/>
        </w:rPr>
      </w:pPr>
      <w:bookmarkStart w:id="2" w:name="_Ref156191257"/>
      <w:r w:rsidRPr="000C6077">
        <w:rPr>
          <w:rStyle w:val="CETCaptionCarattere"/>
          <w:b w:val="0"/>
          <w:bCs w:val="0"/>
          <w:color w:val="auto"/>
        </w:rPr>
        <w:t xml:space="preserve">Figure </w:t>
      </w:r>
      <w:r w:rsidRPr="000C6077">
        <w:rPr>
          <w:rStyle w:val="CETCaptionCarattere"/>
          <w:b w:val="0"/>
          <w:bCs w:val="0"/>
          <w:color w:val="auto"/>
        </w:rPr>
        <w:fldChar w:fldCharType="begin"/>
      </w:r>
      <w:r w:rsidRPr="000C6077">
        <w:rPr>
          <w:rStyle w:val="CETCaptionCarattere"/>
          <w:b w:val="0"/>
          <w:bCs w:val="0"/>
          <w:color w:val="auto"/>
        </w:rPr>
        <w:instrText xml:space="preserve"> SEQ Figure \* ARABIC </w:instrText>
      </w:r>
      <w:r w:rsidRPr="000C6077">
        <w:rPr>
          <w:rStyle w:val="CETCaptionCarattere"/>
          <w:b w:val="0"/>
          <w:bCs w:val="0"/>
          <w:color w:val="auto"/>
        </w:rPr>
        <w:fldChar w:fldCharType="separate"/>
      </w:r>
      <w:r w:rsidRPr="000C6077">
        <w:rPr>
          <w:rStyle w:val="CETCaptionCarattere"/>
          <w:b w:val="0"/>
          <w:bCs w:val="0"/>
          <w:color w:val="auto"/>
        </w:rPr>
        <w:t>1</w:t>
      </w:r>
      <w:r w:rsidRPr="000C6077">
        <w:rPr>
          <w:rStyle w:val="CETCaptionCarattere"/>
          <w:b w:val="0"/>
          <w:bCs w:val="0"/>
          <w:color w:val="auto"/>
        </w:rPr>
        <w:fldChar w:fldCharType="end"/>
      </w:r>
      <w:bookmarkEnd w:id="2"/>
      <w:r w:rsidRPr="000C6077">
        <w:rPr>
          <w:rStyle w:val="CETCaptionCarattere"/>
          <w:b w:val="0"/>
          <w:bCs w:val="0"/>
          <w:color w:val="auto"/>
        </w:rPr>
        <w:t>: Schematic of the heat storage tank.</w:t>
      </w:r>
      <w:r w:rsidR="00C53811">
        <w:rPr>
          <w:rStyle w:val="CETCaptionCarattere"/>
          <w:b w:val="0"/>
          <w:bCs w:val="0"/>
          <w:color w:val="auto"/>
        </w:rPr>
        <w:t xml:space="preserve"> </w:t>
      </w:r>
      <w:r w:rsidR="00364810" w:rsidRPr="00364810">
        <w:rPr>
          <w:rStyle w:val="CETCaptionCarattere"/>
          <w:b w:val="0"/>
          <w:bCs w:val="0"/>
          <w:color w:val="auto"/>
        </w:rPr>
        <w:t>In sections A and C, only the large coil exchanges heat with the PCM.</w:t>
      </w:r>
    </w:p>
    <w:p w14:paraId="7C2B0064" w14:textId="7F111B9D" w:rsidR="00453E24" w:rsidRDefault="00453E24" w:rsidP="00453E24">
      <w:pPr>
        <w:pStyle w:val="CETBodytext"/>
      </w:pPr>
    </w:p>
    <w:p w14:paraId="48954491" w14:textId="7EACE468" w:rsidR="003B06A0" w:rsidRDefault="000311D8" w:rsidP="00453E24">
      <w:pPr>
        <w:pStyle w:val="CETBodytext"/>
      </w:pPr>
      <w:r w:rsidRPr="000311D8">
        <w:t>The solar radiation is captured by vacuum tubes. A total of 140 tubes were installed, separated into two circuits. The first group of 60 tubes is connected to the small coil, while the second group is connected to the large coil.</w:t>
      </w:r>
      <w:r w:rsidR="005021BD">
        <w:t xml:space="preserve"> </w:t>
      </w:r>
      <w:r w:rsidR="005021BD" w:rsidRPr="005021BD">
        <w:t>According to the manufacturer, the collectors have a solar radiation capture efficiency of 76%.</w:t>
      </w:r>
      <w:r w:rsidR="002C51C3" w:rsidRPr="005021BD">
        <w:t xml:space="preserve"> </w:t>
      </w:r>
      <w:r w:rsidR="002C51C3" w:rsidRPr="002C51C3">
        <w:t>During charging cycles, a hot water recirculation pump drives the water from the solar collectors to the storage tank in a closed circuit. During the discharge cycles, water is recirculated between the storage tank and radiators located inside a house. The start and end of each cycle is determined automatically depending on the availability of solar radiation and the need for heating during the night.</w:t>
      </w:r>
      <w:r w:rsidR="00386E0D">
        <w:t xml:space="preserve"> </w:t>
      </w:r>
      <w:r w:rsidR="007D5511">
        <w:t>The s</w:t>
      </w:r>
      <w:r w:rsidR="00386E0D" w:rsidRPr="00386E0D">
        <w:t xml:space="preserve">olar thermal energy storage system </w:t>
      </w:r>
      <w:r w:rsidR="007D5511">
        <w:t xml:space="preserve">is </w:t>
      </w:r>
      <w:r w:rsidR="00386E0D" w:rsidRPr="00386E0D">
        <w:t xml:space="preserve">located in a </w:t>
      </w:r>
      <w:r w:rsidR="00597A91">
        <w:t xml:space="preserve">rural house in a </w:t>
      </w:r>
      <w:r w:rsidR="00386E0D" w:rsidRPr="00386E0D">
        <w:t>Colombian paramo area with an altitude of 3,200 m.a.s.l.</w:t>
      </w:r>
    </w:p>
    <w:p w14:paraId="18BAFA6F" w14:textId="2362A402" w:rsidR="00453E24" w:rsidRPr="00B57B36" w:rsidRDefault="000D6050" w:rsidP="00453E24">
      <w:pPr>
        <w:pStyle w:val="CETheadingx"/>
      </w:pPr>
      <w:r w:rsidRPr="000D6050">
        <w:t xml:space="preserve">Calculation of </w:t>
      </w:r>
      <w:bookmarkStart w:id="3" w:name="_Hlk156170433"/>
      <w:r w:rsidRPr="000D6050">
        <w:t xml:space="preserve">energy stored and transferred by hydrogenated palm </w:t>
      </w:r>
      <w:proofErr w:type="gramStart"/>
      <w:r w:rsidRPr="000D6050">
        <w:t>stearin</w:t>
      </w:r>
      <w:bookmarkEnd w:id="3"/>
      <w:proofErr w:type="gramEnd"/>
    </w:p>
    <w:p w14:paraId="1E93C787" w14:textId="0F080474" w:rsidR="00840AA3" w:rsidRDefault="00203981" w:rsidP="00453E24">
      <w:pPr>
        <w:pStyle w:val="CETBodytext"/>
        <w:rPr>
          <w:lang w:val="en-GB"/>
        </w:rPr>
      </w:pPr>
      <w:r w:rsidRPr="00203981">
        <w:rPr>
          <w:lang w:val="en-GB"/>
        </w:rPr>
        <w:t>The energy absorbed and delivered by the hydrogenated palm stearin during the charging and discharging cycles was calculated from the sensible heat exchanged by the water, according to the following equation:</w:t>
      </w:r>
    </w:p>
    <w:tbl>
      <w:tblPr>
        <w:tblW w:w="5000" w:type="pct"/>
        <w:tblLook w:val="04A0" w:firstRow="1" w:lastRow="0" w:firstColumn="1" w:lastColumn="0" w:noHBand="0" w:noVBand="1"/>
      </w:tblPr>
      <w:tblGrid>
        <w:gridCol w:w="7983"/>
        <w:gridCol w:w="804"/>
      </w:tblGrid>
      <w:tr w:rsidR="00ED14C4" w:rsidRPr="00B57B36" w14:paraId="5AB82BBF" w14:textId="77777777" w:rsidTr="00176008">
        <w:tc>
          <w:tcPr>
            <w:tcW w:w="7983" w:type="dxa"/>
            <w:shd w:val="clear" w:color="auto" w:fill="auto"/>
            <w:vAlign w:val="center"/>
          </w:tcPr>
          <w:p w14:paraId="3785ACDB" w14:textId="71E0DDE4" w:rsidR="00ED14C4" w:rsidRPr="00604B23" w:rsidRDefault="001D6F71" w:rsidP="006B723E">
            <w:pPr>
              <w:pStyle w:val="CETEquation"/>
              <w:rPr>
                <w:lang w:val="es-CO"/>
              </w:rPr>
            </w:pPr>
            <m:oMathPara>
              <m:oMathParaPr>
                <m:jc m:val="left"/>
              </m:oMathParaPr>
              <m:oMath>
                <m:acc>
                  <m:accPr>
                    <m:chr m:val="̇"/>
                    <m:ctrlPr>
                      <w:rPr>
                        <w:rFonts w:ascii="Cambria Math" w:hAnsi="Cambria Math"/>
                        <w:i/>
                        <w:iCs/>
                      </w:rPr>
                    </m:ctrlPr>
                  </m:accPr>
                  <m:e>
                    <m:r>
                      <w:rPr>
                        <w:rFonts w:ascii="Cambria Math" w:hAnsi="Cambria Math"/>
                      </w:rPr>
                      <m:t>Q</m:t>
                    </m:r>
                  </m:e>
                </m:acc>
                <m:r>
                  <w:rPr>
                    <w:rFonts w:ascii="Cambria Math" w:hAnsi="Cambria Math"/>
                  </w:rPr>
                  <m:t>=</m:t>
                </m:r>
                <m:acc>
                  <m:accPr>
                    <m:chr m:val="̇"/>
                    <m:ctrlPr>
                      <w:rPr>
                        <w:rFonts w:ascii="Cambria Math" w:hAnsi="Cambria Math"/>
                        <w:i/>
                        <w:iCs/>
                      </w:rPr>
                    </m:ctrlPr>
                  </m:accPr>
                  <m:e>
                    <m:r>
                      <w:rPr>
                        <w:rFonts w:ascii="Cambria Math" w:hAnsi="Cambria Math"/>
                      </w:rPr>
                      <m:t>v</m:t>
                    </m:r>
                  </m:e>
                </m:acc>
                <m:sSub>
                  <m:sSubPr>
                    <m:ctrlPr>
                      <w:rPr>
                        <w:rFonts w:ascii="Cambria Math" w:hAnsi="Cambria Math"/>
                        <w:i/>
                        <w:iCs/>
                      </w:rPr>
                    </m:ctrlPr>
                  </m:sSubPr>
                  <m:e>
                    <m:r>
                      <w:rPr>
                        <w:rFonts w:ascii="Cambria Math" w:hAnsi="Cambria Math"/>
                      </w:rPr>
                      <m:t>⋅</m:t>
                    </m:r>
                    <m:r>
                      <w:rPr>
                        <w:rFonts w:ascii="Cambria Math" w:hAnsi="Cambria Math"/>
                        <w:lang w:val="el-GR"/>
                      </w:rPr>
                      <m:t>ρ</m:t>
                    </m:r>
                  </m:e>
                  <m:sub>
                    <m:r>
                      <w:rPr>
                        <w:rFonts w:ascii="Cambria Math" w:hAnsi="Cambria Math"/>
                      </w:rPr>
                      <m:t>(T)</m:t>
                    </m:r>
                  </m:sub>
                </m:sSub>
                <m:r>
                  <w:rPr>
                    <w:rFonts w:ascii="Cambria Math" w:hAnsi="Cambria Math"/>
                  </w:rPr>
                  <m:t>⋅C</m:t>
                </m:r>
                <m:r>
                  <w:rPr>
                    <w:rFonts w:ascii="Cambria Math" w:hAnsi="Cambria Math"/>
                    <w:vertAlign w:val="subscript"/>
                  </w:rPr>
                  <m:t>p(T)</m:t>
                </m:r>
                <m:r>
                  <w:rPr>
                    <w:rFonts w:ascii="Cambria Math" w:hAnsi="Cambria Math"/>
                  </w:rPr>
                  <m:t>⋅∆T</m:t>
                </m:r>
              </m:oMath>
            </m:oMathPara>
          </w:p>
        </w:tc>
        <w:tc>
          <w:tcPr>
            <w:tcW w:w="804" w:type="dxa"/>
            <w:shd w:val="clear" w:color="auto" w:fill="auto"/>
            <w:vAlign w:val="center"/>
          </w:tcPr>
          <w:p w14:paraId="1E45115F" w14:textId="77777777" w:rsidR="00ED14C4" w:rsidRPr="00B57B36" w:rsidRDefault="00ED14C4" w:rsidP="006B723E">
            <w:pPr>
              <w:pStyle w:val="CETEquation"/>
              <w:jc w:val="right"/>
            </w:pPr>
            <w:r w:rsidRPr="00B57B36">
              <w:t>(1)</w:t>
            </w:r>
          </w:p>
        </w:tc>
      </w:tr>
    </w:tbl>
    <w:p w14:paraId="5436D977" w14:textId="2E8F5C5C" w:rsidR="00453E24" w:rsidRPr="002116AC" w:rsidRDefault="00176008" w:rsidP="00453E24">
      <w:pPr>
        <w:pStyle w:val="CETBodytext"/>
      </w:pPr>
      <w:r w:rsidRPr="00176008">
        <w:t>W</w:t>
      </w:r>
      <m:oMath>
        <m:r>
          <m:rPr>
            <m:sty m:val="p"/>
          </m:rPr>
          <w:rPr>
            <w:rFonts w:ascii="Cambria Math" w:hAnsi="Cambria Math"/>
          </w:rPr>
          <m:t>here </m:t>
        </m:r>
        <m:acc>
          <m:accPr>
            <m:chr m:val="̇"/>
            <m:ctrlPr>
              <w:rPr>
                <w:rFonts w:ascii="Cambria Math" w:hAnsi="Cambria Math"/>
                <w:i/>
                <w:iCs/>
                <w:lang w:val="es-CO"/>
              </w:rPr>
            </m:ctrlPr>
          </m:accPr>
          <m:e>
            <m:r>
              <w:rPr>
                <w:rFonts w:ascii="Cambria Math" w:hAnsi="Cambria Math"/>
                <w:lang w:val="es-CO"/>
              </w:rPr>
              <m:t>v</m:t>
            </m:r>
          </m:e>
        </m:acc>
      </m:oMath>
      <w:r w:rsidRPr="00176008">
        <w:rPr>
          <w:i/>
          <w:iCs/>
        </w:rPr>
        <w:t xml:space="preserve"> </w:t>
      </w:r>
      <w:r w:rsidRPr="00176008">
        <w:t xml:space="preserve">represents the volumetric flow, </w:t>
      </w:r>
      <m:oMath>
        <m:sSub>
          <m:sSubPr>
            <m:ctrlPr>
              <w:rPr>
                <w:rFonts w:ascii="Cambria Math" w:hAnsi="Cambria Math"/>
                <w:i/>
                <w:iCs/>
                <w:lang w:val="es-CO"/>
              </w:rPr>
            </m:ctrlPr>
          </m:sSubPr>
          <m:e>
            <m:r>
              <w:rPr>
                <w:rFonts w:ascii="Cambria Math" w:hAnsi="Cambria Math"/>
                <w:lang w:val="el-GR"/>
              </w:rPr>
              <m:t>ρ</m:t>
            </m:r>
          </m:e>
          <m:sub>
            <m:r>
              <w:rPr>
                <w:rFonts w:ascii="Cambria Math" w:hAnsi="Cambria Math"/>
              </w:rPr>
              <m:t>(</m:t>
            </m:r>
            <m:r>
              <w:rPr>
                <w:rFonts w:ascii="Cambria Math" w:hAnsi="Cambria Math"/>
                <w:lang w:val="es-CO"/>
              </w:rPr>
              <m:t>T</m:t>
            </m:r>
            <m:r>
              <w:rPr>
                <w:rFonts w:ascii="Cambria Math" w:hAnsi="Cambria Math"/>
              </w:rPr>
              <m:t>)</m:t>
            </m:r>
          </m:sub>
        </m:sSub>
      </m:oMath>
      <w:r w:rsidRPr="00176008">
        <w:t xml:space="preserve"> the density, </w:t>
      </w:r>
      <w:r w:rsidRPr="00176008">
        <w:rPr>
          <w:i/>
          <w:iCs/>
        </w:rPr>
        <w:t>C</w:t>
      </w:r>
      <w:r w:rsidRPr="00176008">
        <w:rPr>
          <w:i/>
          <w:iCs/>
          <w:vertAlign w:val="subscript"/>
        </w:rPr>
        <w:t>p(T)</w:t>
      </w:r>
      <w:r w:rsidRPr="00176008">
        <w:rPr>
          <w:i/>
          <w:iCs/>
        </w:rPr>
        <w:t xml:space="preserve"> </w:t>
      </w:r>
      <w:r w:rsidRPr="00176008">
        <w:t xml:space="preserve">the heat capacity and </w:t>
      </w:r>
      <w:r w:rsidRPr="00176008">
        <w:rPr>
          <w:i/>
          <w:iCs/>
          <w:lang w:val="es-CO"/>
        </w:rPr>
        <w:t>Δ</w:t>
      </w:r>
      <w:r w:rsidRPr="00176008">
        <w:rPr>
          <w:i/>
          <w:iCs/>
        </w:rPr>
        <w:t>T</w:t>
      </w:r>
      <w:r w:rsidRPr="00176008">
        <w:t xml:space="preserve"> the temperature difference between the fluid inlet and outlet.</w:t>
      </w:r>
      <w:r w:rsidR="00F850F6">
        <w:t xml:space="preserve"> </w:t>
      </w:r>
      <w:r w:rsidR="00F850F6" w:rsidRPr="00F850F6">
        <w:t>The calculation was made for each coil, considering the flow rate and the recorded inlet and outlet water temperature.</w:t>
      </w:r>
      <w:r w:rsidR="005021BD">
        <w:t xml:space="preserve"> </w:t>
      </w:r>
      <w:r w:rsidR="002116AC" w:rsidRPr="002116AC">
        <w:t>The calculation of the heat exchanged by the heat transfer fluid makes it possible to establish the energy effectively used, implicitly considering the heat losses present.</w:t>
      </w:r>
    </w:p>
    <w:p w14:paraId="677EBFF0" w14:textId="29264C5A" w:rsidR="00600535" w:rsidRPr="00B57B36" w:rsidRDefault="00064590" w:rsidP="00600535">
      <w:pPr>
        <w:pStyle w:val="CETHeading1"/>
        <w:tabs>
          <w:tab w:val="clear" w:pos="360"/>
          <w:tab w:val="right" w:pos="7100"/>
        </w:tabs>
        <w:jc w:val="both"/>
        <w:rPr>
          <w:lang w:val="en-GB"/>
        </w:rPr>
      </w:pPr>
      <w:r>
        <w:rPr>
          <w:lang w:val="en-GB"/>
        </w:rPr>
        <w:t>R</w:t>
      </w:r>
      <w:r w:rsidR="008E3D07">
        <w:rPr>
          <w:lang w:val="en-GB"/>
        </w:rPr>
        <w:t>esults</w:t>
      </w:r>
    </w:p>
    <w:p w14:paraId="04963A06" w14:textId="7246E606" w:rsidR="00600535" w:rsidRPr="00B57B36" w:rsidRDefault="004F6954" w:rsidP="00FA5F5F">
      <w:pPr>
        <w:pStyle w:val="CETheadingx"/>
      </w:pPr>
      <w:r w:rsidRPr="004F6954">
        <w:t>Temperature profiles during charge and discharge cycles</w:t>
      </w:r>
    </w:p>
    <w:p w14:paraId="4AC90DFE" w14:textId="0435E8CF" w:rsidR="008B1E24" w:rsidRPr="00BC1209" w:rsidRDefault="00A820CE" w:rsidP="004F6954">
      <w:pPr>
        <w:pStyle w:val="CETBodytext"/>
      </w:pPr>
      <w:r w:rsidRPr="008117C8">
        <w:rPr>
          <w:lang w:val="en-GB"/>
        </w:rPr>
        <w:t>To</w:t>
      </w:r>
      <w:r w:rsidR="008117C8" w:rsidRPr="008117C8">
        <w:rPr>
          <w:lang w:val="en-GB"/>
        </w:rPr>
        <w:t xml:space="preserve"> determine the heat transferred to and from the heat transfer fluid it is necessary to identify the start and end time of the charging and discharging cycles. </w:t>
      </w:r>
      <w:r w:rsidR="006C2AC6">
        <w:rPr>
          <w:lang w:val="en-GB"/>
        </w:rPr>
        <w:fldChar w:fldCharType="begin"/>
      </w:r>
      <w:r w:rsidR="006C2AC6">
        <w:rPr>
          <w:lang w:val="en-GB"/>
        </w:rPr>
        <w:instrText xml:space="preserve"> REF _Ref156194277 \h </w:instrText>
      </w:r>
      <w:r w:rsidR="006C2AC6">
        <w:rPr>
          <w:lang w:val="en-GB"/>
        </w:rPr>
      </w:r>
      <w:r w:rsidR="006C2AC6">
        <w:rPr>
          <w:lang w:val="en-GB"/>
        </w:rPr>
        <w:fldChar w:fldCharType="separate"/>
      </w:r>
      <w:r w:rsidR="006C2AC6" w:rsidRPr="00FC2E68">
        <w:t xml:space="preserve">Table </w:t>
      </w:r>
      <w:r w:rsidR="006C2AC6">
        <w:rPr>
          <w:noProof/>
        </w:rPr>
        <w:t>1</w:t>
      </w:r>
      <w:r w:rsidR="006C2AC6">
        <w:rPr>
          <w:lang w:val="en-GB"/>
        </w:rPr>
        <w:fldChar w:fldCharType="end"/>
      </w:r>
      <w:r w:rsidR="006C2AC6">
        <w:rPr>
          <w:lang w:val="en-GB"/>
        </w:rPr>
        <w:t xml:space="preserve"> </w:t>
      </w:r>
      <w:r w:rsidR="008117C8" w:rsidRPr="008117C8">
        <w:rPr>
          <w:lang w:val="en-GB"/>
        </w:rPr>
        <w:t>shows the start and end time of each cycle a</w:t>
      </w:r>
      <w:r>
        <w:rPr>
          <w:lang w:val="en-GB"/>
        </w:rPr>
        <w:t>nd</w:t>
      </w:r>
      <w:r w:rsidR="008117C8" w:rsidRPr="008117C8">
        <w:rPr>
          <w:lang w:val="en-GB"/>
        </w:rPr>
        <w:t xml:space="preserve"> its duration.</w:t>
      </w:r>
      <w:r w:rsidR="00895B34">
        <w:rPr>
          <w:lang w:val="en-GB"/>
        </w:rPr>
        <w:t xml:space="preserve"> </w:t>
      </w:r>
      <w:r w:rsidR="00895B34" w:rsidRPr="00895B34">
        <w:rPr>
          <w:lang w:val="en-GB"/>
        </w:rPr>
        <w:t>Both the start and end times of each cycle were very similar during the two tests with durations of approximately 7 hours for the heat charging cycles and 8 hours for the discharge cycles.</w:t>
      </w:r>
      <w:r w:rsidR="00F24E93">
        <w:rPr>
          <w:lang w:val="en-GB"/>
        </w:rPr>
        <w:t xml:space="preserve"> </w:t>
      </w:r>
      <w:r w:rsidR="00BC1209" w:rsidRPr="00BD7AEF">
        <w:t>The selected days correspond to an example of operation during the beginning of the cold season. Although there is no winter period in the area where the system was located, every year, from the end of November to mid-January, the lowest temperatures of the year are recorded.</w:t>
      </w:r>
    </w:p>
    <w:p w14:paraId="5506C548" w14:textId="73B9DAF4" w:rsidR="00FC2E68" w:rsidRPr="00FC2E68" w:rsidRDefault="00FC2E68" w:rsidP="007E2787">
      <w:pPr>
        <w:pStyle w:val="CETTabletitle"/>
      </w:pPr>
      <w:bookmarkStart w:id="4" w:name="_Ref156194277"/>
      <w:r w:rsidRPr="00FC2E68">
        <w:t xml:space="preserve">Table </w:t>
      </w:r>
      <w:r w:rsidRPr="00FC2E68">
        <w:fldChar w:fldCharType="begin"/>
      </w:r>
      <w:r w:rsidRPr="00FC2E68">
        <w:instrText xml:space="preserve"> SEQ Table \* ARABIC </w:instrText>
      </w:r>
      <w:r w:rsidRPr="00FC2E68">
        <w:fldChar w:fldCharType="separate"/>
      </w:r>
      <w:r w:rsidR="002F1BCB">
        <w:rPr>
          <w:noProof/>
        </w:rPr>
        <w:t>1</w:t>
      </w:r>
      <w:r w:rsidRPr="00FC2E68">
        <w:fldChar w:fldCharType="end"/>
      </w:r>
      <w:bookmarkEnd w:id="4"/>
      <w:r w:rsidRPr="00FC2E68">
        <w:t xml:space="preserve"> </w:t>
      </w:r>
      <w:r w:rsidR="00147B65">
        <w:t>Starting</w:t>
      </w:r>
      <w:r w:rsidR="004E4771">
        <w:t xml:space="preserve"> date</w:t>
      </w:r>
      <w:r w:rsidR="00147B65">
        <w:t>, end da</w:t>
      </w:r>
      <w:r w:rsidR="004E4771">
        <w:t>te and d</w:t>
      </w:r>
      <w:r w:rsidRPr="00FC2E68">
        <w:t>uration of two charge/discharge cycles of hydrogenated palm stearin.</w:t>
      </w:r>
    </w:p>
    <w:tbl>
      <w:tblPr>
        <w:tblpPr w:leftFromText="141" w:rightFromText="141" w:vertAnchor="text" w:horzAnchor="margin" w:tblpY="161"/>
        <w:tblW w:w="6804"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701"/>
        <w:gridCol w:w="1701"/>
        <w:gridCol w:w="1701"/>
        <w:gridCol w:w="1701"/>
      </w:tblGrid>
      <w:tr w:rsidR="002042F6" w:rsidRPr="00B57B36" w14:paraId="224691D2" w14:textId="77777777" w:rsidTr="00634F4B">
        <w:tc>
          <w:tcPr>
            <w:tcW w:w="1701" w:type="dxa"/>
            <w:tcBorders>
              <w:top w:val="single" w:sz="12" w:space="0" w:color="008000"/>
              <w:bottom w:val="single" w:sz="6" w:space="0" w:color="008000"/>
            </w:tcBorders>
            <w:shd w:val="clear" w:color="auto" w:fill="FFFFFF"/>
            <w:vAlign w:val="center"/>
          </w:tcPr>
          <w:p w14:paraId="6282158A" w14:textId="77777777" w:rsidR="002042F6" w:rsidRPr="00B57B36" w:rsidRDefault="002042F6" w:rsidP="00634F4B">
            <w:pPr>
              <w:pStyle w:val="CETBodytext"/>
              <w:jc w:val="center"/>
              <w:rPr>
                <w:lang w:val="en-GB"/>
              </w:rPr>
            </w:pPr>
            <w:bookmarkStart w:id="5" w:name="_Hlk156173068"/>
            <w:r>
              <w:rPr>
                <w:lang w:val="en-GB"/>
              </w:rPr>
              <w:t>C</w:t>
            </w:r>
            <w:r w:rsidRPr="004B0C65">
              <w:rPr>
                <w:lang w:val="en-GB"/>
              </w:rPr>
              <w:t>ycle type</w:t>
            </w:r>
          </w:p>
        </w:tc>
        <w:tc>
          <w:tcPr>
            <w:tcW w:w="1701" w:type="dxa"/>
            <w:tcBorders>
              <w:top w:val="single" w:sz="12" w:space="0" w:color="008000"/>
              <w:bottom w:val="single" w:sz="6" w:space="0" w:color="008000"/>
            </w:tcBorders>
            <w:shd w:val="clear" w:color="auto" w:fill="FFFFFF"/>
            <w:vAlign w:val="center"/>
          </w:tcPr>
          <w:p w14:paraId="33814598" w14:textId="77777777" w:rsidR="002042F6" w:rsidRDefault="002042F6" w:rsidP="00634F4B">
            <w:pPr>
              <w:pStyle w:val="CETBodytext"/>
              <w:jc w:val="center"/>
              <w:rPr>
                <w:lang w:val="en-GB"/>
              </w:rPr>
            </w:pPr>
            <w:r>
              <w:rPr>
                <w:lang w:val="en-GB"/>
              </w:rPr>
              <w:t>Start date</w:t>
            </w:r>
          </w:p>
          <w:p w14:paraId="0157B8BB" w14:textId="77777777" w:rsidR="002042F6" w:rsidRPr="00B57B36" w:rsidRDefault="002042F6" w:rsidP="00634F4B">
            <w:pPr>
              <w:pStyle w:val="CETBodytext"/>
              <w:jc w:val="center"/>
              <w:rPr>
                <w:lang w:val="en-GB"/>
              </w:rPr>
            </w:pPr>
            <w:r>
              <w:rPr>
                <w:lang w:val="en-GB"/>
              </w:rPr>
              <w:t xml:space="preserve">(y/m/d </w:t>
            </w:r>
            <w:proofErr w:type="gramStart"/>
            <w:r>
              <w:rPr>
                <w:lang w:val="en-GB"/>
              </w:rPr>
              <w:t>h:min</w:t>
            </w:r>
            <w:proofErr w:type="gramEnd"/>
            <w:r>
              <w:rPr>
                <w:lang w:val="en-GB"/>
              </w:rPr>
              <w:t>)</w:t>
            </w:r>
          </w:p>
        </w:tc>
        <w:tc>
          <w:tcPr>
            <w:tcW w:w="1701" w:type="dxa"/>
            <w:tcBorders>
              <w:top w:val="single" w:sz="12" w:space="0" w:color="008000"/>
              <w:bottom w:val="single" w:sz="6" w:space="0" w:color="008000"/>
            </w:tcBorders>
            <w:shd w:val="clear" w:color="auto" w:fill="FFFFFF"/>
            <w:vAlign w:val="center"/>
          </w:tcPr>
          <w:p w14:paraId="1D568F9D" w14:textId="77777777" w:rsidR="002042F6" w:rsidRDefault="002042F6" w:rsidP="00634F4B">
            <w:pPr>
              <w:pStyle w:val="CETBodytext"/>
              <w:jc w:val="center"/>
              <w:rPr>
                <w:lang w:val="en-GB"/>
              </w:rPr>
            </w:pPr>
            <w:r>
              <w:rPr>
                <w:lang w:val="en-GB"/>
              </w:rPr>
              <w:t>End Date</w:t>
            </w:r>
          </w:p>
          <w:p w14:paraId="1CD03DED" w14:textId="77777777" w:rsidR="002042F6" w:rsidRPr="00B57B36" w:rsidRDefault="002042F6" w:rsidP="00634F4B">
            <w:pPr>
              <w:pStyle w:val="CETBodytext"/>
              <w:jc w:val="center"/>
              <w:rPr>
                <w:lang w:val="en-GB"/>
              </w:rPr>
            </w:pPr>
            <w:r>
              <w:rPr>
                <w:lang w:val="en-GB"/>
              </w:rPr>
              <w:t xml:space="preserve">(y/m/d </w:t>
            </w:r>
            <w:proofErr w:type="gramStart"/>
            <w:r>
              <w:rPr>
                <w:lang w:val="en-GB"/>
              </w:rPr>
              <w:t>h:min</w:t>
            </w:r>
            <w:proofErr w:type="gramEnd"/>
            <w:r>
              <w:rPr>
                <w:lang w:val="en-GB"/>
              </w:rPr>
              <w:t>)</w:t>
            </w:r>
          </w:p>
        </w:tc>
        <w:tc>
          <w:tcPr>
            <w:tcW w:w="1701" w:type="dxa"/>
            <w:tcBorders>
              <w:top w:val="single" w:sz="12" w:space="0" w:color="008000"/>
              <w:bottom w:val="single" w:sz="6" w:space="0" w:color="008000"/>
            </w:tcBorders>
            <w:shd w:val="clear" w:color="auto" w:fill="FFFFFF"/>
            <w:vAlign w:val="center"/>
          </w:tcPr>
          <w:p w14:paraId="7BE45B70" w14:textId="77777777" w:rsidR="002042F6" w:rsidRDefault="002042F6" w:rsidP="00634F4B">
            <w:pPr>
              <w:pStyle w:val="CETBodytext"/>
              <w:ind w:right="-1"/>
              <w:jc w:val="center"/>
              <w:rPr>
                <w:rFonts w:cs="Arial"/>
                <w:szCs w:val="18"/>
                <w:lang w:val="en-GB"/>
              </w:rPr>
            </w:pPr>
            <w:r>
              <w:rPr>
                <w:rFonts w:cs="Arial"/>
                <w:szCs w:val="18"/>
                <w:lang w:val="en-GB"/>
              </w:rPr>
              <w:t>Duration</w:t>
            </w:r>
          </w:p>
          <w:p w14:paraId="0294D1F0" w14:textId="77777777" w:rsidR="002042F6" w:rsidRPr="00B57B36" w:rsidRDefault="002042F6" w:rsidP="00634F4B">
            <w:pPr>
              <w:pStyle w:val="CETBodytext"/>
              <w:ind w:right="-1"/>
              <w:jc w:val="center"/>
              <w:rPr>
                <w:rFonts w:cs="Arial"/>
                <w:szCs w:val="18"/>
                <w:lang w:val="en-GB"/>
              </w:rPr>
            </w:pPr>
            <w:r>
              <w:rPr>
                <w:rFonts w:cs="Arial"/>
                <w:szCs w:val="18"/>
                <w:lang w:val="en-GB"/>
              </w:rPr>
              <w:t>(</w:t>
            </w:r>
            <w:proofErr w:type="spellStart"/>
            <w:proofErr w:type="gramStart"/>
            <w:r>
              <w:rPr>
                <w:rFonts w:cs="Arial"/>
                <w:szCs w:val="18"/>
                <w:lang w:val="en-GB"/>
              </w:rPr>
              <w:t>h:min</w:t>
            </w:r>
            <w:proofErr w:type="spellEnd"/>
            <w:proofErr w:type="gramEnd"/>
            <w:r>
              <w:rPr>
                <w:rFonts w:cs="Arial"/>
                <w:szCs w:val="18"/>
                <w:lang w:val="en-GB"/>
              </w:rPr>
              <w:t>)</w:t>
            </w:r>
          </w:p>
        </w:tc>
      </w:tr>
      <w:tr w:rsidR="002042F6" w:rsidRPr="00B57B36" w14:paraId="14FF00F0" w14:textId="77777777" w:rsidTr="00634F4B">
        <w:tc>
          <w:tcPr>
            <w:tcW w:w="1701" w:type="dxa"/>
            <w:shd w:val="clear" w:color="auto" w:fill="FFFFFF"/>
          </w:tcPr>
          <w:p w14:paraId="0854F086" w14:textId="77777777" w:rsidR="002042F6" w:rsidRPr="00B57B36" w:rsidRDefault="002042F6" w:rsidP="00634F4B">
            <w:pPr>
              <w:pStyle w:val="CETBodytext"/>
              <w:rPr>
                <w:lang w:val="en-GB"/>
              </w:rPr>
            </w:pPr>
            <w:r>
              <w:rPr>
                <w:lang w:val="en-GB"/>
              </w:rPr>
              <w:t>Charge</w:t>
            </w:r>
          </w:p>
        </w:tc>
        <w:tc>
          <w:tcPr>
            <w:tcW w:w="1701" w:type="dxa"/>
            <w:shd w:val="clear" w:color="auto" w:fill="FFFFFF"/>
            <w:vAlign w:val="center"/>
          </w:tcPr>
          <w:p w14:paraId="3D9BF6E2" w14:textId="77777777" w:rsidR="002042F6" w:rsidRPr="00B57B36" w:rsidRDefault="002042F6" w:rsidP="00634F4B">
            <w:pPr>
              <w:pStyle w:val="CETBodytext"/>
              <w:jc w:val="center"/>
              <w:rPr>
                <w:lang w:val="en-GB"/>
              </w:rPr>
            </w:pPr>
            <w:r>
              <w:rPr>
                <w:lang w:val="en-GB"/>
              </w:rPr>
              <w:t>2023/12/11 9:22</w:t>
            </w:r>
          </w:p>
        </w:tc>
        <w:tc>
          <w:tcPr>
            <w:tcW w:w="1701" w:type="dxa"/>
            <w:shd w:val="clear" w:color="auto" w:fill="FFFFFF"/>
            <w:vAlign w:val="center"/>
          </w:tcPr>
          <w:p w14:paraId="235B0A67" w14:textId="77777777" w:rsidR="002042F6" w:rsidRPr="00B57B36" w:rsidRDefault="002042F6" w:rsidP="00634F4B">
            <w:pPr>
              <w:pStyle w:val="CETBodytext"/>
              <w:jc w:val="center"/>
              <w:rPr>
                <w:lang w:val="en-GB"/>
              </w:rPr>
            </w:pPr>
            <w:r>
              <w:rPr>
                <w:lang w:val="en-GB"/>
              </w:rPr>
              <w:t>2023/12/11 16:07</w:t>
            </w:r>
          </w:p>
        </w:tc>
        <w:tc>
          <w:tcPr>
            <w:tcW w:w="1701" w:type="dxa"/>
            <w:shd w:val="clear" w:color="auto" w:fill="FFFFFF"/>
            <w:vAlign w:val="center"/>
          </w:tcPr>
          <w:p w14:paraId="76AAE423" w14:textId="77777777" w:rsidR="002042F6" w:rsidRPr="00B57B36" w:rsidRDefault="002042F6" w:rsidP="00634F4B">
            <w:pPr>
              <w:pStyle w:val="CETBodytext"/>
              <w:ind w:right="-1"/>
              <w:jc w:val="center"/>
              <w:rPr>
                <w:rFonts w:cs="Arial"/>
                <w:szCs w:val="18"/>
                <w:lang w:val="en-GB"/>
              </w:rPr>
            </w:pPr>
            <w:r>
              <w:rPr>
                <w:rFonts w:cs="Arial"/>
                <w:szCs w:val="18"/>
                <w:lang w:val="en-GB"/>
              </w:rPr>
              <w:t>6:45</w:t>
            </w:r>
          </w:p>
        </w:tc>
      </w:tr>
      <w:tr w:rsidR="002042F6" w:rsidRPr="00B57B36" w14:paraId="4CE40A55" w14:textId="77777777" w:rsidTr="00634F4B">
        <w:tc>
          <w:tcPr>
            <w:tcW w:w="1701" w:type="dxa"/>
            <w:shd w:val="clear" w:color="auto" w:fill="FFFFFF"/>
          </w:tcPr>
          <w:p w14:paraId="15D3B229" w14:textId="77777777" w:rsidR="002042F6" w:rsidRPr="00B57B36" w:rsidRDefault="002042F6" w:rsidP="00634F4B">
            <w:pPr>
              <w:pStyle w:val="CETBodytext"/>
              <w:ind w:right="-1"/>
              <w:rPr>
                <w:rFonts w:cs="Arial"/>
                <w:szCs w:val="18"/>
                <w:lang w:val="en-GB"/>
              </w:rPr>
            </w:pPr>
            <w:r>
              <w:rPr>
                <w:rFonts w:cs="Arial"/>
                <w:szCs w:val="18"/>
                <w:lang w:val="en-GB"/>
              </w:rPr>
              <w:t>Discharge</w:t>
            </w:r>
          </w:p>
        </w:tc>
        <w:tc>
          <w:tcPr>
            <w:tcW w:w="1701" w:type="dxa"/>
            <w:shd w:val="clear" w:color="auto" w:fill="FFFFFF"/>
            <w:vAlign w:val="center"/>
          </w:tcPr>
          <w:p w14:paraId="7566807E" w14:textId="77777777" w:rsidR="002042F6" w:rsidRPr="00B57B36" w:rsidRDefault="002042F6" w:rsidP="00634F4B">
            <w:pPr>
              <w:pStyle w:val="CETBodytext"/>
              <w:ind w:right="-1"/>
              <w:jc w:val="center"/>
              <w:rPr>
                <w:rFonts w:cs="Arial"/>
                <w:szCs w:val="18"/>
                <w:lang w:val="en-GB"/>
              </w:rPr>
            </w:pPr>
            <w:r>
              <w:rPr>
                <w:lang w:val="en-GB"/>
              </w:rPr>
              <w:t>2023/12/11 22:27</w:t>
            </w:r>
          </w:p>
        </w:tc>
        <w:tc>
          <w:tcPr>
            <w:tcW w:w="1701" w:type="dxa"/>
            <w:shd w:val="clear" w:color="auto" w:fill="FFFFFF"/>
            <w:vAlign w:val="center"/>
          </w:tcPr>
          <w:p w14:paraId="785C6B6A" w14:textId="77777777" w:rsidR="002042F6" w:rsidRPr="00B57B36" w:rsidRDefault="002042F6" w:rsidP="00634F4B">
            <w:pPr>
              <w:pStyle w:val="CETBodytext"/>
              <w:ind w:right="-1"/>
              <w:jc w:val="center"/>
              <w:rPr>
                <w:rFonts w:cs="Arial"/>
                <w:szCs w:val="18"/>
                <w:lang w:val="en-GB"/>
              </w:rPr>
            </w:pPr>
            <w:r w:rsidRPr="00B03471">
              <w:rPr>
                <w:rFonts w:cs="Arial"/>
                <w:szCs w:val="18"/>
                <w:lang w:val="en-GB"/>
              </w:rPr>
              <w:t>2023/12/1</w:t>
            </w:r>
            <w:r>
              <w:rPr>
                <w:rFonts w:cs="Arial"/>
                <w:szCs w:val="18"/>
                <w:lang w:val="en-GB"/>
              </w:rPr>
              <w:t>2</w:t>
            </w:r>
            <w:r w:rsidRPr="00B03471">
              <w:rPr>
                <w:rFonts w:cs="Arial"/>
                <w:szCs w:val="18"/>
                <w:lang w:val="en-GB"/>
              </w:rPr>
              <w:t xml:space="preserve"> 6:</w:t>
            </w:r>
            <w:r>
              <w:rPr>
                <w:rFonts w:cs="Arial"/>
                <w:szCs w:val="18"/>
                <w:lang w:val="en-GB"/>
              </w:rPr>
              <w:t>42</w:t>
            </w:r>
          </w:p>
        </w:tc>
        <w:tc>
          <w:tcPr>
            <w:tcW w:w="1701" w:type="dxa"/>
            <w:shd w:val="clear" w:color="auto" w:fill="FFFFFF"/>
            <w:vAlign w:val="center"/>
          </w:tcPr>
          <w:p w14:paraId="0C91B547" w14:textId="77777777" w:rsidR="002042F6" w:rsidRPr="00B57B36" w:rsidRDefault="002042F6" w:rsidP="00634F4B">
            <w:pPr>
              <w:pStyle w:val="CETBodytext"/>
              <w:ind w:right="-1"/>
              <w:jc w:val="center"/>
              <w:rPr>
                <w:rFonts w:cs="Arial"/>
                <w:szCs w:val="18"/>
                <w:lang w:val="en-GB"/>
              </w:rPr>
            </w:pPr>
            <w:r>
              <w:rPr>
                <w:rFonts w:cs="Arial"/>
                <w:szCs w:val="18"/>
                <w:lang w:val="en-GB"/>
              </w:rPr>
              <w:t>8:15</w:t>
            </w:r>
          </w:p>
        </w:tc>
      </w:tr>
      <w:tr w:rsidR="002042F6" w:rsidRPr="00B57B36" w14:paraId="77F83C06" w14:textId="77777777" w:rsidTr="00634F4B">
        <w:tc>
          <w:tcPr>
            <w:tcW w:w="1701" w:type="dxa"/>
            <w:shd w:val="clear" w:color="auto" w:fill="FFFFFF"/>
          </w:tcPr>
          <w:p w14:paraId="636D38CB" w14:textId="77777777" w:rsidR="002042F6" w:rsidRPr="00B57B36" w:rsidRDefault="002042F6" w:rsidP="00634F4B">
            <w:pPr>
              <w:pStyle w:val="CETBodytext"/>
              <w:ind w:right="-1"/>
              <w:rPr>
                <w:rFonts w:cs="Arial"/>
                <w:szCs w:val="18"/>
                <w:lang w:val="en-GB"/>
              </w:rPr>
            </w:pPr>
            <w:r>
              <w:rPr>
                <w:rFonts w:cs="Arial"/>
                <w:szCs w:val="18"/>
                <w:lang w:val="en-GB"/>
              </w:rPr>
              <w:t>Charge</w:t>
            </w:r>
          </w:p>
        </w:tc>
        <w:tc>
          <w:tcPr>
            <w:tcW w:w="1701" w:type="dxa"/>
            <w:shd w:val="clear" w:color="auto" w:fill="FFFFFF"/>
            <w:vAlign w:val="center"/>
          </w:tcPr>
          <w:p w14:paraId="70289C62" w14:textId="77777777" w:rsidR="002042F6" w:rsidRPr="00B57B36" w:rsidRDefault="002042F6" w:rsidP="00634F4B">
            <w:pPr>
              <w:pStyle w:val="CETBodytext"/>
              <w:ind w:right="-1"/>
              <w:jc w:val="center"/>
              <w:rPr>
                <w:rFonts w:cs="Arial"/>
                <w:szCs w:val="18"/>
                <w:lang w:val="en-GB"/>
              </w:rPr>
            </w:pPr>
            <w:r w:rsidRPr="00B03471">
              <w:rPr>
                <w:rFonts w:cs="Arial"/>
                <w:szCs w:val="18"/>
                <w:lang w:val="en-GB"/>
              </w:rPr>
              <w:t>2023/12/1</w:t>
            </w:r>
            <w:r>
              <w:rPr>
                <w:rFonts w:cs="Arial"/>
                <w:szCs w:val="18"/>
                <w:lang w:val="en-GB"/>
              </w:rPr>
              <w:t>2</w:t>
            </w:r>
            <w:r w:rsidRPr="00B03471">
              <w:rPr>
                <w:rFonts w:cs="Arial"/>
                <w:szCs w:val="18"/>
                <w:lang w:val="en-GB"/>
              </w:rPr>
              <w:t xml:space="preserve"> </w:t>
            </w:r>
            <w:r>
              <w:rPr>
                <w:rFonts w:cs="Arial"/>
                <w:szCs w:val="18"/>
                <w:lang w:val="en-GB"/>
              </w:rPr>
              <w:t>9</w:t>
            </w:r>
            <w:r w:rsidRPr="00B03471">
              <w:rPr>
                <w:rFonts w:cs="Arial"/>
                <w:szCs w:val="18"/>
                <w:lang w:val="en-GB"/>
              </w:rPr>
              <w:t>:</w:t>
            </w:r>
            <w:r>
              <w:rPr>
                <w:rFonts w:cs="Arial"/>
                <w:szCs w:val="18"/>
                <w:lang w:val="en-GB"/>
              </w:rPr>
              <w:t>16</w:t>
            </w:r>
          </w:p>
        </w:tc>
        <w:tc>
          <w:tcPr>
            <w:tcW w:w="1701" w:type="dxa"/>
            <w:shd w:val="clear" w:color="auto" w:fill="FFFFFF"/>
            <w:vAlign w:val="center"/>
          </w:tcPr>
          <w:p w14:paraId="6104573B" w14:textId="77777777" w:rsidR="002042F6" w:rsidRPr="00B57B36" w:rsidRDefault="002042F6" w:rsidP="00634F4B">
            <w:pPr>
              <w:pStyle w:val="CETBodytext"/>
              <w:ind w:right="-1"/>
              <w:jc w:val="center"/>
              <w:rPr>
                <w:rFonts w:cs="Arial"/>
                <w:szCs w:val="18"/>
                <w:lang w:val="en-GB"/>
              </w:rPr>
            </w:pPr>
            <w:r w:rsidRPr="00B03471">
              <w:rPr>
                <w:rFonts w:cs="Arial"/>
                <w:szCs w:val="18"/>
                <w:lang w:val="en-GB"/>
              </w:rPr>
              <w:t>2023/12/1</w:t>
            </w:r>
            <w:r>
              <w:rPr>
                <w:rFonts w:cs="Arial"/>
                <w:szCs w:val="18"/>
                <w:lang w:val="en-GB"/>
              </w:rPr>
              <w:t>2</w:t>
            </w:r>
            <w:r w:rsidRPr="00B03471">
              <w:rPr>
                <w:rFonts w:cs="Arial"/>
                <w:szCs w:val="18"/>
                <w:lang w:val="en-GB"/>
              </w:rPr>
              <w:t xml:space="preserve"> </w:t>
            </w:r>
            <w:r>
              <w:rPr>
                <w:rFonts w:cs="Arial"/>
                <w:szCs w:val="18"/>
                <w:lang w:val="en-GB"/>
              </w:rPr>
              <w:t>1</w:t>
            </w:r>
            <w:r w:rsidRPr="00B03471">
              <w:rPr>
                <w:rFonts w:cs="Arial"/>
                <w:szCs w:val="18"/>
                <w:lang w:val="en-GB"/>
              </w:rPr>
              <w:t>6:</w:t>
            </w:r>
            <w:r>
              <w:rPr>
                <w:rFonts w:cs="Arial"/>
                <w:szCs w:val="18"/>
                <w:lang w:val="en-GB"/>
              </w:rPr>
              <w:t>15</w:t>
            </w:r>
          </w:p>
        </w:tc>
        <w:tc>
          <w:tcPr>
            <w:tcW w:w="1701" w:type="dxa"/>
            <w:shd w:val="clear" w:color="auto" w:fill="FFFFFF"/>
            <w:vAlign w:val="center"/>
          </w:tcPr>
          <w:p w14:paraId="7E93678B" w14:textId="77777777" w:rsidR="002042F6" w:rsidRPr="00B57B36" w:rsidRDefault="002042F6" w:rsidP="00634F4B">
            <w:pPr>
              <w:pStyle w:val="CETBodytext"/>
              <w:ind w:right="-1"/>
              <w:jc w:val="center"/>
              <w:rPr>
                <w:rFonts w:cs="Arial"/>
                <w:szCs w:val="18"/>
                <w:lang w:val="en-GB"/>
              </w:rPr>
            </w:pPr>
            <w:r>
              <w:rPr>
                <w:rFonts w:cs="Arial"/>
                <w:szCs w:val="18"/>
                <w:lang w:val="en-GB"/>
              </w:rPr>
              <w:t>6:59</w:t>
            </w:r>
          </w:p>
        </w:tc>
      </w:tr>
      <w:tr w:rsidR="002042F6" w:rsidRPr="00B57B36" w14:paraId="309B923F" w14:textId="77777777" w:rsidTr="00634F4B">
        <w:tc>
          <w:tcPr>
            <w:tcW w:w="1701" w:type="dxa"/>
            <w:shd w:val="clear" w:color="auto" w:fill="FFFFFF"/>
          </w:tcPr>
          <w:p w14:paraId="0923AE31" w14:textId="77777777" w:rsidR="002042F6" w:rsidRPr="00B57B36" w:rsidRDefault="002042F6" w:rsidP="00634F4B">
            <w:pPr>
              <w:pStyle w:val="CETBodytext"/>
              <w:ind w:right="-1"/>
              <w:rPr>
                <w:rFonts w:cs="Arial"/>
                <w:szCs w:val="18"/>
                <w:lang w:val="en-GB"/>
              </w:rPr>
            </w:pPr>
            <w:r>
              <w:rPr>
                <w:rFonts w:cs="Arial"/>
                <w:szCs w:val="18"/>
                <w:lang w:val="en-GB"/>
              </w:rPr>
              <w:t>Discharge</w:t>
            </w:r>
          </w:p>
        </w:tc>
        <w:tc>
          <w:tcPr>
            <w:tcW w:w="1701" w:type="dxa"/>
            <w:shd w:val="clear" w:color="auto" w:fill="FFFFFF"/>
            <w:vAlign w:val="center"/>
          </w:tcPr>
          <w:p w14:paraId="38DE3297" w14:textId="77777777" w:rsidR="002042F6" w:rsidRPr="00B57B36" w:rsidRDefault="002042F6" w:rsidP="00634F4B">
            <w:pPr>
              <w:pStyle w:val="CETBodytext"/>
              <w:ind w:right="-1"/>
              <w:jc w:val="center"/>
              <w:rPr>
                <w:rFonts w:cs="Arial"/>
                <w:szCs w:val="18"/>
                <w:lang w:val="en-GB"/>
              </w:rPr>
            </w:pPr>
            <w:r w:rsidRPr="00B03471">
              <w:rPr>
                <w:rFonts w:cs="Arial"/>
                <w:szCs w:val="18"/>
                <w:lang w:val="en-GB"/>
              </w:rPr>
              <w:t>2023/12/1</w:t>
            </w:r>
            <w:r>
              <w:rPr>
                <w:rFonts w:cs="Arial"/>
                <w:szCs w:val="18"/>
                <w:lang w:val="en-GB"/>
              </w:rPr>
              <w:t>2</w:t>
            </w:r>
            <w:r w:rsidRPr="00B03471">
              <w:rPr>
                <w:rFonts w:cs="Arial"/>
                <w:szCs w:val="18"/>
                <w:lang w:val="en-GB"/>
              </w:rPr>
              <w:t xml:space="preserve"> </w:t>
            </w:r>
            <w:r>
              <w:rPr>
                <w:rFonts w:cs="Arial"/>
                <w:szCs w:val="18"/>
                <w:lang w:val="en-GB"/>
              </w:rPr>
              <w:t>22</w:t>
            </w:r>
            <w:r w:rsidRPr="00B03471">
              <w:rPr>
                <w:rFonts w:cs="Arial"/>
                <w:szCs w:val="18"/>
                <w:lang w:val="en-GB"/>
              </w:rPr>
              <w:t>:</w:t>
            </w:r>
            <w:r>
              <w:rPr>
                <w:rFonts w:cs="Arial"/>
                <w:szCs w:val="18"/>
                <w:lang w:val="en-GB"/>
              </w:rPr>
              <w:t>30</w:t>
            </w:r>
          </w:p>
        </w:tc>
        <w:tc>
          <w:tcPr>
            <w:tcW w:w="1701" w:type="dxa"/>
            <w:shd w:val="clear" w:color="auto" w:fill="FFFFFF"/>
            <w:vAlign w:val="center"/>
          </w:tcPr>
          <w:p w14:paraId="3F47ABD0" w14:textId="77777777" w:rsidR="002042F6" w:rsidRPr="00B57B36" w:rsidRDefault="002042F6" w:rsidP="00634F4B">
            <w:pPr>
              <w:pStyle w:val="CETBodytext"/>
              <w:ind w:right="-1"/>
              <w:jc w:val="center"/>
              <w:rPr>
                <w:rFonts w:cs="Arial"/>
                <w:szCs w:val="18"/>
                <w:lang w:val="en-GB"/>
              </w:rPr>
            </w:pPr>
            <w:r w:rsidRPr="00B03471">
              <w:rPr>
                <w:rFonts w:cs="Arial"/>
                <w:szCs w:val="18"/>
                <w:lang w:val="en-GB"/>
              </w:rPr>
              <w:t>2023/12/1</w:t>
            </w:r>
            <w:r>
              <w:rPr>
                <w:rFonts w:cs="Arial"/>
                <w:szCs w:val="18"/>
                <w:lang w:val="en-GB"/>
              </w:rPr>
              <w:t>3</w:t>
            </w:r>
            <w:r w:rsidRPr="00B03471">
              <w:rPr>
                <w:rFonts w:cs="Arial"/>
                <w:szCs w:val="18"/>
                <w:lang w:val="en-GB"/>
              </w:rPr>
              <w:t xml:space="preserve"> 6:</w:t>
            </w:r>
            <w:r>
              <w:rPr>
                <w:rFonts w:cs="Arial"/>
                <w:szCs w:val="18"/>
                <w:lang w:val="en-GB"/>
              </w:rPr>
              <w:t>55</w:t>
            </w:r>
          </w:p>
        </w:tc>
        <w:tc>
          <w:tcPr>
            <w:tcW w:w="1701" w:type="dxa"/>
            <w:shd w:val="clear" w:color="auto" w:fill="FFFFFF"/>
            <w:vAlign w:val="center"/>
          </w:tcPr>
          <w:p w14:paraId="3B97260D" w14:textId="77777777" w:rsidR="002042F6" w:rsidRPr="00B57B36" w:rsidRDefault="002042F6" w:rsidP="00634F4B">
            <w:pPr>
              <w:pStyle w:val="CETBodytext"/>
              <w:ind w:right="-1"/>
              <w:jc w:val="center"/>
              <w:rPr>
                <w:rFonts w:cs="Arial"/>
                <w:szCs w:val="18"/>
                <w:lang w:val="en-GB"/>
              </w:rPr>
            </w:pPr>
            <w:r>
              <w:rPr>
                <w:rFonts w:cs="Arial"/>
                <w:szCs w:val="18"/>
                <w:lang w:val="en-GB"/>
              </w:rPr>
              <w:t>8:25</w:t>
            </w:r>
          </w:p>
        </w:tc>
      </w:tr>
      <w:bookmarkEnd w:id="5"/>
    </w:tbl>
    <w:p w14:paraId="62B30504" w14:textId="77777777" w:rsidR="007C16CF" w:rsidRDefault="007C16CF" w:rsidP="004F6954">
      <w:pPr>
        <w:pStyle w:val="CETBodytext"/>
        <w:rPr>
          <w:lang w:val="en-GB"/>
        </w:rPr>
      </w:pPr>
    </w:p>
    <w:p w14:paraId="2CB86C46" w14:textId="77777777" w:rsidR="00FC55CA" w:rsidRDefault="00FC55CA" w:rsidP="004F6954">
      <w:pPr>
        <w:pStyle w:val="CETBodytext"/>
        <w:rPr>
          <w:lang w:val="en-GB"/>
        </w:rPr>
      </w:pPr>
    </w:p>
    <w:p w14:paraId="3D644505" w14:textId="77777777" w:rsidR="00FC55CA" w:rsidRDefault="00FC55CA" w:rsidP="004F6954">
      <w:pPr>
        <w:pStyle w:val="CETBodytext"/>
        <w:rPr>
          <w:lang w:val="en-GB"/>
        </w:rPr>
      </w:pPr>
    </w:p>
    <w:p w14:paraId="5E4A7045" w14:textId="77777777" w:rsidR="00682799" w:rsidRDefault="00682799" w:rsidP="004F6954">
      <w:pPr>
        <w:pStyle w:val="CETBodytext"/>
        <w:rPr>
          <w:lang w:val="en-GB"/>
        </w:rPr>
      </w:pPr>
    </w:p>
    <w:p w14:paraId="742DEFCD" w14:textId="77777777" w:rsidR="00682799" w:rsidRDefault="00682799" w:rsidP="004F6954">
      <w:pPr>
        <w:pStyle w:val="CETBodytext"/>
        <w:rPr>
          <w:lang w:val="en-GB"/>
        </w:rPr>
      </w:pPr>
    </w:p>
    <w:p w14:paraId="65D44BF2" w14:textId="77777777" w:rsidR="00682799" w:rsidRDefault="00682799" w:rsidP="004F6954">
      <w:pPr>
        <w:pStyle w:val="CETBodytext"/>
        <w:rPr>
          <w:lang w:val="en-GB"/>
        </w:rPr>
      </w:pPr>
    </w:p>
    <w:p w14:paraId="6D8AA52F" w14:textId="77777777" w:rsidR="00682799" w:rsidRDefault="00682799" w:rsidP="004F6954">
      <w:pPr>
        <w:pStyle w:val="CETBodytext"/>
        <w:rPr>
          <w:lang w:val="en-GB"/>
        </w:rPr>
      </w:pPr>
    </w:p>
    <w:p w14:paraId="44966613" w14:textId="77777777" w:rsidR="00682799" w:rsidRDefault="00682799" w:rsidP="004F6954">
      <w:pPr>
        <w:pStyle w:val="CETBodytext"/>
        <w:rPr>
          <w:lang w:val="en-GB"/>
        </w:rPr>
      </w:pPr>
    </w:p>
    <w:p w14:paraId="631D526F" w14:textId="5F48AC8F" w:rsidR="00C01C65" w:rsidRPr="00A04DE4" w:rsidRDefault="001E750C" w:rsidP="004F6954">
      <w:pPr>
        <w:pStyle w:val="CETBodytext"/>
      </w:pPr>
      <w:r w:rsidRPr="001E750C">
        <w:rPr>
          <w:i/>
          <w:iCs/>
          <w:lang w:val="en-GB"/>
        </w:rPr>
        <w:fldChar w:fldCharType="begin"/>
      </w:r>
      <w:r w:rsidRPr="001E750C">
        <w:rPr>
          <w:i/>
          <w:iCs/>
          <w:lang w:val="en-GB"/>
        </w:rPr>
        <w:instrText xml:space="preserve"> REF _Ref156195907 \h  \* MERGEFORMAT </w:instrText>
      </w:r>
      <w:r w:rsidRPr="001E750C">
        <w:rPr>
          <w:i/>
          <w:iCs/>
          <w:lang w:val="en-GB"/>
        </w:rPr>
      </w:r>
      <w:r w:rsidRPr="001E750C">
        <w:rPr>
          <w:i/>
          <w:iCs/>
          <w:lang w:val="en-GB"/>
        </w:rPr>
        <w:fldChar w:fldCharType="separate"/>
      </w:r>
      <w:r w:rsidRPr="001E750C">
        <w:rPr>
          <w:rStyle w:val="CETCaptionCarattere"/>
          <w:i w:val="0"/>
          <w:iCs/>
        </w:rPr>
        <w:t xml:space="preserve">Figure </w:t>
      </w:r>
      <w:r w:rsidRPr="001E750C">
        <w:rPr>
          <w:rStyle w:val="CETCaptionCarattere"/>
          <w:i w:val="0"/>
          <w:iCs/>
          <w:noProof/>
        </w:rPr>
        <w:t>2</w:t>
      </w:r>
      <w:r w:rsidRPr="001E750C">
        <w:rPr>
          <w:i/>
          <w:iCs/>
          <w:lang w:val="en-GB"/>
        </w:rPr>
        <w:fldChar w:fldCharType="end"/>
      </w:r>
      <w:r w:rsidRPr="001E750C">
        <w:rPr>
          <w:lang w:val="en-GB"/>
        </w:rPr>
        <w:t xml:space="preserve"> shows the temperature variation of both inlet and outlet water in the coils during the charging and discharging cycles. The volumetric water flow profile obtained is also shown.</w:t>
      </w:r>
      <w:r>
        <w:rPr>
          <w:lang w:val="en-GB"/>
        </w:rPr>
        <w:t xml:space="preserve"> </w:t>
      </w:r>
      <w:r w:rsidR="004F4D52" w:rsidRPr="004F4D52">
        <w:rPr>
          <w:lang w:val="en-GB"/>
        </w:rPr>
        <w:t>During the load cycles, the water temperature at the inlet of the coils was always above 60 °C, reaching maximums of 75 °C around 2:00 pm.</w:t>
      </w:r>
      <w:r w:rsidR="000510C2" w:rsidRPr="000510C2">
        <w:t xml:space="preserve"> </w:t>
      </w:r>
      <w:r w:rsidR="00923FEB" w:rsidRPr="00923FEB">
        <w:t xml:space="preserve">The temperature of the water varied as a function of the incident solar radiation. </w:t>
      </w:r>
    </w:p>
    <w:p w14:paraId="095A8A43" w14:textId="77777777" w:rsidR="00E175D0" w:rsidRDefault="004F6954" w:rsidP="004F0900">
      <w:pPr>
        <w:pStyle w:val="CETBodytext"/>
        <w:keepNext/>
        <w:jc w:val="left"/>
      </w:pPr>
      <w:r>
        <w:rPr>
          <w:noProof/>
          <w:lang w:val="en-GB"/>
        </w:rPr>
        <w:drawing>
          <wp:inline distT="0" distB="0" distL="0" distR="0" wp14:anchorId="02495DCE" wp14:editId="2B8E3CAF">
            <wp:extent cx="4520669" cy="3312000"/>
            <wp:effectExtent l="0" t="0" r="0" b="3175"/>
            <wp:docPr id="1969546097"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546097" name="Gráfico 1969546097"/>
                    <pic:cNvPicPr/>
                  </pic:nvPicPr>
                  <pic:blipFill rotWithShape="1">
                    <a:blip r:embed="rId11">
                      <a:extLst>
                        <a:ext uri="{96DAC541-7B7A-43D3-8B79-37D633B846F1}">
                          <asvg:svgBlip xmlns:asvg="http://schemas.microsoft.com/office/drawing/2016/SVG/main" r:embed="rId12"/>
                        </a:ext>
                      </a:extLst>
                    </a:blip>
                    <a:srcRect l="5871" t="3969" r="3312" b="7314"/>
                    <a:stretch/>
                  </pic:blipFill>
                  <pic:spPr bwMode="auto">
                    <a:xfrm>
                      <a:off x="0" y="0"/>
                      <a:ext cx="4520669" cy="3312000"/>
                    </a:xfrm>
                    <a:prstGeom prst="rect">
                      <a:avLst/>
                    </a:prstGeom>
                    <a:ln>
                      <a:noFill/>
                    </a:ln>
                    <a:extLst>
                      <a:ext uri="{53640926-AAD7-44D8-BBD7-CCE9431645EC}">
                        <a14:shadowObscured xmlns:a14="http://schemas.microsoft.com/office/drawing/2010/main"/>
                      </a:ext>
                    </a:extLst>
                  </pic:spPr>
                </pic:pic>
              </a:graphicData>
            </a:graphic>
          </wp:inline>
        </w:drawing>
      </w:r>
    </w:p>
    <w:p w14:paraId="525E3729" w14:textId="524F3354" w:rsidR="004F6954" w:rsidRPr="00E175D0" w:rsidRDefault="00E175D0" w:rsidP="00E175D0">
      <w:pPr>
        <w:pStyle w:val="Descripcin"/>
        <w:rPr>
          <w:rStyle w:val="CETCaptionCarattere"/>
          <w:b w:val="0"/>
          <w:bCs w:val="0"/>
          <w:color w:val="auto"/>
        </w:rPr>
      </w:pPr>
      <w:bookmarkStart w:id="6" w:name="_Ref156195907"/>
      <w:r w:rsidRPr="00E175D0">
        <w:rPr>
          <w:rStyle w:val="CETCaptionCarattere"/>
          <w:b w:val="0"/>
          <w:bCs w:val="0"/>
          <w:color w:val="auto"/>
        </w:rPr>
        <w:t xml:space="preserve">Figure </w:t>
      </w:r>
      <w:r w:rsidRPr="00E175D0">
        <w:rPr>
          <w:rStyle w:val="CETCaptionCarattere"/>
          <w:b w:val="0"/>
          <w:bCs w:val="0"/>
          <w:color w:val="auto"/>
        </w:rPr>
        <w:fldChar w:fldCharType="begin"/>
      </w:r>
      <w:r w:rsidRPr="00E175D0">
        <w:rPr>
          <w:rStyle w:val="CETCaptionCarattere"/>
          <w:b w:val="0"/>
          <w:bCs w:val="0"/>
          <w:color w:val="auto"/>
        </w:rPr>
        <w:instrText xml:space="preserve"> SEQ Figure \* ARABIC </w:instrText>
      </w:r>
      <w:r w:rsidRPr="00E175D0">
        <w:rPr>
          <w:rStyle w:val="CETCaptionCarattere"/>
          <w:b w:val="0"/>
          <w:bCs w:val="0"/>
          <w:color w:val="auto"/>
        </w:rPr>
        <w:fldChar w:fldCharType="separate"/>
      </w:r>
      <w:r w:rsidR="000C6077">
        <w:rPr>
          <w:rStyle w:val="CETCaptionCarattere"/>
          <w:b w:val="0"/>
          <w:bCs w:val="0"/>
          <w:noProof/>
          <w:color w:val="auto"/>
        </w:rPr>
        <w:t>2</w:t>
      </w:r>
      <w:r w:rsidRPr="00E175D0">
        <w:rPr>
          <w:rStyle w:val="CETCaptionCarattere"/>
          <w:b w:val="0"/>
          <w:bCs w:val="0"/>
          <w:color w:val="auto"/>
        </w:rPr>
        <w:fldChar w:fldCharType="end"/>
      </w:r>
      <w:bookmarkEnd w:id="6"/>
      <w:r w:rsidRPr="00E175D0">
        <w:rPr>
          <w:rStyle w:val="CETCaptionCarattere"/>
          <w:b w:val="0"/>
          <w:bCs w:val="0"/>
          <w:color w:val="auto"/>
        </w:rPr>
        <w:t>: Volumetric flow and water temperature profiles at the inlet and outlet of the coils during two charging and discharging cycles.</w:t>
      </w:r>
      <w:r w:rsidR="00FC55CA">
        <w:rPr>
          <w:rStyle w:val="CETCaptionCarattere"/>
          <w:b w:val="0"/>
          <w:bCs w:val="0"/>
          <w:color w:val="auto"/>
        </w:rPr>
        <w:t xml:space="preserve"> </w:t>
      </w:r>
      <w:r w:rsidR="009B4463" w:rsidRPr="009B4463">
        <w:rPr>
          <w:rStyle w:val="CETCaptionCarattere"/>
          <w:b w:val="0"/>
          <w:bCs w:val="0"/>
          <w:color w:val="auto"/>
        </w:rPr>
        <w:t>The horizontal green lines indicate the temperature range in which the HPS melts. During the charging cycles, the water coming from the collectors reached temperatures of up to 77 °C. Notably, the outlet water temperature decreased slowly during the discharge cycles, losing only 10 °C in about 8 hours.</w:t>
      </w:r>
    </w:p>
    <w:p w14:paraId="1BB0FEE1" w14:textId="7EBE9196" w:rsidR="00A04DE4" w:rsidRDefault="00A04DE4" w:rsidP="004F6954">
      <w:pPr>
        <w:pStyle w:val="CETBodytext"/>
        <w:rPr>
          <w:lang w:val="en-GB"/>
        </w:rPr>
      </w:pPr>
      <w:r w:rsidRPr="002673DB">
        <w:lastRenderedPageBreak/>
        <w:t>The values recorded by the temperature sensors for sections A, B and C are presented in</w:t>
      </w:r>
      <w:r w:rsidRPr="002673DB">
        <w:rPr>
          <w:i/>
          <w:iCs/>
        </w:rPr>
        <w:t xml:space="preserve"> </w:t>
      </w:r>
      <w:r w:rsidRPr="002673DB">
        <w:rPr>
          <w:i/>
          <w:iCs/>
        </w:rPr>
        <w:fldChar w:fldCharType="begin"/>
      </w:r>
      <w:r w:rsidRPr="002673DB">
        <w:rPr>
          <w:i/>
          <w:iCs/>
        </w:rPr>
        <w:instrText xml:space="preserve"> REF _Ref156226192 \h  \* MERGEFORMAT </w:instrText>
      </w:r>
      <w:r w:rsidRPr="002673DB">
        <w:rPr>
          <w:i/>
          <w:iCs/>
        </w:rPr>
      </w:r>
      <w:r w:rsidRPr="002673DB">
        <w:rPr>
          <w:i/>
          <w:iCs/>
        </w:rPr>
        <w:fldChar w:fldCharType="separate"/>
      </w:r>
      <w:r w:rsidRPr="002673DB">
        <w:rPr>
          <w:rStyle w:val="CETCaptionCarattere"/>
          <w:i w:val="0"/>
          <w:iCs/>
        </w:rPr>
        <w:t xml:space="preserve">Figure </w:t>
      </w:r>
      <w:r w:rsidRPr="002673DB">
        <w:rPr>
          <w:rStyle w:val="CETCaptionCarattere"/>
          <w:i w:val="0"/>
          <w:iCs/>
          <w:noProof/>
        </w:rPr>
        <w:t>3</w:t>
      </w:r>
      <w:r w:rsidRPr="002673DB">
        <w:rPr>
          <w:i/>
          <w:iCs/>
        </w:rPr>
        <w:fldChar w:fldCharType="end"/>
      </w:r>
      <w:r w:rsidRPr="002673DB">
        <w:rPr>
          <w:i/>
          <w:iCs/>
        </w:rPr>
        <w:t xml:space="preserve">, </w:t>
      </w:r>
      <w:r w:rsidRPr="002673DB">
        <w:rPr>
          <w:i/>
          <w:iCs/>
        </w:rPr>
        <w:fldChar w:fldCharType="begin"/>
      </w:r>
      <w:r w:rsidRPr="002673DB">
        <w:rPr>
          <w:i/>
          <w:iCs/>
        </w:rPr>
        <w:instrText xml:space="preserve"> REF _Ref156226201 \h  \* MERGEFORMAT </w:instrText>
      </w:r>
      <w:r w:rsidRPr="002673DB">
        <w:rPr>
          <w:i/>
          <w:iCs/>
        </w:rPr>
      </w:r>
      <w:r w:rsidRPr="002673DB">
        <w:rPr>
          <w:i/>
          <w:iCs/>
        </w:rPr>
        <w:fldChar w:fldCharType="separate"/>
      </w:r>
      <w:r w:rsidRPr="002673DB">
        <w:rPr>
          <w:rStyle w:val="CETCaptionCarattere"/>
          <w:i w:val="0"/>
          <w:iCs/>
        </w:rPr>
        <w:t xml:space="preserve">Figure </w:t>
      </w:r>
      <w:r w:rsidRPr="002673DB">
        <w:rPr>
          <w:rStyle w:val="CETCaptionCarattere"/>
          <w:i w:val="0"/>
          <w:iCs/>
          <w:noProof/>
        </w:rPr>
        <w:t>4</w:t>
      </w:r>
      <w:r w:rsidRPr="002673DB">
        <w:rPr>
          <w:i/>
          <w:iCs/>
        </w:rPr>
        <w:fldChar w:fldCharType="end"/>
      </w:r>
      <w:r w:rsidRPr="002673DB">
        <w:rPr>
          <w:i/>
          <w:iCs/>
        </w:rPr>
        <w:t xml:space="preserve"> </w:t>
      </w:r>
      <w:r w:rsidRPr="002673DB">
        <w:t>and</w:t>
      </w:r>
      <w:r w:rsidRPr="002673DB">
        <w:rPr>
          <w:i/>
          <w:iCs/>
        </w:rPr>
        <w:t xml:space="preserve"> </w:t>
      </w:r>
      <w:r w:rsidRPr="002673DB">
        <w:rPr>
          <w:i/>
          <w:iCs/>
        </w:rPr>
        <w:fldChar w:fldCharType="begin"/>
      </w:r>
      <w:r w:rsidRPr="002673DB">
        <w:rPr>
          <w:i/>
          <w:iCs/>
        </w:rPr>
        <w:instrText xml:space="preserve"> REF _Ref156226209 \h  \* MERGEFORMAT </w:instrText>
      </w:r>
      <w:r w:rsidRPr="002673DB">
        <w:rPr>
          <w:i/>
          <w:iCs/>
        </w:rPr>
      </w:r>
      <w:r w:rsidRPr="002673DB">
        <w:rPr>
          <w:i/>
          <w:iCs/>
        </w:rPr>
        <w:fldChar w:fldCharType="separate"/>
      </w:r>
      <w:r w:rsidRPr="002673DB">
        <w:rPr>
          <w:rStyle w:val="CETCaptionCarattere"/>
          <w:i w:val="0"/>
          <w:iCs/>
        </w:rPr>
        <w:t xml:space="preserve">Figure </w:t>
      </w:r>
      <w:r w:rsidRPr="002673DB">
        <w:rPr>
          <w:rStyle w:val="CETCaptionCarattere"/>
          <w:i w:val="0"/>
          <w:iCs/>
          <w:noProof/>
        </w:rPr>
        <w:t>5</w:t>
      </w:r>
      <w:r w:rsidRPr="002673DB">
        <w:rPr>
          <w:i/>
          <w:iCs/>
        </w:rPr>
        <w:fldChar w:fldCharType="end"/>
      </w:r>
      <w:r w:rsidRPr="002673DB">
        <w:rPr>
          <w:i/>
          <w:iCs/>
        </w:rPr>
        <w:t>.</w:t>
      </w:r>
    </w:p>
    <w:p w14:paraId="1063ABD7" w14:textId="77777777" w:rsidR="001656A8" w:rsidRDefault="0011633B" w:rsidP="001656A8">
      <w:pPr>
        <w:pStyle w:val="CETBodytext"/>
        <w:keepNext/>
      </w:pPr>
      <w:r>
        <w:rPr>
          <w:noProof/>
          <w:lang w:val="en-GB"/>
        </w:rPr>
        <w:drawing>
          <wp:inline distT="0" distB="0" distL="0" distR="0" wp14:anchorId="44F05E01" wp14:editId="253B2D10">
            <wp:extent cx="4310322" cy="3312000"/>
            <wp:effectExtent l="0" t="0" r="0" b="3175"/>
            <wp:docPr id="1289499595" name="Gráfi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499595" name="Gráfico 1289499595"/>
                    <pic:cNvPicPr/>
                  </pic:nvPicPr>
                  <pic:blipFill rotWithShape="1">
                    <a:blip r:embed="rId13">
                      <a:extLst>
                        <a:ext uri="{96DAC541-7B7A-43D3-8B79-37D633B846F1}">
                          <asvg:svgBlip xmlns:asvg="http://schemas.microsoft.com/office/drawing/2016/SVG/main" r:embed="rId14"/>
                        </a:ext>
                      </a:extLst>
                    </a:blip>
                    <a:srcRect l="5871" t="3277" r="6863" b="7315"/>
                    <a:stretch/>
                  </pic:blipFill>
                  <pic:spPr bwMode="auto">
                    <a:xfrm>
                      <a:off x="0" y="0"/>
                      <a:ext cx="4310322" cy="3312000"/>
                    </a:xfrm>
                    <a:prstGeom prst="rect">
                      <a:avLst/>
                    </a:prstGeom>
                    <a:ln>
                      <a:noFill/>
                    </a:ln>
                    <a:extLst>
                      <a:ext uri="{53640926-AAD7-44D8-BBD7-CCE9431645EC}">
                        <a14:shadowObscured xmlns:a14="http://schemas.microsoft.com/office/drawing/2010/main"/>
                      </a:ext>
                    </a:extLst>
                  </pic:spPr>
                </pic:pic>
              </a:graphicData>
            </a:graphic>
          </wp:inline>
        </w:drawing>
      </w:r>
    </w:p>
    <w:p w14:paraId="2D247DF8" w14:textId="1B3F11AC" w:rsidR="004F6954" w:rsidRPr="001656A8" w:rsidRDefault="001656A8" w:rsidP="001656A8">
      <w:pPr>
        <w:pStyle w:val="Descripcin"/>
        <w:rPr>
          <w:rStyle w:val="CETCaptionCarattere"/>
          <w:b w:val="0"/>
          <w:bCs w:val="0"/>
          <w:color w:val="auto"/>
        </w:rPr>
      </w:pPr>
      <w:bookmarkStart w:id="7" w:name="_Ref156226192"/>
      <w:r w:rsidRPr="001656A8">
        <w:rPr>
          <w:rStyle w:val="CETCaptionCarattere"/>
          <w:b w:val="0"/>
          <w:bCs w:val="0"/>
          <w:color w:val="auto"/>
        </w:rPr>
        <w:t xml:space="preserve">Figure </w:t>
      </w:r>
      <w:r w:rsidRPr="001656A8">
        <w:rPr>
          <w:rStyle w:val="CETCaptionCarattere"/>
          <w:b w:val="0"/>
          <w:bCs w:val="0"/>
          <w:color w:val="auto"/>
        </w:rPr>
        <w:fldChar w:fldCharType="begin"/>
      </w:r>
      <w:r w:rsidRPr="001656A8">
        <w:rPr>
          <w:rStyle w:val="CETCaptionCarattere"/>
          <w:b w:val="0"/>
          <w:bCs w:val="0"/>
          <w:color w:val="auto"/>
        </w:rPr>
        <w:instrText xml:space="preserve"> SEQ Figure \* ARABIC </w:instrText>
      </w:r>
      <w:r w:rsidRPr="001656A8">
        <w:rPr>
          <w:rStyle w:val="CETCaptionCarattere"/>
          <w:b w:val="0"/>
          <w:bCs w:val="0"/>
          <w:color w:val="auto"/>
        </w:rPr>
        <w:fldChar w:fldCharType="separate"/>
      </w:r>
      <w:r w:rsidR="000C6077">
        <w:rPr>
          <w:rStyle w:val="CETCaptionCarattere"/>
          <w:b w:val="0"/>
          <w:bCs w:val="0"/>
          <w:noProof/>
          <w:color w:val="auto"/>
        </w:rPr>
        <w:t>3</w:t>
      </w:r>
      <w:r w:rsidRPr="001656A8">
        <w:rPr>
          <w:rStyle w:val="CETCaptionCarattere"/>
          <w:b w:val="0"/>
          <w:bCs w:val="0"/>
          <w:color w:val="auto"/>
        </w:rPr>
        <w:fldChar w:fldCharType="end"/>
      </w:r>
      <w:bookmarkEnd w:id="7"/>
      <w:r w:rsidRPr="001656A8">
        <w:rPr>
          <w:rStyle w:val="CETCaptionCarattere"/>
          <w:b w:val="0"/>
          <w:bCs w:val="0"/>
          <w:color w:val="auto"/>
        </w:rPr>
        <w:t>: Temperature profile in section A of the PCM. The three sensors located at the top of the section record temperatures above the melting point of the material during a charging cycle, and then record the largest temperature decrease during the discharging cycle. The other sensors indicate the presence of solid material, with small temperature variations.</w:t>
      </w:r>
    </w:p>
    <w:p w14:paraId="0DAC69FB" w14:textId="77777777" w:rsidR="004E4771" w:rsidRDefault="004E4771" w:rsidP="004F6954">
      <w:pPr>
        <w:pStyle w:val="CETBodytext"/>
        <w:rPr>
          <w:lang w:val="en-GB"/>
        </w:rPr>
      </w:pPr>
    </w:p>
    <w:p w14:paraId="46EDEC0B" w14:textId="77777777" w:rsidR="00F85B6E" w:rsidRDefault="004F0900" w:rsidP="00F85B6E">
      <w:pPr>
        <w:pStyle w:val="CETBodytext"/>
        <w:keepNext/>
      </w:pPr>
      <w:r>
        <w:rPr>
          <w:noProof/>
          <w:lang w:val="en-GB"/>
        </w:rPr>
        <w:drawing>
          <wp:inline distT="0" distB="0" distL="0" distR="0" wp14:anchorId="02875376" wp14:editId="2781A4B3">
            <wp:extent cx="4357539" cy="3312000"/>
            <wp:effectExtent l="0" t="0" r="5080" b="3175"/>
            <wp:docPr id="972106452" name="Gráfic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106452" name="Gráfico 972106452"/>
                    <pic:cNvPicPr/>
                  </pic:nvPicPr>
                  <pic:blipFill rotWithShape="1">
                    <a:blip r:embed="rId15">
                      <a:extLst>
                        <a:ext uri="{96DAC541-7B7A-43D3-8B79-37D633B846F1}">
                          <asvg:svgBlip xmlns:asvg="http://schemas.microsoft.com/office/drawing/2016/SVG/main" r:embed="rId16"/>
                        </a:ext>
                      </a:extLst>
                    </a:blip>
                    <a:srcRect l="5462" t="3095" r="6316" b="7496"/>
                    <a:stretch/>
                  </pic:blipFill>
                  <pic:spPr bwMode="auto">
                    <a:xfrm>
                      <a:off x="0" y="0"/>
                      <a:ext cx="4357539" cy="3312000"/>
                    </a:xfrm>
                    <a:prstGeom prst="rect">
                      <a:avLst/>
                    </a:prstGeom>
                    <a:ln>
                      <a:noFill/>
                    </a:ln>
                    <a:extLst>
                      <a:ext uri="{53640926-AAD7-44D8-BBD7-CCE9431645EC}">
                        <a14:shadowObscured xmlns:a14="http://schemas.microsoft.com/office/drawing/2010/main"/>
                      </a:ext>
                    </a:extLst>
                  </pic:spPr>
                </pic:pic>
              </a:graphicData>
            </a:graphic>
          </wp:inline>
        </w:drawing>
      </w:r>
    </w:p>
    <w:p w14:paraId="762C5D09" w14:textId="282DE57C" w:rsidR="004F0900" w:rsidRPr="00F85B6E" w:rsidRDefault="00F85B6E" w:rsidP="00F85B6E">
      <w:pPr>
        <w:pStyle w:val="Descripcin"/>
        <w:rPr>
          <w:rStyle w:val="CETCaptionCarattere"/>
          <w:b w:val="0"/>
          <w:bCs w:val="0"/>
          <w:color w:val="auto"/>
        </w:rPr>
      </w:pPr>
      <w:bookmarkStart w:id="8" w:name="_Ref156226201"/>
      <w:r w:rsidRPr="00F85B6E">
        <w:rPr>
          <w:rStyle w:val="CETCaptionCarattere"/>
          <w:b w:val="0"/>
          <w:bCs w:val="0"/>
          <w:color w:val="auto"/>
        </w:rPr>
        <w:t xml:space="preserve">Figure </w:t>
      </w:r>
      <w:r w:rsidRPr="00F85B6E">
        <w:rPr>
          <w:rStyle w:val="CETCaptionCarattere"/>
          <w:b w:val="0"/>
          <w:bCs w:val="0"/>
          <w:color w:val="auto"/>
        </w:rPr>
        <w:fldChar w:fldCharType="begin"/>
      </w:r>
      <w:r w:rsidRPr="00F85B6E">
        <w:rPr>
          <w:rStyle w:val="CETCaptionCarattere"/>
          <w:b w:val="0"/>
          <w:bCs w:val="0"/>
          <w:color w:val="auto"/>
        </w:rPr>
        <w:instrText xml:space="preserve"> SEQ Figure \* ARABIC </w:instrText>
      </w:r>
      <w:r w:rsidRPr="00F85B6E">
        <w:rPr>
          <w:rStyle w:val="CETCaptionCarattere"/>
          <w:b w:val="0"/>
          <w:bCs w:val="0"/>
          <w:color w:val="auto"/>
        </w:rPr>
        <w:fldChar w:fldCharType="separate"/>
      </w:r>
      <w:r w:rsidR="000C6077">
        <w:rPr>
          <w:rStyle w:val="CETCaptionCarattere"/>
          <w:b w:val="0"/>
          <w:bCs w:val="0"/>
          <w:noProof/>
          <w:color w:val="auto"/>
        </w:rPr>
        <w:t>4</w:t>
      </w:r>
      <w:r w:rsidRPr="00F85B6E">
        <w:rPr>
          <w:rStyle w:val="CETCaptionCarattere"/>
          <w:b w:val="0"/>
          <w:bCs w:val="0"/>
          <w:color w:val="auto"/>
        </w:rPr>
        <w:fldChar w:fldCharType="end"/>
      </w:r>
      <w:bookmarkEnd w:id="8"/>
      <w:r w:rsidRPr="00F85B6E">
        <w:rPr>
          <w:rStyle w:val="CETCaptionCarattere"/>
          <w:b w:val="0"/>
          <w:bCs w:val="0"/>
          <w:color w:val="auto"/>
        </w:rPr>
        <w:t>: Temperature profile in section B of the PCM. Five sessions showed temperatures above the melting point of the HPS during the first charging cycle, increasing to six in the second cycle. A complete melting of the PCM is deduced in this section, except for the lower corners.</w:t>
      </w:r>
    </w:p>
    <w:p w14:paraId="4CF7E171" w14:textId="77777777" w:rsidR="001656A8" w:rsidRDefault="001656A8" w:rsidP="004F6954">
      <w:pPr>
        <w:pStyle w:val="CETBodytext"/>
        <w:rPr>
          <w:lang w:val="en-GB"/>
        </w:rPr>
      </w:pPr>
    </w:p>
    <w:p w14:paraId="7167076F" w14:textId="77777777" w:rsidR="00F85B6E" w:rsidRDefault="0058188F" w:rsidP="00F85B6E">
      <w:pPr>
        <w:pStyle w:val="CETBodytext"/>
        <w:keepNext/>
      </w:pPr>
      <w:r>
        <w:rPr>
          <w:noProof/>
          <w:lang w:val="en-GB"/>
        </w:rPr>
        <w:lastRenderedPageBreak/>
        <w:drawing>
          <wp:inline distT="0" distB="0" distL="0" distR="0" wp14:anchorId="7301471A" wp14:editId="4DC28FFA">
            <wp:extent cx="4361481" cy="3312000"/>
            <wp:effectExtent l="0" t="0" r="1270" b="3175"/>
            <wp:docPr id="1018444476" name="Gráfic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444476" name="Gráfico 1018444476"/>
                    <pic:cNvPicPr/>
                  </pic:nvPicPr>
                  <pic:blipFill rotWithShape="1">
                    <a:blip r:embed="rId17">
                      <a:extLst>
                        <a:ext uri="{96DAC541-7B7A-43D3-8B79-37D633B846F1}">
                          <asvg:svgBlip xmlns:asvg="http://schemas.microsoft.com/office/drawing/2016/SVG/main" r:embed="rId18"/>
                        </a:ext>
                      </a:extLst>
                    </a:blip>
                    <a:srcRect l="6010" t="3460" r="6588" b="8042"/>
                    <a:stretch/>
                  </pic:blipFill>
                  <pic:spPr bwMode="auto">
                    <a:xfrm>
                      <a:off x="0" y="0"/>
                      <a:ext cx="4361481" cy="3312000"/>
                    </a:xfrm>
                    <a:prstGeom prst="rect">
                      <a:avLst/>
                    </a:prstGeom>
                    <a:ln>
                      <a:noFill/>
                    </a:ln>
                    <a:extLst>
                      <a:ext uri="{53640926-AAD7-44D8-BBD7-CCE9431645EC}">
                        <a14:shadowObscured xmlns:a14="http://schemas.microsoft.com/office/drawing/2010/main"/>
                      </a:ext>
                    </a:extLst>
                  </pic:spPr>
                </pic:pic>
              </a:graphicData>
            </a:graphic>
          </wp:inline>
        </w:drawing>
      </w:r>
    </w:p>
    <w:p w14:paraId="4B42D41D" w14:textId="300B10F8" w:rsidR="0058188F" w:rsidRPr="00DF7F17" w:rsidRDefault="00F85B6E" w:rsidP="00F85B6E">
      <w:pPr>
        <w:pStyle w:val="Descripcin"/>
        <w:rPr>
          <w:rStyle w:val="CETCaptionCarattere"/>
          <w:b w:val="0"/>
          <w:bCs w:val="0"/>
          <w:color w:val="auto"/>
        </w:rPr>
      </w:pPr>
      <w:bookmarkStart w:id="9" w:name="_Ref156226209"/>
      <w:r w:rsidRPr="00DF7F17">
        <w:rPr>
          <w:rStyle w:val="CETCaptionCarattere"/>
          <w:b w:val="0"/>
          <w:bCs w:val="0"/>
          <w:color w:val="auto"/>
        </w:rPr>
        <w:t xml:space="preserve">Figure </w:t>
      </w:r>
      <w:r w:rsidRPr="00DF7F17">
        <w:rPr>
          <w:rStyle w:val="CETCaptionCarattere"/>
          <w:b w:val="0"/>
          <w:bCs w:val="0"/>
          <w:color w:val="auto"/>
        </w:rPr>
        <w:fldChar w:fldCharType="begin"/>
      </w:r>
      <w:r w:rsidRPr="00DF7F17">
        <w:rPr>
          <w:rStyle w:val="CETCaptionCarattere"/>
          <w:b w:val="0"/>
          <w:bCs w:val="0"/>
          <w:color w:val="auto"/>
        </w:rPr>
        <w:instrText xml:space="preserve"> SEQ Figure \* ARABIC </w:instrText>
      </w:r>
      <w:r w:rsidRPr="00DF7F17">
        <w:rPr>
          <w:rStyle w:val="CETCaptionCarattere"/>
          <w:b w:val="0"/>
          <w:bCs w:val="0"/>
          <w:color w:val="auto"/>
        </w:rPr>
        <w:fldChar w:fldCharType="separate"/>
      </w:r>
      <w:r w:rsidR="000C6077">
        <w:rPr>
          <w:rStyle w:val="CETCaptionCarattere"/>
          <w:b w:val="0"/>
          <w:bCs w:val="0"/>
          <w:noProof/>
          <w:color w:val="auto"/>
        </w:rPr>
        <w:t>5</w:t>
      </w:r>
      <w:r w:rsidRPr="00DF7F17">
        <w:rPr>
          <w:rStyle w:val="CETCaptionCarattere"/>
          <w:b w:val="0"/>
          <w:bCs w:val="0"/>
          <w:color w:val="auto"/>
        </w:rPr>
        <w:fldChar w:fldCharType="end"/>
      </w:r>
      <w:bookmarkEnd w:id="9"/>
      <w:r w:rsidRPr="00DF7F17">
        <w:rPr>
          <w:rStyle w:val="CETCaptionCarattere"/>
          <w:b w:val="0"/>
          <w:bCs w:val="0"/>
          <w:color w:val="auto"/>
        </w:rPr>
        <w:t>: Temperature profile in section C of the PCM.</w:t>
      </w:r>
      <w:r w:rsidR="00577497" w:rsidRPr="00DF7F17">
        <w:rPr>
          <w:rStyle w:val="CETCaptionCarattere"/>
          <w:b w:val="0"/>
          <w:bCs w:val="0"/>
          <w:color w:val="auto"/>
        </w:rPr>
        <w:t xml:space="preserve"> </w:t>
      </w:r>
      <w:r w:rsidR="00DF7F17" w:rsidRPr="00DF7F17">
        <w:rPr>
          <w:rStyle w:val="CETCaptionCarattere"/>
          <w:b w:val="0"/>
          <w:bCs w:val="0"/>
          <w:color w:val="auto"/>
        </w:rPr>
        <w:t>Similar behaviour to that recorded in section A is observed. It should be noted that in sections A and B only the large coil is present. The fact that the largest temperature variations are recorded at the top indicates that the molten PCM flows there as the charging cycle progresses.</w:t>
      </w:r>
    </w:p>
    <w:p w14:paraId="1866AB2E" w14:textId="77777777" w:rsidR="0058188F" w:rsidRDefault="0058188F" w:rsidP="004F6954">
      <w:pPr>
        <w:pStyle w:val="CETBodytext"/>
        <w:rPr>
          <w:lang w:val="en-GB"/>
        </w:rPr>
      </w:pPr>
    </w:p>
    <w:p w14:paraId="57A0A9D3" w14:textId="4D8401B4" w:rsidR="00121E25" w:rsidRPr="000A5CC5" w:rsidRDefault="00B918EA" w:rsidP="004F6954">
      <w:pPr>
        <w:pStyle w:val="CETBodytext"/>
        <w:rPr>
          <w:lang w:val="es-CO"/>
        </w:rPr>
      </w:pPr>
      <w:r w:rsidRPr="000510C2">
        <w:t xml:space="preserve">The temperature difference </w:t>
      </w:r>
      <w:r>
        <w:t>between</w:t>
      </w:r>
      <w:r w:rsidRPr="000510C2">
        <w:t xml:space="preserve"> water </w:t>
      </w:r>
      <w:r>
        <w:t xml:space="preserve">inlet and </w:t>
      </w:r>
      <w:r w:rsidRPr="000510C2">
        <w:t xml:space="preserve">outlet was up to 8 °C. This behavior allows us to deduce that it is still possible to propose improvements in the design of the heat </w:t>
      </w:r>
      <w:r w:rsidRPr="000510C2">
        <w:t>exchanger or</w:t>
      </w:r>
      <w:r w:rsidRPr="000510C2">
        <w:t xml:space="preserve"> increase the amount of PCM to be used in order to increase the efficiency of the system.</w:t>
      </w:r>
      <w:r>
        <w:t xml:space="preserve"> </w:t>
      </w:r>
      <w:r w:rsidR="00121E25" w:rsidRPr="00DF35F5">
        <w:t>I</w:t>
      </w:r>
      <w:r w:rsidR="00121E25" w:rsidRPr="002673DB">
        <w:t>n each section, the 9 sensors were arranged equidistantly inside the HPS, with three sensors at the top, three in the middle and three at the bottom. For sections A and C, during the load cycles, it is observed that the temperatures measured at the top of the PCM increase rapidly from approximately 40 °C to 75 °C. The other sensors indicate the presence of solid PCM, except for the center of each section where the material was in the phase change range during the tests.</w:t>
      </w:r>
      <w:r w:rsidR="00121E25">
        <w:t xml:space="preserve"> </w:t>
      </w:r>
      <w:r w:rsidR="00121E25" w:rsidRPr="00087824">
        <w:t>During the discharge tests, all sensors again registered values below the melting temperature of the material, indicating that it had fully crystallized.</w:t>
      </w:r>
      <w:r w:rsidR="00121E25">
        <w:t xml:space="preserve"> </w:t>
      </w:r>
      <w:r w:rsidR="00121E25" w:rsidRPr="00AD648D">
        <w:t>For section B, up to five sensors recorded temperatures above 59°C, indicating complete melting of the material. Up to five of the sensors remain at temperatures in the phase change range, even after the end of a discharge cycle.</w:t>
      </w:r>
      <w:r w:rsidR="00121E25">
        <w:t xml:space="preserve"> </w:t>
      </w:r>
      <w:r w:rsidR="00121E25" w:rsidRPr="004263AE">
        <w:t>As in sections A and C, the lower corners of section B are the areas of lowest heat transfer, presenting slight temperature variations.</w:t>
      </w:r>
      <w:r w:rsidR="00D673AE">
        <w:t xml:space="preserve"> </w:t>
      </w:r>
      <w:r w:rsidR="00D673AE" w:rsidRPr="000836D2">
        <w:t xml:space="preserve">Similar </w:t>
      </w:r>
      <w:r w:rsidR="0094290F" w:rsidRPr="000836D2">
        <w:t xml:space="preserve">behavior has been reported for others </w:t>
      </w:r>
      <w:proofErr w:type="gramStart"/>
      <w:r w:rsidR="0094290F" w:rsidRPr="000836D2">
        <w:t>PCMs</w:t>
      </w:r>
      <w:r w:rsidR="00EF1116" w:rsidRPr="000836D2">
        <w:t xml:space="preserve">, </w:t>
      </w:r>
      <w:r w:rsidR="000836D2">
        <w:t>and</w:t>
      </w:r>
      <w:proofErr w:type="gramEnd"/>
      <w:r w:rsidR="000836D2" w:rsidRPr="000A5CC5">
        <w:t xml:space="preserve"> is attributed to the phenomenon of natural convection in which the molten material with a higher temperature and lower density tends to be located at the top of the system, generating a temperature difference between the top and the bottom of the storage tank</w:t>
      </w:r>
      <w:r w:rsidR="007137FB" w:rsidRPr="000836D2">
        <w:t>.</w:t>
      </w:r>
      <w:r w:rsidR="0094290F" w:rsidRPr="000836D2">
        <w:t xml:space="preserve"> </w:t>
      </w:r>
      <w:sdt>
        <w:sdtPr>
          <w:rPr>
            <w:color w:val="000000"/>
          </w:rPr>
          <w:tag w:val="MENDELEY_CITATION_v3_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"/>
          <w:id w:val="754318785"/>
          <w:placeholder>
            <w:docPart w:val="DefaultPlaceholder_-1854013440"/>
          </w:placeholder>
        </w:sdtPr>
        <w:sdtEndPr/>
        <w:sdtContent>
          <w:r w:rsidR="00FD77BC" w:rsidRPr="000A5CC5">
            <w:rPr>
              <w:color w:val="000000"/>
              <w:lang w:val="es-CO"/>
            </w:rPr>
            <w:t>(</w:t>
          </w:r>
          <w:proofErr w:type="spellStart"/>
          <w:r w:rsidR="00FD77BC" w:rsidRPr="000A5CC5">
            <w:rPr>
              <w:color w:val="000000"/>
              <w:lang w:val="es-CO"/>
            </w:rPr>
            <w:t>Mahdi</w:t>
          </w:r>
          <w:proofErr w:type="spellEnd"/>
          <w:r w:rsidR="00FD77BC" w:rsidRPr="000A5CC5">
            <w:rPr>
              <w:color w:val="000000"/>
              <w:lang w:val="es-CO"/>
            </w:rPr>
            <w:t xml:space="preserve"> et al., 2021)</w:t>
          </w:r>
        </w:sdtContent>
      </w:sdt>
      <w:r w:rsidR="0094290F" w:rsidRPr="000A5CC5">
        <w:rPr>
          <w:lang w:val="es-CO"/>
        </w:rPr>
        <w:t>.</w:t>
      </w:r>
      <w:r w:rsidR="00D0245F" w:rsidRPr="000A5CC5">
        <w:rPr>
          <w:lang w:val="es-CO"/>
        </w:rPr>
        <w:t xml:space="preserve"> </w:t>
      </w:r>
    </w:p>
    <w:p w14:paraId="1F96CA21" w14:textId="47615D27" w:rsidR="00600535" w:rsidRPr="00B57B36" w:rsidRDefault="007E2787" w:rsidP="00FA5F5F">
      <w:pPr>
        <w:pStyle w:val="CETheadingx"/>
      </w:pPr>
      <w:r>
        <w:t>E</w:t>
      </w:r>
      <w:r w:rsidRPr="007E2787">
        <w:t xml:space="preserve">nergy stored and transferred by hydrogenated palm </w:t>
      </w:r>
      <w:proofErr w:type="gramStart"/>
      <w:r w:rsidRPr="007E2787">
        <w:t>stearin</w:t>
      </w:r>
      <w:proofErr w:type="gramEnd"/>
    </w:p>
    <w:p w14:paraId="14213618" w14:textId="3E6A9DB8" w:rsidR="004B551A" w:rsidRDefault="00ED2C4D" w:rsidP="00600535">
      <w:pPr>
        <w:pStyle w:val="CETBodytext"/>
        <w:rPr>
          <w:lang w:val="en-GB"/>
        </w:rPr>
      </w:pPr>
      <w:r w:rsidRPr="00ED2C4D">
        <w:rPr>
          <w:lang w:val="en-GB"/>
        </w:rPr>
        <w:t>The amount of energy transferred from the hot water to the PCM during the charge cycles and vice versa during the discharge cycles is shown in Table 2.</w:t>
      </w:r>
      <w:r w:rsidR="00C77EC4">
        <w:rPr>
          <w:lang w:val="en-GB"/>
        </w:rPr>
        <w:t xml:space="preserve"> </w:t>
      </w:r>
    </w:p>
    <w:p w14:paraId="3BF334AC" w14:textId="07600FF8" w:rsidR="002F1BCB" w:rsidRDefault="002F1BCB" w:rsidP="002F1BCB">
      <w:pPr>
        <w:pStyle w:val="CETTabletitle"/>
      </w:pPr>
      <w:r>
        <w:t xml:space="preserve">Table </w:t>
      </w:r>
      <w:r>
        <w:fldChar w:fldCharType="begin"/>
      </w:r>
      <w:r>
        <w:instrText xml:space="preserve"> SEQ Table \* ARABIC </w:instrText>
      </w:r>
      <w:r>
        <w:fldChar w:fldCharType="separate"/>
      </w:r>
      <w:r>
        <w:rPr>
          <w:noProof/>
        </w:rPr>
        <w:t>2</w:t>
      </w:r>
      <w:r>
        <w:fldChar w:fldCharType="end"/>
      </w:r>
      <w:r>
        <w:t xml:space="preserve">: </w:t>
      </w:r>
      <w:r w:rsidRPr="00A5345D">
        <w:t xml:space="preserve">Energy absorbed and released by the HPS during charge/discharge </w:t>
      </w:r>
      <w:proofErr w:type="gramStart"/>
      <w:r w:rsidRPr="00A5345D">
        <w:t>cycles</w:t>
      </w:r>
      <w:proofErr w:type="gramEnd"/>
    </w:p>
    <w:tbl>
      <w:tblPr>
        <w:tblpPr w:leftFromText="141" w:rightFromText="141" w:vertAnchor="text" w:horzAnchor="margin" w:tblpY="161"/>
        <w:tblW w:w="8505"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701"/>
        <w:gridCol w:w="1701"/>
        <w:gridCol w:w="1985"/>
        <w:gridCol w:w="1843"/>
        <w:gridCol w:w="1275"/>
      </w:tblGrid>
      <w:tr w:rsidR="005F0FF8" w:rsidRPr="00B57B36" w14:paraId="5E819D65" w14:textId="77777777" w:rsidTr="00C15656">
        <w:tc>
          <w:tcPr>
            <w:tcW w:w="1701" w:type="dxa"/>
            <w:tcBorders>
              <w:top w:val="single" w:sz="12" w:space="0" w:color="008000"/>
              <w:bottom w:val="single" w:sz="6" w:space="0" w:color="008000"/>
            </w:tcBorders>
            <w:shd w:val="clear" w:color="auto" w:fill="FFFFFF"/>
            <w:vAlign w:val="center"/>
          </w:tcPr>
          <w:p w14:paraId="6F3CB180" w14:textId="77777777" w:rsidR="005F0FF8" w:rsidRPr="00B57B36" w:rsidRDefault="005F0FF8" w:rsidP="005F0FF8">
            <w:pPr>
              <w:pStyle w:val="CETBodytext"/>
              <w:jc w:val="center"/>
              <w:rPr>
                <w:lang w:val="en-GB"/>
              </w:rPr>
            </w:pPr>
            <w:r>
              <w:rPr>
                <w:lang w:val="en-GB"/>
              </w:rPr>
              <w:t>C</w:t>
            </w:r>
            <w:r w:rsidRPr="004B0C65">
              <w:rPr>
                <w:lang w:val="en-GB"/>
              </w:rPr>
              <w:t>ycle type</w:t>
            </w:r>
          </w:p>
        </w:tc>
        <w:tc>
          <w:tcPr>
            <w:tcW w:w="1701" w:type="dxa"/>
            <w:tcBorders>
              <w:top w:val="single" w:sz="12" w:space="0" w:color="008000"/>
              <w:bottom w:val="single" w:sz="6" w:space="0" w:color="008000"/>
            </w:tcBorders>
            <w:shd w:val="clear" w:color="auto" w:fill="FFFFFF"/>
            <w:vAlign w:val="center"/>
          </w:tcPr>
          <w:p w14:paraId="06726E12" w14:textId="77777777" w:rsidR="005F0FF8" w:rsidRDefault="005F0FF8" w:rsidP="005F0FF8">
            <w:pPr>
              <w:pStyle w:val="CETBodytext"/>
              <w:jc w:val="center"/>
              <w:rPr>
                <w:lang w:val="en-GB"/>
              </w:rPr>
            </w:pPr>
            <w:r>
              <w:rPr>
                <w:lang w:val="en-GB"/>
              </w:rPr>
              <w:t>Start date</w:t>
            </w:r>
          </w:p>
          <w:p w14:paraId="6EF5689A" w14:textId="77777777" w:rsidR="005F0FF8" w:rsidRPr="00B57B36" w:rsidRDefault="005F0FF8" w:rsidP="005F0FF8">
            <w:pPr>
              <w:pStyle w:val="CETBodytext"/>
              <w:jc w:val="center"/>
              <w:rPr>
                <w:lang w:val="en-GB"/>
              </w:rPr>
            </w:pPr>
            <w:r>
              <w:rPr>
                <w:lang w:val="en-GB"/>
              </w:rPr>
              <w:t xml:space="preserve">(y/m/d </w:t>
            </w:r>
            <w:proofErr w:type="gramStart"/>
            <w:r>
              <w:rPr>
                <w:lang w:val="en-GB"/>
              </w:rPr>
              <w:t>h:min</w:t>
            </w:r>
            <w:proofErr w:type="gramEnd"/>
            <w:r>
              <w:rPr>
                <w:lang w:val="en-GB"/>
              </w:rPr>
              <w:t>)</w:t>
            </w:r>
          </w:p>
        </w:tc>
        <w:tc>
          <w:tcPr>
            <w:tcW w:w="1985" w:type="dxa"/>
            <w:tcBorders>
              <w:top w:val="single" w:sz="12" w:space="0" w:color="008000"/>
              <w:bottom w:val="single" w:sz="6" w:space="0" w:color="008000"/>
            </w:tcBorders>
            <w:shd w:val="clear" w:color="auto" w:fill="FFFFFF"/>
            <w:vAlign w:val="center"/>
          </w:tcPr>
          <w:p w14:paraId="329A3DCC" w14:textId="792DFE95" w:rsidR="005F0FF8" w:rsidRPr="00B57B36" w:rsidRDefault="00241DD7" w:rsidP="00CF43AB">
            <w:pPr>
              <w:pStyle w:val="CETBodytext"/>
              <w:jc w:val="center"/>
              <w:rPr>
                <w:lang w:val="en-GB"/>
              </w:rPr>
            </w:pPr>
            <w:r w:rsidRPr="00241DD7">
              <w:rPr>
                <w:lang w:val="en-GB"/>
              </w:rPr>
              <w:t>Energy exchanged by the large coil</w:t>
            </w:r>
            <w:r w:rsidR="00CF43AB">
              <w:rPr>
                <w:lang w:val="en-GB"/>
              </w:rPr>
              <w:t xml:space="preserve"> (MJ</w:t>
            </w:r>
            <w:r w:rsidR="005F0FF8">
              <w:rPr>
                <w:lang w:val="en-GB"/>
              </w:rPr>
              <w:t>)</w:t>
            </w:r>
          </w:p>
        </w:tc>
        <w:tc>
          <w:tcPr>
            <w:tcW w:w="1843" w:type="dxa"/>
            <w:tcBorders>
              <w:top w:val="single" w:sz="12" w:space="0" w:color="008000"/>
              <w:bottom w:val="single" w:sz="6" w:space="0" w:color="008000"/>
            </w:tcBorders>
            <w:shd w:val="clear" w:color="auto" w:fill="FFFFFF"/>
          </w:tcPr>
          <w:p w14:paraId="4DFFCC8F" w14:textId="11EADE50" w:rsidR="008C5F80" w:rsidRDefault="00CF43AB" w:rsidP="005F0FF8">
            <w:pPr>
              <w:pStyle w:val="CETBodytext"/>
              <w:ind w:right="-1"/>
              <w:jc w:val="center"/>
              <w:rPr>
                <w:rFonts w:cs="Arial"/>
                <w:szCs w:val="18"/>
                <w:lang w:val="en-GB"/>
              </w:rPr>
            </w:pPr>
            <w:r w:rsidRPr="00CF43AB">
              <w:t xml:space="preserve">Energy exchanged by the </w:t>
            </w:r>
            <w:r>
              <w:t>small</w:t>
            </w:r>
            <w:r w:rsidRPr="00CF43AB">
              <w:t xml:space="preserve"> coil</w:t>
            </w:r>
            <w:r>
              <w:t xml:space="preserve"> </w:t>
            </w:r>
            <w:r w:rsidR="008C5F80" w:rsidRPr="007630DE">
              <w:t>(</w:t>
            </w:r>
            <w:r>
              <w:t>MJ</w:t>
            </w:r>
            <w:r w:rsidR="008C5F80" w:rsidRPr="007630DE">
              <w:t>)</w:t>
            </w:r>
          </w:p>
        </w:tc>
        <w:tc>
          <w:tcPr>
            <w:tcW w:w="1275" w:type="dxa"/>
            <w:tcBorders>
              <w:top w:val="single" w:sz="12" w:space="0" w:color="008000"/>
              <w:bottom w:val="single" w:sz="6" w:space="0" w:color="008000"/>
            </w:tcBorders>
            <w:shd w:val="clear" w:color="auto" w:fill="FFFFFF"/>
            <w:vAlign w:val="center"/>
          </w:tcPr>
          <w:p w14:paraId="6241897C" w14:textId="54B60D33" w:rsidR="005F0FF8" w:rsidRDefault="00D677A6" w:rsidP="005F0FF8">
            <w:pPr>
              <w:pStyle w:val="CETBodytext"/>
              <w:ind w:right="-1"/>
              <w:jc w:val="center"/>
              <w:rPr>
                <w:rFonts w:cs="Arial"/>
                <w:szCs w:val="18"/>
                <w:lang w:val="en-GB"/>
              </w:rPr>
            </w:pPr>
            <w:r>
              <w:rPr>
                <w:rFonts w:cs="Arial"/>
                <w:szCs w:val="18"/>
                <w:lang w:val="en-GB"/>
              </w:rPr>
              <w:t xml:space="preserve">Total </w:t>
            </w:r>
            <w:r w:rsidR="005F0FF8">
              <w:rPr>
                <w:rFonts w:cs="Arial"/>
                <w:szCs w:val="18"/>
                <w:lang w:val="en-GB"/>
              </w:rPr>
              <w:t>Energy</w:t>
            </w:r>
          </w:p>
          <w:p w14:paraId="074433BD" w14:textId="5F3E5D9F" w:rsidR="005F0FF8" w:rsidRPr="00B57B36" w:rsidRDefault="005F0FF8" w:rsidP="005F0FF8">
            <w:pPr>
              <w:pStyle w:val="CETBodytext"/>
              <w:ind w:right="-1"/>
              <w:jc w:val="center"/>
              <w:rPr>
                <w:rFonts w:cs="Arial"/>
                <w:szCs w:val="18"/>
                <w:lang w:val="en-GB"/>
              </w:rPr>
            </w:pPr>
            <w:r>
              <w:rPr>
                <w:rFonts w:cs="Arial"/>
                <w:szCs w:val="18"/>
                <w:lang w:val="en-GB"/>
              </w:rPr>
              <w:t>(MJ)</w:t>
            </w:r>
          </w:p>
        </w:tc>
      </w:tr>
      <w:tr w:rsidR="008C5F80" w:rsidRPr="00B57B36" w14:paraId="2E6A091B" w14:textId="77777777" w:rsidTr="00C15656">
        <w:tc>
          <w:tcPr>
            <w:tcW w:w="1701" w:type="dxa"/>
            <w:shd w:val="clear" w:color="auto" w:fill="FFFFFF"/>
          </w:tcPr>
          <w:p w14:paraId="2D800D53" w14:textId="77777777" w:rsidR="008C5F80" w:rsidRPr="00B57B36" w:rsidRDefault="008C5F80" w:rsidP="008C5F80">
            <w:pPr>
              <w:pStyle w:val="CETBodytext"/>
              <w:rPr>
                <w:lang w:val="en-GB"/>
              </w:rPr>
            </w:pPr>
            <w:r>
              <w:rPr>
                <w:lang w:val="en-GB"/>
              </w:rPr>
              <w:t>Charge</w:t>
            </w:r>
          </w:p>
        </w:tc>
        <w:tc>
          <w:tcPr>
            <w:tcW w:w="1701" w:type="dxa"/>
            <w:shd w:val="clear" w:color="auto" w:fill="FFFFFF"/>
            <w:vAlign w:val="center"/>
          </w:tcPr>
          <w:p w14:paraId="248BF6A1" w14:textId="77777777" w:rsidR="008C5F80" w:rsidRPr="00B57B36" w:rsidRDefault="008C5F80" w:rsidP="008C5F80">
            <w:pPr>
              <w:pStyle w:val="CETBodytext"/>
              <w:jc w:val="center"/>
              <w:rPr>
                <w:lang w:val="en-GB"/>
              </w:rPr>
            </w:pPr>
            <w:r>
              <w:rPr>
                <w:lang w:val="en-GB"/>
              </w:rPr>
              <w:t>2023/12/11 9:22</w:t>
            </w:r>
          </w:p>
        </w:tc>
        <w:tc>
          <w:tcPr>
            <w:tcW w:w="1985" w:type="dxa"/>
            <w:shd w:val="clear" w:color="auto" w:fill="FFFFFF"/>
            <w:vAlign w:val="center"/>
          </w:tcPr>
          <w:p w14:paraId="28815149" w14:textId="059A8BD8" w:rsidR="008C5F80" w:rsidRPr="00B57B36" w:rsidRDefault="008C5F80" w:rsidP="008C5F80">
            <w:pPr>
              <w:pStyle w:val="CETBodytext"/>
              <w:jc w:val="center"/>
              <w:rPr>
                <w:lang w:val="en-GB"/>
              </w:rPr>
            </w:pPr>
            <w:r>
              <w:rPr>
                <w:lang w:val="en-GB"/>
              </w:rPr>
              <w:t>2</w:t>
            </w:r>
            <w:r w:rsidR="00255537">
              <w:rPr>
                <w:lang w:val="en-GB"/>
              </w:rPr>
              <w:t>2.4</w:t>
            </w:r>
          </w:p>
        </w:tc>
        <w:tc>
          <w:tcPr>
            <w:tcW w:w="1843" w:type="dxa"/>
            <w:shd w:val="clear" w:color="auto" w:fill="FFFFFF"/>
          </w:tcPr>
          <w:p w14:paraId="60FD68D2" w14:textId="438CD4F8" w:rsidR="008C5F80" w:rsidRDefault="00406F42" w:rsidP="008C5F80">
            <w:pPr>
              <w:pStyle w:val="CETBodytext"/>
              <w:ind w:right="-1"/>
              <w:jc w:val="center"/>
              <w:rPr>
                <w:rFonts w:cs="Arial"/>
                <w:szCs w:val="18"/>
                <w:lang w:val="en-GB"/>
              </w:rPr>
            </w:pPr>
            <w:r>
              <w:t>1</w:t>
            </w:r>
            <w:r w:rsidR="00AC6AB2">
              <w:t>9</w:t>
            </w:r>
            <w:r>
              <w:t>.</w:t>
            </w:r>
            <w:r w:rsidR="00AC6AB2">
              <w:t>8</w:t>
            </w:r>
          </w:p>
        </w:tc>
        <w:tc>
          <w:tcPr>
            <w:tcW w:w="1275" w:type="dxa"/>
            <w:shd w:val="clear" w:color="auto" w:fill="FFFFFF"/>
            <w:vAlign w:val="center"/>
          </w:tcPr>
          <w:p w14:paraId="04182C59" w14:textId="15B8801A" w:rsidR="008C5F80" w:rsidRPr="00B57B36" w:rsidRDefault="008C5F80" w:rsidP="008C5F80">
            <w:pPr>
              <w:pStyle w:val="CETBodytext"/>
              <w:ind w:right="-1"/>
              <w:jc w:val="center"/>
              <w:rPr>
                <w:rFonts w:cs="Arial"/>
                <w:szCs w:val="18"/>
                <w:lang w:val="en-GB"/>
              </w:rPr>
            </w:pPr>
            <w:r>
              <w:rPr>
                <w:rFonts w:cs="Arial"/>
                <w:szCs w:val="18"/>
                <w:lang w:val="en-GB"/>
              </w:rPr>
              <w:t>42.</w:t>
            </w:r>
            <w:r w:rsidR="002F764C">
              <w:rPr>
                <w:rFonts w:cs="Arial"/>
                <w:szCs w:val="18"/>
                <w:lang w:val="en-GB"/>
              </w:rPr>
              <w:t>2</w:t>
            </w:r>
          </w:p>
        </w:tc>
      </w:tr>
      <w:tr w:rsidR="008C5F80" w:rsidRPr="00B57B36" w14:paraId="250CD987" w14:textId="77777777" w:rsidTr="00C15656">
        <w:tc>
          <w:tcPr>
            <w:tcW w:w="1701" w:type="dxa"/>
            <w:shd w:val="clear" w:color="auto" w:fill="FFFFFF"/>
          </w:tcPr>
          <w:p w14:paraId="34EC222F" w14:textId="77777777" w:rsidR="008C5F80" w:rsidRPr="00B57B36" w:rsidRDefault="008C5F80" w:rsidP="008C5F80">
            <w:pPr>
              <w:pStyle w:val="CETBodytext"/>
              <w:ind w:right="-1"/>
              <w:rPr>
                <w:rFonts w:cs="Arial"/>
                <w:szCs w:val="18"/>
                <w:lang w:val="en-GB"/>
              </w:rPr>
            </w:pPr>
            <w:r>
              <w:rPr>
                <w:rFonts w:cs="Arial"/>
                <w:szCs w:val="18"/>
                <w:lang w:val="en-GB"/>
              </w:rPr>
              <w:t>Discharge</w:t>
            </w:r>
          </w:p>
        </w:tc>
        <w:tc>
          <w:tcPr>
            <w:tcW w:w="1701" w:type="dxa"/>
            <w:shd w:val="clear" w:color="auto" w:fill="FFFFFF"/>
            <w:vAlign w:val="center"/>
          </w:tcPr>
          <w:p w14:paraId="61E82297" w14:textId="77777777" w:rsidR="008C5F80" w:rsidRPr="00B57B36" w:rsidRDefault="008C5F80" w:rsidP="008C5F80">
            <w:pPr>
              <w:pStyle w:val="CETBodytext"/>
              <w:ind w:right="-1"/>
              <w:jc w:val="center"/>
              <w:rPr>
                <w:rFonts w:cs="Arial"/>
                <w:szCs w:val="18"/>
                <w:lang w:val="en-GB"/>
              </w:rPr>
            </w:pPr>
            <w:r>
              <w:rPr>
                <w:lang w:val="en-GB"/>
              </w:rPr>
              <w:t>2023/12/11 22:27</w:t>
            </w:r>
          </w:p>
        </w:tc>
        <w:tc>
          <w:tcPr>
            <w:tcW w:w="1985" w:type="dxa"/>
            <w:shd w:val="clear" w:color="auto" w:fill="FFFFFF"/>
            <w:vAlign w:val="center"/>
          </w:tcPr>
          <w:p w14:paraId="2183D991" w14:textId="541115CC" w:rsidR="008C5F80" w:rsidRPr="00B57B36" w:rsidRDefault="00406F42" w:rsidP="008C5F80">
            <w:pPr>
              <w:pStyle w:val="CETBodytext"/>
              <w:ind w:right="-1"/>
              <w:jc w:val="center"/>
              <w:rPr>
                <w:rFonts w:cs="Arial"/>
                <w:szCs w:val="18"/>
                <w:lang w:val="en-GB"/>
              </w:rPr>
            </w:pPr>
            <w:r>
              <w:rPr>
                <w:rFonts w:cs="Arial"/>
                <w:szCs w:val="18"/>
                <w:lang w:val="en-GB"/>
              </w:rPr>
              <w:t>20.7</w:t>
            </w:r>
          </w:p>
        </w:tc>
        <w:tc>
          <w:tcPr>
            <w:tcW w:w="1843" w:type="dxa"/>
            <w:shd w:val="clear" w:color="auto" w:fill="FFFFFF"/>
          </w:tcPr>
          <w:p w14:paraId="11DD88FA" w14:textId="123BF3EB" w:rsidR="008C5F80" w:rsidRDefault="00406F42" w:rsidP="008C5F80">
            <w:pPr>
              <w:pStyle w:val="CETBodytext"/>
              <w:ind w:right="-1"/>
              <w:jc w:val="center"/>
              <w:rPr>
                <w:rFonts w:cs="Arial"/>
                <w:szCs w:val="18"/>
                <w:lang w:val="en-GB"/>
              </w:rPr>
            </w:pPr>
            <w:r>
              <w:t>11.7</w:t>
            </w:r>
          </w:p>
        </w:tc>
        <w:tc>
          <w:tcPr>
            <w:tcW w:w="1275" w:type="dxa"/>
            <w:shd w:val="clear" w:color="auto" w:fill="FFFFFF"/>
            <w:vAlign w:val="center"/>
          </w:tcPr>
          <w:p w14:paraId="5A3E59EE" w14:textId="75A9E5B0" w:rsidR="008C5F80" w:rsidRPr="00B57B36" w:rsidRDefault="008C5F80" w:rsidP="008C5F80">
            <w:pPr>
              <w:pStyle w:val="CETBodytext"/>
              <w:ind w:right="-1"/>
              <w:jc w:val="center"/>
              <w:rPr>
                <w:rFonts w:cs="Arial"/>
                <w:szCs w:val="18"/>
                <w:lang w:val="en-GB"/>
              </w:rPr>
            </w:pPr>
            <w:r>
              <w:rPr>
                <w:rFonts w:cs="Arial"/>
                <w:szCs w:val="18"/>
                <w:lang w:val="en-GB"/>
              </w:rPr>
              <w:t>32.4</w:t>
            </w:r>
          </w:p>
        </w:tc>
      </w:tr>
      <w:tr w:rsidR="008C5F80" w:rsidRPr="00B57B36" w14:paraId="325E7603" w14:textId="77777777" w:rsidTr="00C15656">
        <w:tc>
          <w:tcPr>
            <w:tcW w:w="1701" w:type="dxa"/>
            <w:shd w:val="clear" w:color="auto" w:fill="FFFFFF"/>
          </w:tcPr>
          <w:p w14:paraId="7901D041" w14:textId="77777777" w:rsidR="008C5F80" w:rsidRPr="00B57B36" w:rsidRDefault="008C5F80" w:rsidP="008C5F80">
            <w:pPr>
              <w:pStyle w:val="CETBodytext"/>
              <w:ind w:right="-1"/>
              <w:rPr>
                <w:rFonts w:cs="Arial"/>
                <w:szCs w:val="18"/>
                <w:lang w:val="en-GB"/>
              </w:rPr>
            </w:pPr>
            <w:r>
              <w:rPr>
                <w:rFonts w:cs="Arial"/>
                <w:szCs w:val="18"/>
                <w:lang w:val="en-GB"/>
              </w:rPr>
              <w:t>Charge</w:t>
            </w:r>
          </w:p>
        </w:tc>
        <w:tc>
          <w:tcPr>
            <w:tcW w:w="1701" w:type="dxa"/>
            <w:shd w:val="clear" w:color="auto" w:fill="FFFFFF"/>
            <w:vAlign w:val="center"/>
          </w:tcPr>
          <w:p w14:paraId="559F4100" w14:textId="77777777" w:rsidR="008C5F80" w:rsidRPr="00B57B36" w:rsidRDefault="008C5F80" w:rsidP="008C5F80">
            <w:pPr>
              <w:pStyle w:val="CETBodytext"/>
              <w:ind w:right="-1"/>
              <w:jc w:val="center"/>
              <w:rPr>
                <w:rFonts w:cs="Arial"/>
                <w:szCs w:val="18"/>
                <w:lang w:val="en-GB"/>
              </w:rPr>
            </w:pPr>
            <w:r w:rsidRPr="00B03471">
              <w:rPr>
                <w:rFonts w:cs="Arial"/>
                <w:szCs w:val="18"/>
                <w:lang w:val="en-GB"/>
              </w:rPr>
              <w:t>2023/12/1</w:t>
            </w:r>
            <w:r>
              <w:rPr>
                <w:rFonts w:cs="Arial"/>
                <w:szCs w:val="18"/>
                <w:lang w:val="en-GB"/>
              </w:rPr>
              <w:t>2</w:t>
            </w:r>
            <w:r w:rsidRPr="00B03471">
              <w:rPr>
                <w:rFonts w:cs="Arial"/>
                <w:szCs w:val="18"/>
                <w:lang w:val="en-GB"/>
              </w:rPr>
              <w:t xml:space="preserve"> </w:t>
            </w:r>
            <w:r>
              <w:rPr>
                <w:rFonts w:cs="Arial"/>
                <w:szCs w:val="18"/>
                <w:lang w:val="en-GB"/>
              </w:rPr>
              <w:t>9</w:t>
            </w:r>
            <w:r w:rsidRPr="00B03471">
              <w:rPr>
                <w:rFonts w:cs="Arial"/>
                <w:szCs w:val="18"/>
                <w:lang w:val="en-GB"/>
              </w:rPr>
              <w:t>:</w:t>
            </w:r>
            <w:r>
              <w:rPr>
                <w:rFonts w:cs="Arial"/>
                <w:szCs w:val="18"/>
                <w:lang w:val="en-GB"/>
              </w:rPr>
              <w:t>16</w:t>
            </w:r>
          </w:p>
        </w:tc>
        <w:tc>
          <w:tcPr>
            <w:tcW w:w="1985" w:type="dxa"/>
            <w:shd w:val="clear" w:color="auto" w:fill="FFFFFF"/>
            <w:vAlign w:val="center"/>
          </w:tcPr>
          <w:p w14:paraId="598D92B6" w14:textId="771D6B36" w:rsidR="008C5F80" w:rsidRPr="00B57B36" w:rsidRDefault="007B1D5B" w:rsidP="008C5F80">
            <w:pPr>
              <w:pStyle w:val="CETBodytext"/>
              <w:ind w:right="-1"/>
              <w:jc w:val="center"/>
              <w:rPr>
                <w:rFonts w:cs="Arial"/>
                <w:szCs w:val="18"/>
                <w:lang w:val="en-GB"/>
              </w:rPr>
            </w:pPr>
            <w:r>
              <w:rPr>
                <w:rFonts w:cs="Arial"/>
                <w:szCs w:val="18"/>
                <w:lang w:val="en-GB"/>
              </w:rPr>
              <w:t>21.1</w:t>
            </w:r>
          </w:p>
        </w:tc>
        <w:tc>
          <w:tcPr>
            <w:tcW w:w="1843" w:type="dxa"/>
            <w:shd w:val="clear" w:color="auto" w:fill="FFFFFF"/>
          </w:tcPr>
          <w:p w14:paraId="263FF617" w14:textId="1B8FBF90" w:rsidR="008C5F80" w:rsidRDefault="007B1D5B" w:rsidP="008C5F80">
            <w:pPr>
              <w:pStyle w:val="CETBodytext"/>
              <w:ind w:right="-1"/>
              <w:jc w:val="center"/>
              <w:rPr>
                <w:rFonts w:cs="Arial"/>
                <w:szCs w:val="18"/>
                <w:lang w:val="en-GB"/>
              </w:rPr>
            </w:pPr>
            <w:r>
              <w:t>18.8</w:t>
            </w:r>
          </w:p>
        </w:tc>
        <w:tc>
          <w:tcPr>
            <w:tcW w:w="1275" w:type="dxa"/>
            <w:shd w:val="clear" w:color="auto" w:fill="FFFFFF"/>
            <w:vAlign w:val="center"/>
          </w:tcPr>
          <w:p w14:paraId="274237AB" w14:textId="0E9FDF23" w:rsidR="008C5F80" w:rsidRPr="00B57B36" w:rsidRDefault="008C5F80" w:rsidP="008C5F80">
            <w:pPr>
              <w:pStyle w:val="CETBodytext"/>
              <w:ind w:right="-1"/>
              <w:jc w:val="center"/>
              <w:rPr>
                <w:rFonts w:cs="Arial"/>
                <w:szCs w:val="18"/>
                <w:lang w:val="en-GB"/>
              </w:rPr>
            </w:pPr>
            <w:r>
              <w:rPr>
                <w:rFonts w:cs="Arial"/>
                <w:szCs w:val="18"/>
                <w:lang w:val="en-GB"/>
              </w:rPr>
              <w:t>39.9</w:t>
            </w:r>
          </w:p>
        </w:tc>
      </w:tr>
      <w:tr w:rsidR="008C5F80" w:rsidRPr="00B57B36" w14:paraId="35C4F754" w14:textId="77777777" w:rsidTr="00C15656">
        <w:tc>
          <w:tcPr>
            <w:tcW w:w="1701" w:type="dxa"/>
            <w:shd w:val="clear" w:color="auto" w:fill="FFFFFF"/>
          </w:tcPr>
          <w:p w14:paraId="6CE2113A" w14:textId="77777777" w:rsidR="008C5F80" w:rsidRPr="00B57B36" w:rsidRDefault="008C5F80" w:rsidP="008C5F80">
            <w:pPr>
              <w:pStyle w:val="CETBodytext"/>
              <w:ind w:right="-1"/>
              <w:rPr>
                <w:rFonts w:cs="Arial"/>
                <w:szCs w:val="18"/>
                <w:lang w:val="en-GB"/>
              </w:rPr>
            </w:pPr>
            <w:r>
              <w:rPr>
                <w:rFonts w:cs="Arial"/>
                <w:szCs w:val="18"/>
                <w:lang w:val="en-GB"/>
              </w:rPr>
              <w:t>Discharge</w:t>
            </w:r>
          </w:p>
        </w:tc>
        <w:tc>
          <w:tcPr>
            <w:tcW w:w="1701" w:type="dxa"/>
            <w:shd w:val="clear" w:color="auto" w:fill="FFFFFF"/>
            <w:vAlign w:val="center"/>
          </w:tcPr>
          <w:p w14:paraId="37BBCA7E" w14:textId="77777777" w:rsidR="008C5F80" w:rsidRPr="00B57B36" w:rsidRDefault="008C5F80" w:rsidP="008C5F80">
            <w:pPr>
              <w:pStyle w:val="CETBodytext"/>
              <w:ind w:right="-1"/>
              <w:jc w:val="center"/>
              <w:rPr>
                <w:rFonts w:cs="Arial"/>
                <w:szCs w:val="18"/>
                <w:lang w:val="en-GB"/>
              </w:rPr>
            </w:pPr>
            <w:r w:rsidRPr="00B03471">
              <w:rPr>
                <w:rFonts w:cs="Arial"/>
                <w:szCs w:val="18"/>
                <w:lang w:val="en-GB"/>
              </w:rPr>
              <w:t>2023/12/1</w:t>
            </w:r>
            <w:r>
              <w:rPr>
                <w:rFonts w:cs="Arial"/>
                <w:szCs w:val="18"/>
                <w:lang w:val="en-GB"/>
              </w:rPr>
              <w:t>2</w:t>
            </w:r>
            <w:r w:rsidRPr="00B03471">
              <w:rPr>
                <w:rFonts w:cs="Arial"/>
                <w:szCs w:val="18"/>
                <w:lang w:val="en-GB"/>
              </w:rPr>
              <w:t xml:space="preserve"> </w:t>
            </w:r>
            <w:r>
              <w:rPr>
                <w:rFonts w:cs="Arial"/>
                <w:szCs w:val="18"/>
                <w:lang w:val="en-GB"/>
              </w:rPr>
              <w:t>22</w:t>
            </w:r>
            <w:r w:rsidRPr="00B03471">
              <w:rPr>
                <w:rFonts w:cs="Arial"/>
                <w:szCs w:val="18"/>
                <w:lang w:val="en-GB"/>
              </w:rPr>
              <w:t>:</w:t>
            </w:r>
            <w:r>
              <w:rPr>
                <w:rFonts w:cs="Arial"/>
                <w:szCs w:val="18"/>
                <w:lang w:val="en-GB"/>
              </w:rPr>
              <w:t>30</w:t>
            </w:r>
          </w:p>
        </w:tc>
        <w:tc>
          <w:tcPr>
            <w:tcW w:w="1985" w:type="dxa"/>
            <w:shd w:val="clear" w:color="auto" w:fill="FFFFFF"/>
            <w:vAlign w:val="center"/>
          </w:tcPr>
          <w:p w14:paraId="3A541752" w14:textId="4F927001" w:rsidR="008C5F80" w:rsidRPr="00B57B36" w:rsidRDefault="000E14EC" w:rsidP="008C5F80">
            <w:pPr>
              <w:pStyle w:val="CETBodytext"/>
              <w:ind w:right="-1"/>
              <w:jc w:val="center"/>
              <w:rPr>
                <w:rFonts w:cs="Arial"/>
                <w:szCs w:val="18"/>
                <w:lang w:val="en-GB"/>
              </w:rPr>
            </w:pPr>
            <w:r>
              <w:rPr>
                <w:rFonts w:cs="Arial"/>
                <w:szCs w:val="18"/>
                <w:lang w:val="en-GB"/>
              </w:rPr>
              <w:t>23.</w:t>
            </w:r>
            <w:r w:rsidR="00C810DE">
              <w:rPr>
                <w:rFonts w:cs="Arial"/>
                <w:szCs w:val="18"/>
                <w:lang w:val="en-GB"/>
              </w:rPr>
              <w:t>7</w:t>
            </w:r>
          </w:p>
        </w:tc>
        <w:tc>
          <w:tcPr>
            <w:tcW w:w="1843" w:type="dxa"/>
            <w:shd w:val="clear" w:color="auto" w:fill="FFFFFF"/>
          </w:tcPr>
          <w:p w14:paraId="3C5F2B00" w14:textId="4CB945D3" w:rsidR="008C5F80" w:rsidRDefault="000E14EC" w:rsidP="008C5F80">
            <w:pPr>
              <w:pStyle w:val="CETBodytext"/>
              <w:ind w:right="-1"/>
              <w:jc w:val="center"/>
              <w:rPr>
                <w:rFonts w:cs="Arial"/>
                <w:szCs w:val="18"/>
                <w:lang w:val="en-GB"/>
              </w:rPr>
            </w:pPr>
            <w:r>
              <w:rPr>
                <w:rFonts w:cs="Arial"/>
                <w:szCs w:val="18"/>
                <w:lang w:val="en-GB"/>
              </w:rPr>
              <w:t>13.3</w:t>
            </w:r>
          </w:p>
        </w:tc>
        <w:tc>
          <w:tcPr>
            <w:tcW w:w="1275" w:type="dxa"/>
            <w:shd w:val="clear" w:color="auto" w:fill="FFFFFF"/>
            <w:vAlign w:val="center"/>
          </w:tcPr>
          <w:p w14:paraId="470F6C92" w14:textId="17F21011" w:rsidR="008C5F80" w:rsidRPr="00B57B36" w:rsidRDefault="008C5F80" w:rsidP="008C5F80">
            <w:pPr>
              <w:pStyle w:val="CETBodytext"/>
              <w:ind w:right="-1"/>
              <w:jc w:val="center"/>
              <w:rPr>
                <w:rFonts w:cs="Arial"/>
                <w:szCs w:val="18"/>
                <w:lang w:val="en-GB"/>
              </w:rPr>
            </w:pPr>
            <w:r>
              <w:rPr>
                <w:rFonts w:cs="Arial"/>
                <w:szCs w:val="18"/>
                <w:lang w:val="en-GB"/>
              </w:rPr>
              <w:t>37.0</w:t>
            </w:r>
          </w:p>
        </w:tc>
      </w:tr>
    </w:tbl>
    <w:p w14:paraId="7FB4675D" w14:textId="3B5E181A" w:rsidR="00EB2830" w:rsidRPr="00DE6DD9" w:rsidRDefault="00DE6DD9" w:rsidP="00EB2830">
      <w:pPr>
        <w:pStyle w:val="CETHeading1"/>
        <w:numPr>
          <w:ilvl w:val="0"/>
          <w:numId w:val="0"/>
        </w:numPr>
        <w:rPr>
          <w:b w:val="0"/>
          <w:sz w:val="18"/>
          <w:lang w:val="en-GB"/>
        </w:rPr>
      </w:pPr>
      <w:r w:rsidRPr="00DE6DD9">
        <w:rPr>
          <w:b w:val="0"/>
          <w:sz w:val="18"/>
          <w:lang w:val="en-GB"/>
        </w:rPr>
        <w:t xml:space="preserve">The energy exchanged by each coil and the total energy are detailed. The energy released during a discharge cycle corresponds to between 76% and 92% of the energy absorbed during the day. This lower proportion is </w:t>
      </w:r>
      <w:r w:rsidRPr="00DE6DD9">
        <w:rPr>
          <w:b w:val="0"/>
          <w:sz w:val="18"/>
          <w:lang w:val="en-GB"/>
        </w:rPr>
        <w:lastRenderedPageBreak/>
        <w:t>due to energy losses to the environment and to the characteristics of the crystallization process where, as the PCM becomes a solid state, the layer that forms around the coils forms a barrier that limits heat transfer. This, however, allows hot water to be delivered for longer, where in the 8 hours of discharge tests, the water outlet temperature decreased only 10 °C.</w:t>
      </w:r>
    </w:p>
    <w:p w14:paraId="68D26B83" w14:textId="6586CEB2" w:rsidR="00600535" w:rsidRPr="00B57B36" w:rsidRDefault="00600535" w:rsidP="00600535">
      <w:pPr>
        <w:pStyle w:val="CETHeading1"/>
        <w:rPr>
          <w:lang w:val="en-GB"/>
        </w:rPr>
      </w:pPr>
      <w:r w:rsidRPr="00B57B36">
        <w:rPr>
          <w:lang w:val="en-GB"/>
        </w:rPr>
        <w:t>Conclusions</w:t>
      </w:r>
    </w:p>
    <w:p w14:paraId="52DAFDE0" w14:textId="1E69A5EB" w:rsidR="001D0CFB" w:rsidRPr="001D6F71" w:rsidRDefault="00DF4915" w:rsidP="00DF4915">
      <w:pPr>
        <w:pStyle w:val="CETBodytext"/>
      </w:pPr>
      <w:r w:rsidRPr="00DF4915">
        <w:rPr>
          <w:lang w:val="en-GB"/>
        </w:rPr>
        <w:t xml:space="preserve">Hydrogenated palm stearin showed satisfactory performance as a phase change material allowing up to 37 MJ of heat to be delivered during a discharge cycle. Being a material of renewable and biodegradable origin, it is presented as a viable alternative to replace the use of paraffin of petrochemical origin, which is currently the most widely used PCM. </w:t>
      </w:r>
      <w:r w:rsidR="00FC2227" w:rsidRPr="00914C18">
        <w:t>In addition, this would make it possible to diversify the oil palm production chain where palm stearin is seen as an unwanted product by most companies</w:t>
      </w:r>
      <w:r w:rsidR="00914C18" w:rsidRPr="00FC2227">
        <w:t>.</w:t>
      </w:r>
      <w:r w:rsidR="00FC2227">
        <w:t xml:space="preserve"> I</w:t>
      </w:r>
      <w:proofErr w:type="spellStart"/>
      <w:r w:rsidRPr="00DF4915">
        <w:rPr>
          <w:lang w:val="en-GB"/>
        </w:rPr>
        <w:t>t</w:t>
      </w:r>
      <w:proofErr w:type="spellEnd"/>
      <w:r w:rsidRPr="00DF4915">
        <w:rPr>
          <w:lang w:val="en-GB"/>
        </w:rPr>
        <w:t xml:space="preserve"> is necessary to continue with the design and implementation of improvements in solar thermal energy storage systems </w:t>
      </w:r>
      <w:r w:rsidR="00FC2227" w:rsidRPr="00DF4915">
        <w:rPr>
          <w:lang w:val="en-GB"/>
        </w:rPr>
        <w:t>to</w:t>
      </w:r>
      <w:r w:rsidRPr="00DF4915">
        <w:rPr>
          <w:lang w:val="en-GB"/>
        </w:rPr>
        <w:t xml:space="preserve"> increase the overall efficiency of this type of technologies, guaranteeing the fusion of the entire PCM and minimizing energy losses heat to the environment</w:t>
      </w:r>
      <w:r w:rsidR="001D0CFB">
        <w:rPr>
          <w:lang w:val="en-GB"/>
        </w:rPr>
        <w:t>.</w:t>
      </w:r>
      <w:r w:rsidR="00226727">
        <w:rPr>
          <w:lang w:val="en-GB"/>
        </w:rPr>
        <w:t xml:space="preserve"> </w:t>
      </w:r>
      <w:r w:rsidR="001D6F71" w:rsidRPr="0071022F">
        <w:t>Likewise, it is necessary to establish the behavior of the system over longer periods of time, in order to estimate a more accurate efficiency, which includes the climatic variations of the area</w:t>
      </w:r>
      <w:r w:rsidR="00D32756" w:rsidRPr="001D6F71">
        <w:t>.</w:t>
      </w:r>
    </w:p>
    <w:p w14:paraId="38BFE636" w14:textId="69D73295" w:rsidR="00280FAF" w:rsidRPr="001D6F71" w:rsidRDefault="00280FAF" w:rsidP="00280FAF">
      <w:pPr>
        <w:pStyle w:val="CETBodytext"/>
        <w:jc w:val="left"/>
        <w:rPr>
          <w:rFonts w:eastAsia="SimSun"/>
        </w:rPr>
        <w:sectPr w:rsidR="00280FAF" w:rsidRPr="001D6F71" w:rsidSect="007D22F7">
          <w:type w:val="continuous"/>
          <w:pgSz w:w="11906" w:h="16838" w:code="9"/>
          <w:pgMar w:top="1701" w:right="1418" w:bottom="1701" w:left="1701" w:header="1701" w:footer="0" w:gutter="0"/>
          <w:cols w:space="708"/>
          <w:formProt w:val="0"/>
          <w:titlePg/>
          <w:docGrid w:linePitch="360"/>
        </w:sectPr>
      </w:pPr>
    </w:p>
    <w:p w14:paraId="459D05E6" w14:textId="77777777" w:rsidR="00600535" w:rsidRPr="00B57B36" w:rsidRDefault="00600535" w:rsidP="00600535">
      <w:pPr>
        <w:pStyle w:val="CETAcknowledgementstitle"/>
      </w:pPr>
      <w:r w:rsidRPr="00B57B36">
        <w:t>Acknowledgments</w:t>
      </w:r>
    </w:p>
    <w:p w14:paraId="33F8138F" w14:textId="7FF48CAC" w:rsidR="00600535" w:rsidRPr="00B57B36" w:rsidRDefault="00C610BE" w:rsidP="00600535">
      <w:pPr>
        <w:pStyle w:val="CETBodytext"/>
        <w:rPr>
          <w:lang w:val="en-GB"/>
        </w:rPr>
      </w:pPr>
      <w:r w:rsidRPr="00C610BE">
        <w:rPr>
          <w:lang w:val="en-GB"/>
        </w:rPr>
        <w:t xml:space="preserve">Authors would like to thank The Royal Society for supporting this research through the Enabling Harvesting of Solar Energy for Remote Applications in the Andes Region (LA-SOLAR ENHANCE- ICA\R1\191201) project. </w:t>
      </w:r>
      <w:proofErr w:type="spellStart"/>
      <w:r w:rsidRPr="00C610BE">
        <w:rPr>
          <w:lang w:val="es-CO"/>
        </w:rPr>
        <w:t>Also</w:t>
      </w:r>
      <w:proofErr w:type="spellEnd"/>
      <w:r w:rsidRPr="00C610BE">
        <w:rPr>
          <w:lang w:val="es-CO"/>
        </w:rPr>
        <w:t xml:space="preserve"> </w:t>
      </w:r>
      <w:proofErr w:type="spellStart"/>
      <w:r w:rsidRPr="00C610BE">
        <w:rPr>
          <w:lang w:val="es-CO"/>
        </w:rPr>
        <w:t>special</w:t>
      </w:r>
      <w:proofErr w:type="spellEnd"/>
      <w:r w:rsidRPr="00C610BE">
        <w:rPr>
          <w:lang w:val="es-CO"/>
        </w:rPr>
        <w:t xml:space="preserve"> </w:t>
      </w:r>
      <w:proofErr w:type="spellStart"/>
      <w:r w:rsidRPr="00C610BE">
        <w:rPr>
          <w:lang w:val="es-CO"/>
        </w:rPr>
        <w:t>thanks</w:t>
      </w:r>
      <w:proofErr w:type="spellEnd"/>
      <w:r w:rsidRPr="00C610BE">
        <w:rPr>
          <w:lang w:val="es-CO"/>
        </w:rPr>
        <w:t xml:space="preserve"> </w:t>
      </w:r>
      <w:proofErr w:type="spellStart"/>
      <w:r w:rsidRPr="00C610BE">
        <w:rPr>
          <w:lang w:val="es-CO"/>
        </w:rPr>
        <w:t>to</w:t>
      </w:r>
      <w:proofErr w:type="spellEnd"/>
      <w:r w:rsidRPr="00C610BE">
        <w:rPr>
          <w:lang w:val="es-CO"/>
        </w:rPr>
        <w:t xml:space="preserve"> </w:t>
      </w:r>
      <w:proofErr w:type="spellStart"/>
      <w:r w:rsidRPr="00C610BE">
        <w:rPr>
          <w:lang w:val="es-CO"/>
        </w:rPr>
        <w:t>the</w:t>
      </w:r>
      <w:proofErr w:type="spellEnd"/>
      <w:r w:rsidRPr="00C610BE">
        <w:rPr>
          <w:lang w:val="es-CO"/>
        </w:rPr>
        <w:t xml:space="preserve"> Ministerio de Ciencia Tecnología e Innovación </w:t>
      </w:r>
      <w:proofErr w:type="spellStart"/>
      <w:r w:rsidRPr="00C610BE">
        <w:rPr>
          <w:lang w:val="es-CO"/>
        </w:rPr>
        <w:t>of</w:t>
      </w:r>
      <w:proofErr w:type="spellEnd"/>
      <w:r w:rsidRPr="00C610BE">
        <w:rPr>
          <w:lang w:val="es-CO"/>
        </w:rPr>
        <w:t xml:space="preserve"> Colombia </w:t>
      </w:r>
      <w:proofErr w:type="spellStart"/>
      <w:r w:rsidRPr="00C610BE">
        <w:rPr>
          <w:lang w:val="es-CO"/>
        </w:rPr>
        <w:t>for</w:t>
      </w:r>
      <w:proofErr w:type="spellEnd"/>
      <w:r w:rsidRPr="00C610BE">
        <w:rPr>
          <w:lang w:val="es-CO"/>
        </w:rPr>
        <w:t xml:space="preserve"> </w:t>
      </w:r>
      <w:proofErr w:type="spellStart"/>
      <w:r w:rsidRPr="00C610BE">
        <w:rPr>
          <w:lang w:val="es-CO"/>
        </w:rPr>
        <w:t>the</w:t>
      </w:r>
      <w:proofErr w:type="spellEnd"/>
      <w:r w:rsidRPr="00C610BE">
        <w:rPr>
          <w:lang w:val="es-CO"/>
        </w:rPr>
        <w:t xml:space="preserve"> </w:t>
      </w:r>
      <w:proofErr w:type="spellStart"/>
      <w:r w:rsidRPr="00C610BE">
        <w:rPr>
          <w:lang w:val="es-CO"/>
        </w:rPr>
        <w:t>support</w:t>
      </w:r>
      <w:proofErr w:type="spellEnd"/>
      <w:r w:rsidRPr="00C610BE">
        <w:rPr>
          <w:lang w:val="es-CO"/>
        </w:rPr>
        <w:t xml:space="preserve"> </w:t>
      </w:r>
      <w:proofErr w:type="spellStart"/>
      <w:r w:rsidRPr="00C610BE">
        <w:rPr>
          <w:lang w:val="es-CO"/>
        </w:rPr>
        <w:t>of</w:t>
      </w:r>
      <w:proofErr w:type="spellEnd"/>
      <w:r w:rsidRPr="00C610BE">
        <w:rPr>
          <w:lang w:val="es-CO"/>
        </w:rPr>
        <w:t xml:space="preserve"> </w:t>
      </w:r>
      <w:proofErr w:type="spellStart"/>
      <w:r w:rsidRPr="00C610BE">
        <w:rPr>
          <w:lang w:val="es-CO"/>
        </w:rPr>
        <w:t>the</w:t>
      </w:r>
      <w:proofErr w:type="spellEnd"/>
      <w:r w:rsidRPr="00C610BE">
        <w:rPr>
          <w:lang w:val="es-CO"/>
        </w:rPr>
        <w:t xml:space="preserve"> </w:t>
      </w:r>
      <w:proofErr w:type="spellStart"/>
      <w:r w:rsidRPr="00C610BE">
        <w:rPr>
          <w:lang w:val="es-CO"/>
        </w:rPr>
        <w:t>project</w:t>
      </w:r>
      <w:proofErr w:type="spellEnd"/>
      <w:r w:rsidRPr="00C610BE">
        <w:rPr>
          <w:lang w:val="es-CO"/>
        </w:rPr>
        <w:t xml:space="preserve"> </w:t>
      </w:r>
      <w:proofErr w:type="spellStart"/>
      <w:r w:rsidRPr="00C610BE">
        <w:rPr>
          <w:lang w:val="es-CO"/>
        </w:rPr>
        <w:t>entitled</w:t>
      </w:r>
      <w:proofErr w:type="spellEnd"/>
      <w:r w:rsidRPr="00C610BE">
        <w:rPr>
          <w:lang w:val="es-CO"/>
        </w:rPr>
        <w:t xml:space="preserve"> Desarrollo de una herramienta metodológica computacional y tecnologías de energías renovables para la transición energética en zonas de alta montaña en condiciones de post- pandemia, CD 82605 CT ICETEX 2022-0644. </w:t>
      </w:r>
      <w:r w:rsidRPr="00C610BE">
        <w:rPr>
          <w:lang w:val="en-GB"/>
        </w:rPr>
        <w:t>Special thanks to the Vice-Rectory of Research and Extension of the Universidad Industrial de Santander for their support to the project "</w:t>
      </w:r>
      <w:proofErr w:type="spellStart"/>
      <w:r w:rsidRPr="00C610BE">
        <w:rPr>
          <w:lang w:val="en-GB"/>
        </w:rPr>
        <w:t>Estudio</w:t>
      </w:r>
      <w:proofErr w:type="spellEnd"/>
      <w:r w:rsidRPr="00C610BE">
        <w:rPr>
          <w:lang w:val="en-GB"/>
        </w:rPr>
        <w:t xml:space="preserve"> de la </w:t>
      </w:r>
      <w:proofErr w:type="spellStart"/>
      <w:r w:rsidRPr="00C610BE">
        <w:rPr>
          <w:lang w:val="en-GB"/>
        </w:rPr>
        <w:t>Convección</w:t>
      </w:r>
      <w:proofErr w:type="spellEnd"/>
      <w:r w:rsidRPr="00C610BE">
        <w:rPr>
          <w:lang w:val="en-GB"/>
        </w:rPr>
        <w:t xml:space="preserve"> Natural Durante la </w:t>
      </w:r>
      <w:proofErr w:type="spellStart"/>
      <w:r w:rsidRPr="00C610BE">
        <w:rPr>
          <w:lang w:val="en-GB"/>
        </w:rPr>
        <w:t>Fusión</w:t>
      </w:r>
      <w:proofErr w:type="spellEnd"/>
      <w:r w:rsidRPr="00C610BE">
        <w:rPr>
          <w:lang w:val="en-GB"/>
        </w:rPr>
        <w:t xml:space="preserve"> de </w:t>
      </w:r>
      <w:proofErr w:type="spellStart"/>
      <w:r w:rsidRPr="00C610BE">
        <w:rPr>
          <w:lang w:val="en-GB"/>
        </w:rPr>
        <w:t>Materiales</w:t>
      </w:r>
      <w:proofErr w:type="spellEnd"/>
      <w:r w:rsidRPr="00C610BE">
        <w:rPr>
          <w:lang w:val="en-GB"/>
        </w:rPr>
        <w:t xml:space="preserve"> de Cambio de Fase para </w:t>
      </w:r>
      <w:proofErr w:type="spellStart"/>
      <w:r w:rsidRPr="00C610BE">
        <w:rPr>
          <w:lang w:val="en-GB"/>
        </w:rPr>
        <w:t>el</w:t>
      </w:r>
      <w:proofErr w:type="spellEnd"/>
      <w:r w:rsidRPr="00C610BE">
        <w:rPr>
          <w:lang w:val="en-GB"/>
        </w:rPr>
        <w:t xml:space="preserve"> </w:t>
      </w:r>
      <w:proofErr w:type="spellStart"/>
      <w:r w:rsidRPr="00C610BE">
        <w:rPr>
          <w:lang w:val="en-GB"/>
        </w:rPr>
        <w:t>Almacenamiento</w:t>
      </w:r>
      <w:proofErr w:type="spellEnd"/>
      <w:r w:rsidRPr="00C610BE">
        <w:rPr>
          <w:lang w:val="en-GB"/>
        </w:rPr>
        <w:t xml:space="preserve"> de Energía Solar </w:t>
      </w:r>
      <w:proofErr w:type="spellStart"/>
      <w:r w:rsidRPr="00C610BE">
        <w:rPr>
          <w:lang w:val="en-GB"/>
        </w:rPr>
        <w:t>Térmica</w:t>
      </w:r>
      <w:proofErr w:type="spellEnd"/>
      <w:r w:rsidRPr="00C610BE">
        <w:rPr>
          <w:lang w:val="en-GB"/>
        </w:rPr>
        <w:t xml:space="preserve"> </w:t>
      </w:r>
      <w:proofErr w:type="spellStart"/>
      <w:r w:rsidRPr="00C610BE">
        <w:rPr>
          <w:lang w:val="en-GB"/>
        </w:rPr>
        <w:t>en</w:t>
      </w:r>
      <w:proofErr w:type="spellEnd"/>
      <w:r w:rsidRPr="00C610BE">
        <w:rPr>
          <w:lang w:val="en-GB"/>
        </w:rPr>
        <w:t xml:space="preserve"> </w:t>
      </w:r>
      <w:proofErr w:type="spellStart"/>
      <w:r w:rsidRPr="00C610BE">
        <w:rPr>
          <w:lang w:val="en-GB"/>
        </w:rPr>
        <w:t>Sistemas</w:t>
      </w:r>
      <w:proofErr w:type="spellEnd"/>
      <w:r w:rsidRPr="00C610BE">
        <w:rPr>
          <w:lang w:val="en-GB"/>
        </w:rPr>
        <w:t xml:space="preserve"> </w:t>
      </w:r>
      <w:proofErr w:type="spellStart"/>
      <w:r w:rsidRPr="00C610BE">
        <w:rPr>
          <w:lang w:val="en-GB"/>
        </w:rPr>
        <w:t>Carcasa-Serpentín</w:t>
      </w:r>
      <w:proofErr w:type="spellEnd"/>
      <w:r w:rsidRPr="00C610BE">
        <w:rPr>
          <w:lang w:val="en-GB"/>
        </w:rPr>
        <w:t>" (Study of Natural Convection During the Fusion of Phase Change Materials for the Storage of Solar Thermal Energy in Casing-</w:t>
      </w:r>
      <w:proofErr w:type="spellStart"/>
      <w:r w:rsidRPr="00C610BE">
        <w:rPr>
          <w:lang w:val="en-GB"/>
        </w:rPr>
        <w:t>Serpentin</w:t>
      </w:r>
      <w:proofErr w:type="spellEnd"/>
      <w:r w:rsidRPr="00C610BE">
        <w:rPr>
          <w:lang w:val="en-GB"/>
        </w:rPr>
        <w:t xml:space="preserve"> Systems), code VIE 3732</w:t>
      </w:r>
      <w:r w:rsidR="00600535" w:rsidRPr="00B57B36">
        <w:rPr>
          <w:lang w:val="en-GB"/>
        </w:rPr>
        <w:t>.</w:t>
      </w:r>
    </w:p>
    <w:p w14:paraId="4F1327F8" w14:textId="77777777" w:rsidR="00600535" w:rsidRPr="00B57B36" w:rsidRDefault="00600535" w:rsidP="00600535">
      <w:pPr>
        <w:pStyle w:val="CETReference"/>
      </w:pPr>
      <w:r w:rsidRPr="00B57B36">
        <w:t>References</w:t>
      </w:r>
    </w:p>
    <w:p w14:paraId="4C94DE5B" w14:textId="6B8019F5" w:rsidR="00C604A3" w:rsidRDefault="00C604A3" w:rsidP="00C604A3">
      <w:pPr>
        <w:pStyle w:val="CETReferencetext"/>
      </w:pPr>
      <w:proofErr w:type="spellStart"/>
      <w:r>
        <w:t>Dogkas</w:t>
      </w:r>
      <w:proofErr w:type="spellEnd"/>
      <w:r>
        <w:t xml:space="preserve"> G., </w:t>
      </w:r>
      <w:proofErr w:type="spellStart"/>
      <w:r>
        <w:t>Konstantaras</w:t>
      </w:r>
      <w:proofErr w:type="spellEnd"/>
      <w:r>
        <w:t xml:space="preserve"> J., Koukou M.K., Stathopoulos V.N., Coelho L., </w:t>
      </w:r>
      <w:proofErr w:type="spellStart"/>
      <w:r>
        <w:t>Rebola</w:t>
      </w:r>
      <w:proofErr w:type="spellEnd"/>
      <w:r>
        <w:t>, A.</w:t>
      </w:r>
      <w:r w:rsidR="00802292">
        <w:t>,</w:t>
      </w:r>
      <w:r>
        <w:t xml:space="preserve"> 2019</w:t>
      </w:r>
      <w:r w:rsidR="00802292">
        <w:t>,</w:t>
      </w:r>
      <w:r>
        <w:t xml:space="preserve"> Evaluating a prototype compact thermal energy storage tank using paraffin-based phase change material for domestic hot water production</w:t>
      </w:r>
      <w:r w:rsidR="00802292">
        <w:t>,</w:t>
      </w:r>
      <w:r>
        <w:t xml:space="preserve"> </w:t>
      </w:r>
      <w:r w:rsidR="00F94E1A">
        <w:t xml:space="preserve">Chapter In: </w:t>
      </w:r>
      <w:r>
        <w:t xml:space="preserve">M. A. Sayegh, J. Danielewicz, H. </w:t>
      </w:r>
      <w:proofErr w:type="spellStart"/>
      <w:r>
        <w:t>Jouhara</w:t>
      </w:r>
      <w:proofErr w:type="spellEnd"/>
      <w:r>
        <w:t xml:space="preserve">, B. Kaźmierczak, M. </w:t>
      </w:r>
      <w:proofErr w:type="spellStart"/>
      <w:r>
        <w:t>Kutyłowska</w:t>
      </w:r>
      <w:proofErr w:type="spellEnd"/>
      <w:r>
        <w:t xml:space="preserve">, K. Piekarska, </w:t>
      </w:r>
      <w:r w:rsidR="00BE7F1D">
        <w:t>(</w:t>
      </w:r>
      <w:r>
        <w:t>Ed</w:t>
      </w:r>
      <w:r w:rsidR="003E1D3D">
        <w:t>s</w:t>
      </w:r>
      <w:r w:rsidR="00BE7F1D">
        <w:t>.),</w:t>
      </w:r>
      <w:r w:rsidR="003E1D3D">
        <w:t xml:space="preserve"> </w:t>
      </w:r>
      <w:r>
        <w:t>E3S Web of Conferences, 116: 00016.</w:t>
      </w:r>
    </w:p>
    <w:p w14:paraId="062326B9" w14:textId="614EF3B3" w:rsidR="00C604A3" w:rsidRDefault="00C604A3" w:rsidP="00C604A3">
      <w:pPr>
        <w:pStyle w:val="CETReferencetext"/>
      </w:pPr>
      <w:r>
        <w:t xml:space="preserve">Mahdi M.S., Mahood H.B., Campbell A.N., </w:t>
      </w:r>
      <w:proofErr w:type="spellStart"/>
      <w:r>
        <w:t>Khadom</w:t>
      </w:r>
      <w:proofErr w:type="spellEnd"/>
      <w:r>
        <w:t>, A.A.</w:t>
      </w:r>
      <w:r w:rsidR="00BE7F1D">
        <w:t>,</w:t>
      </w:r>
      <w:r>
        <w:t xml:space="preserve"> 2021</w:t>
      </w:r>
      <w:r w:rsidR="00BE7F1D">
        <w:t>,</w:t>
      </w:r>
      <w:r>
        <w:t xml:space="preserve"> Natural convection improvement of PCM melting in partition latent heat energy storage: Numerical study with experimental validation</w:t>
      </w:r>
      <w:r w:rsidR="00BE7F1D">
        <w:t>,</w:t>
      </w:r>
      <w:r>
        <w:t xml:space="preserve"> International Communications in Heat and Mass Transfer, 126: 105463.</w:t>
      </w:r>
    </w:p>
    <w:p w14:paraId="0D913CA2" w14:textId="06A6489C" w:rsidR="00C604A3" w:rsidRDefault="00C604A3" w:rsidP="00C604A3">
      <w:pPr>
        <w:pStyle w:val="CETReferencetext"/>
      </w:pPr>
      <w:r w:rsidRPr="0008030E">
        <w:t xml:space="preserve">Mahkamov K., Pili P., Manca R., Leroux A., </w:t>
      </w:r>
      <w:proofErr w:type="spellStart"/>
      <w:r w:rsidRPr="0008030E">
        <w:t>Mintsa</w:t>
      </w:r>
      <w:proofErr w:type="spellEnd"/>
      <w:r w:rsidRPr="0008030E">
        <w:t xml:space="preserve"> A.C., Lynn K., Mullen D., </w:t>
      </w:r>
      <w:proofErr w:type="spellStart"/>
      <w:r w:rsidRPr="0008030E">
        <w:t>Halimic</w:t>
      </w:r>
      <w:proofErr w:type="spellEnd"/>
      <w:r w:rsidRPr="0008030E">
        <w:t xml:space="preserve"> E., Bartolini C., Pirro M., Costa S.C., Cabeza L.F., de Gracia </w:t>
      </w:r>
      <w:proofErr w:type="spellStart"/>
      <w:r w:rsidRPr="0008030E">
        <w:t>Cuesto</w:t>
      </w:r>
      <w:proofErr w:type="spellEnd"/>
      <w:r w:rsidRPr="0008030E">
        <w:t xml:space="preserve"> A., </w:t>
      </w:r>
      <w:proofErr w:type="spellStart"/>
      <w:r w:rsidRPr="0008030E">
        <w:t>Kenisarin</w:t>
      </w:r>
      <w:proofErr w:type="spellEnd"/>
      <w:r w:rsidRPr="0008030E">
        <w:t xml:space="preserve"> M., &amp; </w:t>
      </w:r>
      <w:proofErr w:type="spellStart"/>
      <w:r w:rsidRPr="0008030E">
        <w:t>Makhkamova</w:t>
      </w:r>
      <w:proofErr w:type="spellEnd"/>
      <w:r w:rsidRPr="0008030E">
        <w:t xml:space="preserve"> I. 2018. </w:t>
      </w:r>
      <w:r>
        <w:t>Development of a Small Solar Thermal Power Plant for Heat and Power Supply to Domestic and Small Business Buildings</w:t>
      </w:r>
      <w:r w:rsidR="00367AA7">
        <w:t>,</w:t>
      </w:r>
      <w:r>
        <w:t xml:space="preserve"> </w:t>
      </w:r>
      <w:proofErr w:type="gramStart"/>
      <w:r>
        <w:t>In</w:t>
      </w:r>
      <w:proofErr w:type="gramEnd"/>
      <w:r>
        <w:t>: Volume 1: Fuels, Combustion, and Material Handling; Combustion Turbines Combined Cycles; Boilers and Heat Recovery Steam Generators; Virtual Plant and Cyber-Physical Systems; Plant Development and Construction; Renewable Energy Systems. American Society of Mechanical Engineers.</w:t>
      </w:r>
    </w:p>
    <w:p w14:paraId="17CFD9E3" w14:textId="41B583E4" w:rsidR="00C604A3" w:rsidRDefault="00C604A3" w:rsidP="00C604A3">
      <w:pPr>
        <w:pStyle w:val="CETReferencetext"/>
      </w:pPr>
      <w:r>
        <w:t>Patterson H.B.W.</w:t>
      </w:r>
      <w:r w:rsidR="00F01773">
        <w:t>,</w:t>
      </w:r>
      <w:r>
        <w:t xml:space="preserve"> 2011</w:t>
      </w:r>
      <w:r w:rsidR="00F01773">
        <w:t>,</w:t>
      </w:r>
      <w:r>
        <w:t xml:space="preserve"> Hydrogenation Methods. In: Hydrogenation of Fats and Oils. Elsevier: pp. 189–278.</w:t>
      </w:r>
    </w:p>
    <w:p w14:paraId="1BE69470" w14:textId="11DA7C80" w:rsidR="00C604A3" w:rsidRDefault="00C604A3" w:rsidP="00C604A3">
      <w:pPr>
        <w:pStyle w:val="CETReferencetext"/>
      </w:pPr>
      <w:proofErr w:type="spellStart"/>
      <w:r>
        <w:t>Pielichowska</w:t>
      </w:r>
      <w:proofErr w:type="spellEnd"/>
      <w:r>
        <w:t xml:space="preserve"> K., &amp; </w:t>
      </w:r>
      <w:proofErr w:type="spellStart"/>
      <w:r>
        <w:t>Pielichowski</w:t>
      </w:r>
      <w:proofErr w:type="spellEnd"/>
      <w:r>
        <w:t xml:space="preserve"> K. 2014. Phase change materials for thermal energy storag</w:t>
      </w:r>
      <w:r w:rsidR="00367AA7">
        <w:t>e,</w:t>
      </w:r>
      <w:r>
        <w:t xml:space="preserve"> Progress in Materials Science, 65: 67–123.</w:t>
      </w:r>
    </w:p>
    <w:p w14:paraId="77D93E49" w14:textId="06AF1060" w:rsidR="00C604A3" w:rsidRDefault="00C604A3" w:rsidP="00C604A3">
      <w:pPr>
        <w:pStyle w:val="CETReferencetext"/>
      </w:pPr>
      <w:r>
        <w:t>Prakash J., Roan D., Tauqir</w:t>
      </w:r>
      <w:r w:rsidR="00367AA7">
        <w:t xml:space="preserve"> </w:t>
      </w:r>
      <w:r>
        <w:t>W., Nazir H., Ali M., &amp; Kannan A.</w:t>
      </w:r>
      <w:r w:rsidR="00367AA7">
        <w:t>,</w:t>
      </w:r>
      <w:r>
        <w:t xml:space="preserve"> 2019</w:t>
      </w:r>
      <w:r w:rsidR="00367AA7">
        <w:t>,</w:t>
      </w:r>
      <w:r>
        <w:t xml:space="preserve"> Off-grid solar thermal water heating system using phase-change materials: design, integration and real environment investigation</w:t>
      </w:r>
      <w:r w:rsidR="00367AA7">
        <w:t>,</w:t>
      </w:r>
      <w:r>
        <w:t xml:space="preserve"> Applied Energy, 240</w:t>
      </w:r>
      <w:r w:rsidR="00367AA7">
        <w:t>,</w:t>
      </w:r>
      <w:r>
        <w:t xml:space="preserve"> 73–83.</w:t>
      </w:r>
    </w:p>
    <w:p w14:paraId="64378029" w14:textId="4C7C9025" w:rsidR="00C604A3" w:rsidRDefault="00C604A3" w:rsidP="00C604A3">
      <w:pPr>
        <w:pStyle w:val="CETReferencetext"/>
      </w:pPr>
      <w:r>
        <w:t>Riffat S., Mempouo</w:t>
      </w:r>
      <w:r w:rsidR="009D7252">
        <w:t xml:space="preserve"> </w:t>
      </w:r>
      <w:r>
        <w:t>B., Fang, W</w:t>
      </w:r>
      <w:r w:rsidR="009D7252">
        <w:t>,</w:t>
      </w:r>
      <w:r>
        <w:t xml:space="preserve"> 2015</w:t>
      </w:r>
      <w:r w:rsidR="009D7252">
        <w:t>,</w:t>
      </w:r>
      <w:r>
        <w:t xml:space="preserve"> Phase change material developments: a review</w:t>
      </w:r>
      <w:r w:rsidR="009D7252">
        <w:t>,</w:t>
      </w:r>
      <w:r>
        <w:t xml:space="preserve"> International Journal of Ambient Energy, 36</w:t>
      </w:r>
      <w:r w:rsidR="009D7252">
        <w:t>,</w:t>
      </w:r>
      <w:r>
        <w:t xml:space="preserve"> 102–115.</w:t>
      </w:r>
    </w:p>
    <w:p w14:paraId="403C98A9" w14:textId="4FD6B87F" w:rsidR="00C604A3" w:rsidRDefault="00C604A3" w:rsidP="00C604A3">
      <w:pPr>
        <w:pStyle w:val="CETReferencetext"/>
      </w:pPr>
      <w:r w:rsidRPr="009D7252">
        <w:t xml:space="preserve">Tan C.P., </w:t>
      </w:r>
      <w:proofErr w:type="spellStart"/>
      <w:r w:rsidRPr="009D7252">
        <w:t>Nehdi</w:t>
      </w:r>
      <w:proofErr w:type="spellEnd"/>
      <w:r w:rsidRPr="009D7252">
        <w:t xml:space="preserve"> I. A.</w:t>
      </w:r>
      <w:r w:rsidR="009D7252" w:rsidRPr="009D7252">
        <w:t>,</w:t>
      </w:r>
      <w:r w:rsidRPr="009D7252">
        <w:t xml:space="preserve"> 2012</w:t>
      </w:r>
      <w:r w:rsidR="009D7252">
        <w:t>,</w:t>
      </w:r>
      <w:r w:rsidRPr="009D7252">
        <w:t xml:space="preserve"> </w:t>
      </w:r>
      <w:r>
        <w:t>The Physicochemical Properties of Palm Oil and Its Components. In: Palm Oil. Elsevier: pp. 377–391.</w:t>
      </w:r>
    </w:p>
    <w:p w14:paraId="428B022A" w14:textId="768A7B8B" w:rsidR="00E65B91" w:rsidRDefault="00C604A3" w:rsidP="00C604A3">
      <w:pPr>
        <w:pStyle w:val="CETReferencetext"/>
        <w:ind w:left="0" w:firstLine="0"/>
      </w:pPr>
      <w:r>
        <w:t>Yousef M.S.,</w:t>
      </w:r>
      <w:r w:rsidR="009D7252">
        <w:t xml:space="preserve"> </w:t>
      </w:r>
      <w:r>
        <w:t>Hassan</w:t>
      </w:r>
      <w:r w:rsidR="009D7252">
        <w:t xml:space="preserve"> </w:t>
      </w:r>
      <w:r>
        <w:t>H</w:t>
      </w:r>
      <w:r w:rsidR="009D7252">
        <w:t>,</w:t>
      </w:r>
      <w:r>
        <w:t xml:space="preserve"> 2019</w:t>
      </w:r>
      <w:r w:rsidR="009D7252">
        <w:t>,</w:t>
      </w:r>
      <w:r>
        <w:t xml:space="preserve"> Energetic and </w:t>
      </w:r>
      <w:proofErr w:type="spellStart"/>
      <w:r>
        <w:t>exergetic</w:t>
      </w:r>
      <w:proofErr w:type="spellEnd"/>
      <w:r>
        <w:t xml:space="preserve"> performance assessment of the inclusion of phase change materials (PCM) in a solar distillation system</w:t>
      </w:r>
      <w:r w:rsidR="009D7252">
        <w:t>,</w:t>
      </w:r>
      <w:r>
        <w:t xml:space="preserve"> Energy Conversion and Management, 179: 349–361.</w:t>
      </w:r>
    </w:p>
    <w:sectPr w:rsidR="00E65B91" w:rsidSect="007D22F7">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D6476B" w14:textId="77777777" w:rsidR="00646DD3" w:rsidRDefault="00646DD3" w:rsidP="004F5E36">
      <w:r>
        <w:separator/>
      </w:r>
    </w:p>
  </w:endnote>
  <w:endnote w:type="continuationSeparator" w:id="0">
    <w:p w14:paraId="512B6D2B" w14:textId="77777777" w:rsidR="00646DD3" w:rsidRDefault="00646DD3"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A6B47F" w14:textId="77777777" w:rsidR="00646DD3" w:rsidRDefault="00646DD3" w:rsidP="004F5E36">
      <w:r>
        <w:separator/>
      </w:r>
    </w:p>
  </w:footnote>
  <w:footnote w:type="continuationSeparator" w:id="0">
    <w:p w14:paraId="69116F37" w14:textId="77777777" w:rsidR="00646DD3" w:rsidRDefault="00646DD3"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58AF15E"/>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absica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645358323">
    <w:abstractNumId w:val="10"/>
  </w:num>
  <w:num w:numId="2" w16cid:durableId="1351682730">
    <w:abstractNumId w:val="8"/>
  </w:num>
  <w:num w:numId="3" w16cid:durableId="434641321">
    <w:abstractNumId w:val="3"/>
  </w:num>
  <w:num w:numId="4" w16cid:durableId="1852331597">
    <w:abstractNumId w:val="2"/>
  </w:num>
  <w:num w:numId="5" w16cid:durableId="894238906">
    <w:abstractNumId w:val="1"/>
  </w:num>
  <w:num w:numId="6" w16cid:durableId="1395660853">
    <w:abstractNumId w:val="0"/>
  </w:num>
  <w:num w:numId="7" w16cid:durableId="1646199695">
    <w:abstractNumId w:val="9"/>
  </w:num>
  <w:num w:numId="8" w16cid:durableId="785320102">
    <w:abstractNumId w:val="7"/>
  </w:num>
  <w:num w:numId="9" w16cid:durableId="1817800660">
    <w:abstractNumId w:val="6"/>
  </w:num>
  <w:num w:numId="10" w16cid:durableId="153646398">
    <w:abstractNumId w:val="5"/>
  </w:num>
  <w:num w:numId="11" w16cid:durableId="80567628">
    <w:abstractNumId w:val="4"/>
  </w:num>
  <w:num w:numId="12" w16cid:durableId="617837796">
    <w:abstractNumId w:val="17"/>
  </w:num>
  <w:num w:numId="13" w16cid:durableId="271790366">
    <w:abstractNumId w:val="12"/>
  </w:num>
  <w:num w:numId="14" w16cid:durableId="253898607">
    <w:abstractNumId w:val="18"/>
  </w:num>
  <w:num w:numId="15" w16cid:durableId="531843988">
    <w:abstractNumId w:val="20"/>
  </w:num>
  <w:num w:numId="16" w16cid:durableId="951857640">
    <w:abstractNumId w:val="19"/>
  </w:num>
  <w:num w:numId="17" w16cid:durableId="1450320505">
    <w:abstractNumId w:val="11"/>
  </w:num>
  <w:num w:numId="18" w16cid:durableId="1098600412">
    <w:abstractNumId w:val="12"/>
    <w:lvlOverride w:ilvl="0">
      <w:startOverride w:val="1"/>
    </w:lvlOverride>
  </w:num>
  <w:num w:numId="19" w16cid:durableId="396585860">
    <w:abstractNumId w:val="16"/>
  </w:num>
  <w:num w:numId="20" w16cid:durableId="489564493">
    <w:abstractNumId w:val="15"/>
  </w:num>
  <w:num w:numId="21" w16cid:durableId="2023623904">
    <w:abstractNumId w:val="14"/>
  </w:num>
  <w:num w:numId="22" w16cid:durableId="140602907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0222"/>
    <w:rsid w:val="000027C0"/>
    <w:rsid w:val="000052FB"/>
    <w:rsid w:val="0001128F"/>
    <w:rsid w:val="000117CB"/>
    <w:rsid w:val="000130FF"/>
    <w:rsid w:val="000311D8"/>
    <w:rsid w:val="0003148D"/>
    <w:rsid w:val="00031EEC"/>
    <w:rsid w:val="000510C2"/>
    <w:rsid w:val="00051566"/>
    <w:rsid w:val="000562A9"/>
    <w:rsid w:val="00062A9A"/>
    <w:rsid w:val="00064590"/>
    <w:rsid w:val="00064BE8"/>
    <w:rsid w:val="00065058"/>
    <w:rsid w:val="0008030E"/>
    <w:rsid w:val="0008321A"/>
    <w:rsid w:val="000836D2"/>
    <w:rsid w:val="00085C80"/>
    <w:rsid w:val="00086C39"/>
    <w:rsid w:val="00087824"/>
    <w:rsid w:val="000A03B2"/>
    <w:rsid w:val="000A154F"/>
    <w:rsid w:val="000A5CC5"/>
    <w:rsid w:val="000C6077"/>
    <w:rsid w:val="000C6A09"/>
    <w:rsid w:val="000D0268"/>
    <w:rsid w:val="000D34BE"/>
    <w:rsid w:val="000D6050"/>
    <w:rsid w:val="000E102F"/>
    <w:rsid w:val="000E14EC"/>
    <w:rsid w:val="000E36F1"/>
    <w:rsid w:val="000E3A73"/>
    <w:rsid w:val="000E414A"/>
    <w:rsid w:val="000F093C"/>
    <w:rsid w:val="000F787B"/>
    <w:rsid w:val="0011633B"/>
    <w:rsid w:val="0012091F"/>
    <w:rsid w:val="00121E25"/>
    <w:rsid w:val="00126BC2"/>
    <w:rsid w:val="001308B6"/>
    <w:rsid w:val="0013121F"/>
    <w:rsid w:val="00131FE6"/>
    <w:rsid w:val="0013263F"/>
    <w:rsid w:val="001331DF"/>
    <w:rsid w:val="00134DE4"/>
    <w:rsid w:val="0014034D"/>
    <w:rsid w:val="00144D16"/>
    <w:rsid w:val="00147B65"/>
    <w:rsid w:val="00150E59"/>
    <w:rsid w:val="00152DE3"/>
    <w:rsid w:val="00156F74"/>
    <w:rsid w:val="00164CF9"/>
    <w:rsid w:val="001656A8"/>
    <w:rsid w:val="001667A6"/>
    <w:rsid w:val="00176008"/>
    <w:rsid w:val="0017710D"/>
    <w:rsid w:val="00184AD6"/>
    <w:rsid w:val="00193BF3"/>
    <w:rsid w:val="001A2805"/>
    <w:rsid w:val="001A4AF7"/>
    <w:rsid w:val="001B0349"/>
    <w:rsid w:val="001B1E93"/>
    <w:rsid w:val="001B65C1"/>
    <w:rsid w:val="001C684B"/>
    <w:rsid w:val="001D0CFB"/>
    <w:rsid w:val="001D21AF"/>
    <w:rsid w:val="001D53FC"/>
    <w:rsid w:val="001D6F71"/>
    <w:rsid w:val="001E4081"/>
    <w:rsid w:val="001E750C"/>
    <w:rsid w:val="001F2793"/>
    <w:rsid w:val="001F42A5"/>
    <w:rsid w:val="001F686C"/>
    <w:rsid w:val="001F7B9D"/>
    <w:rsid w:val="00201C93"/>
    <w:rsid w:val="00203981"/>
    <w:rsid w:val="002042F6"/>
    <w:rsid w:val="002116AC"/>
    <w:rsid w:val="002224B4"/>
    <w:rsid w:val="00226727"/>
    <w:rsid w:val="002276F6"/>
    <w:rsid w:val="00233D32"/>
    <w:rsid w:val="00241DD7"/>
    <w:rsid w:val="002447EF"/>
    <w:rsid w:val="002462A9"/>
    <w:rsid w:val="00251550"/>
    <w:rsid w:val="00255537"/>
    <w:rsid w:val="00263B05"/>
    <w:rsid w:val="002673DB"/>
    <w:rsid w:val="0027221A"/>
    <w:rsid w:val="00275B61"/>
    <w:rsid w:val="00280FAF"/>
    <w:rsid w:val="002813BC"/>
    <w:rsid w:val="00282656"/>
    <w:rsid w:val="00282BC2"/>
    <w:rsid w:val="00286C27"/>
    <w:rsid w:val="00296B83"/>
    <w:rsid w:val="00297E30"/>
    <w:rsid w:val="002B4015"/>
    <w:rsid w:val="002B78CE"/>
    <w:rsid w:val="002C2FB6"/>
    <w:rsid w:val="002C51C3"/>
    <w:rsid w:val="002E5FA7"/>
    <w:rsid w:val="002F1BCB"/>
    <w:rsid w:val="002F2981"/>
    <w:rsid w:val="002F3309"/>
    <w:rsid w:val="002F4666"/>
    <w:rsid w:val="002F764C"/>
    <w:rsid w:val="003008CE"/>
    <w:rsid w:val="003009B7"/>
    <w:rsid w:val="00300E56"/>
    <w:rsid w:val="0030152C"/>
    <w:rsid w:val="0030469C"/>
    <w:rsid w:val="00315604"/>
    <w:rsid w:val="00321CA6"/>
    <w:rsid w:val="00323763"/>
    <w:rsid w:val="00323C5F"/>
    <w:rsid w:val="00334C09"/>
    <w:rsid w:val="003403C0"/>
    <w:rsid w:val="00355E35"/>
    <w:rsid w:val="00364810"/>
    <w:rsid w:val="00367AA7"/>
    <w:rsid w:val="003723D4"/>
    <w:rsid w:val="00381559"/>
    <w:rsid w:val="00381905"/>
    <w:rsid w:val="00384CC8"/>
    <w:rsid w:val="00385519"/>
    <w:rsid w:val="00386E0D"/>
    <w:rsid w:val="003871FD"/>
    <w:rsid w:val="003A1E30"/>
    <w:rsid w:val="003A2829"/>
    <w:rsid w:val="003A6FC6"/>
    <w:rsid w:val="003A7034"/>
    <w:rsid w:val="003A7D1C"/>
    <w:rsid w:val="003A7D83"/>
    <w:rsid w:val="003B06A0"/>
    <w:rsid w:val="003B304B"/>
    <w:rsid w:val="003B3146"/>
    <w:rsid w:val="003C1040"/>
    <w:rsid w:val="003D30D1"/>
    <w:rsid w:val="003E1D3D"/>
    <w:rsid w:val="003E330B"/>
    <w:rsid w:val="003F015E"/>
    <w:rsid w:val="00400414"/>
    <w:rsid w:val="0040128A"/>
    <w:rsid w:val="00406F42"/>
    <w:rsid w:val="00410F9B"/>
    <w:rsid w:val="0041446B"/>
    <w:rsid w:val="004263AE"/>
    <w:rsid w:val="004269B0"/>
    <w:rsid w:val="0044071E"/>
    <w:rsid w:val="0044329C"/>
    <w:rsid w:val="00453E24"/>
    <w:rsid w:val="004540ED"/>
    <w:rsid w:val="004568C1"/>
    <w:rsid w:val="00457456"/>
    <w:rsid w:val="004577FE"/>
    <w:rsid w:val="00457B9C"/>
    <w:rsid w:val="0046164A"/>
    <w:rsid w:val="004628D2"/>
    <w:rsid w:val="00462DCD"/>
    <w:rsid w:val="004644D9"/>
    <w:rsid w:val="004648AD"/>
    <w:rsid w:val="004703A9"/>
    <w:rsid w:val="004760DE"/>
    <w:rsid w:val="004761E9"/>
    <w:rsid w:val="004763D7"/>
    <w:rsid w:val="0048016E"/>
    <w:rsid w:val="00480439"/>
    <w:rsid w:val="0049639B"/>
    <w:rsid w:val="004A004E"/>
    <w:rsid w:val="004A24CF"/>
    <w:rsid w:val="004A45D6"/>
    <w:rsid w:val="004B0C65"/>
    <w:rsid w:val="004B3027"/>
    <w:rsid w:val="004B551A"/>
    <w:rsid w:val="004B713F"/>
    <w:rsid w:val="004C265B"/>
    <w:rsid w:val="004C3D1D"/>
    <w:rsid w:val="004C3D84"/>
    <w:rsid w:val="004C7913"/>
    <w:rsid w:val="004E4771"/>
    <w:rsid w:val="004E4DD6"/>
    <w:rsid w:val="004F0900"/>
    <w:rsid w:val="004F4D52"/>
    <w:rsid w:val="004F5E36"/>
    <w:rsid w:val="004F6748"/>
    <w:rsid w:val="004F6954"/>
    <w:rsid w:val="00500B64"/>
    <w:rsid w:val="005021BD"/>
    <w:rsid w:val="00507B47"/>
    <w:rsid w:val="00507BEF"/>
    <w:rsid w:val="00507CC9"/>
    <w:rsid w:val="005119A5"/>
    <w:rsid w:val="00516AAC"/>
    <w:rsid w:val="00525D98"/>
    <w:rsid w:val="005278B7"/>
    <w:rsid w:val="00532016"/>
    <w:rsid w:val="005331C8"/>
    <w:rsid w:val="005346C8"/>
    <w:rsid w:val="0054356D"/>
    <w:rsid w:val="00543E7D"/>
    <w:rsid w:val="00547A68"/>
    <w:rsid w:val="005531C9"/>
    <w:rsid w:val="0055410E"/>
    <w:rsid w:val="00557FA6"/>
    <w:rsid w:val="00566402"/>
    <w:rsid w:val="00570C43"/>
    <w:rsid w:val="00573558"/>
    <w:rsid w:val="00577497"/>
    <w:rsid w:val="0058188F"/>
    <w:rsid w:val="00597A91"/>
    <w:rsid w:val="005A48BC"/>
    <w:rsid w:val="005B2110"/>
    <w:rsid w:val="005B61E6"/>
    <w:rsid w:val="005C63A9"/>
    <w:rsid w:val="005C77E1"/>
    <w:rsid w:val="005D668A"/>
    <w:rsid w:val="005D6A2F"/>
    <w:rsid w:val="005E1A82"/>
    <w:rsid w:val="005E794C"/>
    <w:rsid w:val="005F0A28"/>
    <w:rsid w:val="005F0E5E"/>
    <w:rsid w:val="005F0FF8"/>
    <w:rsid w:val="005F5D76"/>
    <w:rsid w:val="00600535"/>
    <w:rsid w:val="00604B23"/>
    <w:rsid w:val="00606A95"/>
    <w:rsid w:val="00606D34"/>
    <w:rsid w:val="00610CD6"/>
    <w:rsid w:val="00620DEE"/>
    <w:rsid w:val="00621A81"/>
    <w:rsid w:val="00621F92"/>
    <w:rsid w:val="0062280A"/>
    <w:rsid w:val="00625639"/>
    <w:rsid w:val="00631B33"/>
    <w:rsid w:val="0064184D"/>
    <w:rsid w:val="006422CC"/>
    <w:rsid w:val="00646DD3"/>
    <w:rsid w:val="00646F20"/>
    <w:rsid w:val="00647ED7"/>
    <w:rsid w:val="00660E3E"/>
    <w:rsid w:val="00662E74"/>
    <w:rsid w:val="00672C20"/>
    <w:rsid w:val="00680C23"/>
    <w:rsid w:val="00682799"/>
    <w:rsid w:val="00691052"/>
    <w:rsid w:val="00693766"/>
    <w:rsid w:val="006A23E9"/>
    <w:rsid w:val="006A3281"/>
    <w:rsid w:val="006B054F"/>
    <w:rsid w:val="006B4888"/>
    <w:rsid w:val="006B6648"/>
    <w:rsid w:val="006C2AC6"/>
    <w:rsid w:val="006C2E45"/>
    <w:rsid w:val="006C359C"/>
    <w:rsid w:val="006C5579"/>
    <w:rsid w:val="006D6E8B"/>
    <w:rsid w:val="006E737D"/>
    <w:rsid w:val="006E7AF8"/>
    <w:rsid w:val="006E7C07"/>
    <w:rsid w:val="006F1CB4"/>
    <w:rsid w:val="006F574C"/>
    <w:rsid w:val="00706B25"/>
    <w:rsid w:val="0071022F"/>
    <w:rsid w:val="00712980"/>
    <w:rsid w:val="007137FB"/>
    <w:rsid w:val="00713973"/>
    <w:rsid w:val="00720A24"/>
    <w:rsid w:val="00732386"/>
    <w:rsid w:val="007336BD"/>
    <w:rsid w:val="0073514D"/>
    <w:rsid w:val="007361DF"/>
    <w:rsid w:val="00741E96"/>
    <w:rsid w:val="007447F3"/>
    <w:rsid w:val="0075499F"/>
    <w:rsid w:val="007661C8"/>
    <w:rsid w:val="0077098D"/>
    <w:rsid w:val="007778F9"/>
    <w:rsid w:val="00777AB7"/>
    <w:rsid w:val="007931FA"/>
    <w:rsid w:val="00797C5E"/>
    <w:rsid w:val="007A4861"/>
    <w:rsid w:val="007A4C27"/>
    <w:rsid w:val="007A7BBA"/>
    <w:rsid w:val="007B0C50"/>
    <w:rsid w:val="007B1D5B"/>
    <w:rsid w:val="007B48F9"/>
    <w:rsid w:val="007C16CF"/>
    <w:rsid w:val="007C1A43"/>
    <w:rsid w:val="007D0951"/>
    <w:rsid w:val="007D22F7"/>
    <w:rsid w:val="007D5511"/>
    <w:rsid w:val="007E1FB4"/>
    <w:rsid w:val="007E2787"/>
    <w:rsid w:val="0080013E"/>
    <w:rsid w:val="00802292"/>
    <w:rsid w:val="008117C8"/>
    <w:rsid w:val="00813288"/>
    <w:rsid w:val="008168FC"/>
    <w:rsid w:val="00830996"/>
    <w:rsid w:val="00834279"/>
    <w:rsid w:val="008345F1"/>
    <w:rsid w:val="00840AA3"/>
    <w:rsid w:val="00840CEB"/>
    <w:rsid w:val="00843EAC"/>
    <w:rsid w:val="008468B0"/>
    <w:rsid w:val="0085536D"/>
    <w:rsid w:val="00862B79"/>
    <w:rsid w:val="00865B07"/>
    <w:rsid w:val="008667EA"/>
    <w:rsid w:val="0087637F"/>
    <w:rsid w:val="008809E7"/>
    <w:rsid w:val="0088325B"/>
    <w:rsid w:val="00892AD5"/>
    <w:rsid w:val="00895B34"/>
    <w:rsid w:val="00896306"/>
    <w:rsid w:val="008A1512"/>
    <w:rsid w:val="008A4C0D"/>
    <w:rsid w:val="008B1E24"/>
    <w:rsid w:val="008B7C03"/>
    <w:rsid w:val="008C3E64"/>
    <w:rsid w:val="008C5F80"/>
    <w:rsid w:val="008D32B9"/>
    <w:rsid w:val="008D433B"/>
    <w:rsid w:val="008D4A16"/>
    <w:rsid w:val="008D6E49"/>
    <w:rsid w:val="008E3D07"/>
    <w:rsid w:val="008E566E"/>
    <w:rsid w:val="008F0B04"/>
    <w:rsid w:val="00900770"/>
    <w:rsid w:val="0090161A"/>
    <w:rsid w:val="00901EB6"/>
    <w:rsid w:val="009026C4"/>
    <w:rsid w:val="00902EDA"/>
    <w:rsid w:val="00904C62"/>
    <w:rsid w:val="009079A2"/>
    <w:rsid w:val="00911703"/>
    <w:rsid w:val="009142ED"/>
    <w:rsid w:val="00914C18"/>
    <w:rsid w:val="00922BA8"/>
    <w:rsid w:val="00923FEB"/>
    <w:rsid w:val="00924DAC"/>
    <w:rsid w:val="0092513A"/>
    <w:rsid w:val="00927058"/>
    <w:rsid w:val="00942750"/>
    <w:rsid w:val="0094290F"/>
    <w:rsid w:val="009450CE"/>
    <w:rsid w:val="009459BB"/>
    <w:rsid w:val="00947179"/>
    <w:rsid w:val="0095164B"/>
    <w:rsid w:val="00954090"/>
    <w:rsid w:val="009573E7"/>
    <w:rsid w:val="0096178A"/>
    <w:rsid w:val="00963E05"/>
    <w:rsid w:val="00964A45"/>
    <w:rsid w:val="00967843"/>
    <w:rsid w:val="00967D54"/>
    <w:rsid w:val="00971028"/>
    <w:rsid w:val="00976D8A"/>
    <w:rsid w:val="00993B84"/>
    <w:rsid w:val="00996483"/>
    <w:rsid w:val="00996F5A"/>
    <w:rsid w:val="009A05C0"/>
    <w:rsid w:val="009A6733"/>
    <w:rsid w:val="009B041A"/>
    <w:rsid w:val="009B4463"/>
    <w:rsid w:val="009C25D3"/>
    <w:rsid w:val="009C37C3"/>
    <w:rsid w:val="009C5DAA"/>
    <w:rsid w:val="009C7C86"/>
    <w:rsid w:val="009D24C8"/>
    <w:rsid w:val="009D2FF7"/>
    <w:rsid w:val="009D7252"/>
    <w:rsid w:val="009E7884"/>
    <w:rsid w:val="009E788A"/>
    <w:rsid w:val="009F0E08"/>
    <w:rsid w:val="009F58A7"/>
    <w:rsid w:val="00A019BB"/>
    <w:rsid w:val="00A04DE4"/>
    <w:rsid w:val="00A07007"/>
    <w:rsid w:val="00A1763D"/>
    <w:rsid w:val="00A17CEC"/>
    <w:rsid w:val="00A26A56"/>
    <w:rsid w:val="00A27EF0"/>
    <w:rsid w:val="00A366FE"/>
    <w:rsid w:val="00A42361"/>
    <w:rsid w:val="00A50B20"/>
    <w:rsid w:val="00A51390"/>
    <w:rsid w:val="00A537A1"/>
    <w:rsid w:val="00A60511"/>
    <w:rsid w:val="00A60D13"/>
    <w:rsid w:val="00A7223D"/>
    <w:rsid w:val="00A72745"/>
    <w:rsid w:val="00A76EFC"/>
    <w:rsid w:val="00A820CE"/>
    <w:rsid w:val="00A84391"/>
    <w:rsid w:val="00A87D50"/>
    <w:rsid w:val="00A91010"/>
    <w:rsid w:val="00A91DA6"/>
    <w:rsid w:val="00A97F29"/>
    <w:rsid w:val="00AA127A"/>
    <w:rsid w:val="00AA702E"/>
    <w:rsid w:val="00AA7D26"/>
    <w:rsid w:val="00AB0964"/>
    <w:rsid w:val="00AB5011"/>
    <w:rsid w:val="00AC6AB2"/>
    <w:rsid w:val="00AC7368"/>
    <w:rsid w:val="00AD16B9"/>
    <w:rsid w:val="00AD648D"/>
    <w:rsid w:val="00AD7AB0"/>
    <w:rsid w:val="00AE377D"/>
    <w:rsid w:val="00AF0EBA"/>
    <w:rsid w:val="00B02C8A"/>
    <w:rsid w:val="00B03471"/>
    <w:rsid w:val="00B13515"/>
    <w:rsid w:val="00B15EBF"/>
    <w:rsid w:val="00B17FBD"/>
    <w:rsid w:val="00B257FF"/>
    <w:rsid w:val="00B315A6"/>
    <w:rsid w:val="00B31813"/>
    <w:rsid w:val="00B33365"/>
    <w:rsid w:val="00B347CA"/>
    <w:rsid w:val="00B57B36"/>
    <w:rsid w:val="00B57E6F"/>
    <w:rsid w:val="00B8686D"/>
    <w:rsid w:val="00B918EA"/>
    <w:rsid w:val="00B93F69"/>
    <w:rsid w:val="00B968E4"/>
    <w:rsid w:val="00B97DFD"/>
    <w:rsid w:val="00BA675E"/>
    <w:rsid w:val="00BB1DDC"/>
    <w:rsid w:val="00BC1209"/>
    <w:rsid w:val="00BC30C9"/>
    <w:rsid w:val="00BD077D"/>
    <w:rsid w:val="00BD58E3"/>
    <w:rsid w:val="00BD7AEF"/>
    <w:rsid w:val="00BE3E58"/>
    <w:rsid w:val="00BE7F1D"/>
    <w:rsid w:val="00C01616"/>
    <w:rsid w:val="00C0162B"/>
    <w:rsid w:val="00C01C65"/>
    <w:rsid w:val="00C068ED"/>
    <w:rsid w:val="00C15656"/>
    <w:rsid w:val="00C22E0C"/>
    <w:rsid w:val="00C3423F"/>
    <w:rsid w:val="00C345B1"/>
    <w:rsid w:val="00C40142"/>
    <w:rsid w:val="00C4165A"/>
    <w:rsid w:val="00C45D82"/>
    <w:rsid w:val="00C469B2"/>
    <w:rsid w:val="00C52C3C"/>
    <w:rsid w:val="00C53811"/>
    <w:rsid w:val="00C555A6"/>
    <w:rsid w:val="00C57182"/>
    <w:rsid w:val="00C57863"/>
    <w:rsid w:val="00C604A3"/>
    <w:rsid w:val="00C60943"/>
    <w:rsid w:val="00C610BE"/>
    <w:rsid w:val="00C63493"/>
    <w:rsid w:val="00C640AF"/>
    <w:rsid w:val="00C655FD"/>
    <w:rsid w:val="00C7188C"/>
    <w:rsid w:val="00C75407"/>
    <w:rsid w:val="00C77EC4"/>
    <w:rsid w:val="00C810DE"/>
    <w:rsid w:val="00C870A8"/>
    <w:rsid w:val="00C90918"/>
    <w:rsid w:val="00C94434"/>
    <w:rsid w:val="00CA0D4A"/>
    <w:rsid w:val="00CA0D75"/>
    <w:rsid w:val="00CA1C95"/>
    <w:rsid w:val="00CA5A9C"/>
    <w:rsid w:val="00CA6086"/>
    <w:rsid w:val="00CB12E4"/>
    <w:rsid w:val="00CB19B9"/>
    <w:rsid w:val="00CC26D8"/>
    <w:rsid w:val="00CC4C20"/>
    <w:rsid w:val="00CD3517"/>
    <w:rsid w:val="00CD3BBC"/>
    <w:rsid w:val="00CD5FE2"/>
    <w:rsid w:val="00CE7C68"/>
    <w:rsid w:val="00CF43AB"/>
    <w:rsid w:val="00D0245F"/>
    <w:rsid w:val="00D0266E"/>
    <w:rsid w:val="00D02B4C"/>
    <w:rsid w:val="00D040C4"/>
    <w:rsid w:val="00D05739"/>
    <w:rsid w:val="00D20AD1"/>
    <w:rsid w:val="00D32756"/>
    <w:rsid w:val="00D46B7E"/>
    <w:rsid w:val="00D57C84"/>
    <w:rsid w:val="00D6057D"/>
    <w:rsid w:val="00D648EC"/>
    <w:rsid w:val="00D6704B"/>
    <w:rsid w:val="00D673AE"/>
    <w:rsid w:val="00D677A6"/>
    <w:rsid w:val="00D71640"/>
    <w:rsid w:val="00D836C5"/>
    <w:rsid w:val="00D84576"/>
    <w:rsid w:val="00DA1399"/>
    <w:rsid w:val="00DA24C6"/>
    <w:rsid w:val="00DA4D7B"/>
    <w:rsid w:val="00DB3233"/>
    <w:rsid w:val="00DC2E0F"/>
    <w:rsid w:val="00DD271C"/>
    <w:rsid w:val="00DE264A"/>
    <w:rsid w:val="00DE6DD9"/>
    <w:rsid w:val="00DF35F5"/>
    <w:rsid w:val="00DF4915"/>
    <w:rsid w:val="00DF5072"/>
    <w:rsid w:val="00DF7F17"/>
    <w:rsid w:val="00E02D18"/>
    <w:rsid w:val="00E041E7"/>
    <w:rsid w:val="00E06891"/>
    <w:rsid w:val="00E10393"/>
    <w:rsid w:val="00E17259"/>
    <w:rsid w:val="00E175D0"/>
    <w:rsid w:val="00E229F2"/>
    <w:rsid w:val="00E23CA1"/>
    <w:rsid w:val="00E33DD7"/>
    <w:rsid w:val="00E409A8"/>
    <w:rsid w:val="00E50C12"/>
    <w:rsid w:val="00E54E9F"/>
    <w:rsid w:val="00E65B91"/>
    <w:rsid w:val="00E7209D"/>
    <w:rsid w:val="00E72EAD"/>
    <w:rsid w:val="00E77223"/>
    <w:rsid w:val="00E84277"/>
    <w:rsid w:val="00E8528B"/>
    <w:rsid w:val="00E85B94"/>
    <w:rsid w:val="00E9355E"/>
    <w:rsid w:val="00E978D0"/>
    <w:rsid w:val="00EA4613"/>
    <w:rsid w:val="00EA7F91"/>
    <w:rsid w:val="00EB1523"/>
    <w:rsid w:val="00EB2830"/>
    <w:rsid w:val="00EC0E49"/>
    <w:rsid w:val="00EC101F"/>
    <w:rsid w:val="00EC16B4"/>
    <w:rsid w:val="00EC1D9F"/>
    <w:rsid w:val="00ED14C4"/>
    <w:rsid w:val="00ED2C4D"/>
    <w:rsid w:val="00EE0131"/>
    <w:rsid w:val="00EE0DF1"/>
    <w:rsid w:val="00EE17B0"/>
    <w:rsid w:val="00EF06D9"/>
    <w:rsid w:val="00EF1116"/>
    <w:rsid w:val="00EF7EA6"/>
    <w:rsid w:val="00F01773"/>
    <w:rsid w:val="00F07DDB"/>
    <w:rsid w:val="00F229A7"/>
    <w:rsid w:val="00F24E93"/>
    <w:rsid w:val="00F26BB5"/>
    <w:rsid w:val="00F3049E"/>
    <w:rsid w:val="00F30C64"/>
    <w:rsid w:val="00F32BA2"/>
    <w:rsid w:val="00F32CDB"/>
    <w:rsid w:val="00F361B4"/>
    <w:rsid w:val="00F4128C"/>
    <w:rsid w:val="00F565FE"/>
    <w:rsid w:val="00F5798F"/>
    <w:rsid w:val="00F63A70"/>
    <w:rsid w:val="00F63D8C"/>
    <w:rsid w:val="00F7534E"/>
    <w:rsid w:val="00F850F6"/>
    <w:rsid w:val="00F85B6E"/>
    <w:rsid w:val="00F93EDF"/>
    <w:rsid w:val="00F94E1A"/>
    <w:rsid w:val="00FA1802"/>
    <w:rsid w:val="00FA21D0"/>
    <w:rsid w:val="00FA5F5F"/>
    <w:rsid w:val="00FB2B61"/>
    <w:rsid w:val="00FB730C"/>
    <w:rsid w:val="00FC0F47"/>
    <w:rsid w:val="00FC2227"/>
    <w:rsid w:val="00FC2695"/>
    <w:rsid w:val="00FC2E68"/>
    <w:rsid w:val="00FC3E03"/>
    <w:rsid w:val="00FC3FC1"/>
    <w:rsid w:val="00FC55CA"/>
    <w:rsid w:val="00FD3F82"/>
    <w:rsid w:val="00FD77BC"/>
    <w:rsid w:val="00FE395A"/>
    <w:rsid w:val="00FF6B8A"/>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ar"/>
    <w:uiPriority w:val="9"/>
    <w:rsid w:val="004F5E36"/>
    <w:pPr>
      <w:tabs>
        <w:tab w:val="clear" w:pos="360"/>
        <w:tab w:val="right" w:pos="7100"/>
      </w:tabs>
      <w:jc w:val="both"/>
      <w:outlineLvl w:val="0"/>
    </w:pPr>
    <w:rPr>
      <w:lang w:val="en-GB"/>
    </w:rPr>
  </w:style>
  <w:style w:type="paragraph" w:styleId="Ttulo2">
    <w:name w:val="heading 2"/>
    <w:basedOn w:val="Normal"/>
    <w:next w:val="Normal"/>
    <w:link w:val="Ttulo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absica1">
    <w:name w:val="Table Simple 1"/>
    <w:basedOn w:val="Tab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ario">
    <w:name w:val="annotation reference"/>
    <w:basedOn w:val="Fuentedeprrafopredeter"/>
    <w:uiPriority w:val="99"/>
    <w:semiHidden/>
    <w:unhideWhenUsed/>
    <w:rsid w:val="004577FE"/>
    <w:rPr>
      <w:sz w:val="16"/>
      <w:szCs w:val="16"/>
    </w:rPr>
  </w:style>
  <w:style w:type="paragraph" w:styleId="Textodeglobo">
    <w:name w:val="Balloon Text"/>
    <w:basedOn w:val="Normal"/>
    <w:link w:val="TextodegloboCar"/>
    <w:uiPriority w:val="99"/>
    <w:semiHidden/>
    <w:unhideWhenUsed/>
    <w:rsid w:val="000D34B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34BE"/>
    <w:rPr>
      <w:rFonts w:ascii="Tahoma" w:hAnsi="Tahoma" w:cs="Tahoma"/>
      <w:sz w:val="16"/>
      <w:szCs w:val="16"/>
    </w:rPr>
  </w:style>
  <w:style w:type="paragraph" w:styleId="Bibliografa">
    <w:name w:val="Bibliography"/>
    <w:basedOn w:val="CETReferencetext"/>
    <w:uiPriority w:val="37"/>
    <w:unhideWhenUsed/>
    <w:rsid w:val="00631B33"/>
    <w:pPr>
      <w:spacing w:line="240" w:lineRule="auto"/>
      <w:ind w:left="720" w:hanging="720"/>
    </w:pPr>
  </w:style>
  <w:style w:type="paragraph" w:styleId="Textoindependiente2">
    <w:name w:val="Body Text 2"/>
    <w:basedOn w:val="Normal"/>
    <w:link w:val="Textoindependiente2Car"/>
    <w:uiPriority w:val="99"/>
    <w:semiHidden/>
    <w:unhideWhenUsed/>
    <w:rsid w:val="0003148D"/>
    <w:pPr>
      <w:spacing w:after="120" w:line="480" w:lineRule="auto"/>
    </w:pPr>
  </w:style>
  <w:style w:type="character" w:customStyle="1" w:styleId="Textoindependiente2Car">
    <w:name w:val="Texto independiente 2 Car"/>
    <w:basedOn w:val="Fuentedeprrafopredeter"/>
    <w:link w:val="Textoindependiente2"/>
    <w:uiPriority w:val="99"/>
    <w:semiHidden/>
    <w:rsid w:val="0003148D"/>
  </w:style>
  <w:style w:type="paragraph" w:styleId="Textoindependiente3">
    <w:name w:val="Body Text 3"/>
    <w:basedOn w:val="Normal"/>
    <w:link w:val="Textoindependiente3Car"/>
    <w:uiPriority w:val="99"/>
    <w:semiHidden/>
    <w:unhideWhenUsed/>
    <w:rsid w:val="0003148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3148D"/>
    <w:rPr>
      <w:sz w:val="16"/>
      <w:szCs w:val="16"/>
    </w:rPr>
  </w:style>
  <w:style w:type="paragraph" w:styleId="Textoindependiente">
    <w:name w:val="Body Text"/>
    <w:basedOn w:val="Normal"/>
    <w:link w:val="TextoindependienteCar"/>
    <w:uiPriority w:val="99"/>
    <w:semiHidden/>
    <w:unhideWhenUsed/>
    <w:rsid w:val="0003148D"/>
    <w:pPr>
      <w:spacing w:after="120"/>
    </w:pPr>
  </w:style>
  <w:style w:type="character" w:customStyle="1" w:styleId="TextoindependienteCar">
    <w:name w:val="Texto independiente Car"/>
    <w:basedOn w:val="Fuentedeprrafopredeter"/>
    <w:link w:val="Textoindependiente"/>
    <w:uiPriority w:val="99"/>
    <w:semiHidden/>
    <w:rsid w:val="0003148D"/>
  </w:style>
  <w:style w:type="paragraph" w:styleId="Fecha">
    <w:name w:val="Date"/>
    <w:basedOn w:val="Normal"/>
    <w:next w:val="Normal"/>
    <w:link w:val="FechaCar"/>
    <w:uiPriority w:val="99"/>
    <w:semiHidden/>
    <w:unhideWhenUsed/>
    <w:rsid w:val="0003148D"/>
  </w:style>
  <w:style w:type="character" w:customStyle="1" w:styleId="FechaCar">
    <w:name w:val="Fecha Car"/>
    <w:basedOn w:val="Fuentedeprrafopredeter"/>
    <w:link w:val="Fecha"/>
    <w:uiPriority w:val="99"/>
    <w:semiHidden/>
    <w:rsid w:val="0003148D"/>
  </w:style>
  <w:style w:type="paragraph" w:styleId="Descripcin">
    <w:name w:val="caption"/>
    <w:basedOn w:val="Normal"/>
    <w:next w:val="Normal"/>
    <w:uiPriority w:val="35"/>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Continuarlista">
    <w:name w:val="List Continue"/>
    <w:basedOn w:val="Normal"/>
    <w:uiPriority w:val="99"/>
    <w:semiHidden/>
    <w:unhideWhenUsed/>
    <w:rsid w:val="0003148D"/>
    <w:pPr>
      <w:spacing w:after="120"/>
      <w:ind w:left="283"/>
      <w:contextualSpacing/>
    </w:pPr>
  </w:style>
  <w:style w:type="paragraph" w:styleId="Continuarlista2">
    <w:name w:val="List Continue 2"/>
    <w:basedOn w:val="Normal"/>
    <w:uiPriority w:val="99"/>
    <w:semiHidden/>
    <w:unhideWhenUsed/>
    <w:rsid w:val="0003148D"/>
    <w:pPr>
      <w:spacing w:after="120"/>
      <w:ind w:left="566"/>
      <w:contextualSpacing/>
    </w:pPr>
  </w:style>
  <w:style w:type="paragraph" w:styleId="Continuarlista3">
    <w:name w:val="List Continue 3"/>
    <w:basedOn w:val="Normal"/>
    <w:uiPriority w:val="99"/>
    <w:semiHidden/>
    <w:unhideWhenUsed/>
    <w:rsid w:val="0003148D"/>
    <w:pPr>
      <w:spacing w:after="120"/>
      <w:ind w:left="849"/>
      <w:contextualSpacing/>
    </w:pPr>
  </w:style>
  <w:style w:type="paragraph" w:styleId="Continuarlista4">
    <w:name w:val="List Continue 4"/>
    <w:basedOn w:val="Normal"/>
    <w:uiPriority w:val="99"/>
    <w:semiHidden/>
    <w:unhideWhenUsed/>
    <w:rsid w:val="0003148D"/>
    <w:pPr>
      <w:spacing w:after="120"/>
      <w:ind w:left="1132"/>
      <w:contextualSpacing/>
    </w:pPr>
  </w:style>
  <w:style w:type="paragraph" w:styleId="Continuarlista5">
    <w:name w:val="List Continue 5"/>
    <w:basedOn w:val="Normal"/>
    <w:uiPriority w:val="99"/>
    <w:semiHidden/>
    <w:unhideWhenUsed/>
    <w:rsid w:val="0003148D"/>
    <w:pPr>
      <w:spacing w:after="120"/>
      <w:ind w:left="1415"/>
      <w:contextualSpacing/>
    </w:pPr>
  </w:style>
  <w:style w:type="paragraph" w:styleId="Firma">
    <w:name w:val="Signature"/>
    <w:basedOn w:val="Normal"/>
    <w:link w:val="FirmaCar"/>
    <w:uiPriority w:val="99"/>
    <w:semiHidden/>
    <w:unhideWhenUsed/>
    <w:rsid w:val="0003148D"/>
    <w:pPr>
      <w:spacing w:line="240" w:lineRule="auto"/>
      <w:ind w:left="4252"/>
    </w:pPr>
  </w:style>
  <w:style w:type="character" w:customStyle="1" w:styleId="FirmaCar">
    <w:name w:val="Firma Car"/>
    <w:basedOn w:val="Fuentedeprrafopredeter"/>
    <w:link w:val="Firma"/>
    <w:uiPriority w:val="99"/>
    <w:semiHidden/>
    <w:rsid w:val="0003148D"/>
  </w:style>
  <w:style w:type="paragraph" w:styleId="Firmadecorreoelectrnico">
    <w:name w:val="E-mail Signature"/>
    <w:basedOn w:val="Normal"/>
    <w:link w:val="FirmadecorreoelectrnicoCar"/>
    <w:uiPriority w:val="99"/>
    <w:semiHidden/>
    <w:unhideWhenUsed/>
    <w:rsid w:val="0003148D"/>
    <w:pPr>
      <w:spacing w:line="240" w:lineRule="auto"/>
    </w:pPr>
  </w:style>
  <w:style w:type="character" w:customStyle="1" w:styleId="FirmadecorreoelectrnicoCar">
    <w:name w:val="Firma de correo electrónico Car"/>
    <w:basedOn w:val="Fuentedeprrafopredeter"/>
    <w:link w:val="Firmadecorreoelectrnico"/>
    <w:uiPriority w:val="99"/>
    <w:semiHidden/>
    <w:rsid w:val="0003148D"/>
  </w:style>
  <w:style w:type="paragraph" w:styleId="Saludo">
    <w:name w:val="Salutation"/>
    <w:basedOn w:val="Normal"/>
    <w:next w:val="Normal"/>
    <w:link w:val="SaludoCar"/>
    <w:uiPriority w:val="99"/>
    <w:semiHidden/>
    <w:unhideWhenUsed/>
    <w:rsid w:val="0003148D"/>
  </w:style>
  <w:style w:type="character" w:customStyle="1" w:styleId="SaludoCar">
    <w:name w:val="Saludo Car"/>
    <w:basedOn w:val="Fuentedeprrafopredeter"/>
    <w:link w:val="Saludo"/>
    <w:uiPriority w:val="99"/>
    <w:semiHidden/>
    <w:rsid w:val="0003148D"/>
  </w:style>
  <w:style w:type="paragraph" w:styleId="Cierre">
    <w:name w:val="Closing"/>
    <w:basedOn w:val="Normal"/>
    <w:link w:val="CierreCar"/>
    <w:uiPriority w:val="99"/>
    <w:semiHidden/>
    <w:unhideWhenUsed/>
    <w:rsid w:val="0003148D"/>
    <w:pPr>
      <w:spacing w:line="240" w:lineRule="auto"/>
      <w:ind w:left="4252"/>
    </w:pPr>
  </w:style>
  <w:style w:type="character" w:customStyle="1" w:styleId="CierreCar">
    <w:name w:val="Cierre Car"/>
    <w:basedOn w:val="Fuentedeprrafopredeter"/>
    <w:link w:val="Cierre"/>
    <w:uiPriority w:val="99"/>
    <w:semiHidden/>
    <w:rsid w:val="0003148D"/>
  </w:style>
  <w:style w:type="paragraph" w:styleId="ndice1">
    <w:name w:val="index 1"/>
    <w:basedOn w:val="Normal"/>
    <w:next w:val="Normal"/>
    <w:autoRedefine/>
    <w:uiPriority w:val="99"/>
    <w:semiHidden/>
    <w:unhideWhenUsed/>
    <w:rsid w:val="0003148D"/>
    <w:pPr>
      <w:spacing w:line="240" w:lineRule="auto"/>
      <w:ind w:left="220" w:hanging="220"/>
    </w:pPr>
  </w:style>
  <w:style w:type="paragraph" w:styleId="ndice2">
    <w:name w:val="index 2"/>
    <w:basedOn w:val="Normal"/>
    <w:next w:val="Normal"/>
    <w:autoRedefine/>
    <w:uiPriority w:val="99"/>
    <w:semiHidden/>
    <w:unhideWhenUsed/>
    <w:rsid w:val="0003148D"/>
    <w:pPr>
      <w:spacing w:line="240" w:lineRule="auto"/>
      <w:ind w:left="440" w:hanging="220"/>
    </w:pPr>
  </w:style>
  <w:style w:type="paragraph" w:styleId="ndice3">
    <w:name w:val="index 3"/>
    <w:basedOn w:val="Normal"/>
    <w:next w:val="Normal"/>
    <w:autoRedefine/>
    <w:uiPriority w:val="99"/>
    <w:semiHidden/>
    <w:unhideWhenUsed/>
    <w:rsid w:val="0003148D"/>
    <w:pPr>
      <w:spacing w:line="240" w:lineRule="auto"/>
      <w:ind w:left="660" w:hanging="220"/>
    </w:pPr>
  </w:style>
  <w:style w:type="paragraph" w:styleId="ndice4">
    <w:name w:val="index 4"/>
    <w:basedOn w:val="Normal"/>
    <w:next w:val="Normal"/>
    <w:autoRedefine/>
    <w:uiPriority w:val="99"/>
    <w:semiHidden/>
    <w:unhideWhenUsed/>
    <w:rsid w:val="0003148D"/>
    <w:pPr>
      <w:spacing w:line="240" w:lineRule="auto"/>
      <w:ind w:left="880" w:hanging="220"/>
    </w:pPr>
  </w:style>
  <w:style w:type="paragraph" w:styleId="ndice5">
    <w:name w:val="index 5"/>
    <w:basedOn w:val="Normal"/>
    <w:next w:val="Normal"/>
    <w:autoRedefine/>
    <w:uiPriority w:val="99"/>
    <w:semiHidden/>
    <w:unhideWhenUsed/>
    <w:rsid w:val="0003148D"/>
    <w:pPr>
      <w:spacing w:line="240" w:lineRule="auto"/>
      <w:ind w:left="1100" w:hanging="220"/>
    </w:pPr>
  </w:style>
  <w:style w:type="paragraph" w:styleId="ndice6">
    <w:name w:val="index 6"/>
    <w:basedOn w:val="Normal"/>
    <w:next w:val="Normal"/>
    <w:autoRedefine/>
    <w:uiPriority w:val="99"/>
    <w:semiHidden/>
    <w:unhideWhenUsed/>
    <w:rsid w:val="0003148D"/>
    <w:pPr>
      <w:spacing w:line="240" w:lineRule="auto"/>
      <w:ind w:left="1320" w:hanging="220"/>
    </w:pPr>
  </w:style>
  <w:style w:type="paragraph" w:styleId="ndice7">
    <w:name w:val="index 7"/>
    <w:basedOn w:val="Normal"/>
    <w:next w:val="Normal"/>
    <w:autoRedefine/>
    <w:uiPriority w:val="99"/>
    <w:semiHidden/>
    <w:unhideWhenUsed/>
    <w:rsid w:val="0003148D"/>
    <w:pPr>
      <w:spacing w:line="240" w:lineRule="auto"/>
      <w:ind w:left="1540" w:hanging="220"/>
    </w:pPr>
  </w:style>
  <w:style w:type="paragraph" w:styleId="ndice8">
    <w:name w:val="index 8"/>
    <w:basedOn w:val="Normal"/>
    <w:next w:val="Normal"/>
    <w:autoRedefine/>
    <w:uiPriority w:val="99"/>
    <w:semiHidden/>
    <w:unhideWhenUsed/>
    <w:rsid w:val="0003148D"/>
    <w:pPr>
      <w:spacing w:line="240" w:lineRule="auto"/>
      <w:ind w:left="1760" w:hanging="220"/>
    </w:pPr>
  </w:style>
  <w:style w:type="paragraph" w:styleId="ndice9">
    <w:name w:val="index 9"/>
    <w:basedOn w:val="Normal"/>
    <w:next w:val="Normal"/>
    <w:autoRedefine/>
    <w:uiPriority w:val="99"/>
    <w:semiHidden/>
    <w:unhideWhenUsed/>
    <w:rsid w:val="0003148D"/>
    <w:pPr>
      <w:spacing w:line="240" w:lineRule="auto"/>
      <w:ind w:left="1980" w:hanging="220"/>
    </w:pPr>
  </w:style>
  <w:style w:type="paragraph" w:styleId="Tabladeilustraciones">
    <w:name w:val="table of figures"/>
    <w:basedOn w:val="Normal"/>
    <w:next w:val="Normal"/>
    <w:uiPriority w:val="99"/>
    <w:semiHidden/>
    <w:unhideWhenUsed/>
    <w:rsid w:val="0003148D"/>
  </w:style>
  <w:style w:type="paragraph" w:styleId="Textoconsangra">
    <w:name w:val="table of authorities"/>
    <w:basedOn w:val="Normal"/>
    <w:next w:val="Normal"/>
    <w:uiPriority w:val="99"/>
    <w:semiHidden/>
    <w:unhideWhenUsed/>
    <w:rsid w:val="0003148D"/>
    <w:pPr>
      <w:ind w:left="220" w:hanging="220"/>
    </w:pPr>
  </w:style>
  <w:style w:type="paragraph" w:styleId="Direccinsob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DireccinHTML">
    <w:name w:val="HTML Address"/>
    <w:basedOn w:val="Normal"/>
    <w:link w:val="DireccinHTMLCar"/>
    <w:uiPriority w:val="99"/>
    <w:semiHidden/>
    <w:unhideWhenUsed/>
    <w:rsid w:val="0003148D"/>
    <w:pPr>
      <w:spacing w:line="240" w:lineRule="auto"/>
    </w:pPr>
    <w:rPr>
      <w:i/>
      <w:iCs/>
    </w:rPr>
  </w:style>
  <w:style w:type="character" w:customStyle="1" w:styleId="DireccinHTMLCar">
    <w:name w:val="Dirección HTML Car"/>
    <w:basedOn w:val="Fuentedeprrafopredeter"/>
    <w:link w:val="DireccinHTML"/>
    <w:uiPriority w:val="99"/>
    <w:semiHidden/>
    <w:rsid w:val="0003148D"/>
    <w:rPr>
      <w:i/>
      <w:iCs/>
    </w:rPr>
  </w:style>
  <w:style w:type="paragraph" w:styleId="Remitedesobr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cabezadodemensaje">
    <w:name w:val="Message Header"/>
    <w:basedOn w:val="Normal"/>
    <w:link w:val="Encabezadodemensaj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03148D"/>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03148D"/>
    <w:pPr>
      <w:spacing w:line="240" w:lineRule="auto"/>
    </w:pPr>
  </w:style>
  <w:style w:type="character" w:customStyle="1" w:styleId="EncabezadodenotaCar">
    <w:name w:val="Encabezado de nota Car"/>
    <w:basedOn w:val="Fuentedeprrafopredeter"/>
    <w:link w:val="Encabezadodenota"/>
    <w:uiPriority w:val="99"/>
    <w:semiHidden/>
    <w:rsid w:val="0003148D"/>
  </w:style>
  <w:style w:type="paragraph" w:styleId="Mapadeldocumento">
    <w:name w:val="Document Map"/>
    <w:basedOn w:val="Normal"/>
    <w:link w:val="MapadeldocumentoCar"/>
    <w:uiPriority w:val="99"/>
    <w:semiHidden/>
    <w:unhideWhenUsed/>
    <w:rsid w:val="0003148D"/>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aconnmeros">
    <w:name w:val="List Number"/>
    <w:basedOn w:val="Normal"/>
    <w:uiPriority w:val="99"/>
    <w:semiHidden/>
    <w:unhideWhenUsed/>
    <w:rsid w:val="0003148D"/>
    <w:pPr>
      <w:numPr>
        <w:numId w:val="2"/>
      </w:numPr>
      <w:contextualSpacing/>
    </w:pPr>
  </w:style>
  <w:style w:type="paragraph" w:styleId="Listaconnmeros2">
    <w:name w:val="List Number 2"/>
    <w:basedOn w:val="Normal"/>
    <w:uiPriority w:val="99"/>
    <w:semiHidden/>
    <w:unhideWhenUsed/>
    <w:rsid w:val="0003148D"/>
    <w:pPr>
      <w:numPr>
        <w:numId w:val="3"/>
      </w:numPr>
      <w:contextualSpacing/>
    </w:pPr>
  </w:style>
  <w:style w:type="paragraph" w:styleId="Listaconnmeros3">
    <w:name w:val="List Number 3"/>
    <w:basedOn w:val="Normal"/>
    <w:uiPriority w:val="99"/>
    <w:semiHidden/>
    <w:unhideWhenUsed/>
    <w:rsid w:val="0003148D"/>
    <w:pPr>
      <w:numPr>
        <w:numId w:val="4"/>
      </w:numPr>
      <w:contextualSpacing/>
    </w:pPr>
  </w:style>
  <w:style w:type="paragraph" w:styleId="Listaconnmeros4">
    <w:name w:val="List Number 4"/>
    <w:basedOn w:val="Normal"/>
    <w:uiPriority w:val="99"/>
    <w:semiHidden/>
    <w:unhideWhenUsed/>
    <w:rsid w:val="0003148D"/>
    <w:pPr>
      <w:numPr>
        <w:numId w:val="5"/>
      </w:numPr>
      <w:contextualSpacing/>
    </w:pPr>
  </w:style>
  <w:style w:type="paragraph" w:styleId="Listaconnmeros5">
    <w:name w:val="List Number 5"/>
    <w:basedOn w:val="Normal"/>
    <w:uiPriority w:val="99"/>
    <w:semiHidden/>
    <w:unhideWhenUsed/>
    <w:rsid w:val="0003148D"/>
    <w:pPr>
      <w:numPr>
        <w:numId w:val="6"/>
      </w:numPr>
      <w:contextualSpacing/>
    </w:pPr>
  </w:style>
  <w:style w:type="paragraph" w:styleId="HTMLconformatoprevio">
    <w:name w:val="HTML Preformatted"/>
    <w:basedOn w:val="Normal"/>
    <w:link w:val="HTMLconformatoprevioCar"/>
    <w:uiPriority w:val="99"/>
    <w:semiHidden/>
    <w:unhideWhenUsed/>
    <w:rsid w:val="0003148D"/>
    <w:pPr>
      <w:spacing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semiHidden/>
    <w:rsid w:val="0003148D"/>
    <w:rPr>
      <w:rFonts w:ascii="Consolas" w:hAnsi="Consolas" w:cs="Consolas"/>
      <w:sz w:val="20"/>
      <w:szCs w:val="20"/>
    </w:rPr>
  </w:style>
  <w:style w:type="paragraph" w:styleId="Textoindependienteprimerasangra">
    <w:name w:val="Body Text First Indent"/>
    <w:basedOn w:val="Textoindependiente"/>
    <w:link w:val="TextoindependienteprimerasangraCar"/>
    <w:uiPriority w:val="99"/>
    <w:semiHidden/>
    <w:unhideWhenUsed/>
    <w:rsid w:val="0003148D"/>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03148D"/>
  </w:style>
  <w:style w:type="paragraph" w:styleId="Sangradetextonormal">
    <w:name w:val="Body Text Indent"/>
    <w:basedOn w:val="Normal"/>
    <w:link w:val="SangradetextonormalCar"/>
    <w:uiPriority w:val="99"/>
    <w:semiHidden/>
    <w:unhideWhenUsed/>
    <w:rsid w:val="0003148D"/>
    <w:pPr>
      <w:spacing w:after="120"/>
      <w:ind w:left="283"/>
    </w:pPr>
  </w:style>
  <w:style w:type="character" w:customStyle="1" w:styleId="SangradetextonormalCar">
    <w:name w:val="Sangría de texto normal Car"/>
    <w:basedOn w:val="Fuentedeprrafopredeter"/>
    <w:link w:val="Sangradetextonormal"/>
    <w:uiPriority w:val="99"/>
    <w:semiHidden/>
    <w:rsid w:val="0003148D"/>
  </w:style>
  <w:style w:type="paragraph" w:styleId="Textoindependienteprimerasangra2">
    <w:name w:val="Body Text First Indent 2"/>
    <w:basedOn w:val="Sangradetextonormal"/>
    <w:link w:val="Textoindependienteprimerasangra2Car"/>
    <w:uiPriority w:val="99"/>
    <w:semiHidden/>
    <w:unhideWhenUsed/>
    <w:rsid w:val="0003148D"/>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03148D"/>
  </w:style>
  <w:style w:type="paragraph" w:styleId="Listaconvietas">
    <w:name w:val="List Bullet"/>
    <w:basedOn w:val="Normal"/>
    <w:uiPriority w:val="99"/>
    <w:semiHidden/>
    <w:unhideWhenUsed/>
    <w:rsid w:val="0003148D"/>
    <w:pPr>
      <w:numPr>
        <w:numId w:val="7"/>
      </w:numPr>
      <w:contextualSpacing/>
    </w:pPr>
  </w:style>
  <w:style w:type="paragraph" w:styleId="Listaconvietas2">
    <w:name w:val="List Bullet 2"/>
    <w:basedOn w:val="Normal"/>
    <w:uiPriority w:val="99"/>
    <w:semiHidden/>
    <w:unhideWhenUsed/>
    <w:rsid w:val="0003148D"/>
    <w:pPr>
      <w:numPr>
        <w:numId w:val="8"/>
      </w:numPr>
      <w:contextualSpacing/>
    </w:pPr>
  </w:style>
  <w:style w:type="paragraph" w:styleId="Listaconvietas3">
    <w:name w:val="List Bullet 3"/>
    <w:basedOn w:val="Normal"/>
    <w:uiPriority w:val="99"/>
    <w:semiHidden/>
    <w:unhideWhenUsed/>
    <w:rsid w:val="0003148D"/>
    <w:pPr>
      <w:numPr>
        <w:numId w:val="9"/>
      </w:numPr>
      <w:contextualSpacing/>
    </w:pPr>
  </w:style>
  <w:style w:type="paragraph" w:styleId="Listaconvietas4">
    <w:name w:val="List Bullet 4"/>
    <w:basedOn w:val="Normal"/>
    <w:uiPriority w:val="99"/>
    <w:semiHidden/>
    <w:unhideWhenUsed/>
    <w:rsid w:val="0003148D"/>
    <w:pPr>
      <w:numPr>
        <w:numId w:val="10"/>
      </w:numPr>
      <w:contextualSpacing/>
    </w:pPr>
  </w:style>
  <w:style w:type="paragraph" w:styleId="Listaconvietas5">
    <w:name w:val="List Bullet 5"/>
    <w:basedOn w:val="Normal"/>
    <w:uiPriority w:val="99"/>
    <w:semiHidden/>
    <w:unhideWhenUsed/>
    <w:rsid w:val="0003148D"/>
    <w:pPr>
      <w:numPr>
        <w:numId w:val="11"/>
      </w:numPr>
      <w:contextualSpacing/>
    </w:pPr>
  </w:style>
  <w:style w:type="paragraph" w:styleId="Sangra2detindependiente">
    <w:name w:val="Body Text Indent 2"/>
    <w:basedOn w:val="Normal"/>
    <w:link w:val="Sangra2detindependienteCar"/>
    <w:uiPriority w:val="99"/>
    <w:semiHidden/>
    <w:unhideWhenUsed/>
    <w:rsid w:val="0003148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3148D"/>
  </w:style>
  <w:style w:type="paragraph" w:styleId="Sangra3detindependiente">
    <w:name w:val="Body Text Indent 3"/>
    <w:basedOn w:val="Normal"/>
    <w:link w:val="Sangra3detindependienteCar"/>
    <w:uiPriority w:val="99"/>
    <w:semiHidden/>
    <w:unhideWhenUsed/>
    <w:rsid w:val="0003148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03148D"/>
    <w:rPr>
      <w:sz w:val="16"/>
      <w:szCs w:val="16"/>
    </w:rPr>
  </w:style>
  <w:style w:type="paragraph" w:styleId="Sangranormal">
    <w:name w:val="Normal Indent"/>
    <w:basedOn w:val="Normal"/>
    <w:uiPriority w:val="99"/>
    <w:semiHidden/>
    <w:unhideWhenUsed/>
    <w:rsid w:val="0003148D"/>
    <w:pPr>
      <w:ind w:left="720"/>
    </w:pPr>
  </w:style>
  <w:style w:type="paragraph" w:styleId="Textocomentario">
    <w:name w:val="annotation text"/>
    <w:basedOn w:val="Normal"/>
    <w:link w:val="TextocomentarioCar"/>
    <w:uiPriority w:val="99"/>
    <w:unhideWhenUsed/>
    <w:rsid w:val="0003148D"/>
    <w:pPr>
      <w:spacing w:line="240" w:lineRule="auto"/>
    </w:pPr>
  </w:style>
  <w:style w:type="character" w:customStyle="1" w:styleId="TextocomentarioCar">
    <w:name w:val="Texto comentario Car"/>
    <w:basedOn w:val="Fuentedeprrafopredeter"/>
    <w:link w:val="Textocomentario"/>
    <w:uiPriority w:val="99"/>
    <w:rsid w:val="0003148D"/>
    <w:rPr>
      <w:sz w:val="20"/>
      <w:szCs w:val="20"/>
    </w:rPr>
  </w:style>
  <w:style w:type="paragraph" w:styleId="Asuntodelcomentario">
    <w:name w:val="annotation subject"/>
    <w:basedOn w:val="Textocomentario"/>
    <w:next w:val="Textocomentario"/>
    <w:link w:val="AsuntodelcomentarioCar"/>
    <w:uiPriority w:val="99"/>
    <w:semiHidden/>
    <w:unhideWhenUsed/>
    <w:rsid w:val="0003148D"/>
    <w:rPr>
      <w:b/>
      <w:bCs/>
    </w:rPr>
  </w:style>
  <w:style w:type="character" w:customStyle="1" w:styleId="AsuntodelcomentarioCar">
    <w:name w:val="Asunto del comentario Car"/>
    <w:basedOn w:val="TextocomentarioCar"/>
    <w:link w:val="Asuntodelcomentario"/>
    <w:uiPriority w:val="99"/>
    <w:semiHidden/>
    <w:rsid w:val="0003148D"/>
    <w:rPr>
      <w:b/>
      <w:bCs/>
      <w:sz w:val="20"/>
      <w:szCs w:val="20"/>
    </w:rPr>
  </w:style>
  <w:style w:type="paragraph" w:styleId="TDC1">
    <w:name w:val="toc 1"/>
    <w:basedOn w:val="Normal"/>
    <w:next w:val="Normal"/>
    <w:autoRedefine/>
    <w:uiPriority w:val="39"/>
    <w:semiHidden/>
    <w:unhideWhenUsed/>
    <w:rsid w:val="0003148D"/>
    <w:pPr>
      <w:spacing w:after="100"/>
    </w:pPr>
  </w:style>
  <w:style w:type="paragraph" w:styleId="TDC2">
    <w:name w:val="toc 2"/>
    <w:basedOn w:val="Normal"/>
    <w:next w:val="Normal"/>
    <w:autoRedefine/>
    <w:uiPriority w:val="39"/>
    <w:semiHidden/>
    <w:unhideWhenUsed/>
    <w:rsid w:val="0003148D"/>
    <w:pPr>
      <w:spacing w:after="100"/>
      <w:ind w:left="220"/>
    </w:pPr>
  </w:style>
  <w:style w:type="paragraph" w:styleId="TDC3">
    <w:name w:val="toc 3"/>
    <w:basedOn w:val="Normal"/>
    <w:next w:val="Normal"/>
    <w:autoRedefine/>
    <w:uiPriority w:val="39"/>
    <w:semiHidden/>
    <w:unhideWhenUsed/>
    <w:rsid w:val="0003148D"/>
    <w:pPr>
      <w:spacing w:after="100"/>
      <w:ind w:left="440"/>
    </w:pPr>
  </w:style>
  <w:style w:type="paragraph" w:styleId="TDC4">
    <w:name w:val="toc 4"/>
    <w:basedOn w:val="Normal"/>
    <w:next w:val="Normal"/>
    <w:autoRedefine/>
    <w:uiPriority w:val="39"/>
    <w:semiHidden/>
    <w:unhideWhenUsed/>
    <w:rsid w:val="0003148D"/>
    <w:pPr>
      <w:spacing w:after="100"/>
      <w:ind w:left="660"/>
    </w:pPr>
  </w:style>
  <w:style w:type="paragraph" w:styleId="TDC5">
    <w:name w:val="toc 5"/>
    <w:basedOn w:val="Normal"/>
    <w:next w:val="Normal"/>
    <w:autoRedefine/>
    <w:uiPriority w:val="39"/>
    <w:semiHidden/>
    <w:unhideWhenUsed/>
    <w:rsid w:val="0003148D"/>
    <w:pPr>
      <w:spacing w:after="100"/>
      <w:ind w:left="880"/>
    </w:pPr>
  </w:style>
  <w:style w:type="paragraph" w:styleId="TDC6">
    <w:name w:val="toc 6"/>
    <w:basedOn w:val="Normal"/>
    <w:next w:val="Normal"/>
    <w:autoRedefine/>
    <w:uiPriority w:val="39"/>
    <w:semiHidden/>
    <w:unhideWhenUsed/>
    <w:rsid w:val="0003148D"/>
    <w:pPr>
      <w:spacing w:after="100"/>
      <w:ind w:left="1100"/>
    </w:pPr>
  </w:style>
  <w:style w:type="paragraph" w:styleId="TDC7">
    <w:name w:val="toc 7"/>
    <w:basedOn w:val="Normal"/>
    <w:next w:val="Normal"/>
    <w:autoRedefine/>
    <w:uiPriority w:val="39"/>
    <w:semiHidden/>
    <w:unhideWhenUsed/>
    <w:rsid w:val="0003148D"/>
    <w:pPr>
      <w:spacing w:after="100"/>
      <w:ind w:left="1320"/>
    </w:pPr>
  </w:style>
  <w:style w:type="paragraph" w:styleId="TDC8">
    <w:name w:val="toc 8"/>
    <w:basedOn w:val="Normal"/>
    <w:next w:val="Normal"/>
    <w:autoRedefine/>
    <w:uiPriority w:val="39"/>
    <w:semiHidden/>
    <w:unhideWhenUsed/>
    <w:rsid w:val="0003148D"/>
    <w:pPr>
      <w:spacing w:after="100"/>
      <w:ind w:left="1540"/>
    </w:pPr>
  </w:style>
  <w:style w:type="paragraph" w:styleId="TDC9">
    <w:name w:val="toc 9"/>
    <w:basedOn w:val="Normal"/>
    <w:next w:val="Normal"/>
    <w:autoRedefine/>
    <w:uiPriority w:val="39"/>
    <w:semiHidden/>
    <w:unhideWhenUsed/>
    <w:rsid w:val="0003148D"/>
    <w:pPr>
      <w:spacing w:after="100"/>
      <w:ind w:left="1760"/>
    </w:pPr>
  </w:style>
  <w:style w:type="paragraph" w:styleId="Textodebloque">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macro">
    <w:name w:val="macro"/>
    <w:link w:val="Texto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macroCar">
    <w:name w:val="Texto macro Car"/>
    <w:basedOn w:val="Fuentedeprrafopredeter"/>
    <w:link w:val="Textomacro"/>
    <w:uiPriority w:val="99"/>
    <w:semiHidden/>
    <w:rsid w:val="0003148D"/>
    <w:rPr>
      <w:rFonts w:ascii="Consolas" w:hAnsi="Consolas" w:cs="Consolas"/>
      <w:sz w:val="20"/>
      <w:szCs w:val="20"/>
    </w:rPr>
  </w:style>
  <w:style w:type="paragraph" w:styleId="Textosinformato">
    <w:name w:val="Plain Text"/>
    <w:basedOn w:val="Normal"/>
    <w:link w:val="TextosinformatoCar"/>
    <w:uiPriority w:val="99"/>
    <w:semiHidden/>
    <w:unhideWhenUsed/>
    <w:rsid w:val="0003148D"/>
    <w:pPr>
      <w:spacing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03148D"/>
    <w:rPr>
      <w:rFonts w:ascii="Consolas" w:hAnsi="Consolas" w:cs="Consolas"/>
      <w:sz w:val="21"/>
      <w:szCs w:val="21"/>
    </w:rPr>
  </w:style>
  <w:style w:type="paragraph" w:styleId="Textonotapie">
    <w:name w:val="footnote text"/>
    <w:basedOn w:val="Normal"/>
    <w:link w:val="TextonotapieCar"/>
    <w:uiPriority w:val="99"/>
    <w:semiHidden/>
    <w:unhideWhenUsed/>
    <w:rsid w:val="0003148D"/>
    <w:pPr>
      <w:spacing w:line="240" w:lineRule="auto"/>
    </w:pPr>
  </w:style>
  <w:style w:type="character" w:customStyle="1" w:styleId="TextonotapieCar">
    <w:name w:val="Texto nota pie Car"/>
    <w:basedOn w:val="Fuentedeprrafopredeter"/>
    <w:link w:val="Textonotapie"/>
    <w:uiPriority w:val="99"/>
    <w:semiHidden/>
    <w:rsid w:val="0003148D"/>
    <w:rPr>
      <w:sz w:val="20"/>
      <w:szCs w:val="20"/>
    </w:rPr>
  </w:style>
  <w:style w:type="paragraph" w:styleId="Textonotaalfinal">
    <w:name w:val="endnote text"/>
    <w:basedOn w:val="Normal"/>
    <w:link w:val="TextonotaalfinalCar"/>
    <w:uiPriority w:val="99"/>
    <w:semiHidden/>
    <w:unhideWhenUsed/>
    <w:rsid w:val="0003148D"/>
    <w:pPr>
      <w:spacing w:line="240" w:lineRule="auto"/>
    </w:pPr>
  </w:style>
  <w:style w:type="character" w:customStyle="1" w:styleId="TextonotaalfinalCar">
    <w:name w:val="Texto nota al final Car"/>
    <w:basedOn w:val="Fuentedeprrafopredeter"/>
    <w:link w:val="Textonotaalfinal"/>
    <w:uiPriority w:val="99"/>
    <w:semiHidden/>
    <w:rsid w:val="0003148D"/>
    <w:rPr>
      <w:sz w:val="20"/>
      <w:szCs w:val="20"/>
    </w:rPr>
  </w:style>
  <w:style w:type="character" w:customStyle="1" w:styleId="Ttulo1Car">
    <w:name w:val="Título 1 Car"/>
    <w:basedOn w:val="Fuentedeprrafopredeter"/>
    <w:link w:val="Ttulo1"/>
    <w:uiPriority w:val="9"/>
    <w:rsid w:val="004F5E36"/>
    <w:rPr>
      <w:rFonts w:ascii="Arial" w:eastAsia="Times New Roman" w:hAnsi="Arial" w:cs="Times New Roman"/>
      <w:b/>
      <w:sz w:val="20"/>
      <w:szCs w:val="20"/>
      <w:lang w:val="en-GB"/>
    </w:rPr>
  </w:style>
  <w:style w:type="character" w:customStyle="1" w:styleId="Ttulo2Car">
    <w:name w:val="Título 2 Car"/>
    <w:basedOn w:val="Fuentedeprrafopredeter"/>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03148D"/>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
    <w:name w:val="index heading"/>
    <w:basedOn w:val="Normal"/>
    <w:next w:val="ndice1"/>
    <w:uiPriority w:val="99"/>
    <w:semiHidden/>
    <w:unhideWhenUsed/>
    <w:rsid w:val="0003148D"/>
    <w:rPr>
      <w:rFonts w:asciiTheme="majorHAnsi" w:eastAsiaTheme="majorEastAsia" w:hAnsiTheme="majorHAnsi" w:cstheme="majorBidi"/>
      <w:b/>
      <w:bCs/>
    </w:rPr>
  </w:style>
  <w:style w:type="paragraph" w:styleId="Encabezadodelista">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tuloTDC">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uentedeprrafopredeter"/>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Encabezado">
    <w:name w:val="header"/>
    <w:basedOn w:val="Normal"/>
    <w:link w:val="EncabezadoCar"/>
    <w:uiPriority w:val="99"/>
    <w:unhideWhenUsed/>
    <w:rsid w:val="005278B7"/>
    <w:pPr>
      <w:tabs>
        <w:tab w:val="clear" w:pos="7100"/>
        <w:tab w:val="center" w:pos="4819"/>
        <w:tab w:val="right" w:pos="9638"/>
      </w:tabs>
      <w:spacing w:line="240" w:lineRule="auto"/>
    </w:pPr>
  </w:style>
  <w:style w:type="character" w:customStyle="1" w:styleId="EncabezadoCar">
    <w:name w:val="Encabezado Car"/>
    <w:basedOn w:val="Fuentedeprrafopredeter"/>
    <w:link w:val="Encabezado"/>
    <w:uiPriority w:val="99"/>
    <w:rsid w:val="005278B7"/>
    <w:rPr>
      <w:rFonts w:ascii="Arial" w:eastAsia="Times New Roman" w:hAnsi="Arial" w:cs="Times New Roman"/>
      <w:sz w:val="18"/>
      <w:szCs w:val="20"/>
      <w:lang w:val="en-GB"/>
    </w:rPr>
  </w:style>
  <w:style w:type="paragraph" w:styleId="Piedepgina">
    <w:name w:val="footer"/>
    <w:basedOn w:val="Normal"/>
    <w:link w:val="PiedepginaCar"/>
    <w:uiPriority w:val="99"/>
    <w:unhideWhenUsed/>
    <w:rsid w:val="005278B7"/>
    <w:pPr>
      <w:tabs>
        <w:tab w:val="clear" w:pos="7100"/>
        <w:tab w:val="center" w:pos="4819"/>
        <w:tab w:val="right" w:pos="9638"/>
      </w:tabs>
      <w:spacing w:line="240" w:lineRule="auto"/>
    </w:pPr>
  </w:style>
  <w:style w:type="character" w:customStyle="1" w:styleId="PiedepginaCar">
    <w:name w:val="Pie de página Car"/>
    <w:basedOn w:val="Fuentedeprrafopredeter"/>
    <w:link w:val="Piedepgina"/>
    <w:uiPriority w:val="99"/>
    <w:rsid w:val="005278B7"/>
    <w:rPr>
      <w:rFonts w:ascii="Arial" w:eastAsia="Times New Roman" w:hAnsi="Arial" w:cs="Times New Roman"/>
      <w:sz w:val="18"/>
      <w:szCs w:val="20"/>
      <w:lang w:val="en-GB"/>
    </w:rPr>
  </w:style>
  <w:style w:type="table" w:styleId="Tablaconcuadrcula">
    <w:name w:val="Table Grid"/>
    <w:basedOn w:val="Tab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04C62"/>
    <w:rPr>
      <w:color w:val="0000FF" w:themeColor="hyperlink"/>
      <w:u w:val="single"/>
    </w:rPr>
  </w:style>
  <w:style w:type="character" w:customStyle="1" w:styleId="eudoraheader">
    <w:name w:val="eudoraheader"/>
    <w:basedOn w:val="Fuentedeprrafopredeter"/>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rrafodelista">
    <w:name w:val="List Paragraph"/>
    <w:basedOn w:val="Normal"/>
    <w:uiPriority w:val="34"/>
    <w:rsid w:val="00280FAF"/>
    <w:pPr>
      <w:ind w:left="720"/>
      <w:contextualSpacing/>
    </w:pPr>
  </w:style>
  <w:style w:type="character" w:styleId="Textodelmarcadordeposicin">
    <w:name w:val="Placeholder Text"/>
    <w:basedOn w:val="Fuentedeprrafopredeter"/>
    <w:uiPriority w:val="99"/>
    <w:semiHidden/>
    <w:rsid w:val="00604B23"/>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1674784">
      <w:bodyDiv w:val="1"/>
      <w:marLeft w:val="0"/>
      <w:marRight w:val="0"/>
      <w:marTop w:val="0"/>
      <w:marBottom w:val="0"/>
      <w:divBdr>
        <w:top w:val="none" w:sz="0" w:space="0" w:color="auto"/>
        <w:left w:val="none" w:sz="0" w:space="0" w:color="auto"/>
        <w:bottom w:val="none" w:sz="0" w:space="0" w:color="auto"/>
        <w:right w:val="none" w:sz="0" w:space="0" w:color="auto"/>
      </w:divBdr>
    </w:div>
    <w:div w:id="183790227">
      <w:bodyDiv w:val="1"/>
      <w:marLeft w:val="0"/>
      <w:marRight w:val="0"/>
      <w:marTop w:val="0"/>
      <w:marBottom w:val="0"/>
      <w:divBdr>
        <w:top w:val="none" w:sz="0" w:space="0" w:color="auto"/>
        <w:left w:val="none" w:sz="0" w:space="0" w:color="auto"/>
        <w:bottom w:val="none" w:sz="0" w:space="0" w:color="auto"/>
        <w:right w:val="none" w:sz="0" w:space="0" w:color="auto"/>
      </w:divBdr>
    </w:div>
    <w:div w:id="214053573">
      <w:bodyDiv w:val="1"/>
      <w:marLeft w:val="0"/>
      <w:marRight w:val="0"/>
      <w:marTop w:val="0"/>
      <w:marBottom w:val="0"/>
      <w:divBdr>
        <w:top w:val="none" w:sz="0" w:space="0" w:color="auto"/>
        <w:left w:val="none" w:sz="0" w:space="0" w:color="auto"/>
        <w:bottom w:val="none" w:sz="0" w:space="0" w:color="auto"/>
        <w:right w:val="none" w:sz="0" w:space="0" w:color="auto"/>
      </w:divBdr>
      <w:divsChild>
        <w:div w:id="205871777">
          <w:marLeft w:val="480"/>
          <w:marRight w:val="0"/>
          <w:marTop w:val="0"/>
          <w:marBottom w:val="0"/>
          <w:divBdr>
            <w:top w:val="none" w:sz="0" w:space="0" w:color="auto"/>
            <w:left w:val="none" w:sz="0" w:space="0" w:color="auto"/>
            <w:bottom w:val="none" w:sz="0" w:space="0" w:color="auto"/>
            <w:right w:val="none" w:sz="0" w:space="0" w:color="auto"/>
          </w:divBdr>
        </w:div>
        <w:div w:id="2113623645">
          <w:marLeft w:val="480"/>
          <w:marRight w:val="0"/>
          <w:marTop w:val="0"/>
          <w:marBottom w:val="0"/>
          <w:divBdr>
            <w:top w:val="none" w:sz="0" w:space="0" w:color="auto"/>
            <w:left w:val="none" w:sz="0" w:space="0" w:color="auto"/>
            <w:bottom w:val="none" w:sz="0" w:space="0" w:color="auto"/>
            <w:right w:val="none" w:sz="0" w:space="0" w:color="auto"/>
          </w:divBdr>
        </w:div>
        <w:div w:id="1549027258">
          <w:marLeft w:val="480"/>
          <w:marRight w:val="0"/>
          <w:marTop w:val="0"/>
          <w:marBottom w:val="0"/>
          <w:divBdr>
            <w:top w:val="none" w:sz="0" w:space="0" w:color="auto"/>
            <w:left w:val="none" w:sz="0" w:space="0" w:color="auto"/>
            <w:bottom w:val="none" w:sz="0" w:space="0" w:color="auto"/>
            <w:right w:val="none" w:sz="0" w:space="0" w:color="auto"/>
          </w:divBdr>
        </w:div>
        <w:div w:id="1489399128">
          <w:marLeft w:val="480"/>
          <w:marRight w:val="0"/>
          <w:marTop w:val="0"/>
          <w:marBottom w:val="0"/>
          <w:divBdr>
            <w:top w:val="none" w:sz="0" w:space="0" w:color="auto"/>
            <w:left w:val="none" w:sz="0" w:space="0" w:color="auto"/>
            <w:bottom w:val="none" w:sz="0" w:space="0" w:color="auto"/>
            <w:right w:val="none" w:sz="0" w:space="0" w:color="auto"/>
          </w:divBdr>
        </w:div>
        <w:div w:id="1820803758">
          <w:marLeft w:val="480"/>
          <w:marRight w:val="0"/>
          <w:marTop w:val="0"/>
          <w:marBottom w:val="0"/>
          <w:divBdr>
            <w:top w:val="none" w:sz="0" w:space="0" w:color="auto"/>
            <w:left w:val="none" w:sz="0" w:space="0" w:color="auto"/>
            <w:bottom w:val="none" w:sz="0" w:space="0" w:color="auto"/>
            <w:right w:val="none" w:sz="0" w:space="0" w:color="auto"/>
          </w:divBdr>
        </w:div>
        <w:div w:id="810248148">
          <w:marLeft w:val="480"/>
          <w:marRight w:val="0"/>
          <w:marTop w:val="0"/>
          <w:marBottom w:val="0"/>
          <w:divBdr>
            <w:top w:val="none" w:sz="0" w:space="0" w:color="auto"/>
            <w:left w:val="none" w:sz="0" w:space="0" w:color="auto"/>
            <w:bottom w:val="none" w:sz="0" w:space="0" w:color="auto"/>
            <w:right w:val="none" w:sz="0" w:space="0" w:color="auto"/>
          </w:divBdr>
        </w:div>
        <w:div w:id="1611932394">
          <w:marLeft w:val="480"/>
          <w:marRight w:val="0"/>
          <w:marTop w:val="0"/>
          <w:marBottom w:val="0"/>
          <w:divBdr>
            <w:top w:val="none" w:sz="0" w:space="0" w:color="auto"/>
            <w:left w:val="none" w:sz="0" w:space="0" w:color="auto"/>
            <w:bottom w:val="none" w:sz="0" w:space="0" w:color="auto"/>
            <w:right w:val="none" w:sz="0" w:space="0" w:color="auto"/>
          </w:divBdr>
        </w:div>
        <w:div w:id="1867794267">
          <w:marLeft w:val="480"/>
          <w:marRight w:val="0"/>
          <w:marTop w:val="0"/>
          <w:marBottom w:val="0"/>
          <w:divBdr>
            <w:top w:val="none" w:sz="0" w:space="0" w:color="auto"/>
            <w:left w:val="none" w:sz="0" w:space="0" w:color="auto"/>
            <w:bottom w:val="none" w:sz="0" w:space="0" w:color="auto"/>
            <w:right w:val="none" w:sz="0" w:space="0" w:color="auto"/>
          </w:divBdr>
        </w:div>
        <w:div w:id="2090956492">
          <w:marLeft w:val="480"/>
          <w:marRight w:val="0"/>
          <w:marTop w:val="0"/>
          <w:marBottom w:val="0"/>
          <w:divBdr>
            <w:top w:val="none" w:sz="0" w:space="0" w:color="auto"/>
            <w:left w:val="none" w:sz="0" w:space="0" w:color="auto"/>
            <w:bottom w:val="none" w:sz="0" w:space="0" w:color="auto"/>
            <w:right w:val="none" w:sz="0" w:space="0" w:color="auto"/>
          </w:divBdr>
        </w:div>
      </w:divsChild>
    </w:div>
    <w:div w:id="556821770">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466">
      <w:bodyDiv w:val="1"/>
      <w:marLeft w:val="0"/>
      <w:marRight w:val="0"/>
      <w:marTop w:val="0"/>
      <w:marBottom w:val="0"/>
      <w:divBdr>
        <w:top w:val="none" w:sz="0" w:space="0" w:color="auto"/>
        <w:left w:val="none" w:sz="0" w:space="0" w:color="auto"/>
        <w:bottom w:val="none" w:sz="0" w:space="0" w:color="auto"/>
        <w:right w:val="none" w:sz="0" w:space="0" w:color="auto"/>
      </w:divBdr>
    </w:div>
    <w:div w:id="1185243483">
      <w:bodyDiv w:val="1"/>
      <w:marLeft w:val="0"/>
      <w:marRight w:val="0"/>
      <w:marTop w:val="0"/>
      <w:marBottom w:val="0"/>
      <w:divBdr>
        <w:top w:val="none" w:sz="0" w:space="0" w:color="auto"/>
        <w:left w:val="none" w:sz="0" w:space="0" w:color="auto"/>
        <w:bottom w:val="none" w:sz="0" w:space="0" w:color="auto"/>
        <w:right w:val="none" w:sz="0" w:space="0" w:color="auto"/>
      </w:divBdr>
    </w:div>
    <w:div w:id="1204321333">
      <w:bodyDiv w:val="1"/>
      <w:marLeft w:val="0"/>
      <w:marRight w:val="0"/>
      <w:marTop w:val="0"/>
      <w:marBottom w:val="0"/>
      <w:divBdr>
        <w:top w:val="none" w:sz="0" w:space="0" w:color="auto"/>
        <w:left w:val="none" w:sz="0" w:space="0" w:color="auto"/>
        <w:bottom w:val="none" w:sz="0" w:space="0" w:color="auto"/>
        <w:right w:val="none" w:sz="0" w:space="0" w:color="auto"/>
      </w:divBdr>
      <w:divsChild>
        <w:div w:id="907812905">
          <w:marLeft w:val="480"/>
          <w:marRight w:val="0"/>
          <w:marTop w:val="0"/>
          <w:marBottom w:val="0"/>
          <w:divBdr>
            <w:top w:val="none" w:sz="0" w:space="0" w:color="auto"/>
            <w:left w:val="none" w:sz="0" w:space="0" w:color="auto"/>
            <w:bottom w:val="none" w:sz="0" w:space="0" w:color="auto"/>
            <w:right w:val="none" w:sz="0" w:space="0" w:color="auto"/>
          </w:divBdr>
        </w:div>
        <w:div w:id="1732996416">
          <w:marLeft w:val="480"/>
          <w:marRight w:val="0"/>
          <w:marTop w:val="0"/>
          <w:marBottom w:val="0"/>
          <w:divBdr>
            <w:top w:val="none" w:sz="0" w:space="0" w:color="auto"/>
            <w:left w:val="none" w:sz="0" w:space="0" w:color="auto"/>
            <w:bottom w:val="none" w:sz="0" w:space="0" w:color="auto"/>
            <w:right w:val="none" w:sz="0" w:space="0" w:color="auto"/>
          </w:divBdr>
        </w:div>
        <w:div w:id="1426225204">
          <w:marLeft w:val="480"/>
          <w:marRight w:val="0"/>
          <w:marTop w:val="0"/>
          <w:marBottom w:val="0"/>
          <w:divBdr>
            <w:top w:val="none" w:sz="0" w:space="0" w:color="auto"/>
            <w:left w:val="none" w:sz="0" w:space="0" w:color="auto"/>
            <w:bottom w:val="none" w:sz="0" w:space="0" w:color="auto"/>
            <w:right w:val="none" w:sz="0" w:space="0" w:color="auto"/>
          </w:divBdr>
        </w:div>
        <w:div w:id="130026722">
          <w:marLeft w:val="480"/>
          <w:marRight w:val="0"/>
          <w:marTop w:val="0"/>
          <w:marBottom w:val="0"/>
          <w:divBdr>
            <w:top w:val="none" w:sz="0" w:space="0" w:color="auto"/>
            <w:left w:val="none" w:sz="0" w:space="0" w:color="auto"/>
            <w:bottom w:val="none" w:sz="0" w:space="0" w:color="auto"/>
            <w:right w:val="none" w:sz="0" w:space="0" w:color="auto"/>
          </w:divBdr>
        </w:div>
        <w:div w:id="1284309089">
          <w:marLeft w:val="480"/>
          <w:marRight w:val="0"/>
          <w:marTop w:val="0"/>
          <w:marBottom w:val="0"/>
          <w:divBdr>
            <w:top w:val="none" w:sz="0" w:space="0" w:color="auto"/>
            <w:left w:val="none" w:sz="0" w:space="0" w:color="auto"/>
            <w:bottom w:val="none" w:sz="0" w:space="0" w:color="auto"/>
            <w:right w:val="none" w:sz="0" w:space="0" w:color="auto"/>
          </w:divBdr>
        </w:div>
        <w:div w:id="335425816">
          <w:marLeft w:val="480"/>
          <w:marRight w:val="0"/>
          <w:marTop w:val="0"/>
          <w:marBottom w:val="0"/>
          <w:divBdr>
            <w:top w:val="none" w:sz="0" w:space="0" w:color="auto"/>
            <w:left w:val="none" w:sz="0" w:space="0" w:color="auto"/>
            <w:bottom w:val="none" w:sz="0" w:space="0" w:color="auto"/>
            <w:right w:val="none" w:sz="0" w:space="0" w:color="auto"/>
          </w:divBdr>
        </w:div>
        <w:div w:id="2132043454">
          <w:marLeft w:val="480"/>
          <w:marRight w:val="0"/>
          <w:marTop w:val="0"/>
          <w:marBottom w:val="0"/>
          <w:divBdr>
            <w:top w:val="none" w:sz="0" w:space="0" w:color="auto"/>
            <w:left w:val="none" w:sz="0" w:space="0" w:color="auto"/>
            <w:bottom w:val="none" w:sz="0" w:space="0" w:color="auto"/>
            <w:right w:val="none" w:sz="0" w:space="0" w:color="auto"/>
          </w:divBdr>
        </w:div>
        <w:div w:id="578951198">
          <w:marLeft w:val="480"/>
          <w:marRight w:val="0"/>
          <w:marTop w:val="0"/>
          <w:marBottom w:val="0"/>
          <w:divBdr>
            <w:top w:val="none" w:sz="0" w:space="0" w:color="auto"/>
            <w:left w:val="none" w:sz="0" w:space="0" w:color="auto"/>
            <w:bottom w:val="none" w:sz="0" w:space="0" w:color="auto"/>
            <w:right w:val="none" w:sz="0" w:space="0" w:color="auto"/>
          </w:divBdr>
        </w:div>
      </w:divsChild>
    </w:div>
    <w:div w:id="1335034234">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84679059">
      <w:bodyDiv w:val="1"/>
      <w:marLeft w:val="0"/>
      <w:marRight w:val="0"/>
      <w:marTop w:val="0"/>
      <w:marBottom w:val="0"/>
      <w:divBdr>
        <w:top w:val="none" w:sz="0" w:space="0" w:color="auto"/>
        <w:left w:val="none" w:sz="0" w:space="0" w:color="auto"/>
        <w:bottom w:val="none" w:sz="0" w:space="0" w:color="auto"/>
        <w:right w:val="none" w:sz="0" w:space="0" w:color="auto"/>
      </w:divBdr>
    </w:div>
    <w:div w:id="1606570667">
      <w:bodyDiv w:val="1"/>
      <w:marLeft w:val="0"/>
      <w:marRight w:val="0"/>
      <w:marTop w:val="0"/>
      <w:marBottom w:val="0"/>
      <w:divBdr>
        <w:top w:val="none" w:sz="0" w:space="0" w:color="auto"/>
        <w:left w:val="none" w:sz="0" w:space="0" w:color="auto"/>
        <w:bottom w:val="none" w:sz="0" w:space="0" w:color="auto"/>
        <w:right w:val="none" w:sz="0" w:space="0" w:color="auto"/>
      </w:divBdr>
    </w:div>
    <w:div w:id="1632050619">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sv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sv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sv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3A54967A-462F-4964-A264-C7D1A95146F2}"/>
      </w:docPartPr>
      <w:docPartBody>
        <w:p w:rsidR="00154745" w:rsidRDefault="0072768A">
          <w:r w:rsidRPr="00D97A78">
            <w:rPr>
              <w:rStyle w:val="Textodelmarcadordeposicin"/>
            </w:rPr>
            <w:t>Haga clic o pulse aquí para escribir texto.</w:t>
          </w:r>
        </w:p>
      </w:docPartBody>
    </w:docPart>
    <w:docPart>
      <w:docPartPr>
        <w:name w:val="F6241A522C7A461FB4C2CF122224A108"/>
        <w:category>
          <w:name w:val="General"/>
          <w:gallery w:val="placeholder"/>
        </w:category>
        <w:types>
          <w:type w:val="bbPlcHdr"/>
        </w:types>
        <w:behaviors>
          <w:behavior w:val="content"/>
        </w:behaviors>
        <w:guid w:val="{84879473-9522-45E9-8309-EDBBD380D24A}"/>
      </w:docPartPr>
      <w:docPartBody>
        <w:p w:rsidR="00BC5235" w:rsidRDefault="00BC5235" w:rsidP="00BC5235">
          <w:pPr>
            <w:pStyle w:val="F6241A522C7A461FB4C2CF122224A108"/>
          </w:pPr>
          <w:r w:rsidRPr="00D97A78">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68A"/>
    <w:rsid w:val="00154745"/>
    <w:rsid w:val="0072768A"/>
    <w:rsid w:val="00B6006E"/>
    <w:rsid w:val="00BC523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BC5235"/>
    <w:rPr>
      <w:color w:val="666666"/>
    </w:rPr>
  </w:style>
  <w:style w:type="paragraph" w:customStyle="1" w:styleId="BCEB9230005D448DB97A4B43E7D59FED">
    <w:name w:val="BCEB9230005D448DB97A4B43E7D59FED"/>
    <w:rsid w:val="00BC5235"/>
    <w:pPr>
      <w:spacing w:line="278" w:lineRule="auto"/>
    </w:pPr>
    <w:rPr>
      <w:kern w:val="2"/>
      <w:sz w:val="24"/>
      <w:szCs w:val="24"/>
      <w14:ligatures w14:val="standardContextual"/>
    </w:rPr>
  </w:style>
  <w:style w:type="paragraph" w:customStyle="1" w:styleId="F6241A522C7A461FB4C2CF122224A108">
    <w:name w:val="F6241A522C7A461FB4C2CF122224A108"/>
    <w:rsid w:val="00BC5235"/>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C3DABEB-3DA0-4741-8F18-D169978982F6}">
  <we:reference id="wa104382081" version="1.55.1.0" store="es-ES" storeType="OMEX"/>
  <we:alternateReferences>
    <we:reference id="WA104382081" version="1.55.1.0" store="WA104382081" storeType="OMEX"/>
  </we:alternateReferences>
  <we:properties>
    <we:property name="MENDELEY_CITATIONS" value="[{&quot;citationID&quot;:&quot;MENDELEY_CITATION_9817fc70-386e-46ae-90c8-9c852773f8c6&quot;,&quot;properties&quot;:{&quot;noteIndex&quot;:0},&quot;isEdited&quot;:false,&quot;manualOverride&quot;:{&quot;isManuallyOverridden&quot;:false,&quot;citeprocText&quot;:&quot;(Mahkamov et al., 2018)&quot;,&quot;manualOverrideText&quot;:&quot;&quot;},&quot;citationTag&quot;:&quot;MENDELEY_CITATION_v3_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&quot;,&quot;citationItems&quot;:[{&quot;id&quot;:&quot;5b80d08c-8202-31c4-a165-9095a4da0acf&quot;,&quot;itemData&quot;:{&quot;type&quot;:&quot;paper-conference&quot;,&quot;id&quot;:&quot;5b80d08c-8202-31c4-a165-9095a4da0acf&quot;,&quot;title&quot;:&quot;Development of a Small Solar Thermal Power Plant for Heat and Power Supply to Domestic and Small Business Buildings&quot;,&quot;author&quot;:[{&quot;family&quot;:&quot;Mahkamov&quot;,&quot;given&quot;:&quot;Khamid&quot;,&quot;parse-names&quot;:false,&quot;dropping-particle&quot;:&quot;&quot;,&quot;non-dropping-particle&quot;:&quot;&quot;},{&quot;family&quot;:&quot;Pili&quot;,&quot;given&quot;:&quot;Piero&quot;,&quot;parse-names&quot;:false,&quot;dropping-particle&quot;:&quot;&quot;,&quot;non-dropping-particle&quot;:&quot;&quot;},{&quot;family&quot;:&quot;Manca&quot;,&quot;given&quot;:&quot;Roberto&quot;,&quot;parse-names&quot;:false,&quot;dropping-particle&quot;:&quot;&quot;,&quot;non-dropping-particle&quot;:&quot;&quot;},{&quot;family&quot;:&quot;Leroux&quot;,&quot;given&quot;:&quot;Arthur&quot;,&quot;parse-names&quot;:false,&quot;dropping-particle&quot;:&quot;&quot;,&quot;non-dropping-particle&quot;:&quot;&quot;},{&quot;family&quot;:&quot;Mintsa&quot;,&quot;given&quot;:&quot;Andre Charles&quot;,&quot;parse-names&quot;:false,&quot;dropping-particle&quot;:&quot;&quot;,&quot;non-dropping-particle&quot;:&quot;&quot;},{&quot;family&quot;:&quot;Lynn&quot;,&quot;given&quot;:&quot;Kevin&quot;,&quot;parse-names&quot;:false,&quot;dropping-particle&quot;:&quot;&quot;,&quot;non-dropping-particle&quot;:&quot;&quot;},{&quot;family&quot;:&quot;Mullen&quot;,&quot;given&quot;:&quot;David&quot;,&quot;parse-names&quot;:false,&quot;dropping-particle&quot;:&quot;&quot;,&quot;non-dropping-particle&quot;:&quot;&quot;},{&quot;family&quot;:&quot;Halimic&quot;,&quot;given&quot;:&quot;Elvedin&quot;,&quot;parse-names&quot;:false,&quot;dropping-particle&quot;:&quot;&quot;,&quot;non-dropping-particle&quot;:&quot;&quot;},{&quot;family&quot;:&quot;Bartolini&quot;,&quot;given&quot;:&quot;Carlo&quot;,&quot;parse-names&quot;:false,&quot;dropping-particle&quot;:&quot;&quot;,&quot;non-dropping-particle&quot;:&quot;&quot;},{&quot;family&quot;:&quot;Pirro&quot;,&quot;given&quot;:&quot;Matteo&quot;,&quot;parse-names&quot;:false,&quot;dropping-particle&quot;:&quot;&quot;,&quot;non-dropping-particle&quot;:&quot;&quot;},{&quot;family&quot;:&quot;Costa&quot;,&quot;given&quot;:&quot;Sol-Carolina&quot;,&quot;parse-names&quot;:false,&quot;dropping-particle&quot;:&quot;&quot;,&quot;non-dropping-particle&quot;:&quot;&quot;},{&quot;family&quot;:&quot;Cabeza&quot;,&quot;given&quot;:&quot;Luisa F.&quot;,&quot;parse-names&quot;:false,&quot;dropping-particle&quot;:&quot;&quot;,&quot;non-dropping-particle&quot;:&quot;&quot;},{&quot;family&quot;:&quot;Gracia Cuesto&quot;,&quot;given&quot;:&quot;Alvaro&quot;,&quot;parse-names&quot;:false,&quot;dropping-particle&quot;:&quot;&quot;,&quot;non-dropping-particle&quot;:&quot;de&quot;},{&quot;family&quot;:&quot;Kenisarin&quot;,&quot;given&quot;:&quot;Murat&quot;,&quot;parse-names&quot;:false,&quot;dropping-particle&quot;:&quot;&quot;,&quot;non-dropping-particle&quot;:&quot;&quot;},{&quot;family&quot;:&quot;Makhkamova&quot;,&quot;given&quot;:&quot;Irina&quot;,&quot;parse-names&quot;:false,&quot;dropping-particle&quot;:&quot;&quot;,&quot;non-dropping-particle&quot;:&quot;&quot;}],&quot;container-title&quot;:&quot;Volume 1: Fuels, Combustion, and Material Handling; Combustion Turbines Combined Cycles; Boilers and Heat Recovery Steam Generators; Virtual Plant and Cyber-Physical Systems; Plant Development and Construction; Renewable Energy Systems&quot;,&quot;DOI&quot;:&quot;10.1115/POWER2018-7336&quot;,&quot;ISBN&quot;:&quot;978-0-7918-5139-5&quot;,&quot;URL&quot;:&quot;https://asmedigitalcollection.asme.org/POWER/proceedings/POWER2018/51395/Lake Buena Vista, Florida, USA/277410&quot;,&quot;issued&quot;:{&quot;date-parts&quot;:[[2018,6,24]]},&quot;abstract&quot;:&quot;The small solar thermal power plant is being developed with funding from EU Horizon 2020 Program. The plant is configured around a 2-kWel Organic Rankine Cycle turbine and solar field, made of Fresnel mirrors. The solar field is used to heat thermal oil to the temperature of about 240 °C. This thermal energy is used to run the Organic Rankine Cycle turbine and the heat rejected in its condenser (about 18-kWth) is utilized for hot water production and living space heating. The plant is equipped with a latent heat thermal storage to extend its operation by about 4 hours during the evening building occupancy period. The phase change material used is Solar salt with the melting/solidification point at about 220 °C. The total mass of the PCM is about 3,800 kg and the thermal storage capacity is about 100 kWh. The operation of the plant is monitored by a central controller unit. The main components of the plant are being manufactured and laboratory tested with the aim to assemble the plant at the demonstration site, located in Catalonia, Spain. At the first stage of investigations the ORC turbine will be directly integrated with the solar filed to evaluate their joint performance. During the second stage of tests, the Latent Heat Thermal Storage will be incorporated into the plant and its performance during the charging and discharging processes will be investigated. It is planned that the continuous filed tests of the whole plant will be performed during the 2018–2019 period.&quot;,&quot;publisher&quot;:&quot;American Society of Mechanical Engineers&quot;,&quot;container-title-short&quot;:&quot;&quot;},&quot;isTemporary&quot;:false}]},{&quot;citationID&quot;:&quot;MENDELEY_CITATION_55ebdc78-bddc-4a57-b863-42206de1f0e2&quot;,&quot;properties&quot;:{&quot;noteIndex&quot;:0},&quot;isEdited&quot;:false,&quot;manualOverride&quot;:{&quot;isManuallyOverridden&quot;:false,&quot;citeprocText&quot;:&quot;(Pielichowska &amp;#38; Pielichowski, 2014)&quot;,&quot;manualOverrideText&quot;:&quot;&quot;},&quot;citationTag&quot;:&quot;MENDELEY_CITATION_v3_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&quot;,&quot;citationItems&quot;:[{&quot;id&quot;:&quot;31dcce50-370d-317e-b6d5-d5b2ff9aa233&quot;,&quot;itemData&quot;:{&quot;type&quot;:&quot;article-journal&quot;,&quot;id&quot;:&quot;31dcce50-370d-317e-b6d5-d5b2ff9aa233&quot;,&quot;title&quot;:&quot;Phase change materials for thermal energy storage&quot;,&quot;author&quot;:[{&quot;family&quot;:&quot;Pielichowska&quot;,&quot;given&quot;:&quot;Kinga&quot;,&quot;parse-names&quot;:false,&quot;dropping-particle&quot;:&quot;&quot;,&quot;non-dropping-particle&quot;:&quot;&quot;},{&quot;family&quot;:&quot;Pielichowski&quot;,&quot;given&quot;:&quot;Krzysztof&quot;,&quot;parse-names&quot;:false,&quot;dropping-particle&quot;:&quot;&quot;,&quot;non-dropping-particle&quot;:&quot;&quot;}],&quot;container-title&quot;:&quot;Progress in Materials Science&quot;,&quot;container-title-short&quot;:&quot;Prog Mater Sci&quot;,&quot;DOI&quot;:&quot;10.1016/j.pmatsci.2014.03.005&quot;,&quot;ISSN&quot;:&quot;00796425&quot;,&quot;URL&quot;:&quot;https://linkinghub.elsevier.com/retrieve/pii/S0079642514000358&quot;,&quot;issued&quot;:{&quot;date-parts&quot;:[[2014,8]]},&quot;page&quot;:&quot;67-123&quot;,&quot;volume&quot;:&quot;65&quot;},&quot;isTemporary&quot;:false}]},{&quot;citationID&quot;:&quot;MENDELEY_CITATION_b5d88dce-987f-4521-9016-ccba8347515d&quot;,&quot;properties&quot;:{&quot;noteIndex&quot;:0},&quot;isEdited&quot;:false,&quot;manualOverride&quot;:{&quot;isManuallyOverridden&quot;:false,&quot;citeprocText&quot;:&quot;(Riffat, Mempouo, &amp;#38; Fang, 2015)&quot;,&quot;manualOverrideText&quot;:&quot;&quot;},&quot;citationTag&quot;:&quot;MENDELEY_CITATION_v3_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&quot;,&quot;citationItems&quot;:[{&quot;id&quot;:&quot;0b151a8d-5425-3207-8ff7-3efa45586c98&quot;,&quot;itemData&quot;:{&quot;type&quot;:&quot;article-journal&quot;,&quot;id&quot;:&quot;0b151a8d-5425-3207-8ff7-3efa45586c98&quot;,&quot;title&quot;:&quot;Phase change material developments: a review&quot;,&quot;author&quot;:[{&quot;family&quot;:&quot;Riffat&quot;,&quot;given&quot;:&quot;Saffa&quot;,&quot;parse-names&quot;:false,&quot;dropping-particle&quot;:&quot;&quot;,&quot;non-dropping-particle&quot;:&quot;&quot;},{&quot;family&quot;:&quot;Mempouo&quot;,&quot;given&quot;:&quot;Blaise&quot;,&quot;parse-names&quot;:false,&quot;dropping-particle&quot;:&quot;&quot;,&quot;non-dropping-particle&quot;:&quot;&quot;},{&quot;family&quot;:&quot;Fang&quot;,&quot;given&quot;:&quot;Wenbo&quot;,&quot;parse-names&quot;:false,&quot;dropping-particle&quot;:&quot;&quot;,&quot;non-dropping-particle&quot;:&quot;&quot;}],&quot;container-title&quot;:&quot;International Journal of Ambient Energy&quot;,&quot;DOI&quot;:&quot;10.1080/01430750.2013.823106&quot;,&quot;ISSN&quot;:&quot;21628246&quot;,&quot;URL&quot;:&quot;https://doi.org/10.1080/01430750.2013.823106&quot;,&quot;issued&quot;:{&quot;date-parts&quot;:[[2015]]},&quot;page&quot;:&quot;102-115&quot;,&quot;abstract&quot;:&quot;This paper presents a review of the latest developments on phase change materials (PCMs) for thermal energy storage (TES) applications in buildings. The paper provides information about material requirements for TES, classification of PCM, mathematical modelling and applications of PCMs.&quot;,&quot;issue&quot;:&quot;3&quot;,&quot;volume&quot;:&quot;36&quot;,&quot;container-title-short&quot;:&quot;&quot;},&quot;isTemporary&quot;:false}]},{&quot;citationID&quot;:&quot;MENDELEY_CITATION_4675202e-5c7a-4542-9ce6-e80798834eae&quot;,&quot;properties&quot;:{&quot;noteIndex&quot;:0},&quot;isEdited&quot;:false,&quot;manualOverride&quot;:{&quot;isManuallyOverridden&quot;:false,&quot;citeprocText&quot;:&quot;(Yousef &amp;#38; Hassan, 2019)&quot;,&quot;manualOverrideText&quot;:&quot;&quot;},&quot;citationTag&quot;:&quot;MENDELEY_CITATION_v3_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&quot;,&quot;citationItems&quot;:[{&quot;id&quot;:&quot;feac1897-8047-3b0f-a1af-b4d71fd81f15&quot;,&quot;itemData&quot;:{&quot;type&quot;:&quot;article-journal&quot;,&quot;id&quot;:&quot;feac1897-8047-3b0f-a1af-b4d71fd81f15&quot;,&quot;title&quot;:&quot;Energetic and exergetic performance assessment of the inclusion of phase change materials (PCM) in a solar distillation system&quot;,&quot;author&quot;:[{&quot;family&quot;:&quot;Yousef&quot;,&quot;given&quot;:&quot;Mohamed S.&quot;,&quot;parse-names&quot;:false,&quot;dropping-particle&quot;:&quot;&quot;,&quot;non-dropping-particle&quot;:&quot;&quot;},{&quot;family&quot;:&quot;Hassan&quot;,&quot;given&quot;:&quot;Hamdy&quot;,&quot;parse-names&quot;:false,&quot;dropping-particle&quot;:&quot;&quot;,&quot;non-dropping-particle&quot;:&quot;&quot;}],&quot;container-title&quot;:&quot;Energy Conversion and Management&quot;,&quot;container-title-short&quot;:&quot;Energy Convers Manag&quot;,&quot;accessed&quot;:{&quot;date-parts&quot;:[[2020,3,1]]},&quot;DOI&quot;:&quot;10.1016/j.enconman.2018.10.078&quot;,&quot;ISSN&quot;:&quot;01968904&quot;,&quot;URL&quot;:&quot;https://www.sciencedirect.com/science/article/pii/S0196890418312068?via%3Dihub&quot;,&quot;issued&quot;:{&quot;date-parts&quot;:[[2019,1,1]]},&quot;page&quot;:&quot;349-361&quot;,&quot;abstract&quot;:&quot;In this experimental work, the energetic and exergetic performance enhancement of solar distillation system (solar still incorporated with PCM storage unit) is performed by using two techniques. First, pin fins heat sink (PF) is embedded inside the PCM to act as a thermal conductivity enhancer. Second, black steel mesh fibers (SWF) are employed in the solar still basin with PCM. In this regard, four cases of the solar stills are studied and compared conventional still: conventional solar still (without PCM), still with PCM (With PCM), still with PCM and pin fins heat sink embedded in the PCM (With PCM-PF) and still with PCM and SWF in the basin (With PCM-SWF). The energetic and exergetic performance of the four cases is evaluated and compared under the meteorological conditions of New Borg El-Arab City, Egypt. The results show that the total daily cumulative yield of distilled water of still with PCM, still with PCM-PF, and still with PCM-SWF are greater than of conventional still by 9.5%, 16.8%, and 13%, respectively. Additionally, the inclusion of the fins heat sink in the PCM increases the average daily energy and exergy efficiencies by 17.9, and 13.2%, respectively compared to conventional one. Likewise, the energy and exergy efficiencies of still with PCM-PF are higher than those of solar still with PCM by 7.7 and, 6.8%, respectively. Furthermore, placing SWF in the basin of still with PCM significantly enhances the daytime energy and exergy efficiencies with a considerable reduction of these values in the nighttime. The total daily evaporative exergy for still with PCM-SWF is greater than those of conventional still, still with PCM, and still with PCM-PF by 13, 8, and 2%, respectively. Also, still with PCM, still with PCM-PF, and still with PCM-SWF exhibit an increment of the daily exergy efficiency 5.9, 13.2, and 17.3%, respectively compared to still without PCM. Still with PCM-PF achieved the highest accumulated daily water productivity and energy efficiency but still with PCM-SWF attained the highest daily exergy efficiency with nearly no additional cost.&quot;,&quot;publisher&quot;:&quot;Pergamon&quot;,&quot;volume&quot;:&quot;179&quot;},&quot;isTemporary&quot;:false}]},{&quot;citationID&quot;:&quot;MENDELEY_CITATION_eb84b367-b7f8-4955-91e8-ed34d65aa51c&quot;,&quot;properties&quot;:{&quot;noteIndex&quot;:0},&quot;isEdited&quot;:false,&quot;manualOverride&quot;:{&quot;isManuallyOverridden&quot;:false,&quot;citeprocText&quot;:&quot;(Dogkas et al., 2019)&quot;,&quot;manualOverrideText&quot;:&quot;&quot;},&quot;citationTag&quot;:&quot;MENDELEY_CITATION_v3_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&quot;,&quot;citationItems&quot;:[{&quot;id&quot;:&quot;0a847af8-f84d-3cc5-91f1-a7280da2acf1&quot;,&quot;itemData&quot;:{&quot;type&quot;:&quot;article-journal&quot;,&quot;id&quot;:&quot;0a847af8-f84d-3cc5-91f1-a7280da2acf1&quot;,&quot;title&quot;:&quot;Evaluating a prototype compact thermal energy storage tank using paraffin-based phase change material for domestic hot water production&quot;,&quot;author&quot;:[{&quot;family&quot;:&quot;Dogkas&quot;,&quot;given&quot;:&quot;George&quot;,&quot;parse-names&quot;:false,&quot;dropping-particle&quot;:&quot;&quot;,&quot;non-dropping-particle&quot;:&quot;&quot;},{&quot;family&quot;:&quot;Konstantaras&quot;,&quot;given&quot;:&quot;John&quot;,&quot;parse-names&quot;:false,&quot;dropping-particle&quot;:&quot;&quot;,&quot;non-dropping-particle&quot;:&quot;&quot;},{&quot;family&quot;:&quot;Koukou&quot;,&quot;given&quot;:&quot;Maria K.&quot;,&quot;parse-names&quot;:false,&quot;dropping-particle&quot;:&quot;&quot;,&quot;non-dropping-particle&quot;:&quot;&quot;},{&quot;family&quot;:&quot;Stathopoulos&quot;,&quot;given&quot;:&quot;Vassilis N.&quot;,&quot;parse-names&quot;:false,&quot;dropping-particle&quot;:&quot;&quot;,&quot;non-dropping-particle&quot;:&quot;&quot;},{&quot;family&quot;:&quot;Coelho&quot;,&quot;given&quot;:&quot;Luis&quot;,&quot;parse-names&quot;:false,&quot;dropping-particle&quot;:&quot;&quot;,&quot;non-dropping-particle&quot;:&quot;&quot;},{&quot;family&quot;:&quot;Rebola&quot;,&quot;given&quot;:&quot;Amandio&quot;,&quot;parse-names&quot;:false,&quot;dropping-particle&quot;:&quot;&quot;,&quot;non-dropping-particle&quot;:&quot;&quot;}],&quot;container-title&quot;:&quot;E3S Web of Conferences&quot;,&quot;editor&quot;:[{&quot;family&quot;:&quot;Sayegh&quot;,&quot;given&quot;:&quot;M.A.&quot;,&quot;parse-names&quot;:false,&quot;dropping-particle&quot;:&quot;&quot;,&quot;non-dropping-particle&quot;:&quot;&quot;},{&quot;family&quot;:&quot;Danielewicz&quot;,&quot;given&quot;:&quot;J.&quot;,&quot;parse-names&quot;:false,&quot;dropping-particle&quot;:&quot;&quot;,&quot;non-dropping-particle&quot;:&quot;&quot;},{&quot;family&quot;:&quot;Jouhara&quot;,&quot;given&quot;:&quot;H.&quot;,&quot;parse-names&quot;:false,&quot;dropping-particle&quot;:&quot;&quot;,&quot;non-dropping-particle&quot;:&quot;&quot;},{&quot;family&quot;:&quot;Kaźmierczak&quot;,&quot;given&quot;:&quot;B.&quot;,&quot;parse-names&quot;:false,&quot;dropping-particle&quot;:&quot;&quot;,&quot;non-dropping-particle&quot;:&quot;&quot;},{&quot;family&quot;:&quot;Kutyłowska&quot;,&quot;given&quot;:&quot;M.&quot;,&quot;parse-names&quot;:false,&quot;dropping-particle&quot;:&quot;&quot;,&quot;non-dropping-particle&quot;:&quot;&quot;},{&quot;family&quot;:&quot;Piekarska&quot;,&quot;given&quot;:&quot;K.&quot;,&quot;parse-names&quot;:false,&quot;dropping-particle&quot;:&quot;&quot;,&quot;non-dropping-particle&quot;:&quot;&quot;}],&quot;DOI&quot;:&quot;10.1051/e3sconf/201911600016&quot;,&quot;ISSN&quot;:&quot;2267-1242&quot;,&quot;URL&quot;:&quot;https://www.e3s-conferences.org/10.1051/e3sconf/201911600016&quot;,&quot;issued&quot;:{&quot;date-parts&quot;:[[2019,9,24]]},&quot;page&quot;:&quot;00016&quot;,&quot;abstract&quot;:&quot;A full-scale thermal energy storage system using phase change materials (PCM) is experimentally investigated for solar and geothermal applications. The system consists of a rectangular tank filled with PCM and a staggered fin tube heat exchanger (HE). The system is designed for the production of Domestic Hot Water (DHW) based on the EU Commission Regulation No 814/2013 [1] requirements. The characteristics that are studied are the stored energy density of the system, the heat transfer rate through the HE during the charging and discharging processes, the adequacy of produced hot water amount and the storage efficiency of the tank. The results of the experiments confirmed the potential of the system to meet several prerequisites of a DHW installation and in addition to make the operation of the coupled solar collector or ground heat pump efficient.&quot;,&quot;volume&quot;:&quot;116&quot;,&quot;container-title-short&quot;:&quot;&quot;},&quot;isTemporary&quot;:false}]},{&quot;citationID&quot;:&quot;MENDELEY_CITATION_d9889235-61c4-4d12-a19a-fed2132dd7a9&quot;,&quot;properties&quot;:{&quot;noteIndex&quot;:0},&quot;isEdited&quot;:false,&quot;manualOverride&quot;:{&quot;isManuallyOverridden&quot;:false,&quot;citeprocText&quot;:&quot;(Prakash et al., 2019)&quot;,&quot;manualOverrideText&quot;:&quot;&quot;},&quot;citationTag&quot;:&quot;MENDELEY_CITATION_v3_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&quot;,&quot;citationItems&quot;:[{&quot;id&quot;:&quot;ca732502-3f99-32fb-8e07-f09da65cec8f&quot;,&quot;itemData&quot;:{&quot;type&quot;:&quot;article-journal&quot;,&quot;id&quot;:&quot;ca732502-3f99-32fb-8e07-f09da65cec8f&quot;,&quot;title&quot;:&quot;Off-grid solar thermal water heating system using phase-change materials: design, integration and real environment investigation&quot;,&quot;author&quot;:[{&quot;family&quot;:&quot;Prakash&quot;,&quot;given&quot;:&quot;Jyoti&quot;,&quot;parse-names&quot;:false,&quot;dropping-particle&quot;:&quot;&quot;,&quot;non-dropping-particle&quot;:&quot;&quot;},{&quot;family&quot;:&quot;Roan&quot;,&quot;given&quot;:&quot;Daryn&quot;,&quot;parse-names&quot;:false,&quot;dropping-particle&quot;:&quot;&quot;,&quot;non-dropping-particle&quot;:&quot;&quot;},{&quot;family&quot;:&quot;Tauqir&quot;,&quot;given&quot;:&quot;Wajeha&quot;,&quot;parse-names&quot;:false,&quot;dropping-particle&quot;:&quot;&quot;,&quot;non-dropping-particle&quot;:&quot;&quot;},{&quot;family&quot;:&quot;Nazir&quot;,&quot;given&quot;:&quot;Hassan&quot;,&quot;parse-names&quot;:false,&quot;dropping-particle&quot;:&quot;&quot;,&quot;non-dropping-particle&quot;:&quot;&quot;},{&quot;family&quot;:&quot;Ali&quot;,&quot;given&quot;:&quot;Majid&quot;,&quot;parse-names&quot;:false,&quot;dropping-particle&quot;:&quot;&quot;,&quot;non-dropping-particle&quot;:&quot;&quot;},{&quot;family&quot;:&quot;Kannan&quot;,&quot;given&quot;:&quot;Arunachala&quot;,&quot;parse-names&quot;:false,&quot;dropping-particle&quot;:&quot;&quot;,&quot;non-dropping-particle&quot;:&quot;&quot;}],&quot;container-title&quot;:&quot;Applied Energy&quot;,&quot;container-title-short&quot;:&quot;Appl Energy&quot;,&quot;DOI&quot;:&quot;10.1016/j.apenergy.2019.02.058&quot;,&quot;ISSN&quot;:&quot;03062619&quot;,&quot;URL&quot;:&quot;https://linkinghub.elsevier.com/retrieve/pii/S0306261919303563&quot;,&quot;issued&quot;:{&quot;date-parts&quot;:[[2019,4]]},&quot;page&quot;:&quot;73-83&quot;,&quot;volume&quot;:&quot;240&quot;},&quot;isTemporary&quot;:false}]},{&quot;citationID&quot;:&quot;MENDELEY_CITATION_0e747f00-4c39-4797-bc78-0fdf4c084305&quot;,&quot;properties&quot;:{&quot;noteIndex&quot;:0},&quot;isEdited&quot;:false,&quot;manualOverride&quot;:{&quot;isManuallyOverridden&quot;:false,&quot;citeprocText&quot;:&quot;(Tan &amp;#38; Nehdi, 2012)&quot;,&quot;manualOverrideText&quot;:&quot;&quot;},&quot;citationTag&quot;:&quot;MENDELEY_CITATION_v3_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&quot;,&quot;citationItems&quot;:[{&quot;id&quot;:&quot;6077dcab-28fa-312a-ac2f-ac2df372e806&quot;,&quot;itemData&quot;:{&quot;type&quot;:&quot;chapter&quot;,&quot;id&quot;:&quot;6077dcab-28fa-312a-ac2f-ac2df372e806&quot;,&quot;title&quot;:&quot;The Physicochemical Properties of Palm Oil and Its Components&quot;,&quot;author&quot;:[{&quot;family&quot;:&quot;Tan&quot;,&quot;given&quot;:&quot;Chin-Ping&quot;,&quot;parse-names&quot;:false,&quot;dropping-particle&quot;:&quot;&quot;,&quot;non-dropping-particle&quot;:&quot;&quot;},{&quot;family&quot;:&quot;Nehdi&quot;,&quot;given&quot;:&quot;Imededdine Arbi&quot;,&quot;parse-names&quot;:false,&quot;dropping-particle&quot;:&quot;&quot;,&quot;non-dropping-particle&quot;:&quot;&quot;}],&quot;container-title&quot;:&quot;Palm Oil&quot;,&quot;DOI&quot;:&quot;10.1016/B978-0-9818936-9-3.50016-2&quot;,&quot;URL&quot;:&quot;https://linkinghub.elsevier.com/retrieve/pii/B9780981893693500162&quot;,&quot;issued&quot;:{&quot;date-parts&quot;:[[2012]]},&quot;page&quot;:&quot;377-391&quot;,&quot;publisher&quot;:&quot;Elsevier&quot;,&quot;container-title-short&quot;:&quot;&quot;},&quot;isTemporary&quot;:false}]},{&quot;citationID&quot;:&quot;MENDELEY_CITATION_245e1532-0df6-4746-b0f6-fb5da8fe1ab0&quot;,&quot;properties&quot;:{&quot;noteIndex&quot;:0},&quot;isEdited&quot;:false,&quot;manualOverride&quot;:{&quot;isManuallyOverridden&quot;:false,&quot;citeprocText&quot;:&quot;(Patterson, 2011)&quot;,&quot;manualOverrideText&quot;:&quot;&quot;},&quot;citationTag&quot;:&quot;MENDELEY_CITATION_v3_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&quot;,&quot;citationItems&quot;:[{&quot;id&quot;:&quot;a2d3eca2-daa9-35e1-83cc-19dbef51558e&quot;,&quot;itemData&quot;:{&quot;type&quot;:&quot;chapter&quot;,&quot;id&quot;:&quot;a2d3eca2-daa9-35e1-83cc-19dbef51558e&quot;,&quot;title&quot;:&quot;Hydrogenation Methods&quot;,&quot;author&quot;:[{&quot;family&quot;:&quot;Patterson&quot;,&quot;given&quot;:&quot;H.B.W.&quot;,&quot;parse-names&quot;:false,&quot;dropping-particle&quot;:&quot;&quot;,&quot;non-dropping-particle&quot;:&quot;&quot;}],&quot;container-title&quot;:&quot;Hydrogenation of Fats and Oils&quot;,&quot;DOI&quot;:&quot;10.1016/B978-1-893997-93-6.50014-2&quot;,&quot;URL&quot;:&quot;https://linkinghub.elsevier.com/retrieve/pii/B9781893997936500142&quot;,&quot;issued&quot;:{&quot;date-parts&quot;:[[2011]]},&quot;page&quot;:&quot;189-278&quot;,&quot;publisher&quot;:&quot;Elsevier&quot;,&quot;container-title-short&quot;:&quot;&quot;},&quot;isTemporary&quot;:false}]},{&quot;citationID&quot;:&quot;MENDELEY_CITATION_c126d034-bf43-45c2-9a6d-b66dbfce4b41&quot;,&quot;properties&quot;:{&quot;noteIndex&quot;:0},&quot;isEdited&quot;:false,&quot;manualOverride&quot;:{&quot;isManuallyOverridden&quot;:false,&quot;citeprocText&quot;:&quot;(Mahdi et al., 2021)&quot;,&quot;manualOverrideText&quot;:&quot;&quot;},&quot;citationTag&quot;:&quot;MENDELEY_CITATION_v3_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&quot;,&quot;citationItems&quot;:[{&quot;id&quot;:&quot;b1a1fd32-21d1-3f22-8f86-b1512510a714&quot;,&quot;itemData&quot;:{&quot;type&quot;:&quot;article-journal&quot;,&quot;id&quot;:&quot;b1a1fd32-21d1-3f22-8f86-b1512510a714&quot;,&quot;title&quot;:&quot;Natural convection improvement of PCM melting in partition latent heat energy storage: Numerical study with experimental validation&quot;,&quot;author&quot;:[{&quot;family&quot;:&quot;Mahdi&quot;,&quot;given&quot;:&quot;Mustafa S.&quot;,&quot;parse-names&quot;:false,&quot;dropping-particle&quot;:&quot;&quot;,&quot;non-dropping-particle&quot;:&quot;&quot;},{&quot;family&quot;:&quot;Mahood&quot;,&quot;given&quot;:&quot;Hameed B.&quot;,&quot;parse-names&quot;:false,&quot;dropping-particle&quot;:&quot;&quot;,&quot;non-dropping-particle&quot;:&quot;&quot;},{&quot;family&quot;:&quot;Campbell&quot;,&quot;given&quot;:&quot;Alasdair N.&quot;,&quot;parse-names&quot;:false,&quot;dropping-particle&quot;:&quot;&quot;,&quot;non-dropping-particle&quot;:&quot;&quot;},{&quot;family&quot;:&quot;Khadom&quot;,&quot;given&quot;:&quot;Anees A.&quot;,&quot;parse-names&quot;:false,&quot;dropping-particle&quot;:&quot;&quot;,&quot;non-dropping-particle&quot;:&quot;&quot;}],&quot;container-title&quot;:&quot;International Communications in Heat and Mass Transfer&quot;,&quot;DOI&quot;:&quot;10.1016/j.icheatmasstransfer.2021.105463&quot;,&quot;ISSN&quot;:&quot;07351933&quot;,&quot;URL&quot;:&quot;https://linkinghub.elsevier.com/retrieve/pii/S0735193321003560&quot;,&quot;issued&quot;:{&quot;date-parts&quot;:[[2021,7,1]]},&quot;page&quot;:&quot;105463&quot;,&quot;abstract&quot;:&quot;This study examines an innovative design to enhance the natural convection in a rectangular latent heat energy storage unit (LHSU). The new design divides the rectangular plane into different small partitions (1, 2, 4, 8, 16 and 32) to trap the melted phase change material (PCM) and create several melting fronts which accelerate the melting process than with a normal 1-partition LHSU. The number of these partitions was varied by changing the PCM cavity aspect ratio with values 2, 1, 0.5, 0.25, 0.125 and 0.0625 taken. To validate the numerical model developed herein, LHSUs with one and two partitions were tested experimentally. The numerical model using the ANSYS FLUENT, extended the analysis to other partition numbers. Results showed that the natural convection was significantly strengthened by partitioning the LHSU, which shortens the time required for PCM melting. However, an optimal number of partitions were obtained after which improvement ratio was declined. An LHSU with 8 partitions (0.25 aspect ratio partitions) was found as an optimum. In addition, the comparison with a normal 1-partition LHSU found that the PCM melting process was enhanced by 31.2%, 53.6%, 65% and 68% for the LHSUs with 2, 4, 8, and 16 partitions, respectively.&quot;,&quot;publisher&quot;:&quot;Elsevier Ltd&quot;,&quot;volume&quot;:&quot;126&quot;,&quot;container-title-short&quot;:&quot;&quot;},&quot;isTemporary&quot;:false}]}]"/>
    <we:property name="MENDELEY_CITATIONS_STYLE" value="{&quot;id&quot;:&quot;https://www.zotero.org/styles/ecology-of-freshwater-fish&quot;,&quot;title&quot;:&quot;Ecology of Freshwater Fish&quot;,&quot;format&quot;:&quot;author-date&quot;,&quot;defaultLocale&quot;:&quot;en-US&quot;,&quot;isLocaleCodeValid&quot;:true}"/>
    <we:property name="MENDELEY_CITATIONS_LOCALE_CODE" value="&quot;en-US&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3CE535-1D2C-4594-9404-0646F63C6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1223</TotalTime>
  <Pages>6</Pages>
  <Words>2943</Words>
  <Characters>16191</Characters>
  <Application>Microsoft Office Word</Application>
  <DocSecurity>0</DocSecurity>
  <Lines>134</Lines>
  <Paragraphs>38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19096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VICTOR.LIZCANO@correo.uis.edu.co</cp:lastModifiedBy>
  <cp:revision>274</cp:revision>
  <cp:lastPrinted>2015-05-12T18:31:00Z</cp:lastPrinted>
  <dcterms:created xsi:type="dcterms:W3CDTF">2022-09-21T08:52:00Z</dcterms:created>
  <dcterms:modified xsi:type="dcterms:W3CDTF">2024-04-30T10:10:00Z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