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FBB73EC" w:rsidR="00E978D0" w:rsidRPr="008D6AC1" w:rsidRDefault="00A4496E" w:rsidP="008D6AC1">
      <w:pPr>
        <w:pStyle w:val="CETTitle"/>
      </w:pPr>
      <w:r w:rsidRPr="008D6AC1">
        <w:t>S</w:t>
      </w:r>
      <w:r w:rsidR="00CA5586" w:rsidRPr="008D6AC1">
        <w:t xml:space="preserve">imulation of </w:t>
      </w:r>
      <w:r w:rsidR="00F401AB">
        <w:t>H</w:t>
      </w:r>
      <w:r w:rsidR="000906A8" w:rsidRPr="008D6AC1">
        <w:t xml:space="preserve">ydrolytic </w:t>
      </w:r>
      <w:r w:rsidR="00F401AB">
        <w:t>R</w:t>
      </w:r>
      <w:r w:rsidR="00510CA1" w:rsidRPr="008D6AC1">
        <w:t xml:space="preserve">ing </w:t>
      </w:r>
      <w:r w:rsidR="00F401AB">
        <w:t>O</w:t>
      </w:r>
      <w:r w:rsidR="00510CA1" w:rsidRPr="008D6AC1">
        <w:t xml:space="preserve">pening </w:t>
      </w:r>
      <w:r w:rsidR="00F401AB">
        <w:t>P</w:t>
      </w:r>
      <w:r w:rsidR="00CE521F" w:rsidRPr="008D6AC1">
        <w:t xml:space="preserve">olymerization </w:t>
      </w:r>
      <w:r w:rsidR="00917C41" w:rsidRPr="008D6AC1">
        <w:t>of Nylon 12</w:t>
      </w:r>
      <w:r w:rsidR="00877BE4" w:rsidRPr="008D6AC1">
        <w:t xml:space="preserve"> from </w:t>
      </w:r>
      <w:r w:rsidR="00F401AB">
        <w:t>L</w:t>
      </w:r>
      <w:r w:rsidR="00877BE4" w:rsidRPr="008D6AC1">
        <w:t>aurolactam</w:t>
      </w:r>
    </w:p>
    <w:p w14:paraId="0488FED2" w14:textId="65ADA0FA" w:rsidR="00B57E6F" w:rsidRPr="00971B76" w:rsidRDefault="002767E3" w:rsidP="00B57E6F">
      <w:pPr>
        <w:pStyle w:val="CETAuthors"/>
        <w:rPr>
          <w:lang w:val="pt-BR"/>
        </w:rPr>
      </w:pPr>
      <w:r w:rsidRPr="00971B76">
        <w:rPr>
          <w:lang w:val="pt-BR"/>
        </w:rPr>
        <w:t>Rafael E</w:t>
      </w:r>
      <w:r w:rsidR="00CF77A6" w:rsidRPr="00971B76">
        <w:rPr>
          <w:lang w:val="pt-BR"/>
        </w:rPr>
        <w:t>. Umeda</w:t>
      </w:r>
      <w:r w:rsidR="00E76010" w:rsidRPr="00971B76">
        <w:rPr>
          <w:lang w:val="pt-BR"/>
        </w:rPr>
        <w:t>*</w:t>
      </w:r>
      <w:r w:rsidR="003A67CB" w:rsidRPr="00971B76">
        <w:rPr>
          <w:lang w:val="pt-BR"/>
        </w:rPr>
        <w:t xml:space="preserve">, Maria I. R. B. Schiavon, André L. J. </w:t>
      </w:r>
      <w:r w:rsidR="00E80A61" w:rsidRPr="00971B76">
        <w:rPr>
          <w:lang w:val="pt-BR"/>
        </w:rPr>
        <w:t>Munhoz</w:t>
      </w:r>
      <w:r w:rsidR="003A67CB" w:rsidRPr="00971B76">
        <w:rPr>
          <w:lang w:val="pt-BR"/>
        </w:rPr>
        <w:t>,</w:t>
      </w:r>
      <w:r w:rsidR="00E75E6C" w:rsidRPr="00971B76">
        <w:rPr>
          <w:lang w:val="pt-BR"/>
        </w:rPr>
        <w:t xml:space="preserve"> Rubens M. </w:t>
      </w:r>
      <w:r w:rsidR="00B21FBE" w:rsidRPr="00971B76">
        <w:rPr>
          <w:lang w:val="pt-BR"/>
        </w:rPr>
        <w:t>Filho</w:t>
      </w:r>
      <w:r w:rsidR="00FC11E0" w:rsidRPr="00971B76">
        <w:rPr>
          <w:lang w:val="pt-BR"/>
        </w:rPr>
        <w:t xml:space="preserve"> and</w:t>
      </w:r>
      <w:r w:rsidR="00B21FBE" w:rsidRPr="00971B76">
        <w:rPr>
          <w:lang w:val="pt-BR"/>
        </w:rPr>
        <w:t xml:space="preserve"> </w:t>
      </w:r>
      <w:r w:rsidR="00FC11E0" w:rsidRPr="00971B76">
        <w:rPr>
          <w:lang w:val="pt-BR"/>
        </w:rPr>
        <w:t>Maria</w:t>
      </w:r>
      <w:r w:rsidR="00B21FBE" w:rsidRPr="00971B76">
        <w:rPr>
          <w:lang w:val="pt-BR"/>
        </w:rPr>
        <w:t xml:space="preserve"> </w:t>
      </w:r>
      <w:r w:rsidR="00FC11E0" w:rsidRPr="00971B76">
        <w:rPr>
          <w:lang w:val="pt-BR"/>
        </w:rPr>
        <w:t>R</w:t>
      </w:r>
      <w:r w:rsidR="00B21FBE" w:rsidRPr="00971B76">
        <w:rPr>
          <w:lang w:val="pt-BR"/>
        </w:rPr>
        <w:t xml:space="preserve">. </w:t>
      </w:r>
      <w:r w:rsidR="00FC11E0" w:rsidRPr="00971B76">
        <w:rPr>
          <w:lang w:val="pt-BR"/>
        </w:rPr>
        <w:t>W</w:t>
      </w:r>
      <w:r w:rsidR="00B21FBE" w:rsidRPr="00971B76">
        <w:rPr>
          <w:lang w:val="pt-BR"/>
        </w:rPr>
        <w:t>. M</w:t>
      </w:r>
      <w:r w:rsidR="00FC11E0" w:rsidRPr="00971B76">
        <w:rPr>
          <w:lang w:val="pt-BR"/>
        </w:rPr>
        <w:t>aciel</w:t>
      </w:r>
    </w:p>
    <w:p w14:paraId="6B2D21B3" w14:textId="51058A22" w:rsidR="00B57E6F" w:rsidRPr="00B83F56" w:rsidRDefault="00180299" w:rsidP="00B83F56">
      <w:pPr>
        <w:pStyle w:val="CETAddress"/>
      </w:pPr>
      <w:r w:rsidRPr="00B83F56">
        <w:t>School of Chemical Engineering, State University of Campinas – Unicamp, 13083-852, Campinas/SP, Brazil</w:t>
      </w:r>
    </w:p>
    <w:p w14:paraId="29A9BE27" w14:textId="200FB373" w:rsidR="00B83F56" w:rsidRDefault="00EB5B9E" w:rsidP="00A9027C">
      <w:pPr>
        <w:pStyle w:val="CETemail"/>
      </w:pPr>
      <w:r w:rsidRPr="00A9027C">
        <w:t>r264217@dac.unicamp.br</w:t>
      </w:r>
    </w:p>
    <w:p w14:paraId="22795921" w14:textId="24AB999E" w:rsidR="00AB40DF" w:rsidRPr="00CF5636" w:rsidRDefault="00731880" w:rsidP="008D6AC1">
      <w:pPr>
        <w:pStyle w:val="CETBodytext"/>
        <w:rPr>
          <w:u w:val="single"/>
        </w:rPr>
      </w:pPr>
      <w:r w:rsidRPr="004F0EDD">
        <w:t xml:space="preserve">The pandemic </w:t>
      </w:r>
      <w:r w:rsidRPr="002A5910">
        <w:t xml:space="preserve">caused by COVID-19 resulted in a significant shortage of personal protective equipment (PPE) and additive manufacturing (AM) has been used to produce masks and face shields quickly and with quality. A widely used input is Nylon 12, a polyamide with excellent mechanical properties, low toxicity, better adapting to PPE by AM compared to other polyamides. It is frequently obtained from ring opening polymerization (ROP) route from laurolactam and can be derived </w:t>
      </w:r>
      <w:r w:rsidR="000F2BBC" w:rsidRPr="002A5910">
        <w:t xml:space="preserve">from </w:t>
      </w:r>
      <w:r w:rsidRPr="002A5910">
        <w:t xml:space="preserve">both petroleum and renewable sources. There is a great challenge toward few studies related to the production of Nylon 12 and mainly laurolactam monomer derived from renewable sources. This work aims to simulate the production of Nylon 12 by hydrolytic ROP in the </w:t>
      </w:r>
      <w:r w:rsidRPr="002A5910">
        <w:rPr>
          <w:i/>
          <w:iCs/>
        </w:rPr>
        <w:t>Aspen Polymer Plus®</w:t>
      </w:r>
      <w:r w:rsidRPr="002A5910">
        <w:t xml:space="preserve"> simulator. A sensitivity analysis was carried out investigating the variation of the conversion, number average molecular weight, and number average degree polymerization, providing a better understanding of the process. Based on the results, it is concluded that the simulation is viable, since it was observed a formation of a polymer with high conversion and mol</w:t>
      </w:r>
      <w:r w:rsidR="00CF5636" w:rsidRPr="002A5910">
        <w:t>ecular weight</w:t>
      </w:r>
      <w:r w:rsidR="00CF5636" w:rsidRPr="002A5910">
        <w:rPr>
          <w:u w:val="single"/>
        </w:rPr>
        <w:t xml:space="preserve"> </w:t>
      </w:r>
      <w:r w:rsidRPr="002A5910">
        <w:t>according to experimental data</w:t>
      </w:r>
      <w:r w:rsidR="00F32C5E" w:rsidRPr="002A5910">
        <w:t>.</w:t>
      </w:r>
      <w:r w:rsidRPr="002A5910">
        <w:t xml:space="preserve"> </w:t>
      </w:r>
    </w:p>
    <w:p w14:paraId="3359BE37" w14:textId="711F5590" w:rsidR="00980643" w:rsidRPr="009536A9" w:rsidRDefault="00600535" w:rsidP="00980643">
      <w:pPr>
        <w:pStyle w:val="CETHeading1"/>
        <w:rPr>
          <w:lang w:val="en-GB"/>
        </w:rPr>
      </w:pPr>
      <w:r w:rsidRPr="00B57B36">
        <w:rPr>
          <w:lang w:val="en-GB"/>
        </w:rPr>
        <w:t>Introduction</w:t>
      </w:r>
    </w:p>
    <w:p w14:paraId="0C2C28F6" w14:textId="0752E746" w:rsidR="00A8635C" w:rsidRPr="00883C65" w:rsidRDefault="00A8635C" w:rsidP="0030078F">
      <w:pPr>
        <w:pStyle w:val="CETBodytext"/>
      </w:pPr>
      <w:r w:rsidRPr="00CE5CA7">
        <w:t>The pandemic caused by COVID-19 presents itself as one of the greatest global health challenges of this century. Scientists are studying the characteristics of the virus a</w:t>
      </w:r>
      <w:r>
        <w:t>s</w:t>
      </w:r>
      <w:r w:rsidRPr="00CE5CA7">
        <w:t xml:space="preserve"> speed of spread and the need to mitigate exposure </w:t>
      </w:r>
      <w:r w:rsidRPr="00CE5CA7">
        <w:fldChar w:fldCharType="begin" w:fldLock="1"/>
      </w:r>
      <w:r w:rsidRPr="00CE5CA7">
        <w:instrText>ADDIN CSL_CITATION {"citationItems":[{"id":"ITEM-1","itemData":{"DOI":"10.1557/mrc.2020.57","ISSN":"21596867","abstract":"The current COVID-19 pandemic has caused the shortage of personal protective equipment (PPE) where improvised manufacturing in particular 3D printing has addressed many needs. This prospective discusses the current global crisis, then follows the wide interest in addressing the shortage of medical devices and PPEs used for treatment and protection against pathogens. An overview of the 3D printing process with polymer materials is given followed by the different 3D printing projects of PPEs and medical devices that emerged for the pandemic (including validation/testing). The potential for rapid prototyping with different polymer materials and eventual high-throughput production is emphasized.","author":[{"dropping-particle":"","family":"Advincula","given":"Rigoberto C.","non-dropping-particle":"","parse-names":false,"suffix":""},{"dropping-particle":"","family":"Dizon","given":"John Ryan C.","non-dropping-particle":"","parse-names":false,"suffix":""},{"dropping-particle":"","family":"Chen","given":"Qiyi","non-dropping-particle":"","parse-names":false,"suffix":""},{"dropping-particle":"","family":"Niu","given":"Ivy","non-dropping-particle":"","parse-names":false,"suffix":""},{"dropping-particle":"","family":"Chung","given":"Jason","non-dropping-particle":"","parse-names":false,"suffix":""},{"dropping-particle":"","family":"Kilpatrick","given":"Lucas","non-dropping-particle":"","parse-names":false,"suffix":""},{"dropping-particle":"","family":"Newman","given":"Reagan","non-dropping-particle":"","parse-names":false,"suffix":""}],"container-title":"MRS Communications","id":"ITEM-1","issue":"3","issued":{"date-parts":[["2020"]]},"page":"413-427","title":"Additive manufacturing for COVID-19: Devices, materials, prospects, and challenges","type":"article-journal","volume":"10"},"uris":["http://www.mendeley.com/documents/?uuid=3d47b39b-11d1-457e-9e88-6b2733a4b48f"]}],"mendeley":{"formattedCitation":"(ADVINCULA et al., 2020)","manualFormatting":"(Advincula et al., 2020)","plainTextFormattedCitation":"(ADVINCULA et al., 2020)","previouslyFormattedCitation":"(ADVINCULA et al., 2020)"},"properties":{"noteIndex":0},"schema":"https://github.com/citation-style-language/schema/raw/master/csl-citation.json"}</w:instrText>
      </w:r>
      <w:r w:rsidRPr="00CE5CA7">
        <w:fldChar w:fldCharType="separate"/>
      </w:r>
      <w:r w:rsidRPr="00CE5CA7">
        <w:rPr>
          <w:noProof/>
        </w:rPr>
        <w:t>(Advincula et al., 2020)</w:t>
      </w:r>
      <w:r w:rsidRPr="00CE5CA7">
        <w:fldChar w:fldCharType="end"/>
      </w:r>
      <w:r w:rsidRPr="00CE5CA7">
        <w:t>. The protection of health professionals is extremely important, requiring the use of personal protective equipment (PPE) such as masks and face shields, however, the global emergency together with an unforeseen situation resulted in the scarcity of these PPE's. Additive manufacturing</w:t>
      </w:r>
      <w:r>
        <w:t xml:space="preserve"> (AM)</w:t>
      </w:r>
      <w:r w:rsidRPr="00CE5CA7">
        <w:t xml:space="preserve"> emerged as an alternative for the production of PPE</w:t>
      </w:r>
      <w:r>
        <w:t>s</w:t>
      </w:r>
      <w:r w:rsidRPr="00CE5CA7">
        <w:t xml:space="preserve">, enabling the production of complex objects with great speed and quality </w:t>
      </w:r>
      <w:r w:rsidRPr="00CE5CA7">
        <w:fldChar w:fldCharType="begin" w:fldLock="1"/>
      </w:r>
      <w:r w:rsidRPr="00CE5CA7">
        <w:instrText>ADDIN CSL_CITATION {"citationItems":[{"id":"ITEM-1","itemData":{"DOI":"10.1016/j.joms.2020.04.040","ISSN":"15315053","PMID":"32404268","author":[{"dropping-particle":"","family":"Amin","given":"Dina","non-dropping-particle":"","parse-names":false,"suffix":""},{"dropping-particle":"","family":"Nguyen","given":"Nam","non-dropping-particle":"","parse-names":false,"suffix":""},{"dropping-particle":"","family":"Roser","given":"Steven M.","non-dropping-particle":"","parse-names":false,"suffix":""},{"dropping-particle":"","family":"Abramowicz","given":"Shelly","non-dropping-particle":"","parse-names":false,"suffix":""}],"container-title":"Journal of Oral and Maxillofacial Surgery","id":"ITEM-1","issue":"8","issued":{"date-parts":[["2020"]]},"page":"1275-1278","publisher":"Elsevier Inc","title":"3D Printing of Face Shields During COVID-19 Pandemic: A Technical Note","type":"article-journal","volume":"78"},"uris":["http://www.mendeley.com/documents/?uuid=a83802fc-7c21-41c2-b51a-4a14117c79ae"]}],"mendeley":{"formattedCitation":"(AMIN et al., 2020)","plainTextFormattedCitation":"(AMIN et al., 2020)","previouslyFormattedCitation":"(AMIN et al., 2020)"},"properties":{"noteIndex":0},"schema":"https://github.com/citation-style-language/schema/raw/master/csl-citation.json"}</w:instrText>
      </w:r>
      <w:r w:rsidRPr="00CE5CA7">
        <w:fldChar w:fldCharType="separate"/>
      </w:r>
      <w:r w:rsidRPr="00CE5CA7">
        <w:rPr>
          <w:noProof/>
        </w:rPr>
        <w:t>(Amin et al., 2020)</w:t>
      </w:r>
      <w:r w:rsidRPr="00CE5CA7">
        <w:fldChar w:fldCharType="end"/>
      </w:r>
      <w:r w:rsidRPr="00CE5CA7">
        <w:t>.</w:t>
      </w:r>
      <w:r>
        <w:t xml:space="preserve"> </w:t>
      </w:r>
      <w:r w:rsidR="00DF1DA8" w:rsidRPr="00DF1DA8">
        <w:t>The AM process produces 3D objects with different types of materials such as metals, ceramics and plastics. The mechanical properties of objects are heavily affected primarily by the fill design. The greater the fill, the better the object's strength, however, the fill is reduced in less printing time, energy and cost</w:t>
      </w:r>
      <w:r w:rsidR="009104FD">
        <w:t xml:space="preserve"> </w:t>
      </w:r>
      <w:r w:rsidR="003D249C">
        <w:t>(Patti et al., 202</w:t>
      </w:r>
      <w:r w:rsidR="00883C65">
        <w:t>1</w:t>
      </w:r>
      <w:r w:rsidR="003D249C">
        <w:t>).</w:t>
      </w:r>
      <w:r w:rsidR="00883C65">
        <w:t xml:space="preserve"> </w:t>
      </w:r>
      <w:r>
        <w:t>According to Mostafa et al. (2018), p</w:t>
      </w:r>
      <w:r w:rsidRPr="00CE5CA7">
        <w:t xml:space="preserve">olyamides are widely used in </w:t>
      </w:r>
      <w:r>
        <w:t>AM</w:t>
      </w:r>
      <w:r w:rsidRPr="00CE5CA7">
        <w:t xml:space="preserve"> as engineering polymers, in particular Nylon 12, the most used polyamide due to its excellent mechanical properties such as high resistance to solvents and corros</w:t>
      </w:r>
      <w:r>
        <w:t xml:space="preserve">ion, great thermal resistance </w:t>
      </w:r>
      <w:r w:rsidRPr="00CE5CA7">
        <w:t>allow</w:t>
      </w:r>
      <w:r>
        <w:t>ing</w:t>
      </w:r>
      <w:r w:rsidRPr="00CE5CA7">
        <w:t xml:space="preserve"> the PPE to be sterilized by autoclave. The crystallinity and melting temperature are lower than other polyamides, requiring less power, therefore energy is spent on the construction of objects. In addition, Nylon 12 has biocompatibility and does not generate toxicity on skin contact </w:t>
      </w:r>
      <w:r w:rsidRPr="00CE5CA7">
        <w:fldChar w:fldCharType="begin" w:fldLock="1"/>
      </w:r>
      <w:r w:rsidRPr="00CE5CA7">
        <w:instrText>ADDIN CSL_CITATION {"citationItems":[{"id":"ITEM-1","itemData":{"author":[{"dropping-particle":"","family":"Rahim","given":"T N A T","non-dropping-particle":"","parse-names":false,"suffix":""},{"dropping-particle":"","family":"Abdullah","given":"A M","non-dropping-particle":"","parse-names":false,"suffix":""},{"dropping-particle":"","family":"Akil","given":"H","non-dropping-particle":"","parse-names":false,"suffix":""},{"dropping-particle":"","family":"Mohamad","given":"D","non-dropping-particle":"","parse-names":false,"suffix":""},{"dropping-particle":"","family":"Rajion","given":"Z A","non-dropping-particle":"","parse-names":false,"suffix":""}],"id":"ITEM-1","issue":"12","issued":{"date-parts":[["2017"]]},"page":"963-982","title":"The improvement of mechanical and thermal properties of polyamide 12 3D printed parts by fused deposition modelling","type":"article-journal","volume":"11"},"uris":["http://www.mendeley.com/documents/?uuid=9f34d56f-3674-4392-ac98-f36f6ad2633d"]}],"mendeley":{"formattedCitation":"(RAHIM et al., 2017)","plainTextFormattedCitation":"(RAHIM et al., 2017)","previouslyFormattedCitation":"(RAHIM et al., 2017)"},"properties":{"noteIndex":0},"schema":"https://github.com/citation-style-language/schema/raw/master/csl-citation.json"}</w:instrText>
      </w:r>
      <w:r w:rsidRPr="00CE5CA7">
        <w:fldChar w:fldCharType="separate"/>
      </w:r>
      <w:r w:rsidRPr="00CE5CA7">
        <w:rPr>
          <w:noProof/>
        </w:rPr>
        <w:t>(Rahim et al., 2017)</w:t>
      </w:r>
      <w:r w:rsidRPr="00CE5CA7">
        <w:fldChar w:fldCharType="end"/>
      </w:r>
      <w:r w:rsidRPr="004F0EDD">
        <w:rPr>
          <w:color w:val="000000" w:themeColor="text1"/>
          <w:szCs w:val="24"/>
          <w:shd w:val="clear" w:color="auto" w:fill="FFFFFF"/>
        </w:rPr>
        <w:t>.</w:t>
      </w:r>
    </w:p>
    <w:p w14:paraId="5926581A" w14:textId="7D0EDF3E" w:rsidR="00A8635C" w:rsidRPr="00742231" w:rsidRDefault="00A8635C" w:rsidP="0030078F">
      <w:pPr>
        <w:pStyle w:val="CETBodytext"/>
      </w:pPr>
      <w:r w:rsidRPr="009C7714">
        <w:t xml:space="preserve">Nylon 12 is a 12 carbon polyamide used as engineering thermoplastic with a wide range of applications, synthesized from ω-aminolauric acid or laurolactam </w:t>
      </w:r>
      <w:r w:rsidRPr="009C7714">
        <w:rPr>
          <w:lang w:val="pt-PT"/>
        </w:rPr>
        <w:fldChar w:fldCharType="begin" w:fldLock="1"/>
      </w:r>
      <w:r w:rsidRPr="004F0EDD">
        <w:instrText>ADDIN CSL_CITATION {"citationItems":[{"id":"ITEM-1","itemData":{"DOI":"10.1021/ie50723a005","ISSN":"00197866","author":[{"dropping-particle":"","family":"Griehl","given":"Wolfgang","non-dropping-particle":"","parse-names":false,"suffix":""},{"dropping-particle":"","family":"Ruesteivi","given":"Djavid","non-dropping-particle":"","parse-names":false,"suffix":""}],"container-title":"Industrial and Engineering Chemistry","id":"ITEM-1","issue":"3","issued":{"date-parts":[["1970"]]},"page":"16-22","title":"Nylon-12-Preparation, Properties, and Applications","type":"article-journal","volume":"62"},"uris":["http://www.mendeley.com/documents/?uuid=4c79fc2b-636e-4a55-8e9e-55e3ac952877"]}],"mendeley":{"formattedCitation":"(GRIEHL; RUESTEIVI, 1970)","manualFormatting":"(GRIEHL and RUESTEIVI, 1970)","plainTextFormattedCitation":"(GRIEHL; RUESTEIVI, 1970)","previouslyFormattedCitation":"(GRIEHL; RUESTEIVI, 1970)"},"properties":{"noteIndex":0},"schema":"https://github.com/citation-style-language/schema/raw/master/csl-citation.json"}</w:instrText>
      </w:r>
      <w:r w:rsidRPr="009C7714">
        <w:rPr>
          <w:lang w:val="pt-PT"/>
        </w:rPr>
        <w:fldChar w:fldCharType="separate"/>
      </w:r>
      <w:r w:rsidRPr="004F0EDD">
        <w:rPr>
          <w:noProof/>
        </w:rPr>
        <w:t>(Griehl and Ruesteivi, 1970)</w:t>
      </w:r>
      <w:r w:rsidRPr="009C7714">
        <w:rPr>
          <w:lang w:val="pt-PT"/>
        </w:rPr>
        <w:fldChar w:fldCharType="end"/>
      </w:r>
      <w:r w:rsidRPr="004F0EDD">
        <w:t xml:space="preserve">. It has excellent mechanical properties, low moisture absorption, durability and good chemical and thermal resistance. It is the most suitable Nylon for use in AM as it exhibits lower crystallinity and melting temperature compared to Nylon 6, which results in the need for less power to melt the material and consequently less energy expenditure to produce three-dimensional objects </w:t>
      </w:r>
      <w:r w:rsidRPr="009C7714">
        <w:rPr>
          <w:lang w:val="pt-PT"/>
        </w:rPr>
        <w:fldChar w:fldCharType="begin" w:fldLock="1"/>
      </w:r>
      <w:r w:rsidRPr="004F0EDD">
        <w:instrText>ADDIN CSL_CITATION {"citationItems":[{"id":"ITEM-1","itemData":{"DOI":"10.1021/acs.chemrev.7b00074","ISSN":"15206890","PMID":"28756658","abstract":"Additive manufacturing (AM) alias 3D printing translates computer-aided design (CAD) virtual 3D models into physical objects. By digital slicing of CAD, 3D scan, or tomography data, AM builds objects layer by layer without the need for molds or machining. AM enables decentralized fabrication of customized objects on demand by exploiting digital information storage and retrieval via the Internet. The ongoing transition from rapid prototyping to rapid manufacturing prompts new challenges for mechanical engineers and materials scientists alike. Because polymers are by far the most utilized class of materials for AM, this Review focuses on polymer processing and the development of polymers and advanced polymer systems specifically for AM. AM techniques covered include vat photopolymerization (stereolithography), powder bed fusion (SLS), material and binder jetting (inkjet and aerosol 3D printing), sheet lamination (LOM), extrusion (FDM, 3D dispensing, 3D fiber deposition, and 3D plotting), and 3D bioprinting. The range of polymers used in AM encompasses thermoplastics, thermosets, elastomers, hydrogels, functional polymers, polymer blends, composites, and biological systems. Aspects of polymer design, additives, and processing para</w:instrText>
      </w:r>
      <w:r w:rsidRPr="00A34EC3">
        <w:instrText>me</w:instrText>
      </w:r>
      <w:r w:rsidRPr="009C7714">
        <w:rPr>
          <w:lang w:val="pt-PT"/>
        </w:rPr>
        <w:instrText>ters as they relate to enhancing build speed and improving accuracy, functionality, surface finish, stability, mechanical properties, and porosity are addressed. Selected applications demonstrate how polymer-based AM is being exploited in lightweight engineering, architecture, food processing, optics, energy technology, dentistry, drug delivery, and personalized medicine. Unparalleled by metals and ceramics, polymer-based AM plays a key role in the emerging AM of advanced multifunctional and multimaterial systems including living biological systems as well as life-like synthetic systems.","author":[{"dropping-particle":"","family":"Ligon","given":"Samuel Clark","non-dropping-particle":"","parse-names":false,"suffix":""},{"dropping-particle":"","family":"Liska","given":"Robert","non-dropping-particle":"","parse-names":false,"suffix":""},{"dropping-particle":"","family":"Stampfl","given":"Jürgen","non-dropping-particle":"","parse-names":false,"suffix":""},{"dropping-particle":"","family":"Gurr","given":"Matthias","non-dropping-particle":"","parse-names":false,"suffix":""},{"dropping-particle":"","family":"Mülhaupt","given":"Rolf","non-dropping-particle":"","parse-names":false,"suffix":""}],"container-title":"Chemical Reviews","id":"ITEM-1","issue":"15","issued":{"date-parts":[["2017"]]},"page":"10212-10290","title":"Polymers for 3D Printing and Customized Additive Manufacturing","type":"article-journal","volume":"117"},"uris":["http://www.mendeley.com/documents/?uuid=f9cfd398-afc7-478a-aae5-060ab2e6a78a"]},{"id":"ITEM-2","itemData":{"DOI":"10.1016/j.promfg.2018.07.086","ISSN":"2351-9789","author":[{"dropping-particle":"","family":"Mostafa","given":"Khaled G","non-dropping-particle":"","parse-names":false,"suffix":""},{"dropping-particle":"","family":"Montemagno","given":"Carlo","non-dropping-particle":"","parse-names":false,"suffix":""},{"dropping-particle":"","family":"Qureshi","given":"Ahmed Jawad","non-dropping-particle":"","parse-names":false,"suffix":""}],"container-title":"Procedia Manufacturing","id":"ITEM-2","issued":{"date-parts":[["2018"]]},"page":"753-762","publisher":"Else</w:instrText>
      </w:r>
      <w:r w:rsidRPr="004F0EDD">
        <w:instrText>vier B.V.","title":"ScienceDirect ScienceDirect Strength to cost ratio analysis of FDM Nylon 12 3D Printed Parts Costing models capacity optimization in Industry between used capacity and operational efficiency","type":"article-journal","volume":"26"},"uris":["http://www.mendeley.com/documents/?uuid=8a1fd65a-c4d8-4ab6-881e-00a0e3177f9e"]},{"id":"ITEM-3","itemData":{"DOI":"10.1021/ie50723a005","ISSN":"00197866","author":[{"dropping-particle":"","family":"Griehl","given":"Wolfgang","non-dropping-particle":"","parse-names":false,"suffix":""},{"dropping-particle":"","family":"Ruesteivi","given":"Djavid","non-dropping-particle":"","parse-names":false,"suffix":""}],"container-title":"Industrial and Engineering Chemistry","id":"ITEM-3","issue":"3","issued":{"date-parts":[["1970"]]},"page":"16-22","title":"Nylon-12-Preparation, Properties, and Applications","type":"article-journal","volume":"62"},"uris":["http://www.mendeley.com/documents/?uuid=4c79fc2b-636e-4a55-8e9e-55e3ac952877"]}],"mendeley":{"formattedCitation":"(GRIEHL; RUESTEIVI, 1970; LIGON et al., 2017; MOSTAFA; MONTEMAGNO; QURESHI, 2018)","manualFormatting":"(MOSTAFA et al., 2018)","plainTextFormattedCitation":"(GRIEHL; RUESTEIVI, 1970; LIGON et al., 2017; MOSTAFA; MONTEMAGNO; QURESHI, 2018)","previouslyFormattedCitation":"(GRIEHL; RUESTEIVI, 1970; LIGON et al., 2017; MOSTAFA; MONTEMAGNO; QURESHI, 2018)"},"properties":{"noteIndex":0},"schema":"https://github.com/citation-style-language/schema/raw/master/csl-citation.json"}</w:instrText>
      </w:r>
      <w:r w:rsidRPr="009C7714">
        <w:rPr>
          <w:lang w:val="pt-PT"/>
        </w:rPr>
        <w:fldChar w:fldCharType="separate"/>
      </w:r>
      <w:r w:rsidRPr="004F0EDD">
        <w:rPr>
          <w:noProof/>
        </w:rPr>
        <w:t>(Mostafa et al., 2018)</w:t>
      </w:r>
      <w:r w:rsidRPr="009C7714">
        <w:rPr>
          <w:lang w:val="pt-PT"/>
        </w:rPr>
        <w:fldChar w:fldCharType="end"/>
      </w:r>
      <w:r w:rsidRPr="004F0EDD">
        <w:t xml:space="preserve">. Nylon 12 is synthesized from different technological routes, however the most used and industrially efficient is the hydrolytic </w:t>
      </w:r>
      <w:r w:rsidRPr="00D909BA">
        <w:t xml:space="preserve">ring opening polymerization </w:t>
      </w:r>
      <w:r w:rsidR="00D909BA" w:rsidRPr="00D909BA">
        <w:t>(</w:t>
      </w:r>
      <w:r w:rsidRPr="00D909BA">
        <w:t>ROP</w:t>
      </w:r>
      <w:r w:rsidR="00D909BA" w:rsidRPr="00D909BA">
        <w:t>)</w:t>
      </w:r>
      <w:r w:rsidRPr="00D909BA">
        <w:t xml:space="preserve">. </w:t>
      </w:r>
      <w:r w:rsidRPr="004F0EDD">
        <w:t xml:space="preserve">This route uses laurolactam monomer, a raw material usually produced from petroleum-derived sources such as butadiene, but there is the possibility of being obtained from renewable sources </w:t>
      </w:r>
      <w:r w:rsidRPr="00CE5CA7">
        <w:rPr>
          <w:lang w:val="pt-PT"/>
        </w:rPr>
        <w:fldChar w:fldCharType="begin" w:fldLock="1"/>
      </w:r>
      <w:r w:rsidRPr="004F0EDD">
        <w:instrText>ADDIN CSL_CITATION {"citationItems":[{"id":"ITEM-1","itemData":{"ISBN":"9783319682556","author":[{"dropping-particle":"","family":"Kyulavska","given":"Mariya","non-dropping-particle":"","parse-names":false,"suffix":""},{"dropping-particle":"","family":"Toncheva-Moncheva","given":"Natalia","non-dropping-particle":"","parse-names":false,"suffix":""},{"dropping-particle":"","family":"Rydz","given":"Joanna","non-dropping-particle":"","parse-names":false,"suffix":""}],"container-title":"Handbook of Ecomaterials","id":"ITEM-1","issued":{"date-parts":[["2019"]]},"page":"2901-2934","title":"Biobased Polyamide Ecomaterials and Their Susceptibility to Biodegradation","type":"chapter"},"uris":["http://www.mendeley.com/documents/?uuid=a1d4c7fd-aab8-46ff-a462-b95227edc673"]}],"mendeley":{"formattedCitation":"(KYULAVSKA; TONCHEVA-MONCHEVA; RYDZ, 2019)","manualFormatting":"(Kyulavska et al.,2019)","plainTextFormattedCitation":"(KYULAVSKA; TONCHEVA-MONCHEVA; RYDZ, 2019)","previouslyFormattedCitation":"(KYULAVSKA; TONCHEVA-MONCHEVA; RYDZ, 2019)"},"properties":{"noteIndex":0},"schema":"https://github.com/citation-style-language/schema/raw/master/csl-citation.json"}</w:instrText>
      </w:r>
      <w:r w:rsidRPr="00CE5CA7">
        <w:rPr>
          <w:lang w:val="pt-PT"/>
        </w:rPr>
        <w:fldChar w:fldCharType="separate"/>
      </w:r>
      <w:r w:rsidRPr="004F0EDD">
        <w:rPr>
          <w:noProof/>
        </w:rPr>
        <w:t>(Kyulavska et al.,2019)</w:t>
      </w:r>
      <w:r w:rsidRPr="00CE5CA7">
        <w:rPr>
          <w:lang w:val="pt-PT"/>
        </w:rPr>
        <w:fldChar w:fldCharType="end"/>
      </w:r>
      <w:r w:rsidRPr="004F0EDD">
        <w:t xml:space="preserve">. The polymerization is divided into three main reactions, first the ring opening </w:t>
      </w:r>
      <w:r w:rsidRPr="00155DB8">
        <w:t xml:space="preserve">reaction (ROR) </w:t>
      </w:r>
      <w:r w:rsidRPr="004F0EDD">
        <w:t xml:space="preserve">which consists of </w:t>
      </w:r>
      <w:r w:rsidRPr="004F0EDD">
        <w:lastRenderedPageBreak/>
        <w:t xml:space="preserve">the reaction between the cyclic monomer and water which acts as initiator with the ring opening of the monomer forming the amino acid. Then, polycondensation occurs, which consists of the reaction between two or more amino acid molecules, in which the amine functional group reacts with the carboxylic acid functional group, forming a dimer and water. Simultaneously with polycondensation, polyaddition reactions also occur, which are reactions between the amino acid and the laurolactam monomer that cause the ring opening of the monomer and the addition of this molecule to the structure </w:t>
      </w:r>
      <w:r w:rsidRPr="00CE5CA7">
        <w:rPr>
          <w:lang w:val="pt-PT"/>
        </w:rPr>
        <w:fldChar w:fldCharType="begin" w:fldLock="1"/>
      </w:r>
      <w:r w:rsidRPr="004F0EDD">
        <w:instrText>ADDIN CSL_CITATION {"citationItems":[{"id":"ITEM-1","itemData":{"DOI":"10.1016/B978-0-444-53349-4.00109-6","ISBN":"9780080878621","abstract":"The ring-opening polymerization (ROP) of lactams is extensively reviewed, covering all aspects related to their polymerizability, in terms of both thermodynamic feasibility and kinetic likeliness, with greater attention to the many different aspects of the anionic polymerization, also in terms of its industrial applications. Other polymerization mechanisms (e.g., cationic) or routes (e.g., enzymatic) are synthetically introduced and updated. Specific lactams (</w:instrText>
      </w:r>
      <w:r w:rsidRPr="00CE5CA7">
        <w:rPr>
          <w:lang w:val="pt-PT"/>
        </w:rPr>
        <w:instrText>ε</w:instrText>
      </w:r>
      <w:r w:rsidRPr="004F0EDD">
        <w:instrText xml:space="preserve">-caprolactam (CL), </w:instrText>
      </w:r>
      <w:r w:rsidRPr="00CE5CA7">
        <w:rPr>
          <w:lang w:val="pt-PT"/>
        </w:rPr>
        <w:instrText>ω</w:instrText>
      </w:r>
      <w:r w:rsidRPr="004F0EDD">
        <w:instrText xml:space="preserve">-laurolactam, 2-pyrrolidone, and C-substituted </w:instrText>
      </w:r>
      <w:r w:rsidRPr="00CE5CA7">
        <w:rPr>
          <w:lang w:val="pt-PT"/>
        </w:rPr>
        <w:instrText>β</w:instrText>
      </w:r>
      <w:r w:rsidRPr="004F0EDD">
        <w:instrText>-lactams) and their anionic polymerization are described in detail, with a mention of the living polymerization of the latter family of lactams. Anionic copolymers of the most relevant lactams are listed, with a description of the synthetic routes adopted for each pair. © 2012 Elsevier B.V. All rights reserved.","author":[{"dropping-particle":"","family":"Russo","given":"S.","non-dropping-particle":"","parse-names":false,"suffix":""},{"dropping-particle":"","family":"Casazza","given":"E.","non-dropping-particle":"","parse-names":false,"suffix":""}],"container-title":"Polymer Scie</w:instrText>
      </w:r>
      <w:r w:rsidRPr="00CE5CA7">
        <w:rPr>
          <w:lang w:val="pt-PT"/>
        </w:rPr>
        <w:instrText>nce: A Comprehensive Reference,</w:instrText>
      </w:r>
      <w:r w:rsidRPr="0049153A">
        <w:instrText xml:space="preserve"> 10 Volume Set","id":"ITEM-1","issued":{"date-parts":[["2012"]]},"number-of-pages":"331-396","publisher":"Elsevier B.V.","title":"Ring-Opening Polymerization of Cyclic Amides (Lactams)","type":"book","volume":"4"},"uris":["http://www.mendeley.com/documents/?uuid=ff0d3240-b90c-4783-a9f1-d30220c11dbc"]},{"id":"ITEM-2","itemData":{"ISBN":"9783319682556","author":[{"dropping-particle":"","family":"Kyulavska","given":"Mariya","non-dropping-particle":"","parse-names":false,"suffix":""},{"dropping-particle":"","family":"Toncheva-Moncheva","given":"Natalia","non-dropping-particle":"","parse-names":false,"suffix":""},{"dropping-particle":"","family":"Rydz","given":"Joanna","non-dropping-particle":"","parse-names":false,"suffix":""}],"container-title":"Handbook of Ecomaterials","id":"ITEM-2","issued":{"date-parts":[["2019"]]},"page":"2901-2934","title":"Biobased Polyamide Ecomaterials and Their Susceptibility to Biodegradation","type":"chapter"},"uris":["http://www.mendeley.com/documents/?uuid=a1d4c7fd-aab8-46ff-a462-b95227edc673"]}],"mendeley":{"formattedCitation":"(KYULAVSKA; TONCHEVA-MONCHEVA; RYDZ, 2019; RUSSO; CASAZZA, 2012)","manualFormatting":"(Russo and Casazza, 2012)","plainTextFormattedCitation":"(KYULAVSKA; TONCHEVA-MONCHEVA; RYDZ, 2019; RUSSO; CASAZZA, 2012)","previouslyFormattedCitation":"(KYULAVSKA; TONCHEVA-MONCHEVA; RYDZ, 2019; RUSSO; CASAZZA, 2012)"},"properties":{"noteIndex":0},"schema":"https://github.com/citation-style-language/schema/raw/master/csl-citation.json"}</w:instrText>
      </w:r>
      <w:r w:rsidRPr="00CE5CA7">
        <w:rPr>
          <w:lang w:val="pt-PT"/>
        </w:rPr>
        <w:fldChar w:fldCharType="separate"/>
      </w:r>
      <w:r w:rsidRPr="0049153A">
        <w:rPr>
          <w:noProof/>
        </w:rPr>
        <w:t>(Russo and Casazza, 2012)</w:t>
      </w:r>
      <w:r w:rsidRPr="00CE5CA7">
        <w:rPr>
          <w:lang w:val="pt-PT"/>
        </w:rPr>
        <w:fldChar w:fldCharType="end"/>
      </w:r>
      <w:r w:rsidRPr="0049153A">
        <w:t>.</w:t>
      </w:r>
    </w:p>
    <w:p w14:paraId="1EA9BFA6" w14:textId="150D1C02" w:rsidR="000C3DBC" w:rsidRPr="001C23E4" w:rsidRDefault="00A8635C" w:rsidP="0030078F">
      <w:pPr>
        <w:pStyle w:val="CETBodytext"/>
      </w:pPr>
      <w:r w:rsidRPr="004F0EDD">
        <w:t xml:space="preserve">Thereby, there is a great challenge due to the scarcity of works and articles related to the production of Nylon 12 and especially the laurolactam monomer derived from renewable sources. Therefore, it is extremely important to study the polymerization process of Nylon 12, with process simulation being a very effective means for analyzing several variables that influence the process. Therefore, this work aims to reproduce the </w:t>
      </w:r>
      <w:r>
        <w:t xml:space="preserve">hydrolytic </w:t>
      </w:r>
      <w:r w:rsidRPr="00B359B9">
        <w:t xml:space="preserve">ROP process </w:t>
      </w:r>
      <w:r w:rsidRPr="004F0EDD">
        <w:t xml:space="preserve">of Nylon 12, using the </w:t>
      </w:r>
      <w:r w:rsidRPr="00AC2919">
        <w:rPr>
          <w:i/>
          <w:iCs/>
        </w:rPr>
        <w:t>Aspen Polymer Plus®</w:t>
      </w:r>
      <w:r w:rsidRPr="004F0EDD">
        <w:t xml:space="preserve"> process simulator, allowing the identification of the relationship between polymer properties and process operating conditions.</w:t>
      </w:r>
    </w:p>
    <w:p w14:paraId="04D07548" w14:textId="7A0332FC" w:rsidR="00D142E7" w:rsidRDefault="00D142E7" w:rsidP="00D142E7">
      <w:pPr>
        <w:pStyle w:val="CETHeading1"/>
      </w:pPr>
      <w:r w:rsidRPr="00CC4E45">
        <w:t>Met</w:t>
      </w:r>
      <w:r w:rsidR="00D761B0" w:rsidRPr="00CC4E45">
        <w:t>h</w:t>
      </w:r>
      <w:r w:rsidRPr="00CC4E45">
        <w:t>odology</w:t>
      </w:r>
    </w:p>
    <w:p w14:paraId="67C7F3F7" w14:textId="22865670" w:rsidR="005A1893" w:rsidRPr="00C66B93" w:rsidRDefault="005A1893" w:rsidP="00C66B93">
      <w:pPr>
        <w:pStyle w:val="CETBodytext"/>
      </w:pPr>
      <w:r w:rsidRPr="00C66B93">
        <w:t>Firstly, the kinetics of the hydrolytic ROP of Nylon 12 is shown, then the operational conditions of the process are described.</w:t>
      </w:r>
    </w:p>
    <w:p w14:paraId="2728EF82" w14:textId="4997AD6F" w:rsidR="001B2429" w:rsidRPr="0021757B" w:rsidRDefault="00623BC1" w:rsidP="001B2429">
      <w:pPr>
        <w:pStyle w:val="CETheadingx"/>
      </w:pPr>
      <w:r w:rsidRPr="0021757B">
        <w:t>Kinetics</w:t>
      </w:r>
    </w:p>
    <w:p w14:paraId="50A9C5EF" w14:textId="3C9EEAB6" w:rsidR="00D078EB" w:rsidRPr="006E5BC7" w:rsidRDefault="00623BC1" w:rsidP="00623BC1">
      <w:pPr>
        <w:pStyle w:val="CETBodytext"/>
      </w:pPr>
      <w:r w:rsidRPr="0021757B">
        <w:tab/>
      </w:r>
      <w:r w:rsidR="00700E6E" w:rsidRPr="00700E6E">
        <w:t>The kinetic mechanism of the polymerization of Nylon 12 proposed for this process is done by the functional groups</w:t>
      </w:r>
      <w:r w:rsidR="00C166C3">
        <w:t xml:space="preserve"> method</w:t>
      </w:r>
      <w:r w:rsidR="00700E6E" w:rsidRPr="00700E6E">
        <w:t xml:space="preserve"> and shown in Table 1. </w:t>
      </w:r>
      <w:r w:rsidR="0029411B" w:rsidRPr="0029411B">
        <w:t>The reaction scheme was obtained from the work of Seavey and Liu (2008)</w:t>
      </w:r>
      <w:r w:rsidR="00CB1E59">
        <w:t>,</w:t>
      </w:r>
      <w:r w:rsidR="0029411B" w:rsidRPr="0029411B">
        <w:t xml:space="preserve"> who performed the simulation of the hydrolytic ROP of Nylon </w:t>
      </w:r>
      <w:r w:rsidR="0049153A" w:rsidRPr="0029411B">
        <w:t>6</w:t>
      </w:r>
      <w:r w:rsidR="0049153A">
        <w:t xml:space="preserve"> and</w:t>
      </w:r>
      <w:r w:rsidR="0029411B" w:rsidRPr="0029411B">
        <w:t xml:space="preserve"> adapted for the polymerization of Nylon 12. This can be done because the reactions involving both</w:t>
      </w:r>
      <w:r w:rsidR="00BD0783">
        <w:t xml:space="preserve"> the polymerization of</w:t>
      </w:r>
      <w:r w:rsidR="0029411B" w:rsidRPr="0029411B">
        <w:t xml:space="preserve"> Nylon 6 and Nylon 12 are similar.</w:t>
      </w:r>
      <w:r w:rsidR="00D367EE">
        <w:t xml:space="preserve"> </w:t>
      </w:r>
      <w:r w:rsidR="00700E6E" w:rsidRPr="00700E6E">
        <w:t xml:space="preserve">Eight reactions are considered in the process, three main ones involving </w:t>
      </w:r>
      <w:r w:rsidR="00D367EE">
        <w:t>laurolactama monomer</w:t>
      </w:r>
      <w:r w:rsidR="00700E6E" w:rsidRPr="00700E6E">
        <w:t xml:space="preserve">, two cyclic dimer reactions, and three reactions involving acid and </w:t>
      </w:r>
      <w:r w:rsidR="00C166C3">
        <w:t xml:space="preserve">amine </w:t>
      </w:r>
      <w:r w:rsidR="00700E6E" w:rsidRPr="00700E6E">
        <w:t>monofunctiona</w:t>
      </w:r>
      <w:r w:rsidR="00C166C3">
        <w:t>l</w:t>
      </w:r>
      <w:r w:rsidR="00700E6E" w:rsidRPr="00700E6E">
        <w:t>. All reactions take place under</w:t>
      </w:r>
      <w:r w:rsidR="00C166C3">
        <w:t xml:space="preserve"> </w:t>
      </w:r>
      <w:r w:rsidR="00700E6E" w:rsidRPr="00700E6E">
        <w:t>uncatalyzed and catalyzed</w:t>
      </w:r>
      <w:r w:rsidR="00C166C3">
        <w:t xml:space="preserve"> </w:t>
      </w:r>
      <w:r w:rsidR="00C166C3" w:rsidRPr="00700E6E">
        <w:t>conditions</w:t>
      </w:r>
      <w:r w:rsidR="00700E6E" w:rsidRPr="00700E6E">
        <w:t xml:space="preserve"> by acid groups, with both being considered in the</w:t>
      </w:r>
      <w:r w:rsidR="00C166C3">
        <w:t xml:space="preserve"> reaction</w:t>
      </w:r>
      <w:r w:rsidR="00700E6E" w:rsidRPr="00700E6E">
        <w:t xml:space="preserve"> rate expression.</w:t>
      </w:r>
    </w:p>
    <w:p w14:paraId="635B0A0D" w14:textId="55DEA472" w:rsidR="00796E8F" w:rsidRPr="00C56BC9" w:rsidRDefault="00796E8F" w:rsidP="00796E8F">
      <w:pPr>
        <w:pStyle w:val="CETTabletitle"/>
      </w:pPr>
      <w:r w:rsidRPr="00C56BC9">
        <w:t xml:space="preserve">Table </w:t>
      </w:r>
      <w:r w:rsidR="00473675" w:rsidRPr="00C56BC9">
        <w:t>1</w:t>
      </w:r>
      <w:r w:rsidRPr="00C56BC9">
        <w:t xml:space="preserve">: </w:t>
      </w:r>
      <w:r w:rsidR="009E0153" w:rsidRPr="00C56BC9">
        <w:t xml:space="preserve">Kinetic mechanism for </w:t>
      </w:r>
      <w:r w:rsidR="001B2429" w:rsidRPr="00C56BC9">
        <w:t>N</w:t>
      </w:r>
      <w:r w:rsidR="009E0153" w:rsidRPr="00C56BC9">
        <w:t>ylon 12 hydrolytic ring opening polymerization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2552"/>
      </w:tblGrid>
      <w:tr w:rsidR="003021FC" w:rsidRPr="00C56BC9" w14:paraId="42D4D856" w14:textId="77777777" w:rsidTr="00147EAF">
        <w:tc>
          <w:tcPr>
            <w:tcW w:w="6096" w:type="dxa"/>
            <w:gridSpan w:val="2"/>
            <w:tcBorders>
              <w:top w:val="single" w:sz="12" w:space="0" w:color="008000"/>
              <w:bottom w:val="single" w:sz="6" w:space="0" w:color="008000"/>
            </w:tcBorders>
            <w:shd w:val="clear" w:color="auto" w:fill="FFFFFF"/>
          </w:tcPr>
          <w:p w14:paraId="53A6D974" w14:textId="311B2A01" w:rsidR="003021FC" w:rsidRPr="00C56BC9" w:rsidRDefault="003021FC" w:rsidP="003021FC">
            <w:pPr>
              <w:pStyle w:val="CETBodytext"/>
              <w:jc w:val="center"/>
              <w:rPr>
                <w:lang w:val="en-GB"/>
              </w:rPr>
            </w:pPr>
            <w:r w:rsidRPr="00C56BC9">
              <w:rPr>
                <w:lang w:val="en-GB"/>
              </w:rPr>
              <w:t>Reactions</w:t>
            </w:r>
          </w:p>
        </w:tc>
      </w:tr>
      <w:tr w:rsidR="00796E8F" w:rsidRPr="00C56BC9" w14:paraId="5B0A5E26" w14:textId="77777777" w:rsidTr="00042BE5">
        <w:trPr>
          <w:trHeight w:val="692"/>
        </w:trPr>
        <w:tc>
          <w:tcPr>
            <w:tcW w:w="3544" w:type="dxa"/>
            <w:shd w:val="clear" w:color="auto" w:fill="FFFFFF"/>
          </w:tcPr>
          <w:p w14:paraId="7A7C3D8B" w14:textId="4ED24DD7" w:rsidR="00796E8F" w:rsidRPr="00C56BC9" w:rsidRDefault="00796E8F" w:rsidP="00E76B30">
            <w:pPr>
              <w:pStyle w:val="CETBodytext"/>
              <w:numPr>
                <w:ilvl w:val="0"/>
                <w:numId w:val="23"/>
              </w:numPr>
              <w:spacing w:before="120"/>
              <w:ind w:left="284" w:hanging="284"/>
              <w:rPr>
                <w:lang w:val="en-GB"/>
              </w:rPr>
            </w:pPr>
            <w:r w:rsidRPr="00C56BC9">
              <w:rPr>
                <w:lang w:val="en-GB"/>
              </w:rPr>
              <w:t>Ring opening of laurolactam</w:t>
            </w:r>
          </w:p>
        </w:tc>
        <w:tc>
          <w:tcPr>
            <w:tcW w:w="2552" w:type="dxa"/>
            <w:shd w:val="clear" w:color="auto" w:fill="FFFFFF"/>
          </w:tcPr>
          <w:p w14:paraId="0B5209B1" w14:textId="278488F6" w:rsidR="00796E8F" w:rsidRPr="00C56BC9" w:rsidRDefault="00796E8F" w:rsidP="00796E8F">
            <w:pPr>
              <w:pStyle w:val="CETBodytext"/>
            </w:pPr>
            <m:oMath>
              <m:r>
                <w:rPr>
                  <w:rFonts w:ascii="Cambria Math" w:hAnsi="Cambria Math"/>
                </w:rPr>
                <m:t>W</m:t>
              </m:r>
              <m:r>
                <m:rPr>
                  <m:sty m:val="p"/>
                </m:rPr>
                <w:rPr>
                  <w:rFonts w:ascii="Cambria Math" w:hAnsi="Cambria Math"/>
                </w:rPr>
                <m:t>+</m:t>
              </m:r>
              <m:r>
                <w:rPr>
                  <w:rFonts w:ascii="Cambria Math" w:hAnsi="Cambria Math"/>
                </w:rPr>
                <m:t>LL</m:t>
              </m:r>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1</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1</m:t>
                      </m:r>
                    </m:sub>
                  </m:sSub>
                </m:lim>
              </m:limUpp>
              <m:r>
                <w:rPr>
                  <w:rFonts w:ascii="Cambria Math" w:hAnsi="Cambria Math"/>
                </w:rPr>
                <m:t>ADA</m:t>
              </m:r>
            </m:oMath>
            <w:r w:rsidRPr="00C56BC9">
              <w:t> </w:t>
            </w:r>
          </w:p>
        </w:tc>
      </w:tr>
      <w:tr w:rsidR="00796E8F" w:rsidRPr="00C56BC9" w14:paraId="7DC49A0F" w14:textId="77777777" w:rsidTr="00042BE5">
        <w:trPr>
          <w:trHeight w:val="304"/>
        </w:trPr>
        <w:tc>
          <w:tcPr>
            <w:tcW w:w="3544" w:type="dxa"/>
            <w:shd w:val="clear" w:color="auto" w:fill="FFFFFF"/>
          </w:tcPr>
          <w:p w14:paraId="6244A040" w14:textId="4BF0AD46" w:rsidR="00796E8F" w:rsidRPr="00C56BC9" w:rsidRDefault="00042BE5" w:rsidP="00E76B30">
            <w:pPr>
              <w:pStyle w:val="CETBodytext"/>
              <w:numPr>
                <w:ilvl w:val="0"/>
                <w:numId w:val="23"/>
              </w:numPr>
              <w:spacing w:before="120"/>
              <w:ind w:left="284" w:hanging="284"/>
              <w:rPr>
                <w:lang w:val="en-GB"/>
              </w:rPr>
            </w:pPr>
            <w:r w:rsidRPr="00C56BC9">
              <w:rPr>
                <w:lang w:val="en-GB"/>
              </w:rPr>
              <w:t>Polycondensation</w:t>
            </w:r>
          </w:p>
        </w:tc>
        <w:tc>
          <w:tcPr>
            <w:tcW w:w="2552" w:type="dxa"/>
            <w:shd w:val="clear" w:color="auto" w:fill="FFFFFF"/>
          </w:tcPr>
          <w:p w14:paraId="7DC4B0EE" w14:textId="76FA7AC3" w:rsidR="00796E8F" w:rsidRPr="00C56BC9" w:rsidRDefault="009724BB" w:rsidP="00796E8F">
            <w:pPr>
              <w:pStyle w:val="CETBodytext"/>
              <w:jc w:val="left"/>
            </w:pPr>
            <m:oMathPara>
              <m:oMathParaPr>
                <m:jc m:val="left"/>
              </m:oMathParaP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m</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r>
                  <m:rPr>
                    <m:sty m:val="p"/>
                  </m:rPr>
                  <w:rPr>
                    <w:rFonts w:ascii="Cambria Math" w:eastAsiaTheme="minorEastAsia" w:hAnsi="Cambria Math"/>
                  </w:rPr>
                  <m:t xml:space="preserve"> </m:t>
                </m:r>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2</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2</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2</m:t>
                        </m:r>
                      </m:sub>
                    </m:sSub>
                  </m:lim>
                </m:limUpp>
                <m:r>
                  <m:rPr>
                    <m:sty m:val="p"/>
                  </m:rPr>
                  <w:rPr>
                    <w:rFonts w:ascii="Cambria Math" w:hAnsi="Cambria Math"/>
                  </w:rPr>
                  <m:t xml:space="preserve"> </m:t>
                </m:r>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m</m:t>
                    </m:r>
                    <m:r>
                      <m:rPr>
                        <m:sty m:val="p"/>
                      </m:rPr>
                      <w:rPr>
                        <w:rFonts w:ascii="Cambria Math" w:eastAsiaTheme="minorEastAsia" w:hAnsi="Cambria Math"/>
                      </w:rPr>
                      <m:t>+</m:t>
                    </m:r>
                    <m:r>
                      <w:rPr>
                        <w:rFonts w:ascii="Cambria Math" w:eastAsiaTheme="minorEastAsia" w:hAnsi="Cambria Math"/>
                      </w:rPr>
                      <m:t>n</m:t>
                    </m:r>
                  </m:sub>
                </m:sSub>
                <m:r>
                  <m:rPr>
                    <m:sty m:val="p"/>
                  </m:rPr>
                  <w:rPr>
                    <w:rFonts w:ascii="Cambria Math" w:hAnsi="Cambria Math"/>
                  </w:rPr>
                  <m:t>+</m:t>
                </m:r>
                <m:r>
                  <w:rPr>
                    <w:rFonts w:ascii="Cambria Math" w:hAnsi="Cambria Math"/>
                  </w:rPr>
                  <m:t>W</m:t>
                </m:r>
              </m:oMath>
            </m:oMathPara>
          </w:p>
        </w:tc>
      </w:tr>
      <w:tr w:rsidR="00796E8F" w:rsidRPr="00C56BC9" w14:paraId="682DFFEA" w14:textId="77777777" w:rsidTr="00042BE5">
        <w:trPr>
          <w:trHeight w:val="349"/>
        </w:trPr>
        <w:tc>
          <w:tcPr>
            <w:tcW w:w="3544" w:type="dxa"/>
            <w:shd w:val="clear" w:color="auto" w:fill="FFFFFF"/>
          </w:tcPr>
          <w:p w14:paraId="7FBAD48C" w14:textId="106AC1D1" w:rsidR="00796E8F" w:rsidRPr="00C56BC9" w:rsidRDefault="00042BE5" w:rsidP="00E76B30">
            <w:pPr>
              <w:pStyle w:val="CETBodytext"/>
              <w:numPr>
                <w:ilvl w:val="0"/>
                <w:numId w:val="23"/>
              </w:numPr>
              <w:spacing w:before="120"/>
              <w:ind w:left="284" w:hanging="284"/>
              <w:rPr>
                <w:lang w:val="en-GB"/>
              </w:rPr>
            </w:pPr>
            <w:r w:rsidRPr="00C56BC9">
              <w:rPr>
                <w:lang w:val="en-GB"/>
              </w:rPr>
              <w:t>Polyaddition of laurolactama</w:t>
            </w:r>
          </w:p>
        </w:tc>
        <w:tc>
          <w:tcPr>
            <w:tcW w:w="2552" w:type="dxa"/>
            <w:shd w:val="clear" w:color="auto" w:fill="FFFFFF"/>
          </w:tcPr>
          <w:p w14:paraId="3D790E7F" w14:textId="34DF439E" w:rsidR="00796E8F" w:rsidRPr="00C56BC9" w:rsidRDefault="009724BB" w:rsidP="00796E8F">
            <w:pPr>
              <w:pStyle w:val="CETBodytext"/>
              <w:jc w:val="left"/>
            </w:pPr>
            <m:oMathPara>
              <m:oMathParaPr>
                <m:jc m:val="left"/>
              </m:oMathParaP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r>
                  <m:rPr>
                    <m:sty m:val="p"/>
                  </m:rPr>
                  <w:rPr>
                    <w:rFonts w:ascii="Cambria Math" w:hAnsi="Cambria Math"/>
                  </w:rPr>
                  <m:t>+</m:t>
                </m:r>
                <m:r>
                  <w:rPr>
                    <w:rFonts w:ascii="Cambria Math" w:hAnsi="Cambria Math"/>
                  </w:rPr>
                  <m:t>LL</m:t>
                </m:r>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3</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3</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3</m:t>
                        </m:r>
                      </m:sub>
                    </m:sSub>
                  </m:lim>
                </m:limUpp>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+1</m:t>
                    </m:r>
                  </m:sub>
                </m:sSub>
              </m:oMath>
            </m:oMathPara>
          </w:p>
        </w:tc>
      </w:tr>
      <w:tr w:rsidR="00796E8F" w:rsidRPr="00C56BC9" w14:paraId="417598FA" w14:textId="77777777" w:rsidTr="00042BE5">
        <w:tc>
          <w:tcPr>
            <w:tcW w:w="3544" w:type="dxa"/>
            <w:shd w:val="clear" w:color="auto" w:fill="FFFFFF"/>
          </w:tcPr>
          <w:p w14:paraId="47BFB5C9" w14:textId="25C548FA" w:rsidR="00796E8F" w:rsidRPr="00C56BC9" w:rsidRDefault="00042BE5" w:rsidP="00E76B30">
            <w:pPr>
              <w:pStyle w:val="CETBodytext"/>
              <w:numPr>
                <w:ilvl w:val="0"/>
                <w:numId w:val="23"/>
              </w:numPr>
              <w:spacing w:before="120"/>
              <w:ind w:left="284" w:hanging="284"/>
              <w:rPr>
                <w:lang w:val="en-GB"/>
              </w:rPr>
            </w:pPr>
            <w:r w:rsidRPr="00C56BC9">
              <w:rPr>
                <w:lang w:val="en-GB"/>
              </w:rPr>
              <w:t>Ring opening of cyclic dimer</w:t>
            </w:r>
          </w:p>
        </w:tc>
        <w:tc>
          <w:tcPr>
            <w:tcW w:w="2552" w:type="dxa"/>
            <w:shd w:val="clear" w:color="auto" w:fill="FFFFFF"/>
          </w:tcPr>
          <w:p w14:paraId="20ADAA93" w14:textId="6789B233" w:rsidR="00796E8F" w:rsidRPr="00C56BC9" w:rsidRDefault="00796E8F" w:rsidP="00796E8F">
            <w:pPr>
              <w:pStyle w:val="CETBodytext"/>
              <w:jc w:val="left"/>
            </w:pPr>
            <m:oMathPara>
              <m:oMathParaPr>
                <m:jc m:val="left"/>
              </m:oMathParaPr>
              <m:oMath>
                <m:r>
                  <w:rPr>
                    <w:rFonts w:ascii="Cambria Math" w:hAnsi="Cambria Math"/>
                  </w:rPr>
                  <m:t>W</m:t>
                </m:r>
                <m:r>
                  <m:rPr>
                    <m:sty m:val="p"/>
                  </m:rPr>
                  <w:rPr>
                    <w:rFonts w:ascii="Cambria Math" w:hAnsi="Cambria Math"/>
                  </w:rPr>
                  <m:t>+</m:t>
                </m:r>
                <m:r>
                  <w:rPr>
                    <w:rFonts w:ascii="Cambria Math" w:hAnsi="Cambria Math"/>
                  </w:rPr>
                  <m:t>CD</m:t>
                </m:r>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4</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4</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4</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4</m:t>
                        </m:r>
                      </m:sub>
                    </m:sSub>
                  </m:lim>
                </m:limUpp>
                <m:sSub>
                  <m:sSubPr>
                    <m:ctrlPr>
                      <w:rPr>
                        <w:rFonts w:ascii="Cambria Math" w:hAnsi="Cambria Math"/>
                      </w:rPr>
                    </m:ctrlPr>
                  </m:sSubPr>
                  <m:e>
                    <m:r>
                      <w:rPr>
                        <w:rFonts w:ascii="Cambria Math" w:eastAsiaTheme="minorEastAsia" w:hAnsi="Cambria Math"/>
                      </w:rPr>
                      <m:t>P</m:t>
                    </m:r>
                  </m:e>
                  <m:sub>
                    <m:r>
                      <m:rPr>
                        <m:sty m:val="p"/>
                      </m:rPr>
                      <w:rPr>
                        <w:rFonts w:ascii="Cambria Math" w:eastAsiaTheme="minorEastAsia" w:hAnsi="Cambria Math"/>
                      </w:rPr>
                      <m:t>2</m:t>
                    </m:r>
                  </m:sub>
                </m:sSub>
              </m:oMath>
            </m:oMathPara>
          </w:p>
        </w:tc>
      </w:tr>
      <w:tr w:rsidR="00796E8F" w:rsidRPr="00C56BC9" w14:paraId="29DDD923" w14:textId="77777777" w:rsidTr="00042BE5">
        <w:tc>
          <w:tcPr>
            <w:tcW w:w="3544" w:type="dxa"/>
            <w:shd w:val="clear" w:color="auto" w:fill="FFFFFF"/>
          </w:tcPr>
          <w:p w14:paraId="7A573E89" w14:textId="2C30953F" w:rsidR="00796E8F" w:rsidRPr="00C56BC9" w:rsidRDefault="00042BE5" w:rsidP="00E76B30">
            <w:pPr>
              <w:pStyle w:val="CETBodytext"/>
              <w:numPr>
                <w:ilvl w:val="0"/>
                <w:numId w:val="23"/>
              </w:numPr>
              <w:spacing w:before="120"/>
              <w:ind w:left="284" w:hanging="284"/>
              <w:rPr>
                <w:lang w:val="en-GB"/>
              </w:rPr>
            </w:pPr>
            <w:r w:rsidRPr="00C56BC9">
              <w:rPr>
                <w:lang w:val="en-GB"/>
              </w:rPr>
              <w:t>Polyaddition of cyclic dimer</w:t>
            </w:r>
          </w:p>
        </w:tc>
        <w:tc>
          <w:tcPr>
            <w:tcW w:w="2552" w:type="dxa"/>
            <w:shd w:val="clear" w:color="auto" w:fill="FFFFFF"/>
            <w:vAlign w:val="bottom"/>
          </w:tcPr>
          <w:p w14:paraId="00070F2D" w14:textId="2F93A358" w:rsidR="00796E8F" w:rsidRPr="00C56BC9" w:rsidRDefault="00796E8F" w:rsidP="00796E8F">
            <w:pPr>
              <w:pStyle w:val="CETBodytext"/>
              <w:jc w:val="left"/>
            </w:pPr>
            <m:oMathPara>
              <m:oMathParaPr>
                <m:jc m:val="left"/>
              </m:oMathParaPr>
              <m:oMath>
                <m:r>
                  <w:rPr>
                    <w:rFonts w:ascii="Cambria Math" w:hAnsi="Cambria Math"/>
                  </w:rPr>
                  <m:t>CD</m:t>
                </m:r>
                <m:r>
                  <m:rPr>
                    <m:sty m:val="p"/>
                  </m:rPr>
                  <w:rPr>
                    <w:rFonts w:ascii="Cambria Math" w:hAnsi="Cambria Math"/>
                  </w:rPr>
                  <m:t>+</m:t>
                </m:r>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5</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5</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5</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5</m:t>
                        </m:r>
                      </m:sub>
                    </m:sSub>
                  </m:lim>
                </m:limUpp>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+2</m:t>
                    </m:r>
                  </m:sub>
                </m:sSub>
              </m:oMath>
            </m:oMathPara>
          </w:p>
        </w:tc>
      </w:tr>
      <w:tr w:rsidR="00796E8F" w:rsidRPr="00C56BC9" w14:paraId="49B0CE48" w14:textId="77777777" w:rsidTr="00042BE5">
        <w:tc>
          <w:tcPr>
            <w:tcW w:w="3544" w:type="dxa"/>
            <w:shd w:val="clear" w:color="auto" w:fill="FFFFFF"/>
          </w:tcPr>
          <w:p w14:paraId="5DF6E587" w14:textId="32F7A57B" w:rsidR="00796E8F" w:rsidRPr="00C56BC9" w:rsidRDefault="00042BE5" w:rsidP="00E76B30">
            <w:pPr>
              <w:pStyle w:val="CETBodytext"/>
              <w:numPr>
                <w:ilvl w:val="0"/>
                <w:numId w:val="23"/>
              </w:numPr>
              <w:spacing w:before="120"/>
              <w:ind w:left="284" w:hanging="284"/>
              <w:rPr>
                <w:lang w:val="en-GB"/>
              </w:rPr>
            </w:pPr>
            <w:r w:rsidRPr="00C56BC9">
              <w:rPr>
                <w:lang w:val="en-GB"/>
              </w:rPr>
              <w:t>Acid end-group termination</w:t>
            </w:r>
          </w:p>
        </w:tc>
        <w:tc>
          <w:tcPr>
            <w:tcW w:w="2552" w:type="dxa"/>
            <w:shd w:val="clear" w:color="auto" w:fill="FFFFFF"/>
            <w:vAlign w:val="bottom"/>
          </w:tcPr>
          <w:p w14:paraId="63D05098" w14:textId="7C3280F4" w:rsidR="00796E8F" w:rsidRPr="00C56BC9" w:rsidRDefault="00796E8F" w:rsidP="00796E8F">
            <w:pPr>
              <w:pStyle w:val="CETBodytext"/>
              <w:jc w:val="left"/>
            </w:pPr>
            <m:oMathPara>
              <m:oMathParaPr>
                <m:jc m:val="left"/>
              </m:oMathParaPr>
              <m:oMath>
                <m:r>
                  <w:rPr>
                    <w:rFonts w:ascii="Cambria Math" w:hAnsi="Cambria Math"/>
                  </w:rPr>
                  <m:t>HAC</m:t>
                </m:r>
                <m:r>
                  <m:rPr>
                    <m:sty m:val="p"/>
                  </m:rPr>
                  <w:rPr>
                    <w:rFonts w:ascii="Cambria Math" w:hAnsi="Cambria Math"/>
                  </w:rPr>
                  <m:t>+</m:t>
                </m:r>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2</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2</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2</m:t>
                        </m:r>
                      </m:sub>
                    </m:sSub>
                  </m:lim>
                </m:limUpp>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x</m:t>
                    </m:r>
                  </m:sub>
                </m:sSub>
                <m:r>
                  <m:rPr>
                    <m:sty m:val="p"/>
                  </m:rPr>
                  <w:rPr>
                    <w:rFonts w:ascii="Cambria Math" w:hAnsi="Cambria Math"/>
                  </w:rPr>
                  <m:t> + </m:t>
                </m:r>
                <m:r>
                  <w:rPr>
                    <w:rFonts w:ascii="Cambria Math" w:hAnsi="Cambria Math"/>
                  </w:rPr>
                  <m:t>W</m:t>
                </m:r>
              </m:oMath>
            </m:oMathPara>
          </w:p>
        </w:tc>
      </w:tr>
      <w:tr w:rsidR="00796E8F" w:rsidRPr="00C56BC9" w14:paraId="605B1ED1" w14:textId="77777777" w:rsidTr="00042BE5">
        <w:tc>
          <w:tcPr>
            <w:tcW w:w="3544" w:type="dxa"/>
            <w:shd w:val="clear" w:color="auto" w:fill="FFFFFF"/>
          </w:tcPr>
          <w:p w14:paraId="0B39FEDB" w14:textId="3FEC9415" w:rsidR="00796E8F" w:rsidRPr="00C56BC9" w:rsidRDefault="00042BE5" w:rsidP="00E76B30">
            <w:pPr>
              <w:pStyle w:val="CETBodytext"/>
              <w:numPr>
                <w:ilvl w:val="0"/>
                <w:numId w:val="23"/>
              </w:numPr>
              <w:spacing w:before="120"/>
              <w:ind w:left="284" w:hanging="284"/>
              <w:rPr>
                <w:lang w:val="en-GB"/>
              </w:rPr>
            </w:pPr>
            <w:r w:rsidRPr="00C56BC9">
              <w:rPr>
                <w:lang w:val="en-GB"/>
              </w:rPr>
              <w:t>Amine terminator laurolactama addition</w:t>
            </w:r>
          </w:p>
        </w:tc>
        <w:tc>
          <w:tcPr>
            <w:tcW w:w="2552" w:type="dxa"/>
            <w:shd w:val="clear" w:color="auto" w:fill="FFFFFF"/>
            <w:vAlign w:val="bottom"/>
          </w:tcPr>
          <w:p w14:paraId="4AF2D17A" w14:textId="0DC8C1E2" w:rsidR="00796E8F" w:rsidRPr="00C56BC9" w:rsidRDefault="00796E8F" w:rsidP="00796E8F">
            <w:pPr>
              <w:pStyle w:val="CETBodytext"/>
              <w:jc w:val="left"/>
            </w:pPr>
            <m:oMathPara>
              <m:oMathParaPr>
                <m:jc m:val="left"/>
              </m:oMathParaPr>
              <m:oMath>
                <m:r>
                  <w:rPr>
                    <w:rFonts w:ascii="Cambria Math" w:hAnsi="Cambria Math"/>
                  </w:rPr>
                  <m:t>CHA</m:t>
                </m:r>
                <m:r>
                  <m:rPr>
                    <m:sty m:val="p"/>
                  </m:rPr>
                  <w:rPr>
                    <w:rFonts w:ascii="Cambria Math" w:hAnsi="Cambria Math"/>
                  </w:rPr>
                  <m:t>+</m:t>
                </m:r>
                <m:r>
                  <w:rPr>
                    <w:rFonts w:ascii="Cambria Math" w:hAnsi="Cambria Math"/>
                  </w:rPr>
                  <m:t>LL</m:t>
                </m:r>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3</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3</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3</m:t>
                        </m:r>
                      </m:sub>
                    </m:sSub>
                  </m:lim>
                </m:limUpp>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y</m:t>
                    </m:r>
                  </m:sub>
                </m:sSub>
              </m:oMath>
            </m:oMathPara>
          </w:p>
        </w:tc>
      </w:tr>
      <w:tr w:rsidR="00796E8F" w:rsidRPr="00C56BC9" w14:paraId="67F24F26" w14:textId="77777777" w:rsidTr="00042BE5">
        <w:tc>
          <w:tcPr>
            <w:tcW w:w="3544" w:type="dxa"/>
            <w:shd w:val="clear" w:color="auto" w:fill="FFFFFF"/>
          </w:tcPr>
          <w:p w14:paraId="37CACFFE" w14:textId="3B0AC11C" w:rsidR="00796E8F" w:rsidRPr="00C56BC9" w:rsidRDefault="00042BE5" w:rsidP="00E76B30">
            <w:pPr>
              <w:pStyle w:val="CETBodytext"/>
              <w:numPr>
                <w:ilvl w:val="0"/>
                <w:numId w:val="23"/>
              </w:numPr>
              <w:spacing w:before="120"/>
              <w:ind w:left="284" w:right="-1" w:hanging="284"/>
              <w:rPr>
                <w:rFonts w:cs="Arial"/>
                <w:szCs w:val="18"/>
                <w:lang w:val="en-GB"/>
              </w:rPr>
            </w:pPr>
            <w:r w:rsidRPr="00C56BC9">
              <w:rPr>
                <w:rFonts w:cs="Arial"/>
                <w:szCs w:val="18"/>
                <w:lang w:val="en-GB"/>
              </w:rPr>
              <w:t>Amine end-group termination</w:t>
            </w:r>
          </w:p>
        </w:tc>
        <w:tc>
          <w:tcPr>
            <w:tcW w:w="2552" w:type="dxa"/>
            <w:shd w:val="clear" w:color="auto" w:fill="FFFFFF"/>
          </w:tcPr>
          <w:p w14:paraId="7A9A043C" w14:textId="38DB0113" w:rsidR="00796E8F" w:rsidRPr="00C56BC9" w:rsidRDefault="00796E8F" w:rsidP="00796E8F">
            <w:pPr>
              <w:pStyle w:val="CETBodytext"/>
              <w:ind w:right="-1"/>
              <w:jc w:val="left"/>
              <w:rPr>
                <w:rFonts w:cs="Arial"/>
                <w:szCs w:val="18"/>
                <w:lang w:val="en-GB"/>
              </w:rPr>
            </w:pPr>
            <m:oMathPara>
              <m:oMathParaPr>
                <m:jc m:val="left"/>
              </m:oMathParaPr>
              <m:oMath>
                <m:r>
                  <w:rPr>
                    <w:rFonts w:ascii="Cambria Math" w:hAnsi="Cambria Math"/>
                  </w:rPr>
                  <m:t>CHA</m:t>
                </m:r>
                <m:r>
                  <m:rPr>
                    <m:sty m:val="p"/>
                  </m:rPr>
                  <w:rPr>
                    <w:rFonts w:ascii="Cambria Math" w:hAnsi="Cambria Math"/>
                  </w:rPr>
                  <m:t>+</m:t>
                </m:r>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limUpp>
                  <m:limUppPr>
                    <m:ctrlPr>
                      <w:rPr>
                        <w:rFonts w:ascii="Cambria Math" w:hAnsi="Cambria Math"/>
                      </w:rPr>
                    </m:ctrlPr>
                  </m:limUppPr>
                  <m:e>
                    <m:box>
                      <m:boxPr>
                        <m:opEmu m:val="1"/>
                        <m:ctrlPr>
                          <w:rPr>
                            <w:rFonts w:ascii="Cambria Math" w:hAnsi="Cambria Math"/>
                          </w:rPr>
                        </m:ctrlPr>
                      </m:boxPr>
                      <m:e>
                        <m:box>
                          <m:boxPr>
                            <m:opEmu m:val="1"/>
                            <m:ctrlPr>
                              <w:rPr>
                                <w:rFonts w:ascii="Cambria Math" w:hAnsi="Cambria Math"/>
                              </w:rPr>
                            </m:ctrlPr>
                          </m:boxPr>
                          <m:e>
                            <m:groupChr>
                              <m:groupChrPr>
                                <m:chr m:val="⇔"/>
                                <m:pos m:val="top"/>
                                <m:ctrlPr>
                                  <w:rPr>
                                    <w:rFonts w:ascii="Cambria Math" w:hAnsi="Cambria Math"/>
                                  </w:rPr>
                                </m:ctrlPr>
                              </m:groupChrPr>
                              <m:e>
                                <m:sSubSup>
                                  <m:sSubSupPr>
                                    <m:ctrlPr>
                                      <w:rPr>
                                        <w:rFonts w:ascii="Cambria Math" w:hAnsi="Cambria Math"/>
                                      </w:rPr>
                                    </m:ctrlPr>
                                  </m:sSubSupPr>
                                  <m:e>
                                    <m:r>
                                      <w:rPr>
                                        <w:rFonts w:ascii="Cambria Math" w:hAnsi="Cambria Math"/>
                                      </w:rPr>
                                      <m:t>k</m:t>
                                    </m:r>
                                  </m:e>
                                  <m:sub>
                                    <m:r>
                                      <m:rPr>
                                        <m:sty m:val="p"/>
                                      </m:rPr>
                                      <w:rPr>
                                        <w:rFonts w:ascii="Cambria Math" w:hAnsi="Cambria Math"/>
                                      </w:rPr>
                                      <m:t>2</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K</m:t>
                                        </m:r>
                                      </m:e>
                                      <m:sub>
                                        <m:r>
                                          <m:rPr>
                                            <m:sty m:val="p"/>
                                          </m:rPr>
                                          <w:rPr>
                                            <w:rFonts w:ascii="Cambria Math" w:hAnsi="Cambria Math"/>
                                          </w:rPr>
                                          <m:t>2</m:t>
                                        </m:r>
                                      </m:sub>
                                    </m:sSub>
                                  </m:den>
                                </m:f>
                              </m:e>
                            </m:groupChr>
                          </m:e>
                        </m:box>
                      </m:e>
                    </m:box>
                  </m:e>
                  <m:lim>
                    <m:sSub>
                      <m:sSubPr>
                        <m:ctrlPr>
                          <w:rPr>
                            <w:rFonts w:ascii="Cambria Math" w:hAnsi="Cambria Math"/>
                          </w:rPr>
                        </m:ctrlPr>
                      </m:sSubPr>
                      <m:e>
                        <m:r>
                          <w:rPr>
                            <w:rFonts w:ascii="Cambria Math" w:hAnsi="Cambria Math"/>
                          </w:rPr>
                          <m:t>k</m:t>
                        </m:r>
                      </m:e>
                      <m:sub>
                        <m:r>
                          <m:rPr>
                            <m:sty m:val="p"/>
                          </m:rPr>
                          <w:rPr>
                            <w:rFonts w:ascii="Cambria Math" w:hAnsi="Cambria Math"/>
                          </w:rPr>
                          <m:t>2</m:t>
                        </m:r>
                      </m:sub>
                    </m:sSub>
                  </m:lim>
                </m:limUpp>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y</m:t>
                    </m:r>
                  </m:sub>
                </m:sSub>
                <m:r>
                  <m:rPr>
                    <m:sty m:val="p"/>
                  </m:rPr>
                  <w:rPr>
                    <w:rFonts w:ascii="Cambria Math" w:hAnsi="Cambria Math"/>
                  </w:rPr>
                  <m:t> + </m:t>
                </m:r>
                <m:r>
                  <w:rPr>
                    <w:rFonts w:ascii="Cambria Math" w:hAnsi="Cambria Math"/>
                  </w:rPr>
                  <m:t>W</m:t>
                </m:r>
              </m:oMath>
            </m:oMathPara>
          </w:p>
        </w:tc>
      </w:tr>
    </w:tbl>
    <w:p w14:paraId="204C95D0" w14:textId="668BB5F7" w:rsidR="00D83112" w:rsidRPr="00C56BC9" w:rsidRDefault="0011413A" w:rsidP="00623BC1">
      <w:pPr>
        <w:pStyle w:val="CETBodytext"/>
        <w:rPr>
          <w:lang w:val="pt-BR"/>
        </w:rPr>
      </w:pPr>
      <w:r w:rsidRPr="00C56BC9">
        <w:rPr>
          <w:lang w:val="pt-BR"/>
        </w:rPr>
        <w:t xml:space="preserve">W: </w:t>
      </w:r>
      <w:r w:rsidR="00AC2919">
        <w:rPr>
          <w:lang w:val="pt-BR"/>
        </w:rPr>
        <w:t>W</w:t>
      </w:r>
      <w:r w:rsidRPr="00C56BC9">
        <w:rPr>
          <w:lang w:val="pt-BR"/>
        </w:rPr>
        <w:t>ater</w:t>
      </w:r>
      <w:r w:rsidR="00DD0CD8" w:rsidRPr="00C56BC9">
        <w:rPr>
          <w:lang w:val="pt-BR"/>
        </w:rPr>
        <w:t xml:space="preserve">, LL: </w:t>
      </w:r>
      <w:r w:rsidR="00AC2919">
        <w:rPr>
          <w:lang w:val="pt-BR"/>
        </w:rPr>
        <w:t>L</w:t>
      </w:r>
      <w:r w:rsidR="00DD0CD8" w:rsidRPr="00C56BC9">
        <w:rPr>
          <w:lang w:val="pt-BR"/>
        </w:rPr>
        <w:t xml:space="preserve">aurolactama, </w:t>
      </w:r>
      <w:r w:rsidR="00343DA8" w:rsidRPr="00C56BC9">
        <w:rPr>
          <w:lang w:val="pt-BR"/>
        </w:rPr>
        <w:t>ADA: 12-</w:t>
      </w:r>
      <w:r w:rsidR="00AC2919">
        <w:rPr>
          <w:lang w:val="pt-BR"/>
        </w:rPr>
        <w:t>A</w:t>
      </w:r>
      <w:r w:rsidR="00343DA8" w:rsidRPr="00C56BC9">
        <w:rPr>
          <w:lang w:val="pt-BR"/>
        </w:rPr>
        <w:t xml:space="preserve">minododecanoic </w:t>
      </w:r>
      <w:r w:rsidR="00AC2919">
        <w:rPr>
          <w:lang w:val="pt-BR"/>
        </w:rPr>
        <w:t>a</w:t>
      </w:r>
      <w:r w:rsidR="00343DA8" w:rsidRPr="00C56BC9">
        <w:rPr>
          <w:lang w:val="pt-BR"/>
        </w:rPr>
        <w:t xml:space="preserve">cid, </w:t>
      </w:r>
      <w:r w:rsidR="00D83112" w:rsidRPr="00C56BC9">
        <w:rPr>
          <w:lang w:val="pt-BR"/>
        </w:rPr>
        <w:t xml:space="preserve">CD: </w:t>
      </w:r>
      <w:r w:rsidR="00AC2919">
        <w:rPr>
          <w:lang w:val="pt-BR"/>
        </w:rPr>
        <w:t>C</w:t>
      </w:r>
      <w:r w:rsidR="00D83112" w:rsidRPr="00C56BC9">
        <w:rPr>
          <w:lang w:val="pt-BR"/>
        </w:rPr>
        <w:t xml:space="preserve">yclic dimer, </w:t>
      </w:r>
    </w:p>
    <w:p w14:paraId="660BB637" w14:textId="518952B8" w:rsidR="002C1D6C" w:rsidRPr="00C56BC9" w:rsidRDefault="00D83112" w:rsidP="00623BC1">
      <w:pPr>
        <w:pStyle w:val="CETBodytext"/>
      </w:pPr>
      <w:r w:rsidRPr="00C56BC9">
        <w:t xml:space="preserve">HAC: </w:t>
      </w:r>
      <w:r w:rsidR="00AC2919">
        <w:t>A</w:t>
      </w:r>
      <w:r w:rsidRPr="00C56BC9">
        <w:t xml:space="preserve">cetic acid, </w:t>
      </w:r>
      <w:r w:rsidR="00AC2636" w:rsidRPr="00C56BC9">
        <w:t xml:space="preserve">CHA: </w:t>
      </w:r>
      <w:r w:rsidR="00AC2919">
        <w:t>C</w:t>
      </w:r>
      <w:r w:rsidR="00AC2636" w:rsidRPr="00C56BC9">
        <w:t xml:space="preserve">yclohexylamine, </w:t>
      </w: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sub>
        </m:sSub>
      </m:oMath>
      <w:r w:rsidR="00427B33" w:rsidRPr="00C56BC9">
        <w:t>: Polymer chain with n repeat unit</w:t>
      </w:r>
      <w:r w:rsidR="007A3260" w:rsidRPr="00C56BC9">
        <w:t>s</w:t>
      </w:r>
      <w:r w:rsidR="002A13EC" w:rsidRPr="00C56BC9">
        <w:t>,</w:t>
      </w:r>
    </w:p>
    <w:p w14:paraId="502F006B" w14:textId="07796EED" w:rsidR="00EA59B7" w:rsidRPr="00C56BC9" w:rsidRDefault="009724BB" w:rsidP="00623BC1">
      <w:pPr>
        <w:pStyle w:val="CETBodytext"/>
      </w:pP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m</m:t>
            </m:r>
          </m:sub>
        </m:sSub>
      </m:oMath>
      <w:r w:rsidR="00EA59B7" w:rsidRPr="00C56BC9">
        <w:t>: Polymer chain with m repeat units,</w:t>
      </w:r>
    </w:p>
    <w:p w14:paraId="285DED77" w14:textId="2275371B" w:rsidR="00740536" w:rsidRPr="00C56BC9" w:rsidRDefault="002C1D6C" w:rsidP="00740536">
      <w:pPr>
        <w:pStyle w:val="CETBodytext"/>
      </w:pPr>
      <w:r w:rsidRPr="00C56BC9">
        <w:t xml:space="preserve"> </w:t>
      </w: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x</m:t>
            </m:r>
          </m:sub>
        </m:sSub>
      </m:oMath>
      <w:r w:rsidRPr="00C56BC9">
        <w:t xml:space="preserve">: Polymer chain with n repeat units </w:t>
      </w:r>
      <w:r w:rsidR="00740536" w:rsidRPr="00C56BC9">
        <w:t>and acetic acid terminat</w:t>
      </w:r>
      <w:r w:rsidR="00C3645F" w:rsidRPr="00C56BC9">
        <w:t>ed</w:t>
      </w:r>
      <w:r w:rsidR="00740536" w:rsidRPr="00C56BC9">
        <w:t>,</w:t>
      </w:r>
    </w:p>
    <w:p w14:paraId="5DA81B55" w14:textId="47B15832" w:rsidR="002A13EC" w:rsidRPr="00C56BC9" w:rsidRDefault="00740536" w:rsidP="00623BC1">
      <w:pPr>
        <w:pStyle w:val="CETBodytext"/>
      </w:pPr>
      <w:r w:rsidRPr="00C56BC9">
        <w:t xml:space="preserve"> </w:t>
      </w:r>
      <m:oMath>
        <m:sSub>
          <m:sSubPr>
            <m:ctrlPr>
              <w:rPr>
                <w:rFonts w:ascii="Cambria Math" w:hAnsi="Cambria Math"/>
              </w:rPr>
            </m:ctrlPr>
          </m:sSubPr>
          <m:e>
            <m:r>
              <w:rPr>
                <w:rFonts w:ascii="Cambria Math" w:eastAsiaTheme="minorEastAsia" w:hAnsi="Cambria Math"/>
              </w:rPr>
              <m:t>P</m:t>
            </m:r>
          </m:e>
          <m:sub>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y</m:t>
            </m:r>
          </m:sub>
        </m:sSub>
      </m:oMath>
      <w:r w:rsidRPr="00C56BC9">
        <w:t>: Polymer chain with n repeat units and cyclo</w:t>
      </w:r>
      <w:r w:rsidR="00C3645F" w:rsidRPr="00C56BC9">
        <w:t>hexylamine</w:t>
      </w:r>
      <w:r w:rsidRPr="00C56BC9">
        <w:t xml:space="preserve"> terminat</w:t>
      </w:r>
      <w:r w:rsidR="00C3645F" w:rsidRPr="00C56BC9">
        <w:t>ed.</w:t>
      </w:r>
    </w:p>
    <w:p w14:paraId="601A6CD9" w14:textId="77777777" w:rsidR="001B2429" w:rsidRPr="00C56BC9" w:rsidRDefault="001B2429" w:rsidP="001B2429">
      <w:pPr>
        <w:pStyle w:val="CETheadingx"/>
      </w:pPr>
      <w:r w:rsidRPr="00C56BC9">
        <w:lastRenderedPageBreak/>
        <w:t>Process description</w:t>
      </w:r>
    </w:p>
    <w:p w14:paraId="40D6816F" w14:textId="4164992B" w:rsidR="00811C52" w:rsidRPr="0021757B" w:rsidRDefault="00811C52" w:rsidP="00433A10">
      <w:pPr>
        <w:pStyle w:val="CETBodytext"/>
      </w:pPr>
      <w:r w:rsidRPr="00C56BC9">
        <w:t xml:space="preserve">The polymerization process of Nylon 12 in </w:t>
      </w:r>
      <w:r w:rsidRPr="00AC2919">
        <w:rPr>
          <w:i/>
          <w:iCs/>
        </w:rPr>
        <w:t>Aspen Polymer Plus®</w:t>
      </w:r>
      <w:r w:rsidRPr="00C56BC9">
        <w:t xml:space="preserve"> was simulated using the experimental plant from the work of Kawakami et al. (1994). It consists of a polymerization column that has three zones (upper, intermediate, lower). Initially, the feed is at 533.15 K and 1 atm, flow rate of 7.35 kg/h and composition of 98.9</w:t>
      </w:r>
      <w:r w:rsidR="00927297">
        <w:t xml:space="preserve"> </w:t>
      </w:r>
      <w:r w:rsidRPr="00C56BC9">
        <w:t>% laurolactam, 1</w:t>
      </w:r>
      <w:r w:rsidR="00D13FD1">
        <w:t>.0</w:t>
      </w:r>
      <w:r w:rsidR="001250F7">
        <w:t xml:space="preserve"> </w:t>
      </w:r>
      <w:r w:rsidRPr="00C56BC9">
        <w:t>% water initiator and 0.1</w:t>
      </w:r>
      <w:r w:rsidR="00DD1D25">
        <w:t xml:space="preserve"> </w:t>
      </w:r>
      <w:r w:rsidRPr="00C56BC9">
        <w:t>% monofunctional acid catalyst acetic acid which are fed into the upper zone of the column. In the upper</w:t>
      </w:r>
      <w:r w:rsidRPr="00811C52">
        <w:t xml:space="preserve"> zone most ROR occur which must take place at high temperatures and pressures. The resulting product is transferred to the intermediate zone, which is at lower temperature, where the ROR are completed and the polycondensation and polyaddition reactions in the system start. Finally, in the lower zone at lower temperatures</w:t>
      </w:r>
      <w:r w:rsidRPr="00700E6E">
        <w:t xml:space="preserve">, polycondensation and polyaddition reactions </w:t>
      </w:r>
      <w:r>
        <w:t>finish</w:t>
      </w:r>
      <w:r w:rsidRPr="00700E6E">
        <w:t>.</w:t>
      </w:r>
    </w:p>
    <w:p w14:paraId="7BF4DA37" w14:textId="4254654F" w:rsidR="00F83AB7" w:rsidRDefault="00F83AB7" w:rsidP="00D142E7">
      <w:pPr>
        <w:pStyle w:val="CETHeading1"/>
      </w:pPr>
      <w:r>
        <w:t>Results</w:t>
      </w:r>
      <w:r w:rsidR="00FF29CC">
        <w:t xml:space="preserve"> and discussion</w:t>
      </w:r>
    </w:p>
    <w:p w14:paraId="450989A3" w14:textId="1B769FEA" w:rsidR="004B62DB" w:rsidRDefault="00963282" w:rsidP="00FF29CC">
      <w:pPr>
        <w:pStyle w:val="CETBodytext"/>
      </w:pPr>
      <w:r w:rsidRPr="00963282">
        <w:t>Figure 1 shows the fl</w:t>
      </w:r>
      <w:r w:rsidR="009C37F6">
        <w:t>owchart</w:t>
      </w:r>
      <w:r w:rsidRPr="00963282">
        <w:t xml:space="preserve"> of the polymerization process for Nylon 12</w:t>
      </w:r>
      <w:r w:rsidR="003C2D2C">
        <w:t>.</w:t>
      </w:r>
      <w:r w:rsidRPr="00963282">
        <w:t xml:space="preserve"> The process is fed </w:t>
      </w:r>
      <w:r w:rsidR="00687264">
        <w:t xml:space="preserve">(FEED) </w:t>
      </w:r>
      <w:r w:rsidRPr="00963282">
        <w:t>in the simulated upper zone by a continuous stirred tank reactor (CSTR1) which must operate in a vapor-liquid phase, temperature 573.15 K, pressure 5 atm, condensed phase with a volume of 30 m</w:t>
      </w:r>
      <w:r w:rsidRPr="009C37F6">
        <w:rPr>
          <w:vertAlign w:val="superscript"/>
        </w:rPr>
        <w:t>3</w:t>
      </w:r>
      <w:r w:rsidRPr="00963282">
        <w:t>. The product vapor stream</w:t>
      </w:r>
      <w:r w:rsidR="00687264">
        <w:t xml:space="preserve"> (R1VAP)</w:t>
      </w:r>
      <w:r w:rsidRPr="00963282">
        <w:t xml:space="preserve"> from the CSTR1 reactor is transferred to a condenser (DISTIL) which recycles the unconverted monomer and water to the </w:t>
      </w:r>
      <w:r w:rsidR="0096760E">
        <w:t>feed</w:t>
      </w:r>
      <w:r w:rsidRPr="00963282">
        <w:t xml:space="preserve"> of the process and discards the excess water</w:t>
      </w:r>
      <w:r w:rsidR="00687264">
        <w:t xml:space="preserve"> (COND)</w:t>
      </w:r>
      <w:r w:rsidRPr="00963282">
        <w:t xml:space="preserve"> from the process</w:t>
      </w:r>
      <w:r w:rsidR="00687264">
        <w:t>. The product liquid stream (R1OLIGO) is transferred to the intermediate zone that</w:t>
      </w:r>
      <w:r w:rsidRPr="00963282">
        <w:t xml:space="preserve"> was simulated with a</w:t>
      </w:r>
      <w:r w:rsidR="0042774C">
        <w:t>nother</w:t>
      </w:r>
      <w:r w:rsidRPr="00963282">
        <w:t xml:space="preserve"> continuous stirred tank reactor (CSTR2) operating in a vapor-liquid phase, temperature 548.15 K, pressure 2 atm, and a condensed phase with a volume of 15 m</w:t>
      </w:r>
      <w:r w:rsidRPr="009C37F6">
        <w:rPr>
          <w:vertAlign w:val="superscript"/>
        </w:rPr>
        <w:t>3</w:t>
      </w:r>
      <w:r w:rsidRPr="00963282">
        <w:t xml:space="preserve">. The </w:t>
      </w:r>
      <w:r w:rsidR="00687264">
        <w:t>vapor</w:t>
      </w:r>
      <w:r w:rsidRPr="00963282">
        <w:t xml:space="preserve"> stream</w:t>
      </w:r>
      <w:r w:rsidR="00687264">
        <w:t xml:space="preserve"> (R2VAP)</w:t>
      </w:r>
      <w:r w:rsidRPr="00963282">
        <w:t xml:space="preserve"> from the CSTR2 is recycled directly to the </w:t>
      </w:r>
      <w:r w:rsidR="00E61F1A">
        <w:t>FEED</w:t>
      </w:r>
      <w:r w:rsidRPr="00963282">
        <w:t xml:space="preserve">. </w:t>
      </w:r>
      <w:r w:rsidR="00E61F1A">
        <w:t>The product liquid stream of the CSTR2 (R2OLIGO) is transferred to the</w:t>
      </w:r>
      <w:r w:rsidRPr="00963282">
        <w:t xml:space="preserve"> lower zone </w:t>
      </w:r>
      <w:r w:rsidR="00E61F1A">
        <w:t>that</w:t>
      </w:r>
      <w:r w:rsidRPr="00963282">
        <w:t xml:space="preserve"> was simulated with </w:t>
      </w:r>
      <w:r w:rsidRPr="0049153A">
        <w:t>a p</w:t>
      </w:r>
      <w:r w:rsidR="0049153A" w:rsidRPr="0049153A">
        <w:t>lug</w:t>
      </w:r>
      <w:r w:rsidRPr="00963282">
        <w:t xml:space="preserve"> flow reactor (PFR1) with a thermal fluid of constant temperature of 573.15 K and heat transfer of 0.7 J/s.m</w:t>
      </w:r>
      <w:r w:rsidRPr="009C37F6">
        <w:rPr>
          <w:vertAlign w:val="superscript"/>
        </w:rPr>
        <w:t>2</w:t>
      </w:r>
      <w:r w:rsidR="00927297">
        <w:t>.</w:t>
      </w:r>
      <w:r w:rsidRPr="00963282">
        <w:t xml:space="preserve">K. The dimensions of the </w:t>
      </w:r>
      <w:r w:rsidR="0049153A">
        <w:t>plug flow reactor</w:t>
      </w:r>
      <w:r w:rsidRPr="00963282">
        <w:t xml:space="preserve"> are 3 meters long and 0.125 meters in diameter.</w:t>
      </w:r>
      <w:r w:rsidR="00E61F1A">
        <w:t xml:space="preserve"> The product stream of the lower zone (POLY1) is the final product</w:t>
      </w:r>
      <w:r w:rsidRPr="00963282">
        <w:t xml:space="preserve"> </w:t>
      </w:r>
      <w:r w:rsidR="00E61F1A">
        <w:t xml:space="preserve">that contains the Nylon 12. </w:t>
      </w:r>
      <w:r w:rsidRPr="00963282">
        <w:t>The conditions of the main streams of the polymerization column are shown in Table 2.</w:t>
      </w:r>
    </w:p>
    <w:p w14:paraId="6C6EA785" w14:textId="40CC1E9C" w:rsidR="00E767F9" w:rsidRDefault="00E2013E" w:rsidP="00B9449C">
      <w:pPr>
        <w:pStyle w:val="CETCaption"/>
      </w:pPr>
      <w:r>
        <w:rPr>
          <w:noProof/>
          <w:lang w:val="it-IT" w:eastAsia="it-IT"/>
        </w:rPr>
        <w:drawing>
          <wp:inline distT="0" distB="0" distL="0" distR="0" wp14:anchorId="71BF0EE6" wp14:editId="13C0CB1C">
            <wp:extent cx="1769071" cy="2341418"/>
            <wp:effectExtent l="0" t="0" r="3175" b="1905"/>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pic:nvPicPr>
                  <pic:blipFill>
                    <a:blip r:embed="rId10"/>
                    <a:stretch>
                      <a:fillRect/>
                    </a:stretch>
                  </pic:blipFill>
                  <pic:spPr>
                    <a:xfrm>
                      <a:off x="0" y="0"/>
                      <a:ext cx="1793411" cy="2373633"/>
                    </a:xfrm>
                    <a:prstGeom prst="rect">
                      <a:avLst/>
                    </a:prstGeom>
                  </pic:spPr>
                </pic:pic>
              </a:graphicData>
            </a:graphic>
          </wp:inline>
        </w:drawing>
      </w:r>
    </w:p>
    <w:p w14:paraId="7C89B4BE" w14:textId="045C42C6" w:rsidR="00FF29CC" w:rsidRDefault="00E767F9" w:rsidP="00B9449C">
      <w:pPr>
        <w:pStyle w:val="CETCaption"/>
      </w:pPr>
      <w:r>
        <w:t xml:space="preserve">Figure </w:t>
      </w:r>
      <w:r>
        <w:fldChar w:fldCharType="begin"/>
      </w:r>
      <w:r>
        <w:instrText xml:space="preserve"> SEQ Figure \* ARABIC </w:instrText>
      </w:r>
      <w:r>
        <w:fldChar w:fldCharType="separate"/>
      </w:r>
      <w:r w:rsidR="00CD1D02">
        <w:rPr>
          <w:noProof/>
        </w:rPr>
        <w:t>1</w:t>
      </w:r>
      <w:r>
        <w:fldChar w:fldCharType="end"/>
      </w:r>
      <w:r>
        <w:t xml:space="preserve">: Hydrolytic </w:t>
      </w:r>
      <w:r w:rsidR="00281568">
        <w:t>ROP</w:t>
      </w:r>
      <w:r>
        <w:t xml:space="preserve"> process flowsheet</w:t>
      </w:r>
    </w:p>
    <w:p w14:paraId="3B5674F1" w14:textId="3EF7BFEC" w:rsidR="00E27CC1" w:rsidRPr="00B57B36" w:rsidRDefault="00E27CC1" w:rsidP="00E27CC1">
      <w:pPr>
        <w:pStyle w:val="CETTabletitle"/>
      </w:pPr>
      <w:r w:rsidRPr="00B57B36">
        <w:t xml:space="preserve">Table </w:t>
      </w:r>
      <w:r w:rsidR="00473675">
        <w:t>2</w:t>
      </w:r>
      <w:r w:rsidRPr="00B57B36">
        <w:t xml:space="preserve">: </w:t>
      </w:r>
      <w:r w:rsidR="00DF5AC4">
        <w:t>Main streams of flowsheet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032"/>
        <w:gridCol w:w="1032"/>
        <w:gridCol w:w="1032"/>
        <w:gridCol w:w="1032"/>
        <w:gridCol w:w="1032"/>
        <w:gridCol w:w="1032"/>
        <w:gridCol w:w="1032"/>
      </w:tblGrid>
      <w:tr w:rsidR="008B24C7" w:rsidRPr="00B57B36" w14:paraId="1F2E5522" w14:textId="16BEA55C" w:rsidTr="00147EAF">
        <w:tc>
          <w:tcPr>
            <w:tcW w:w="1418" w:type="dxa"/>
            <w:tcBorders>
              <w:top w:val="single" w:sz="12" w:space="0" w:color="008000"/>
              <w:bottom w:val="single" w:sz="6" w:space="0" w:color="008000"/>
            </w:tcBorders>
            <w:shd w:val="clear" w:color="auto" w:fill="FFFFFF"/>
          </w:tcPr>
          <w:p w14:paraId="7ED121AE" w14:textId="06E1A458" w:rsidR="008B24C7" w:rsidRPr="00831EE9" w:rsidRDefault="008B24C7" w:rsidP="00E27CC1">
            <w:pPr>
              <w:pStyle w:val="CETBodytext"/>
              <w:rPr>
                <w:rFonts w:cs="Arial"/>
                <w:szCs w:val="18"/>
                <w:lang w:val="en-GB"/>
              </w:rPr>
            </w:pPr>
            <w:r w:rsidRPr="00831EE9">
              <w:rPr>
                <w:rFonts w:cs="Arial"/>
                <w:szCs w:val="18"/>
                <w:lang w:val="en-GB"/>
              </w:rPr>
              <w:t>Properties</w:t>
            </w:r>
          </w:p>
        </w:tc>
        <w:tc>
          <w:tcPr>
            <w:tcW w:w="1032" w:type="dxa"/>
            <w:tcBorders>
              <w:top w:val="single" w:sz="12" w:space="0" w:color="008000"/>
              <w:bottom w:val="single" w:sz="6" w:space="0" w:color="008000"/>
            </w:tcBorders>
            <w:shd w:val="clear" w:color="auto" w:fill="FFFFFF"/>
          </w:tcPr>
          <w:p w14:paraId="38061223" w14:textId="243B4A06" w:rsidR="008B24C7" w:rsidRPr="00831EE9" w:rsidRDefault="008B24C7" w:rsidP="008B24C7">
            <w:pPr>
              <w:pStyle w:val="CETBodytext"/>
              <w:jc w:val="center"/>
              <w:rPr>
                <w:rFonts w:cs="Arial"/>
                <w:szCs w:val="18"/>
                <w:lang w:val="en-GB"/>
              </w:rPr>
            </w:pPr>
            <w:r w:rsidRPr="00831EE9">
              <w:rPr>
                <w:rFonts w:cs="Arial"/>
                <w:szCs w:val="18"/>
                <w:lang w:val="en-GB"/>
              </w:rPr>
              <w:t>FEED</w:t>
            </w:r>
          </w:p>
        </w:tc>
        <w:tc>
          <w:tcPr>
            <w:tcW w:w="1032" w:type="dxa"/>
            <w:tcBorders>
              <w:top w:val="single" w:sz="12" w:space="0" w:color="008000"/>
              <w:bottom w:val="single" w:sz="6" w:space="0" w:color="008000"/>
            </w:tcBorders>
            <w:shd w:val="clear" w:color="auto" w:fill="FFFFFF"/>
          </w:tcPr>
          <w:p w14:paraId="5BF2A15B" w14:textId="5CB9D876" w:rsidR="008B24C7" w:rsidRPr="00831EE9" w:rsidRDefault="008B24C7" w:rsidP="00891203">
            <w:pPr>
              <w:pStyle w:val="CETBodytext"/>
              <w:jc w:val="center"/>
              <w:rPr>
                <w:rFonts w:cs="Arial"/>
                <w:szCs w:val="18"/>
                <w:lang w:val="en-GB"/>
              </w:rPr>
            </w:pPr>
            <w:r w:rsidRPr="00831EE9">
              <w:rPr>
                <w:rFonts w:cs="Arial"/>
                <w:szCs w:val="18"/>
                <w:lang w:val="en-GB"/>
              </w:rPr>
              <w:t>R1OLIGO</w:t>
            </w:r>
          </w:p>
        </w:tc>
        <w:tc>
          <w:tcPr>
            <w:tcW w:w="1032" w:type="dxa"/>
            <w:tcBorders>
              <w:top w:val="single" w:sz="12" w:space="0" w:color="008000"/>
              <w:bottom w:val="single" w:sz="6" w:space="0" w:color="008000"/>
            </w:tcBorders>
            <w:shd w:val="clear" w:color="auto" w:fill="FFFFFF"/>
          </w:tcPr>
          <w:p w14:paraId="0624F555" w14:textId="0F52E6D7" w:rsidR="008B24C7" w:rsidRPr="00831EE9" w:rsidRDefault="008B24C7" w:rsidP="00891203">
            <w:pPr>
              <w:pStyle w:val="CETBodytext"/>
              <w:ind w:right="-1"/>
              <w:jc w:val="center"/>
              <w:rPr>
                <w:rFonts w:cs="Arial"/>
                <w:szCs w:val="18"/>
                <w:lang w:val="en-GB"/>
              </w:rPr>
            </w:pPr>
            <w:r w:rsidRPr="00831EE9">
              <w:rPr>
                <w:rFonts w:cs="Arial"/>
                <w:szCs w:val="18"/>
                <w:lang w:val="en-GB"/>
              </w:rPr>
              <w:t>R1VAP</w:t>
            </w:r>
          </w:p>
        </w:tc>
        <w:tc>
          <w:tcPr>
            <w:tcW w:w="1032" w:type="dxa"/>
            <w:tcBorders>
              <w:top w:val="single" w:sz="12" w:space="0" w:color="008000"/>
              <w:bottom w:val="single" w:sz="6" w:space="0" w:color="008000"/>
            </w:tcBorders>
            <w:shd w:val="clear" w:color="auto" w:fill="FFFFFF"/>
          </w:tcPr>
          <w:p w14:paraId="52E4661D" w14:textId="7A2CE6F4" w:rsidR="008B24C7" w:rsidRPr="00831EE9" w:rsidRDefault="008B24C7" w:rsidP="00891203">
            <w:pPr>
              <w:pStyle w:val="CETBodytext"/>
              <w:ind w:right="-1"/>
              <w:jc w:val="center"/>
              <w:rPr>
                <w:rFonts w:cs="Arial"/>
                <w:szCs w:val="18"/>
                <w:lang w:val="en-GB"/>
              </w:rPr>
            </w:pPr>
            <w:r w:rsidRPr="00831EE9">
              <w:rPr>
                <w:rFonts w:cs="Arial"/>
                <w:szCs w:val="18"/>
                <w:lang w:val="en-GB"/>
              </w:rPr>
              <w:t>COND</w:t>
            </w:r>
          </w:p>
        </w:tc>
        <w:tc>
          <w:tcPr>
            <w:tcW w:w="1032" w:type="dxa"/>
            <w:tcBorders>
              <w:top w:val="single" w:sz="12" w:space="0" w:color="008000"/>
              <w:bottom w:val="single" w:sz="6" w:space="0" w:color="008000"/>
            </w:tcBorders>
            <w:shd w:val="clear" w:color="auto" w:fill="FFFFFF"/>
          </w:tcPr>
          <w:p w14:paraId="2ADA7A43" w14:textId="26F11EF3" w:rsidR="008B24C7" w:rsidRPr="00831EE9" w:rsidRDefault="008B24C7" w:rsidP="00891203">
            <w:pPr>
              <w:pStyle w:val="CETBodytext"/>
              <w:ind w:right="-1"/>
              <w:jc w:val="center"/>
              <w:rPr>
                <w:rFonts w:cs="Arial"/>
                <w:szCs w:val="18"/>
                <w:lang w:val="en-GB"/>
              </w:rPr>
            </w:pPr>
            <w:r w:rsidRPr="00831EE9">
              <w:rPr>
                <w:rFonts w:cs="Arial"/>
                <w:szCs w:val="18"/>
                <w:lang w:val="en-GB"/>
              </w:rPr>
              <w:t>R2OLIGO</w:t>
            </w:r>
          </w:p>
        </w:tc>
        <w:tc>
          <w:tcPr>
            <w:tcW w:w="1032" w:type="dxa"/>
            <w:tcBorders>
              <w:top w:val="single" w:sz="12" w:space="0" w:color="008000"/>
              <w:bottom w:val="single" w:sz="6" w:space="0" w:color="008000"/>
            </w:tcBorders>
            <w:shd w:val="clear" w:color="auto" w:fill="FFFFFF"/>
          </w:tcPr>
          <w:p w14:paraId="4E73E46B" w14:textId="023F5C04" w:rsidR="008B24C7" w:rsidRPr="00831EE9" w:rsidRDefault="008B24C7" w:rsidP="00891203">
            <w:pPr>
              <w:pStyle w:val="CETBodytext"/>
              <w:ind w:right="-1"/>
              <w:jc w:val="center"/>
              <w:rPr>
                <w:rFonts w:cs="Arial"/>
                <w:szCs w:val="18"/>
                <w:lang w:val="en-GB"/>
              </w:rPr>
            </w:pPr>
            <w:r w:rsidRPr="00831EE9">
              <w:rPr>
                <w:rFonts w:cs="Arial"/>
                <w:szCs w:val="18"/>
                <w:lang w:val="en-GB"/>
              </w:rPr>
              <w:t>R2VAP</w:t>
            </w:r>
          </w:p>
        </w:tc>
        <w:tc>
          <w:tcPr>
            <w:tcW w:w="1032" w:type="dxa"/>
            <w:tcBorders>
              <w:top w:val="single" w:sz="12" w:space="0" w:color="008000"/>
              <w:bottom w:val="single" w:sz="6" w:space="0" w:color="008000"/>
            </w:tcBorders>
            <w:shd w:val="clear" w:color="auto" w:fill="FFFFFF"/>
          </w:tcPr>
          <w:p w14:paraId="4F0EC28C" w14:textId="41E753B9" w:rsidR="008B24C7" w:rsidRPr="00831EE9" w:rsidRDefault="008B24C7" w:rsidP="00891203">
            <w:pPr>
              <w:pStyle w:val="CETBodytext"/>
              <w:ind w:right="-1"/>
              <w:jc w:val="center"/>
              <w:rPr>
                <w:rFonts w:cs="Arial"/>
                <w:szCs w:val="18"/>
                <w:lang w:val="en-GB"/>
              </w:rPr>
            </w:pPr>
            <w:r w:rsidRPr="00831EE9">
              <w:rPr>
                <w:rFonts w:cs="Arial"/>
                <w:szCs w:val="18"/>
                <w:lang w:val="en-GB"/>
              </w:rPr>
              <w:t>POLY1</w:t>
            </w:r>
          </w:p>
        </w:tc>
      </w:tr>
      <w:tr w:rsidR="00831EE9" w:rsidRPr="00B57B36" w14:paraId="6AF93C67" w14:textId="3485BA80" w:rsidTr="00147EAF">
        <w:tc>
          <w:tcPr>
            <w:tcW w:w="1418" w:type="dxa"/>
            <w:shd w:val="clear" w:color="auto" w:fill="FFFFFF"/>
          </w:tcPr>
          <w:p w14:paraId="4F84B0B9" w14:textId="7ACE6DD8" w:rsidR="00831EE9" w:rsidRPr="00831EE9" w:rsidRDefault="00831EE9" w:rsidP="00831EE9">
            <w:pPr>
              <w:pStyle w:val="CETBodytext"/>
              <w:rPr>
                <w:rFonts w:cs="Arial"/>
                <w:szCs w:val="18"/>
                <w:lang w:val="en-GB"/>
              </w:rPr>
            </w:pPr>
            <w:r w:rsidRPr="00831EE9">
              <w:rPr>
                <w:rFonts w:cs="Arial"/>
                <w:szCs w:val="18"/>
                <w:lang w:val="en-GB"/>
              </w:rPr>
              <w:t>Temperature [K]</w:t>
            </w:r>
          </w:p>
        </w:tc>
        <w:tc>
          <w:tcPr>
            <w:tcW w:w="1032" w:type="dxa"/>
            <w:tcBorders>
              <w:top w:val="nil"/>
              <w:left w:val="nil"/>
              <w:bottom w:val="nil"/>
              <w:right w:val="nil"/>
            </w:tcBorders>
            <w:shd w:val="clear" w:color="auto" w:fill="auto"/>
            <w:vAlign w:val="center"/>
          </w:tcPr>
          <w:p w14:paraId="307C8BF7" w14:textId="31F35D83" w:rsidR="00831EE9" w:rsidRPr="00831EE9" w:rsidRDefault="00831EE9" w:rsidP="00831EE9">
            <w:pPr>
              <w:pStyle w:val="CETBodytext"/>
              <w:jc w:val="center"/>
              <w:rPr>
                <w:rFonts w:cs="Arial"/>
                <w:szCs w:val="18"/>
                <w:lang w:val="en-GB"/>
              </w:rPr>
            </w:pPr>
            <w:r w:rsidRPr="00831EE9">
              <w:rPr>
                <w:rFonts w:cs="Arial"/>
                <w:color w:val="000000"/>
                <w:szCs w:val="18"/>
              </w:rPr>
              <w:t>523</w:t>
            </w:r>
            <w:r w:rsidR="00E21AF5">
              <w:rPr>
                <w:rFonts w:cs="Arial"/>
                <w:color w:val="000000"/>
                <w:szCs w:val="18"/>
              </w:rPr>
              <w:t>.</w:t>
            </w:r>
            <w:r w:rsidRPr="00831EE9">
              <w:rPr>
                <w:rFonts w:cs="Arial"/>
                <w:color w:val="000000"/>
                <w:szCs w:val="18"/>
              </w:rPr>
              <w:t>00</w:t>
            </w:r>
          </w:p>
        </w:tc>
        <w:tc>
          <w:tcPr>
            <w:tcW w:w="1032" w:type="dxa"/>
            <w:tcBorders>
              <w:top w:val="nil"/>
              <w:left w:val="nil"/>
              <w:bottom w:val="nil"/>
              <w:right w:val="nil"/>
            </w:tcBorders>
            <w:shd w:val="clear" w:color="auto" w:fill="auto"/>
            <w:vAlign w:val="center"/>
          </w:tcPr>
          <w:p w14:paraId="351245A4" w14:textId="1263D07F" w:rsidR="00831EE9" w:rsidRPr="00831EE9" w:rsidRDefault="00831EE9" w:rsidP="00831EE9">
            <w:pPr>
              <w:pStyle w:val="CETBodytext"/>
              <w:jc w:val="center"/>
              <w:rPr>
                <w:rFonts w:cs="Arial"/>
                <w:szCs w:val="18"/>
                <w:lang w:val="en-GB"/>
              </w:rPr>
            </w:pPr>
            <w:r w:rsidRPr="00831EE9">
              <w:rPr>
                <w:rFonts w:cs="Arial"/>
                <w:color w:val="000000"/>
                <w:szCs w:val="18"/>
              </w:rPr>
              <w:t>573</w:t>
            </w:r>
            <w:r w:rsidR="00F27656">
              <w:rPr>
                <w:rFonts w:cs="Arial"/>
                <w:color w:val="000000"/>
                <w:szCs w:val="18"/>
              </w:rPr>
              <w:t>.</w:t>
            </w:r>
            <w:r w:rsidRPr="00831EE9">
              <w:rPr>
                <w:rFonts w:cs="Arial"/>
                <w:color w:val="000000"/>
                <w:szCs w:val="18"/>
              </w:rPr>
              <w:t>15</w:t>
            </w:r>
          </w:p>
        </w:tc>
        <w:tc>
          <w:tcPr>
            <w:tcW w:w="1032" w:type="dxa"/>
            <w:tcBorders>
              <w:top w:val="nil"/>
              <w:left w:val="nil"/>
              <w:bottom w:val="nil"/>
              <w:right w:val="nil"/>
            </w:tcBorders>
            <w:shd w:val="clear" w:color="auto" w:fill="auto"/>
            <w:vAlign w:val="center"/>
          </w:tcPr>
          <w:p w14:paraId="1906864A" w14:textId="335E21C2" w:rsidR="00831EE9" w:rsidRPr="00831EE9" w:rsidRDefault="00831EE9" w:rsidP="00831EE9">
            <w:pPr>
              <w:pStyle w:val="CETBodytext"/>
              <w:ind w:right="-1"/>
              <w:jc w:val="center"/>
              <w:rPr>
                <w:rFonts w:cs="Arial"/>
                <w:szCs w:val="18"/>
                <w:lang w:val="en-GB"/>
              </w:rPr>
            </w:pPr>
            <w:r w:rsidRPr="00831EE9">
              <w:rPr>
                <w:rFonts w:cs="Arial"/>
                <w:color w:val="000000"/>
                <w:szCs w:val="18"/>
              </w:rPr>
              <w:t>573</w:t>
            </w:r>
            <w:r w:rsidR="00F27656">
              <w:rPr>
                <w:rFonts w:cs="Arial"/>
                <w:color w:val="000000"/>
                <w:szCs w:val="18"/>
              </w:rPr>
              <w:t>.</w:t>
            </w:r>
            <w:r w:rsidRPr="00831EE9">
              <w:rPr>
                <w:rFonts w:cs="Arial"/>
                <w:color w:val="000000"/>
                <w:szCs w:val="18"/>
              </w:rPr>
              <w:t>15</w:t>
            </w:r>
          </w:p>
        </w:tc>
        <w:tc>
          <w:tcPr>
            <w:tcW w:w="1032" w:type="dxa"/>
            <w:tcBorders>
              <w:top w:val="nil"/>
              <w:left w:val="nil"/>
              <w:bottom w:val="nil"/>
              <w:right w:val="nil"/>
            </w:tcBorders>
            <w:shd w:val="clear" w:color="auto" w:fill="auto"/>
            <w:vAlign w:val="center"/>
          </w:tcPr>
          <w:p w14:paraId="2A5A72F7" w14:textId="0F0E5FF4" w:rsidR="00831EE9" w:rsidRPr="00831EE9" w:rsidRDefault="00831EE9" w:rsidP="00831EE9">
            <w:pPr>
              <w:pStyle w:val="CETBodytext"/>
              <w:ind w:right="-1"/>
              <w:jc w:val="center"/>
              <w:rPr>
                <w:rFonts w:cs="Arial"/>
                <w:szCs w:val="18"/>
                <w:lang w:val="en-GB"/>
              </w:rPr>
            </w:pPr>
            <w:r w:rsidRPr="00831EE9">
              <w:rPr>
                <w:rFonts w:cs="Arial"/>
                <w:color w:val="000000"/>
                <w:szCs w:val="18"/>
              </w:rPr>
              <w:t>373</w:t>
            </w:r>
            <w:r w:rsidR="00E21AF5">
              <w:rPr>
                <w:rFonts w:cs="Arial"/>
                <w:color w:val="000000"/>
                <w:szCs w:val="18"/>
              </w:rPr>
              <w:t>.</w:t>
            </w:r>
            <w:r w:rsidRPr="00831EE9">
              <w:rPr>
                <w:rFonts w:cs="Arial"/>
                <w:color w:val="000000"/>
                <w:szCs w:val="18"/>
              </w:rPr>
              <w:t>17</w:t>
            </w:r>
          </w:p>
        </w:tc>
        <w:tc>
          <w:tcPr>
            <w:tcW w:w="1032" w:type="dxa"/>
            <w:tcBorders>
              <w:top w:val="nil"/>
              <w:left w:val="nil"/>
              <w:bottom w:val="nil"/>
              <w:right w:val="nil"/>
            </w:tcBorders>
            <w:shd w:val="clear" w:color="auto" w:fill="auto"/>
            <w:vAlign w:val="center"/>
          </w:tcPr>
          <w:p w14:paraId="09507D32" w14:textId="5402846E" w:rsidR="00831EE9" w:rsidRPr="00831EE9" w:rsidRDefault="00831EE9" w:rsidP="00831EE9">
            <w:pPr>
              <w:pStyle w:val="CETBodytext"/>
              <w:ind w:right="-1"/>
              <w:jc w:val="center"/>
              <w:rPr>
                <w:rFonts w:cs="Arial"/>
                <w:szCs w:val="18"/>
                <w:lang w:val="en-GB"/>
              </w:rPr>
            </w:pPr>
            <w:r w:rsidRPr="00831EE9">
              <w:rPr>
                <w:rFonts w:cs="Arial"/>
                <w:color w:val="000000"/>
                <w:szCs w:val="18"/>
              </w:rPr>
              <w:t>548</w:t>
            </w:r>
            <w:r w:rsidR="00E21AF5">
              <w:rPr>
                <w:rFonts w:cs="Arial"/>
                <w:color w:val="000000"/>
                <w:szCs w:val="18"/>
              </w:rPr>
              <w:t>.</w:t>
            </w:r>
            <w:r w:rsidRPr="00831EE9">
              <w:rPr>
                <w:rFonts w:cs="Arial"/>
                <w:color w:val="000000"/>
                <w:szCs w:val="18"/>
              </w:rPr>
              <w:t>15</w:t>
            </w:r>
          </w:p>
        </w:tc>
        <w:tc>
          <w:tcPr>
            <w:tcW w:w="1032" w:type="dxa"/>
            <w:tcBorders>
              <w:top w:val="nil"/>
              <w:left w:val="nil"/>
              <w:bottom w:val="nil"/>
              <w:right w:val="nil"/>
            </w:tcBorders>
            <w:shd w:val="clear" w:color="auto" w:fill="auto"/>
            <w:vAlign w:val="center"/>
          </w:tcPr>
          <w:p w14:paraId="70FA0EB6" w14:textId="60B9CD4E" w:rsidR="00831EE9" w:rsidRPr="00831EE9" w:rsidRDefault="00831EE9" w:rsidP="00831EE9">
            <w:pPr>
              <w:pStyle w:val="CETBodytext"/>
              <w:ind w:right="-1"/>
              <w:jc w:val="center"/>
              <w:rPr>
                <w:rFonts w:cs="Arial"/>
                <w:szCs w:val="18"/>
                <w:lang w:val="en-GB"/>
              </w:rPr>
            </w:pPr>
            <w:r w:rsidRPr="00831EE9">
              <w:rPr>
                <w:rFonts w:cs="Arial"/>
                <w:color w:val="000000"/>
                <w:szCs w:val="18"/>
              </w:rPr>
              <w:t>548</w:t>
            </w:r>
            <w:r w:rsidR="00E21AF5">
              <w:rPr>
                <w:rFonts w:cs="Arial"/>
                <w:color w:val="000000"/>
                <w:szCs w:val="18"/>
              </w:rPr>
              <w:t>.</w:t>
            </w:r>
            <w:r w:rsidRPr="00831EE9">
              <w:rPr>
                <w:rFonts w:cs="Arial"/>
                <w:color w:val="000000"/>
                <w:szCs w:val="18"/>
              </w:rPr>
              <w:t>15</w:t>
            </w:r>
          </w:p>
        </w:tc>
        <w:tc>
          <w:tcPr>
            <w:tcW w:w="1032" w:type="dxa"/>
            <w:tcBorders>
              <w:top w:val="nil"/>
              <w:left w:val="nil"/>
              <w:bottom w:val="nil"/>
              <w:right w:val="nil"/>
            </w:tcBorders>
            <w:shd w:val="clear" w:color="auto" w:fill="auto"/>
            <w:vAlign w:val="center"/>
          </w:tcPr>
          <w:p w14:paraId="4413586C" w14:textId="3EDFBF62" w:rsidR="00831EE9" w:rsidRPr="00831EE9" w:rsidRDefault="00831EE9" w:rsidP="00831EE9">
            <w:pPr>
              <w:pStyle w:val="CETBodytext"/>
              <w:ind w:right="-1"/>
              <w:jc w:val="center"/>
              <w:rPr>
                <w:rFonts w:cs="Arial"/>
                <w:szCs w:val="18"/>
                <w:lang w:val="en-GB"/>
              </w:rPr>
            </w:pPr>
            <w:r w:rsidRPr="00831EE9">
              <w:rPr>
                <w:rFonts w:cs="Arial"/>
                <w:color w:val="000000"/>
                <w:szCs w:val="18"/>
              </w:rPr>
              <w:t>547</w:t>
            </w:r>
            <w:r w:rsidR="00E21AF5">
              <w:rPr>
                <w:rFonts w:cs="Arial"/>
                <w:color w:val="000000"/>
                <w:szCs w:val="18"/>
              </w:rPr>
              <w:t>.</w:t>
            </w:r>
            <w:r w:rsidRPr="00831EE9">
              <w:rPr>
                <w:rFonts w:cs="Arial"/>
                <w:color w:val="000000"/>
                <w:szCs w:val="18"/>
              </w:rPr>
              <w:t>24</w:t>
            </w:r>
          </w:p>
        </w:tc>
      </w:tr>
      <w:tr w:rsidR="00831EE9" w:rsidRPr="00B57B36" w14:paraId="5E49A1C3" w14:textId="77777777" w:rsidTr="00147EAF">
        <w:tc>
          <w:tcPr>
            <w:tcW w:w="1418" w:type="dxa"/>
            <w:shd w:val="clear" w:color="auto" w:fill="FFFFFF"/>
          </w:tcPr>
          <w:p w14:paraId="752AC6FF" w14:textId="47BF2D8C" w:rsidR="00831EE9" w:rsidRPr="00831EE9" w:rsidRDefault="00831EE9" w:rsidP="00831EE9">
            <w:pPr>
              <w:pStyle w:val="CETBodytext"/>
              <w:ind w:right="-1"/>
              <w:rPr>
                <w:rFonts w:cs="Arial"/>
                <w:szCs w:val="18"/>
                <w:lang w:val="en-GB"/>
              </w:rPr>
            </w:pPr>
            <w:r w:rsidRPr="00831EE9">
              <w:rPr>
                <w:rFonts w:cs="Arial"/>
                <w:szCs w:val="18"/>
                <w:lang w:val="en-GB"/>
              </w:rPr>
              <w:t>Pressure [atm]</w:t>
            </w:r>
          </w:p>
        </w:tc>
        <w:tc>
          <w:tcPr>
            <w:tcW w:w="1032" w:type="dxa"/>
            <w:tcBorders>
              <w:top w:val="nil"/>
              <w:left w:val="nil"/>
              <w:bottom w:val="nil"/>
              <w:right w:val="nil"/>
            </w:tcBorders>
            <w:shd w:val="clear" w:color="auto" w:fill="auto"/>
            <w:vAlign w:val="center"/>
          </w:tcPr>
          <w:p w14:paraId="052124B2" w14:textId="4CDE9D92" w:rsidR="00831EE9" w:rsidRPr="00831EE9" w:rsidRDefault="00831EE9" w:rsidP="00831EE9">
            <w:pPr>
              <w:pStyle w:val="CETBodytext"/>
              <w:ind w:right="-1"/>
              <w:jc w:val="center"/>
              <w:rPr>
                <w:rFonts w:cs="Arial"/>
                <w:szCs w:val="18"/>
                <w:lang w:val="en-GB"/>
              </w:rPr>
            </w:pPr>
            <w:r w:rsidRPr="00831EE9">
              <w:rPr>
                <w:rFonts w:cs="Arial"/>
                <w:color w:val="000000"/>
                <w:szCs w:val="18"/>
              </w:rPr>
              <w:t>1</w:t>
            </w:r>
          </w:p>
        </w:tc>
        <w:tc>
          <w:tcPr>
            <w:tcW w:w="1032" w:type="dxa"/>
            <w:tcBorders>
              <w:top w:val="nil"/>
              <w:left w:val="nil"/>
              <w:bottom w:val="nil"/>
              <w:right w:val="nil"/>
            </w:tcBorders>
            <w:shd w:val="clear" w:color="auto" w:fill="auto"/>
            <w:vAlign w:val="center"/>
          </w:tcPr>
          <w:p w14:paraId="63897509" w14:textId="7518D7C7" w:rsidR="00831EE9" w:rsidRPr="00831EE9" w:rsidRDefault="00831EE9" w:rsidP="00831EE9">
            <w:pPr>
              <w:pStyle w:val="CETBodytext"/>
              <w:ind w:right="-1"/>
              <w:jc w:val="center"/>
              <w:rPr>
                <w:rFonts w:cs="Arial"/>
                <w:szCs w:val="18"/>
                <w:lang w:val="en-GB"/>
              </w:rPr>
            </w:pPr>
            <w:r w:rsidRPr="00831EE9">
              <w:rPr>
                <w:rFonts w:cs="Arial"/>
                <w:color w:val="000000"/>
                <w:szCs w:val="18"/>
              </w:rPr>
              <w:t>5</w:t>
            </w:r>
          </w:p>
        </w:tc>
        <w:tc>
          <w:tcPr>
            <w:tcW w:w="1032" w:type="dxa"/>
            <w:tcBorders>
              <w:top w:val="nil"/>
              <w:left w:val="nil"/>
              <w:bottom w:val="nil"/>
              <w:right w:val="nil"/>
            </w:tcBorders>
            <w:shd w:val="clear" w:color="auto" w:fill="auto"/>
            <w:vAlign w:val="center"/>
          </w:tcPr>
          <w:p w14:paraId="2B5BD933" w14:textId="551AE900" w:rsidR="00831EE9" w:rsidRPr="00831EE9" w:rsidRDefault="00831EE9" w:rsidP="00831EE9">
            <w:pPr>
              <w:pStyle w:val="CETBodytext"/>
              <w:ind w:right="-1"/>
              <w:jc w:val="center"/>
              <w:rPr>
                <w:rFonts w:cs="Arial"/>
                <w:szCs w:val="18"/>
                <w:lang w:val="en-GB"/>
              </w:rPr>
            </w:pPr>
            <w:r w:rsidRPr="00831EE9">
              <w:rPr>
                <w:rFonts w:cs="Arial"/>
                <w:color w:val="000000"/>
                <w:szCs w:val="18"/>
              </w:rPr>
              <w:t>5</w:t>
            </w:r>
          </w:p>
        </w:tc>
        <w:tc>
          <w:tcPr>
            <w:tcW w:w="1032" w:type="dxa"/>
            <w:tcBorders>
              <w:top w:val="nil"/>
              <w:left w:val="nil"/>
              <w:bottom w:val="nil"/>
              <w:right w:val="nil"/>
            </w:tcBorders>
            <w:shd w:val="clear" w:color="auto" w:fill="auto"/>
            <w:vAlign w:val="center"/>
          </w:tcPr>
          <w:p w14:paraId="7DA847D3" w14:textId="04697AA6" w:rsidR="00831EE9" w:rsidRPr="00831EE9" w:rsidRDefault="00831EE9" w:rsidP="00831EE9">
            <w:pPr>
              <w:pStyle w:val="CETBodytext"/>
              <w:ind w:right="-1"/>
              <w:jc w:val="center"/>
              <w:rPr>
                <w:rFonts w:cs="Arial"/>
                <w:szCs w:val="18"/>
                <w:lang w:val="en-GB"/>
              </w:rPr>
            </w:pPr>
            <w:r w:rsidRPr="00831EE9">
              <w:rPr>
                <w:rFonts w:cs="Arial"/>
                <w:color w:val="000000"/>
                <w:szCs w:val="18"/>
              </w:rPr>
              <w:t>1</w:t>
            </w:r>
          </w:p>
        </w:tc>
        <w:tc>
          <w:tcPr>
            <w:tcW w:w="1032" w:type="dxa"/>
            <w:tcBorders>
              <w:top w:val="nil"/>
              <w:left w:val="nil"/>
              <w:bottom w:val="nil"/>
              <w:right w:val="nil"/>
            </w:tcBorders>
            <w:shd w:val="clear" w:color="auto" w:fill="auto"/>
            <w:vAlign w:val="center"/>
          </w:tcPr>
          <w:p w14:paraId="3BD862BD" w14:textId="5D92D705" w:rsidR="00831EE9" w:rsidRPr="00831EE9" w:rsidRDefault="00831EE9" w:rsidP="00831EE9">
            <w:pPr>
              <w:pStyle w:val="CETBodytext"/>
              <w:ind w:right="-1"/>
              <w:jc w:val="center"/>
              <w:rPr>
                <w:rFonts w:cs="Arial"/>
                <w:szCs w:val="18"/>
                <w:lang w:val="en-GB"/>
              </w:rPr>
            </w:pPr>
            <w:r w:rsidRPr="00831EE9">
              <w:rPr>
                <w:rFonts w:cs="Arial"/>
                <w:color w:val="000000"/>
                <w:szCs w:val="18"/>
              </w:rPr>
              <w:t>2</w:t>
            </w:r>
          </w:p>
        </w:tc>
        <w:tc>
          <w:tcPr>
            <w:tcW w:w="1032" w:type="dxa"/>
            <w:tcBorders>
              <w:top w:val="nil"/>
              <w:left w:val="nil"/>
              <w:bottom w:val="nil"/>
              <w:right w:val="nil"/>
            </w:tcBorders>
            <w:shd w:val="clear" w:color="auto" w:fill="auto"/>
            <w:vAlign w:val="center"/>
          </w:tcPr>
          <w:p w14:paraId="7750B483" w14:textId="654FB4CE" w:rsidR="00831EE9" w:rsidRPr="00831EE9" w:rsidRDefault="00831EE9" w:rsidP="00831EE9">
            <w:pPr>
              <w:pStyle w:val="CETBodytext"/>
              <w:ind w:right="-1"/>
              <w:jc w:val="center"/>
              <w:rPr>
                <w:rFonts w:cs="Arial"/>
                <w:szCs w:val="18"/>
                <w:lang w:val="en-GB"/>
              </w:rPr>
            </w:pPr>
            <w:r w:rsidRPr="00831EE9">
              <w:rPr>
                <w:rFonts w:cs="Arial"/>
                <w:color w:val="000000"/>
                <w:szCs w:val="18"/>
              </w:rPr>
              <w:t>2</w:t>
            </w:r>
          </w:p>
        </w:tc>
        <w:tc>
          <w:tcPr>
            <w:tcW w:w="1032" w:type="dxa"/>
            <w:tcBorders>
              <w:top w:val="nil"/>
              <w:left w:val="nil"/>
              <w:bottom w:val="nil"/>
              <w:right w:val="nil"/>
            </w:tcBorders>
            <w:shd w:val="clear" w:color="auto" w:fill="auto"/>
            <w:vAlign w:val="center"/>
          </w:tcPr>
          <w:p w14:paraId="6E2A0D35" w14:textId="3DD82272" w:rsidR="00831EE9" w:rsidRPr="00831EE9" w:rsidRDefault="00831EE9" w:rsidP="00831EE9">
            <w:pPr>
              <w:pStyle w:val="CETBodytext"/>
              <w:ind w:right="-1"/>
              <w:jc w:val="center"/>
              <w:rPr>
                <w:rFonts w:cs="Arial"/>
                <w:szCs w:val="18"/>
                <w:lang w:val="en-GB"/>
              </w:rPr>
            </w:pPr>
            <w:r w:rsidRPr="00831EE9">
              <w:rPr>
                <w:rFonts w:cs="Arial"/>
                <w:color w:val="000000"/>
                <w:szCs w:val="18"/>
              </w:rPr>
              <w:t>2</w:t>
            </w:r>
          </w:p>
        </w:tc>
      </w:tr>
      <w:tr w:rsidR="00831EE9" w:rsidRPr="00B57B36" w14:paraId="05D74675" w14:textId="77777777" w:rsidTr="00147EAF">
        <w:tc>
          <w:tcPr>
            <w:tcW w:w="1418" w:type="dxa"/>
            <w:shd w:val="clear" w:color="auto" w:fill="FFFFFF"/>
          </w:tcPr>
          <w:p w14:paraId="49CFAB41" w14:textId="13CC1739" w:rsidR="00831EE9" w:rsidRPr="00831EE9" w:rsidRDefault="00831EE9" w:rsidP="00831EE9">
            <w:pPr>
              <w:pStyle w:val="CETBodytext"/>
              <w:ind w:right="-1"/>
              <w:rPr>
                <w:rFonts w:cs="Arial"/>
                <w:szCs w:val="18"/>
                <w:lang w:val="en-GB"/>
              </w:rPr>
            </w:pPr>
            <w:r w:rsidRPr="00831EE9">
              <w:rPr>
                <w:rFonts w:cs="Arial"/>
                <w:szCs w:val="18"/>
                <w:lang w:val="en-GB"/>
              </w:rPr>
              <w:t>LL [kg/h]</w:t>
            </w:r>
          </w:p>
        </w:tc>
        <w:tc>
          <w:tcPr>
            <w:tcW w:w="1032" w:type="dxa"/>
            <w:tcBorders>
              <w:top w:val="nil"/>
              <w:left w:val="nil"/>
              <w:bottom w:val="nil"/>
              <w:right w:val="nil"/>
            </w:tcBorders>
            <w:shd w:val="clear" w:color="auto" w:fill="auto"/>
            <w:vAlign w:val="center"/>
          </w:tcPr>
          <w:p w14:paraId="3EE9A84B" w14:textId="0ABAB9A6" w:rsidR="00831EE9" w:rsidRPr="00831EE9" w:rsidRDefault="00831EE9" w:rsidP="00831EE9">
            <w:pPr>
              <w:pStyle w:val="CETBodytext"/>
              <w:ind w:right="-1"/>
              <w:jc w:val="center"/>
              <w:rPr>
                <w:rFonts w:cs="Arial"/>
                <w:szCs w:val="18"/>
                <w:lang w:val="en-GB"/>
              </w:rPr>
            </w:pPr>
            <w:r w:rsidRPr="00831EE9">
              <w:rPr>
                <w:rFonts w:cs="Arial"/>
                <w:color w:val="000000"/>
                <w:szCs w:val="18"/>
              </w:rPr>
              <w:t>7</w:t>
            </w:r>
            <w:r w:rsidR="00F27656">
              <w:rPr>
                <w:rFonts w:cs="Arial"/>
                <w:color w:val="000000"/>
                <w:szCs w:val="18"/>
              </w:rPr>
              <w:t>.</w:t>
            </w:r>
            <w:r w:rsidRPr="00831EE9">
              <w:rPr>
                <w:rFonts w:cs="Arial"/>
                <w:color w:val="000000"/>
                <w:szCs w:val="18"/>
              </w:rPr>
              <w:t>2692</w:t>
            </w:r>
          </w:p>
        </w:tc>
        <w:tc>
          <w:tcPr>
            <w:tcW w:w="1032" w:type="dxa"/>
            <w:tcBorders>
              <w:top w:val="nil"/>
              <w:left w:val="nil"/>
              <w:bottom w:val="nil"/>
              <w:right w:val="nil"/>
            </w:tcBorders>
            <w:shd w:val="clear" w:color="auto" w:fill="auto"/>
            <w:vAlign w:val="center"/>
          </w:tcPr>
          <w:p w14:paraId="24EA0A42" w14:textId="7EA8DD31"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851</w:t>
            </w:r>
          </w:p>
        </w:tc>
        <w:tc>
          <w:tcPr>
            <w:tcW w:w="1032" w:type="dxa"/>
            <w:tcBorders>
              <w:top w:val="nil"/>
              <w:left w:val="nil"/>
              <w:bottom w:val="nil"/>
              <w:right w:val="nil"/>
            </w:tcBorders>
            <w:shd w:val="clear" w:color="auto" w:fill="auto"/>
            <w:vAlign w:val="center"/>
          </w:tcPr>
          <w:p w14:paraId="4198449E" w14:textId="22AF5079"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0284</w:t>
            </w:r>
          </w:p>
        </w:tc>
        <w:tc>
          <w:tcPr>
            <w:tcW w:w="1032" w:type="dxa"/>
            <w:tcBorders>
              <w:top w:val="nil"/>
              <w:left w:val="nil"/>
              <w:bottom w:val="nil"/>
              <w:right w:val="nil"/>
            </w:tcBorders>
            <w:shd w:val="clear" w:color="auto" w:fill="auto"/>
            <w:vAlign w:val="center"/>
          </w:tcPr>
          <w:p w14:paraId="098D358C" w14:textId="1E581298"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094BEEAA" w14:textId="1CC25071"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5652</w:t>
            </w:r>
          </w:p>
        </w:tc>
        <w:tc>
          <w:tcPr>
            <w:tcW w:w="1032" w:type="dxa"/>
            <w:tcBorders>
              <w:top w:val="nil"/>
              <w:left w:val="nil"/>
              <w:bottom w:val="nil"/>
              <w:right w:val="nil"/>
            </w:tcBorders>
            <w:shd w:val="clear" w:color="auto" w:fill="auto"/>
            <w:vAlign w:val="center"/>
          </w:tcPr>
          <w:p w14:paraId="410FA914" w14:textId="2C385E8B"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0017</w:t>
            </w:r>
          </w:p>
        </w:tc>
        <w:tc>
          <w:tcPr>
            <w:tcW w:w="1032" w:type="dxa"/>
            <w:tcBorders>
              <w:top w:val="nil"/>
              <w:left w:val="nil"/>
              <w:bottom w:val="nil"/>
              <w:right w:val="nil"/>
            </w:tcBorders>
            <w:shd w:val="clear" w:color="auto" w:fill="auto"/>
            <w:vAlign w:val="center"/>
          </w:tcPr>
          <w:p w14:paraId="10D63C62" w14:textId="1613C008"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4033</w:t>
            </w:r>
          </w:p>
        </w:tc>
      </w:tr>
      <w:tr w:rsidR="00831EE9" w:rsidRPr="00B57B36" w14:paraId="33F264EB" w14:textId="77777777" w:rsidTr="00147EAF">
        <w:tc>
          <w:tcPr>
            <w:tcW w:w="1418" w:type="dxa"/>
            <w:shd w:val="clear" w:color="auto" w:fill="FFFFFF"/>
          </w:tcPr>
          <w:p w14:paraId="491D8B6A" w14:textId="278F1742" w:rsidR="00831EE9" w:rsidRPr="00831EE9" w:rsidRDefault="00831EE9" w:rsidP="00831EE9">
            <w:pPr>
              <w:pStyle w:val="CETBodytext"/>
              <w:ind w:right="-1"/>
              <w:rPr>
                <w:rFonts w:cs="Arial"/>
                <w:szCs w:val="18"/>
                <w:lang w:val="en-GB"/>
              </w:rPr>
            </w:pPr>
            <w:r w:rsidRPr="00831EE9">
              <w:rPr>
                <w:rFonts w:cs="Arial"/>
                <w:szCs w:val="18"/>
                <w:lang w:val="en-GB"/>
              </w:rPr>
              <w:t>W [kg/h]</w:t>
            </w:r>
          </w:p>
        </w:tc>
        <w:tc>
          <w:tcPr>
            <w:tcW w:w="1032" w:type="dxa"/>
            <w:tcBorders>
              <w:top w:val="nil"/>
              <w:left w:val="nil"/>
              <w:bottom w:val="nil"/>
              <w:right w:val="nil"/>
            </w:tcBorders>
            <w:shd w:val="clear" w:color="auto" w:fill="auto"/>
            <w:vAlign w:val="center"/>
          </w:tcPr>
          <w:p w14:paraId="0D7A5055" w14:textId="592F99B3"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0735</w:t>
            </w:r>
          </w:p>
        </w:tc>
        <w:tc>
          <w:tcPr>
            <w:tcW w:w="1032" w:type="dxa"/>
            <w:tcBorders>
              <w:top w:val="nil"/>
              <w:left w:val="nil"/>
              <w:bottom w:val="nil"/>
              <w:right w:val="nil"/>
            </w:tcBorders>
            <w:shd w:val="clear" w:color="auto" w:fill="auto"/>
            <w:vAlign w:val="center"/>
          </w:tcPr>
          <w:p w14:paraId="286872CB" w14:textId="770E9761"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0217</w:t>
            </w:r>
          </w:p>
        </w:tc>
        <w:tc>
          <w:tcPr>
            <w:tcW w:w="1032" w:type="dxa"/>
            <w:tcBorders>
              <w:top w:val="nil"/>
              <w:left w:val="nil"/>
              <w:bottom w:val="nil"/>
              <w:right w:val="nil"/>
            </w:tcBorders>
            <w:shd w:val="clear" w:color="auto" w:fill="auto"/>
            <w:vAlign w:val="center"/>
          </w:tcPr>
          <w:p w14:paraId="4A08AC23" w14:textId="65EEDF1A"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1934</w:t>
            </w:r>
          </w:p>
        </w:tc>
        <w:tc>
          <w:tcPr>
            <w:tcW w:w="1032" w:type="dxa"/>
            <w:tcBorders>
              <w:top w:val="nil"/>
              <w:left w:val="nil"/>
              <w:bottom w:val="nil"/>
              <w:right w:val="nil"/>
            </w:tcBorders>
            <w:shd w:val="clear" w:color="auto" w:fill="auto"/>
            <w:vAlign w:val="center"/>
          </w:tcPr>
          <w:p w14:paraId="49C0A51D" w14:textId="1EE19463"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0591</w:t>
            </w:r>
          </w:p>
        </w:tc>
        <w:tc>
          <w:tcPr>
            <w:tcW w:w="1032" w:type="dxa"/>
            <w:tcBorders>
              <w:top w:val="nil"/>
              <w:left w:val="nil"/>
              <w:bottom w:val="nil"/>
              <w:right w:val="nil"/>
            </w:tcBorders>
            <w:shd w:val="clear" w:color="auto" w:fill="auto"/>
            <w:vAlign w:val="center"/>
          </w:tcPr>
          <w:p w14:paraId="7E8B20AC" w14:textId="14EDB294"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0111</w:t>
            </w:r>
          </w:p>
        </w:tc>
        <w:tc>
          <w:tcPr>
            <w:tcW w:w="1032" w:type="dxa"/>
            <w:tcBorders>
              <w:top w:val="nil"/>
              <w:left w:val="nil"/>
              <w:bottom w:val="nil"/>
              <w:right w:val="nil"/>
            </w:tcBorders>
            <w:shd w:val="clear" w:color="auto" w:fill="auto"/>
            <w:vAlign w:val="center"/>
          </w:tcPr>
          <w:p w14:paraId="3A717034" w14:textId="6A2B82F1"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0126</w:t>
            </w:r>
          </w:p>
        </w:tc>
        <w:tc>
          <w:tcPr>
            <w:tcW w:w="1032" w:type="dxa"/>
            <w:tcBorders>
              <w:top w:val="nil"/>
              <w:left w:val="nil"/>
              <w:bottom w:val="nil"/>
              <w:right w:val="nil"/>
            </w:tcBorders>
            <w:shd w:val="clear" w:color="auto" w:fill="auto"/>
            <w:vAlign w:val="center"/>
          </w:tcPr>
          <w:p w14:paraId="2CEA4F56" w14:textId="2B5C9A74"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0112</w:t>
            </w:r>
          </w:p>
        </w:tc>
      </w:tr>
      <w:tr w:rsidR="00831EE9" w:rsidRPr="00B57B36" w14:paraId="6849A6C1" w14:textId="77777777" w:rsidTr="00147EAF">
        <w:tc>
          <w:tcPr>
            <w:tcW w:w="1418" w:type="dxa"/>
            <w:shd w:val="clear" w:color="auto" w:fill="FFFFFF"/>
          </w:tcPr>
          <w:p w14:paraId="4A944F81" w14:textId="2CEDF153" w:rsidR="00831EE9" w:rsidRPr="00831EE9" w:rsidRDefault="00831EE9" w:rsidP="00831EE9">
            <w:pPr>
              <w:pStyle w:val="CETBodytext"/>
              <w:ind w:right="-1"/>
              <w:rPr>
                <w:rFonts w:cs="Arial"/>
                <w:szCs w:val="18"/>
                <w:lang w:val="en-GB"/>
              </w:rPr>
            </w:pPr>
            <w:r w:rsidRPr="00831EE9">
              <w:rPr>
                <w:rFonts w:cs="Arial"/>
                <w:szCs w:val="18"/>
                <w:lang w:val="en-GB"/>
              </w:rPr>
              <w:t>ADA [kg/h]</w:t>
            </w:r>
          </w:p>
        </w:tc>
        <w:tc>
          <w:tcPr>
            <w:tcW w:w="1032" w:type="dxa"/>
            <w:tcBorders>
              <w:top w:val="nil"/>
              <w:left w:val="nil"/>
              <w:bottom w:val="nil"/>
              <w:right w:val="nil"/>
            </w:tcBorders>
            <w:shd w:val="clear" w:color="auto" w:fill="auto"/>
            <w:vAlign w:val="center"/>
          </w:tcPr>
          <w:p w14:paraId="36BADC02" w14:textId="3174757B"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399711E4" w14:textId="7469A91A"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0008</w:t>
            </w:r>
          </w:p>
        </w:tc>
        <w:tc>
          <w:tcPr>
            <w:tcW w:w="1032" w:type="dxa"/>
            <w:tcBorders>
              <w:top w:val="nil"/>
              <w:left w:val="nil"/>
              <w:bottom w:val="nil"/>
              <w:right w:val="nil"/>
            </w:tcBorders>
            <w:shd w:val="clear" w:color="auto" w:fill="auto"/>
            <w:vAlign w:val="center"/>
          </w:tcPr>
          <w:p w14:paraId="73963782" w14:textId="733FA89E"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64DC74B4" w14:textId="6C34A3C4"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78760E9B" w14:textId="605D36B9"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0003</w:t>
            </w:r>
          </w:p>
        </w:tc>
        <w:tc>
          <w:tcPr>
            <w:tcW w:w="1032" w:type="dxa"/>
            <w:tcBorders>
              <w:top w:val="nil"/>
              <w:left w:val="nil"/>
              <w:bottom w:val="nil"/>
              <w:right w:val="nil"/>
            </w:tcBorders>
            <w:shd w:val="clear" w:color="auto" w:fill="auto"/>
            <w:vAlign w:val="center"/>
          </w:tcPr>
          <w:p w14:paraId="641B3BC1" w14:textId="2FBC42C2"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03D0473D" w14:textId="3F937C29"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0003</w:t>
            </w:r>
          </w:p>
        </w:tc>
      </w:tr>
      <w:tr w:rsidR="00831EE9" w:rsidRPr="00B57B36" w14:paraId="39712B7C" w14:textId="77777777" w:rsidTr="00147EAF">
        <w:tc>
          <w:tcPr>
            <w:tcW w:w="1418" w:type="dxa"/>
            <w:shd w:val="clear" w:color="auto" w:fill="FFFFFF"/>
          </w:tcPr>
          <w:p w14:paraId="46A3445E" w14:textId="752B5D9D" w:rsidR="00831EE9" w:rsidRPr="00831EE9" w:rsidRDefault="00831EE9" w:rsidP="00831EE9">
            <w:pPr>
              <w:pStyle w:val="CETBodytext"/>
              <w:ind w:right="-1"/>
              <w:rPr>
                <w:rFonts w:cs="Arial"/>
                <w:szCs w:val="18"/>
                <w:lang w:val="en-GB"/>
              </w:rPr>
            </w:pPr>
            <w:r w:rsidRPr="00831EE9">
              <w:rPr>
                <w:rFonts w:cs="Arial"/>
                <w:szCs w:val="18"/>
                <w:lang w:val="en-GB"/>
              </w:rPr>
              <w:t>NYLON12 [kg/h]</w:t>
            </w:r>
          </w:p>
        </w:tc>
        <w:tc>
          <w:tcPr>
            <w:tcW w:w="1032" w:type="dxa"/>
            <w:tcBorders>
              <w:top w:val="nil"/>
              <w:left w:val="nil"/>
              <w:bottom w:val="nil"/>
              <w:right w:val="nil"/>
            </w:tcBorders>
            <w:shd w:val="clear" w:color="auto" w:fill="auto"/>
            <w:vAlign w:val="center"/>
          </w:tcPr>
          <w:p w14:paraId="00829322" w14:textId="5BCBC3AD"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2C532FAF" w14:textId="6F91D030" w:rsidR="00831EE9" w:rsidRPr="00831EE9" w:rsidRDefault="00831EE9" w:rsidP="00831EE9">
            <w:pPr>
              <w:pStyle w:val="CETBodytext"/>
              <w:ind w:right="-1"/>
              <w:jc w:val="center"/>
              <w:rPr>
                <w:rFonts w:cs="Arial"/>
                <w:szCs w:val="18"/>
                <w:lang w:val="en-GB"/>
              </w:rPr>
            </w:pPr>
            <w:r w:rsidRPr="00831EE9">
              <w:rPr>
                <w:rFonts w:cs="Arial"/>
                <w:color w:val="000000"/>
                <w:szCs w:val="18"/>
              </w:rPr>
              <w:t>6</w:t>
            </w:r>
            <w:r w:rsidR="00F27656">
              <w:rPr>
                <w:rFonts w:cs="Arial"/>
                <w:color w:val="000000"/>
                <w:szCs w:val="18"/>
              </w:rPr>
              <w:t>.</w:t>
            </w:r>
            <w:r w:rsidRPr="00831EE9">
              <w:rPr>
                <w:rFonts w:cs="Arial"/>
                <w:color w:val="000000"/>
                <w:szCs w:val="18"/>
              </w:rPr>
              <w:t>3813</w:t>
            </w:r>
          </w:p>
        </w:tc>
        <w:tc>
          <w:tcPr>
            <w:tcW w:w="1032" w:type="dxa"/>
            <w:tcBorders>
              <w:top w:val="nil"/>
              <w:left w:val="nil"/>
              <w:bottom w:val="nil"/>
              <w:right w:val="nil"/>
            </w:tcBorders>
            <w:shd w:val="clear" w:color="auto" w:fill="auto"/>
            <w:vAlign w:val="center"/>
          </w:tcPr>
          <w:p w14:paraId="0E590620" w14:textId="030C206B"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084CA56D" w14:textId="034459CE"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7F72ED5F" w14:textId="46AABCFE" w:rsidR="00831EE9" w:rsidRPr="00831EE9" w:rsidRDefault="00831EE9" w:rsidP="00831EE9">
            <w:pPr>
              <w:pStyle w:val="CETBodytext"/>
              <w:ind w:right="-1"/>
              <w:jc w:val="center"/>
              <w:rPr>
                <w:rFonts w:cs="Arial"/>
                <w:szCs w:val="18"/>
                <w:lang w:val="en-GB"/>
              </w:rPr>
            </w:pPr>
            <w:r w:rsidRPr="00831EE9">
              <w:rPr>
                <w:rFonts w:cs="Arial"/>
                <w:color w:val="000000"/>
                <w:szCs w:val="18"/>
              </w:rPr>
              <w:t>6</w:t>
            </w:r>
            <w:r w:rsidR="00E21AF5">
              <w:rPr>
                <w:rFonts w:cs="Arial"/>
                <w:color w:val="000000"/>
                <w:szCs w:val="18"/>
              </w:rPr>
              <w:t>.</w:t>
            </w:r>
            <w:r w:rsidRPr="00831EE9">
              <w:rPr>
                <w:rFonts w:cs="Arial"/>
                <w:color w:val="000000"/>
                <w:szCs w:val="18"/>
              </w:rPr>
              <w:t>6596</w:t>
            </w:r>
          </w:p>
        </w:tc>
        <w:tc>
          <w:tcPr>
            <w:tcW w:w="1032" w:type="dxa"/>
            <w:tcBorders>
              <w:top w:val="nil"/>
              <w:left w:val="nil"/>
              <w:bottom w:val="nil"/>
              <w:right w:val="nil"/>
            </w:tcBorders>
            <w:shd w:val="clear" w:color="auto" w:fill="auto"/>
            <w:vAlign w:val="center"/>
          </w:tcPr>
          <w:p w14:paraId="7709427E" w14:textId="5CBBCA78"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3948D070" w14:textId="134409AC" w:rsidR="00831EE9" w:rsidRPr="00831EE9" w:rsidRDefault="00831EE9" w:rsidP="00831EE9">
            <w:pPr>
              <w:pStyle w:val="CETBodytext"/>
              <w:ind w:right="-1"/>
              <w:jc w:val="center"/>
              <w:rPr>
                <w:rFonts w:cs="Arial"/>
                <w:szCs w:val="18"/>
                <w:lang w:val="en-GB"/>
              </w:rPr>
            </w:pPr>
            <w:r w:rsidRPr="00831EE9">
              <w:rPr>
                <w:rFonts w:cs="Arial"/>
                <w:color w:val="000000"/>
                <w:szCs w:val="18"/>
              </w:rPr>
              <w:t>6</w:t>
            </w:r>
            <w:r w:rsidR="00E21AF5">
              <w:rPr>
                <w:rFonts w:cs="Arial"/>
                <w:color w:val="000000"/>
                <w:szCs w:val="18"/>
              </w:rPr>
              <w:t>.</w:t>
            </w:r>
            <w:r w:rsidRPr="00831EE9">
              <w:rPr>
                <w:rFonts w:cs="Arial"/>
                <w:color w:val="000000"/>
                <w:szCs w:val="18"/>
              </w:rPr>
              <w:t>8127</w:t>
            </w:r>
          </w:p>
        </w:tc>
      </w:tr>
      <w:tr w:rsidR="00831EE9" w:rsidRPr="00B57B36" w14:paraId="5451ACF6" w14:textId="77777777" w:rsidTr="00147EAF">
        <w:tc>
          <w:tcPr>
            <w:tcW w:w="1418" w:type="dxa"/>
            <w:shd w:val="clear" w:color="auto" w:fill="FFFFFF"/>
          </w:tcPr>
          <w:p w14:paraId="3D76E487" w14:textId="496A8249" w:rsidR="00831EE9" w:rsidRPr="00831EE9" w:rsidRDefault="00831EE9" w:rsidP="00831EE9">
            <w:pPr>
              <w:pStyle w:val="CETBodytext"/>
              <w:ind w:right="-1"/>
              <w:rPr>
                <w:rFonts w:cs="Arial"/>
                <w:szCs w:val="18"/>
                <w:lang w:val="en-GB"/>
              </w:rPr>
            </w:pPr>
            <w:r w:rsidRPr="00831EE9">
              <w:rPr>
                <w:rFonts w:cs="Arial"/>
                <w:szCs w:val="18"/>
                <w:lang w:val="en-GB"/>
              </w:rPr>
              <w:t>HAC [kg/h]</w:t>
            </w:r>
          </w:p>
        </w:tc>
        <w:tc>
          <w:tcPr>
            <w:tcW w:w="1032" w:type="dxa"/>
            <w:tcBorders>
              <w:top w:val="nil"/>
              <w:left w:val="nil"/>
              <w:bottom w:val="nil"/>
              <w:right w:val="nil"/>
            </w:tcBorders>
            <w:shd w:val="clear" w:color="auto" w:fill="auto"/>
            <w:vAlign w:val="center"/>
          </w:tcPr>
          <w:p w14:paraId="1529D853" w14:textId="2E178BF3"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0074</w:t>
            </w:r>
          </w:p>
        </w:tc>
        <w:tc>
          <w:tcPr>
            <w:tcW w:w="1032" w:type="dxa"/>
            <w:tcBorders>
              <w:top w:val="nil"/>
              <w:left w:val="nil"/>
              <w:bottom w:val="nil"/>
              <w:right w:val="nil"/>
            </w:tcBorders>
            <w:shd w:val="clear" w:color="auto" w:fill="auto"/>
            <w:vAlign w:val="center"/>
          </w:tcPr>
          <w:p w14:paraId="015CB45C" w14:textId="5EDC38C6"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0003</w:t>
            </w:r>
          </w:p>
        </w:tc>
        <w:tc>
          <w:tcPr>
            <w:tcW w:w="1032" w:type="dxa"/>
            <w:tcBorders>
              <w:top w:val="nil"/>
              <w:left w:val="nil"/>
              <w:bottom w:val="nil"/>
              <w:right w:val="nil"/>
            </w:tcBorders>
            <w:shd w:val="clear" w:color="auto" w:fill="auto"/>
            <w:vAlign w:val="center"/>
          </w:tcPr>
          <w:p w14:paraId="5C7FD67B" w14:textId="33AB3A2E"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0011</w:t>
            </w:r>
          </w:p>
        </w:tc>
        <w:tc>
          <w:tcPr>
            <w:tcW w:w="1032" w:type="dxa"/>
            <w:tcBorders>
              <w:top w:val="nil"/>
              <w:left w:val="nil"/>
              <w:bottom w:val="nil"/>
              <w:right w:val="nil"/>
            </w:tcBorders>
            <w:shd w:val="clear" w:color="auto" w:fill="auto"/>
            <w:vAlign w:val="center"/>
          </w:tcPr>
          <w:p w14:paraId="2F541B35" w14:textId="42172F76" w:rsidR="00831EE9" w:rsidRPr="00831EE9" w:rsidRDefault="00831EE9" w:rsidP="00831EE9">
            <w:pPr>
              <w:pStyle w:val="CETBodytext"/>
              <w:ind w:right="-1"/>
              <w:jc w:val="center"/>
              <w:rPr>
                <w:rFonts w:cs="Arial"/>
                <w:szCs w:val="18"/>
                <w:lang w:val="en-GB"/>
              </w:rPr>
            </w:pPr>
            <w:r w:rsidRPr="00831EE9">
              <w:rPr>
                <w:rFonts w:cs="Arial"/>
                <w:color w:val="000000"/>
                <w:szCs w:val="18"/>
              </w:rPr>
              <w:t>8</w:t>
            </w:r>
            <w:r w:rsidR="00E21AF5">
              <w:rPr>
                <w:rFonts w:cs="Arial"/>
                <w:color w:val="000000"/>
                <w:szCs w:val="18"/>
              </w:rPr>
              <w:t>.</w:t>
            </w:r>
            <w:r w:rsidRPr="00831EE9">
              <w:rPr>
                <w:rFonts w:cs="Arial"/>
                <w:color w:val="000000"/>
                <w:szCs w:val="18"/>
              </w:rPr>
              <w:t>93</w:t>
            </w:r>
            <w:r w:rsidR="00850A88">
              <w:rPr>
                <w:rFonts w:cs="Arial"/>
                <w:color w:val="000000"/>
                <w:szCs w:val="18"/>
              </w:rPr>
              <w:t>x10</w:t>
            </w:r>
            <w:r w:rsidR="00A375DB">
              <w:rPr>
                <w:rFonts w:cs="Arial"/>
                <w:color w:val="000000"/>
                <w:szCs w:val="18"/>
                <w:vertAlign w:val="superscript"/>
              </w:rPr>
              <w:t>-7</w:t>
            </w:r>
          </w:p>
        </w:tc>
        <w:tc>
          <w:tcPr>
            <w:tcW w:w="1032" w:type="dxa"/>
            <w:tcBorders>
              <w:top w:val="nil"/>
              <w:left w:val="nil"/>
              <w:bottom w:val="nil"/>
              <w:right w:val="nil"/>
            </w:tcBorders>
            <w:shd w:val="clear" w:color="auto" w:fill="auto"/>
            <w:vAlign w:val="center"/>
          </w:tcPr>
          <w:p w14:paraId="48A47C1F" w14:textId="56B5D8C2"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0001</w:t>
            </w:r>
          </w:p>
        </w:tc>
        <w:tc>
          <w:tcPr>
            <w:tcW w:w="1032" w:type="dxa"/>
            <w:tcBorders>
              <w:top w:val="nil"/>
              <w:left w:val="nil"/>
              <w:bottom w:val="nil"/>
              <w:right w:val="nil"/>
            </w:tcBorders>
            <w:shd w:val="clear" w:color="auto" w:fill="auto"/>
            <w:vAlign w:val="center"/>
          </w:tcPr>
          <w:p w14:paraId="693A901E" w14:textId="54F8E7F2"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06B7CD75" w14:textId="4073D211"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0001</w:t>
            </w:r>
          </w:p>
        </w:tc>
      </w:tr>
      <w:tr w:rsidR="00831EE9" w:rsidRPr="00B57B36" w14:paraId="3CBDF40D" w14:textId="77777777" w:rsidTr="00147EAF">
        <w:tc>
          <w:tcPr>
            <w:tcW w:w="1418" w:type="dxa"/>
            <w:shd w:val="clear" w:color="auto" w:fill="FFFFFF"/>
          </w:tcPr>
          <w:p w14:paraId="27659C14" w14:textId="2990323A" w:rsidR="00831EE9" w:rsidRPr="00831EE9" w:rsidRDefault="00831EE9" w:rsidP="00831EE9">
            <w:pPr>
              <w:pStyle w:val="CETBodytext"/>
              <w:ind w:right="-1"/>
              <w:rPr>
                <w:rFonts w:cs="Arial"/>
                <w:szCs w:val="18"/>
                <w:lang w:val="en-GB"/>
              </w:rPr>
            </w:pPr>
            <w:r w:rsidRPr="00831EE9">
              <w:rPr>
                <w:rFonts w:cs="Arial"/>
                <w:szCs w:val="18"/>
                <w:lang w:val="en-GB"/>
              </w:rPr>
              <w:t>DIMER [kg/h]</w:t>
            </w:r>
          </w:p>
        </w:tc>
        <w:tc>
          <w:tcPr>
            <w:tcW w:w="1032" w:type="dxa"/>
            <w:tcBorders>
              <w:top w:val="nil"/>
              <w:left w:val="nil"/>
              <w:bottom w:val="nil"/>
              <w:right w:val="nil"/>
            </w:tcBorders>
            <w:shd w:val="clear" w:color="auto" w:fill="auto"/>
            <w:vAlign w:val="center"/>
          </w:tcPr>
          <w:p w14:paraId="00217719" w14:textId="36CA6B67"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1EE2A6AB" w14:textId="213BC482"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F27656">
              <w:rPr>
                <w:rFonts w:cs="Arial"/>
                <w:color w:val="000000"/>
                <w:szCs w:val="18"/>
              </w:rPr>
              <w:t>.</w:t>
            </w:r>
            <w:r w:rsidRPr="00831EE9">
              <w:rPr>
                <w:rFonts w:cs="Arial"/>
                <w:color w:val="000000"/>
                <w:szCs w:val="18"/>
              </w:rPr>
              <w:t>0502</w:t>
            </w:r>
          </w:p>
        </w:tc>
        <w:tc>
          <w:tcPr>
            <w:tcW w:w="1032" w:type="dxa"/>
            <w:tcBorders>
              <w:top w:val="nil"/>
              <w:left w:val="nil"/>
              <w:bottom w:val="nil"/>
              <w:right w:val="nil"/>
            </w:tcBorders>
            <w:shd w:val="clear" w:color="auto" w:fill="auto"/>
            <w:vAlign w:val="center"/>
          </w:tcPr>
          <w:p w14:paraId="7820A484" w14:textId="1B3D2FEF"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17546599" w14:textId="15649C40"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1BCA6BFC" w14:textId="33D8D837"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0546</w:t>
            </w:r>
          </w:p>
        </w:tc>
        <w:tc>
          <w:tcPr>
            <w:tcW w:w="1032" w:type="dxa"/>
            <w:tcBorders>
              <w:top w:val="nil"/>
              <w:left w:val="nil"/>
              <w:bottom w:val="nil"/>
              <w:right w:val="nil"/>
            </w:tcBorders>
            <w:shd w:val="clear" w:color="auto" w:fill="auto"/>
            <w:vAlign w:val="center"/>
          </w:tcPr>
          <w:p w14:paraId="3F9D6E60" w14:textId="371D7E1E" w:rsidR="00831EE9" w:rsidRPr="00831EE9" w:rsidRDefault="00831EE9" w:rsidP="00831EE9">
            <w:pPr>
              <w:pStyle w:val="CETBodytext"/>
              <w:ind w:right="-1"/>
              <w:jc w:val="center"/>
              <w:rPr>
                <w:rFonts w:cs="Arial"/>
                <w:szCs w:val="18"/>
                <w:lang w:val="en-GB"/>
              </w:rPr>
            </w:pPr>
            <w:r w:rsidRPr="00831EE9">
              <w:rPr>
                <w:rFonts w:cs="Arial"/>
                <w:color w:val="000000"/>
                <w:szCs w:val="18"/>
              </w:rPr>
              <w:t>-</w:t>
            </w:r>
          </w:p>
        </w:tc>
        <w:tc>
          <w:tcPr>
            <w:tcW w:w="1032" w:type="dxa"/>
            <w:tcBorders>
              <w:top w:val="nil"/>
              <w:left w:val="nil"/>
              <w:bottom w:val="nil"/>
              <w:right w:val="nil"/>
            </w:tcBorders>
            <w:shd w:val="clear" w:color="auto" w:fill="auto"/>
            <w:vAlign w:val="center"/>
          </w:tcPr>
          <w:p w14:paraId="15A02BD3" w14:textId="00FD5B13" w:rsidR="00831EE9" w:rsidRPr="00831EE9" w:rsidRDefault="00831EE9" w:rsidP="00831EE9">
            <w:pPr>
              <w:pStyle w:val="CETBodytext"/>
              <w:ind w:right="-1"/>
              <w:jc w:val="center"/>
              <w:rPr>
                <w:rFonts w:cs="Arial"/>
                <w:szCs w:val="18"/>
                <w:lang w:val="en-GB"/>
              </w:rPr>
            </w:pPr>
            <w:r w:rsidRPr="00831EE9">
              <w:rPr>
                <w:rFonts w:cs="Arial"/>
                <w:color w:val="000000"/>
                <w:szCs w:val="18"/>
              </w:rPr>
              <w:t>0</w:t>
            </w:r>
            <w:r w:rsidR="00E21AF5">
              <w:rPr>
                <w:rFonts w:cs="Arial"/>
                <w:color w:val="000000"/>
                <w:szCs w:val="18"/>
              </w:rPr>
              <w:t>.</w:t>
            </w:r>
            <w:r w:rsidRPr="00831EE9">
              <w:rPr>
                <w:rFonts w:cs="Arial"/>
                <w:color w:val="000000"/>
                <w:szCs w:val="18"/>
              </w:rPr>
              <w:t>0634</w:t>
            </w:r>
          </w:p>
        </w:tc>
      </w:tr>
      <w:tr w:rsidR="00831EE9" w:rsidRPr="00B57B36" w14:paraId="044B5FF5" w14:textId="2913F0D1" w:rsidTr="00147EAF">
        <w:tc>
          <w:tcPr>
            <w:tcW w:w="1418" w:type="dxa"/>
            <w:shd w:val="clear" w:color="auto" w:fill="FFFFFF"/>
          </w:tcPr>
          <w:p w14:paraId="768F30FA" w14:textId="310BD009" w:rsidR="00831EE9" w:rsidRPr="00831EE9" w:rsidRDefault="00831EE9" w:rsidP="00831EE9">
            <w:pPr>
              <w:pStyle w:val="CETBodytext"/>
              <w:ind w:right="-1"/>
              <w:rPr>
                <w:rFonts w:cs="Arial"/>
                <w:szCs w:val="18"/>
                <w:lang w:val="en-GB"/>
              </w:rPr>
            </w:pPr>
            <w:r w:rsidRPr="00831EE9">
              <w:rPr>
                <w:rFonts w:cs="Arial"/>
                <w:szCs w:val="18"/>
                <w:lang w:val="en-GB"/>
              </w:rPr>
              <w:t>MWN</w:t>
            </w:r>
            <w:r w:rsidR="003628B0">
              <w:rPr>
                <w:rFonts w:cs="Arial"/>
                <w:szCs w:val="18"/>
                <w:lang w:val="en-GB"/>
              </w:rPr>
              <w:t xml:space="preserve"> [g/mol]</w:t>
            </w:r>
          </w:p>
        </w:tc>
        <w:tc>
          <w:tcPr>
            <w:tcW w:w="1032" w:type="dxa"/>
            <w:tcBorders>
              <w:top w:val="nil"/>
              <w:left w:val="nil"/>
              <w:bottom w:val="single" w:sz="8" w:space="0" w:color="auto"/>
              <w:right w:val="nil"/>
            </w:tcBorders>
            <w:shd w:val="clear" w:color="auto" w:fill="auto"/>
            <w:vAlign w:val="center"/>
          </w:tcPr>
          <w:p w14:paraId="6E56E6DF" w14:textId="72AF2DF1" w:rsidR="00831EE9" w:rsidRPr="00831EE9" w:rsidRDefault="0012725E" w:rsidP="00831EE9">
            <w:pPr>
              <w:pStyle w:val="CETBodytext"/>
              <w:ind w:right="-1"/>
              <w:jc w:val="center"/>
              <w:rPr>
                <w:rFonts w:cs="Arial"/>
                <w:szCs w:val="18"/>
                <w:lang w:val="en-GB"/>
              </w:rPr>
            </w:pPr>
            <w:r>
              <w:rPr>
                <w:rFonts w:cs="Arial"/>
                <w:szCs w:val="18"/>
              </w:rPr>
              <w:t>-</w:t>
            </w:r>
          </w:p>
        </w:tc>
        <w:tc>
          <w:tcPr>
            <w:tcW w:w="1032" w:type="dxa"/>
            <w:tcBorders>
              <w:top w:val="nil"/>
              <w:left w:val="nil"/>
              <w:bottom w:val="single" w:sz="8" w:space="0" w:color="auto"/>
              <w:right w:val="nil"/>
            </w:tcBorders>
            <w:shd w:val="clear" w:color="auto" w:fill="auto"/>
            <w:vAlign w:val="center"/>
          </w:tcPr>
          <w:p w14:paraId="16E3E330" w14:textId="4AE3C66F" w:rsidR="00831EE9" w:rsidRPr="00831EE9" w:rsidRDefault="0012725E" w:rsidP="00831EE9">
            <w:pPr>
              <w:pStyle w:val="CETBodytext"/>
              <w:ind w:right="-1"/>
              <w:jc w:val="center"/>
              <w:rPr>
                <w:rFonts w:cs="Arial"/>
                <w:szCs w:val="18"/>
                <w:lang w:val="en-GB"/>
              </w:rPr>
            </w:pPr>
            <w:r>
              <w:t>15</w:t>
            </w:r>
            <w:r w:rsidR="00F27656">
              <w:t>,</w:t>
            </w:r>
            <w:r>
              <w:t>057</w:t>
            </w:r>
          </w:p>
        </w:tc>
        <w:tc>
          <w:tcPr>
            <w:tcW w:w="1032" w:type="dxa"/>
            <w:tcBorders>
              <w:top w:val="nil"/>
              <w:left w:val="nil"/>
              <w:bottom w:val="single" w:sz="8" w:space="0" w:color="auto"/>
              <w:right w:val="nil"/>
            </w:tcBorders>
            <w:shd w:val="clear" w:color="auto" w:fill="auto"/>
            <w:vAlign w:val="center"/>
          </w:tcPr>
          <w:p w14:paraId="3F8F6AC0" w14:textId="5FCA4E8F" w:rsidR="00831EE9" w:rsidRPr="00831EE9" w:rsidRDefault="0012725E" w:rsidP="00831EE9">
            <w:pPr>
              <w:pStyle w:val="CETBodytext"/>
              <w:ind w:right="-1"/>
              <w:jc w:val="center"/>
              <w:rPr>
                <w:rFonts w:cs="Arial"/>
                <w:szCs w:val="18"/>
                <w:lang w:val="en-GB"/>
              </w:rPr>
            </w:pPr>
            <w:r>
              <w:rPr>
                <w:rFonts w:cs="Arial"/>
                <w:szCs w:val="18"/>
                <w:lang w:val="en-GB"/>
              </w:rPr>
              <w:t>-</w:t>
            </w:r>
          </w:p>
        </w:tc>
        <w:tc>
          <w:tcPr>
            <w:tcW w:w="1032" w:type="dxa"/>
            <w:tcBorders>
              <w:top w:val="nil"/>
              <w:left w:val="nil"/>
              <w:bottom w:val="single" w:sz="8" w:space="0" w:color="auto"/>
              <w:right w:val="nil"/>
            </w:tcBorders>
            <w:shd w:val="clear" w:color="auto" w:fill="auto"/>
            <w:vAlign w:val="center"/>
          </w:tcPr>
          <w:p w14:paraId="7BFF1812" w14:textId="6F34B670" w:rsidR="00831EE9" w:rsidRPr="00831EE9" w:rsidRDefault="0012725E" w:rsidP="00831EE9">
            <w:pPr>
              <w:pStyle w:val="CETBodytext"/>
              <w:ind w:right="-1"/>
              <w:jc w:val="center"/>
              <w:rPr>
                <w:rFonts w:cs="Arial"/>
                <w:szCs w:val="18"/>
                <w:lang w:val="en-GB"/>
              </w:rPr>
            </w:pPr>
            <w:r>
              <w:rPr>
                <w:rFonts w:cs="Arial"/>
                <w:szCs w:val="18"/>
                <w:lang w:val="en-GB"/>
              </w:rPr>
              <w:t>-</w:t>
            </w:r>
          </w:p>
        </w:tc>
        <w:tc>
          <w:tcPr>
            <w:tcW w:w="1032" w:type="dxa"/>
            <w:tcBorders>
              <w:top w:val="nil"/>
              <w:left w:val="nil"/>
              <w:bottom w:val="single" w:sz="8" w:space="0" w:color="auto"/>
              <w:right w:val="nil"/>
            </w:tcBorders>
            <w:shd w:val="clear" w:color="auto" w:fill="auto"/>
            <w:vAlign w:val="center"/>
          </w:tcPr>
          <w:p w14:paraId="7D0A388C" w14:textId="20EB7825" w:rsidR="00831EE9" w:rsidRPr="00831EE9" w:rsidRDefault="0012725E" w:rsidP="00831EE9">
            <w:pPr>
              <w:pStyle w:val="CETBodytext"/>
              <w:ind w:right="-1"/>
              <w:jc w:val="center"/>
              <w:rPr>
                <w:rFonts w:cs="Arial"/>
                <w:szCs w:val="18"/>
                <w:lang w:val="en-GB"/>
              </w:rPr>
            </w:pPr>
            <w:r>
              <w:t>21</w:t>
            </w:r>
            <w:r w:rsidR="00E21AF5">
              <w:t>,</w:t>
            </w:r>
            <w:r>
              <w:t>880</w:t>
            </w:r>
          </w:p>
        </w:tc>
        <w:tc>
          <w:tcPr>
            <w:tcW w:w="1032" w:type="dxa"/>
            <w:tcBorders>
              <w:top w:val="nil"/>
              <w:left w:val="nil"/>
              <w:bottom w:val="single" w:sz="8" w:space="0" w:color="auto"/>
              <w:right w:val="nil"/>
            </w:tcBorders>
            <w:shd w:val="clear" w:color="auto" w:fill="auto"/>
            <w:vAlign w:val="center"/>
          </w:tcPr>
          <w:p w14:paraId="7EABE526" w14:textId="62D6A894" w:rsidR="00831EE9" w:rsidRPr="00831EE9" w:rsidRDefault="0012725E" w:rsidP="00831EE9">
            <w:pPr>
              <w:pStyle w:val="CETBodytext"/>
              <w:ind w:right="-1"/>
              <w:jc w:val="center"/>
              <w:rPr>
                <w:rFonts w:cs="Arial"/>
                <w:szCs w:val="18"/>
                <w:lang w:val="en-GB"/>
              </w:rPr>
            </w:pPr>
            <w:r>
              <w:rPr>
                <w:rFonts w:cs="Arial"/>
                <w:szCs w:val="18"/>
                <w:lang w:val="en-GB"/>
              </w:rPr>
              <w:t>-</w:t>
            </w:r>
          </w:p>
        </w:tc>
        <w:tc>
          <w:tcPr>
            <w:tcW w:w="1032" w:type="dxa"/>
            <w:tcBorders>
              <w:top w:val="nil"/>
              <w:left w:val="nil"/>
              <w:bottom w:val="single" w:sz="8" w:space="0" w:color="auto"/>
              <w:right w:val="nil"/>
            </w:tcBorders>
            <w:shd w:val="clear" w:color="auto" w:fill="auto"/>
            <w:vAlign w:val="center"/>
          </w:tcPr>
          <w:p w14:paraId="2382E721" w14:textId="129B8906" w:rsidR="00831EE9" w:rsidRPr="00831EE9" w:rsidRDefault="0012725E" w:rsidP="00831EE9">
            <w:pPr>
              <w:pStyle w:val="CETBodytext"/>
              <w:ind w:right="-1"/>
              <w:jc w:val="center"/>
              <w:rPr>
                <w:rFonts w:cs="Arial"/>
                <w:szCs w:val="18"/>
                <w:lang w:val="en-GB"/>
              </w:rPr>
            </w:pPr>
            <w:r>
              <w:t>22</w:t>
            </w:r>
            <w:r w:rsidR="00E21AF5">
              <w:t>,</w:t>
            </w:r>
            <w:r>
              <w:t>866</w:t>
            </w:r>
          </w:p>
        </w:tc>
      </w:tr>
    </w:tbl>
    <w:p w14:paraId="672488E8" w14:textId="77777777" w:rsidR="00C44F5E" w:rsidRPr="0049153A" w:rsidRDefault="00C44F5E" w:rsidP="00CE6D69">
      <w:pPr>
        <w:rPr>
          <w:lang w:val="pt-BR"/>
        </w:rPr>
      </w:pPr>
    </w:p>
    <w:p w14:paraId="58A68E90" w14:textId="30E199D8" w:rsidR="00CE6D69" w:rsidRPr="00A91D23" w:rsidRDefault="00CE6D69" w:rsidP="00CE6D69">
      <w:r w:rsidRPr="00963282">
        <w:lastRenderedPageBreak/>
        <w:t xml:space="preserve">In the upper section, the conversion of </w:t>
      </w:r>
      <w:r>
        <w:t>laurolactama (X</w:t>
      </w:r>
      <w:r w:rsidRPr="00C145C2">
        <w:rPr>
          <w:vertAlign w:val="subscript"/>
        </w:rPr>
        <w:t>LL</w:t>
      </w:r>
      <w:r>
        <w:t>)</w:t>
      </w:r>
      <w:r w:rsidRPr="00963282">
        <w:t xml:space="preserve"> to Nylon 12 was 88.23 %. This occurs mainly because this section has, for </w:t>
      </w:r>
      <w:r w:rsidRPr="006652CE">
        <w:t xml:space="preserve">the most part, </w:t>
      </w:r>
      <w:r w:rsidRPr="00BC1672">
        <w:t>hydrolytic ROR and, in parallel, polycondensation and polyaddition reactions. It is observed in Table 2, the R1VAP and R1OLIGO currents are at 573.15 K and 5 atm, indicating that they passed through the CSTR1 reactor at high temperatures</w:t>
      </w:r>
      <w:r w:rsidRPr="006652CE">
        <w:t xml:space="preserve"> and pressures for the hydrolytic ROR to occur. Polycondensation and polyaddition reactions also occur, responsible for the growth of the polymer chain, observed by the high number </w:t>
      </w:r>
      <w:r w:rsidRPr="00A91D23">
        <w:t>average molecular weight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of 15.057 g/mol, indicating that there were polycondensation and polyaddition reactions parallel to the hydrolytic ROR in the upper section of the polymerization column. Note that there are two output streams from the CSTR1 reactor, with the R1VAP steam stream having the function of separating water and laurolactam. This separation of the vapor and liquid streams is very important to be done mainly to separate the process water, </w:t>
      </w:r>
      <w:r w:rsidR="00FE11D3" w:rsidRPr="00A91D23">
        <w:t xml:space="preserve">to </w:t>
      </w:r>
      <w:r w:rsidRPr="00A91D23">
        <w:t xml:space="preserve">eliminate the excess and </w:t>
      </w:r>
      <w:r w:rsidR="00FE11D3" w:rsidRPr="00A91D23">
        <w:t xml:space="preserve">to </w:t>
      </w:r>
      <w:r w:rsidRPr="00A91D23">
        <w:t xml:space="preserve">recycle it to the feed stream, as this way the water does not react in the reverse polycondensation reaction that reduces the conversion of Nylon 12 </w:t>
      </w:r>
      <w:r w:rsidR="00FE11D3" w:rsidRPr="00A91D23">
        <w:t>and</w:t>
      </w:r>
      <w:r w:rsidRPr="00A91D23">
        <w:t xml:space="preserve"> is reused in feed as an initiator of the hydrolytic ROR.</w:t>
      </w:r>
    </w:p>
    <w:p w14:paraId="08B81264" w14:textId="077D1591" w:rsidR="00CE6D69" w:rsidRPr="00A91D23" w:rsidRDefault="00CE6D69" w:rsidP="00CE6D69">
      <w:r w:rsidRPr="00A91D23">
        <w:t>In the intermediate section, there is an increase in X</w:t>
      </w:r>
      <w:r w:rsidRPr="00A91D23">
        <w:rPr>
          <w:vertAlign w:val="subscript"/>
        </w:rPr>
        <w:t>LL</w:t>
      </w:r>
      <w:r w:rsidRPr="00A91D23">
        <w:t>, number</w:t>
      </w:r>
      <w:r w:rsidR="00BC1672" w:rsidRPr="00A91D23">
        <w:t xml:space="preserve"> </w:t>
      </w:r>
      <w:r w:rsidRPr="00A91D23">
        <w:t>average molecular weight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and number-average degree of polymerization (DP</w:t>
      </w:r>
      <w:r w:rsidRPr="00A91D23">
        <w:rPr>
          <w:vertAlign w:val="subscript"/>
        </w:rPr>
        <w:t>n</w:t>
      </w:r>
      <w:r w:rsidRPr="00A91D23">
        <w:t xml:space="preserve">). This conversion increase to 92.18% indicates that the hydrolytic ROR are finishing and there is a greater occurrence of polycondensation and polyaddition reactions in the process. These reactions, mainly polycondensation, are observed by the large increase in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to 21.880 g/mol and the DP</w:t>
      </w:r>
      <w:r w:rsidRPr="00A91D23">
        <w:rPr>
          <w:vertAlign w:val="subscript"/>
        </w:rPr>
        <w:t>n</w:t>
      </w:r>
      <w:r w:rsidRPr="00A91D23">
        <w:t xml:space="preserve"> to 111.11. As in this section mainly polycondensation reactions occur, it is necessary to separate the water to later use it in the process feed. For this reason, the R2VAP steam stream which is composed of water and laurolactam is recycled to the feed stream.</w:t>
      </w:r>
    </w:p>
    <w:p w14:paraId="13A854F7" w14:textId="0C3DDAC8" w:rsidR="00180392" w:rsidRPr="00A91D23" w:rsidRDefault="00180392" w:rsidP="00180392">
      <w:pPr>
        <w:rPr>
          <w:lang w:val="en-US"/>
        </w:rPr>
      </w:pPr>
      <w:r w:rsidRPr="00A91D23">
        <w:t>The lower section had a X</w:t>
      </w:r>
      <w:r w:rsidRPr="00A91D23">
        <w:rPr>
          <w:vertAlign w:val="subscript"/>
        </w:rPr>
        <w:t>LL</w:t>
      </w:r>
      <w:r w:rsidRPr="00A91D23">
        <w:t xml:space="preserve"> of 94.41</w:t>
      </w:r>
      <w:r w:rsidR="00DD1D25" w:rsidRPr="00A91D23">
        <w:t xml:space="preserve"> </w:t>
      </w:r>
      <w:r w:rsidRPr="00A91D23">
        <w:t>%. According to the experimental work by Kawakami et al. (1994), at the end of the polymerization column X</w:t>
      </w:r>
      <w:r w:rsidRPr="00A91D23">
        <w:rPr>
          <w:vertAlign w:val="subscript"/>
        </w:rPr>
        <w:t>LL</w:t>
      </w:r>
      <w:r w:rsidRPr="00A91D23">
        <w:t xml:space="preserve"> to Nylon 12 is 99.5</w:t>
      </w:r>
      <w:r w:rsidR="00DD1D25" w:rsidRPr="00A91D23">
        <w:t xml:space="preserve"> </w:t>
      </w:r>
      <w:r w:rsidRPr="00A91D23">
        <w:t xml:space="preserve">%. </w:t>
      </w:r>
      <w:r w:rsidR="00CD31EC" w:rsidRPr="00A91D23">
        <w:rPr>
          <w:lang w:val="en-US"/>
        </w:rPr>
        <w:t>This discrepancy between conversions is due to factors such as the kinetic parameters used in the simulation. Due to the scarcity of information on Nylon 12 in the literature, such as kinetic parameters,</w:t>
      </w:r>
      <w:r w:rsidR="00CA7EF9" w:rsidRPr="00A91D23">
        <w:rPr>
          <w:lang w:val="en-US"/>
        </w:rPr>
        <w:t xml:space="preserve"> for the simulation</w:t>
      </w:r>
      <w:r w:rsidR="00CD31EC" w:rsidRPr="00A91D23">
        <w:rPr>
          <w:lang w:val="en-US"/>
        </w:rPr>
        <w:t xml:space="preserve"> the kinetic parameters of the hydrolytic</w:t>
      </w:r>
      <w:r w:rsidR="00011E1F" w:rsidRPr="00A91D23">
        <w:rPr>
          <w:lang w:val="en-US"/>
        </w:rPr>
        <w:t xml:space="preserve"> ROP</w:t>
      </w:r>
      <w:r w:rsidR="00CD31EC" w:rsidRPr="00A91D23">
        <w:rPr>
          <w:lang w:val="en-US"/>
        </w:rPr>
        <w:t xml:space="preserve"> of Nylon 6 from the work of Seavey and Liu (2008)</w:t>
      </w:r>
      <w:r w:rsidR="00FE11D3" w:rsidRPr="00A91D23">
        <w:rPr>
          <w:lang w:val="en-US"/>
        </w:rPr>
        <w:t xml:space="preserve"> were used</w:t>
      </w:r>
      <w:r w:rsidR="00CD31EC" w:rsidRPr="00A91D23">
        <w:rPr>
          <w:lang w:val="en-US"/>
        </w:rPr>
        <w:t>. Another factor that may have influenced the result is the limitation of the simulator's operating unit, as the polymerization column was not available in the simulator, it was necessary to perform the simulation using CSTR and PFR reactors to simulate similar column conditions.</w:t>
      </w:r>
      <w:r w:rsidR="00A91D23" w:rsidRPr="00A91D23">
        <w:rPr>
          <w:lang w:val="en-US"/>
        </w:rPr>
        <w:t xml:space="preserve"> </w:t>
      </w:r>
      <w:r w:rsidRPr="00A91D23">
        <w:t xml:space="preserve">However, the simulation conversion was satisfactory despite the polymerization column conversion being lower than reported in the literature. The polymer has a low extractable percentage of 6.51%, which represents a low number of unreacted components, and a high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of 22.866 g/mol, higher than values ​​reported in the literature from 5,000 g/mol to 9,500 g/mol. This high value indicates the formation of a high polymer influencing the qualitative properties of the polymer. The term high polymer refers to the minimum molar mass of a polymer chain that has the physical properties of a polymer, as opposed to a monomer or oligomer.</w:t>
      </w:r>
    </w:p>
    <w:p w14:paraId="58C32277" w14:textId="2B2551FA" w:rsidR="00DA68A4" w:rsidRPr="00337C21" w:rsidRDefault="00180392" w:rsidP="003F22A1">
      <w:r w:rsidRPr="00A91D23">
        <w:t xml:space="preserve">Using the sensitivity analysis tool, several process variables were analysed, varying the mass flow </w:t>
      </w:r>
      <w:r w:rsidR="00F05FE9" w:rsidRPr="00A91D23">
        <w:t xml:space="preserve">rate </w:t>
      </w:r>
      <w:r w:rsidRPr="00A91D23">
        <w:t xml:space="preserve">of the feed stream from 0 to 100 kg/h to determine their influence on the process parameters, as shown in Figure </w:t>
      </w:r>
      <w:r w:rsidR="0049153A" w:rsidRPr="00A91D23">
        <w:t>2</w:t>
      </w:r>
      <w:r w:rsidRPr="00A91D23">
        <w:t>.</w:t>
      </w:r>
      <w:r w:rsidR="0049153A" w:rsidRPr="00A91D23">
        <w:t xml:space="preserve"> </w:t>
      </w:r>
      <w:r w:rsidRPr="00A91D23">
        <w:t xml:space="preserve">Analyses were also carried out in the plug flow reactor to determine the relationship of the variation of the reactor length with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and the DP</w:t>
      </w:r>
      <w:r w:rsidRPr="00A91D23">
        <w:rPr>
          <w:vertAlign w:val="subscript"/>
        </w:rPr>
        <w:t>n</w:t>
      </w:r>
      <w:r w:rsidRPr="00A91D23">
        <w:t>.</w:t>
      </w:r>
      <w:r w:rsidR="003F22A1">
        <w:t xml:space="preserve"> </w:t>
      </w:r>
      <w:r w:rsidRPr="00A91D23">
        <w:t xml:space="preserve">In Figure </w:t>
      </w:r>
      <w:r w:rsidR="0049153A" w:rsidRPr="00A91D23">
        <w:t>2</w:t>
      </w:r>
      <w:r w:rsidR="009C584B" w:rsidRPr="00A91D23">
        <w:t xml:space="preserve"> (A)</w:t>
      </w:r>
      <w:r w:rsidRPr="00A91D23">
        <w:t>, the effects of the variation in the mass flow rate of the feed stream on the DP</w:t>
      </w:r>
      <w:r w:rsidRPr="00A91D23">
        <w:rPr>
          <w:vertAlign w:val="subscript"/>
        </w:rPr>
        <w:t>n</w:t>
      </w:r>
      <w:r w:rsidRPr="00A91D23">
        <w:rPr>
          <w:lang w:val="en-US"/>
        </w:rPr>
        <w:t xml:space="preserve"> and on the </w:t>
      </w:r>
      <m:oMath>
        <m:acc>
          <m:accPr>
            <m:chr m:val="̅"/>
            <m:ctrlPr>
              <w:rPr>
                <w:rFonts w:ascii="Cambria Math" w:hAnsi="Cambria Math"/>
                <w:i/>
              </w:rPr>
            </m:ctrlPr>
          </m:accPr>
          <m:e>
            <m:r>
              <w:rPr>
                <w:rFonts w:ascii="Cambria Math" w:hAnsi="Cambria Math"/>
              </w:rPr>
              <m:t>M</m:t>
            </m:r>
          </m:e>
        </m:acc>
      </m:oMath>
      <w:r w:rsidRPr="00A91D23">
        <w:rPr>
          <w:vertAlign w:val="subscript"/>
          <w:lang w:val="en-US"/>
        </w:rPr>
        <w:t>n</w:t>
      </w:r>
      <w:r w:rsidRPr="00A91D23">
        <w:rPr>
          <w:lang w:val="en-US"/>
        </w:rPr>
        <w:t xml:space="preserve"> </w:t>
      </w:r>
      <w:r w:rsidRPr="00A91D23">
        <w:t xml:space="preserve">are observed. The R1-MWN and R1-DP curves correspond to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and the DP</w:t>
      </w:r>
      <w:r w:rsidRPr="00A91D23">
        <w:rPr>
          <w:vertAlign w:val="subscript"/>
        </w:rPr>
        <w:t>n</w:t>
      </w:r>
      <w:r w:rsidRPr="00A91D23">
        <w:t xml:space="preserve"> of the R1OLIGO stream. Similarly, R2-MWN and R2-DP are from the R2OLIGO stream and R3-MWN and R3-DP are from the POLY1 stream. The profile of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and DP</w:t>
      </w:r>
      <w:r w:rsidRPr="00A91D23">
        <w:rPr>
          <w:vertAlign w:val="subscript"/>
        </w:rPr>
        <w:t>n</w:t>
      </w:r>
      <w:r w:rsidRPr="00A91D23">
        <w:t xml:space="preserve"> curves are superimposed due to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being dependent on the DP</w:t>
      </w:r>
      <w:r w:rsidRPr="00A91D23">
        <w:rPr>
          <w:vertAlign w:val="subscript"/>
        </w:rPr>
        <w:t>n</w:t>
      </w:r>
      <w:r w:rsidRPr="00A91D23">
        <w:t>, which results in a similar behaviour. It is noted that these properties decrease with the increase of feed mass flow</w:t>
      </w:r>
      <w:r w:rsidR="00FE11D3" w:rsidRPr="00A91D23">
        <w:t xml:space="preserve"> rate</w:t>
      </w:r>
      <w:r w:rsidRPr="00A91D23">
        <w:t xml:space="preserve">, because these are related to the conversion of Nylon 12. As conversion decreases with increasing feed mass flow rate, the </w:t>
      </w:r>
      <m:oMath>
        <m:acc>
          <m:accPr>
            <m:chr m:val="̅"/>
            <m:ctrlPr>
              <w:rPr>
                <w:rFonts w:ascii="Cambria Math" w:hAnsi="Cambria Math"/>
                <w:i/>
              </w:rPr>
            </m:ctrlPr>
          </m:accPr>
          <m:e>
            <m:r>
              <w:rPr>
                <w:rFonts w:ascii="Cambria Math" w:hAnsi="Cambria Math"/>
              </w:rPr>
              <m:t>M</m:t>
            </m:r>
          </m:e>
        </m:acc>
      </m:oMath>
      <w:r w:rsidRPr="00A91D23">
        <w:rPr>
          <w:vertAlign w:val="subscript"/>
        </w:rPr>
        <w:t>n</w:t>
      </w:r>
      <w:r w:rsidRPr="00A91D23">
        <w:t xml:space="preserve"> and DP</w:t>
      </w:r>
      <w:r w:rsidRPr="00A91D23">
        <w:rPr>
          <w:vertAlign w:val="subscript"/>
        </w:rPr>
        <w:t>n</w:t>
      </w:r>
      <w:r w:rsidRPr="00A91D23">
        <w:t xml:space="preserve"> of polymers produced in the reactors also decrease. Figure </w:t>
      </w:r>
      <w:r w:rsidR="0049153A" w:rsidRPr="00A91D23">
        <w:t>2</w:t>
      </w:r>
      <w:r w:rsidR="00337C21" w:rsidRPr="00A91D23">
        <w:t xml:space="preserve"> (B) </w:t>
      </w:r>
      <w:r w:rsidRPr="00A91D23">
        <w:t xml:space="preserve">presents the effects of the variation of the feed mass flow </w:t>
      </w:r>
      <w:r w:rsidR="00FE11D3" w:rsidRPr="00A91D23">
        <w:t xml:space="preserve">rate </w:t>
      </w:r>
      <w:r w:rsidRPr="00A91D23">
        <w:t xml:space="preserve">on the conversion. The conversion of laurolactam in all reactors decreases with increasing feed mass flow rate. With </w:t>
      </w:r>
      <w:r w:rsidRPr="007E6CFE">
        <w:t xml:space="preserve">more feed mass flow rate, lesser the residence </w:t>
      </w:r>
      <w:r w:rsidRPr="007E338A">
        <w:t xml:space="preserve">time of the material in the reactors, causing a decrease in the </w:t>
      </w:r>
      <w:r w:rsidRPr="00337C21">
        <w:t xml:space="preserve">laurolactam conversion. The effects of the variation </w:t>
      </w:r>
      <w:r w:rsidRPr="00A91D23">
        <w:t xml:space="preserve">of the feed mass flow stream on the extraction value are presented in Figure </w:t>
      </w:r>
      <w:r w:rsidR="0049153A" w:rsidRPr="00A91D23">
        <w:t>2</w:t>
      </w:r>
      <w:r w:rsidR="00337C21" w:rsidRPr="00A91D23">
        <w:t xml:space="preserve"> (C)</w:t>
      </w:r>
      <w:r w:rsidRPr="00A91D23">
        <w:t xml:space="preserve">. This polymer </w:t>
      </w:r>
      <w:r w:rsidR="00200E65" w:rsidRPr="00A91D23">
        <w:t>property</w:t>
      </w:r>
      <w:r w:rsidRPr="00A91D23">
        <w:t xml:space="preserve"> corresponds to the unreacted components of laurolactam,</w:t>
      </w:r>
      <w:r w:rsidR="00D6323B" w:rsidRPr="00A91D23">
        <w:t xml:space="preserve"> 12-aminododecanoic acid, dimer and water. There is an increase in the extraction value with feed mass flow </w:t>
      </w:r>
      <w:r w:rsidR="00200E65" w:rsidRPr="00A91D23">
        <w:t xml:space="preserve">rate </w:t>
      </w:r>
      <w:r w:rsidR="00D6323B" w:rsidRPr="00A91D23">
        <w:t>due to a decrease in conversion with feed mass flow</w:t>
      </w:r>
      <w:r w:rsidR="00C35A61" w:rsidRPr="00A91D23">
        <w:t xml:space="preserve"> rate</w:t>
      </w:r>
      <w:r w:rsidR="00D6323B" w:rsidRPr="00A91D23">
        <w:t xml:space="preserve">. </w:t>
      </w:r>
    </w:p>
    <w:p w14:paraId="499C27A3" w14:textId="0B15A82A" w:rsidR="00477152" w:rsidRPr="008C7C65" w:rsidRDefault="00EC1061" w:rsidP="0074451E">
      <w:pPr>
        <w:pStyle w:val="CETCaption"/>
        <w:jc w:val="center"/>
      </w:pPr>
      <w:r w:rsidRPr="008C7C65">
        <w:rPr>
          <w:noProof/>
          <w:lang w:val="it-IT" w:eastAsia="it-IT"/>
        </w:rPr>
        <w:lastRenderedPageBreak/>
        <w:drawing>
          <wp:inline distT="0" distB="0" distL="0" distR="0" wp14:anchorId="61B4DF84" wp14:editId="5CB5BA30">
            <wp:extent cx="3520440" cy="2209800"/>
            <wp:effectExtent l="0" t="0" r="3810" b="0"/>
            <wp:docPr id="10" name="Gráfico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6B1E1B-D757-4518-96C1-8D1F61E7B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2297B" w:rsidRPr="008C7C65">
        <w:rPr>
          <w:noProof/>
          <w:lang w:val="it-IT" w:eastAsia="it-IT"/>
        </w:rPr>
        <w:drawing>
          <wp:inline distT="0" distB="0" distL="0" distR="0" wp14:anchorId="5760B519" wp14:editId="5CB73CCC">
            <wp:extent cx="2646218" cy="1849120"/>
            <wp:effectExtent l="0" t="0" r="1905" b="0"/>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8C5344-9BE9-41B4-97F8-26B9004B8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62CCA" w:rsidRPr="008C7C65">
        <w:rPr>
          <w:noProof/>
          <w:lang w:val="it-IT" w:eastAsia="it-IT"/>
        </w:rPr>
        <w:drawing>
          <wp:inline distT="0" distB="0" distL="0" distR="0" wp14:anchorId="1CCBE5AD" wp14:editId="798C930F">
            <wp:extent cx="2694709" cy="1849120"/>
            <wp:effectExtent l="0" t="0" r="0" b="0"/>
            <wp:docPr id="58" name="Gráfico 5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2BFA43-D556-4325-898D-1F9641233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606A4" w:rsidRPr="008C7C65">
        <w:rPr>
          <w:noProof/>
          <w:lang w:val="it-IT" w:eastAsia="it-IT"/>
        </w:rPr>
        <w:drawing>
          <wp:inline distT="0" distB="0" distL="0" distR="0" wp14:anchorId="60F13DF0" wp14:editId="182C35EC">
            <wp:extent cx="2646045" cy="1960418"/>
            <wp:effectExtent l="0" t="0" r="1905" b="1905"/>
            <wp:docPr id="11" name="Gráfico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8CE698-2651-4DB9-8351-550EE2366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D20C4">
        <w:rPr>
          <w:noProof/>
          <w:lang w:val="it-IT" w:eastAsia="it-IT"/>
        </w:rPr>
        <w:drawing>
          <wp:inline distT="0" distB="0" distL="0" distR="0" wp14:anchorId="2456E862" wp14:editId="3B78D5AE">
            <wp:extent cx="2922905" cy="1911350"/>
            <wp:effectExtent l="0" t="0" r="0" b="0"/>
            <wp:docPr id="3" name="Gráfic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3D811-38CA-413C-815F-A817659EFC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C6955F" w14:textId="08C1B54D" w:rsidR="00667E2E" w:rsidRPr="00A91D23" w:rsidRDefault="00F674FF" w:rsidP="008C7C65">
      <w:pPr>
        <w:pStyle w:val="CETCaption"/>
      </w:pPr>
      <w:r w:rsidRPr="00A91D23">
        <w:t xml:space="preserve">Figure </w:t>
      </w:r>
      <w:r w:rsidR="0049153A" w:rsidRPr="00A91D23">
        <w:t>2</w:t>
      </w:r>
      <w:r w:rsidRPr="00A91D23">
        <w:t xml:space="preserve">: </w:t>
      </w:r>
      <w:r w:rsidR="00DA7A20" w:rsidRPr="00A91D23">
        <w:t>Effect</w:t>
      </w:r>
      <w:r w:rsidR="00246903" w:rsidRPr="00A91D23">
        <w:t xml:space="preserve"> varying the feed mass flow</w:t>
      </w:r>
      <w:r w:rsidR="00E92B8F" w:rsidRPr="00A91D23">
        <w:t xml:space="preserve"> </w:t>
      </w:r>
      <w:r w:rsidR="00C921C5" w:rsidRPr="00A91D23">
        <w:t xml:space="preserve">rate </w:t>
      </w:r>
      <w:r w:rsidR="00E92B8F" w:rsidRPr="00A91D23">
        <w:t>in</w:t>
      </w:r>
      <w:r w:rsidR="008A4FDA" w:rsidRPr="00A91D23">
        <w:t xml:space="preserve"> (</w:t>
      </w:r>
      <w:r w:rsidR="00153951" w:rsidRPr="00A91D23">
        <w:t>A</w:t>
      </w:r>
      <w:r w:rsidR="008A4FDA" w:rsidRPr="00A91D23">
        <w:t xml:space="preserve">) </w:t>
      </w:r>
      <m:oMath>
        <m:acc>
          <m:accPr>
            <m:chr m:val="̅"/>
            <m:ctrlPr>
              <w:rPr>
                <w:rFonts w:ascii="Cambria Math" w:hAnsi="Cambria Math"/>
              </w:rPr>
            </m:ctrlPr>
          </m:accPr>
          <m:e>
            <m:r>
              <w:rPr>
                <w:rFonts w:ascii="Cambria Math" w:hAnsi="Cambria Math"/>
              </w:rPr>
              <m:t>M</m:t>
            </m:r>
          </m:e>
        </m:acc>
      </m:oMath>
      <w:r w:rsidR="00AE77CE" w:rsidRPr="00A91D23">
        <w:rPr>
          <w:vertAlign w:val="subscript"/>
        </w:rPr>
        <w:t>n</w:t>
      </w:r>
      <w:r w:rsidR="00E92B8F" w:rsidRPr="00A91D23">
        <w:t xml:space="preserve"> and </w:t>
      </w:r>
      <w:r w:rsidR="00AE77CE" w:rsidRPr="00A91D23">
        <w:t>DP</w:t>
      </w:r>
      <w:r w:rsidR="00AE77CE" w:rsidRPr="00A91D23">
        <w:rPr>
          <w:vertAlign w:val="subscript"/>
        </w:rPr>
        <w:t>n</w:t>
      </w:r>
      <w:r w:rsidR="00153951" w:rsidRPr="00A91D23">
        <w:t xml:space="preserve">, (B) </w:t>
      </w:r>
      <w:r w:rsidR="00337C21" w:rsidRPr="00A91D23">
        <w:t>X</w:t>
      </w:r>
      <w:r w:rsidR="00337C21" w:rsidRPr="00A91D23">
        <w:rPr>
          <w:vertAlign w:val="subscript"/>
        </w:rPr>
        <w:t>LL</w:t>
      </w:r>
      <w:r w:rsidR="00153951" w:rsidRPr="00A91D23">
        <w:t xml:space="preserve">, (C) </w:t>
      </w:r>
      <w:r w:rsidR="00BB72B8" w:rsidRPr="00A91D23">
        <w:t>extraction value</w:t>
      </w:r>
      <w:r w:rsidR="00F148EC" w:rsidRPr="00A91D23">
        <w:t xml:space="preserve"> and (D) water </w:t>
      </w:r>
      <w:r w:rsidR="00BB72B8" w:rsidRPr="00A91D23">
        <w:t>weight</w:t>
      </w:r>
      <w:r w:rsidR="00F148EC" w:rsidRPr="00A91D23">
        <w:t xml:space="preserve"> fraction </w:t>
      </w:r>
      <w:r w:rsidR="00246903" w:rsidRPr="00A91D23">
        <w:t xml:space="preserve">and varying the length in (E) </w:t>
      </w:r>
      <m:oMath>
        <m:acc>
          <m:accPr>
            <m:chr m:val="̅"/>
            <m:ctrlPr>
              <w:rPr>
                <w:rFonts w:ascii="Cambria Math" w:hAnsi="Cambria Math"/>
              </w:rPr>
            </m:ctrlPr>
          </m:accPr>
          <m:e>
            <m:r>
              <w:rPr>
                <w:rFonts w:ascii="Cambria Math" w:hAnsi="Cambria Math"/>
              </w:rPr>
              <m:t>M</m:t>
            </m:r>
          </m:e>
        </m:acc>
      </m:oMath>
      <w:r w:rsidR="00AE77CE" w:rsidRPr="00A91D23">
        <w:rPr>
          <w:vertAlign w:val="subscript"/>
        </w:rPr>
        <w:t>n</w:t>
      </w:r>
      <w:r w:rsidR="00246903" w:rsidRPr="00A91D23">
        <w:t xml:space="preserve"> and </w:t>
      </w:r>
      <w:r w:rsidR="00AE77CE" w:rsidRPr="00A91D23">
        <w:t>DP</w:t>
      </w:r>
      <w:r w:rsidR="00AE77CE" w:rsidRPr="00A91D23">
        <w:rPr>
          <w:vertAlign w:val="subscript"/>
        </w:rPr>
        <w:t>n</w:t>
      </w:r>
    </w:p>
    <w:p w14:paraId="48BC154D" w14:textId="7C98682D" w:rsidR="00DD2162" w:rsidRPr="0007581C" w:rsidRDefault="00963282" w:rsidP="00C319FC">
      <w:r w:rsidRPr="00010160">
        <w:t xml:space="preserve">In Figure </w:t>
      </w:r>
      <w:r w:rsidR="007B6A42" w:rsidRPr="00010160">
        <w:t>2</w:t>
      </w:r>
      <w:r w:rsidR="00337C21" w:rsidRPr="00010160">
        <w:t xml:space="preserve"> (D)</w:t>
      </w:r>
      <w:r w:rsidRPr="00010160">
        <w:t xml:space="preserve">, the effect of the variation of the feed stream mass flow </w:t>
      </w:r>
      <w:r w:rsidR="009976A1" w:rsidRPr="00010160">
        <w:t xml:space="preserve">rate </w:t>
      </w:r>
      <w:r w:rsidRPr="00010160">
        <w:t xml:space="preserve">on the water </w:t>
      </w:r>
      <w:r w:rsidR="00337C21" w:rsidRPr="00010160">
        <w:t>weight fraction</w:t>
      </w:r>
      <w:r w:rsidRPr="00010160">
        <w:t xml:space="preserve"> in the reactors input streams is shown. With the increase </w:t>
      </w:r>
      <w:r w:rsidRPr="003F22A1">
        <w:t>in</w:t>
      </w:r>
      <w:r w:rsidR="00546BCA" w:rsidRPr="003F22A1">
        <w:t xml:space="preserve"> feed</w:t>
      </w:r>
      <w:r w:rsidRPr="003F22A1">
        <w:t xml:space="preserve"> mass flow</w:t>
      </w:r>
      <w:r w:rsidR="009976A1" w:rsidRPr="003F22A1">
        <w:t xml:space="preserve"> rate</w:t>
      </w:r>
      <w:r w:rsidRPr="003F22A1">
        <w:t>, there is an increase in the</w:t>
      </w:r>
      <w:r w:rsidR="00010160" w:rsidRPr="003F22A1">
        <w:t xml:space="preserve"> water weight fraction</w:t>
      </w:r>
      <w:r w:rsidRPr="003F22A1">
        <w:t xml:space="preserve"> in </w:t>
      </w:r>
      <w:r w:rsidR="00A91D23" w:rsidRPr="003F22A1">
        <w:t>R1OLIGO</w:t>
      </w:r>
      <w:r w:rsidRPr="003F22A1">
        <w:t xml:space="preserve"> in the CSTR2 reactor and in</w:t>
      </w:r>
      <w:r w:rsidR="00A91D23" w:rsidRPr="003F22A1">
        <w:t xml:space="preserve"> R2OLIGO in the</w:t>
      </w:r>
      <w:r w:rsidRPr="003F22A1">
        <w:t xml:space="preserve"> </w:t>
      </w:r>
      <w:r w:rsidR="007B6A42" w:rsidRPr="003F22A1">
        <w:t>PLUG</w:t>
      </w:r>
      <w:r w:rsidR="00337C21" w:rsidRPr="003F22A1">
        <w:t xml:space="preserve"> reactor</w:t>
      </w:r>
      <w:r w:rsidRPr="003F22A1">
        <w:t xml:space="preserve">. </w:t>
      </w:r>
      <w:r w:rsidR="00010160" w:rsidRPr="003F22A1">
        <w:t xml:space="preserve">These increase in the streams R1OLIGO and R2OLIGO occurs because the </w:t>
      </w:r>
      <w:r w:rsidR="00BD2189" w:rsidRPr="003F22A1">
        <w:t>X</w:t>
      </w:r>
      <w:r w:rsidR="00BD2189" w:rsidRPr="003F22A1">
        <w:rPr>
          <w:vertAlign w:val="subscript"/>
        </w:rPr>
        <w:t>LL</w:t>
      </w:r>
      <w:r w:rsidR="00BD2189" w:rsidRPr="003F22A1">
        <w:t xml:space="preserve"> is decreasing, consequently, more water will be in the process. </w:t>
      </w:r>
      <w:r w:rsidRPr="003F22A1">
        <w:t xml:space="preserve">This occurs because water acts as an initiator for the polymerization </w:t>
      </w:r>
      <w:r w:rsidRPr="00963282">
        <w:t xml:space="preserve">of Nylon 12 in hydrolytic ring opening reactions, however, in polycondensation reactions it acts in the reverse direction of the reactions, decreasing the conversion of laurolactam. The main hydrolytic ring opening reactions take place in the upper section (CSTR1) with the unconverted water being recycled to the feed stream. In the middle and lower section, few hydrolytic </w:t>
      </w:r>
      <w:r w:rsidR="0001460F">
        <w:t xml:space="preserve">ROR </w:t>
      </w:r>
      <w:r w:rsidRPr="00963282">
        <w:t xml:space="preserve">occur and polycondensation and polyaddition reactions start, therefore, the presence of water to increase the conversion is undesirable. In the </w:t>
      </w:r>
      <w:r w:rsidR="003A5B7F">
        <w:t>intermediate</w:t>
      </w:r>
      <w:r w:rsidRPr="00963282">
        <w:t xml:space="preserve"> section, unconverted water is recycled into the </w:t>
      </w:r>
      <w:r w:rsidR="0001460F">
        <w:t>FEED</w:t>
      </w:r>
      <w:r w:rsidRPr="00963282">
        <w:t xml:space="preserve">, so a </w:t>
      </w:r>
      <w:r w:rsidRPr="0007581C">
        <w:t xml:space="preserve">greater </w:t>
      </w:r>
      <w:r w:rsidRPr="0001460F">
        <w:t xml:space="preserve">variation in the </w:t>
      </w:r>
      <w:r w:rsidR="0001460F" w:rsidRPr="0001460F">
        <w:t xml:space="preserve">R1OLIGO </w:t>
      </w:r>
      <w:r w:rsidRPr="0001460F">
        <w:t>can be seen.</w:t>
      </w:r>
    </w:p>
    <w:p w14:paraId="446F551C" w14:textId="6DC0CA37" w:rsidR="00963282" w:rsidRDefault="00963282" w:rsidP="00C319FC">
      <w:r w:rsidRPr="0007581C">
        <w:t xml:space="preserve">A sensitivity analysis was carried out in the lower section to evaluate the profile of the </w:t>
      </w:r>
      <m:oMath>
        <m:acc>
          <m:accPr>
            <m:chr m:val="̅"/>
            <m:ctrlPr>
              <w:rPr>
                <w:rFonts w:ascii="Cambria Math" w:hAnsi="Cambria Math"/>
                <w:i/>
              </w:rPr>
            </m:ctrlPr>
          </m:accPr>
          <m:e>
            <m:r>
              <w:rPr>
                <w:rFonts w:ascii="Cambria Math" w:hAnsi="Cambria Math"/>
              </w:rPr>
              <m:t>M</m:t>
            </m:r>
          </m:e>
        </m:acc>
      </m:oMath>
      <w:r w:rsidR="009E2B69" w:rsidRPr="0007581C">
        <w:rPr>
          <w:vertAlign w:val="subscript"/>
        </w:rPr>
        <w:t>n</w:t>
      </w:r>
      <w:r w:rsidR="009E2B69" w:rsidRPr="0007581C">
        <w:t xml:space="preserve"> and </w:t>
      </w:r>
      <w:r w:rsidR="009E2B69" w:rsidRPr="003F22A1">
        <w:t>DP</w:t>
      </w:r>
      <w:r w:rsidR="009E2B69" w:rsidRPr="003F22A1">
        <w:rPr>
          <w:vertAlign w:val="subscript"/>
        </w:rPr>
        <w:t>n</w:t>
      </w:r>
      <w:r w:rsidRPr="003F22A1">
        <w:t xml:space="preserve"> as the flow passes through the </w:t>
      </w:r>
      <w:r w:rsidR="003A5B7F" w:rsidRPr="003F22A1">
        <w:t xml:space="preserve">plug flow </w:t>
      </w:r>
      <w:r w:rsidRPr="003F22A1">
        <w:t xml:space="preserve">reactor, that is, the variation in the length of the reactor as shown in Figure </w:t>
      </w:r>
      <w:r w:rsidR="007B6A42" w:rsidRPr="003F22A1">
        <w:t>2 (E)</w:t>
      </w:r>
      <w:r w:rsidRPr="003F22A1">
        <w:t xml:space="preserve">. </w:t>
      </w:r>
      <w:r w:rsidRPr="003F22A1">
        <w:lastRenderedPageBreak/>
        <w:t xml:space="preserve">It is observed in the graph that both the </w:t>
      </w:r>
      <w:r w:rsidR="007B6A42" w:rsidRPr="003F22A1">
        <w:t>R3-</w:t>
      </w:r>
      <w:r w:rsidRPr="003F22A1">
        <w:t xml:space="preserve">DPN and </w:t>
      </w:r>
      <w:r w:rsidR="007B6A42" w:rsidRPr="003F22A1">
        <w:t>R3-</w:t>
      </w:r>
      <w:r w:rsidRPr="003F22A1">
        <w:t xml:space="preserve">MWN curves overlap, as the </w:t>
      </w:r>
      <m:oMath>
        <m:acc>
          <m:accPr>
            <m:chr m:val="̅"/>
            <m:ctrlPr>
              <w:rPr>
                <w:rFonts w:ascii="Cambria Math" w:hAnsi="Cambria Math"/>
                <w:i/>
              </w:rPr>
            </m:ctrlPr>
          </m:accPr>
          <m:e>
            <m:r>
              <w:rPr>
                <w:rFonts w:ascii="Cambria Math" w:hAnsi="Cambria Math"/>
              </w:rPr>
              <m:t>M</m:t>
            </m:r>
          </m:e>
        </m:acc>
      </m:oMath>
      <w:r w:rsidR="006428C7" w:rsidRPr="003F22A1">
        <w:rPr>
          <w:vertAlign w:val="subscript"/>
        </w:rPr>
        <w:t>n</w:t>
      </w:r>
      <w:r w:rsidRPr="003F22A1">
        <w:t xml:space="preserve"> is dependent on the</w:t>
      </w:r>
      <w:r w:rsidRPr="007B6A42">
        <w:t xml:space="preserve"> </w:t>
      </w:r>
      <w:r w:rsidR="006428C7" w:rsidRPr="007B6A42">
        <w:t>DP</w:t>
      </w:r>
      <w:r w:rsidR="006428C7" w:rsidRPr="007B6A42">
        <w:rPr>
          <w:vertAlign w:val="subscript"/>
        </w:rPr>
        <w:t>n</w:t>
      </w:r>
      <w:r w:rsidRPr="007B6A42">
        <w:t xml:space="preserve"> and increases as the length of the p</w:t>
      </w:r>
      <w:r w:rsidR="003A5B7F" w:rsidRPr="007B6A42">
        <w:t>lug flow</w:t>
      </w:r>
      <w:r w:rsidRPr="007B6A42">
        <w:t xml:space="preserve"> reactor increases, reaching an equilibrium value at the end</w:t>
      </w:r>
      <w:r w:rsidRPr="0007581C">
        <w:t xml:space="preserve"> of the reactor. </w:t>
      </w:r>
      <w:r w:rsidR="00747119" w:rsidRPr="0007581C">
        <w:t>Both</w:t>
      </w:r>
      <w:r w:rsidRPr="0007581C">
        <w:t xml:space="preserve"> curves have an ascending profile in the reactor from 0 to 1.8 meters, indicating that the reactions and conversion to </w:t>
      </w:r>
      <w:r w:rsidR="00747119" w:rsidRPr="0007581C">
        <w:t>N</w:t>
      </w:r>
      <w:r w:rsidRPr="0007581C">
        <w:t xml:space="preserve">ylon 12 are taking place. However, it is observed that at the end of the reactor from 1.8 to 3 meters there is a decrease in </w:t>
      </w:r>
      <m:oMath>
        <m:acc>
          <m:accPr>
            <m:chr m:val="̅"/>
            <m:ctrlPr>
              <w:rPr>
                <w:rFonts w:ascii="Cambria Math" w:hAnsi="Cambria Math"/>
                <w:i/>
              </w:rPr>
            </m:ctrlPr>
          </m:accPr>
          <m:e>
            <m:r>
              <w:rPr>
                <w:rFonts w:ascii="Cambria Math" w:hAnsi="Cambria Math"/>
              </w:rPr>
              <m:t>M</m:t>
            </m:r>
          </m:e>
        </m:acc>
      </m:oMath>
      <w:r w:rsidR="0007581C" w:rsidRPr="0007581C">
        <w:rPr>
          <w:vertAlign w:val="subscript"/>
        </w:rPr>
        <w:t>n</w:t>
      </w:r>
      <w:r w:rsidRPr="0007581C">
        <w:t xml:space="preserve"> and </w:t>
      </w:r>
      <w:r w:rsidR="007B6A42" w:rsidRPr="007B6A42">
        <w:t>DP</w:t>
      </w:r>
      <w:r w:rsidR="007B6A42" w:rsidRPr="007B6A42">
        <w:rPr>
          <w:vertAlign w:val="subscript"/>
        </w:rPr>
        <w:t>n</w:t>
      </w:r>
      <w:r w:rsidRPr="007B6A42">
        <w:t>, due to</w:t>
      </w:r>
      <w:r w:rsidRPr="0007581C">
        <w:t xml:space="preserve"> the presence of water in the reaction shifting the reaction direction to the reverse direction.</w:t>
      </w:r>
    </w:p>
    <w:p w14:paraId="22FB752B" w14:textId="16EAD95B" w:rsidR="00977F43" w:rsidRPr="00501659" w:rsidRDefault="0014424F" w:rsidP="003D7DDE">
      <w:pPr>
        <w:pStyle w:val="CETHeading1"/>
        <w:rPr>
          <w:lang w:val="en-GB"/>
        </w:rPr>
      </w:pPr>
      <w:r w:rsidRPr="00347673">
        <w:rPr>
          <w:lang w:val="en-GB"/>
        </w:rPr>
        <w:t>Conclusions</w:t>
      </w:r>
    </w:p>
    <w:p w14:paraId="58C1C65C" w14:textId="27BFAD74" w:rsidR="0057730B" w:rsidRPr="00457E27" w:rsidRDefault="00963282" w:rsidP="003D7DDE">
      <w:pPr>
        <w:rPr>
          <w:highlight w:val="yellow"/>
        </w:rPr>
      </w:pPr>
      <w:r w:rsidRPr="006B0B1D">
        <w:t xml:space="preserve">The results presented from the simulation of hydrolytic </w:t>
      </w:r>
      <w:r w:rsidR="00770C5C">
        <w:t xml:space="preserve">ROP </w:t>
      </w:r>
      <w:r w:rsidRPr="006B0B1D">
        <w:t xml:space="preserve">of Nylon 12 performed in the </w:t>
      </w:r>
      <w:r w:rsidRPr="006B0B1D">
        <w:rPr>
          <w:i/>
          <w:iCs/>
        </w:rPr>
        <w:t>Aspen Polymer Plus®</w:t>
      </w:r>
      <w:r w:rsidRPr="006B0B1D">
        <w:t xml:space="preserve"> </w:t>
      </w:r>
      <w:r w:rsidRPr="00457E27">
        <w:t xml:space="preserve">simulator demonstrated that the polymerization simulation is </w:t>
      </w:r>
      <w:r w:rsidR="009B6686" w:rsidRPr="00457E27">
        <w:t>viable</w:t>
      </w:r>
      <w:r w:rsidRPr="00457E27">
        <w:t xml:space="preserve"> to be carried out, since it was possible to observe the formation of a polymer with high conversion of 94.41</w:t>
      </w:r>
      <w:r w:rsidR="00DD1D25" w:rsidRPr="00457E27">
        <w:t xml:space="preserve"> </w:t>
      </w:r>
      <w:r w:rsidRPr="00457E27">
        <w:t>% and high molar mass of 22.866 g/mol</w:t>
      </w:r>
      <w:r w:rsidR="00631273" w:rsidRPr="00457E27">
        <w:t>.</w:t>
      </w:r>
      <w:r w:rsidRPr="00457E27">
        <w:rPr>
          <w:lang w:val="en-US"/>
        </w:rPr>
        <w:t xml:space="preserve"> </w:t>
      </w:r>
      <w:r w:rsidR="00640802" w:rsidRPr="00457E27">
        <w:rPr>
          <w:lang w:val="en-US"/>
        </w:rPr>
        <w:t>In the literature</w:t>
      </w:r>
      <w:r w:rsidR="003D112D" w:rsidRPr="00457E27">
        <w:rPr>
          <w:lang w:val="en-US"/>
        </w:rPr>
        <w:t>,</w:t>
      </w:r>
      <w:r w:rsidR="00640802" w:rsidRPr="00457E27">
        <w:rPr>
          <w:lang w:val="en-US"/>
        </w:rPr>
        <w:t xml:space="preserve"> it is reported</w:t>
      </w:r>
      <w:r w:rsidR="00B530DB" w:rsidRPr="00457E27">
        <w:rPr>
          <w:lang w:val="en-US"/>
        </w:rPr>
        <w:t xml:space="preserve"> in t</w:t>
      </w:r>
      <w:r w:rsidR="00FF0648" w:rsidRPr="00457E27">
        <w:rPr>
          <w:lang w:val="en-US"/>
        </w:rPr>
        <w:t>he experimental work</w:t>
      </w:r>
      <w:r w:rsidR="00640802" w:rsidRPr="00457E27">
        <w:rPr>
          <w:lang w:val="en-US"/>
        </w:rPr>
        <w:t xml:space="preserve"> the formation of </w:t>
      </w:r>
      <w:r w:rsidR="00014ACF" w:rsidRPr="00457E27">
        <w:rPr>
          <w:lang w:val="en-US"/>
        </w:rPr>
        <w:t>N</w:t>
      </w:r>
      <w:r w:rsidR="00640802" w:rsidRPr="00457E27">
        <w:rPr>
          <w:lang w:val="en-US"/>
        </w:rPr>
        <w:t>ylon 12 with 99.5</w:t>
      </w:r>
      <w:r w:rsidR="00DD1D25" w:rsidRPr="00457E27">
        <w:rPr>
          <w:lang w:val="en-US"/>
        </w:rPr>
        <w:t xml:space="preserve"> </w:t>
      </w:r>
      <w:r w:rsidR="00640802" w:rsidRPr="00457E27">
        <w:rPr>
          <w:lang w:val="en-US"/>
        </w:rPr>
        <w:t xml:space="preserve">% conversion and molar mass between 5000 g/mol to 9500 g/mol. </w:t>
      </w:r>
      <w:r w:rsidRPr="00457E27">
        <w:t xml:space="preserve">Evaluating polymer properties such as conversion and </w:t>
      </w:r>
      <w:r w:rsidR="00847DFF" w:rsidRPr="00457E27">
        <w:t>molar mass</w:t>
      </w:r>
      <w:r w:rsidRPr="00457E27">
        <w:t xml:space="preserve"> is extremely important, since such properties have a significant impact on the characteristics of the final product and its application. The analysis of the mass flow </w:t>
      </w:r>
      <w:r w:rsidR="00C44F5E" w:rsidRPr="00457E27">
        <w:t xml:space="preserve">rate </w:t>
      </w:r>
      <w:r w:rsidRPr="00457E27">
        <w:t xml:space="preserve">variation profiles with several variables allowed a better understanding of the process. The simulation allowed to identify the relationship between the various polymer variables such as the conversion that decreases with increasing </w:t>
      </w:r>
      <w:r w:rsidR="00D5034F" w:rsidRPr="00457E27">
        <w:t xml:space="preserve">feed </w:t>
      </w:r>
      <w:r w:rsidRPr="00457E27">
        <w:t>mass flow</w:t>
      </w:r>
      <w:r w:rsidR="00C44F5E" w:rsidRPr="00457E27">
        <w:t xml:space="preserve"> rate</w:t>
      </w:r>
      <w:r w:rsidRPr="00457E27">
        <w:t xml:space="preserve">, consequently decreasing the </w:t>
      </w:r>
      <m:oMath>
        <m:acc>
          <m:accPr>
            <m:chr m:val="̅"/>
            <m:ctrlPr>
              <w:rPr>
                <w:rFonts w:ascii="Cambria Math" w:hAnsi="Cambria Math"/>
                <w:i/>
              </w:rPr>
            </m:ctrlPr>
          </m:accPr>
          <m:e>
            <m:r>
              <w:rPr>
                <w:rFonts w:ascii="Cambria Math" w:hAnsi="Cambria Math"/>
              </w:rPr>
              <m:t>M</m:t>
            </m:r>
          </m:e>
        </m:acc>
      </m:oMath>
      <w:r w:rsidR="00D5034F" w:rsidRPr="00457E27">
        <w:rPr>
          <w:vertAlign w:val="subscript"/>
        </w:rPr>
        <w:t>n</w:t>
      </w:r>
      <w:r w:rsidR="00D5034F" w:rsidRPr="00457E27">
        <w:t xml:space="preserve"> and </w:t>
      </w:r>
      <w:r w:rsidR="007B6A42" w:rsidRPr="00457E27">
        <w:t>DP</w:t>
      </w:r>
      <w:r w:rsidR="007B6A42" w:rsidRPr="00457E27">
        <w:rPr>
          <w:vertAlign w:val="subscript"/>
        </w:rPr>
        <w:t>n</w:t>
      </w:r>
      <w:r w:rsidRPr="00457E27">
        <w:t xml:space="preserve"> and increasing the </w:t>
      </w:r>
      <w:r w:rsidR="005806E4" w:rsidRPr="00457E27">
        <w:t>extraction value</w:t>
      </w:r>
      <w:r w:rsidRPr="00457E27">
        <w:t xml:space="preserve">. The simulation proved to be important because it allows to carry out studies related to the </w:t>
      </w:r>
      <w:r w:rsidR="005806E4" w:rsidRPr="00457E27">
        <w:t xml:space="preserve">hydrolytic ring opening </w:t>
      </w:r>
      <w:r w:rsidRPr="00457E27">
        <w:t>polymerization process of Nylon 12 with greater agility. The results allowed a better understanding of the process and can be applied in the optimization of the experimental plant.</w:t>
      </w:r>
    </w:p>
    <w:p w14:paraId="7F975877" w14:textId="77777777" w:rsidR="00AA0AB0" w:rsidRPr="00B57B36" w:rsidRDefault="00AA0AB0" w:rsidP="00AA0AB0">
      <w:pPr>
        <w:pStyle w:val="CETAcknowledgementstitle"/>
      </w:pPr>
      <w:r w:rsidRPr="00D77AC0">
        <w:t>Acknowledgments</w:t>
      </w:r>
    </w:p>
    <w:p w14:paraId="3F7ED3FD" w14:textId="58C39C28" w:rsidR="00AA0AB0" w:rsidRPr="00AA0AB0" w:rsidRDefault="006F037A" w:rsidP="00AA0AB0">
      <w:pPr>
        <w:pStyle w:val="CETBodytext"/>
        <w:rPr>
          <w:lang w:val="en-GB"/>
        </w:rPr>
      </w:pPr>
      <w:r w:rsidRPr="006F037A">
        <w:rPr>
          <w:lang w:val="en-GB"/>
        </w:rPr>
        <w:t>The authors would like to thank grant #2015/20630-4 São Paulo Research Foundation (FAPESP)</w:t>
      </w:r>
      <w:r>
        <w:rPr>
          <w:lang w:val="en-GB"/>
        </w:rPr>
        <w:t xml:space="preserve">, </w:t>
      </w:r>
      <w:r w:rsidR="001B5009">
        <w:rPr>
          <w:lang w:val="en-GB"/>
        </w:rPr>
        <w:t xml:space="preserve">CAPES </w:t>
      </w:r>
      <w:r w:rsidR="008310FD">
        <w:rPr>
          <w:lang w:val="en-GB"/>
        </w:rPr>
        <w:t>and CNP</w:t>
      </w:r>
      <w:r w:rsidR="00734261">
        <w:rPr>
          <w:lang w:val="en-GB"/>
        </w:rPr>
        <w:t>q</w:t>
      </w:r>
      <w:r w:rsidR="008310FD">
        <w:rPr>
          <w:lang w:val="en-GB"/>
        </w:rPr>
        <w:t>.</w:t>
      </w:r>
    </w:p>
    <w:p w14:paraId="6EE6335D" w14:textId="49558B8E" w:rsidR="00C44F5E" w:rsidRPr="00457E27" w:rsidRDefault="00551887" w:rsidP="00551887">
      <w:pPr>
        <w:pStyle w:val="CETReference"/>
      </w:pPr>
      <w:r w:rsidRPr="00B57B36">
        <w:t>References</w:t>
      </w:r>
    </w:p>
    <w:p w14:paraId="77457E3C" w14:textId="77777777" w:rsidR="0032197E" w:rsidRPr="0032197E" w:rsidRDefault="0032197E" w:rsidP="0032197E">
      <w:pPr>
        <w:pStyle w:val="CETReferencetext"/>
      </w:pPr>
      <w:r w:rsidRPr="0032197E">
        <w:t>Advincula R. C., Dizon J. R. C., Chen Q., Niu I., Chung J., Kilpatrick L., Newman R., 2020, Additive manufacturing for COVID-19: Devices, materials, prospects, and challenges. Mrs Communications, Cambridge, UK, 10, 3, 413–427.</w:t>
      </w:r>
    </w:p>
    <w:p w14:paraId="4008C80C" w14:textId="77777777" w:rsidR="0032197E" w:rsidRPr="0032197E" w:rsidRDefault="0032197E" w:rsidP="0032197E">
      <w:pPr>
        <w:pStyle w:val="CETReferencetext"/>
      </w:pPr>
      <w:r w:rsidRPr="0032197E">
        <w:t xml:space="preserve">Amin D., Nguyen N., Roser S. M. Abramowicz S., 2020, 3D Printing of Face Shields During COVID-19 Pandemic: A Technical Note. Journal of Oral and Maxillofacial Surgery, 78, 8, 1275–1278. </w:t>
      </w:r>
    </w:p>
    <w:p w14:paraId="2BEF3EC4" w14:textId="77777777" w:rsidR="0032197E" w:rsidRPr="0032197E" w:rsidRDefault="0032197E" w:rsidP="0032197E">
      <w:pPr>
        <w:pStyle w:val="CETReferencetext"/>
      </w:pPr>
      <w:r w:rsidRPr="0032197E">
        <w:t>Griehl W., Ruesteivei D., 1970, Nylon-12-Preparation, Properties, and Applications. Industrial and Engineering Chemistry, 62, 3, 16–22.</w:t>
      </w:r>
    </w:p>
    <w:p w14:paraId="1447A6D8" w14:textId="77777777" w:rsidR="0032197E" w:rsidRPr="0032197E" w:rsidRDefault="0032197E" w:rsidP="0032197E">
      <w:pPr>
        <w:pStyle w:val="CETReferencetext"/>
      </w:pPr>
      <w:r w:rsidRPr="0032197E">
        <w:t xml:space="preserve">Kawakami A., Shimada T., Tsumiyama T., Yamaguchi H., 1994, Continuous Polymerization Method of Laurolactam and Apparatus Therefor. US n. 5362448, 12 oct. 1993, 8 nov. 1994. 179–191. </w:t>
      </w:r>
    </w:p>
    <w:p w14:paraId="1BD86471" w14:textId="77777777" w:rsidR="0032197E" w:rsidRPr="0032197E" w:rsidRDefault="0032197E" w:rsidP="0032197E">
      <w:pPr>
        <w:pStyle w:val="CETReferencetext"/>
      </w:pPr>
      <w:r w:rsidRPr="0032197E">
        <w:t>Kyulavska M., Toncheva-Moncheva N., Rydz J., 2019, Biobased Polyamide Ecomaterials and Their Susceptibility to Biodegradation. In: Martínez L., Kharissova O., Kharisov B. (eds) Handbook of Ecomaterials. Springer, 2019. Cap. 118. p. 2902-2927.</w:t>
      </w:r>
    </w:p>
    <w:p w14:paraId="579210D3" w14:textId="77777777" w:rsidR="0032197E" w:rsidRPr="0032197E" w:rsidRDefault="0032197E" w:rsidP="0032197E">
      <w:pPr>
        <w:pStyle w:val="CETReferencetext"/>
      </w:pPr>
      <w:r w:rsidRPr="0032197E">
        <w:t>Mostafa K. G., Montemagno C., Qureshi A. J., 2018, Strength to cost ratio analysis of FDM Nylon 12 3D Printed Parts. Procedia Manufacturing, 26, 753–762 &lt;doi.org/10.1016/j.promfg.2018.07.086&gt; accessed 06.12.21.</w:t>
      </w:r>
    </w:p>
    <w:p w14:paraId="199C5D53" w14:textId="77777777" w:rsidR="0032197E" w:rsidRPr="0032197E" w:rsidRDefault="0032197E" w:rsidP="0032197E">
      <w:pPr>
        <w:pStyle w:val="CETReferencetext"/>
      </w:pPr>
      <w:r w:rsidRPr="0032197E">
        <w:t>Patti A., Cicala G., Tosto C., Saitta L., Acierno D., 2021, Characterization of 3D printed highly filled composite: Structure, thermal diffusivity and dynamic-mechanical analysis. Chemical Engineering Transactions, 86, 1537-1542 &lt;10.3303/CET2186257&gt;.</w:t>
      </w:r>
    </w:p>
    <w:p w14:paraId="1EB4F77F" w14:textId="77777777" w:rsidR="0032197E" w:rsidRPr="0032197E" w:rsidRDefault="0032197E" w:rsidP="0032197E">
      <w:pPr>
        <w:pStyle w:val="CETReferencetext"/>
      </w:pPr>
      <w:r w:rsidRPr="0032197E">
        <w:t>Rahim T. N. A. T., Abdullah A. M., Akil H. M., Mohamad D., Rajion Z. A., 2017, The improvement of mechanical and thermal properties of polyamide 12 3D printed parts by fused deposition modelling. Express Polymer Letters , 11, 12, 963–982.</w:t>
      </w:r>
    </w:p>
    <w:p w14:paraId="1F877B69" w14:textId="77777777" w:rsidR="0032197E" w:rsidRPr="0032197E" w:rsidRDefault="0032197E" w:rsidP="0032197E">
      <w:pPr>
        <w:pStyle w:val="CETReferencetext"/>
      </w:pPr>
      <w:r w:rsidRPr="0032197E">
        <w:t>Russo S., Casazza E., 2012, Ring-Opening Polymerization of Cyclic Amides (Lactams). In: MATYJASZEWSKI, Krzysztof. Polymer Science: A Comprehensive Reference. Elsevier Science. Chap. 4.14. p. 331-396.</w:t>
      </w:r>
    </w:p>
    <w:p w14:paraId="52921178" w14:textId="12B9BB96" w:rsidR="004750CF" w:rsidRPr="0032197E" w:rsidRDefault="0032197E" w:rsidP="006D1ED5">
      <w:pPr>
        <w:pStyle w:val="CETReferencetext"/>
      </w:pPr>
      <w:r w:rsidRPr="0032197E">
        <w:t>Seavey K. C., Liu Y. A.,2008, Step</w:t>
      </w:r>
      <w:r w:rsidRPr="0032197E">
        <w:rPr>
          <w:rFonts w:ascii="Cambria Math" w:hAnsi="Cambria Math" w:cs="Cambria Math"/>
        </w:rPr>
        <w:t>‐</w:t>
      </w:r>
      <w:r w:rsidRPr="0032197E">
        <w:t>Growth Polymerization Process Modeling and Product Design. John Wiley &amp; Sons, 393-461.</w:t>
      </w:r>
    </w:p>
    <w:sectPr w:rsidR="004750CF" w:rsidRPr="0032197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81FCF" w14:textId="77777777" w:rsidR="009724BB" w:rsidRDefault="009724BB" w:rsidP="004F5E36">
      <w:r>
        <w:separator/>
      </w:r>
    </w:p>
  </w:endnote>
  <w:endnote w:type="continuationSeparator" w:id="0">
    <w:p w14:paraId="48A53F6C" w14:textId="77777777" w:rsidR="009724BB" w:rsidRDefault="009724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roid Sans">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A78CA" w14:textId="77777777" w:rsidR="009724BB" w:rsidRDefault="009724BB" w:rsidP="004F5E36">
      <w:r>
        <w:separator/>
      </w:r>
    </w:p>
  </w:footnote>
  <w:footnote w:type="continuationSeparator" w:id="0">
    <w:p w14:paraId="6379BC6C" w14:textId="77777777" w:rsidR="009724BB" w:rsidRDefault="009724B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0042E5"/>
    <w:multiLevelType w:val="hybridMultilevel"/>
    <w:tmpl w:val="B8C870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6DD"/>
    <w:rsid w:val="000017A2"/>
    <w:rsid w:val="000027C0"/>
    <w:rsid w:val="0000344A"/>
    <w:rsid w:val="00004D41"/>
    <w:rsid w:val="000052FB"/>
    <w:rsid w:val="00006C63"/>
    <w:rsid w:val="00006C82"/>
    <w:rsid w:val="00010160"/>
    <w:rsid w:val="000117CB"/>
    <w:rsid w:val="00011E1F"/>
    <w:rsid w:val="0001460F"/>
    <w:rsid w:val="00014ACF"/>
    <w:rsid w:val="00020B49"/>
    <w:rsid w:val="00022A84"/>
    <w:rsid w:val="000261DD"/>
    <w:rsid w:val="000300BC"/>
    <w:rsid w:val="0003148D"/>
    <w:rsid w:val="00031EEC"/>
    <w:rsid w:val="00034BF9"/>
    <w:rsid w:val="00042BE5"/>
    <w:rsid w:val="00051566"/>
    <w:rsid w:val="00051888"/>
    <w:rsid w:val="0005198C"/>
    <w:rsid w:val="00053C82"/>
    <w:rsid w:val="00055672"/>
    <w:rsid w:val="00062A9A"/>
    <w:rsid w:val="00065058"/>
    <w:rsid w:val="00066DF3"/>
    <w:rsid w:val="00071D96"/>
    <w:rsid w:val="00071DD7"/>
    <w:rsid w:val="0007581C"/>
    <w:rsid w:val="00080DD3"/>
    <w:rsid w:val="000817B4"/>
    <w:rsid w:val="000859F5"/>
    <w:rsid w:val="00086C39"/>
    <w:rsid w:val="00086F4A"/>
    <w:rsid w:val="000906A8"/>
    <w:rsid w:val="000A03B2"/>
    <w:rsid w:val="000A421D"/>
    <w:rsid w:val="000B03F7"/>
    <w:rsid w:val="000B1CDE"/>
    <w:rsid w:val="000B57CB"/>
    <w:rsid w:val="000B6F2E"/>
    <w:rsid w:val="000C3DBC"/>
    <w:rsid w:val="000C648E"/>
    <w:rsid w:val="000D0268"/>
    <w:rsid w:val="000D34BE"/>
    <w:rsid w:val="000D73F2"/>
    <w:rsid w:val="000E0BA2"/>
    <w:rsid w:val="000E0BA8"/>
    <w:rsid w:val="000E102F"/>
    <w:rsid w:val="000E264A"/>
    <w:rsid w:val="000E36F1"/>
    <w:rsid w:val="000E3A73"/>
    <w:rsid w:val="000E414A"/>
    <w:rsid w:val="000F093C"/>
    <w:rsid w:val="000F2BBC"/>
    <w:rsid w:val="000F475E"/>
    <w:rsid w:val="000F787B"/>
    <w:rsid w:val="00103CA5"/>
    <w:rsid w:val="00107BC4"/>
    <w:rsid w:val="001120D1"/>
    <w:rsid w:val="0011413A"/>
    <w:rsid w:val="0012091F"/>
    <w:rsid w:val="001250F7"/>
    <w:rsid w:val="00125574"/>
    <w:rsid w:val="00126BC2"/>
    <w:rsid w:val="0012725E"/>
    <w:rsid w:val="001308B6"/>
    <w:rsid w:val="0013121F"/>
    <w:rsid w:val="00131FE6"/>
    <w:rsid w:val="0013263F"/>
    <w:rsid w:val="001331DF"/>
    <w:rsid w:val="00133509"/>
    <w:rsid w:val="00134DE4"/>
    <w:rsid w:val="001355D1"/>
    <w:rsid w:val="0014034D"/>
    <w:rsid w:val="001436BD"/>
    <w:rsid w:val="0014424F"/>
    <w:rsid w:val="00144A2D"/>
    <w:rsid w:val="00144D16"/>
    <w:rsid w:val="00147EAF"/>
    <w:rsid w:val="00150E59"/>
    <w:rsid w:val="00152DE3"/>
    <w:rsid w:val="00153951"/>
    <w:rsid w:val="001556A6"/>
    <w:rsid w:val="00155DB8"/>
    <w:rsid w:val="00164CF9"/>
    <w:rsid w:val="001667A6"/>
    <w:rsid w:val="0017200B"/>
    <w:rsid w:val="0017322E"/>
    <w:rsid w:val="00176A13"/>
    <w:rsid w:val="00180299"/>
    <w:rsid w:val="00180392"/>
    <w:rsid w:val="00181DCC"/>
    <w:rsid w:val="0018275A"/>
    <w:rsid w:val="00184AD6"/>
    <w:rsid w:val="0018605A"/>
    <w:rsid w:val="00187164"/>
    <w:rsid w:val="0019634D"/>
    <w:rsid w:val="001A4AF7"/>
    <w:rsid w:val="001B0349"/>
    <w:rsid w:val="001B12C6"/>
    <w:rsid w:val="001B1E93"/>
    <w:rsid w:val="001B2429"/>
    <w:rsid w:val="001B4C26"/>
    <w:rsid w:val="001B5009"/>
    <w:rsid w:val="001B65C1"/>
    <w:rsid w:val="001C23E4"/>
    <w:rsid w:val="001C4FFF"/>
    <w:rsid w:val="001C684B"/>
    <w:rsid w:val="001C700B"/>
    <w:rsid w:val="001C79CC"/>
    <w:rsid w:val="001D0CFB"/>
    <w:rsid w:val="001D21AF"/>
    <w:rsid w:val="001D3F0B"/>
    <w:rsid w:val="001D53FC"/>
    <w:rsid w:val="001D78F7"/>
    <w:rsid w:val="001E238A"/>
    <w:rsid w:val="001F19D9"/>
    <w:rsid w:val="001F2236"/>
    <w:rsid w:val="001F33E6"/>
    <w:rsid w:val="001F42A5"/>
    <w:rsid w:val="001F4DB2"/>
    <w:rsid w:val="001F5842"/>
    <w:rsid w:val="001F79A5"/>
    <w:rsid w:val="001F7B9D"/>
    <w:rsid w:val="00200E65"/>
    <w:rsid w:val="00201C93"/>
    <w:rsid w:val="00211951"/>
    <w:rsid w:val="00213861"/>
    <w:rsid w:val="0021579E"/>
    <w:rsid w:val="00216C27"/>
    <w:rsid w:val="0021757B"/>
    <w:rsid w:val="002224B4"/>
    <w:rsid w:val="00225DC0"/>
    <w:rsid w:val="0022629A"/>
    <w:rsid w:val="00230E61"/>
    <w:rsid w:val="0023110A"/>
    <w:rsid w:val="00231773"/>
    <w:rsid w:val="002360AD"/>
    <w:rsid w:val="00237B38"/>
    <w:rsid w:val="002405F9"/>
    <w:rsid w:val="002427C1"/>
    <w:rsid w:val="002447EF"/>
    <w:rsid w:val="00246903"/>
    <w:rsid w:val="00251550"/>
    <w:rsid w:val="00252AB0"/>
    <w:rsid w:val="002610DA"/>
    <w:rsid w:val="00263B05"/>
    <w:rsid w:val="0026460F"/>
    <w:rsid w:val="002662EA"/>
    <w:rsid w:val="00271306"/>
    <w:rsid w:val="0027221A"/>
    <w:rsid w:val="00275AEB"/>
    <w:rsid w:val="00275B61"/>
    <w:rsid w:val="002767E3"/>
    <w:rsid w:val="00280FAF"/>
    <w:rsid w:val="00281568"/>
    <w:rsid w:val="00282656"/>
    <w:rsid w:val="00282CD8"/>
    <w:rsid w:val="00286A23"/>
    <w:rsid w:val="00292507"/>
    <w:rsid w:val="0029270B"/>
    <w:rsid w:val="00293666"/>
    <w:rsid w:val="0029411B"/>
    <w:rsid w:val="00296B83"/>
    <w:rsid w:val="002A046F"/>
    <w:rsid w:val="002A13EC"/>
    <w:rsid w:val="002A15C4"/>
    <w:rsid w:val="002A1D6B"/>
    <w:rsid w:val="002A3C4F"/>
    <w:rsid w:val="002A5017"/>
    <w:rsid w:val="002A5910"/>
    <w:rsid w:val="002A76E9"/>
    <w:rsid w:val="002B130C"/>
    <w:rsid w:val="002B1ECF"/>
    <w:rsid w:val="002B4015"/>
    <w:rsid w:val="002B498B"/>
    <w:rsid w:val="002B78CE"/>
    <w:rsid w:val="002B7D93"/>
    <w:rsid w:val="002C1D6C"/>
    <w:rsid w:val="002C2FB6"/>
    <w:rsid w:val="002C7A34"/>
    <w:rsid w:val="002D518D"/>
    <w:rsid w:val="002D6D2E"/>
    <w:rsid w:val="002E3210"/>
    <w:rsid w:val="002E5FA7"/>
    <w:rsid w:val="002E701D"/>
    <w:rsid w:val="002E79CC"/>
    <w:rsid w:val="002F0123"/>
    <w:rsid w:val="002F1128"/>
    <w:rsid w:val="002F3309"/>
    <w:rsid w:val="002F61C7"/>
    <w:rsid w:val="0030078F"/>
    <w:rsid w:val="003008CE"/>
    <w:rsid w:val="003009B7"/>
    <w:rsid w:val="00300E56"/>
    <w:rsid w:val="003021FC"/>
    <w:rsid w:val="0030469C"/>
    <w:rsid w:val="00314BCE"/>
    <w:rsid w:val="00315DF6"/>
    <w:rsid w:val="003171AF"/>
    <w:rsid w:val="0032197E"/>
    <w:rsid w:val="00321CA6"/>
    <w:rsid w:val="00323763"/>
    <w:rsid w:val="00323E6D"/>
    <w:rsid w:val="00325758"/>
    <w:rsid w:val="00332C2E"/>
    <w:rsid w:val="00334C09"/>
    <w:rsid w:val="00335058"/>
    <w:rsid w:val="00335E23"/>
    <w:rsid w:val="00337C21"/>
    <w:rsid w:val="00343DA8"/>
    <w:rsid w:val="00347673"/>
    <w:rsid w:val="0035015B"/>
    <w:rsid w:val="003616F5"/>
    <w:rsid w:val="003628B0"/>
    <w:rsid w:val="00363155"/>
    <w:rsid w:val="003723D4"/>
    <w:rsid w:val="00380E18"/>
    <w:rsid w:val="00381905"/>
    <w:rsid w:val="00384CC8"/>
    <w:rsid w:val="003871FD"/>
    <w:rsid w:val="00387D0E"/>
    <w:rsid w:val="00390785"/>
    <w:rsid w:val="00391584"/>
    <w:rsid w:val="00391D47"/>
    <w:rsid w:val="00394F9C"/>
    <w:rsid w:val="003A0BED"/>
    <w:rsid w:val="003A1928"/>
    <w:rsid w:val="003A1D25"/>
    <w:rsid w:val="003A1E30"/>
    <w:rsid w:val="003A2014"/>
    <w:rsid w:val="003A2829"/>
    <w:rsid w:val="003A5B7F"/>
    <w:rsid w:val="003A67CB"/>
    <w:rsid w:val="003A6DB6"/>
    <w:rsid w:val="003A7D1C"/>
    <w:rsid w:val="003B0B8B"/>
    <w:rsid w:val="003B304B"/>
    <w:rsid w:val="003B3146"/>
    <w:rsid w:val="003C2D2C"/>
    <w:rsid w:val="003C5387"/>
    <w:rsid w:val="003C6A1B"/>
    <w:rsid w:val="003C726E"/>
    <w:rsid w:val="003D112D"/>
    <w:rsid w:val="003D1D47"/>
    <w:rsid w:val="003D249C"/>
    <w:rsid w:val="003D466E"/>
    <w:rsid w:val="003D5B1E"/>
    <w:rsid w:val="003D7DDE"/>
    <w:rsid w:val="003E5761"/>
    <w:rsid w:val="003E57D2"/>
    <w:rsid w:val="003F015E"/>
    <w:rsid w:val="003F0507"/>
    <w:rsid w:val="003F22A1"/>
    <w:rsid w:val="003F3241"/>
    <w:rsid w:val="003F4FD7"/>
    <w:rsid w:val="00400414"/>
    <w:rsid w:val="00402E32"/>
    <w:rsid w:val="00404085"/>
    <w:rsid w:val="004115D7"/>
    <w:rsid w:val="00413150"/>
    <w:rsid w:val="004132B3"/>
    <w:rsid w:val="0041446B"/>
    <w:rsid w:val="00414C3F"/>
    <w:rsid w:val="00416915"/>
    <w:rsid w:val="00417EBA"/>
    <w:rsid w:val="00420989"/>
    <w:rsid w:val="0042234D"/>
    <w:rsid w:val="0042774C"/>
    <w:rsid w:val="00427B33"/>
    <w:rsid w:val="00432514"/>
    <w:rsid w:val="004336DA"/>
    <w:rsid w:val="00433A10"/>
    <w:rsid w:val="004347F6"/>
    <w:rsid w:val="00434833"/>
    <w:rsid w:val="00435D3D"/>
    <w:rsid w:val="00436171"/>
    <w:rsid w:val="0044071E"/>
    <w:rsid w:val="004416D4"/>
    <w:rsid w:val="0044329C"/>
    <w:rsid w:val="00443501"/>
    <w:rsid w:val="00445678"/>
    <w:rsid w:val="0044571E"/>
    <w:rsid w:val="0044755F"/>
    <w:rsid w:val="00452479"/>
    <w:rsid w:val="00453E24"/>
    <w:rsid w:val="00453EE7"/>
    <w:rsid w:val="00456022"/>
    <w:rsid w:val="004565A1"/>
    <w:rsid w:val="00456B03"/>
    <w:rsid w:val="00457456"/>
    <w:rsid w:val="004577FE"/>
    <w:rsid w:val="00457B9C"/>
    <w:rsid w:val="00457E27"/>
    <w:rsid w:val="00460B04"/>
    <w:rsid w:val="0046164A"/>
    <w:rsid w:val="004628D2"/>
    <w:rsid w:val="00462DCD"/>
    <w:rsid w:val="004640B6"/>
    <w:rsid w:val="004648AD"/>
    <w:rsid w:val="00464EF9"/>
    <w:rsid w:val="00467594"/>
    <w:rsid w:val="004700BA"/>
    <w:rsid w:val="004703A9"/>
    <w:rsid w:val="00473675"/>
    <w:rsid w:val="00474ED2"/>
    <w:rsid w:val="004750CF"/>
    <w:rsid w:val="004760DE"/>
    <w:rsid w:val="0047617E"/>
    <w:rsid w:val="004763D7"/>
    <w:rsid w:val="00477152"/>
    <w:rsid w:val="004774E3"/>
    <w:rsid w:val="00485A5A"/>
    <w:rsid w:val="0049153A"/>
    <w:rsid w:val="00491775"/>
    <w:rsid w:val="0049333C"/>
    <w:rsid w:val="00496101"/>
    <w:rsid w:val="004A004E"/>
    <w:rsid w:val="004A14AA"/>
    <w:rsid w:val="004A24CF"/>
    <w:rsid w:val="004A2540"/>
    <w:rsid w:val="004B62DB"/>
    <w:rsid w:val="004B7EA2"/>
    <w:rsid w:val="004C07CB"/>
    <w:rsid w:val="004C3D1D"/>
    <w:rsid w:val="004C7913"/>
    <w:rsid w:val="004D1A67"/>
    <w:rsid w:val="004D4AC8"/>
    <w:rsid w:val="004D662E"/>
    <w:rsid w:val="004D665F"/>
    <w:rsid w:val="004E07D8"/>
    <w:rsid w:val="004E4DD6"/>
    <w:rsid w:val="004E5082"/>
    <w:rsid w:val="004F1CC9"/>
    <w:rsid w:val="004F5E36"/>
    <w:rsid w:val="004F5FAE"/>
    <w:rsid w:val="004F7B2B"/>
    <w:rsid w:val="00501659"/>
    <w:rsid w:val="00503E93"/>
    <w:rsid w:val="00504251"/>
    <w:rsid w:val="0050647E"/>
    <w:rsid w:val="0050684B"/>
    <w:rsid w:val="005076F0"/>
    <w:rsid w:val="00507B47"/>
    <w:rsid w:val="00507BEF"/>
    <w:rsid w:val="00507CC9"/>
    <w:rsid w:val="00510CA1"/>
    <w:rsid w:val="005119A5"/>
    <w:rsid w:val="00511D7C"/>
    <w:rsid w:val="005179A4"/>
    <w:rsid w:val="005203B2"/>
    <w:rsid w:val="00521E27"/>
    <w:rsid w:val="00523DE8"/>
    <w:rsid w:val="005241E6"/>
    <w:rsid w:val="005265B7"/>
    <w:rsid w:val="00526B5A"/>
    <w:rsid w:val="005278B7"/>
    <w:rsid w:val="00532016"/>
    <w:rsid w:val="00533BD7"/>
    <w:rsid w:val="005346C8"/>
    <w:rsid w:val="005372ED"/>
    <w:rsid w:val="00537F74"/>
    <w:rsid w:val="00540FD7"/>
    <w:rsid w:val="00543761"/>
    <w:rsid w:val="00543E7D"/>
    <w:rsid w:val="0054457B"/>
    <w:rsid w:val="00544838"/>
    <w:rsid w:val="005458FF"/>
    <w:rsid w:val="005465B2"/>
    <w:rsid w:val="00546BCA"/>
    <w:rsid w:val="00547A68"/>
    <w:rsid w:val="00547F09"/>
    <w:rsid w:val="00551887"/>
    <w:rsid w:val="005531C9"/>
    <w:rsid w:val="005607D3"/>
    <w:rsid w:val="00562CCA"/>
    <w:rsid w:val="00565DA8"/>
    <w:rsid w:val="005666AE"/>
    <w:rsid w:val="00570C43"/>
    <w:rsid w:val="0057165A"/>
    <w:rsid w:val="00572BE2"/>
    <w:rsid w:val="00573910"/>
    <w:rsid w:val="00576326"/>
    <w:rsid w:val="0057730B"/>
    <w:rsid w:val="0057771B"/>
    <w:rsid w:val="005806E4"/>
    <w:rsid w:val="00583198"/>
    <w:rsid w:val="005865F3"/>
    <w:rsid w:val="0058738A"/>
    <w:rsid w:val="005919E3"/>
    <w:rsid w:val="00594CC6"/>
    <w:rsid w:val="00596062"/>
    <w:rsid w:val="005965C3"/>
    <w:rsid w:val="005A10FE"/>
    <w:rsid w:val="005A15A6"/>
    <w:rsid w:val="005A1893"/>
    <w:rsid w:val="005B2110"/>
    <w:rsid w:val="005B2147"/>
    <w:rsid w:val="005B552A"/>
    <w:rsid w:val="005B61E6"/>
    <w:rsid w:val="005C77E1"/>
    <w:rsid w:val="005D2BC4"/>
    <w:rsid w:val="005D4715"/>
    <w:rsid w:val="005D668A"/>
    <w:rsid w:val="005D68FC"/>
    <w:rsid w:val="005D6A2F"/>
    <w:rsid w:val="005E1A82"/>
    <w:rsid w:val="005E24C7"/>
    <w:rsid w:val="005E3D20"/>
    <w:rsid w:val="005E794C"/>
    <w:rsid w:val="005F0A28"/>
    <w:rsid w:val="005F0E5E"/>
    <w:rsid w:val="005F131B"/>
    <w:rsid w:val="005F2903"/>
    <w:rsid w:val="005F51C6"/>
    <w:rsid w:val="00600535"/>
    <w:rsid w:val="006049A2"/>
    <w:rsid w:val="00604EC1"/>
    <w:rsid w:val="00610CD6"/>
    <w:rsid w:val="00620DEE"/>
    <w:rsid w:val="006216A3"/>
    <w:rsid w:val="00621F92"/>
    <w:rsid w:val="0062280A"/>
    <w:rsid w:val="006229F4"/>
    <w:rsid w:val="00623BC1"/>
    <w:rsid w:val="00625639"/>
    <w:rsid w:val="00626505"/>
    <w:rsid w:val="00631273"/>
    <w:rsid w:val="00631B33"/>
    <w:rsid w:val="00632FE7"/>
    <w:rsid w:val="00633F84"/>
    <w:rsid w:val="00640802"/>
    <w:rsid w:val="0064184D"/>
    <w:rsid w:val="006422CC"/>
    <w:rsid w:val="006428C7"/>
    <w:rsid w:val="00650259"/>
    <w:rsid w:val="00650551"/>
    <w:rsid w:val="006520B6"/>
    <w:rsid w:val="00653F70"/>
    <w:rsid w:val="0065751F"/>
    <w:rsid w:val="00660DB5"/>
    <w:rsid w:val="00660E3E"/>
    <w:rsid w:val="00662E74"/>
    <w:rsid w:val="0066337E"/>
    <w:rsid w:val="006652CE"/>
    <w:rsid w:val="00667E2E"/>
    <w:rsid w:val="00671B32"/>
    <w:rsid w:val="0067202E"/>
    <w:rsid w:val="00674060"/>
    <w:rsid w:val="00677370"/>
    <w:rsid w:val="00680C23"/>
    <w:rsid w:val="0068663D"/>
    <w:rsid w:val="00687262"/>
    <w:rsid w:val="00687264"/>
    <w:rsid w:val="00693766"/>
    <w:rsid w:val="006946C3"/>
    <w:rsid w:val="0069488B"/>
    <w:rsid w:val="006A2AB9"/>
    <w:rsid w:val="006A3281"/>
    <w:rsid w:val="006A356D"/>
    <w:rsid w:val="006A5DDD"/>
    <w:rsid w:val="006A6DA8"/>
    <w:rsid w:val="006B0B1D"/>
    <w:rsid w:val="006B0E8D"/>
    <w:rsid w:val="006B4888"/>
    <w:rsid w:val="006B7120"/>
    <w:rsid w:val="006C2E45"/>
    <w:rsid w:val="006C359C"/>
    <w:rsid w:val="006C3952"/>
    <w:rsid w:val="006C4B55"/>
    <w:rsid w:val="006C5579"/>
    <w:rsid w:val="006D1ED5"/>
    <w:rsid w:val="006D2FD7"/>
    <w:rsid w:val="006D4B30"/>
    <w:rsid w:val="006D6E8B"/>
    <w:rsid w:val="006E0575"/>
    <w:rsid w:val="006E1F3F"/>
    <w:rsid w:val="006E2985"/>
    <w:rsid w:val="006E35EF"/>
    <w:rsid w:val="006E5BC7"/>
    <w:rsid w:val="006E5DB3"/>
    <w:rsid w:val="006E737D"/>
    <w:rsid w:val="006F037A"/>
    <w:rsid w:val="006F09CE"/>
    <w:rsid w:val="006F35D7"/>
    <w:rsid w:val="006F5AC4"/>
    <w:rsid w:val="006F7B8E"/>
    <w:rsid w:val="00700E6E"/>
    <w:rsid w:val="00703DF6"/>
    <w:rsid w:val="007100C2"/>
    <w:rsid w:val="00713973"/>
    <w:rsid w:val="00716047"/>
    <w:rsid w:val="00720A24"/>
    <w:rsid w:val="007234B0"/>
    <w:rsid w:val="007238BC"/>
    <w:rsid w:val="0072403C"/>
    <w:rsid w:val="00731880"/>
    <w:rsid w:val="00731A62"/>
    <w:rsid w:val="0073237A"/>
    <w:rsid w:val="00732386"/>
    <w:rsid w:val="00734261"/>
    <w:rsid w:val="00734D05"/>
    <w:rsid w:val="0073514D"/>
    <w:rsid w:val="00736F7E"/>
    <w:rsid w:val="00740185"/>
    <w:rsid w:val="00740536"/>
    <w:rsid w:val="00742231"/>
    <w:rsid w:val="0074451E"/>
    <w:rsid w:val="007447F3"/>
    <w:rsid w:val="00747119"/>
    <w:rsid w:val="0075038C"/>
    <w:rsid w:val="00753EDC"/>
    <w:rsid w:val="0075499F"/>
    <w:rsid w:val="00757B4B"/>
    <w:rsid w:val="0076218A"/>
    <w:rsid w:val="007634B1"/>
    <w:rsid w:val="007661C8"/>
    <w:rsid w:val="00770305"/>
    <w:rsid w:val="0077098D"/>
    <w:rsid w:val="00770C5C"/>
    <w:rsid w:val="00777B8E"/>
    <w:rsid w:val="00782A4E"/>
    <w:rsid w:val="00783B6D"/>
    <w:rsid w:val="007848C1"/>
    <w:rsid w:val="00784A8C"/>
    <w:rsid w:val="0078635E"/>
    <w:rsid w:val="0078703E"/>
    <w:rsid w:val="0078725D"/>
    <w:rsid w:val="0079003C"/>
    <w:rsid w:val="00791A21"/>
    <w:rsid w:val="007931FA"/>
    <w:rsid w:val="00794EA5"/>
    <w:rsid w:val="00796D0F"/>
    <w:rsid w:val="00796E8F"/>
    <w:rsid w:val="007A3260"/>
    <w:rsid w:val="007A330E"/>
    <w:rsid w:val="007A4861"/>
    <w:rsid w:val="007A7162"/>
    <w:rsid w:val="007A7BBA"/>
    <w:rsid w:val="007B0789"/>
    <w:rsid w:val="007B0B78"/>
    <w:rsid w:val="007B0C50"/>
    <w:rsid w:val="007B179A"/>
    <w:rsid w:val="007B48F9"/>
    <w:rsid w:val="007B6A42"/>
    <w:rsid w:val="007B6BD4"/>
    <w:rsid w:val="007C03BA"/>
    <w:rsid w:val="007C1A43"/>
    <w:rsid w:val="007C527A"/>
    <w:rsid w:val="007D14AB"/>
    <w:rsid w:val="007D2F16"/>
    <w:rsid w:val="007D384C"/>
    <w:rsid w:val="007E06BB"/>
    <w:rsid w:val="007E1F2D"/>
    <w:rsid w:val="007E338A"/>
    <w:rsid w:val="007E6CFE"/>
    <w:rsid w:val="007E7267"/>
    <w:rsid w:val="007F0B23"/>
    <w:rsid w:val="007F1C30"/>
    <w:rsid w:val="0080013E"/>
    <w:rsid w:val="0080090B"/>
    <w:rsid w:val="00804CF7"/>
    <w:rsid w:val="00805878"/>
    <w:rsid w:val="008062A9"/>
    <w:rsid w:val="00811C52"/>
    <w:rsid w:val="00813288"/>
    <w:rsid w:val="008168FC"/>
    <w:rsid w:val="008220E7"/>
    <w:rsid w:val="0082297B"/>
    <w:rsid w:val="008229D1"/>
    <w:rsid w:val="00823A8B"/>
    <w:rsid w:val="0082614E"/>
    <w:rsid w:val="00826B9E"/>
    <w:rsid w:val="00830996"/>
    <w:rsid w:val="008310FD"/>
    <w:rsid w:val="008313C4"/>
    <w:rsid w:val="00831EE9"/>
    <w:rsid w:val="0083255F"/>
    <w:rsid w:val="008345F1"/>
    <w:rsid w:val="008355FC"/>
    <w:rsid w:val="00836EA0"/>
    <w:rsid w:val="0084482C"/>
    <w:rsid w:val="00844A5C"/>
    <w:rsid w:val="008472FC"/>
    <w:rsid w:val="00847DFF"/>
    <w:rsid w:val="00850A88"/>
    <w:rsid w:val="008538E8"/>
    <w:rsid w:val="00855AC2"/>
    <w:rsid w:val="00855F25"/>
    <w:rsid w:val="00856C66"/>
    <w:rsid w:val="008606A4"/>
    <w:rsid w:val="00861D31"/>
    <w:rsid w:val="0086331B"/>
    <w:rsid w:val="00865B07"/>
    <w:rsid w:val="00866652"/>
    <w:rsid w:val="008667EA"/>
    <w:rsid w:val="00870F7E"/>
    <w:rsid w:val="008729F3"/>
    <w:rsid w:val="00872A5D"/>
    <w:rsid w:val="00872FAA"/>
    <w:rsid w:val="0087637F"/>
    <w:rsid w:val="00877ABA"/>
    <w:rsid w:val="00877B2B"/>
    <w:rsid w:val="00877BE4"/>
    <w:rsid w:val="00883C65"/>
    <w:rsid w:val="00885495"/>
    <w:rsid w:val="00886EF5"/>
    <w:rsid w:val="00886F1F"/>
    <w:rsid w:val="00891203"/>
    <w:rsid w:val="0089239D"/>
    <w:rsid w:val="00892AD5"/>
    <w:rsid w:val="00896FA3"/>
    <w:rsid w:val="008A1512"/>
    <w:rsid w:val="008A2498"/>
    <w:rsid w:val="008A3026"/>
    <w:rsid w:val="008A4FDA"/>
    <w:rsid w:val="008B0168"/>
    <w:rsid w:val="008B099E"/>
    <w:rsid w:val="008B24C7"/>
    <w:rsid w:val="008C19CE"/>
    <w:rsid w:val="008C1E3E"/>
    <w:rsid w:val="008C4A30"/>
    <w:rsid w:val="008C4DA1"/>
    <w:rsid w:val="008C7C65"/>
    <w:rsid w:val="008D0E8B"/>
    <w:rsid w:val="008D32B9"/>
    <w:rsid w:val="008D433B"/>
    <w:rsid w:val="008D6AC1"/>
    <w:rsid w:val="008E566E"/>
    <w:rsid w:val="008F041B"/>
    <w:rsid w:val="008F1C6F"/>
    <w:rsid w:val="008F649D"/>
    <w:rsid w:val="00900367"/>
    <w:rsid w:val="009003C0"/>
    <w:rsid w:val="0090161A"/>
    <w:rsid w:val="00901EB6"/>
    <w:rsid w:val="00904C62"/>
    <w:rsid w:val="00906A6D"/>
    <w:rsid w:val="009074B9"/>
    <w:rsid w:val="009104FD"/>
    <w:rsid w:val="00913D22"/>
    <w:rsid w:val="00916ECF"/>
    <w:rsid w:val="00917C41"/>
    <w:rsid w:val="00921B8E"/>
    <w:rsid w:val="00922369"/>
    <w:rsid w:val="00922BA8"/>
    <w:rsid w:val="00924DAC"/>
    <w:rsid w:val="0092570E"/>
    <w:rsid w:val="00927058"/>
    <w:rsid w:val="00927297"/>
    <w:rsid w:val="00927B13"/>
    <w:rsid w:val="00930DE7"/>
    <w:rsid w:val="00934FB4"/>
    <w:rsid w:val="00935951"/>
    <w:rsid w:val="00937FD3"/>
    <w:rsid w:val="009426C2"/>
    <w:rsid w:val="00942750"/>
    <w:rsid w:val="00943FEB"/>
    <w:rsid w:val="00944E13"/>
    <w:rsid w:val="009450CE"/>
    <w:rsid w:val="009458FB"/>
    <w:rsid w:val="00945C9C"/>
    <w:rsid w:val="00945EC1"/>
    <w:rsid w:val="009464C7"/>
    <w:rsid w:val="00946CCD"/>
    <w:rsid w:val="00947179"/>
    <w:rsid w:val="0095164B"/>
    <w:rsid w:val="009536A9"/>
    <w:rsid w:val="00954090"/>
    <w:rsid w:val="00955187"/>
    <w:rsid w:val="009573E7"/>
    <w:rsid w:val="00962479"/>
    <w:rsid w:val="00963282"/>
    <w:rsid w:val="00963E05"/>
    <w:rsid w:val="00964A45"/>
    <w:rsid w:val="0096760E"/>
    <w:rsid w:val="00967843"/>
    <w:rsid w:val="00967C9B"/>
    <w:rsid w:val="00967D54"/>
    <w:rsid w:val="00970A95"/>
    <w:rsid w:val="00971028"/>
    <w:rsid w:val="00971B76"/>
    <w:rsid w:val="00972410"/>
    <w:rsid w:val="009724BB"/>
    <w:rsid w:val="00977F43"/>
    <w:rsid w:val="00980643"/>
    <w:rsid w:val="00982407"/>
    <w:rsid w:val="009826D6"/>
    <w:rsid w:val="0098363C"/>
    <w:rsid w:val="00985193"/>
    <w:rsid w:val="00993770"/>
    <w:rsid w:val="00993B84"/>
    <w:rsid w:val="009940DE"/>
    <w:rsid w:val="00996483"/>
    <w:rsid w:val="00996AC0"/>
    <w:rsid w:val="00996F5A"/>
    <w:rsid w:val="009976A1"/>
    <w:rsid w:val="009A2717"/>
    <w:rsid w:val="009A632A"/>
    <w:rsid w:val="009B041A"/>
    <w:rsid w:val="009B1BB3"/>
    <w:rsid w:val="009B4211"/>
    <w:rsid w:val="009B6686"/>
    <w:rsid w:val="009C2389"/>
    <w:rsid w:val="009C37C3"/>
    <w:rsid w:val="009C37F6"/>
    <w:rsid w:val="009C448F"/>
    <w:rsid w:val="009C584B"/>
    <w:rsid w:val="009C7714"/>
    <w:rsid w:val="009C7C86"/>
    <w:rsid w:val="009D20C4"/>
    <w:rsid w:val="009D2FF7"/>
    <w:rsid w:val="009E0153"/>
    <w:rsid w:val="009E2B69"/>
    <w:rsid w:val="009E4C58"/>
    <w:rsid w:val="009E7884"/>
    <w:rsid w:val="009E788A"/>
    <w:rsid w:val="009F0E08"/>
    <w:rsid w:val="00A012EF"/>
    <w:rsid w:val="00A01332"/>
    <w:rsid w:val="00A015AC"/>
    <w:rsid w:val="00A025EF"/>
    <w:rsid w:val="00A032BE"/>
    <w:rsid w:val="00A06D44"/>
    <w:rsid w:val="00A0751D"/>
    <w:rsid w:val="00A1445A"/>
    <w:rsid w:val="00A14BD9"/>
    <w:rsid w:val="00A15414"/>
    <w:rsid w:val="00A1763D"/>
    <w:rsid w:val="00A17CEC"/>
    <w:rsid w:val="00A2014A"/>
    <w:rsid w:val="00A20B5D"/>
    <w:rsid w:val="00A247EF"/>
    <w:rsid w:val="00A255EB"/>
    <w:rsid w:val="00A27EF0"/>
    <w:rsid w:val="00A309F5"/>
    <w:rsid w:val="00A34EC3"/>
    <w:rsid w:val="00A375DB"/>
    <w:rsid w:val="00A42361"/>
    <w:rsid w:val="00A44440"/>
    <w:rsid w:val="00A4496E"/>
    <w:rsid w:val="00A50B20"/>
    <w:rsid w:val="00A51390"/>
    <w:rsid w:val="00A528D2"/>
    <w:rsid w:val="00A60D13"/>
    <w:rsid w:val="00A628E0"/>
    <w:rsid w:val="00A6345B"/>
    <w:rsid w:val="00A66A6D"/>
    <w:rsid w:val="00A67897"/>
    <w:rsid w:val="00A72745"/>
    <w:rsid w:val="00A74C69"/>
    <w:rsid w:val="00A76037"/>
    <w:rsid w:val="00A76EFC"/>
    <w:rsid w:val="00A7713A"/>
    <w:rsid w:val="00A8201C"/>
    <w:rsid w:val="00A85A54"/>
    <w:rsid w:val="00A8635C"/>
    <w:rsid w:val="00A9027C"/>
    <w:rsid w:val="00A91010"/>
    <w:rsid w:val="00A91D23"/>
    <w:rsid w:val="00A95B1E"/>
    <w:rsid w:val="00A96A02"/>
    <w:rsid w:val="00A97F29"/>
    <w:rsid w:val="00AA0AB0"/>
    <w:rsid w:val="00AA2388"/>
    <w:rsid w:val="00AA2841"/>
    <w:rsid w:val="00AA702E"/>
    <w:rsid w:val="00AB0964"/>
    <w:rsid w:val="00AB40DF"/>
    <w:rsid w:val="00AB4A95"/>
    <w:rsid w:val="00AB5011"/>
    <w:rsid w:val="00AB66F0"/>
    <w:rsid w:val="00AC0400"/>
    <w:rsid w:val="00AC166C"/>
    <w:rsid w:val="00AC2636"/>
    <w:rsid w:val="00AC2919"/>
    <w:rsid w:val="00AC2E29"/>
    <w:rsid w:val="00AC7368"/>
    <w:rsid w:val="00AC7839"/>
    <w:rsid w:val="00AD16B9"/>
    <w:rsid w:val="00AD33F0"/>
    <w:rsid w:val="00AD6C4A"/>
    <w:rsid w:val="00AD7C41"/>
    <w:rsid w:val="00AE0867"/>
    <w:rsid w:val="00AE2505"/>
    <w:rsid w:val="00AE377D"/>
    <w:rsid w:val="00AE77CE"/>
    <w:rsid w:val="00AF0EBA"/>
    <w:rsid w:val="00AF4800"/>
    <w:rsid w:val="00B016EE"/>
    <w:rsid w:val="00B02C8A"/>
    <w:rsid w:val="00B043AE"/>
    <w:rsid w:val="00B06005"/>
    <w:rsid w:val="00B06BED"/>
    <w:rsid w:val="00B0737C"/>
    <w:rsid w:val="00B1032B"/>
    <w:rsid w:val="00B17319"/>
    <w:rsid w:val="00B17ABB"/>
    <w:rsid w:val="00B17FBD"/>
    <w:rsid w:val="00B209FF"/>
    <w:rsid w:val="00B20F62"/>
    <w:rsid w:val="00B21FBE"/>
    <w:rsid w:val="00B25654"/>
    <w:rsid w:val="00B305F4"/>
    <w:rsid w:val="00B3141A"/>
    <w:rsid w:val="00B315A6"/>
    <w:rsid w:val="00B316A8"/>
    <w:rsid w:val="00B31813"/>
    <w:rsid w:val="00B33365"/>
    <w:rsid w:val="00B341EF"/>
    <w:rsid w:val="00B359B9"/>
    <w:rsid w:val="00B42F49"/>
    <w:rsid w:val="00B448F1"/>
    <w:rsid w:val="00B475FA"/>
    <w:rsid w:val="00B50804"/>
    <w:rsid w:val="00B50819"/>
    <w:rsid w:val="00B51738"/>
    <w:rsid w:val="00B51BA9"/>
    <w:rsid w:val="00B530DB"/>
    <w:rsid w:val="00B55534"/>
    <w:rsid w:val="00B5714D"/>
    <w:rsid w:val="00B57B36"/>
    <w:rsid w:val="00B57E6F"/>
    <w:rsid w:val="00B57EE4"/>
    <w:rsid w:val="00B70476"/>
    <w:rsid w:val="00B7742E"/>
    <w:rsid w:val="00B83F56"/>
    <w:rsid w:val="00B84041"/>
    <w:rsid w:val="00B8686D"/>
    <w:rsid w:val="00B91365"/>
    <w:rsid w:val="00B93F69"/>
    <w:rsid w:val="00B9449C"/>
    <w:rsid w:val="00BA0DDF"/>
    <w:rsid w:val="00BA27A2"/>
    <w:rsid w:val="00BA6D67"/>
    <w:rsid w:val="00BB1DDC"/>
    <w:rsid w:val="00BB4981"/>
    <w:rsid w:val="00BB72B8"/>
    <w:rsid w:val="00BB77EC"/>
    <w:rsid w:val="00BC1672"/>
    <w:rsid w:val="00BC30C9"/>
    <w:rsid w:val="00BD077D"/>
    <w:rsid w:val="00BD0783"/>
    <w:rsid w:val="00BD2189"/>
    <w:rsid w:val="00BD4604"/>
    <w:rsid w:val="00BD4D27"/>
    <w:rsid w:val="00BD64C6"/>
    <w:rsid w:val="00BE1E76"/>
    <w:rsid w:val="00BE3E58"/>
    <w:rsid w:val="00BE5ECE"/>
    <w:rsid w:val="00BF05AC"/>
    <w:rsid w:val="00BF7AEC"/>
    <w:rsid w:val="00C01397"/>
    <w:rsid w:val="00C01616"/>
    <w:rsid w:val="00C0162B"/>
    <w:rsid w:val="00C034CC"/>
    <w:rsid w:val="00C068ED"/>
    <w:rsid w:val="00C145C2"/>
    <w:rsid w:val="00C14A8B"/>
    <w:rsid w:val="00C14B15"/>
    <w:rsid w:val="00C153F1"/>
    <w:rsid w:val="00C166C3"/>
    <w:rsid w:val="00C22E0C"/>
    <w:rsid w:val="00C23346"/>
    <w:rsid w:val="00C25948"/>
    <w:rsid w:val="00C319FC"/>
    <w:rsid w:val="00C345B1"/>
    <w:rsid w:val="00C35A61"/>
    <w:rsid w:val="00C360F7"/>
    <w:rsid w:val="00C3645F"/>
    <w:rsid w:val="00C4008A"/>
    <w:rsid w:val="00C40142"/>
    <w:rsid w:val="00C40B22"/>
    <w:rsid w:val="00C44F5E"/>
    <w:rsid w:val="00C45E90"/>
    <w:rsid w:val="00C52BFF"/>
    <w:rsid w:val="00C52C3C"/>
    <w:rsid w:val="00C5503C"/>
    <w:rsid w:val="00C55DEE"/>
    <w:rsid w:val="00C56BC9"/>
    <w:rsid w:val="00C57182"/>
    <w:rsid w:val="00C57863"/>
    <w:rsid w:val="00C63543"/>
    <w:rsid w:val="00C655FD"/>
    <w:rsid w:val="00C66B93"/>
    <w:rsid w:val="00C707D2"/>
    <w:rsid w:val="00C746DB"/>
    <w:rsid w:val="00C75407"/>
    <w:rsid w:val="00C81289"/>
    <w:rsid w:val="00C8697F"/>
    <w:rsid w:val="00C870A8"/>
    <w:rsid w:val="00C91030"/>
    <w:rsid w:val="00C921C5"/>
    <w:rsid w:val="00C94434"/>
    <w:rsid w:val="00C94A04"/>
    <w:rsid w:val="00C94D2E"/>
    <w:rsid w:val="00C94EB3"/>
    <w:rsid w:val="00CA0D75"/>
    <w:rsid w:val="00CA1C95"/>
    <w:rsid w:val="00CA4C70"/>
    <w:rsid w:val="00CA5411"/>
    <w:rsid w:val="00CA5586"/>
    <w:rsid w:val="00CA5A9C"/>
    <w:rsid w:val="00CA7EF9"/>
    <w:rsid w:val="00CB0CDE"/>
    <w:rsid w:val="00CB1664"/>
    <w:rsid w:val="00CB1E59"/>
    <w:rsid w:val="00CB68BB"/>
    <w:rsid w:val="00CB73FD"/>
    <w:rsid w:val="00CC3F2E"/>
    <w:rsid w:val="00CC4C20"/>
    <w:rsid w:val="00CC4E45"/>
    <w:rsid w:val="00CD144A"/>
    <w:rsid w:val="00CD1D02"/>
    <w:rsid w:val="00CD31EC"/>
    <w:rsid w:val="00CD3517"/>
    <w:rsid w:val="00CD5FE2"/>
    <w:rsid w:val="00CE521F"/>
    <w:rsid w:val="00CE5CA7"/>
    <w:rsid w:val="00CE6D69"/>
    <w:rsid w:val="00CE78D6"/>
    <w:rsid w:val="00CE7C68"/>
    <w:rsid w:val="00CF1F2E"/>
    <w:rsid w:val="00CF1FEC"/>
    <w:rsid w:val="00CF327E"/>
    <w:rsid w:val="00CF5636"/>
    <w:rsid w:val="00CF77A6"/>
    <w:rsid w:val="00D01C51"/>
    <w:rsid w:val="00D02B4C"/>
    <w:rsid w:val="00D040C4"/>
    <w:rsid w:val="00D04E6A"/>
    <w:rsid w:val="00D05746"/>
    <w:rsid w:val="00D05E64"/>
    <w:rsid w:val="00D06BA2"/>
    <w:rsid w:val="00D078EB"/>
    <w:rsid w:val="00D12A1C"/>
    <w:rsid w:val="00D13FD1"/>
    <w:rsid w:val="00D142E7"/>
    <w:rsid w:val="00D1457D"/>
    <w:rsid w:val="00D1483B"/>
    <w:rsid w:val="00D15388"/>
    <w:rsid w:val="00D20A78"/>
    <w:rsid w:val="00D22315"/>
    <w:rsid w:val="00D22C67"/>
    <w:rsid w:val="00D22FA0"/>
    <w:rsid w:val="00D24172"/>
    <w:rsid w:val="00D272B0"/>
    <w:rsid w:val="00D367EE"/>
    <w:rsid w:val="00D46B7E"/>
    <w:rsid w:val="00D5034F"/>
    <w:rsid w:val="00D519C5"/>
    <w:rsid w:val="00D54459"/>
    <w:rsid w:val="00D57C84"/>
    <w:rsid w:val="00D6057D"/>
    <w:rsid w:val="00D612A0"/>
    <w:rsid w:val="00D6323B"/>
    <w:rsid w:val="00D63D56"/>
    <w:rsid w:val="00D658FC"/>
    <w:rsid w:val="00D65C1D"/>
    <w:rsid w:val="00D71640"/>
    <w:rsid w:val="00D761B0"/>
    <w:rsid w:val="00D7796B"/>
    <w:rsid w:val="00D77AC0"/>
    <w:rsid w:val="00D83112"/>
    <w:rsid w:val="00D836C5"/>
    <w:rsid w:val="00D84104"/>
    <w:rsid w:val="00D84576"/>
    <w:rsid w:val="00D870D7"/>
    <w:rsid w:val="00D90258"/>
    <w:rsid w:val="00D909BA"/>
    <w:rsid w:val="00D91DEB"/>
    <w:rsid w:val="00D9214E"/>
    <w:rsid w:val="00D92320"/>
    <w:rsid w:val="00D934F1"/>
    <w:rsid w:val="00D976FA"/>
    <w:rsid w:val="00DA073D"/>
    <w:rsid w:val="00DA1399"/>
    <w:rsid w:val="00DA24C6"/>
    <w:rsid w:val="00DA4D7B"/>
    <w:rsid w:val="00DA68A4"/>
    <w:rsid w:val="00DA7A20"/>
    <w:rsid w:val="00DB76DC"/>
    <w:rsid w:val="00DC2E73"/>
    <w:rsid w:val="00DD0CD8"/>
    <w:rsid w:val="00DD1D25"/>
    <w:rsid w:val="00DD2162"/>
    <w:rsid w:val="00DD2CD5"/>
    <w:rsid w:val="00DD68F0"/>
    <w:rsid w:val="00DE0B2C"/>
    <w:rsid w:val="00DE1183"/>
    <w:rsid w:val="00DE264A"/>
    <w:rsid w:val="00DE3043"/>
    <w:rsid w:val="00DE486E"/>
    <w:rsid w:val="00DF12A6"/>
    <w:rsid w:val="00DF1733"/>
    <w:rsid w:val="00DF1DA8"/>
    <w:rsid w:val="00DF4807"/>
    <w:rsid w:val="00DF5072"/>
    <w:rsid w:val="00DF53AC"/>
    <w:rsid w:val="00DF5AC4"/>
    <w:rsid w:val="00DF698F"/>
    <w:rsid w:val="00DF702E"/>
    <w:rsid w:val="00DF7B5D"/>
    <w:rsid w:val="00E02D18"/>
    <w:rsid w:val="00E041E7"/>
    <w:rsid w:val="00E12C3A"/>
    <w:rsid w:val="00E1433C"/>
    <w:rsid w:val="00E14473"/>
    <w:rsid w:val="00E2013E"/>
    <w:rsid w:val="00E204F4"/>
    <w:rsid w:val="00E21AF5"/>
    <w:rsid w:val="00E23CA1"/>
    <w:rsid w:val="00E27CC1"/>
    <w:rsid w:val="00E33EF6"/>
    <w:rsid w:val="00E409A8"/>
    <w:rsid w:val="00E43224"/>
    <w:rsid w:val="00E44B45"/>
    <w:rsid w:val="00E4531F"/>
    <w:rsid w:val="00E50C12"/>
    <w:rsid w:val="00E53196"/>
    <w:rsid w:val="00E53DBA"/>
    <w:rsid w:val="00E54F9B"/>
    <w:rsid w:val="00E55089"/>
    <w:rsid w:val="00E60A7D"/>
    <w:rsid w:val="00E61F1A"/>
    <w:rsid w:val="00E64524"/>
    <w:rsid w:val="00E65B91"/>
    <w:rsid w:val="00E65C3C"/>
    <w:rsid w:val="00E66C83"/>
    <w:rsid w:val="00E7209D"/>
    <w:rsid w:val="00E72EAD"/>
    <w:rsid w:val="00E75938"/>
    <w:rsid w:val="00E75E6C"/>
    <w:rsid w:val="00E76010"/>
    <w:rsid w:val="00E767F9"/>
    <w:rsid w:val="00E76B30"/>
    <w:rsid w:val="00E77223"/>
    <w:rsid w:val="00E80A61"/>
    <w:rsid w:val="00E8167E"/>
    <w:rsid w:val="00E83254"/>
    <w:rsid w:val="00E8528B"/>
    <w:rsid w:val="00E85B94"/>
    <w:rsid w:val="00E8745E"/>
    <w:rsid w:val="00E92B8F"/>
    <w:rsid w:val="00E93057"/>
    <w:rsid w:val="00E965ED"/>
    <w:rsid w:val="00E978D0"/>
    <w:rsid w:val="00E97FD6"/>
    <w:rsid w:val="00EA2D4A"/>
    <w:rsid w:val="00EA4613"/>
    <w:rsid w:val="00EA48E9"/>
    <w:rsid w:val="00EA5901"/>
    <w:rsid w:val="00EA59B7"/>
    <w:rsid w:val="00EA7F91"/>
    <w:rsid w:val="00EB1523"/>
    <w:rsid w:val="00EB5B9E"/>
    <w:rsid w:val="00EB74B7"/>
    <w:rsid w:val="00EC0E49"/>
    <w:rsid w:val="00EC101F"/>
    <w:rsid w:val="00EC1061"/>
    <w:rsid w:val="00EC1D9F"/>
    <w:rsid w:val="00EC29E9"/>
    <w:rsid w:val="00EC4865"/>
    <w:rsid w:val="00EC7AA7"/>
    <w:rsid w:val="00ED5A28"/>
    <w:rsid w:val="00EE0131"/>
    <w:rsid w:val="00EE17B0"/>
    <w:rsid w:val="00EE3912"/>
    <w:rsid w:val="00EE3F85"/>
    <w:rsid w:val="00EF06D9"/>
    <w:rsid w:val="00EF2101"/>
    <w:rsid w:val="00EF3DF7"/>
    <w:rsid w:val="00F01D39"/>
    <w:rsid w:val="00F059CE"/>
    <w:rsid w:val="00F05FE9"/>
    <w:rsid w:val="00F0788B"/>
    <w:rsid w:val="00F10B59"/>
    <w:rsid w:val="00F10D5D"/>
    <w:rsid w:val="00F148EC"/>
    <w:rsid w:val="00F25EB9"/>
    <w:rsid w:val="00F27656"/>
    <w:rsid w:val="00F30C64"/>
    <w:rsid w:val="00F32BA2"/>
    <w:rsid w:val="00F32C5E"/>
    <w:rsid w:val="00F32CDB"/>
    <w:rsid w:val="00F37EC1"/>
    <w:rsid w:val="00F401AB"/>
    <w:rsid w:val="00F40230"/>
    <w:rsid w:val="00F40E07"/>
    <w:rsid w:val="00F42FB0"/>
    <w:rsid w:val="00F55ABB"/>
    <w:rsid w:val="00F565FE"/>
    <w:rsid w:val="00F63A39"/>
    <w:rsid w:val="00F63A70"/>
    <w:rsid w:val="00F674FF"/>
    <w:rsid w:val="00F67D07"/>
    <w:rsid w:val="00F701B1"/>
    <w:rsid w:val="00F73BB5"/>
    <w:rsid w:val="00F7534E"/>
    <w:rsid w:val="00F8080F"/>
    <w:rsid w:val="00F83AB7"/>
    <w:rsid w:val="00F842EB"/>
    <w:rsid w:val="00F857AE"/>
    <w:rsid w:val="00F863C8"/>
    <w:rsid w:val="00F9018D"/>
    <w:rsid w:val="00F91EBE"/>
    <w:rsid w:val="00F9537E"/>
    <w:rsid w:val="00F9557E"/>
    <w:rsid w:val="00F97320"/>
    <w:rsid w:val="00FA0AA5"/>
    <w:rsid w:val="00FA0E31"/>
    <w:rsid w:val="00FA150A"/>
    <w:rsid w:val="00FA1802"/>
    <w:rsid w:val="00FA21D0"/>
    <w:rsid w:val="00FA5F5F"/>
    <w:rsid w:val="00FA5FEF"/>
    <w:rsid w:val="00FA69A8"/>
    <w:rsid w:val="00FB030B"/>
    <w:rsid w:val="00FB35E2"/>
    <w:rsid w:val="00FB5455"/>
    <w:rsid w:val="00FB5881"/>
    <w:rsid w:val="00FB730C"/>
    <w:rsid w:val="00FC11E0"/>
    <w:rsid w:val="00FC23F3"/>
    <w:rsid w:val="00FC2695"/>
    <w:rsid w:val="00FC3E03"/>
    <w:rsid w:val="00FC3FC1"/>
    <w:rsid w:val="00FC409E"/>
    <w:rsid w:val="00FD26E6"/>
    <w:rsid w:val="00FD35F1"/>
    <w:rsid w:val="00FD43D9"/>
    <w:rsid w:val="00FD579A"/>
    <w:rsid w:val="00FE11D3"/>
    <w:rsid w:val="00FF0545"/>
    <w:rsid w:val="00FF0648"/>
    <w:rsid w:val="00FF0ED9"/>
    <w:rsid w:val="00FF14BC"/>
    <w:rsid w:val="00FF29CC"/>
    <w:rsid w:val="00FF57D1"/>
    <w:rsid w:val="00FF5B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1CA9F2E9-C960-4AAE-84E1-6B9AB033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99"/>
    <w:qFormat/>
    <w:rsid w:val="00280FAF"/>
    <w:pPr>
      <w:ind w:left="720"/>
      <w:contextualSpacing/>
    </w:pPr>
  </w:style>
  <w:style w:type="paragraph" w:customStyle="1" w:styleId="Abstract">
    <w:name w:val="Abstract"/>
    <w:basedOn w:val="Normale"/>
    <w:link w:val="AbstractChar"/>
    <w:qFormat/>
    <w:rsid w:val="00AB40DF"/>
    <w:pPr>
      <w:tabs>
        <w:tab w:val="clear" w:pos="7100"/>
        <w:tab w:val="left" w:pos="708"/>
      </w:tabs>
      <w:suppressAutoHyphens/>
      <w:spacing w:line="240" w:lineRule="auto"/>
      <w:ind w:left="708" w:right="1134"/>
    </w:pPr>
    <w:rPr>
      <w:rFonts w:ascii="Calibri Light" w:eastAsia="Droid Sans" w:hAnsi="Calibri Light" w:cs="Calibri"/>
      <w:sz w:val="24"/>
      <w:szCs w:val="18"/>
      <w:lang w:val="pt-BR"/>
    </w:rPr>
  </w:style>
  <w:style w:type="character" w:customStyle="1" w:styleId="AbstractChar">
    <w:name w:val="Abstract Char"/>
    <w:basedOn w:val="Carpredefinitoparagrafo"/>
    <w:link w:val="Abstract"/>
    <w:rsid w:val="00AB40DF"/>
    <w:rPr>
      <w:rFonts w:ascii="Calibri Light" w:eastAsia="Droid Sans" w:hAnsi="Calibri Light" w:cs="Calibri"/>
      <w:sz w:val="24"/>
      <w:szCs w:val="18"/>
      <w:lang w:val="pt-BR"/>
    </w:rPr>
  </w:style>
  <w:style w:type="paragraph" w:customStyle="1" w:styleId="Keywords">
    <w:name w:val="Keywords"/>
    <w:basedOn w:val="Normale"/>
    <w:link w:val="KeywordsChar"/>
    <w:qFormat/>
    <w:rsid w:val="00AB40DF"/>
    <w:pPr>
      <w:tabs>
        <w:tab w:val="clear" w:pos="7100"/>
        <w:tab w:val="left" w:pos="708"/>
      </w:tabs>
      <w:suppressAutoHyphens/>
      <w:spacing w:before="240" w:line="240" w:lineRule="auto"/>
      <w:ind w:left="709" w:right="1134"/>
      <w:jc w:val="left"/>
    </w:pPr>
    <w:rPr>
      <w:rFonts w:ascii="Calibri Light" w:eastAsia="Droid Sans" w:hAnsi="Calibri Light" w:cs="Calibri"/>
      <w:sz w:val="22"/>
      <w:szCs w:val="18"/>
      <w:lang w:val="pt-BR"/>
    </w:rPr>
  </w:style>
  <w:style w:type="character" w:customStyle="1" w:styleId="KeywordsChar">
    <w:name w:val="Keywords Char"/>
    <w:basedOn w:val="Carpredefinitoparagrafo"/>
    <w:link w:val="Keywords"/>
    <w:rsid w:val="00AB40DF"/>
    <w:rPr>
      <w:rFonts w:ascii="Calibri Light" w:eastAsia="Droid Sans" w:hAnsi="Calibri Light" w:cs="Calibri"/>
      <w:szCs w:val="18"/>
      <w:lang w:val="pt-BR"/>
    </w:rPr>
  </w:style>
  <w:style w:type="character" w:customStyle="1" w:styleId="UnresolvedMention1">
    <w:name w:val="Unresolved Mention1"/>
    <w:basedOn w:val="Carpredefinitoparagrafo"/>
    <w:uiPriority w:val="99"/>
    <w:semiHidden/>
    <w:unhideWhenUsed/>
    <w:rsid w:val="00DF53AC"/>
    <w:rPr>
      <w:color w:val="605E5C"/>
      <w:shd w:val="clear" w:color="auto" w:fill="E1DFDD"/>
    </w:rPr>
  </w:style>
  <w:style w:type="character" w:styleId="Enfasigrassetto">
    <w:name w:val="Strong"/>
    <w:basedOn w:val="Carpredefinitoparagrafo"/>
    <w:uiPriority w:val="22"/>
    <w:qFormat/>
    <w:rsid w:val="00650259"/>
    <w:rPr>
      <w:b/>
      <w:bCs/>
    </w:rPr>
  </w:style>
  <w:style w:type="character" w:styleId="Enfasicorsivo">
    <w:name w:val="Emphasis"/>
    <w:basedOn w:val="Carpredefinitoparagrafo"/>
    <w:uiPriority w:val="20"/>
    <w:qFormat/>
    <w:rsid w:val="00C81289"/>
    <w:rPr>
      <w:i/>
      <w:iCs/>
    </w:rPr>
  </w:style>
  <w:style w:type="character" w:customStyle="1" w:styleId="UnresolvedMention">
    <w:name w:val="Unresolved Mention"/>
    <w:basedOn w:val="Carpredefinitoparagrafo"/>
    <w:uiPriority w:val="99"/>
    <w:semiHidden/>
    <w:unhideWhenUsed/>
    <w:rsid w:val="00A9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602">
      <w:bodyDiv w:val="1"/>
      <w:marLeft w:val="0"/>
      <w:marRight w:val="0"/>
      <w:marTop w:val="0"/>
      <w:marBottom w:val="0"/>
      <w:divBdr>
        <w:top w:val="none" w:sz="0" w:space="0" w:color="auto"/>
        <w:left w:val="none" w:sz="0" w:space="0" w:color="auto"/>
        <w:bottom w:val="none" w:sz="0" w:space="0" w:color="auto"/>
        <w:right w:val="none" w:sz="0" w:space="0" w:color="auto"/>
      </w:divBdr>
      <w:divsChild>
        <w:div w:id="1739087844">
          <w:marLeft w:val="0"/>
          <w:marRight w:val="0"/>
          <w:marTop w:val="0"/>
          <w:marBottom w:val="0"/>
          <w:divBdr>
            <w:top w:val="none" w:sz="0" w:space="0" w:color="auto"/>
            <w:left w:val="none" w:sz="0" w:space="0" w:color="auto"/>
            <w:bottom w:val="none" w:sz="0" w:space="0" w:color="auto"/>
            <w:right w:val="none" w:sz="0" w:space="0" w:color="auto"/>
          </w:divBdr>
          <w:divsChild>
            <w:div w:id="1190610551">
              <w:marLeft w:val="0"/>
              <w:marRight w:val="0"/>
              <w:marTop w:val="0"/>
              <w:marBottom w:val="0"/>
              <w:divBdr>
                <w:top w:val="none" w:sz="0" w:space="0" w:color="auto"/>
                <w:left w:val="none" w:sz="0" w:space="0" w:color="auto"/>
                <w:bottom w:val="none" w:sz="0" w:space="0" w:color="auto"/>
                <w:right w:val="none" w:sz="0" w:space="0" w:color="auto"/>
              </w:divBdr>
              <w:divsChild>
                <w:div w:id="22443795">
                  <w:marLeft w:val="0"/>
                  <w:marRight w:val="0"/>
                  <w:marTop w:val="0"/>
                  <w:marBottom w:val="0"/>
                  <w:divBdr>
                    <w:top w:val="none" w:sz="0" w:space="0" w:color="auto"/>
                    <w:left w:val="none" w:sz="0" w:space="0" w:color="auto"/>
                    <w:bottom w:val="none" w:sz="0" w:space="0" w:color="auto"/>
                    <w:right w:val="none" w:sz="0" w:space="0" w:color="auto"/>
                  </w:divBdr>
                  <w:divsChild>
                    <w:div w:id="219950463">
                      <w:marLeft w:val="0"/>
                      <w:marRight w:val="0"/>
                      <w:marTop w:val="0"/>
                      <w:marBottom w:val="0"/>
                      <w:divBdr>
                        <w:top w:val="none" w:sz="0" w:space="0" w:color="auto"/>
                        <w:left w:val="none" w:sz="0" w:space="0" w:color="auto"/>
                        <w:bottom w:val="none" w:sz="0" w:space="0" w:color="auto"/>
                        <w:right w:val="none" w:sz="0" w:space="0" w:color="auto"/>
                      </w:divBdr>
                      <w:divsChild>
                        <w:div w:id="504905926">
                          <w:marLeft w:val="0"/>
                          <w:marRight w:val="0"/>
                          <w:marTop w:val="0"/>
                          <w:marBottom w:val="0"/>
                          <w:divBdr>
                            <w:top w:val="none" w:sz="0" w:space="0" w:color="auto"/>
                            <w:left w:val="none" w:sz="0" w:space="0" w:color="auto"/>
                            <w:bottom w:val="none" w:sz="0" w:space="0" w:color="auto"/>
                            <w:right w:val="none" w:sz="0" w:space="0" w:color="auto"/>
                          </w:divBdr>
                          <w:divsChild>
                            <w:div w:id="187260795">
                              <w:marLeft w:val="0"/>
                              <w:marRight w:val="0"/>
                              <w:marTop w:val="0"/>
                              <w:marBottom w:val="0"/>
                              <w:divBdr>
                                <w:top w:val="none" w:sz="0" w:space="0" w:color="auto"/>
                                <w:left w:val="none" w:sz="0" w:space="0" w:color="auto"/>
                                <w:bottom w:val="none" w:sz="0" w:space="0" w:color="auto"/>
                                <w:right w:val="none" w:sz="0" w:space="0" w:color="auto"/>
                              </w:divBdr>
                              <w:divsChild>
                                <w:div w:id="123894376">
                                  <w:marLeft w:val="0"/>
                                  <w:marRight w:val="0"/>
                                  <w:marTop w:val="0"/>
                                  <w:marBottom w:val="0"/>
                                  <w:divBdr>
                                    <w:top w:val="none" w:sz="0" w:space="0" w:color="auto"/>
                                    <w:left w:val="none" w:sz="0" w:space="0" w:color="auto"/>
                                    <w:bottom w:val="none" w:sz="0" w:space="0" w:color="auto"/>
                                    <w:right w:val="none" w:sz="0" w:space="0" w:color="auto"/>
                                  </w:divBdr>
                                  <w:divsChild>
                                    <w:div w:id="805585705">
                                      <w:marLeft w:val="0"/>
                                      <w:marRight w:val="0"/>
                                      <w:marTop w:val="0"/>
                                      <w:marBottom w:val="0"/>
                                      <w:divBdr>
                                        <w:top w:val="none" w:sz="0" w:space="0" w:color="auto"/>
                                        <w:left w:val="none" w:sz="0" w:space="0" w:color="auto"/>
                                        <w:bottom w:val="none" w:sz="0" w:space="0" w:color="auto"/>
                                        <w:right w:val="none" w:sz="0" w:space="0" w:color="auto"/>
                                      </w:divBdr>
                                    </w:div>
                                    <w:div w:id="584805567">
                                      <w:marLeft w:val="0"/>
                                      <w:marRight w:val="0"/>
                                      <w:marTop w:val="0"/>
                                      <w:marBottom w:val="0"/>
                                      <w:divBdr>
                                        <w:top w:val="none" w:sz="0" w:space="0" w:color="auto"/>
                                        <w:left w:val="none" w:sz="0" w:space="0" w:color="auto"/>
                                        <w:bottom w:val="none" w:sz="0" w:space="0" w:color="auto"/>
                                        <w:right w:val="none" w:sz="0" w:space="0" w:color="auto"/>
                                      </w:divBdr>
                                      <w:divsChild>
                                        <w:div w:id="674890830">
                                          <w:marLeft w:val="0"/>
                                          <w:marRight w:val="165"/>
                                          <w:marTop w:val="150"/>
                                          <w:marBottom w:val="0"/>
                                          <w:divBdr>
                                            <w:top w:val="none" w:sz="0" w:space="0" w:color="auto"/>
                                            <w:left w:val="none" w:sz="0" w:space="0" w:color="auto"/>
                                            <w:bottom w:val="none" w:sz="0" w:space="0" w:color="auto"/>
                                            <w:right w:val="none" w:sz="0" w:space="0" w:color="auto"/>
                                          </w:divBdr>
                                          <w:divsChild>
                                            <w:div w:id="1489441804">
                                              <w:marLeft w:val="0"/>
                                              <w:marRight w:val="0"/>
                                              <w:marTop w:val="0"/>
                                              <w:marBottom w:val="0"/>
                                              <w:divBdr>
                                                <w:top w:val="none" w:sz="0" w:space="0" w:color="auto"/>
                                                <w:left w:val="none" w:sz="0" w:space="0" w:color="auto"/>
                                                <w:bottom w:val="none" w:sz="0" w:space="0" w:color="auto"/>
                                                <w:right w:val="none" w:sz="0" w:space="0" w:color="auto"/>
                                              </w:divBdr>
                                              <w:divsChild>
                                                <w:div w:id="312832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615561">
      <w:bodyDiv w:val="1"/>
      <w:marLeft w:val="0"/>
      <w:marRight w:val="0"/>
      <w:marTop w:val="0"/>
      <w:marBottom w:val="0"/>
      <w:divBdr>
        <w:top w:val="none" w:sz="0" w:space="0" w:color="auto"/>
        <w:left w:val="none" w:sz="0" w:space="0" w:color="auto"/>
        <w:bottom w:val="none" w:sz="0" w:space="0" w:color="auto"/>
        <w:right w:val="none" w:sz="0" w:space="0" w:color="auto"/>
      </w:divBdr>
    </w:div>
    <w:div w:id="587885293">
      <w:bodyDiv w:val="1"/>
      <w:marLeft w:val="0"/>
      <w:marRight w:val="0"/>
      <w:marTop w:val="0"/>
      <w:marBottom w:val="0"/>
      <w:divBdr>
        <w:top w:val="none" w:sz="0" w:space="0" w:color="auto"/>
        <w:left w:val="none" w:sz="0" w:space="0" w:color="auto"/>
        <w:bottom w:val="none" w:sz="0" w:space="0" w:color="auto"/>
        <w:right w:val="none" w:sz="0" w:space="0" w:color="auto"/>
      </w:divBdr>
    </w:div>
    <w:div w:id="667748985">
      <w:bodyDiv w:val="1"/>
      <w:marLeft w:val="0"/>
      <w:marRight w:val="0"/>
      <w:marTop w:val="0"/>
      <w:marBottom w:val="0"/>
      <w:divBdr>
        <w:top w:val="none" w:sz="0" w:space="0" w:color="auto"/>
        <w:left w:val="none" w:sz="0" w:space="0" w:color="auto"/>
        <w:bottom w:val="none" w:sz="0" w:space="0" w:color="auto"/>
        <w:right w:val="none" w:sz="0" w:space="0" w:color="auto"/>
      </w:divBdr>
    </w:div>
    <w:div w:id="73632529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280276">
      <w:bodyDiv w:val="1"/>
      <w:marLeft w:val="0"/>
      <w:marRight w:val="0"/>
      <w:marTop w:val="0"/>
      <w:marBottom w:val="0"/>
      <w:divBdr>
        <w:top w:val="none" w:sz="0" w:space="0" w:color="auto"/>
        <w:left w:val="none" w:sz="0" w:space="0" w:color="auto"/>
        <w:bottom w:val="none" w:sz="0" w:space="0" w:color="auto"/>
        <w:right w:val="none" w:sz="0" w:space="0" w:color="auto"/>
      </w:divBdr>
      <w:divsChild>
        <w:div w:id="985823042">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4493493">
      <w:bodyDiv w:val="1"/>
      <w:marLeft w:val="0"/>
      <w:marRight w:val="0"/>
      <w:marTop w:val="0"/>
      <w:marBottom w:val="0"/>
      <w:divBdr>
        <w:top w:val="none" w:sz="0" w:space="0" w:color="auto"/>
        <w:left w:val="none" w:sz="0" w:space="0" w:color="auto"/>
        <w:bottom w:val="none" w:sz="0" w:space="0" w:color="auto"/>
        <w:right w:val="none" w:sz="0" w:space="0" w:color="auto"/>
      </w:divBdr>
      <w:divsChild>
        <w:div w:id="1407460679">
          <w:marLeft w:val="0"/>
          <w:marRight w:val="0"/>
          <w:marTop w:val="0"/>
          <w:marBottom w:val="0"/>
          <w:divBdr>
            <w:top w:val="none" w:sz="0" w:space="0" w:color="auto"/>
            <w:left w:val="none" w:sz="0" w:space="0" w:color="auto"/>
            <w:bottom w:val="none" w:sz="0" w:space="0" w:color="auto"/>
            <w:right w:val="none" w:sz="0" w:space="0" w:color="auto"/>
          </w:divBdr>
          <w:divsChild>
            <w:div w:id="313262733">
              <w:marLeft w:val="0"/>
              <w:marRight w:val="0"/>
              <w:marTop w:val="0"/>
              <w:marBottom w:val="0"/>
              <w:divBdr>
                <w:top w:val="none" w:sz="0" w:space="0" w:color="auto"/>
                <w:left w:val="none" w:sz="0" w:space="0" w:color="auto"/>
                <w:bottom w:val="none" w:sz="0" w:space="0" w:color="auto"/>
                <w:right w:val="none" w:sz="0" w:space="0" w:color="auto"/>
              </w:divBdr>
              <w:divsChild>
                <w:div w:id="2055428129">
                  <w:marLeft w:val="0"/>
                  <w:marRight w:val="0"/>
                  <w:marTop w:val="0"/>
                  <w:marBottom w:val="0"/>
                  <w:divBdr>
                    <w:top w:val="none" w:sz="0" w:space="0" w:color="auto"/>
                    <w:left w:val="none" w:sz="0" w:space="0" w:color="auto"/>
                    <w:bottom w:val="none" w:sz="0" w:space="0" w:color="auto"/>
                    <w:right w:val="none" w:sz="0" w:space="0" w:color="auto"/>
                  </w:divBdr>
                  <w:divsChild>
                    <w:div w:id="198668509">
                      <w:marLeft w:val="0"/>
                      <w:marRight w:val="0"/>
                      <w:marTop w:val="0"/>
                      <w:marBottom w:val="0"/>
                      <w:divBdr>
                        <w:top w:val="none" w:sz="0" w:space="0" w:color="auto"/>
                        <w:left w:val="none" w:sz="0" w:space="0" w:color="auto"/>
                        <w:bottom w:val="none" w:sz="0" w:space="0" w:color="auto"/>
                        <w:right w:val="none" w:sz="0" w:space="0" w:color="auto"/>
                      </w:divBdr>
                      <w:divsChild>
                        <w:div w:id="695473250">
                          <w:marLeft w:val="0"/>
                          <w:marRight w:val="0"/>
                          <w:marTop w:val="0"/>
                          <w:marBottom w:val="0"/>
                          <w:divBdr>
                            <w:top w:val="none" w:sz="0" w:space="0" w:color="auto"/>
                            <w:left w:val="none" w:sz="0" w:space="0" w:color="auto"/>
                            <w:bottom w:val="none" w:sz="0" w:space="0" w:color="auto"/>
                            <w:right w:val="none" w:sz="0" w:space="0" w:color="auto"/>
                          </w:divBdr>
                          <w:divsChild>
                            <w:div w:id="804589203">
                              <w:marLeft w:val="0"/>
                              <w:marRight w:val="0"/>
                              <w:marTop w:val="0"/>
                              <w:marBottom w:val="0"/>
                              <w:divBdr>
                                <w:top w:val="none" w:sz="0" w:space="0" w:color="auto"/>
                                <w:left w:val="none" w:sz="0" w:space="0" w:color="auto"/>
                                <w:bottom w:val="none" w:sz="0" w:space="0" w:color="auto"/>
                                <w:right w:val="none" w:sz="0" w:space="0" w:color="auto"/>
                              </w:divBdr>
                              <w:divsChild>
                                <w:div w:id="267544334">
                                  <w:marLeft w:val="0"/>
                                  <w:marRight w:val="0"/>
                                  <w:marTop w:val="0"/>
                                  <w:marBottom w:val="0"/>
                                  <w:divBdr>
                                    <w:top w:val="none" w:sz="0" w:space="0" w:color="auto"/>
                                    <w:left w:val="none" w:sz="0" w:space="0" w:color="auto"/>
                                    <w:bottom w:val="none" w:sz="0" w:space="0" w:color="auto"/>
                                    <w:right w:val="none" w:sz="0" w:space="0" w:color="auto"/>
                                  </w:divBdr>
                                  <w:divsChild>
                                    <w:div w:id="509489199">
                                      <w:marLeft w:val="0"/>
                                      <w:marRight w:val="0"/>
                                      <w:marTop w:val="0"/>
                                      <w:marBottom w:val="0"/>
                                      <w:divBdr>
                                        <w:top w:val="none" w:sz="0" w:space="0" w:color="auto"/>
                                        <w:left w:val="none" w:sz="0" w:space="0" w:color="auto"/>
                                        <w:bottom w:val="none" w:sz="0" w:space="0" w:color="auto"/>
                                        <w:right w:val="none" w:sz="0" w:space="0" w:color="auto"/>
                                      </w:divBdr>
                                      <w:divsChild>
                                        <w:div w:id="522406708">
                                          <w:marLeft w:val="0"/>
                                          <w:marRight w:val="165"/>
                                          <w:marTop w:val="150"/>
                                          <w:marBottom w:val="0"/>
                                          <w:divBdr>
                                            <w:top w:val="none" w:sz="0" w:space="0" w:color="auto"/>
                                            <w:left w:val="none" w:sz="0" w:space="0" w:color="auto"/>
                                            <w:bottom w:val="none" w:sz="0" w:space="0" w:color="auto"/>
                                            <w:right w:val="none" w:sz="0" w:space="0" w:color="auto"/>
                                          </w:divBdr>
                                          <w:divsChild>
                                            <w:div w:id="1274942182">
                                              <w:marLeft w:val="0"/>
                                              <w:marRight w:val="0"/>
                                              <w:marTop w:val="0"/>
                                              <w:marBottom w:val="0"/>
                                              <w:divBdr>
                                                <w:top w:val="none" w:sz="0" w:space="0" w:color="auto"/>
                                                <w:left w:val="none" w:sz="0" w:space="0" w:color="auto"/>
                                                <w:bottom w:val="none" w:sz="0" w:space="0" w:color="auto"/>
                                                <w:right w:val="none" w:sz="0" w:space="0" w:color="auto"/>
                                              </w:divBdr>
                                              <w:divsChild>
                                                <w:div w:id="20561522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7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0767">
      <w:bodyDiv w:val="1"/>
      <w:marLeft w:val="0"/>
      <w:marRight w:val="0"/>
      <w:marTop w:val="0"/>
      <w:marBottom w:val="0"/>
      <w:divBdr>
        <w:top w:val="none" w:sz="0" w:space="0" w:color="auto"/>
        <w:left w:val="none" w:sz="0" w:space="0" w:color="auto"/>
        <w:bottom w:val="none" w:sz="0" w:space="0" w:color="auto"/>
        <w:right w:val="none" w:sz="0" w:space="0" w:color="auto"/>
      </w:divBdr>
    </w:div>
    <w:div w:id="2056612627">
      <w:bodyDiv w:val="1"/>
      <w:marLeft w:val="0"/>
      <w:marRight w:val="0"/>
      <w:marTop w:val="0"/>
      <w:marBottom w:val="0"/>
      <w:divBdr>
        <w:top w:val="none" w:sz="0" w:space="0" w:color="auto"/>
        <w:left w:val="none" w:sz="0" w:space="0" w:color="auto"/>
        <w:bottom w:val="none" w:sz="0" w:space="0" w:color="auto"/>
        <w:right w:val="none" w:sz="0" w:space="0" w:color="auto"/>
      </w:divBdr>
      <w:divsChild>
        <w:div w:id="1863591002">
          <w:marLeft w:val="0"/>
          <w:marRight w:val="0"/>
          <w:marTop w:val="0"/>
          <w:marBottom w:val="0"/>
          <w:divBdr>
            <w:top w:val="none" w:sz="0" w:space="0" w:color="auto"/>
            <w:left w:val="none" w:sz="0" w:space="0" w:color="auto"/>
            <w:bottom w:val="none" w:sz="0" w:space="0" w:color="auto"/>
            <w:right w:val="none" w:sz="0" w:space="0" w:color="auto"/>
          </w:divBdr>
          <w:divsChild>
            <w:div w:id="251400293">
              <w:marLeft w:val="0"/>
              <w:marRight w:val="0"/>
              <w:marTop w:val="0"/>
              <w:marBottom w:val="0"/>
              <w:divBdr>
                <w:top w:val="none" w:sz="0" w:space="0" w:color="auto"/>
                <w:left w:val="none" w:sz="0" w:space="0" w:color="auto"/>
                <w:bottom w:val="none" w:sz="0" w:space="0" w:color="auto"/>
                <w:right w:val="none" w:sz="0" w:space="0" w:color="auto"/>
              </w:divBdr>
              <w:divsChild>
                <w:div w:id="495346585">
                  <w:marLeft w:val="0"/>
                  <w:marRight w:val="0"/>
                  <w:marTop w:val="0"/>
                  <w:marBottom w:val="0"/>
                  <w:divBdr>
                    <w:top w:val="none" w:sz="0" w:space="0" w:color="auto"/>
                    <w:left w:val="none" w:sz="0" w:space="0" w:color="auto"/>
                    <w:bottom w:val="none" w:sz="0" w:space="0" w:color="auto"/>
                    <w:right w:val="none" w:sz="0" w:space="0" w:color="auto"/>
                  </w:divBdr>
                  <w:divsChild>
                    <w:div w:id="1019618964">
                      <w:marLeft w:val="0"/>
                      <w:marRight w:val="0"/>
                      <w:marTop w:val="0"/>
                      <w:marBottom w:val="0"/>
                      <w:divBdr>
                        <w:top w:val="none" w:sz="0" w:space="0" w:color="auto"/>
                        <w:left w:val="none" w:sz="0" w:space="0" w:color="auto"/>
                        <w:bottom w:val="none" w:sz="0" w:space="0" w:color="auto"/>
                        <w:right w:val="none" w:sz="0" w:space="0" w:color="auto"/>
                      </w:divBdr>
                      <w:divsChild>
                        <w:div w:id="1551915216">
                          <w:marLeft w:val="0"/>
                          <w:marRight w:val="0"/>
                          <w:marTop w:val="0"/>
                          <w:marBottom w:val="0"/>
                          <w:divBdr>
                            <w:top w:val="none" w:sz="0" w:space="0" w:color="auto"/>
                            <w:left w:val="none" w:sz="0" w:space="0" w:color="auto"/>
                            <w:bottom w:val="none" w:sz="0" w:space="0" w:color="auto"/>
                            <w:right w:val="none" w:sz="0" w:space="0" w:color="auto"/>
                          </w:divBdr>
                          <w:divsChild>
                            <w:div w:id="1523326133">
                              <w:marLeft w:val="0"/>
                              <w:marRight w:val="0"/>
                              <w:marTop w:val="0"/>
                              <w:marBottom w:val="0"/>
                              <w:divBdr>
                                <w:top w:val="none" w:sz="0" w:space="0" w:color="auto"/>
                                <w:left w:val="none" w:sz="0" w:space="0" w:color="auto"/>
                                <w:bottom w:val="none" w:sz="0" w:space="0" w:color="auto"/>
                                <w:right w:val="none" w:sz="0" w:space="0" w:color="auto"/>
                              </w:divBdr>
                              <w:divsChild>
                                <w:div w:id="2016954182">
                                  <w:marLeft w:val="0"/>
                                  <w:marRight w:val="0"/>
                                  <w:marTop w:val="0"/>
                                  <w:marBottom w:val="0"/>
                                  <w:divBdr>
                                    <w:top w:val="none" w:sz="0" w:space="0" w:color="auto"/>
                                    <w:left w:val="none" w:sz="0" w:space="0" w:color="auto"/>
                                    <w:bottom w:val="none" w:sz="0" w:space="0" w:color="auto"/>
                                    <w:right w:val="none" w:sz="0" w:space="0" w:color="auto"/>
                                  </w:divBdr>
                                  <w:divsChild>
                                    <w:div w:id="92559416">
                                      <w:marLeft w:val="0"/>
                                      <w:marRight w:val="0"/>
                                      <w:marTop w:val="0"/>
                                      <w:marBottom w:val="0"/>
                                      <w:divBdr>
                                        <w:top w:val="none" w:sz="0" w:space="0" w:color="auto"/>
                                        <w:left w:val="none" w:sz="0" w:space="0" w:color="auto"/>
                                        <w:bottom w:val="none" w:sz="0" w:space="0" w:color="auto"/>
                                        <w:right w:val="none" w:sz="0" w:space="0" w:color="auto"/>
                                      </w:divBdr>
                                      <w:divsChild>
                                        <w:div w:id="634067860">
                                          <w:marLeft w:val="0"/>
                                          <w:marRight w:val="165"/>
                                          <w:marTop w:val="150"/>
                                          <w:marBottom w:val="0"/>
                                          <w:divBdr>
                                            <w:top w:val="none" w:sz="0" w:space="0" w:color="auto"/>
                                            <w:left w:val="none" w:sz="0" w:space="0" w:color="auto"/>
                                            <w:bottom w:val="none" w:sz="0" w:space="0" w:color="auto"/>
                                            <w:right w:val="none" w:sz="0" w:space="0" w:color="auto"/>
                                          </w:divBdr>
                                          <w:divsChild>
                                            <w:div w:id="2115635495">
                                              <w:marLeft w:val="0"/>
                                              <w:marRight w:val="0"/>
                                              <w:marTop w:val="0"/>
                                              <w:marBottom w:val="0"/>
                                              <w:divBdr>
                                                <w:top w:val="none" w:sz="0" w:space="0" w:color="auto"/>
                                                <w:left w:val="none" w:sz="0" w:space="0" w:color="auto"/>
                                                <w:bottom w:val="none" w:sz="0" w:space="0" w:color="auto"/>
                                                <w:right w:val="none" w:sz="0" w:space="0" w:color="auto"/>
                                              </w:divBdr>
                                              <w:divsChild>
                                                <w:div w:id="268780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17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f018e50f7d55b140/Documentos/Mestrado%20arq/Parametros%20simula&#231;&#227;o%20nylon%2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f018e50f7d55b140/Documentos/Mestrado%20arq/Parametros%20simula&#231;&#227;o%20nylon%2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f018e50f7d55b140/Documentos/Mestrado%20arq/Parametros%20simula&#231;&#227;o%20nylon%2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f018e50f7d55b140/Documentos/Mestrado%20arq/Parametros%20simula&#231;&#227;o%20nylon%2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f018e50f7d55b140/Documentos/Mestrado%20arq/Parametros%20simula&#231;&#227;o%20nylon%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4006030142736"/>
          <c:y val="4.7619000412724877E-2"/>
          <c:w val="0.72094738157730287"/>
          <c:h val="0.66429722146800618"/>
        </c:manualLayout>
      </c:layout>
      <c:lineChart>
        <c:grouping val="standard"/>
        <c:varyColors val="0"/>
        <c:ser>
          <c:idx val="3"/>
          <c:order val="0"/>
          <c:tx>
            <c:v>R1-DP</c:v>
          </c:tx>
          <c:spPr>
            <a:ln w="15875" cap="rnd">
              <a:solidFill>
                <a:schemeClr val="accent4"/>
              </a:solidFill>
              <a:round/>
            </a:ln>
            <a:effectLst/>
          </c:spPr>
          <c:marker>
            <c:symbol val="square"/>
            <c:size val="6"/>
            <c:spPr>
              <a:solidFill>
                <a:schemeClr val="tx2">
                  <a:lumMod val="60000"/>
                  <a:lumOff val="40000"/>
                </a:schemeClr>
              </a:solidFill>
              <a:ln w="9525">
                <a:solidFill>
                  <a:schemeClr val="accent4"/>
                </a:solidFill>
                <a:round/>
              </a:ln>
              <a:effectLst/>
            </c:spPr>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ny12fit'!$AC$2:$AC$23</c:f>
              <c:numCache>
                <c:formatCode>General</c:formatCode>
                <c:ptCount val="22"/>
                <c:pt idx="0">
                  <c:v>80.3767</c:v>
                </c:pt>
                <c:pt idx="1">
                  <c:v>78.979007699999997</c:v>
                </c:pt>
                <c:pt idx="2">
                  <c:v>77.487796299999999</c:v>
                </c:pt>
                <c:pt idx="3">
                  <c:v>74.8681682</c:v>
                </c:pt>
                <c:pt idx="4">
                  <c:v>72.458478700000001</c:v>
                </c:pt>
                <c:pt idx="5">
                  <c:v>70.223160199999995</c:v>
                </c:pt>
                <c:pt idx="6">
                  <c:v>68.137216899999999</c:v>
                </c:pt>
                <c:pt idx="7">
                  <c:v>66.181586199999998</c:v>
                </c:pt>
                <c:pt idx="8">
                  <c:v>64.341032600000005</c:v>
                </c:pt>
                <c:pt idx="9">
                  <c:v>62.603042000000002</c:v>
                </c:pt>
                <c:pt idx="10">
                  <c:v>60.958990300000004</c:v>
                </c:pt>
                <c:pt idx="11">
                  <c:v>59.3965119</c:v>
                </c:pt>
                <c:pt idx="12">
                  <c:v>57.9095552</c:v>
                </c:pt>
                <c:pt idx="13">
                  <c:v>56.491506200000003</c:v>
                </c:pt>
                <c:pt idx="14">
                  <c:v>55.136598399999997</c:v>
                </c:pt>
                <c:pt idx="15">
                  <c:v>53.8397729</c:v>
                </c:pt>
                <c:pt idx="16">
                  <c:v>52.596567200000003</c:v>
                </c:pt>
                <c:pt idx="17">
                  <c:v>51.403025399999997</c:v>
                </c:pt>
                <c:pt idx="18">
                  <c:v>50.255625100000003</c:v>
                </c:pt>
                <c:pt idx="19">
                  <c:v>49.151217699999997</c:v>
                </c:pt>
                <c:pt idx="20">
                  <c:v>48.086977900000001</c:v>
                </c:pt>
              </c:numCache>
            </c:numRef>
          </c:val>
          <c:smooth val="0"/>
          <c:extLst xmlns:c16r2="http://schemas.microsoft.com/office/drawing/2015/06/chart">
            <c:ext xmlns:c16="http://schemas.microsoft.com/office/drawing/2014/chart" uri="{C3380CC4-5D6E-409C-BE32-E72D297353CC}">
              <c16:uniqueId val="{00000000-6E28-425E-8740-A1EB967EA995}"/>
            </c:ext>
          </c:extLst>
        </c:ser>
        <c:ser>
          <c:idx val="4"/>
          <c:order val="1"/>
          <c:tx>
            <c:v>R2-DP</c:v>
          </c:tx>
          <c:spPr>
            <a:ln w="15875" cap="rnd">
              <a:solidFill>
                <a:schemeClr val="accent5"/>
              </a:solidFill>
              <a:round/>
            </a:ln>
            <a:effectLst/>
          </c:spPr>
          <c:marker>
            <c:symbol val="triangle"/>
            <c:size val="6"/>
            <c:spPr>
              <a:solidFill>
                <a:schemeClr val="accent1">
                  <a:lumMod val="40000"/>
                  <a:lumOff val="60000"/>
                </a:schemeClr>
              </a:solidFill>
              <a:ln w="9525">
                <a:solidFill>
                  <a:schemeClr val="accent5"/>
                </a:solidFill>
                <a:round/>
              </a:ln>
              <a:effectLst/>
            </c:spPr>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ny12fit'!$AD$2:$AD$23</c:f>
              <c:numCache>
                <c:formatCode>General</c:formatCode>
                <c:ptCount val="22"/>
                <c:pt idx="0">
                  <c:v>113.101877</c:v>
                </c:pt>
                <c:pt idx="1">
                  <c:v>111.109427</c:v>
                </c:pt>
                <c:pt idx="2">
                  <c:v>108.778837</c:v>
                </c:pt>
                <c:pt idx="3">
                  <c:v>104.417772</c:v>
                </c:pt>
                <c:pt idx="4">
                  <c:v>100.283068</c:v>
                </c:pt>
                <c:pt idx="5">
                  <c:v>96.428964699999995</c:v>
                </c:pt>
                <c:pt idx="6">
                  <c:v>92.851517599999994</c:v>
                </c:pt>
                <c:pt idx="7">
                  <c:v>89.529924199999996</c:v>
                </c:pt>
                <c:pt idx="8">
                  <c:v>86.439663999999993</c:v>
                </c:pt>
                <c:pt idx="9">
                  <c:v>83.556947899999997</c:v>
                </c:pt>
                <c:pt idx="10">
                  <c:v>80.863494799999998</c:v>
                </c:pt>
                <c:pt idx="11">
                  <c:v>78.333882399999993</c:v>
                </c:pt>
                <c:pt idx="12">
                  <c:v>75.954233500000001</c:v>
                </c:pt>
                <c:pt idx="13">
                  <c:v>73.709907999999999</c:v>
                </c:pt>
                <c:pt idx="14">
                  <c:v>71.588129699999996</c:v>
                </c:pt>
                <c:pt idx="15">
                  <c:v>69.5777286</c:v>
                </c:pt>
                <c:pt idx="16">
                  <c:v>67.668911800000004</c:v>
                </c:pt>
                <c:pt idx="17">
                  <c:v>65.853065999999998</c:v>
                </c:pt>
                <c:pt idx="18">
                  <c:v>64.122589000000005</c:v>
                </c:pt>
                <c:pt idx="19">
                  <c:v>62.470747799999998</c:v>
                </c:pt>
                <c:pt idx="20">
                  <c:v>60.891558099999997</c:v>
                </c:pt>
              </c:numCache>
            </c:numRef>
          </c:val>
          <c:smooth val="0"/>
          <c:extLst xmlns:c16r2="http://schemas.microsoft.com/office/drawing/2015/06/chart">
            <c:ext xmlns:c16="http://schemas.microsoft.com/office/drawing/2014/chart" uri="{C3380CC4-5D6E-409C-BE32-E72D297353CC}">
              <c16:uniqueId val="{00000001-6E28-425E-8740-A1EB967EA995}"/>
            </c:ext>
          </c:extLst>
        </c:ser>
        <c:ser>
          <c:idx val="5"/>
          <c:order val="2"/>
          <c:tx>
            <c:v>R3-DP</c:v>
          </c:tx>
          <c:spPr>
            <a:ln w="15875" cap="rnd">
              <a:solidFill>
                <a:schemeClr val="accent6"/>
              </a:solidFill>
              <a:round/>
            </a:ln>
            <a:effectLst/>
          </c:spPr>
          <c:marker>
            <c:symbol val="circle"/>
            <c:size val="6"/>
            <c:spPr>
              <a:solidFill>
                <a:schemeClr val="accent6"/>
              </a:solidFill>
              <a:ln w="9525">
                <a:solidFill>
                  <a:schemeClr val="accent6"/>
                </a:solidFill>
                <a:round/>
              </a:ln>
              <a:effectLst/>
            </c:spPr>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ny12fit'!$AE$2:$AE$23</c:f>
              <c:numCache>
                <c:formatCode>General</c:formatCode>
                <c:ptCount val="22"/>
                <c:pt idx="0">
                  <c:v>114.84600500000001</c:v>
                </c:pt>
                <c:pt idx="1">
                  <c:v>116.112953</c:v>
                </c:pt>
                <c:pt idx="2">
                  <c:v>116.877504</c:v>
                </c:pt>
                <c:pt idx="3">
                  <c:v>116.795481</c:v>
                </c:pt>
                <c:pt idx="4">
                  <c:v>115.43305700000001</c:v>
                </c:pt>
                <c:pt idx="5">
                  <c:v>113.38486899999999</c:v>
                </c:pt>
                <c:pt idx="6">
                  <c:v>110.98359600000001</c:v>
                </c:pt>
                <c:pt idx="7">
                  <c:v>108.408781</c:v>
                </c:pt>
                <c:pt idx="8">
                  <c:v>105.759062</c:v>
                </c:pt>
                <c:pt idx="9">
                  <c:v>103.09169300000001</c:v>
                </c:pt>
                <c:pt idx="10">
                  <c:v>100.449293</c:v>
                </c:pt>
                <c:pt idx="11">
                  <c:v>97.840869600000005</c:v>
                </c:pt>
                <c:pt idx="12">
                  <c:v>95.287386299999994</c:v>
                </c:pt>
                <c:pt idx="13">
                  <c:v>92.798473000000001</c:v>
                </c:pt>
                <c:pt idx="14">
                  <c:v>90.380193700000007</c:v>
                </c:pt>
                <c:pt idx="15">
                  <c:v>88.036045799999997</c:v>
                </c:pt>
                <c:pt idx="16">
                  <c:v>85.767700399999995</c:v>
                </c:pt>
                <c:pt idx="17">
                  <c:v>83.575378499999999</c:v>
                </c:pt>
                <c:pt idx="18">
                  <c:v>81.458346599999999</c:v>
                </c:pt>
                <c:pt idx="19">
                  <c:v>79.415254500000003</c:v>
                </c:pt>
                <c:pt idx="20">
                  <c:v>77.444183499999994</c:v>
                </c:pt>
              </c:numCache>
            </c:numRef>
          </c:val>
          <c:smooth val="0"/>
          <c:extLst xmlns:c16r2="http://schemas.microsoft.com/office/drawing/2015/06/chart">
            <c:ext xmlns:c16="http://schemas.microsoft.com/office/drawing/2014/chart" uri="{C3380CC4-5D6E-409C-BE32-E72D297353CC}">
              <c16:uniqueId val="{00000002-6E28-425E-8740-A1EB967EA995}"/>
            </c:ext>
          </c:extLst>
        </c:ser>
        <c:dLbls>
          <c:showLegendKey val="0"/>
          <c:showVal val="0"/>
          <c:showCatName val="0"/>
          <c:showSerName val="0"/>
          <c:showPercent val="0"/>
          <c:showBubbleSize val="0"/>
        </c:dLbls>
        <c:marker val="1"/>
        <c:smooth val="0"/>
        <c:axId val="424264032"/>
        <c:axId val="424263640"/>
      </c:lineChart>
      <c:lineChart>
        <c:grouping val="standard"/>
        <c:varyColors val="0"/>
        <c:ser>
          <c:idx val="0"/>
          <c:order val="3"/>
          <c:tx>
            <c:strRef>
              <c:f>'[Parametros simulação nylon 6.xlsx]Res ny12fit'!$AF$1</c:f>
              <c:strCache>
                <c:ptCount val="1"/>
                <c:pt idx="0">
                  <c:v>R1-MWN </c:v>
                </c:pt>
              </c:strCache>
            </c:strRef>
          </c:tx>
          <c:spPr>
            <a:ln w="15875" cap="rnd">
              <a:solidFill>
                <a:schemeClr val="accent1"/>
              </a:solidFill>
              <a:round/>
            </a:ln>
            <a:effectLst/>
          </c:spPr>
          <c:marker>
            <c:symbol val="none"/>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ny12fit'!$AF$2:$AF$23</c:f>
              <c:numCache>
                <c:formatCode>General</c:formatCode>
                <c:ptCount val="22"/>
                <c:pt idx="0">
                  <c:v>15832.8429</c:v>
                </c:pt>
                <c:pt idx="1">
                  <c:v>15557.356100000001</c:v>
                </c:pt>
                <c:pt idx="2">
                  <c:v>15263.4028</c:v>
                </c:pt>
                <c:pt idx="3">
                  <c:v>14746.9449</c:v>
                </c:pt>
                <c:pt idx="4">
                  <c:v>14271.832700000001</c:v>
                </c:pt>
                <c:pt idx="5">
                  <c:v>13831.077600000001</c:v>
                </c:pt>
                <c:pt idx="6">
                  <c:v>13419.7621</c:v>
                </c:pt>
                <c:pt idx="7">
                  <c:v>13034.1335</c:v>
                </c:pt>
                <c:pt idx="8">
                  <c:v>12671.191000000001</c:v>
                </c:pt>
                <c:pt idx="9">
                  <c:v>12328.469300000001</c:v>
                </c:pt>
                <c:pt idx="10">
                  <c:v>12004.277400000001</c:v>
                </c:pt>
                <c:pt idx="11">
                  <c:v>11696.162899999999</c:v>
                </c:pt>
                <c:pt idx="12">
                  <c:v>11402.939899999999</c:v>
                </c:pt>
                <c:pt idx="13">
                  <c:v>11123.304700000001</c:v>
                </c:pt>
                <c:pt idx="14">
                  <c:v>10856.120500000001</c:v>
                </c:pt>
                <c:pt idx="15">
                  <c:v>10600.390100000001</c:v>
                </c:pt>
                <c:pt idx="16">
                  <c:v>10355.233700000001</c:v>
                </c:pt>
                <c:pt idx="17">
                  <c:v>10119.8714</c:v>
                </c:pt>
                <c:pt idx="18">
                  <c:v>9893.6087000000007</c:v>
                </c:pt>
                <c:pt idx="19">
                  <c:v>9675.8249099999994</c:v>
                </c:pt>
                <c:pt idx="20">
                  <c:v>9465.9629999999997</c:v>
                </c:pt>
              </c:numCache>
            </c:numRef>
          </c:val>
          <c:smooth val="0"/>
          <c:extLst xmlns:c16r2="http://schemas.microsoft.com/office/drawing/2015/06/chart">
            <c:ext xmlns:c16="http://schemas.microsoft.com/office/drawing/2014/chart" uri="{C3380CC4-5D6E-409C-BE32-E72D297353CC}">
              <c16:uniqueId val="{00000003-6E28-425E-8740-A1EB967EA995}"/>
            </c:ext>
          </c:extLst>
        </c:ser>
        <c:ser>
          <c:idx val="1"/>
          <c:order val="4"/>
          <c:tx>
            <c:strRef>
              <c:f>'[Parametros simulação nylon 6.xlsx]Res ny12fit'!$AG$1</c:f>
              <c:strCache>
                <c:ptCount val="1"/>
                <c:pt idx="0">
                  <c:v>R2-MWN </c:v>
                </c:pt>
              </c:strCache>
            </c:strRef>
          </c:tx>
          <c:spPr>
            <a:ln w="15875" cap="rnd">
              <a:solidFill>
                <a:schemeClr val="accent2"/>
              </a:solidFill>
              <a:round/>
            </a:ln>
            <a:effectLst/>
          </c:spPr>
          <c:marker>
            <c:symbol val="none"/>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ny12fit'!$AG$2:$AG$23</c:f>
              <c:numCache>
                <c:formatCode>General</c:formatCode>
                <c:ptCount val="22"/>
                <c:pt idx="0">
                  <c:v>22272.959699999999</c:v>
                </c:pt>
                <c:pt idx="1">
                  <c:v>21880.493399999999</c:v>
                </c:pt>
                <c:pt idx="2">
                  <c:v>21421.356400000001</c:v>
                </c:pt>
                <c:pt idx="3">
                  <c:v>20562.096300000001</c:v>
                </c:pt>
                <c:pt idx="4">
                  <c:v>19747.369200000001</c:v>
                </c:pt>
                <c:pt idx="5">
                  <c:v>18987.8986</c:v>
                </c:pt>
                <c:pt idx="6">
                  <c:v>18282.923900000002</c:v>
                </c:pt>
                <c:pt idx="7">
                  <c:v>17628.354200000002</c:v>
                </c:pt>
                <c:pt idx="8">
                  <c:v>17019.362700000001</c:v>
                </c:pt>
                <c:pt idx="9">
                  <c:v>16451.264500000001</c:v>
                </c:pt>
                <c:pt idx="10">
                  <c:v>15920.4697</c:v>
                </c:pt>
                <c:pt idx="11">
                  <c:v>15421.950699999999</c:v>
                </c:pt>
                <c:pt idx="12">
                  <c:v>14952.9825</c:v>
                </c:pt>
                <c:pt idx="13">
                  <c:v>14510.6808</c:v>
                </c:pt>
                <c:pt idx="14">
                  <c:v>14092.5285</c:v>
                </c:pt>
                <c:pt idx="15">
                  <c:v>13696.324699999999</c:v>
                </c:pt>
                <c:pt idx="16">
                  <c:v>13320.1399</c:v>
                </c:pt>
                <c:pt idx="17">
                  <c:v>12962.277</c:v>
                </c:pt>
                <c:pt idx="18">
                  <c:v>12621.2381</c:v>
                </c:pt>
                <c:pt idx="19">
                  <c:v>12295.696599999999</c:v>
                </c:pt>
                <c:pt idx="20">
                  <c:v>11984.4733</c:v>
                </c:pt>
              </c:numCache>
            </c:numRef>
          </c:val>
          <c:smooth val="0"/>
          <c:extLst xmlns:c16r2="http://schemas.microsoft.com/office/drawing/2015/06/chart">
            <c:ext xmlns:c16="http://schemas.microsoft.com/office/drawing/2014/chart" uri="{C3380CC4-5D6E-409C-BE32-E72D297353CC}">
              <c16:uniqueId val="{00000004-6E28-425E-8740-A1EB967EA995}"/>
            </c:ext>
          </c:extLst>
        </c:ser>
        <c:ser>
          <c:idx val="2"/>
          <c:order val="5"/>
          <c:tx>
            <c:strRef>
              <c:f>'[Parametros simulação nylon 6.xlsx]Res ny12fit'!$AH$1</c:f>
              <c:strCache>
                <c:ptCount val="1"/>
                <c:pt idx="0">
                  <c:v>R3-MWN </c:v>
                </c:pt>
              </c:strCache>
            </c:strRef>
          </c:tx>
          <c:spPr>
            <a:ln w="15875" cap="rnd">
              <a:solidFill>
                <a:schemeClr val="accent3"/>
              </a:solidFill>
              <a:round/>
            </a:ln>
            <a:effectLst/>
          </c:spPr>
          <c:marker>
            <c:symbol val="none"/>
          </c:marker>
          <c:cat>
            <c:numRef>
              <c:f>'[Parametros simulação nylon 6.xlsx]Res ny12fit'!$Y$2:$Y$23</c:f>
              <c:numCache>
                <c:formatCode>General</c:formatCode>
                <c:ptCount val="22"/>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'[Parametros simulação nylon 6.xlsx]Res ny12fit'!$AH$2:$AH$23</c:f>
              <c:numCache>
                <c:formatCode>General</c:formatCode>
                <c:ptCount val="22"/>
                <c:pt idx="0">
                  <c:v>22616.639899999998</c:v>
                </c:pt>
                <c:pt idx="1">
                  <c:v>22866.2176</c:v>
                </c:pt>
                <c:pt idx="2">
                  <c:v>23016.747599999999</c:v>
                </c:pt>
                <c:pt idx="3">
                  <c:v>23000.186300000001</c:v>
                </c:pt>
                <c:pt idx="4">
                  <c:v>22731.215199999999</c:v>
                </c:pt>
                <c:pt idx="5">
                  <c:v>22327.099099999999</c:v>
                </c:pt>
                <c:pt idx="6">
                  <c:v>21853.436099999999</c:v>
                </c:pt>
                <c:pt idx="7">
                  <c:v>21345.621999999999</c:v>
                </c:pt>
                <c:pt idx="8">
                  <c:v>20823.099200000001</c:v>
                </c:pt>
                <c:pt idx="9">
                  <c:v>20297.148700000002</c:v>
                </c:pt>
                <c:pt idx="10">
                  <c:v>19776.177</c:v>
                </c:pt>
                <c:pt idx="11">
                  <c:v>19261.933300000001</c:v>
                </c:pt>
                <c:pt idx="12">
                  <c:v>18758.553400000001</c:v>
                </c:pt>
                <c:pt idx="13">
                  <c:v>18267.930100000001</c:v>
                </c:pt>
                <c:pt idx="14">
                  <c:v>17791.254099999998</c:v>
                </c:pt>
                <c:pt idx="15">
                  <c:v>17329.210500000001</c:v>
                </c:pt>
                <c:pt idx="16">
                  <c:v>16882.125199999999</c:v>
                </c:pt>
                <c:pt idx="17">
                  <c:v>16450.038799999998</c:v>
                </c:pt>
                <c:pt idx="18">
                  <c:v>16032.8042</c:v>
                </c:pt>
                <c:pt idx="19">
                  <c:v>15630.1531</c:v>
                </c:pt>
                <c:pt idx="20">
                  <c:v>15241.705599999999</c:v>
                </c:pt>
              </c:numCache>
            </c:numRef>
          </c:val>
          <c:smooth val="0"/>
          <c:extLst xmlns:c16r2="http://schemas.microsoft.com/office/drawing/2015/06/chart">
            <c:ext xmlns:c16="http://schemas.microsoft.com/office/drawing/2014/chart" uri="{C3380CC4-5D6E-409C-BE32-E72D297353CC}">
              <c16:uniqueId val="{00000005-6E28-425E-8740-A1EB967EA995}"/>
            </c:ext>
          </c:extLst>
        </c:ser>
        <c:dLbls>
          <c:showLegendKey val="0"/>
          <c:showVal val="0"/>
          <c:showCatName val="0"/>
          <c:showSerName val="0"/>
          <c:showPercent val="0"/>
          <c:showBubbleSize val="0"/>
        </c:dLbls>
        <c:marker val="1"/>
        <c:smooth val="0"/>
        <c:axId val="424265208"/>
        <c:axId val="424260896"/>
      </c:lineChart>
      <c:catAx>
        <c:axId val="4242640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cap="none" baseline="0">
                    <a:latin typeface="Arial" panose="020B0604020202020204" pitchFamily="34" charset="0"/>
                    <a:cs typeface="Arial" panose="020B0604020202020204" pitchFamily="34" charset="0"/>
                  </a:rPr>
                  <a:t>Feed flow rate (kg/h)</a:t>
                </a:r>
              </a:p>
              <a:p>
                <a:pPr>
                  <a:defRPr sz="900" b="0" i="0" u="none" strike="noStrike" kern="1200" cap="all" baseline="0">
                    <a:solidFill>
                      <a:schemeClr val="tx1">
                        <a:lumMod val="65000"/>
                        <a:lumOff val="35000"/>
                      </a:schemeClr>
                    </a:solidFill>
                    <a:latin typeface="+mn-lt"/>
                    <a:ea typeface="+mn-ea"/>
                    <a:cs typeface="+mn-cs"/>
                  </a:defRPr>
                </a:pPr>
                <a:r>
                  <a:rPr lang="pt-BR" cap="none" baseline="0">
                    <a:solidFill>
                      <a:schemeClr val="tx1"/>
                    </a:solidFill>
                    <a:latin typeface="Arial" panose="020B0604020202020204" pitchFamily="34" charset="0"/>
                    <a:cs typeface="Arial" panose="020B0604020202020204" pitchFamily="34" charset="0"/>
                  </a:rPr>
                  <a:t>(A)</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it-IT"/>
          </a:p>
        </c:txPr>
        <c:crossAx val="424263640"/>
        <c:crosses val="autoZero"/>
        <c:auto val="1"/>
        <c:lblAlgn val="ctr"/>
        <c:lblOffset val="100"/>
        <c:noMultiLvlLbl val="0"/>
      </c:catAx>
      <c:valAx>
        <c:axId val="424263640"/>
        <c:scaling>
          <c:orientation val="minMax"/>
          <c:max val="123"/>
          <c:min val="4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sz="900" b="0" i="0" u="none" strike="noStrike" cap="all" baseline="0">
                    <a:effectLst/>
                  </a:rPr>
                  <a:t>DP</a:t>
                </a:r>
                <a:r>
                  <a:rPr lang="en-GB" sz="900" b="0" i="0" u="none" strike="noStrike" cap="all" baseline="-25000">
                    <a:effectLst/>
                  </a:rPr>
                  <a:t>n</a:t>
                </a:r>
                <a:endParaRPr lang="pt-BR" baseline="0">
                  <a:latin typeface="Arial" panose="020B0604020202020204" pitchFamily="34"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4032"/>
        <c:crosses val="autoZero"/>
        <c:crossBetween val="midCat"/>
        <c:majorUnit val="10"/>
      </c:valAx>
      <c:valAx>
        <c:axId val="424260896"/>
        <c:scaling>
          <c:orientation val="minMax"/>
          <c:min val="8200"/>
        </c:scaling>
        <c:delete val="0"/>
        <c:axPos val="r"/>
        <c:title>
          <c:tx>
            <c:rich>
              <a:bodyPr rot="5400000" spcFirstLastPara="1" vertOverflow="ellipsis"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sz="900" b="0" i="0" u="none" strike="noStrike" cap="all" baseline="0">
                    <a:effectLst/>
                  </a:rPr>
                  <a:t>𝑀</a:t>
                </a:r>
                <a:r>
                  <a:rPr lang="en-US" sz="900" b="0" i="0" u="none" strike="noStrike" cap="all" baseline="0">
                    <a:effectLst/>
                  </a:rPr>
                  <a:t> ̅</a:t>
                </a:r>
                <a:r>
                  <a:rPr lang="en-GB" sz="900" b="0" i="0" u="none" strike="noStrike" cap="all" baseline="-25000">
                    <a:effectLst/>
                  </a:rPr>
                  <a:t>n</a:t>
                </a:r>
                <a:r>
                  <a:rPr lang="en-GB" sz="900" b="0" i="0" u="none" strike="noStrike" cap="all" baseline="0">
                    <a:effectLst/>
                  </a:rPr>
                  <a:t> </a:t>
                </a:r>
                <a:endParaRPr lang="en-US" sz="900" b="0" i="0">
                  <a:effectLst/>
                </a:endParaRPr>
              </a:p>
            </c:rich>
          </c:tx>
          <c:layout>
            <c:manualLayout>
              <c:xMode val="edge"/>
              <c:yMode val="edge"/>
              <c:x val="0.96694403682218877"/>
              <c:y val="0.35075798383486484"/>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5208"/>
        <c:crosses val="max"/>
        <c:crossBetween val="between"/>
      </c:valAx>
      <c:catAx>
        <c:axId val="424265208"/>
        <c:scaling>
          <c:orientation val="minMax"/>
        </c:scaling>
        <c:delete val="1"/>
        <c:axPos val="b"/>
        <c:numFmt formatCode="General" sourceLinked="1"/>
        <c:majorTickMark val="out"/>
        <c:minorTickMark val="none"/>
        <c:tickLblPos val="nextTo"/>
        <c:crossAx val="424260896"/>
        <c:crosses val="autoZero"/>
        <c:auto val="1"/>
        <c:lblAlgn val="ctr"/>
        <c:lblOffset val="100"/>
        <c:noMultiLvlLbl val="0"/>
      </c:catAx>
      <c:spPr>
        <a:noFill/>
        <a:ln>
          <a:noFill/>
        </a:ln>
        <a:effectLst/>
      </c:spPr>
    </c:plotArea>
    <c:legend>
      <c:legendPos val="t"/>
      <c:layout>
        <c:manualLayout>
          <c:xMode val="edge"/>
          <c:yMode val="edge"/>
          <c:x val="0.37188817306927541"/>
          <c:y val="3.527016019549281E-3"/>
          <c:w val="0.4489570686924047"/>
          <c:h val="0.1661098955471153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chart>
  <c:spPr>
    <a:solidFill>
      <a:schemeClr val="lt1"/>
    </a:solidFill>
    <a:ln w="9525" cap="flat" cmpd="sng" algn="ctr">
      <a:no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9079361840029"/>
          <c:y val="4.1872383008980066E-2"/>
          <c:w val="0.76946499398158386"/>
          <c:h val="0.67988448559314696"/>
        </c:manualLayout>
      </c:layout>
      <c:scatterChart>
        <c:scatterStyle val="smoothMarker"/>
        <c:varyColors val="0"/>
        <c:ser>
          <c:idx val="0"/>
          <c:order val="0"/>
          <c:tx>
            <c:v>R1-OLIGO</c:v>
          </c:tx>
          <c:spPr>
            <a:ln w="15875" cap="rnd">
              <a:solidFill>
                <a:schemeClr val="accent1"/>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ny12fit'!$Z$2:$Z$25</c:f>
              <c:numCache>
                <c:formatCode>General</c:formatCode>
                <c:ptCount val="24"/>
                <c:pt idx="0">
                  <c:v>0.90005465399999995</c:v>
                </c:pt>
                <c:pt idx="1">
                  <c:v>0.88233319600000004</c:v>
                </c:pt>
                <c:pt idx="2">
                  <c:v>0.86311452799999999</c:v>
                </c:pt>
                <c:pt idx="3">
                  <c:v>0.828840087</c:v>
                </c:pt>
                <c:pt idx="4">
                  <c:v>0.79686538699999998</c:v>
                </c:pt>
                <c:pt idx="5">
                  <c:v>0.76690440000000004</c:v>
                </c:pt>
                <c:pt idx="6">
                  <c:v>0.73872521400000002</c:v>
                </c:pt>
                <c:pt idx="7">
                  <c:v>0.71213589600000005</c:v>
                </c:pt>
                <c:pt idx="8">
                  <c:v>0.68697549700000005</c:v>
                </c:pt>
                <c:pt idx="9">
                  <c:v>0.66310741799999995</c:v>
                </c:pt>
                <c:pt idx="10">
                  <c:v>0.64041267400000002</c:v>
                </c:pt>
                <c:pt idx="11">
                  <c:v>0.61879395699999995</c:v>
                </c:pt>
                <c:pt idx="12">
                  <c:v>0.59816201800000002</c:v>
                </c:pt>
                <c:pt idx="13">
                  <c:v>0.57844021099999998</c:v>
                </c:pt>
                <c:pt idx="14">
                  <c:v>0.55956112899999999</c:v>
                </c:pt>
                <c:pt idx="15">
                  <c:v>0.54146518099999996</c:v>
                </c:pt>
                <c:pt idx="16">
                  <c:v>0.524099431</c:v>
                </c:pt>
                <c:pt idx="17">
                  <c:v>0.50741664500000005</c:v>
                </c:pt>
                <c:pt idx="18">
                  <c:v>0.49137450199999999</c:v>
                </c:pt>
                <c:pt idx="19">
                  <c:v>0.475934939</c:v>
                </c:pt>
                <c:pt idx="20">
                  <c:v>0.46106359299999999</c:v>
                </c:pt>
              </c:numCache>
            </c:numRef>
          </c:yVal>
          <c:smooth val="1"/>
          <c:extLst xmlns:c16r2="http://schemas.microsoft.com/office/drawing/2015/06/chart">
            <c:ext xmlns:c16="http://schemas.microsoft.com/office/drawing/2014/chart" uri="{C3380CC4-5D6E-409C-BE32-E72D297353CC}">
              <c16:uniqueId val="{00000000-B358-4DE8-BAF9-5AC86AC7BA37}"/>
            </c:ext>
          </c:extLst>
        </c:ser>
        <c:ser>
          <c:idx val="1"/>
          <c:order val="1"/>
          <c:tx>
            <c:v>R2-OLIGO</c:v>
          </c:tx>
          <c:spPr>
            <a:ln w="15875" cap="rnd">
              <a:solidFill>
                <a:schemeClr val="accent2"/>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ny12fit'!$AA$2:$AA$25</c:f>
              <c:numCache>
                <c:formatCode>General</c:formatCode>
                <c:ptCount val="24"/>
                <c:pt idx="0">
                  <c:v>0.93140520100000002</c:v>
                </c:pt>
                <c:pt idx="1">
                  <c:v>0.92176774100000003</c:v>
                </c:pt>
                <c:pt idx="2">
                  <c:v>0.90951180700000001</c:v>
                </c:pt>
                <c:pt idx="3">
                  <c:v>0.88456241000000002</c:v>
                </c:pt>
                <c:pt idx="4">
                  <c:v>0.85890917300000003</c:v>
                </c:pt>
                <c:pt idx="5">
                  <c:v>0.83344399899999999</c:v>
                </c:pt>
                <c:pt idx="6">
                  <c:v>0.80854088300000004</c:v>
                </c:pt>
                <c:pt idx="7">
                  <c:v>0.78435793300000001</c:v>
                </c:pt>
                <c:pt idx="8">
                  <c:v>0.76095411300000004</c:v>
                </c:pt>
                <c:pt idx="9">
                  <c:v>0.73834004099999995</c:v>
                </c:pt>
                <c:pt idx="10">
                  <c:v>0.716500472</c:v>
                </c:pt>
                <c:pt idx="11">
                  <c:v>0.69541338900000005</c:v>
                </c:pt>
                <c:pt idx="12">
                  <c:v>0.67504681600000005</c:v>
                </c:pt>
                <c:pt idx="13">
                  <c:v>0.65536834499999996</c:v>
                </c:pt>
                <c:pt idx="14">
                  <c:v>0.63634559400000001</c:v>
                </c:pt>
                <c:pt idx="15">
                  <c:v>0.617947213</c:v>
                </c:pt>
                <c:pt idx="16">
                  <c:v>0.60014340499999996</c:v>
                </c:pt>
                <c:pt idx="17">
                  <c:v>0.58290615599999995</c:v>
                </c:pt>
                <c:pt idx="18">
                  <c:v>0.56620929799999997</c:v>
                </c:pt>
                <c:pt idx="19">
                  <c:v>0.55002848900000001</c:v>
                </c:pt>
                <c:pt idx="20">
                  <c:v>0.53434113400000005</c:v>
                </c:pt>
              </c:numCache>
            </c:numRef>
          </c:yVal>
          <c:smooth val="1"/>
          <c:extLst xmlns:c16r2="http://schemas.microsoft.com/office/drawing/2015/06/chart">
            <c:ext xmlns:c16="http://schemas.microsoft.com/office/drawing/2014/chart" uri="{C3380CC4-5D6E-409C-BE32-E72D297353CC}">
              <c16:uniqueId val="{00000001-B358-4DE8-BAF9-5AC86AC7BA37}"/>
            </c:ext>
          </c:extLst>
        </c:ser>
        <c:ser>
          <c:idx val="2"/>
          <c:order val="2"/>
          <c:tx>
            <c:v>POLY1</c:v>
          </c:tx>
          <c:spPr>
            <a:ln w="15875" cap="rnd">
              <a:solidFill>
                <a:schemeClr val="accent3"/>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ny12fit'!$AB$2:$AB$25</c:f>
              <c:numCache>
                <c:formatCode>General</c:formatCode>
                <c:ptCount val="24"/>
                <c:pt idx="0">
                  <c:v>0.94174333300000002</c:v>
                </c:pt>
                <c:pt idx="1">
                  <c:v>0.94411339699999997</c:v>
                </c:pt>
                <c:pt idx="2">
                  <c:v>0.94388773800000003</c:v>
                </c:pt>
                <c:pt idx="3">
                  <c:v>0.93580586300000002</c:v>
                </c:pt>
                <c:pt idx="4">
                  <c:v>0.92120397399999998</c:v>
                </c:pt>
                <c:pt idx="5">
                  <c:v>0.90325549199999999</c:v>
                </c:pt>
                <c:pt idx="6">
                  <c:v>0.88371646800000003</c:v>
                </c:pt>
                <c:pt idx="7">
                  <c:v>0.86352160499999997</c:v>
                </c:pt>
                <c:pt idx="8">
                  <c:v>0.84317803700000005</c:v>
                </c:pt>
                <c:pt idx="9">
                  <c:v>0.82296670500000002</c:v>
                </c:pt>
                <c:pt idx="10">
                  <c:v>0.80304638100000003</c:v>
                </c:pt>
                <c:pt idx="11">
                  <c:v>0.78350021700000005</c:v>
                </c:pt>
                <c:pt idx="12">
                  <c:v>0.76437534600000001</c:v>
                </c:pt>
                <c:pt idx="13">
                  <c:v>0.74569306300000004</c:v>
                </c:pt>
                <c:pt idx="14">
                  <c:v>0.72746016400000002</c:v>
                </c:pt>
                <c:pt idx="15">
                  <c:v>0.70967475700000004</c:v>
                </c:pt>
                <c:pt idx="16">
                  <c:v>0.69232990900000002</c:v>
                </c:pt>
                <c:pt idx="17">
                  <c:v>0.675415561</c:v>
                </c:pt>
                <c:pt idx="18">
                  <c:v>0.65892013999999999</c:v>
                </c:pt>
                <c:pt idx="19">
                  <c:v>0.64283158699999998</c:v>
                </c:pt>
                <c:pt idx="20">
                  <c:v>0.62713748899999999</c:v>
                </c:pt>
              </c:numCache>
            </c:numRef>
          </c:yVal>
          <c:smooth val="1"/>
          <c:extLst xmlns:c16r2="http://schemas.microsoft.com/office/drawing/2015/06/chart">
            <c:ext xmlns:c16="http://schemas.microsoft.com/office/drawing/2014/chart" uri="{C3380CC4-5D6E-409C-BE32-E72D297353CC}">
              <c16:uniqueId val="{00000002-B358-4DE8-BAF9-5AC86AC7BA37}"/>
            </c:ext>
          </c:extLst>
        </c:ser>
        <c:dLbls>
          <c:showLegendKey val="0"/>
          <c:showVal val="0"/>
          <c:showCatName val="0"/>
          <c:showSerName val="0"/>
          <c:showPercent val="0"/>
          <c:showBubbleSize val="0"/>
        </c:dLbls>
        <c:axId val="424258544"/>
        <c:axId val="424257368"/>
      </c:scatterChart>
      <c:valAx>
        <c:axId val="424258544"/>
        <c:scaling>
          <c:orientation val="minMax"/>
          <c:max val="100"/>
          <c:min val="0"/>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cap="none" baseline="0">
                    <a:latin typeface="Arial" panose="020B0604020202020204" pitchFamily="34" charset="0"/>
                    <a:cs typeface="Arial" panose="020B0604020202020204" pitchFamily="34" charset="0"/>
                  </a:rPr>
                  <a:t>Feed flow rate (kg/h</a:t>
                </a:r>
                <a:r>
                  <a:rPr lang="pt-BR" cap="all" baseline="0">
                    <a:latin typeface="Arial" panose="020B0604020202020204" pitchFamily="34" charset="0"/>
                    <a:cs typeface="Arial" panose="020B0604020202020204" pitchFamily="34" charset="0"/>
                  </a:rPr>
                  <a:t>)</a:t>
                </a:r>
              </a:p>
              <a:p>
                <a:pPr>
                  <a:defRPr sz="900" b="0" i="0" u="none" strike="noStrike" kern="1200" cap="all" baseline="0">
                    <a:solidFill>
                      <a:schemeClr val="tx1">
                        <a:lumMod val="65000"/>
                        <a:lumOff val="35000"/>
                      </a:schemeClr>
                    </a:solidFill>
                    <a:latin typeface="+mn-lt"/>
                    <a:ea typeface="+mn-ea"/>
                    <a:cs typeface="+mn-cs"/>
                  </a:defRPr>
                </a:pPr>
                <a:r>
                  <a:rPr lang="pt-BR" cap="all" baseline="0">
                    <a:solidFill>
                      <a:schemeClr val="tx1"/>
                    </a:solidFill>
                    <a:latin typeface="Arial" panose="020B0604020202020204" pitchFamily="34" charset="0"/>
                    <a:cs typeface="Arial" panose="020B0604020202020204" pitchFamily="34" charset="0"/>
                  </a:rPr>
                  <a:t>(b)</a:t>
                </a:r>
              </a:p>
            </c:rich>
          </c:tx>
          <c:overlay val="0"/>
          <c:spPr>
            <a:solidFill>
              <a:schemeClr val="bg1"/>
            </a:solidFill>
            <a:ln>
              <a:noFill/>
            </a:ln>
            <a:effectLst>
              <a:outerShdw blurRad="50800" dist="50800" dir="5400000" algn="ctr" rotWithShape="0">
                <a:schemeClr val="bg1"/>
              </a:outerShdw>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it-IT"/>
          </a:p>
        </c:txPr>
        <c:crossAx val="424257368"/>
        <c:crosses val="autoZero"/>
        <c:crossBetween val="midCat"/>
        <c:majorUnit val="10"/>
      </c:valAx>
      <c:valAx>
        <c:axId val="424257368"/>
        <c:scaling>
          <c:orientation val="minMax"/>
          <c:max val="1"/>
          <c:min val="0.4"/>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sz="900" b="0" i="0" u="none" strike="noStrike" cap="all" baseline="0">
                    <a:effectLst/>
                  </a:rPr>
                  <a:t>X</a:t>
                </a:r>
                <a:r>
                  <a:rPr lang="en-GB" sz="900" b="0" i="0" u="none" strike="noStrike" cap="all" baseline="-25000">
                    <a:effectLst/>
                  </a:rPr>
                  <a:t>LL</a:t>
                </a:r>
                <a:endParaRPr lang="pt-BR">
                  <a:latin typeface="Arial" panose="020B0604020202020204" pitchFamily="34" charset="0"/>
                  <a:cs typeface="Arial" panose="020B0604020202020204" pitchFamily="34" charset="0"/>
                </a:endParaRPr>
              </a:p>
            </c:rich>
          </c:tx>
          <c:layout>
            <c:manualLayout>
              <c:xMode val="edge"/>
              <c:yMode val="edge"/>
              <c:x val="1.0271934150779748E-3"/>
              <c:y val="0.3275255256554469"/>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58544"/>
        <c:crosses val="autoZero"/>
        <c:crossBetween val="midCat"/>
      </c:valAx>
      <c:spPr>
        <a:noFill/>
        <a:ln w="9525">
          <a:noFill/>
        </a:ln>
        <a:effectLst/>
      </c:spPr>
    </c:plotArea>
    <c:legend>
      <c:legendPos val="r"/>
      <c:layout>
        <c:manualLayout>
          <c:xMode val="edge"/>
          <c:yMode val="edge"/>
          <c:x val="0.6405373078365203"/>
          <c:y val="3.3841662649311689E-2"/>
          <c:w val="0.35248978864679387"/>
          <c:h val="0.2187212648638131"/>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0629921259843"/>
          <c:y val="5.1138899903699089E-2"/>
          <c:w val="0.76369651020301355"/>
          <c:h val="0.68749296962879636"/>
        </c:manualLayout>
      </c:layout>
      <c:scatterChart>
        <c:scatterStyle val="smoothMarker"/>
        <c:varyColors val="0"/>
        <c:ser>
          <c:idx val="0"/>
          <c:order val="0"/>
          <c:tx>
            <c:strRef>
              <c:f>'[Parametros simulação nylon 6.xlsx]Res ny12fit'!$AO$1</c:f>
              <c:strCache>
                <c:ptCount val="1"/>
                <c:pt idx="0">
                  <c:v>EXTRACT </c:v>
                </c:pt>
              </c:strCache>
            </c:strRef>
          </c:tx>
          <c:spPr>
            <a:ln w="15875" cap="rnd">
              <a:solidFill>
                <a:schemeClr val="accent1"/>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ny12fit'!$AO$2:$AO$25</c:f>
              <c:numCache>
                <c:formatCode>General</c:formatCode>
                <c:ptCount val="24"/>
                <c:pt idx="0">
                  <c:v>6.9265230899999999</c:v>
                </c:pt>
                <c:pt idx="1">
                  <c:v>6.5062957900000002</c:v>
                </c:pt>
                <c:pt idx="2">
                  <c:v>6.3858073099999997</c:v>
                </c:pt>
                <c:pt idx="3">
                  <c:v>7.0177034100000002</c:v>
                </c:pt>
                <c:pt idx="4">
                  <c:v>8.3623989699999992</c:v>
                </c:pt>
                <c:pt idx="5">
                  <c:v>10.072838000000001</c:v>
                </c:pt>
                <c:pt idx="6">
                  <c:v>11.960691499999999</c:v>
                </c:pt>
                <c:pt idx="7">
                  <c:v>13.926040499999999</c:v>
                </c:pt>
                <c:pt idx="8">
                  <c:v>15.9145165</c:v>
                </c:pt>
                <c:pt idx="9">
                  <c:v>17.895782199999999</c:v>
                </c:pt>
                <c:pt idx="10">
                  <c:v>19.852533300000001</c:v>
                </c:pt>
                <c:pt idx="11">
                  <c:v>21.775396099999998</c:v>
                </c:pt>
                <c:pt idx="12">
                  <c:v>23.6589806</c:v>
                </c:pt>
                <c:pt idx="13">
                  <c:v>25.5006409</c:v>
                </c:pt>
                <c:pt idx="14">
                  <c:v>27.299309699999998</c:v>
                </c:pt>
                <c:pt idx="15">
                  <c:v>29.0548787</c:v>
                </c:pt>
                <c:pt idx="16">
                  <c:v>30.767808299999999</c:v>
                </c:pt>
                <c:pt idx="17">
                  <c:v>32.4389185</c:v>
                </c:pt>
                <c:pt idx="18">
                  <c:v>34.0692162</c:v>
                </c:pt>
                <c:pt idx="19">
                  <c:v>35.659784500000001</c:v>
                </c:pt>
                <c:pt idx="20">
                  <c:v>37.2117626</c:v>
                </c:pt>
              </c:numCache>
            </c:numRef>
          </c:yVal>
          <c:smooth val="1"/>
          <c:extLst xmlns:c16r2="http://schemas.microsoft.com/office/drawing/2015/06/chart">
            <c:ext xmlns:c16="http://schemas.microsoft.com/office/drawing/2014/chart" uri="{C3380CC4-5D6E-409C-BE32-E72D297353CC}">
              <c16:uniqueId val="{00000000-061E-46EE-BA27-61FE8DB209BF}"/>
            </c:ext>
          </c:extLst>
        </c:ser>
        <c:dLbls>
          <c:showLegendKey val="0"/>
          <c:showVal val="0"/>
          <c:showCatName val="0"/>
          <c:showSerName val="0"/>
          <c:showPercent val="0"/>
          <c:showBubbleSize val="0"/>
        </c:dLbls>
        <c:axId val="424267168"/>
        <c:axId val="424257760"/>
      </c:scatterChart>
      <c:valAx>
        <c:axId val="424267168"/>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Feed</a:t>
                </a:r>
                <a:r>
                  <a:rPr lang="pt-BR" sz="900" baseline="0">
                    <a:latin typeface="Arial" panose="020B0604020202020204" pitchFamily="34" charset="0"/>
                    <a:cs typeface="Arial" panose="020B0604020202020204" pitchFamily="34" charset="0"/>
                  </a:rPr>
                  <a:t> flow rate</a:t>
                </a:r>
                <a:r>
                  <a:rPr lang="pt-BR" sz="900">
                    <a:latin typeface="Arial" panose="020B0604020202020204" pitchFamily="34" charset="0"/>
                    <a:cs typeface="Arial" panose="020B0604020202020204" pitchFamily="34" charset="0"/>
                  </a:rPr>
                  <a:t> (kg/h)</a:t>
                </a:r>
              </a:p>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(C)</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57760"/>
        <c:crosses val="autoZero"/>
        <c:crossBetween val="midCat"/>
        <c:majorUnit val="10"/>
      </c:valAx>
      <c:valAx>
        <c:axId val="424257760"/>
        <c:scaling>
          <c:orientation val="minMax"/>
          <c:max val="4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Extraction value </a:t>
                </a:r>
                <a:r>
                  <a:rPr lang="pt-BR" sz="1000" baseline="0">
                    <a:latin typeface="Arial" panose="020B0604020202020204" pitchFamily="34" charset="0"/>
                    <a:cs typeface="Arial" panose="020B0604020202020204" pitchFamily="34" charset="0"/>
                  </a:rPr>
                  <a:t>(%)</a:t>
                </a:r>
                <a:endParaRPr lang="pt-BR" sz="1000">
                  <a:latin typeface="Arial" panose="020B0604020202020204" pitchFamily="34" charset="0"/>
                  <a:cs typeface="Arial" panose="020B0604020202020204" pitchFamily="34" charset="0"/>
                </a:endParaRPr>
              </a:p>
            </c:rich>
          </c:tx>
          <c:layout>
            <c:manualLayout>
              <c:xMode val="edge"/>
              <c:yMode val="edge"/>
              <c:x val="2.9176269308302999E-2"/>
              <c:y val="0.1345805829030171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716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1661026173024"/>
          <c:y val="5.0925925925925923E-2"/>
          <c:w val="0.75505631990385647"/>
          <c:h val="0.70977097250598775"/>
        </c:manualLayout>
      </c:layout>
      <c:scatterChart>
        <c:scatterStyle val="smoothMarker"/>
        <c:varyColors val="0"/>
        <c:ser>
          <c:idx val="0"/>
          <c:order val="0"/>
          <c:tx>
            <c:v>R1OLIGO</c:v>
          </c:tx>
          <c:spPr>
            <a:ln w="15875" cap="rnd">
              <a:solidFill>
                <a:schemeClr val="accent1"/>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ny12fit'!$AP$2:$AP$25</c:f>
              <c:numCache>
                <c:formatCode>General</c:formatCode>
                <c:ptCount val="24"/>
                <c:pt idx="0">
                  <c:v>0.29287527099999999</c:v>
                </c:pt>
                <c:pt idx="1">
                  <c:v>0.29755133900000003</c:v>
                </c:pt>
                <c:pt idx="2">
                  <c:v>0.30272964699999999</c:v>
                </c:pt>
                <c:pt idx="3">
                  <c:v>0.312247673</c:v>
                </c:pt>
                <c:pt idx="4">
                  <c:v>0.32146234699999998</c:v>
                </c:pt>
                <c:pt idx="5">
                  <c:v>0.330398739</c:v>
                </c:pt>
                <c:pt idx="6">
                  <c:v>0.33907749100000001</c:v>
                </c:pt>
                <c:pt idx="7">
                  <c:v>0.34751595800000001</c:v>
                </c:pt>
                <c:pt idx="8">
                  <c:v>0.35572916500000001</c:v>
                </c:pt>
                <c:pt idx="9">
                  <c:v>0.36373000999999999</c:v>
                </c:pt>
                <c:pt idx="10">
                  <c:v>0.37153084600000003</c:v>
                </c:pt>
                <c:pt idx="11">
                  <c:v>0.37913986900000002</c:v>
                </c:pt>
                <c:pt idx="12">
                  <c:v>0.38656663400000002</c:v>
                </c:pt>
                <c:pt idx="13">
                  <c:v>0.393818946</c:v>
                </c:pt>
                <c:pt idx="14">
                  <c:v>0.40090376300000002</c:v>
                </c:pt>
                <c:pt idx="15">
                  <c:v>0.407827314</c:v>
                </c:pt>
                <c:pt idx="16">
                  <c:v>0.41459519099999997</c:v>
                </c:pt>
                <c:pt idx="17">
                  <c:v>0.421212429</c:v>
                </c:pt>
                <c:pt idx="18">
                  <c:v>0.42768358200000001</c:v>
                </c:pt>
                <c:pt idx="19">
                  <c:v>0.43401277199999999</c:v>
                </c:pt>
                <c:pt idx="20">
                  <c:v>0.44020375</c:v>
                </c:pt>
              </c:numCache>
            </c:numRef>
          </c:yVal>
          <c:smooth val="1"/>
          <c:extLst xmlns:c16r2="http://schemas.microsoft.com/office/drawing/2015/06/chart">
            <c:ext xmlns:c16="http://schemas.microsoft.com/office/drawing/2014/chart" uri="{C3380CC4-5D6E-409C-BE32-E72D297353CC}">
              <c16:uniqueId val="{00000000-87BB-4C12-BCB2-912D8D709797}"/>
            </c:ext>
          </c:extLst>
        </c:ser>
        <c:ser>
          <c:idx val="1"/>
          <c:order val="1"/>
          <c:tx>
            <c:v>R2OLIGO</c:v>
          </c:tx>
          <c:spPr>
            <a:ln w="15875" cap="rnd">
              <a:solidFill>
                <a:schemeClr val="accent2"/>
              </a:solidFill>
              <a:round/>
            </a:ln>
            <a:effectLst/>
          </c:spPr>
          <c:marker>
            <c:symbol val="none"/>
          </c:marker>
          <c:xVal>
            <c:numRef>
              <c:f>'[Parametros simulação nylon 6.xlsx]Res ny12fit'!$Y$2:$Y$25</c:f>
              <c:numCache>
                <c:formatCode>General</c:formatCode>
                <c:ptCount val="24"/>
                <c:pt idx="0">
                  <c:v>5</c:v>
                </c:pt>
                <c:pt idx="1">
                  <c:v>7.35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xVal>
          <c:yVal>
            <c:numRef>
              <c:f>'[Parametros simulação nylon 6.xlsx]Res ny12fit'!$AQ$2:$AQ$25</c:f>
              <c:numCache>
                <c:formatCode>General</c:formatCode>
                <c:ptCount val="24"/>
                <c:pt idx="0">
                  <c:v>0.151179069</c:v>
                </c:pt>
                <c:pt idx="1">
                  <c:v>0.15242186899999999</c:v>
                </c:pt>
                <c:pt idx="2">
                  <c:v>0.15401737500000001</c:v>
                </c:pt>
                <c:pt idx="3">
                  <c:v>0.157327457</c:v>
                </c:pt>
                <c:pt idx="4">
                  <c:v>0.160824884</c:v>
                </c:pt>
                <c:pt idx="5">
                  <c:v>0.164395762</c:v>
                </c:pt>
                <c:pt idx="6">
                  <c:v>0.16798677400000001</c:v>
                </c:pt>
                <c:pt idx="7">
                  <c:v>0.17157040100000001</c:v>
                </c:pt>
                <c:pt idx="8">
                  <c:v>0.17513148100000001</c:v>
                </c:pt>
                <c:pt idx="9">
                  <c:v>0.17866130899999999</c:v>
                </c:pt>
                <c:pt idx="10">
                  <c:v>0.18215518999999999</c:v>
                </c:pt>
                <c:pt idx="11">
                  <c:v>0.18560933299999999</c:v>
                </c:pt>
                <c:pt idx="12">
                  <c:v>0.18902222299999999</c:v>
                </c:pt>
                <c:pt idx="13">
                  <c:v>0.19239277599999999</c:v>
                </c:pt>
                <c:pt idx="14">
                  <c:v>0.195720373</c:v>
                </c:pt>
                <c:pt idx="15">
                  <c:v>0.19900467399999999</c:v>
                </c:pt>
                <c:pt idx="16">
                  <c:v>0.20224550599999999</c:v>
                </c:pt>
                <c:pt idx="17">
                  <c:v>0.20544279800000001</c:v>
                </c:pt>
                <c:pt idx="18">
                  <c:v>0.208596527</c:v>
                </c:pt>
                <c:pt idx="19">
                  <c:v>0.211706693</c:v>
                </c:pt>
                <c:pt idx="20">
                  <c:v>0.214773297</c:v>
                </c:pt>
              </c:numCache>
            </c:numRef>
          </c:yVal>
          <c:smooth val="1"/>
          <c:extLst xmlns:c16r2="http://schemas.microsoft.com/office/drawing/2015/06/chart">
            <c:ext xmlns:c16="http://schemas.microsoft.com/office/drawing/2014/chart" uri="{C3380CC4-5D6E-409C-BE32-E72D297353CC}">
              <c16:uniqueId val="{00000001-87BB-4C12-BCB2-912D8D709797}"/>
            </c:ext>
          </c:extLst>
        </c:ser>
        <c:dLbls>
          <c:showLegendKey val="0"/>
          <c:showVal val="0"/>
          <c:showCatName val="0"/>
          <c:showSerName val="0"/>
          <c:showPercent val="0"/>
          <c:showBubbleSize val="0"/>
        </c:dLbls>
        <c:axId val="424264424"/>
        <c:axId val="424255408"/>
      </c:scatterChart>
      <c:valAx>
        <c:axId val="424264424"/>
        <c:scaling>
          <c:orientation val="minMax"/>
          <c:max val="10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Feed flow rate (kg/h)</a:t>
                </a:r>
              </a:p>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(D)</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55408"/>
        <c:crosses val="autoZero"/>
        <c:crossBetween val="midCat"/>
        <c:majorUnit val="10"/>
      </c:valAx>
      <c:valAx>
        <c:axId val="424255408"/>
        <c:scaling>
          <c:orientation val="minMax"/>
          <c:max val="0.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900">
                    <a:latin typeface="Arial" panose="020B0604020202020204" pitchFamily="34" charset="0"/>
                    <a:cs typeface="Arial" panose="020B0604020202020204" pitchFamily="34" charset="0"/>
                  </a:rPr>
                  <a:t>Water weight fraction</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4424"/>
        <c:crosses val="autoZero"/>
        <c:crossBetween val="midCat"/>
      </c:valAx>
      <c:spPr>
        <a:noFill/>
        <a:ln>
          <a:noFill/>
        </a:ln>
        <a:effectLst/>
      </c:spPr>
    </c:plotArea>
    <c:legend>
      <c:legendPos val="r"/>
      <c:layout>
        <c:manualLayout>
          <c:xMode val="edge"/>
          <c:yMode val="edge"/>
          <c:x val="0.67023992411315747"/>
          <c:y val="0.57088068073123521"/>
          <c:w val="0.29574780474254975"/>
          <c:h val="0.1652565361316036"/>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63832781771843"/>
          <c:y val="4.5865219291232981E-2"/>
          <c:w val="0.62232720909886263"/>
          <c:h val="0.68361367619745206"/>
        </c:manualLayout>
      </c:layout>
      <c:lineChart>
        <c:grouping val="standard"/>
        <c:varyColors val="0"/>
        <c:ser>
          <c:idx val="1"/>
          <c:order val="0"/>
          <c:tx>
            <c:v>R3-DPN</c:v>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'[Parametros simulação nylon 6.xlsx]Res ny12fit'!$W$34:$W$44</c:f>
              <c:numCache>
                <c:formatCode>General</c:formatCode>
                <c:ptCount val="11"/>
                <c:pt idx="0">
                  <c:v>0</c:v>
                </c:pt>
                <c:pt idx="1">
                  <c:v>0.3</c:v>
                </c:pt>
                <c:pt idx="2">
                  <c:v>0.6</c:v>
                </c:pt>
                <c:pt idx="3">
                  <c:v>0.9</c:v>
                </c:pt>
                <c:pt idx="4">
                  <c:v>1.2</c:v>
                </c:pt>
                <c:pt idx="5">
                  <c:v>1.5</c:v>
                </c:pt>
                <c:pt idx="6">
                  <c:v>1.8</c:v>
                </c:pt>
                <c:pt idx="7">
                  <c:v>2.1</c:v>
                </c:pt>
                <c:pt idx="8">
                  <c:v>2.4</c:v>
                </c:pt>
                <c:pt idx="9">
                  <c:v>2.7</c:v>
                </c:pt>
                <c:pt idx="10">
                  <c:v>3</c:v>
                </c:pt>
              </c:numCache>
            </c:numRef>
          </c:cat>
          <c:val>
            <c:numRef>
              <c:f>'[Parametros simulação nylon 6.xlsx]Res ny12fit'!$AN$34:$AN$44</c:f>
              <c:numCache>
                <c:formatCode>General</c:formatCode>
                <c:ptCount val="11"/>
                <c:pt idx="0">
                  <c:v>111.10899999999999</c:v>
                </c:pt>
                <c:pt idx="1">
                  <c:v>114.679</c:v>
                </c:pt>
                <c:pt idx="2">
                  <c:v>115.467</c:v>
                </c:pt>
                <c:pt idx="3">
                  <c:v>115.932</c:v>
                </c:pt>
                <c:pt idx="4">
                  <c:v>116.21299999999999</c:v>
                </c:pt>
                <c:pt idx="5">
                  <c:v>116.363</c:v>
                </c:pt>
                <c:pt idx="6">
                  <c:v>116.41800000000001</c:v>
                </c:pt>
                <c:pt idx="7">
                  <c:v>116.404</c:v>
                </c:pt>
                <c:pt idx="8">
                  <c:v>116.34099999999999</c:v>
                </c:pt>
                <c:pt idx="9">
                  <c:v>116.24</c:v>
                </c:pt>
                <c:pt idx="10">
                  <c:v>116.113</c:v>
                </c:pt>
              </c:numCache>
            </c:numRef>
          </c:val>
          <c:smooth val="0"/>
          <c:extLst xmlns:c16r2="http://schemas.microsoft.com/office/drawing/2015/06/chart">
            <c:ext xmlns:c16="http://schemas.microsoft.com/office/drawing/2014/chart" uri="{C3380CC4-5D6E-409C-BE32-E72D297353CC}">
              <c16:uniqueId val="{00000000-1F2C-4234-824A-1215BC9A519E}"/>
            </c:ext>
          </c:extLst>
        </c:ser>
        <c:dLbls>
          <c:showLegendKey val="0"/>
          <c:showVal val="0"/>
          <c:showCatName val="0"/>
          <c:showSerName val="0"/>
          <c:showPercent val="0"/>
          <c:showBubbleSize val="0"/>
        </c:dLbls>
        <c:marker val="1"/>
        <c:smooth val="0"/>
        <c:axId val="424256584"/>
        <c:axId val="424266384"/>
      </c:lineChart>
      <c:lineChart>
        <c:grouping val="standard"/>
        <c:varyColors val="0"/>
        <c:ser>
          <c:idx val="0"/>
          <c:order val="1"/>
          <c:tx>
            <c:v>R3-MWN</c:v>
          </c:tx>
          <c:spPr>
            <a:ln w="15875" cap="rnd">
              <a:solidFill>
                <a:schemeClr val="accent1"/>
              </a:solidFill>
              <a:round/>
            </a:ln>
            <a:effectLst/>
          </c:spPr>
          <c:marker>
            <c:symbol val="none"/>
          </c:marker>
          <c:cat>
            <c:numRef>
              <c:f>'[Parametros simulação nylon 6.xlsx]Res ny12fit'!$W$34:$W$44</c:f>
              <c:numCache>
                <c:formatCode>General</c:formatCode>
                <c:ptCount val="11"/>
                <c:pt idx="0">
                  <c:v>0</c:v>
                </c:pt>
                <c:pt idx="1">
                  <c:v>0.3</c:v>
                </c:pt>
                <c:pt idx="2">
                  <c:v>0.6</c:v>
                </c:pt>
                <c:pt idx="3">
                  <c:v>0.9</c:v>
                </c:pt>
                <c:pt idx="4">
                  <c:v>1.2</c:v>
                </c:pt>
                <c:pt idx="5">
                  <c:v>1.5</c:v>
                </c:pt>
                <c:pt idx="6">
                  <c:v>1.8</c:v>
                </c:pt>
                <c:pt idx="7">
                  <c:v>2.1</c:v>
                </c:pt>
                <c:pt idx="8">
                  <c:v>2.4</c:v>
                </c:pt>
                <c:pt idx="9">
                  <c:v>2.7</c:v>
                </c:pt>
                <c:pt idx="10">
                  <c:v>3</c:v>
                </c:pt>
              </c:numCache>
            </c:numRef>
          </c:cat>
          <c:val>
            <c:numRef>
              <c:f>'[Parametros simulação nylon 6.xlsx]Res ny12fit'!$AO$34:$AO$44</c:f>
              <c:numCache>
                <c:formatCode>General</c:formatCode>
                <c:ptCount val="11"/>
                <c:pt idx="0">
                  <c:v>21880.5</c:v>
                </c:pt>
                <c:pt idx="1">
                  <c:v>22583.200000000001</c:v>
                </c:pt>
                <c:pt idx="2">
                  <c:v>22738.6</c:v>
                </c:pt>
                <c:pt idx="3">
                  <c:v>22830.1</c:v>
                </c:pt>
                <c:pt idx="4">
                  <c:v>22885.599999999999</c:v>
                </c:pt>
                <c:pt idx="5">
                  <c:v>22915.3</c:v>
                </c:pt>
                <c:pt idx="6">
                  <c:v>22926.2</c:v>
                </c:pt>
                <c:pt idx="7">
                  <c:v>22923.5</c:v>
                </c:pt>
                <c:pt idx="8">
                  <c:v>22911</c:v>
                </c:pt>
                <c:pt idx="9">
                  <c:v>22891.200000000001</c:v>
                </c:pt>
                <c:pt idx="10">
                  <c:v>22866.2</c:v>
                </c:pt>
              </c:numCache>
            </c:numRef>
          </c:val>
          <c:smooth val="0"/>
          <c:extLst xmlns:c16r2="http://schemas.microsoft.com/office/drawing/2015/06/chart">
            <c:ext xmlns:c16="http://schemas.microsoft.com/office/drawing/2014/chart" uri="{C3380CC4-5D6E-409C-BE32-E72D297353CC}">
              <c16:uniqueId val="{00000001-1F2C-4234-824A-1215BC9A519E}"/>
            </c:ext>
          </c:extLst>
        </c:ser>
        <c:dLbls>
          <c:showLegendKey val="0"/>
          <c:showVal val="0"/>
          <c:showCatName val="0"/>
          <c:showSerName val="0"/>
          <c:showPercent val="0"/>
          <c:showBubbleSize val="0"/>
        </c:dLbls>
        <c:marker val="1"/>
        <c:smooth val="0"/>
        <c:axId val="424261288"/>
        <c:axId val="424256976"/>
      </c:lineChart>
      <c:catAx>
        <c:axId val="424256584"/>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pt-BR" sz="900" b="0" i="0" baseline="0">
                    <a:effectLst/>
                    <a:latin typeface="Times New Roman" panose="02020603050405020304" pitchFamily="18" charset="0"/>
                    <a:cs typeface="Times New Roman" panose="02020603050405020304" pitchFamily="18" charset="0"/>
                  </a:rPr>
                  <a:t>Lenght of PFR (m)</a:t>
                </a: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pt-BR" sz="900" b="0" i="0" baseline="0">
                    <a:effectLst/>
                    <a:latin typeface="Times New Roman" panose="02020603050405020304" pitchFamily="18" charset="0"/>
                    <a:cs typeface="Times New Roman" panose="02020603050405020304" pitchFamily="18" charset="0"/>
                  </a:rPr>
                  <a:t>(E)</a:t>
                </a:r>
                <a:endParaRPr lang="pt-BR" sz="9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6384"/>
        <c:crosses val="autoZero"/>
        <c:auto val="1"/>
        <c:lblAlgn val="ctr"/>
        <c:lblOffset val="100"/>
        <c:tickMarkSkip val="1"/>
        <c:noMultiLvlLbl val="0"/>
      </c:catAx>
      <c:valAx>
        <c:axId val="424266384"/>
        <c:scaling>
          <c:orientation val="minMax"/>
          <c:min val="111"/>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DP</a:t>
                </a:r>
                <a:r>
                  <a:rPr lang="en-GB" sz="1000" b="0" i="0" u="none" strike="noStrike" baseline="-25000">
                    <a:effectLst/>
                  </a:rPr>
                  <a:t>n</a:t>
                </a:r>
                <a:endParaRPr lang="pt-BR" sz="9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56584"/>
        <c:crosses val="autoZero"/>
        <c:crossBetween val="midCat"/>
      </c:valAx>
      <c:valAx>
        <c:axId val="424256976"/>
        <c:scaling>
          <c:orientation val="minMax"/>
          <c:max val="23050"/>
          <c:min val="21850"/>
        </c:scaling>
        <c:delete val="0"/>
        <c:axPos val="r"/>
        <c:title>
          <c:tx>
            <c:rich>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𝑀</a:t>
                </a:r>
                <a:r>
                  <a:rPr lang="en-US" sz="1000" b="0" i="0" u="none" strike="noStrike" baseline="0">
                    <a:effectLst/>
                  </a:rPr>
                  <a:t> ̅</a:t>
                </a:r>
                <a:r>
                  <a:rPr lang="en-GB" sz="1000" b="0" i="0" u="none" strike="noStrike" baseline="-25000">
                    <a:effectLst/>
                  </a:rPr>
                  <a:t>n</a:t>
                </a:r>
                <a:r>
                  <a:rPr lang="en-GB" sz="1000" b="0" i="0" u="none" strike="noStrike" baseline="0">
                    <a:effectLst/>
                  </a:rPr>
                  <a:t> </a:t>
                </a:r>
                <a:endParaRPr lang="pt-BR" sz="900">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4261288"/>
        <c:crosses val="max"/>
        <c:crossBetween val="between"/>
      </c:valAx>
      <c:catAx>
        <c:axId val="424261288"/>
        <c:scaling>
          <c:orientation val="minMax"/>
        </c:scaling>
        <c:delete val="1"/>
        <c:axPos val="b"/>
        <c:numFmt formatCode="General" sourceLinked="1"/>
        <c:majorTickMark val="out"/>
        <c:minorTickMark val="none"/>
        <c:tickLblPos val="nextTo"/>
        <c:crossAx val="424256976"/>
        <c:crosses val="autoZero"/>
        <c:auto val="1"/>
        <c:lblAlgn val="ctr"/>
        <c:lblOffset val="100"/>
        <c:noMultiLvlLbl val="0"/>
      </c:catAx>
      <c:spPr>
        <a:noFill/>
        <a:ln>
          <a:noFill/>
        </a:ln>
        <a:effectLst/>
      </c:spPr>
    </c:plotArea>
    <c:legend>
      <c:legendPos val="r"/>
      <c:layout>
        <c:manualLayout>
          <c:xMode val="edge"/>
          <c:yMode val="edge"/>
          <c:x val="0.46160514967130306"/>
          <c:y val="0.57110105422868651"/>
          <c:w val="0.30430924029347511"/>
          <c:h val="0.138500358183896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56B7-E5CD-4CC0-9532-84329FC6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5440</Words>
  <Characters>31012</Characters>
  <Application>Microsoft Office Word</Application>
  <DocSecurity>0</DocSecurity>
  <Lines>258</Lines>
  <Paragraphs>72</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Dipartimento CMIC - Politecnico di Milano</Company>
  <LinksUpToDate>false</LinksUpToDate>
  <CharactersWithSpaces>36380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2022-01-11T17:28:00Z</cp:lastPrinted>
  <dcterms:created xsi:type="dcterms:W3CDTF">2022-04-20T07:21:00Z</dcterms:created>
  <dcterms:modified xsi:type="dcterms:W3CDTF">2022-04-20T07:21:00Z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http://www.zotero.org/styles/associacao-brasileira-de-normas-tecnicas</vt:lpwstr>
  </property>
  <property fmtid="{D5CDD505-2E9C-101B-9397-08002B2CF9AE}" pid="9" name="Mendeley Recent Style Name 2_1">
    <vt:lpwstr>Associação Brasileira de Normas Técnicas (Portuguese - Brazil)</vt:lpwstr>
  </property>
  <property fmtid="{D5CDD505-2E9C-101B-9397-08002B2CF9AE}" pid="10" name="Mendeley Recent Style Id 3_1">
    <vt:lpwstr>http://www.zotero.org/styles/associacao-brasileira-de-normas-tecnicas-note</vt:lpwstr>
  </property>
  <property fmtid="{D5CDD505-2E9C-101B-9397-08002B2CF9AE}" pid="11" name="Mendeley Recent Style Name 3_1">
    <vt:lpwstr>Associação Brasileira de Normas Técnicas (note, Portuguese - Brazil)</vt:lpwstr>
  </property>
  <property fmtid="{D5CDD505-2E9C-101B-9397-08002B2CF9AE}" pid="12" name="Mendeley Recent Style Id 4_1">
    <vt:lpwstr>http://www.zotero.org/styles/modern-language-association</vt:lpwstr>
  </property>
  <property fmtid="{D5CDD505-2E9C-101B-9397-08002B2CF9AE}" pid="13" name="Mendeley Recent Style Name 4_1">
    <vt:lpwstr>Modern Language Association 8th edition</vt:lpwstr>
  </property>
  <property fmtid="{D5CDD505-2E9C-101B-9397-08002B2CF9AE}" pid="14" name="Mendeley Recent Style Id 5_1">
    <vt:lpwstr>http://www.zotero.org/styles/associacao-brasileira-de-normas-tecnicas-ufs</vt:lpwstr>
  </property>
  <property fmtid="{D5CDD505-2E9C-101B-9397-08002B2CF9AE}" pid="15" name="Mendeley Recent Style Name 5_1">
    <vt:lpwstr>Universidade Federal de Sergipe - ABNT (Portuguese - Brazil)</vt:lpwstr>
  </property>
  <property fmtid="{D5CDD505-2E9C-101B-9397-08002B2CF9AE}" pid="16" name="Mendeley Recent Style Id 6_1">
    <vt:lpwstr>http://www.zotero.org/styles/universidade-federal-do-espirito-santo-abnt-initials</vt:lpwstr>
  </property>
  <property fmtid="{D5CDD505-2E9C-101B-9397-08002B2CF9AE}" pid="17" name="Mendeley Recent Style Name 6_1">
    <vt:lpwstr>Universidade Federal do Espírito Santo - ABNT (autoria abreviada) (Portuguese - Brazil)</vt:lpwstr>
  </property>
  <property fmtid="{D5CDD505-2E9C-101B-9397-08002B2CF9AE}" pid="18" name="Mendeley Recent Style Id 7_1">
    <vt:lpwstr>http://www.zotero.org/styles/universidade-federal-do-espirito-santo-abnt</vt:lpwstr>
  </property>
  <property fmtid="{D5CDD505-2E9C-101B-9397-08002B2CF9AE}" pid="19" name="Mendeley Recent Style Name 7_1">
    <vt:lpwstr>Universidade Federal do Espírito Santo - ABNT (autoria completa) (Portuguese - Brazil)</vt:lpwstr>
  </property>
  <property fmtid="{D5CDD505-2E9C-101B-9397-08002B2CF9AE}" pid="20" name="Mendeley Recent Style Id 8_1">
    <vt:lpwstr>http://www.zotero.org/styles/associacao-brasileira-de-normas-tecnicas-ufpr</vt:lpwstr>
  </property>
  <property fmtid="{D5CDD505-2E9C-101B-9397-08002B2CF9AE}" pid="21" name="Mendeley Recent Style Name 8_1">
    <vt:lpwstr>Universidade Federal do Paraná - ABNT (Portuguese - Brazil)</vt:lpwstr>
  </property>
  <property fmtid="{D5CDD505-2E9C-101B-9397-08002B2CF9AE}" pid="22" name="Mendeley Recent Style Id 9_1">
    <vt:lpwstr>http://www.zotero.org/styles/universidade-federal-do-rio-de-janeiro-instituto-alberto-luiz-coimbra-de-pos-graduacao-e-pesquisa-de-engenharia-abnt</vt:lpwstr>
  </property>
  <property fmtid="{D5CDD505-2E9C-101B-9397-08002B2CF9AE}" pid="23" name="Mendeley Recent Style Name 9_1">
    <vt:lpwstr>Universidade Federal do Rio de Janeiro - Instituto Alberto Luiz Coimbra de Pós-Graduação e Pesquisa de Engenharia - ABNT (Portuguese - Brazil)</vt:lpwstr>
  </property>
  <property fmtid="{D5CDD505-2E9C-101B-9397-08002B2CF9AE}" pid="24" name="Mendeley Document_1">
    <vt:lpwstr>True</vt:lpwstr>
  </property>
  <property fmtid="{D5CDD505-2E9C-101B-9397-08002B2CF9AE}" pid="25" name="Mendeley Unique User Id_1">
    <vt:lpwstr>bff28e2f-74a0-37e3-a378-5c7a7667b407</vt:lpwstr>
  </property>
  <property fmtid="{D5CDD505-2E9C-101B-9397-08002B2CF9AE}" pid="26" name="Mendeley Citation Style_1">
    <vt:lpwstr>http://www.zotero.org/styles/associacao-brasileira-de-normas-tecnicas</vt:lpwstr>
  </property>
</Properties>
</file>