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94691310"/>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A504CC5" w:rsidR="00E978D0" w:rsidRPr="00B57B36" w:rsidRDefault="00A87362" w:rsidP="00E978D0">
      <w:pPr>
        <w:pStyle w:val="CETTitle"/>
      </w:pPr>
      <w:r>
        <w:t>Selectivity and Separation Factor for Components during Multicomponent Membrane Gas Separation</w:t>
      </w:r>
    </w:p>
    <w:p w14:paraId="0488FED2" w14:textId="0641C924" w:rsidR="00B57E6F" w:rsidRPr="00B57B36" w:rsidRDefault="00110342" w:rsidP="00B57E6F">
      <w:pPr>
        <w:pStyle w:val="CETAuthors"/>
      </w:pPr>
      <w:r>
        <w:t>Petr Seghman</w:t>
      </w:r>
      <w:r w:rsidRPr="00B57B36">
        <w:t>*</w:t>
      </w:r>
      <w:r w:rsidR="00B57E6F" w:rsidRPr="00B57B36">
        <w:t xml:space="preserve">, </w:t>
      </w:r>
      <w:r>
        <w:t>Lukáš Krátký</w:t>
      </w:r>
      <w:r w:rsidRPr="00B57B36">
        <w:t xml:space="preserve">, </w:t>
      </w:r>
      <w:r>
        <w:t>Tomáš Jirout</w:t>
      </w:r>
    </w:p>
    <w:p w14:paraId="6B2D21B3" w14:textId="24CE29D8" w:rsidR="00B57E6F" w:rsidRPr="00B57B36" w:rsidRDefault="00110342" w:rsidP="00B57E6F">
      <w:pPr>
        <w:pStyle w:val="CETAddress"/>
      </w:pPr>
      <w:r>
        <w:t>Czech Technical University in Prague, Faculty of Mechanical Engineering, Department of Process Engineering, Technická</w:t>
      </w:r>
      <w:r w:rsidR="00663C76">
        <w:t> </w:t>
      </w:r>
      <w:r>
        <w:t>4, Prague 160 00</w:t>
      </w:r>
      <w:r w:rsidR="00663C76">
        <w:t>, Czech Republic</w:t>
      </w:r>
    </w:p>
    <w:p w14:paraId="73F1267A" w14:textId="2F2C0A50" w:rsidR="00B57E6F" w:rsidRPr="00B57B36" w:rsidRDefault="00110342" w:rsidP="00B57E6F">
      <w:pPr>
        <w:pStyle w:val="CETemail"/>
      </w:pPr>
      <w:r>
        <w:t>petr.seghman@fs.cvut.cz</w:t>
      </w:r>
    </w:p>
    <w:p w14:paraId="5CCDE26B" w14:textId="6B256B31" w:rsidR="00E11194" w:rsidRPr="00F80748" w:rsidRDefault="00CE7D6F" w:rsidP="009E1FDC">
      <w:pPr>
        <w:pStyle w:val="CETListbullets"/>
        <w:ind w:left="0" w:firstLine="0"/>
      </w:pPr>
      <w:r>
        <w:t>The membrane</w:t>
      </w:r>
      <w:r w:rsidR="009E1FDC">
        <w:t xml:space="preserve"> separation process offers a promising solution for syngas components separation and adjusting the ratio of the components. The multicomponent separation process is however complex and cannot be easily described. The presented study offers </w:t>
      </w:r>
      <w:r>
        <w:t xml:space="preserve">a </w:t>
      </w:r>
      <w:r w:rsidR="009E1FDC">
        <w:t>comparison of ideal and real selectivities for three H</w:t>
      </w:r>
      <w:r w:rsidR="009E1FDC">
        <w:rPr>
          <w:vertAlign w:val="subscript"/>
        </w:rPr>
        <w:t>2</w:t>
      </w:r>
      <w:r w:rsidR="009E1FDC">
        <w:t>-CO-CO</w:t>
      </w:r>
      <w:r w:rsidR="009E1FDC">
        <w:rPr>
          <w:vertAlign w:val="subscript"/>
        </w:rPr>
        <w:t>2</w:t>
      </w:r>
      <w:r w:rsidR="009E1FDC">
        <w:t xml:space="preserve"> model mixtures containing 15-35 </w:t>
      </w:r>
      <w:r>
        <w:t>mo</w:t>
      </w:r>
      <w:r w:rsidR="009E1FDC">
        <w:t>l</w:t>
      </w:r>
      <w:r>
        <w:t>%</w:t>
      </w:r>
      <w:r w:rsidR="009E1FDC">
        <w:t xml:space="preserve"> H</w:t>
      </w:r>
      <w:r w:rsidR="009E1FDC">
        <w:rPr>
          <w:vertAlign w:val="subscript"/>
        </w:rPr>
        <w:t>2</w:t>
      </w:r>
      <w:r w:rsidR="009E1FDC">
        <w:t xml:space="preserve">, 35 </w:t>
      </w:r>
      <w:r>
        <w:t xml:space="preserve">mol% </w:t>
      </w:r>
      <w:r w:rsidR="009E1FDC">
        <w:t>CO</w:t>
      </w:r>
      <w:r w:rsidR="0069299A">
        <w:t>,</w:t>
      </w:r>
      <w:r w:rsidR="009E1FDC">
        <w:t xml:space="preserve"> and 30-50 </w:t>
      </w:r>
      <w:r>
        <w:t>mol%</w:t>
      </w:r>
      <w:r w:rsidR="009E1FDC">
        <w:t xml:space="preserve"> CO</w:t>
      </w:r>
      <w:r w:rsidR="009E1FDC">
        <w:rPr>
          <w:vertAlign w:val="subscript"/>
        </w:rPr>
        <w:t>2</w:t>
      </w:r>
      <w:r w:rsidR="009E1FDC">
        <w:t xml:space="preserve">. The mixtures were tested with total pressure drops 0.5-8 bar (retentate pressure from </w:t>
      </w:r>
      <w:r w:rsidR="001F1E4C">
        <w:t>2 to 10 bar with the permeate pressure levels of 1.2 bar, 2.5 bar</w:t>
      </w:r>
      <w:r>
        <w:t>,</w:t>
      </w:r>
      <w:r w:rsidR="001F1E4C">
        <w:t xml:space="preserve"> and 4 bar). The membrane module used in the study is a hollow </w:t>
      </w:r>
      <w:proofErr w:type="spellStart"/>
      <w:r>
        <w:t>fiber</w:t>
      </w:r>
      <w:proofErr w:type="spellEnd"/>
      <w:r w:rsidR="001F1E4C">
        <w:t xml:space="preserve"> polyimide membrane module with 3000 hollow </w:t>
      </w:r>
      <w:proofErr w:type="spellStart"/>
      <w:r w:rsidR="0069299A">
        <w:t>fibers</w:t>
      </w:r>
      <w:proofErr w:type="spellEnd"/>
      <w:r w:rsidR="001F1E4C">
        <w:t xml:space="preserve"> with </w:t>
      </w:r>
      <w:r w:rsidR="0069299A">
        <w:t xml:space="preserve">an </w:t>
      </w:r>
      <w:r w:rsidR="001F1E4C">
        <w:t xml:space="preserve">inner diameter </w:t>
      </w:r>
      <w:r>
        <w:t xml:space="preserve">of </w:t>
      </w:r>
      <w:r w:rsidR="001F1E4C">
        <w:t xml:space="preserve">0.188 mm and </w:t>
      </w:r>
      <w:r>
        <w:t xml:space="preserve">a </w:t>
      </w:r>
      <w:r w:rsidR="001F1E4C">
        <w:t xml:space="preserve">length </w:t>
      </w:r>
      <w:r>
        <w:t xml:space="preserve">of </w:t>
      </w:r>
      <w:r w:rsidR="001F1E4C">
        <w:t xml:space="preserve">290 mm with an active separation layer. The ideal selectivities for are </w:t>
      </w:r>
      <w:r w:rsidR="001F1E4C">
        <w:rPr>
          <w:rFonts w:cs="Arial"/>
        </w:rPr>
        <w:t>α</w:t>
      </w:r>
      <w:r w:rsidR="001F1E4C">
        <w:t>(H</w:t>
      </w:r>
      <w:r w:rsidR="001F1E4C">
        <w:rPr>
          <w:vertAlign w:val="subscript"/>
        </w:rPr>
        <w:t>2</w:t>
      </w:r>
      <w:r w:rsidR="001F1E4C">
        <w:t>/CO</w:t>
      </w:r>
      <w:r w:rsidR="001F1E4C">
        <w:rPr>
          <w:vertAlign w:val="subscript"/>
        </w:rPr>
        <w:t>2</w:t>
      </w:r>
      <w:r w:rsidR="001F1E4C" w:rsidRPr="001F1E4C">
        <w:t>)</w:t>
      </w:r>
      <w:r w:rsidR="001F1E4C">
        <w:t xml:space="preserve"> = 3.21 and </w:t>
      </w:r>
      <w:r w:rsidR="001F1E4C">
        <w:rPr>
          <w:rFonts w:cs="Arial"/>
        </w:rPr>
        <w:t>α</w:t>
      </w:r>
      <w:r w:rsidR="001F1E4C">
        <w:t>(CO</w:t>
      </w:r>
      <w:r w:rsidR="001F1E4C">
        <w:rPr>
          <w:vertAlign w:val="subscript"/>
        </w:rPr>
        <w:t>2</w:t>
      </w:r>
      <w:r w:rsidR="001F1E4C">
        <w:t>/CO</w:t>
      </w:r>
      <w:r w:rsidR="001F1E4C" w:rsidRPr="001F1E4C">
        <w:t>)</w:t>
      </w:r>
      <w:r w:rsidR="001F1E4C">
        <w:t xml:space="preserve"> = 14.77. The experimental results show that with increasing stagecut, the selectivities drop to below 1.3 for H</w:t>
      </w:r>
      <w:r w:rsidR="001F1E4C">
        <w:rPr>
          <w:vertAlign w:val="subscript"/>
        </w:rPr>
        <w:t>2</w:t>
      </w:r>
      <w:r w:rsidR="001F1E4C">
        <w:t>/CO</w:t>
      </w:r>
      <w:r w:rsidR="001F1E4C">
        <w:rPr>
          <w:vertAlign w:val="subscript"/>
        </w:rPr>
        <w:t xml:space="preserve">2 </w:t>
      </w:r>
      <w:r w:rsidR="001F1E4C">
        <w:t>(40 % of the ideal selectivity) and to below 1.4 for CO</w:t>
      </w:r>
      <w:r w:rsidR="001F1E4C">
        <w:rPr>
          <w:vertAlign w:val="subscript"/>
        </w:rPr>
        <w:t>2</w:t>
      </w:r>
      <w:r w:rsidR="001F1E4C">
        <w:t xml:space="preserve">/CO (9.5 % of the ideal selectivity). Also, the selectivity decreases at a different rate for both different feed </w:t>
      </w:r>
      <w:r>
        <w:t>compositions</w:t>
      </w:r>
      <w:r w:rsidR="001F1E4C">
        <w:t xml:space="preserve"> and different permeate pressures.</w:t>
      </w:r>
      <w:r w:rsidR="00F80748">
        <w:t xml:space="preserve"> The</w:t>
      </w:r>
      <w:r w:rsidR="001F1E4C">
        <w:t xml:space="preserve"> </w:t>
      </w:r>
      <w:r w:rsidR="00F80748">
        <w:t>H</w:t>
      </w:r>
      <w:r w:rsidR="00F80748">
        <w:rPr>
          <w:vertAlign w:val="subscript"/>
        </w:rPr>
        <w:t>2</w:t>
      </w:r>
      <w:r w:rsidR="00F80748">
        <w:t>/CO</w:t>
      </w:r>
      <w:r w:rsidR="00F80748">
        <w:rPr>
          <w:vertAlign w:val="subscript"/>
        </w:rPr>
        <w:t>2</w:t>
      </w:r>
      <w:r w:rsidR="00F80748">
        <w:t xml:space="preserve"> selectivity drops faster for lower permeate pressure, the CO</w:t>
      </w:r>
      <w:r w:rsidR="00F80748">
        <w:rPr>
          <w:vertAlign w:val="subscript"/>
        </w:rPr>
        <w:t>2</w:t>
      </w:r>
      <w:r w:rsidR="00F80748">
        <w:t>/CO selectivity drops faster for higher permeate pressure. The separation factors increase both for H</w:t>
      </w:r>
      <w:r w:rsidR="00F80748">
        <w:rPr>
          <w:vertAlign w:val="subscript"/>
        </w:rPr>
        <w:t>2</w:t>
      </w:r>
      <w:r w:rsidR="00F80748">
        <w:t>/CO</w:t>
      </w:r>
      <w:r w:rsidR="00F80748">
        <w:rPr>
          <w:vertAlign w:val="subscript"/>
        </w:rPr>
        <w:t>2</w:t>
      </w:r>
      <w:r w:rsidR="00F80748">
        <w:t xml:space="preserve"> and CO</w:t>
      </w:r>
      <w:r w:rsidR="00F80748">
        <w:rPr>
          <w:vertAlign w:val="subscript"/>
        </w:rPr>
        <w:t>2</w:t>
      </w:r>
      <w:r w:rsidR="00F80748">
        <w:t xml:space="preserve">/CO with increasing pressure </w:t>
      </w:r>
      <w:r>
        <w:t>differences</w:t>
      </w:r>
      <w:r w:rsidR="00F80748">
        <w:t>. Also, with the lower permeate pressure (p</w:t>
      </w:r>
      <w:r w:rsidR="00F80748">
        <w:rPr>
          <w:vertAlign w:val="subscript"/>
        </w:rPr>
        <w:t>P</w:t>
      </w:r>
      <w:r w:rsidR="00F80748">
        <w:t xml:space="preserve"> = 1.2 bar) both separation factors (for H</w:t>
      </w:r>
      <w:r w:rsidR="00F80748">
        <w:rPr>
          <w:vertAlign w:val="subscript"/>
        </w:rPr>
        <w:t>2</w:t>
      </w:r>
      <w:r w:rsidR="00F80748">
        <w:t>/CO</w:t>
      </w:r>
      <w:r w:rsidR="00F80748">
        <w:rPr>
          <w:vertAlign w:val="subscript"/>
        </w:rPr>
        <w:t>2</w:t>
      </w:r>
      <w:r w:rsidR="00F80748">
        <w:t xml:space="preserve"> and CO</w:t>
      </w:r>
      <w:r w:rsidR="00F80748">
        <w:rPr>
          <w:vertAlign w:val="subscript"/>
        </w:rPr>
        <w:t>2</w:t>
      </w:r>
      <w:r w:rsidR="00F80748">
        <w:t xml:space="preserve">/CO) increase at </w:t>
      </w:r>
      <w:r>
        <w:t xml:space="preserve">a </w:t>
      </w:r>
      <w:r w:rsidR="00F80748">
        <w:t>greater</w:t>
      </w:r>
      <w:r w:rsidR="003C030E">
        <w:t xml:space="preserve"> rate</w:t>
      </w:r>
      <w:r w:rsidR="00F80748">
        <w:t>.</w:t>
      </w:r>
    </w:p>
    <w:p w14:paraId="476B2F2E" w14:textId="2340594A" w:rsidR="00600535" w:rsidRPr="00B57B36" w:rsidRDefault="00600535" w:rsidP="00600535">
      <w:pPr>
        <w:pStyle w:val="CETHeading1"/>
        <w:rPr>
          <w:lang w:val="en-GB"/>
        </w:rPr>
      </w:pPr>
      <w:r w:rsidRPr="00B57B36">
        <w:rPr>
          <w:lang w:val="en-GB"/>
        </w:rPr>
        <w:t>Introduction</w:t>
      </w:r>
    </w:p>
    <w:p w14:paraId="64A1E133" w14:textId="158E362F" w:rsidR="007931FA" w:rsidRPr="00727989" w:rsidRDefault="00110342" w:rsidP="00110342">
      <w:pPr>
        <w:pStyle w:val="CETListbullets"/>
        <w:ind w:left="0" w:firstLine="0"/>
      </w:pPr>
      <w:r>
        <w:t xml:space="preserve">One of the most trending topics in the field of chemical and process engineering is the environmental and ecological </w:t>
      </w:r>
      <w:r w:rsidR="00CE7D6F">
        <w:t>effects</w:t>
      </w:r>
      <w:r>
        <w:t xml:space="preserve">. Also, a huge effort is being put into the development of sustainable processes for chemicals and fuels production. </w:t>
      </w:r>
      <w:r w:rsidR="00727989">
        <w:t>One of the suitable processes for sustainable fuels and chemicals production is biomass gasification. However, t</w:t>
      </w:r>
      <w:r>
        <w:t>he main obstruction preventing its industrial application are the gas treatment processes that must be both economic and ecological. One of the promising methods is the membrane separation</w:t>
      </w:r>
      <w:r w:rsidR="00727989">
        <w:t xml:space="preserve"> that can both purify the syngas </w:t>
      </w:r>
      <w:proofErr w:type="gramStart"/>
      <w:r w:rsidR="00727989">
        <w:t>and also</w:t>
      </w:r>
      <w:proofErr w:type="gramEnd"/>
      <w:r w:rsidR="00727989">
        <w:t xml:space="preserve"> adjust the ratio of the main components – H</w:t>
      </w:r>
      <w:r w:rsidR="00727989">
        <w:rPr>
          <w:vertAlign w:val="subscript"/>
        </w:rPr>
        <w:t>2</w:t>
      </w:r>
      <w:r w:rsidR="00727989">
        <w:t>, CO, CO</w:t>
      </w:r>
      <w:r w:rsidR="00727989">
        <w:rPr>
          <w:vertAlign w:val="subscript"/>
        </w:rPr>
        <w:t>2</w:t>
      </w:r>
      <w:r w:rsidR="0069299A">
        <w:rPr>
          <w:vertAlign w:val="subscript"/>
        </w:rPr>
        <w:t>,</w:t>
      </w:r>
      <w:r w:rsidR="00727989">
        <w:t xml:space="preserve"> and CH</w:t>
      </w:r>
      <w:r w:rsidR="00727989">
        <w:rPr>
          <w:vertAlign w:val="subscript"/>
        </w:rPr>
        <w:t>4</w:t>
      </w:r>
      <w:r w:rsidR="00727989">
        <w:t xml:space="preserve">. </w:t>
      </w:r>
    </w:p>
    <w:p w14:paraId="47F44C6F" w14:textId="21475C75" w:rsidR="00F40E45" w:rsidRDefault="00110342" w:rsidP="00110342">
      <w:pPr>
        <w:pStyle w:val="CETListbullets"/>
        <w:ind w:left="0" w:firstLine="0"/>
      </w:pPr>
      <w:r>
        <w:t>For a proper application of the membrane separation processe</w:t>
      </w:r>
      <w:r w:rsidR="00C1084C">
        <w:t>s</w:t>
      </w:r>
      <w:r>
        <w:t xml:space="preserve">, it is necessary to obtain a deep description of the process. </w:t>
      </w:r>
      <w:r w:rsidR="00B64297">
        <w:t>However, multicomponent mixture separation is a complex process aff</w:t>
      </w:r>
      <w:r w:rsidR="00E11194">
        <w:t>e</w:t>
      </w:r>
      <w:r w:rsidR="00B64297">
        <w:t xml:space="preserve">cted by many parameters. </w:t>
      </w:r>
      <w:r w:rsidR="00E11194">
        <w:t xml:space="preserve">Some scientific papers suggest that ideal </w:t>
      </w:r>
      <w:proofErr w:type="spellStart"/>
      <w:r w:rsidR="00CE7D6F">
        <w:t>behavior</w:t>
      </w:r>
      <w:proofErr w:type="spellEnd"/>
      <w:r w:rsidR="00E11194">
        <w:t xml:space="preserve"> can be utilized for the description of </w:t>
      </w:r>
      <w:r w:rsidR="0069299A">
        <w:t xml:space="preserve">the </w:t>
      </w:r>
      <w:r w:rsidR="00E11194">
        <w:t xml:space="preserve">multicomponent </w:t>
      </w:r>
      <w:proofErr w:type="gramStart"/>
      <w:r w:rsidR="00E11194">
        <w:t>mixtures</w:t>
      </w:r>
      <w:proofErr w:type="gramEnd"/>
      <w:r w:rsidR="00E11194">
        <w:t xml:space="preserve"> separation process. As </w:t>
      </w:r>
      <w:r w:rsidR="003E0634">
        <w:t xml:space="preserve">earlier suggested </w:t>
      </w:r>
      <w:r w:rsidR="00E11194">
        <w:t xml:space="preserve">by </w:t>
      </w:r>
      <w:r w:rsidR="003E0634">
        <w:t xml:space="preserve">Li et al. (1990), the ideal </w:t>
      </w:r>
      <w:proofErr w:type="spellStart"/>
      <w:r w:rsidR="00CE7D6F">
        <w:t>behavior</w:t>
      </w:r>
      <w:proofErr w:type="spellEnd"/>
      <w:r w:rsidR="003E0634">
        <w:t xml:space="preserve"> (independent process for each component) can be used only under certain restrictions such as small concentration of the most permeable component, perfect mixing at the surface of the membrane</w:t>
      </w:r>
      <w:r w:rsidR="00CE7D6F">
        <w:t>,</w:t>
      </w:r>
      <w:r w:rsidR="003E0634">
        <w:t xml:space="preserve"> and </w:t>
      </w:r>
      <w:r w:rsidR="00CE7D6F">
        <w:t>others</w:t>
      </w:r>
      <w:r w:rsidR="003E0634">
        <w:t xml:space="preserve">. However, multiple studies have shown that the process is affected by various process parameters and the interaction of the components. </w:t>
      </w:r>
      <w:r w:rsidR="00F752D1">
        <w:t>Zhou et al. (2008) used a numerical simulation method to describe a CO</w:t>
      </w:r>
      <w:r w:rsidR="00F752D1">
        <w:rPr>
          <w:vertAlign w:val="subscript"/>
        </w:rPr>
        <w:t>2</w:t>
      </w:r>
      <w:r w:rsidR="00F752D1">
        <w:t>/N</w:t>
      </w:r>
      <w:r w:rsidR="00F752D1">
        <w:rPr>
          <w:vertAlign w:val="subscript"/>
        </w:rPr>
        <w:t>2</w:t>
      </w:r>
      <w:r w:rsidR="00F752D1" w:rsidRPr="00F752D1">
        <w:t xml:space="preserve"> </w:t>
      </w:r>
      <w:r w:rsidR="00F752D1">
        <w:t xml:space="preserve">separation process and describe the parameters affecting the process. Their results suggest that the composition of the feed (along with other parameters) affects the results of </w:t>
      </w:r>
      <w:r w:rsidR="00727989">
        <w:t>t</w:t>
      </w:r>
      <w:r w:rsidR="00F752D1">
        <w:t>he process.</w:t>
      </w:r>
    </w:p>
    <w:p w14:paraId="669BD6CA" w14:textId="230F6F70" w:rsidR="005946C3" w:rsidRDefault="00F40E45" w:rsidP="00110342">
      <w:pPr>
        <w:pStyle w:val="CETListbullets"/>
        <w:ind w:left="0" w:firstLine="0"/>
      </w:pPr>
      <w:r>
        <w:t xml:space="preserve">The current approach used for describing the multicomponent gas membrane separation are the numerical simulations. </w:t>
      </w:r>
      <w:r w:rsidR="005946C3">
        <w:t xml:space="preserve">As expressed by Medi and </w:t>
      </w:r>
      <w:proofErr w:type="spellStart"/>
      <w:r w:rsidR="005946C3">
        <w:t>Nomvar</w:t>
      </w:r>
      <w:proofErr w:type="spellEnd"/>
      <w:r w:rsidR="005946C3">
        <w:t xml:space="preserve"> (2020), it is possible to simulate the process in the hollow </w:t>
      </w:r>
      <w:proofErr w:type="spellStart"/>
      <w:r w:rsidR="0069299A">
        <w:t>fiber</w:t>
      </w:r>
      <w:proofErr w:type="spellEnd"/>
      <w:r w:rsidR="005946C3">
        <w:t xml:space="preserve"> modules so that the final simulation is both robust and fast. In their work</w:t>
      </w:r>
      <w:r w:rsidR="00CE7D6F">
        <w:t>,</w:t>
      </w:r>
      <w:r w:rsidR="005946C3">
        <w:t xml:space="preserve"> they tested multiple numerical models for the gas mixture separation and suggested a variable order numerical differentiation formula. </w:t>
      </w:r>
      <w:r>
        <w:t xml:space="preserve">One of the </w:t>
      </w:r>
      <w:r w:rsidR="005946C3">
        <w:lastRenderedPageBreak/>
        <w:t xml:space="preserve">specific approaches to </w:t>
      </w:r>
      <w:proofErr w:type="spellStart"/>
      <w:r w:rsidR="00CE7D6F">
        <w:t>modeling</w:t>
      </w:r>
      <w:proofErr w:type="spellEnd"/>
      <w:r w:rsidR="005946C3">
        <w:t xml:space="preserve"> the separation </w:t>
      </w:r>
      <w:r>
        <w:t xml:space="preserve">is to study the molecular </w:t>
      </w:r>
      <w:proofErr w:type="spellStart"/>
      <w:r w:rsidR="0069299A">
        <w:t>behavior</w:t>
      </w:r>
      <w:proofErr w:type="spellEnd"/>
      <w:r>
        <w:t xml:space="preserve"> of the permeating components. Azizi and Mousavi (2015) developed a simulation method based on molecular dynamics. Among their conclusions, dominant mechanisms for </w:t>
      </w:r>
      <w:r w:rsidR="0069299A">
        <w:t xml:space="preserve">the </w:t>
      </w:r>
      <w:r>
        <w:t>transport of both polar and nonpolar molecules</w:t>
      </w:r>
      <w:r w:rsidR="00CE7D6F">
        <w:t xml:space="preserve"> were classified</w:t>
      </w:r>
      <w:r>
        <w:t>.</w:t>
      </w:r>
      <w:r w:rsidR="00C1084C">
        <w:t xml:space="preserve"> Also, the results suggest that the molecules interact with each other.</w:t>
      </w:r>
      <w:r>
        <w:t xml:space="preserve"> Ahmad et al. (2012) simulated</w:t>
      </w:r>
      <w:r w:rsidR="00C1084C">
        <w:t xml:space="preserve"> a</w:t>
      </w:r>
      <w:r>
        <w:t xml:space="preserve"> process of CO</w:t>
      </w:r>
      <w:r>
        <w:rPr>
          <w:vertAlign w:val="subscript"/>
        </w:rPr>
        <w:t>2</w:t>
      </w:r>
      <w:r>
        <w:t xml:space="preserve"> capture from the natural gas and suggested a numerical model based on several reasonable assumptions</w:t>
      </w:r>
      <w:r w:rsidR="00C1084C">
        <w:t xml:space="preserve"> (constant pressure along the membrane, pressure independent permeabilities for components). As the studied mixture contained only two components, their results agree with experimental data obtained by </w:t>
      </w:r>
      <w:r w:rsidR="00CE7D6F">
        <w:t xml:space="preserve">the </w:t>
      </w:r>
      <w:r w:rsidR="00C1084C">
        <w:t>experiment.</w:t>
      </w:r>
    </w:p>
    <w:p w14:paraId="350EEDA8" w14:textId="2D1A4B7D" w:rsidR="00C1084C" w:rsidRPr="0031559F" w:rsidRDefault="00C1084C" w:rsidP="00110342">
      <w:pPr>
        <w:pStyle w:val="CETListbullets"/>
        <w:ind w:left="0" w:firstLine="0"/>
      </w:pPr>
      <w:r>
        <w:t>The multicomponent (three and more component</w:t>
      </w:r>
      <w:r w:rsidR="00CE7D6F">
        <w:t>s</w:t>
      </w:r>
      <w:r>
        <w:t xml:space="preserve">) </w:t>
      </w:r>
      <w:r w:rsidR="00727989">
        <w:t>gas</w:t>
      </w:r>
      <w:r>
        <w:t xml:space="preserve"> separation was described by Casado-</w:t>
      </w:r>
      <w:proofErr w:type="spellStart"/>
      <w:r>
        <w:t>Coterillo</w:t>
      </w:r>
      <w:proofErr w:type="spellEnd"/>
      <w:r>
        <w:t xml:space="preserve"> (2019) who described the separation of </w:t>
      </w:r>
      <w:r w:rsidR="00CE7D6F">
        <w:t xml:space="preserve">a </w:t>
      </w:r>
      <w:r>
        <w:t>ternary mixture containing CO</w:t>
      </w:r>
      <w:r>
        <w:rPr>
          <w:vertAlign w:val="subscript"/>
        </w:rPr>
        <w:t>2</w:t>
      </w:r>
      <w:r>
        <w:t>, N</w:t>
      </w:r>
      <w:r>
        <w:rPr>
          <w:vertAlign w:val="subscript"/>
        </w:rPr>
        <w:t>2</w:t>
      </w:r>
      <w:r w:rsidR="00CE7D6F">
        <w:rPr>
          <w:vertAlign w:val="subscript"/>
        </w:rPr>
        <w:t>,</w:t>
      </w:r>
      <w:r>
        <w:t xml:space="preserve"> and CH</w:t>
      </w:r>
      <w:r>
        <w:rPr>
          <w:vertAlign w:val="subscript"/>
        </w:rPr>
        <w:t>4</w:t>
      </w:r>
      <w:r>
        <w:t xml:space="preserve">. Their conclusions suggest deeper studies in the field of </w:t>
      </w:r>
      <w:r w:rsidR="00CE7D6F">
        <w:t xml:space="preserve">the </w:t>
      </w:r>
      <w:r>
        <w:t xml:space="preserve">non-ideal </w:t>
      </w:r>
      <w:proofErr w:type="spellStart"/>
      <w:r w:rsidR="0069299A">
        <w:t>behavior</w:t>
      </w:r>
      <w:proofErr w:type="spellEnd"/>
      <w:r>
        <w:t xml:space="preserve"> of mixtures during membrane separation.</w:t>
      </w:r>
      <w:r w:rsidR="0031559F">
        <w:t xml:space="preserve"> A recent paper presented by the authors (Seghman et al., 2021) also </w:t>
      </w:r>
      <w:r w:rsidR="00CE7D6F">
        <w:t>indicates</w:t>
      </w:r>
      <w:r w:rsidR="0031559F">
        <w:t xml:space="preserve"> that the feed composition of the gas affects the results of the process. In the paper, four different ternary mixtures (containing H</w:t>
      </w:r>
      <w:r w:rsidR="0031559F">
        <w:rPr>
          <w:vertAlign w:val="subscript"/>
        </w:rPr>
        <w:t>2</w:t>
      </w:r>
      <w:r w:rsidR="0031559F">
        <w:t>, CO</w:t>
      </w:r>
      <w:r w:rsidR="00CE7D6F">
        <w:t>,</w:t>
      </w:r>
      <w:r w:rsidR="0031559F">
        <w:t xml:space="preserve"> and CO</w:t>
      </w:r>
      <w:r w:rsidR="0031559F">
        <w:rPr>
          <w:vertAlign w:val="subscript"/>
        </w:rPr>
        <w:t>2</w:t>
      </w:r>
      <w:r w:rsidR="0031559F">
        <w:t xml:space="preserve">) were studied and the recoveries </w:t>
      </w:r>
      <w:r w:rsidR="0031559F" w:rsidRPr="0031559F">
        <w:rPr>
          <w:i/>
          <w:iCs/>
        </w:rPr>
        <w:t>R</w:t>
      </w:r>
      <w:r w:rsidR="0031559F" w:rsidRPr="0031559F">
        <w:rPr>
          <w:i/>
          <w:iCs/>
          <w:vertAlign w:val="subscript"/>
        </w:rPr>
        <w:t>i</w:t>
      </w:r>
      <w:r w:rsidR="0031559F">
        <w:t xml:space="preserve"> of CO</w:t>
      </w:r>
      <w:r w:rsidR="0031559F">
        <w:rPr>
          <w:vertAlign w:val="subscript"/>
        </w:rPr>
        <w:t>2</w:t>
      </w:r>
      <w:r w:rsidR="0031559F">
        <w:t xml:space="preserve"> and H</w:t>
      </w:r>
      <w:r w:rsidR="0031559F">
        <w:rPr>
          <w:vertAlign w:val="subscript"/>
        </w:rPr>
        <w:t>2</w:t>
      </w:r>
      <w:r w:rsidR="0031559F">
        <w:t xml:space="preserve"> were compared for different permeate pressure levels. </w:t>
      </w:r>
    </w:p>
    <w:p w14:paraId="20689E7E" w14:textId="18DF59CF" w:rsidR="00727989" w:rsidRPr="00C1084C" w:rsidRDefault="00727989" w:rsidP="00110342">
      <w:pPr>
        <w:pStyle w:val="CETListbullets"/>
        <w:ind w:left="0" w:firstLine="0"/>
      </w:pPr>
      <w:r>
        <w:t>As seen in the mentioned papers, multicomponent gas separation using membranes is a complex and undescribed process. One of the main parameters used for simulations is the selectivity of the membrane (ratio of the permeabilities of two components). The present paper offers a quantitative comparison of ideal selectivity (obtained from the pure components permeabilities) and the actual selectivity obtained experimentally.</w:t>
      </w:r>
      <w:r w:rsidR="00CE120B">
        <w:t xml:space="preserve"> Such dependency can lead to more accurate simulations and to </w:t>
      </w:r>
      <w:r w:rsidR="00CE7D6F">
        <w:t xml:space="preserve">a </w:t>
      </w:r>
      <w:r w:rsidR="00CE120B">
        <w:t>better understanding of the process.</w:t>
      </w:r>
    </w:p>
    <w:p w14:paraId="4AC1CCB3" w14:textId="77777777" w:rsidR="00CE120B" w:rsidRPr="00B57B36" w:rsidRDefault="00CE120B" w:rsidP="00CE120B">
      <w:pPr>
        <w:pStyle w:val="CETHeading1"/>
        <w:rPr>
          <w:lang w:val="en-GB"/>
        </w:rPr>
      </w:pPr>
      <w:r>
        <w:rPr>
          <w:lang w:val="en-GB"/>
        </w:rPr>
        <w:t>Methods</w:t>
      </w:r>
    </w:p>
    <w:p w14:paraId="07D6C01A" w14:textId="53140DD4" w:rsidR="00CE120B" w:rsidRDefault="00CE120B" w:rsidP="00CE120B">
      <w:pPr>
        <w:pStyle w:val="CETBodytext"/>
      </w:pPr>
      <w:r>
        <w:t xml:space="preserve">All experiments were performed with </w:t>
      </w:r>
      <w:r w:rsidR="00CE7D6F">
        <w:t xml:space="preserve">the </w:t>
      </w:r>
      <w:r>
        <w:t>following conditions and using the following equipment.</w:t>
      </w:r>
    </w:p>
    <w:p w14:paraId="54946D73" w14:textId="77777777" w:rsidR="00CE120B" w:rsidRPr="00B57B36" w:rsidRDefault="00CE120B" w:rsidP="00CE120B">
      <w:pPr>
        <w:pStyle w:val="CETheadingx"/>
      </w:pPr>
      <w:r>
        <w:t>Model gas</w:t>
      </w:r>
    </w:p>
    <w:p w14:paraId="5D37C3F8" w14:textId="22BABDEC" w:rsidR="00CE120B" w:rsidRPr="0031559F" w:rsidRDefault="0031559F" w:rsidP="00CE120B">
      <w:pPr>
        <w:pStyle w:val="CETBodytext"/>
        <w:rPr>
          <w:lang w:val="en-GB"/>
        </w:rPr>
      </w:pPr>
      <w:r>
        <w:t>For the experiments, three different model mixtures of H</w:t>
      </w:r>
      <w:r>
        <w:rPr>
          <w:vertAlign w:val="subscript"/>
        </w:rPr>
        <w:t>2</w:t>
      </w:r>
      <w:r>
        <w:t>, CO</w:t>
      </w:r>
      <w:r w:rsidR="00CE7D6F">
        <w:t>,</w:t>
      </w:r>
      <w:r>
        <w:t xml:space="preserve"> and CO</w:t>
      </w:r>
      <w:r>
        <w:rPr>
          <w:vertAlign w:val="subscript"/>
        </w:rPr>
        <w:t>2</w:t>
      </w:r>
      <w:r>
        <w:t xml:space="preserve"> were used. </w:t>
      </w:r>
      <w:r w:rsidR="00742BED">
        <w:t xml:space="preserve">The basis for the composition </w:t>
      </w:r>
      <w:r w:rsidR="00E71808">
        <w:t xml:space="preserve">of the feed </w:t>
      </w:r>
      <w:r w:rsidR="00742BED">
        <w:t>was a synthesis gas (syngas) produced by the woody biomass gasification process. However, as the span of the concentration for each product is rather narrow (for H</w:t>
      </w:r>
      <w:r w:rsidR="00742BED">
        <w:rPr>
          <w:vertAlign w:val="subscript"/>
        </w:rPr>
        <w:t>2</w:t>
      </w:r>
      <w:r w:rsidR="00742BED">
        <w:t xml:space="preserve"> ranging between </w:t>
      </w:r>
      <w:r w:rsidR="00742BED">
        <w:rPr>
          <w:lang w:val="en-GB"/>
        </w:rPr>
        <w:t>10 %mol and 25 %mol and for CO</w:t>
      </w:r>
      <w:r w:rsidR="00742BED">
        <w:rPr>
          <w:vertAlign w:val="subscript"/>
          <w:lang w:val="en-GB"/>
        </w:rPr>
        <w:t>2</w:t>
      </w:r>
      <w:r w:rsidR="00742BED">
        <w:rPr>
          <w:lang w:val="en-GB"/>
        </w:rPr>
        <w:t xml:space="preserve"> between 30 to 45 %mol), the composition was changed to magnify the possible differences. Therefore, the composition of the mixtures was chosen as stated in Table 1. Also, labels for the mixtures are shown in the table – these will be used further in the paper.</w:t>
      </w:r>
    </w:p>
    <w:p w14:paraId="3F65F036" w14:textId="34F389EF" w:rsidR="00CE120B" w:rsidRPr="00742BED" w:rsidRDefault="00CE120B" w:rsidP="00CE120B">
      <w:pPr>
        <w:pStyle w:val="CETTabletitle"/>
      </w:pPr>
      <w:r w:rsidRPr="00742BED">
        <w:t xml:space="preserve">Table 1: Labels and </w:t>
      </w:r>
      <w:r w:rsidR="00742BED" w:rsidRPr="00742BED">
        <w:t>compositions</w:t>
      </w:r>
      <w:r w:rsidR="00CE7D6F">
        <w:t xml:space="preserve"> (c</w:t>
      </w:r>
      <w:r w:rsidR="00CE7D6F">
        <w:rPr>
          <w:vertAlign w:val="subscript"/>
        </w:rPr>
        <w:t>F</w:t>
      </w:r>
      <w:r w:rsidR="00CE7D6F">
        <w:t>)</w:t>
      </w:r>
      <w:r w:rsidR="00742BED" w:rsidRPr="00742BED">
        <w:t xml:space="preserve"> of the feed gases used in the study</w:t>
      </w:r>
      <w:r w:rsidRPr="00742BED">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559"/>
        <w:gridCol w:w="1559"/>
        <w:gridCol w:w="1327"/>
        <w:gridCol w:w="551"/>
      </w:tblGrid>
      <w:tr w:rsidR="00CE120B" w:rsidRPr="00742BED" w14:paraId="5BDAA565" w14:textId="77777777" w:rsidTr="00332A12">
        <w:trPr>
          <w:trHeight w:val="273"/>
        </w:trPr>
        <w:tc>
          <w:tcPr>
            <w:tcW w:w="1560" w:type="dxa"/>
            <w:tcBorders>
              <w:top w:val="single" w:sz="12" w:space="0" w:color="008000"/>
              <w:bottom w:val="single" w:sz="6" w:space="0" w:color="008000"/>
            </w:tcBorders>
            <w:shd w:val="clear" w:color="auto" w:fill="FFFFFF"/>
          </w:tcPr>
          <w:p w14:paraId="44BD2FC4" w14:textId="77777777" w:rsidR="00CE120B" w:rsidRPr="00742BED" w:rsidRDefault="00CE120B" w:rsidP="00332A12">
            <w:pPr>
              <w:pStyle w:val="CETBodytext"/>
              <w:rPr>
                <w:lang w:val="en-GB"/>
              </w:rPr>
            </w:pPr>
            <w:r w:rsidRPr="00742BED">
              <w:rPr>
                <w:lang w:val="en-GB"/>
              </w:rPr>
              <w:t xml:space="preserve">Mixture label </w:t>
            </w:r>
          </w:p>
        </w:tc>
        <w:tc>
          <w:tcPr>
            <w:tcW w:w="1559" w:type="dxa"/>
            <w:tcBorders>
              <w:top w:val="single" w:sz="12" w:space="0" w:color="008000"/>
              <w:bottom w:val="single" w:sz="6" w:space="0" w:color="008000"/>
            </w:tcBorders>
            <w:shd w:val="clear" w:color="auto" w:fill="FFFFFF"/>
          </w:tcPr>
          <w:p w14:paraId="28DE5E7A" w14:textId="77777777" w:rsidR="00CE120B" w:rsidRPr="00742BED" w:rsidRDefault="00CE120B" w:rsidP="00332A12">
            <w:pPr>
              <w:pStyle w:val="CETBodytext"/>
              <w:ind w:hanging="5"/>
              <w:rPr>
                <w:lang w:val="en-GB"/>
              </w:rPr>
            </w:pPr>
            <w:r w:rsidRPr="00742BED">
              <w:rPr>
                <w:lang w:val="en-GB"/>
              </w:rPr>
              <w:t>c</w:t>
            </w:r>
            <w:r w:rsidRPr="00742BED">
              <w:rPr>
                <w:vertAlign w:val="subscript"/>
                <w:lang w:val="en-GB"/>
              </w:rPr>
              <w:t>F (H2)</w:t>
            </w:r>
            <w:r w:rsidRPr="00742BED">
              <w:rPr>
                <w:lang w:val="en-GB"/>
              </w:rPr>
              <w:t xml:space="preserve"> (%mol)</w:t>
            </w:r>
          </w:p>
        </w:tc>
        <w:tc>
          <w:tcPr>
            <w:tcW w:w="1559" w:type="dxa"/>
            <w:tcBorders>
              <w:top w:val="single" w:sz="12" w:space="0" w:color="008000"/>
              <w:bottom w:val="single" w:sz="6" w:space="0" w:color="008000"/>
            </w:tcBorders>
            <w:shd w:val="clear" w:color="auto" w:fill="FFFFFF"/>
          </w:tcPr>
          <w:p w14:paraId="75DB33DA" w14:textId="77777777" w:rsidR="00CE120B" w:rsidRPr="00742BED" w:rsidRDefault="00CE120B" w:rsidP="00332A12">
            <w:pPr>
              <w:pStyle w:val="CETBodytext"/>
              <w:rPr>
                <w:lang w:val="en-GB"/>
              </w:rPr>
            </w:pPr>
            <w:r w:rsidRPr="00742BED">
              <w:rPr>
                <w:lang w:val="en-GB"/>
              </w:rPr>
              <w:t>c</w:t>
            </w:r>
            <w:r w:rsidRPr="00742BED">
              <w:rPr>
                <w:vertAlign w:val="subscript"/>
                <w:lang w:val="en-GB"/>
              </w:rPr>
              <w:t>F (CO)</w:t>
            </w:r>
            <w:r w:rsidRPr="00742BED">
              <w:rPr>
                <w:lang w:val="en-GB"/>
              </w:rPr>
              <w:t xml:space="preserve"> (%mol)</w:t>
            </w:r>
          </w:p>
        </w:tc>
        <w:tc>
          <w:tcPr>
            <w:tcW w:w="1327" w:type="dxa"/>
            <w:tcBorders>
              <w:top w:val="single" w:sz="12" w:space="0" w:color="008000"/>
              <w:bottom w:val="single" w:sz="6" w:space="0" w:color="008000"/>
            </w:tcBorders>
            <w:shd w:val="clear" w:color="auto" w:fill="FFFFFF"/>
          </w:tcPr>
          <w:p w14:paraId="7561219C" w14:textId="77777777" w:rsidR="00CE120B" w:rsidRPr="00742BED" w:rsidRDefault="00CE120B" w:rsidP="00332A12">
            <w:pPr>
              <w:pStyle w:val="CETBodytext"/>
              <w:ind w:right="-1"/>
              <w:rPr>
                <w:rFonts w:cs="Arial"/>
                <w:szCs w:val="18"/>
                <w:lang w:val="en-GB"/>
              </w:rPr>
            </w:pPr>
            <w:r w:rsidRPr="00742BED">
              <w:rPr>
                <w:rFonts w:cs="Arial"/>
                <w:szCs w:val="18"/>
                <w:lang w:val="en-GB"/>
              </w:rPr>
              <w:t>c</w:t>
            </w:r>
            <w:r w:rsidRPr="00742BED">
              <w:rPr>
                <w:rFonts w:cs="Arial"/>
                <w:szCs w:val="18"/>
                <w:vertAlign w:val="subscript"/>
                <w:lang w:val="en-GB"/>
              </w:rPr>
              <w:t>F (CO2)</w:t>
            </w:r>
            <w:r w:rsidRPr="00742BED">
              <w:rPr>
                <w:lang w:val="en-GB"/>
              </w:rPr>
              <w:t xml:space="preserve"> (%mol)</w:t>
            </w:r>
          </w:p>
        </w:tc>
        <w:tc>
          <w:tcPr>
            <w:tcW w:w="551" w:type="dxa"/>
            <w:tcBorders>
              <w:top w:val="single" w:sz="12" w:space="0" w:color="008000"/>
              <w:bottom w:val="single" w:sz="6" w:space="0" w:color="008000"/>
            </w:tcBorders>
            <w:shd w:val="clear" w:color="auto" w:fill="FFFFFF"/>
          </w:tcPr>
          <w:p w14:paraId="2A5361C6" w14:textId="77777777" w:rsidR="00CE120B" w:rsidRPr="00742BED" w:rsidRDefault="00CE120B" w:rsidP="00332A12">
            <w:pPr>
              <w:pStyle w:val="CETBodytext"/>
              <w:ind w:left="-180" w:right="-1" w:firstLine="180"/>
              <w:rPr>
                <w:rFonts w:cs="Arial"/>
                <w:szCs w:val="18"/>
                <w:lang w:val="en-GB"/>
              </w:rPr>
            </w:pPr>
          </w:p>
        </w:tc>
      </w:tr>
      <w:tr w:rsidR="00CE120B" w:rsidRPr="00742BED" w14:paraId="1A4F3124" w14:textId="77777777" w:rsidTr="00332A12">
        <w:trPr>
          <w:trHeight w:val="259"/>
        </w:trPr>
        <w:tc>
          <w:tcPr>
            <w:tcW w:w="1560" w:type="dxa"/>
            <w:shd w:val="clear" w:color="auto" w:fill="FFFFFF"/>
          </w:tcPr>
          <w:p w14:paraId="6E0803EE" w14:textId="497D97D2" w:rsidR="00CE120B" w:rsidRPr="00742BED" w:rsidRDefault="00742BED" w:rsidP="00332A12">
            <w:pPr>
              <w:pStyle w:val="CETBodytext"/>
              <w:rPr>
                <w:lang w:val="en-GB"/>
              </w:rPr>
            </w:pPr>
            <w:r>
              <w:rPr>
                <w:lang w:val="en-GB"/>
              </w:rPr>
              <w:t>15-35-</w:t>
            </w:r>
            <w:r w:rsidR="00012B94">
              <w:rPr>
                <w:lang w:val="en-GB"/>
              </w:rPr>
              <w:t>50</w:t>
            </w:r>
          </w:p>
        </w:tc>
        <w:tc>
          <w:tcPr>
            <w:tcW w:w="1559" w:type="dxa"/>
            <w:shd w:val="clear" w:color="auto" w:fill="FFFFFF"/>
          </w:tcPr>
          <w:p w14:paraId="448BC569" w14:textId="250ACCCB" w:rsidR="00CE120B" w:rsidRPr="00742BED" w:rsidRDefault="00742BED" w:rsidP="00332A12">
            <w:pPr>
              <w:pStyle w:val="CETBodytext"/>
              <w:rPr>
                <w:lang w:val="en-GB"/>
              </w:rPr>
            </w:pPr>
            <w:r>
              <w:rPr>
                <w:lang w:val="en-GB"/>
              </w:rPr>
              <w:t>15</w:t>
            </w:r>
          </w:p>
        </w:tc>
        <w:tc>
          <w:tcPr>
            <w:tcW w:w="1559" w:type="dxa"/>
            <w:shd w:val="clear" w:color="auto" w:fill="FFFFFF"/>
          </w:tcPr>
          <w:p w14:paraId="4121220A" w14:textId="311370A5" w:rsidR="00CE120B" w:rsidRPr="00742BED" w:rsidRDefault="00742BED" w:rsidP="00332A12">
            <w:pPr>
              <w:pStyle w:val="CETBodytext"/>
              <w:rPr>
                <w:lang w:val="en-GB"/>
              </w:rPr>
            </w:pPr>
            <w:r>
              <w:rPr>
                <w:lang w:val="en-GB"/>
              </w:rPr>
              <w:t>35</w:t>
            </w:r>
          </w:p>
        </w:tc>
        <w:tc>
          <w:tcPr>
            <w:tcW w:w="1327" w:type="dxa"/>
            <w:shd w:val="clear" w:color="auto" w:fill="FFFFFF"/>
          </w:tcPr>
          <w:p w14:paraId="2F23ABC1" w14:textId="776A2F00" w:rsidR="00CE120B" w:rsidRPr="00742BED" w:rsidRDefault="00012B94" w:rsidP="00332A12">
            <w:pPr>
              <w:pStyle w:val="CETBodytext"/>
              <w:ind w:right="-1"/>
              <w:rPr>
                <w:rFonts w:cs="Arial"/>
                <w:szCs w:val="18"/>
                <w:lang w:val="en-GB"/>
              </w:rPr>
            </w:pPr>
            <w:r>
              <w:rPr>
                <w:rFonts w:cs="Arial"/>
                <w:szCs w:val="18"/>
                <w:lang w:val="en-GB"/>
              </w:rPr>
              <w:t>50</w:t>
            </w:r>
          </w:p>
        </w:tc>
        <w:tc>
          <w:tcPr>
            <w:tcW w:w="551" w:type="dxa"/>
            <w:shd w:val="clear" w:color="auto" w:fill="FFFFFF"/>
          </w:tcPr>
          <w:p w14:paraId="0680E7F4" w14:textId="77777777" w:rsidR="00CE120B" w:rsidRPr="00742BED" w:rsidRDefault="00CE120B" w:rsidP="00332A12">
            <w:pPr>
              <w:pStyle w:val="CETBodytext"/>
              <w:ind w:right="-1"/>
              <w:rPr>
                <w:rFonts w:cs="Arial"/>
                <w:szCs w:val="18"/>
                <w:lang w:val="en-GB"/>
              </w:rPr>
            </w:pPr>
          </w:p>
        </w:tc>
      </w:tr>
      <w:tr w:rsidR="00CE120B" w:rsidRPr="00742BED" w14:paraId="719D466B" w14:textId="77777777" w:rsidTr="00332A12">
        <w:trPr>
          <w:trHeight w:val="273"/>
        </w:trPr>
        <w:tc>
          <w:tcPr>
            <w:tcW w:w="1560" w:type="dxa"/>
            <w:shd w:val="clear" w:color="auto" w:fill="FFFFFF"/>
          </w:tcPr>
          <w:p w14:paraId="6B1D0014" w14:textId="3168CD6A" w:rsidR="00CE120B" w:rsidRPr="00742BED" w:rsidRDefault="00742BED" w:rsidP="00332A12">
            <w:pPr>
              <w:pStyle w:val="CETBodytext"/>
              <w:ind w:right="-1"/>
              <w:rPr>
                <w:rFonts w:cs="Arial"/>
                <w:szCs w:val="18"/>
                <w:lang w:val="en-GB"/>
              </w:rPr>
            </w:pPr>
            <w:r>
              <w:rPr>
                <w:rFonts w:cs="Arial"/>
                <w:szCs w:val="18"/>
                <w:lang w:val="en-GB"/>
              </w:rPr>
              <w:t>25-35-40</w:t>
            </w:r>
          </w:p>
        </w:tc>
        <w:tc>
          <w:tcPr>
            <w:tcW w:w="1559" w:type="dxa"/>
            <w:shd w:val="clear" w:color="auto" w:fill="FFFFFF"/>
          </w:tcPr>
          <w:p w14:paraId="5298DC7A" w14:textId="2844FBA5" w:rsidR="00742BED" w:rsidRPr="00742BED" w:rsidRDefault="00742BED" w:rsidP="00332A12">
            <w:pPr>
              <w:pStyle w:val="CETBodytext"/>
              <w:ind w:right="-1"/>
              <w:rPr>
                <w:rFonts w:cs="Arial"/>
                <w:szCs w:val="18"/>
                <w:lang w:val="en-GB"/>
              </w:rPr>
            </w:pPr>
            <w:r>
              <w:rPr>
                <w:rFonts w:cs="Arial"/>
                <w:szCs w:val="18"/>
                <w:lang w:val="en-GB"/>
              </w:rPr>
              <w:t>25</w:t>
            </w:r>
          </w:p>
        </w:tc>
        <w:tc>
          <w:tcPr>
            <w:tcW w:w="1559" w:type="dxa"/>
            <w:shd w:val="clear" w:color="auto" w:fill="FFFFFF"/>
          </w:tcPr>
          <w:p w14:paraId="4D4F0CA9" w14:textId="362B71FC" w:rsidR="00CE120B" w:rsidRPr="00742BED" w:rsidRDefault="00742BED" w:rsidP="00332A12">
            <w:pPr>
              <w:pStyle w:val="CETBodytext"/>
              <w:ind w:right="-1"/>
              <w:rPr>
                <w:rFonts w:cs="Arial"/>
                <w:szCs w:val="18"/>
                <w:lang w:val="en-GB"/>
              </w:rPr>
            </w:pPr>
            <w:r>
              <w:rPr>
                <w:rFonts w:cs="Arial"/>
                <w:szCs w:val="18"/>
                <w:lang w:val="en-GB"/>
              </w:rPr>
              <w:t>35</w:t>
            </w:r>
          </w:p>
        </w:tc>
        <w:tc>
          <w:tcPr>
            <w:tcW w:w="1327" w:type="dxa"/>
            <w:shd w:val="clear" w:color="auto" w:fill="FFFFFF"/>
          </w:tcPr>
          <w:p w14:paraId="6CA58F27" w14:textId="4FFAFD73" w:rsidR="00CE120B" w:rsidRPr="00742BED" w:rsidRDefault="00CE120B" w:rsidP="00332A12">
            <w:pPr>
              <w:pStyle w:val="CETBodytext"/>
              <w:ind w:right="-1"/>
              <w:rPr>
                <w:rFonts w:cs="Arial"/>
                <w:szCs w:val="18"/>
                <w:lang w:val="en-GB"/>
              </w:rPr>
            </w:pPr>
            <w:r w:rsidRPr="00742BED">
              <w:rPr>
                <w:rFonts w:cs="Arial"/>
                <w:szCs w:val="18"/>
                <w:lang w:val="en-GB"/>
              </w:rPr>
              <w:t>4</w:t>
            </w:r>
            <w:r w:rsidR="00742BED">
              <w:rPr>
                <w:rFonts w:cs="Arial"/>
                <w:szCs w:val="18"/>
                <w:lang w:val="en-GB"/>
              </w:rPr>
              <w:t>0</w:t>
            </w:r>
          </w:p>
        </w:tc>
        <w:tc>
          <w:tcPr>
            <w:tcW w:w="551" w:type="dxa"/>
            <w:shd w:val="clear" w:color="auto" w:fill="FFFFFF"/>
          </w:tcPr>
          <w:p w14:paraId="2671AA41" w14:textId="77777777" w:rsidR="00CE120B" w:rsidRPr="00742BED" w:rsidRDefault="00CE120B" w:rsidP="00332A12">
            <w:pPr>
              <w:pStyle w:val="CETBodytext"/>
              <w:ind w:right="-1"/>
              <w:rPr>
                <w:rFonts w:cs="Arial"/>
                <w:szCs w:val="18"/>
                <w:lang w:val="en-GB"/>
              </w:rPr>
            </w:pPr>
          </w:p>
        </w:tc>
      </w:tr>
      <w:tr w:rsidR="00CE120B" w:rsidRPr="00742BED" w14:paraId="678C5D57" w14:textId="77777777" w:rsidTr="00332A12">
        <w:trPr>
          <w:trHeight w:val="273"/>
        </w:trPr>
        <w:tc>
          <w:tcPr>
            <w:tcW w:w="1560" w:type="dxa"/>
            <w:shd w:val="clear" w:color="auto" w:fill="FFFFFF"/>
          </w:tcPr>
          <w:p w14:paraId="39A369A9" w14:textId="45719504" w:rsidR="00CE120B" w:rsidRPr="00742BED" w:rsidRDefault="00742BED" w:rsidP="00332A12">
            <w:pPr>
              <w:pStyle w:val="CETBodytext"/>
              <w:ind w:right="-1"/>
              <w:rPr>
                <w:rFonts w:cs="Arial"/>
                <w:szCs w:val="18"/>
                <w:lang w:val="en-GB"/>
              </w:rPr>
            </w:pPr>
            <w:r>
              <w:rPr>
                <w:rFonts w:cs="Arial"/>
                <w:szCs w:val="18"/>
                <w:lang w:val="en-GB"/>
              </w:rPr>
              <w:t>35-35-30</w:t>
            </w:r>
          </w:p>
        </w:tc>
        <w:tc>
          <w:tcPr>
            <w:tcW w:w="1559" w:type="dxa"/>
            <w:shd w:val="clear" w:color="auto" w:fill="FFFFFF"/>
          </w:tcPr>
          <w:p w14:paraId="4D195CB9" w14:textId="2250DBE4" w:rsidR="00CE120B" w:rsidRPr="00742BED" w:rsidRDefault="00742BED" w:rsidP="00332A12">
            <w:pPr>
              <w:pStyle w:val="CETBodytext"/>
              <w:ind w:right="-1"/>
              <w:rPr>
                <w:rFonts w:cs="Arial"/>
                <w:szCs w:val="18"/>
                <w:lang w:val="en-GB"/>
              </w:rPr>
            </w:pPr>
            <w:r>
              <w:rPr>
                <w:rFonts w:cs="Arial"/>
                <w:szCs w:val="18"/>
                <w:lang w:val="en-GB"/>
              </w:rPr>
              <w:t>35</w:t>
            </w:r>
          </w:p>
        </w:tc>
        <w:tc>
          <w:tcPr>
            <w:tcW w:w="1559" w:type="dxa"/>
            <w:shd w:val="clear" w:color="auto" w:fill="FFFFFF"/>
          </w:tcPr>
          <w:p w14:paraId="6107075D" w14:textId="6956E711" w:rsidR="00CE120B" w:rsidRPr="00742BED" w:rsidRDefault="00742BED" w:rsidP="00332A12">
            <w:pPr>
              <w:pStyle w:val="CETBodytext"/>
              <w:ind w:right="-1"/>
              <w:rPr>
                <w:rFonts w:cs="Arial"/>
                <w:szCs w:val="18"/>
                <w:lang w:val="en-GB"/>
              </w:rPr>
            </w:pPr>
            <w:r>
              <w:rPr>
                <w:rFonts w:cs="Arial"/>
                <w:szCs w:val="18"/>
                <w:lang w:val="en-GB"/>
              </w:rPr>
              <w:t>35</w:t>
            </w:r>
          </w:p>
        </w:tc>
        <w:tc>
          <w:tcPr>
            <w:tcW w:w="1327" w:type="dxa"/>
            <w:shd w:val="clear" w:color="auto" w:fill="FFFFFF"/>
          </w:tcPr>
          <w:p w14:paraId="65B252AD" w14:textId="0623CB8D" w:rsidR="00CE120B" w:rsidRPr="00742BED" w:rsidRDefault="00742BED" w:rsidP="00332A12">
            <w:pPr>
              <w:pStyle w:val="CETBodytext"/>
              <w:ind w:right="-1"/>
              <w:rPr>
                <w:rFonts w:cs="Arial"/>
                <w:szCs w:val="18"/>
                <w:lang w:val="en-GB"/>
              </w:rPr>
            </w:pPr>
            <w:r>
              <w:rPr>
                <w:rFonts w:cs="Arial"/>
                <w:szCs w:val="18"/>
                <w:lang w:val="en-GB"/>
              </w:rPr>
              <w:t>30</w:t>
            </w:r>
          </w:p>
        </w:tc>
        <w:tc>
          <w:tcPr>
            <w:tcW w:w="551" w:type="dxa"/>
            <w:shd w:val="clear" w:color="auto" w:fill="FFFFFF"/>
          </w:tcPr>
          <w:p w14:paraId="051A932A" w14:textId="77777777" w:rsidR="00CE120B" w:rsidRPr="00742BED" w:rsidRDefault="00CE120B" w:rsidP="00332A12">
            <w:pPr>
              <w:pStyle w:val="CETBodytext"/>
              <w:ind w:right="-1"/>
              <w:rPr>
                <w:rFonts w:cs="Arial"/>
                <w:szCs w:val="18"/>
                <w:lang w:val="en-GB"/>
              </w:rPr>
            </w:pPr>
          </w:p>
        </w:tc>
      </w:tr>
    </w:tbl>
    <w:p w14:paraId="4F03A22E" w14:textId="77777777" w:rsidR="00CE120B" w:rsidRPr="00CE120B" w:rsidRDefault="00CE120B" w:rsidP="00CE120B">
      <w:pPr>
        <w:pStyle w:val="CETBodytext"/>
        <w:rPr>
          <w:highlight w:val="yellow"/>
          <w:lang w:val="en-GB"/>
        </w:rPr>
      </w:pPr>
    </w:p>
    <w:p w14:paraId="5971AA15" w14:textId="77777777" w:rsidR="00CE120B" w:rsidRPr="00742BED" w:rsidRDefault="00CE120B" w:rsidP="00CE120B">
      <w:pPr>
        <w:pStyle w:val="CETheadingx"/>
      </w:pPr>
      <w:r w:rsidRPr="00742BED">
        <w:t>Experimental setup</w:t>
      </w:r>
    </w:p>
    <w:p w14:paraId="7896CCA1" w14:textId="4081290E" w:rsidR="00CE120B" w:rsidRPr="00742BED" w:rsidRDefault="00CE120B" w:rsidP="00CE120B">
      <w:pPr>
        <w:pStyle w:val="CETBodytext"/>
      </w:pPr>
      <w:r w:rsidRPr="00742BED">
        <w:t xml:space="preserve">The experiments were performed using </w:t>
      </w:r>
      <w:r w:rsidR="00CE7D6F">
        <w:t xml:space="preserve">a </w:t>
      </w:r>
      <w:r w:rsidRPr="00742BED">
        <w:t xml:space="preserve">laboratory unit for membrane separation of gases Ralex GSU-LAB-200 (manufactured by MemBrain) with </w:t>
      </w:r>
      <w:r w:rsidR="00CE7D6F">
        <w:t>interchangeable</w:t>
      </w:r>
      <w:r w:rsidRPr="00742BED">
        <w:t xml:space="preserve"> modules. The unit operates at </w:t>
      </w:r>
      <w:r w:rsidR="00CE7D6F">
        <w:t xml:space="preserve">a </w:t>
      </w:r>
      <w:r w:rsidRPr="00742BED">
        <w:t xml:space="preserve">pressure range </w:t>
      </w:r>
      <w:r w:rsidR="0069299A">
        <w:t xml:space="preserve">of </w:t>
      </w:r>
      <w:r w:rsidRPr="00742BED">
        <w:t xml:space="preserve">1-10 bar in </w:t>
      </w:r>
      <w:r w:rsidR="00CE7D6F">
        <w:t xml:space="preserve">the </w:t>
      </w:r>
      <w:r w:rsidRPr="00742BED">
        <w:t>retentate branch, 1-5 bar in permeate branch</w:t>
      </w:r>
      <w:r w:rsidR="0069299A">
        <w:t>,</w:t>
      </w:r>
      <w:r w:rsidRPr="00742BED">
        <w:t xml:space="preserve"> and can maintain the temperature of the module between the room temperature and 60 °C. Gas composition is analyzed in an implemented gas analyzer (manufactured by EMERSON). A simple scheme of the measurement </w:t>
      </w:r>
      <w:r w:rsidR="0069299A">
        <w:t>setup</w:t>
      </w:r>
      <w:r w:rsidRPr="00742BED">
        <w:t xml:space="preserve"> is shown in Figure 1 </w:t>
      </w:r>
      <w:r w:rsidR="00CE7D6F">
        <w:t>below</w:t>
      </w:r>
      <w:r w:rsidRPr="00742BED">
        <w:t>.</w:t>
      </w:r>
    </w:p>
    <w:p w14:paraId="4C3536FF" w14:textId="7C6A6934" w:rsidR="00CE120B" w:rsidRPr="00742BED" w:rsidRDefault="00742BED" w:rsidP="00CE120B">
      <w:pPr>
        <w:pStyle w:val="CETBodytext"/>
        <w:jc w:val="left"/>
        <w:rPr>
          <w:lang w:val="en-GB"/>
        </w:rPr>
      </w:pPr>
      <w:r>
        <w:rPr>
          <w:noProof/>
          <w:lang w:val="en-GB"/>
        </w:rPr>
        <w:drawing>
          <wp:inline distT="0" distB="0" distL="0" distR="0" wp14:anchorId="527D70B2" wp14:editId="7D3EC2BC">
            <wp:extent cx="2428646" cy="1101652"/>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5651" b="2769"/>
                    <a:stretch/>
                  </pic:blipFill>
                  <pic:spPr bwMode="auto">
                    <a:xfrm>
                      <a:off x="0" y="0"/>
                      <a:ext cx="2473108" cy="1121820"/>
                    </a:xfrm>
                    <a:prstGeom prst="rect">
                      <a:avLst/>
                    </a:prstGeom>
                    <a:noFill/>
                    <a:ln>
                      <a:noFill/>
                    </a:ln>
                    <a:extLst>
                      <a:ext uri="{53640926-AAD7-44D8-BBD7-CCE9431645EC}">
                        <a14:shadowObscured xmlns:a14="http://schemas.microsoft.com/office/drawing/2010/main"/>
                      </a:ext>
                    </a:extLst>
                  </pic:spPr>
                </pic:pic>
              </a:graphicData>
            </a:graphic>
          </wp:inline>
        </w:drawing>
      </w:r>
    </w:p>
    <w:p w14:paraId="308BADE1" w14:textId="1A62A86E" w:rsidR="00CE120B" w:rsidRPr="00D44A9E" w:rsidRDefault="00CE120B" w:rsidP="00CE120B">
      <w:pPr>
        <w:pStyle w:val="CETCaption"/>
      </w:pPr>
      <w:r w:rsidRPr="00742BED">
        <w:t xml:space="preserve">Figure 1: Experimental setup – </w:t>
      </w:r>
      <w:r w:rsidR="00D44A9E">
        <w:t>the measured quantities are p</w:t>
      </w:r>
      <w:r w:rsidR="00D44A9E">
        <w:rPr>
          <w:vertAlign w:val="subscript"/>
        </w:rPr>
        <w:t xml:space="preserve">i </w:t>
      </w:r>
      <w:r w:rsidR="00D44A9E">
        <w:t xml:space="preserve">(pressure in bar), </w:t>
      </w:r>
      <w:proofErr w:type="spellStart"/>
      <w:r w:rsidR="00D44A9E">
        <w:t>T</w:t>
      </w:r>
      <w:r w:rsidR="00D44A9E">
        <w:rPr>
          <w:vertAlign w:val="subscript"/>
        </w:rPr>
        <w:t>i</w:t>
      </w:r>
      <w:proofErr w:type="spellEnd"/>
      <w:r w:rsidR="00D44A9E">
        <w:t xml:space="preserve"> (temperature in °C), m</w:t>
      </w:r>
      <w:r w:rsidR="00D44A9E">
        <w:rPr>
          <w:vertAlign w:val="subscript"/>
        </w:rPr>
        <w:t>i</w:t>
      </w:r>
      <w:r w:rsidR="00D44A9E">
        <w:t xml:space="preserve"> (mass flow in each branch in kg/h) and </w:t>
      </w:r>
      <w:proofErr w:type="spellStart"/>
      <w:proofErr w:type="gramStart"/>
      <w:r w:rsidR="00D44A9E">
        <w:t>c</w:t>
      </w:r>
      <w:r w:rsidR="00D44A9E">
        <w:rPr>
          <w:vertAlign w:val="subscript"/>
        </w:rPr>
        <w:t>i,j</w:t>
      </w:r>
      <w:proofErr w:type="spellEnd"/>
      <w:proofErr w:type="gramEnd"/>
      <w:r w:rsidR="00D44A9E">
        <w:t xml:space="preserve"> (</w:t>
      </w:r>
      <w:r w:rsidR="00D44A9E" w:rsidRPr="00D44A9E">
        <w:t>concentrations</w:t>
      </w:r>
      <w:r w:rsidR="00D44A9E">
        <w:t xml:space="preserve"> of each component in each flow in </w:t>
      </w:r>
      <w:r w:rsidR="00E91B93">
        <w:t>mol%</w:t>
      </w:r>
      <w:r w:rsidR="00D44A9E">
        <w:t>)</w:t>
      </w:r>
      <w:r w:rsidR="0069299A">
        <w:t xml:space="preserve"> using the gas analyzer</w:t>
      </w:r>
      <w:r w:rsidR="00E91B93">
        <w:t>, wh</w:t>
      </w:r>
      <w:r w:rsidR="0069299A">
        <w:t>ere</w:t>
      </w:r>
      <w:r w:rsidR="00E91B93">
        <w:t xml:space="preserve"> F – Feed, P – Permeate, and R – Retentate</w:t>
      </w:r>
      <w:r w:rsidR="0069299A">
        <w:t>.</w:t>
      </w:r>
    </w:p>
    <w:p w14:paraId="799A5106" w14:textId="59DB1DF8" w:rsidR="00CE120B" w:rsidRPr="00742BED" w:rsidRDefault="00D44A9E" w:rsidP="00CE120B">
      <w:pPr>
        <w:pStyle w:val="CETBodytext"/>
      </w:pPr>
      <w:r>
        <w:lastRenderedPageBreak/>
        <w:t xml:space="preserve">The membrane module that was used for this study was a polyimide hollow fiber module (manufactured by MemBrain) consisting of 3000 fibers with </w:t>
      </w:r>
      <w:r w:rsidR="00CE7D6F">
        <w:t xml:space="preserve">an </w:t>
      </w:r>
      <w:r>
        <w:t xml:space="preserve">inner diameter of </w:t>
      </w:r>
      <w:r w:rsidRPr="00D44A9E">
        <w:rPr>
          <w:i/>
          <w:iCs/>
        </w:rPr>
        <w:t>D</w:t>
      </w:r>
      <w:r>
        <w:rPr>
          <w:i/>
          <w:iCs/>
          <w:vertAlign w:val="subscript"/>
        </w:rPr>
        <w:t>i</w:t>
      </w:r>
      <w:r>
        <w:rPr>
          <w:i/>
          <w:iCs/>
        </w:rPr>
        <w:t xml:space="preserve"> = </w:t>
      </w:r>
      <w:r w:rsidRPr="00D44A9E">
        <w:t>0</w:t>
      </w:r>
      <w:r>
        <w:t xml:space="preserve">.188 mm, </w:t>
      </w:r>
      <w:r w:rsidR="00CE7D6F">
        <w:t xml:space="preserve">the </w:t>
      </w:r>
      <w:r>
        <w:t xml:space="preserve">active length of the </w:t>
      </w:r>
      <w:r w:rsidR="0069299A">
        <w:t>fiber</w:t>
      </w:r>
      <w:r>
        <w:t xml:space="preserve"> </w:t>
      </w:r>
      <w:r>
        <w:rPr>
          <w:i/>
          <w:iCs/>
        </w:rPr>
        <w:t>L</w:t>
      </w:r>
      <w:r>
        <w:t xml:space="preserve"> </w:t>
      </w:r>
      <w:r>
        <w:rPr>
          <w:i/>
          <w:iCs/>
        </w:rPr>
        <w:t>=</w:t>
      </w:r>
      <w:r>
        <w:rPr>
          <w:i/>
          <w:iCs/>
          <w:vertAlign w:val="subscript"/>
        </w:rPr>
        <w:t xml:space="preserve"> </w:t>
      </w:r>
      <w:r w:rsidRPr="00D44A9E">
        <w:t>290</w:t>
      </w:r>
      <w:r>
        <w:t xml:space="preserve"> mm, wall thickness </w:t>
      </w:r>
      <w:r w:rsidRPr="00E0555C">
        <w:rPr>
          <w:i/>
          <w:iCs/>
        </w:rPr>
        <w:t>W</w:t>
      </w:r>
      <w:r w:rsidRPr="00E0555C">
        <w:t xml:space="preserve"> =</w:t>
      </w:r>
      <w:r w:rsidR="00CE120B" w:rsidRPr="00742BED">
        <w:t xml:space="preserve"> 6 μm</w:t>
      </w:r>
      <w:r>
        <w:t>.</w:t>
      </w:r>
      <w:r w:rsidR="00CE120B" w:rsidRPr="00742BED">
        <w:t xml:space="preserve"> </w:t>
      </w:r>
      <w:r w:rsidR="00CE7D6F">
        <w:t>The total</w:t>
      </w:r>
      <w:r w:rsidR="00CE120B" w:rsidRPr="00742BED">
        <w:t xml:space="preserve"> area of the module is 0.514 m</w:t>
      </w:r>
      <w:r w:rsidR="00CE120B" w:rsidRPr="00742BED">
        <w:rPr>
          <w:vertAlign w:val="superscript"/>
        </w:rPr>
        <w:t>2</w:t>
      </w:r>
      <w:r w:rsidR="00CE120B" w:rsidRPr="00742BED">
        <w:t xml:space="preserve">. </w:t>
      </w:r>
    </w:p>
    <w:p w14:paraId="30234D8A" w14:textId="222597B9" w:rsidR="00CE120B" w:rsidRDefault="00D44A9E" w:rsidP="00CE120B">
      <w:pPr>
        <w:pStyle w:val="CETBodytext"/>
      </w:pPr>
      <w:r w:rsidRPr="00742BED">
        <w:t xml:space="preserve">The </w:t>
      </w:r>
      <w:r>
        <w:t xml:space="preserve">feed </w:t>
      </w:r>
      <w:r w:rsidR="0069299A">
        <w:t>flow rate</w:t>
      </w:r>
      <w:r w:rsidRPr="00742BED">
        <w:t xml:space="preserve"> was </w:t>
      </w:r>
      <w:r>
        <w:t xml:space="preserve">kept </w:t>
      </w:r>
      <w:r w:rsidRPr="00742BED">
        <w:t xml:space="preserve">constant </w:t>
      </w:r>
      <w:r w:rsidRPr="00742BED">
        <w:rPr>
          <w:i/>
          <w:iCs/>
        </w:rPr>
        <w:t>F</w:t>
      </w:r>
      <w:r w:rsidRPr="00742BED">
        <w:t xml:space="preserve"> = 4.5 mol h</w:t>
      </w:r>
      <w:r w:rsidRPr="00742BED">
        <w:rPr>
          <w:vertAlign w:val="superscript"/>
        </w:rPr>
        <w:t xml:space="preserve">-1 </w:t>
      </w:r>
      <w:r w:rsidRPr="00742BED">
        <w:t>(~100 Nl h</w:t>
      </w:r>
      <w:r w:rsidRPr="00742BED">
        <w:rPr>
          <w:vertAlign w:val="superscript"/>
        </w:rPr>
        <w:t>-1</w:t>
      </w:r>
      <w:r w:rsidRPr="00742BED">
        <w:t>)</w:t>
      </w:r>
      <w:r>
        <w:t xml:space="preserve"> for all three mixtures and all pressure combinations.</w:t>
      </w:r>
      <w:r w:rsidR="003E7252">
        <w:t xml:space="preserve"> The temperature was kept at room temperature</w:t>
      </w:r>
      <w:r w:rsidR="00612319">
        <w:t xml:space="preserve"> </w:t>
      </w:r>
      <w:r w:rsidR="00612319" w:rsidRPr="00612319">
        <w:rPr>
          <w:i/>
          <w:iCs/>
        </w:rPr>
        <w:t>T</w:t>
      </w:r>
      <w:r w:rsidR="00612319" w:rsidRPr="00612319">
        <w:rPr>
          <w:i/>
          <w:iCs/>
          <w:vertAlign w:val="subscript"/>
        </w:rPr>
        <w:t>M</w:t>
      </w:r>
      <w:r w:rsidR="00612319">
        <w:t xml:space="preserve"> =</w:t>
      </w:r>
      <w:r w:rsidR="003E7252">
        <w:t xml:space="preserve"> 22 °C (</w:t>
      </w:r>
      <w:r w:rsidR="003E7252">
        <w:rPr>
          <w:rFonts w:cs="Arial"/>
        </w:rPr>
        <w:t>±</w:t>
      </w:r>
      <w:r w:rsidR="003E7252">
        <w:t xml:space="preserve"> 0.5 °C).</w:t>
      </w:r>
      <w:r>
        <w:t xml:space="preserve"> The permeate pressure was used for defining different pressure levels and was kept at</w:t>
      </w:r>
      <w:r w:rsidR="003E7252">
        <w:t xml:space="preserve"> three different levels:</w:t>
      </w:r>
      <w:r>
        <w:t xml:space="preserve"> </w:t>
      </w:r>
      <w:r>
        <w:rPr>
          <w:i/>
          <w:iCs/>
        </w:rPr>
        <w:t>p</w:t>
      </w:r>
      <w:r>
        <w:rPr>
          <w:i/>
          <w:iCs/>
          <w:vertAlign w:val="subscript"/>
        </w:rPr>
        <w:t>P</w:t>
      </w:r>
      <w:r>
        <w:rPr>
          <w:i/>
          <w:iCs/>
        </w:rPr>
        <w:t xml:space="preserve"> = </w:t>
      </w:r>
      <w:r>
        <w:t xml:space="preserve">1.2 bar, </w:t>
      </w:r>
      <w:r>
        <w:rPr>
          <w:i/>
          <w:iCs/>
        </w:rPr>
        <w:t>p</w:t>
      </w:r>
      <w:r>
        <w:rPr>
          <w:i/>
          <w:iCs/>
          <w:vertAlign w:val="subscript"/>
        </w:rPr>
        <w:t>P</w:t>
      </w:r>
      <w:r>
        <w:rPr>
          <w:i/>
          <w:iCs/>
        </w:rPr>
        <w:t xml:space="preserve"> = </w:t>
      </w:r>
      <w:r>
        <w:t>2.5 bar,</w:t>
      </w:r>
      <w:r w:rsidRPr="00742BED">
        <w:t xml:space="preserve"> </w:t>
      </w:r>
      <w:r>
        <w:t xml:space="preserve">and </w:t>
      </w:r>
      <w:r>
        <w:rPr>
          <w:i/>
          <w:iCs/>
        </w:rPr>
        <w:t>p</w:t>
      </w:r>
      <w:r>
        <w:rPr>
          <w:i/>
          <w:iCs/>
          <w:vertAlign w:val="subscript"/>
        </w:rPr>
        <w:t>P</w:t>
      </w:r>
      <w:r>
        <w:t xml:space="preserve"> = 4.0 bar. </w:t>
      </w:r>
      <w:r w:rsidR="003E7252">
        <w:t>The retentate pressure ranged from 2 to 10 bar.</w:t>
      </w:r>
    </w:p>
    <w:p w14:paraId="50C4E7EA" w14:textId="77777777" w:rsidR="00062224" w:rsidRPr="00B57B36" w:rsidRDefault="00062224" w:rsidP="00062224">
      <w:pPr>
        <w:pStyle w:val="CETheadingx"/>
      </w:pPr>
      <w:r>
        <w:t>Used definitions</w:t>
      </w:r>
    </w:p>
    <w:p w14:paraId="6E8559ED" w14:textId="173A6429" w:rsidR="00244260" w:rsidRDefault="00244260" w:rsidP="00062224">
      <w:pPr>
        <w:pStyle w:val="CETBodytext"/>
      </w:pPr>
      <w:r>
        <w:t>I</w:t>
      </w:r>
      <w:r w:rsidR="00062224">
        <w:t>deal gas behavior was considered</w:t>
      </w:r>
      <w:r>
        <w:t xml:space="preserve"> for the mixture.</w:t>
      </w:r>
      <w:r w:rsidR="00062224">
        <w:t xml:space="preserve"> </w:t>
      </w:r>
      <w:r>
        <w:t xml:space="preserve">The deviation from the ideal behavior was estimated to reach a maximum of 2% (with </w:t>
      </w:r>
      <w:r w:rsidR="00CE7D6F">
        <w:t xml:space="preserve">an </w:t>
      </w:r>
      <w:r>
        <w:t xml:space="preserve">average of less than 1 %). Also, several assumptions were made considering the separation – </w:t>
      </w:r>
      <w:r w:rsidR="00B23C22">
        <w:t xml:space="preserve">the </w:t>
      </w:r>
      <w:r>
        <w:t xml:space="preserve">permeate and </w:t>
      </w:r>
      <w:r w:rsidR="00B23C22">
        <w:t xml:space="preserve">the </w:t>
      </w:r>
      <w:r>
        <w:t xml:space="preserve">retentate pressure is constant along the fibers, </w:t>
      </w:r>
      <w:r w:rsidR="00B23C22">
        <w:t xml:space="preserve">the permeance of the material for each component is also constant, and the permeability is independent </w:t>
      </w:r>
      <w:r w:rsidR="00CE7D6F">
        <w:t>of</w:t>
      </w:r>
      <w:r w:rsidR="00B23C22">
        <w:t xml:space="preserve"> the pressure (within the range defined above – up to 10 bar). </w:t>
      </w:r>
      <w:r w:rsidR="00CE7D6F">
        <w:t>These</w:t>
      </w:r>
      <w:r w:rsidR="00B23C22">
        <w:t xml:space="preserve"> assumptions are valid for the defined module and process conditions and are also used across scientific publication</w:t>
      </w:r>
      <w:r w:rsidR="00CE7D6F">
        <w:t>s</w:t>
      </w:r>
      <w:r w:rsidR="00B23C22">
        <w:t xml:space="preserve"> in the membrane separation field (see Ahmad et al., 2012).</w:t>
      </w:r>
    </w:p>
    <w:p w14:paraId="2D01CE35" w14:textId="16A0017E" w:rsidR="00062224" w:rsidRDefault="00244260" w:rsidP="00062224">
      <w:pPr>
        <w:pStyle w:val="CETBodytext"/>
      </w:pPr>
      <w:r>
        <w:t xml:space="preserve">Permeance </w:t>
      </w:r>
      <w:r w:rsidR="00E91B93">
        <w:t>(</w:t>
      </w:r>
      <w:r w:rsidR="00062224" w:rsidRPr="00E149D9">
        <w:rPr>
          <w:i/>
          <w:iCs/>
        </w:rPr>
        <w:t>P</w:t>
      </w:r>
      <w:r w:rsidR="00062224">
        <w:rPr>
          <w:i/>
          <w:iCs/>
        </w:rPr>
        <w:t>/L</w:t>
      </w:r>
      <w:r w:rsidR="00E91B93">
        <w:rPr>
          <w:i/>
          <w:iCs/>
        </w:rPr>
        <w:t>)</w:t>
      </w:r>
      <w:proofErr w:type="spellStart"/>
      <w:r w:rsidR="00062224" w:rsidRPr="00E149D9">
        <w:rPr>
          <w:i/>
          <w:iCs/>
          <w:vertAlign w:val="subscript"/>
        </w:rPr>
        <w:t>i</w:t>
      </w:r>
      <w:proofErr w:type="spellEnd"/>
      <w:r w:rsidR="00062224">
        <w:t xml:space="preserve"> </w:t>
      </w:r>
      <w:r w:rsidR="00E91B93">
        <w:t xml:space="preserve">(which is the permeability </w:t>
      </w:r>
      <w:r w:rsidR="00E91B93" w:rsidRPr="00E91B93">
        <w:rPr>
          <w:i/>
          <w:iCs/>
        </w:rPr>
        <w:t>P</w:t>
      </w:r>
      <w:r w:rsidR="00E91B93">
        <w:rPr>
          <w:i/>
          <w:iCs/>
          <w:vertAlign w:val="subscript"/>
        </w:rPr>
        <w:t>i</w:t>
      </w:r>
      <w:r w:rsidR="00E91B93">
        <w:rPr>
          <w:i/>
          <w:iCs/>
        </w:rPr>
        <w:t xml:space="preserve"> </w:t>
      </w:r>
      <w:r w:rsidR="00E91B93">
        <w:t xml:space="preserve">related to the length of the module </w:t>
      </w:r>
      <w:r w:rsidR="00E91B93">
        <w:rPr>
          <w:i/>
          <w:iCs/>
        </w:rPr>
        <w:t>L</w:t>
      </w:r>
      <w:r w:rsidR="00E91B93" w:rsidRPr="00E91B93">
        <w:t>)</w:t>
      </w:r>
      <w:r w:rsidR="00E91B93">
        <w:t xml:space="preserve"> </w:t>
      </w:r>
      <w:r w:rsidRPr="00E91B93">
        <w:t>of</w:t>
      </w:r>
      <w:r>
        <w:t xml:space="preserve"> each pure component </w:t>
      </w:r>
      <w:r w:rsidR="00062224">
        <w:t xml:space="preserve">was </w:t>
      </w:r>
      <w:r>
        <w:t>used to describe the module’s properties</w:t>
      </w:r>
      <w:r w:rsidR="00062224">
        <w:t xml:space="preserve">. The permeance </w:t>
      </w:r>
      <w:r>
        <w:t xml:space="preserve">equals to </w:t>
      </w:r>
      <w:r w:rsidR="00CE7D6F">
        <w:t xml:space="preserve">the </w:t>
      </w:r>
      <w:r w:rsidR="00062224">
        <w:t xml:space="preserve">molar amount of the gas flux permeating through </w:t>
      </w:r>
      <w:r w:rsidR="00CE7D6F">
        <w:t xml:space="preserve">a </w:t>
      </w:r>
      <w:r w:rsidR="00062224">
        <w:t xml:space="preserve">unit of area of the membrane per unit of time </w:t>
      </w:r>
      <w:r>
        <w:t>caused by a unit of pressure. Permeance is</w:t>
      </w:r>
      <w:r w:rsidR="00062224">
        <w:t xml:space="preserve"> defined in Eq</w:t>
      </w:r>
      <w:r w:rsidR="00E91B93">
        <w:t xml:space="preserve">. </w:t>
      </w:r>
      <w:r w:rsidR="00062224">
        <w:t xml:space="preserve">1 </w:t>
      </w:r>
      <w:r>
        <w:t xml:space="preserve">and was </w:t>
      </w:r>
      <w:r w:rsidR="00062224">
        <w:t xml:space="preserve">used by </w:t>
      </w:r>
      <w:proofErr w:type="spellStart"/>
      <w:r w:rsidR="00B23C22">
        <w:t>Driolli</w:t>
      </w:r>
      <w:proofErr w:type="spellEnd"/>
      <w:r w:rsidR="00B23C22">
        <w:t xml:space="preserve"> and </w:t>
      </w:r>
      <w:proofErr w:type="spellStart"/>
      <w:r w:rsidR="00B23C22">
        <w:t>Giorno</w:t>
      </w:r>
      <w:proofErr w:type="spellEnd"/>
      <w:r w:rsidR="00B23C22">
        <w:t xml:space="preserve"> (2012) and </w:t>
      </w:r>
      <w:r w:rsidR="00062224">
        <w:t>others:</w:t>
      </w:r>
    </w:p>
    <w:tbl>
      <w:tblPr>
        <w:tblW w:w="5000" w:type="pct"/>
        <w:tblLook w:val="04A0" w:firstRow="1" w:lastRow="0" w:firstColumn="1" w:lastColumn="0" w:noHBand="0" w:noVBand="1"/>
      </w:tblPr>
      <w:tblGrid>
        <w:gridCol w:w="7983"/>
        <w:gridCol w:w="804"/>
      </w:tblGrid>
      <w:tr w:rsidR="00062224" w:rsidRPr="00B57B36" w14:paraId="43BAFC28" w14:textId="77777777" w:rsidTr="00332A12">
        <w:tc>
          <w:tcPr>
            <w:tcW w:w="8188" w:type="dxa"/>
            <w:shd w:val="clear" w:color="auto" w:fill="auto"/>
            <w:vAlign w:val="center"/>
          </w:tcPr>
          <w:bookmarkStart w:id="1" w:name="_Hlk74046524"/>
          <w:p w14:paraId="395084B2" w14:textId="77777777" w:rsidR="00062224" w:rsidRPr="00062224" w:rsidRDefault="00707596" w:rsidP="00062224">
            <w:pPr>
              <w:pStyle w:val="CETEquation"/>
            </w:pPr>
            <m:oMathPara>
              <m:oMathParaPr>
                <m:jc m:val="left"/>
              </m:oMathParaPr>
              <m:oMath>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P/L</m:t>
                    </m:r>
                  </m:e>
                  <m:sub>
                    <m:r>
                      <w:rPr>
                        <w:rStyle w:val="PlaceholderText"/>
                        <w:rFonts w:ascii="Cambria Math" w:eastAsiaTheme="minorHAnsi" w:hAnsi="Cambria Math" w:cs="Arial"/>
                        <w:color w:val="auto"/>
                      </w:rPr>
                      <m:t>i</m:t>
                    </m:r>
                  </m:sub>
                </m:sSub>
                <m:r>
                  <w:rPr>
                    <w:rStyle w:val="PlaceholderText"/>
                    <w:rFonts w:ascii="Cambria Math" w:eastAsiaTheme="minorHAnsi" w:hAnsi="Cambria Math" w:cs="Arial"/>
                    <w:color w:val="auto"/>
                  </w:rPr>
                  <m:t>=</m:t>
                </m:r>
                <m:f>
                  <m:fPr>
                    <m:ctrlPr>
                      <w:rPr>
                        <w:rStyle w:val="PlaceholderText"/>
                        <w:rFonts w:ascii="Cambria Math" w:eastAsiaTheme="minorHAnsi" w:hAnsi="Cambria Math" w:cs="Arial"/>
                        <w:i/>
                        <w:color w:val="auto"/>
                      </w:rPr>
                    </m:ctrlPr>
                  </m:fPr>
                  <m:num>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n</m:t>
                        </m:r>
                      </m:e>
                      <m:sub>
                        <m:r>
                          <w:rPr>
                            <w:rStyle w:val="PlaceholderText"/>
                            <w:rFonts w:ascii="Cambria Math" w:eastAsiaTheme="minorHAnsi" w:hAnsi="Cambria Math" w:cs="Arial"/>
                            <w:color w:val="auto"/>
                          </w:rPr>
                          <m:t>i</m:t>
                        </m:r>
                      </m:sub>
                    </m:sSub>
                    <m:ctrlPr>
                      <w:rPr>
                        <w:rFonts w:ascii="Cambria Math" w:hAnsi="Cambria Math"/>
                      </w:rPr>
                    </m:ctrlPr>
                  </m:num>
                  <m:den>
                    <m:r>
                      <w:rPr>
                        <w:rFonts w:ascii="Cambria Math" w:hAnsi="Cambria Math"/>
                      </w:rPr>
                      <m:t>S</m:t>
                    </m:r>
                    <m:r>
                      <m:rPr>
                        <m:sty m:val="p"/>
                      </m:rPr>
                      <w:rPr>
                        <w:rFonts w:ascii="Cambria Math" w:hAnsi="Cambria Math"/>
                      </w:rPr>
                      <m:t>∙Δ</m:t>
                    </m:r>
                    <m:r>
                      <w:rPr>
                        <w:rFonts w:ascii="Cambria Math" w:hAnsi="Cambria Math"/>
                      </w:rPr>
                      <m:t>p</m:t>
                    </m:r>
                  </m:den>
                </m:f>
              </m:oMath>
            </m:oMathPara>
            <w:bookmarkEnd w:id="1"/>
          </w:p>
        </w:tc>
        <w:tc>
          <w:tcPr>
            <w:tcW w:w="815" w:type="dxa"/>
            <w:shd w:val="clear" w:color="auto" w:fill="auto"/>
            <w:vAlign w:val="center"/>
          </w:tcPr>
          <w:p w14:paraId="60FF7867" w14:textId="77777777" w:rsidR="00062224" w:rsidRPr="00090438" w:rsidRDefault="00062224" w:rsidP="00332A12">
            <w:pPr>
              <w:pStyle w:val="CETEquation"/>
              <w:jc w:val="right"/>
            </w:pPr>
            <w:r w:rsidRPr="00090438">
              <w:t>(1)</w:t>
            </w:r>
          </w:p>
        </w:tc>
      </w:tr>
    </w:tbl>
    <w:p w14:paraId="77686438" w14:textId="4F6A722B" w:rsidR="00062224" w:rsidRDefault="00062224" w:rsidP="00062224">
      <w:pPr>
        <w:pStyle w:val="CETBodytext"/>
      </w:pPr>
      <w:r>
        <w:t xml:space="preserve">where </w:t>
      </w:r>
      <w:r w:rsidRPr="00E149D9">
        <w:rPr>
          <w:i/>
          <w:iCs/>
        </w:rPr>
        <w:t>P</w:t>
      </w:r>
      <w:r w:rsidRPr="00E149D9">
        <w:rPr>
          <w:i/>
          <w:iCs/>
          <w:vertAlign w:val="subscript"/>
        </w:rPr>
        <w:t>i</w:t>
      </w:r>
      <w:r w:rsidR="00244260">
        <w:rPr>
          <w:i/>
          <w:iCs/>
        </w:rPr>
        <w:t>/L</w:t>
      </w:r>
      <w:r>
        <w:t xml:space="preserve"> is the </w:t>
      </w:r>
      <w:r w:rsidR="00244260">
        <w:t xml:space="preserve">permeance </w:t>
      </w:r>
      <w:r>
        <w:t xml:space="preserve">of component </w:t>
      </w:r>
      <w:proofErr w:type="spellStart"/>
      <w:r w:rsidRPr="00E149D9">
        <w:rPr>
          <w:i/>
          <w:iCs/>
        </w:rPr>
        <w:t>i</w:t>
      </w:r>
      <w:proofErr w:type="spellEnd"/>
      <w:r w:rsidRPr="00E149D9">
        <w:rPr>
          <w:i/>
          <w:iCs/>
        </w:rPr>
        <w:t xml:space="preserve"> </w:t>
      </w:r>
      <w:r>
        <w:t>(mol m</w:t>
      </w:r>
      <w:r>
        <w:rPr>
          <w:vertAlign w:val="superscript"/>
        </w:rPr>
        <w:t>-</w:t>
      </w:r>
      <w:r w:rsidR="0017778F">
        <w:rPr>
          <w:vertAlign w:val="superscript"/>
        </w:rPr>
        <w:t>2</w:t>
      </w:r>
      <w:r>
        <w:t xml:space="preserve"> s</w:t>
      </w:r>
      <w:r>
        <w:rPr>
          <w:vertAlign w:val="superscript"/>
        </w:rPr>
        <w:t>-1</w:t>
      </w:r>
      <w:r>
        <w:t xml:space="preserve"> Pa</w:t>
      </w:r>
      <w:r>
        <w:rPr>
          <w:vertAlign w:val="superscript"/>
        </w:rPr>
        <w:t>-1</w:t>
      </w:r>
      <w:r>
        <w:t xml:space="preserve">), </w:t>
      </w:r>
      <w:r w:rsidRPr="00E149D9">
        <w:rPr>
          <w:i/>
          <w:iCs/>
        </w:rPr>
        <w:t>n</w:t>
      </w:r>
      <w:r w:rsidRPr="00E149D9">
        <w:rPr>
          <w:i/>
          <w:iCs/>
          <w:vertAlign w:val="subscript"/>
        </w:rPr>
        <w:t>i</w:t>
      </w:r>
      <w:r w:rsidRPr="00E149D9">
        <w:rPr>
          <w:i/>
          <w:iCs/>
        </w:rPr>
        <w:t xml:space="preserve"> </w:t>
      </w:r>
      <w:r>
        <w:t>is the measured molar flow (mol s</w:t>
      </w:r>
      <w:r>
        <w:rPr>
          <w:vertAlign w:val="superscript"/>
        </w:rPr>
        <w:t>-1</w:t>
      </w:r>
      <w:r>
        <w:t xml:space="preserve">), </w:t>
      </w:r>
      <w:r w:rsidRPr="00E149D9">
        <w:rPr>
          <w:i/>
          <w:iCs/>
        </w:rPr>
        <w:t xml:space="preserve">L </w:t>
      </w:r>
      <w:r>
        <w:t xml:space="preserve">is the length of the module (m), </w:t>
      </w:r>
      <w:r w:rsidRPr="00E149D9">
        <w:rPr>
          <w:i/>
          <w:iCs/>
        </w:rPr>
        <w:t>S</w:t>
      </w:r>
      <w:r>
        <w:t xml:space="preserve"> is the total area of the module fibers (m</w:t>
      </w:r>
      <w:r>
        <w:rPr>
          <w:vertAlign w:val="superscript"/>
        </w:rPr>
        <w:t>2</w:t>
      </w:r>
      <w:r>
        <w:t xml:space="preserve">), and </w:t>
      </w:r>
      <w:r w:rsidRPr="00E149D9">
        <w:rPr>
          <w:rFonts w:cs="Arial"/>
          <w:i/>
          <w:iCs/>
        </w:rPr>
        <w:t>Δ</w:t>
      </w:r>
      <w:r w:rsidRPr="00E149D9">
        <w:rPr>
          <w:i/>
          <w:iCs/>
        </w:rPr>
        <w:t>p</w:t>
      </w:r>
      <w:r>
        <w:t xml:space="preserve"> is the pressure difference defined as:</w:t>
      </w:r>
    </w:p>
    <w:tbl>
      <w:tblPr>
        <w:tblW w:w="5000" w:type="pct"/>
        <w:tblLook w:val="04A0" w:firstRow="1" w:lastRow="0" w:firstColumn="1" w:lastColumn="0" w:noHBand="0" w:noVBand="1"/>
      </w:tblPr>
      <w:tblGrid>
        <w:gridCol w:w="7983"/>
        <w:gridCol w:w="804"/>
      </w:tblGrid>
      <w:tr w:rsidR="00062224" w:rsidRPr="00B57B36" w14:paraId="6155C920" w14:textId="77777777" w:rsidTr="00332A12">
        <w:tc>
          <w:tcPr>
            <w:tcW w:w="7983" w:type="dxa"/>
            <w:shd w:val="clear" w:color="auto" w:fill="auto"/>
            <w:vAlign w:val="center"/>
          </w:tcPr>
          <w:p w14:paraId="7AD9A270" w14:textId="77777777" w:rsidR="00062224" w:rsidRPr="00062224" w:rsidRDefault="00062224" w:rsidP="00062224">
            <w:pPr>
              <w:pStyle w:val="CETEquation"/>
            </w:pPr>
            <w:r w:rsidRPr="004A4AB1">
              <w:t xml:space="preserve"> </w:t>
            </w:r>
            <m:oMath>
              <m:r>
                <m:rPr>
                  <m:sty m:val="p"/>
                </m:rPr>
                <w:rPr>
                  <w:rStyle w:val="PlaceholderText"/>
                  <w:rFonts w:ascii="Cambria Math" w:eastAsiaTheme="minorHAnsi" w:hAnsi="Cambria Math" w:cs="Arial"/>
                  <w:color w:val="auto"/>
                </w:rPr>
                <m:t>Δ</m:t>
              </m:r>
              <m:r>
                <w:rPr>
                  <w:rStyle w:val="PlaceholderText"/>
                  <w:rFonts w:ascii="Cambria Math" w:eastAsiaTheme="minorHAnsi" w:hAnsi="Cambria Math" w:cs="Arial"/>
                  <w:color w:val="auto"/>
                </w:rPr>
                <m:t>p=</m:t>
              </m:r>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p</m:t>
                  </m:r>
                </m:e>
                <m:sub>
                  <m:r>
                    <w:rPr>
                      <w:rStyle w:val="PlaceholderText"/>
                      <w:rFonts w:ascii="Cambria Math" w:eastAsiaTheme="minorHAnsi" w:hAnsi="Cambria Math" w:cs="Arial"/>
                      <w:color w:val="auto"/>
                    </w:rPr>
                    <m:t>R</m:t>
                  </m:r>
                </m:sub>
              </m:sSub>
              <m:r>
                <w:rPr>
                  <w:rStyle w:val="PlaceholderText"/>
                  <w:rFonts w:ascii="Cambria Math" w:eastAsiaTheme="minorHAnsi" w:hAnsi="Cambria Math" w:cs="Arial"/>
                  <w:color w:val="auto"/>
                </w:rPr>
                <m:t>-</m:t>
              </m:r>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p</m:t>
                  </m:r>
                </m:e>
                <m:sub>
                  <m:r>
                    <w:rPr>
                      <w:rStyle w:val="PlaceholderText"/>
                      <w:rFonts w:ascii="Cambria Math" w:eastAsiaTheme="minorHAnsi" w:hAnsi="Cambria Math" w:cs="Arial"/>
                      <w:color w:val="auto"/>
                    </w:rPr>
                    <m:t>P</m:t>
                  </m:r>
                </m:sub>
              </m:sSub>
            </m:oMath>
          </w:p>
        </w:tc>
        <w:tc>
          <w:tcPr>
            <w:tcW w:w="804" w:type="dxa"/>
            <w:shd w:val="clear" w:color="auto" w:fill="auto"/>
            <w:vAlign w:val="center"/>
          </w:tcPr>
          <w:p w14:paraId="0A39AAB0" w14:textId="77777777" w:rsidR="00062224" w:rsidRPr="00B57B36" w:rsidRDefault="00062224" w:rsidP="00332A12">
            <w:pPr>
              <w:pStyle w:val="CETEquation"/>
              <w:jc w:val="right"/>
            </w:pPr>
            <w:r w:rsidRPr="00B57B36">
              <w:t>(</w:t>
            </w:r>
            <w:r>
              <w:t>2</w:t>
            </w:r>
            <w:r w:rsidRPr="00B57B36">
              <w:t>)</w:t>
            </w:r>
          </w:p>
        </w:tc>
      </w:tr>
    </w:tbl>
    <w:p w14:paraId="5E3D61BD" w14:textId="6E4E424B" w:rsidR="00B23C22" w:rsidRDefault="00062224" w:rsidP="00062224">
      <w:pPr>
        <w:pStyle w:val="CETBodytext"/>
      </w:pPr>
      <w:r>
        <w:t xml:space="preserve">where </w:t>
      </w:r>
      <w:r w:rsidRPr="00E149D9">
        <w:rPr>
          <w:i/>
          <w:iCs/>
        </w:rPr>
        <w:t>p</w:t>
      </w:r>
      <w:r w:rsidRPr="00E149D9">
        <w:rPr>
          <w:i/>
          <w:iCs/>
          <w:vertAlign w:val="subscript"/>
        </w:rPr>
        <w:t xml:space="preserve">R </w:t>
      </w:r>
      <w:r>
        <w:t xml:space="preserve">is the retentate pressure (Pa) and </w:t>
      </w:r>
      <w:r w:rsidRPr="00E149D9">
        <w:rPr>
          <w:i/>
          <w:iCs/>
        </w:rPr>
        <w:t>p</w:t>
      </w:r>
      <w:r w:rsidRPr="00E149D9">
        <w:rPr>
          <w:i/>
          <w:iCs/>
          <w:vertAlign w:val="subscript"/>
        </w:rPr>
        <w:t>P</w:t>
      </w:r>
      <w:r>
        <w:t xml:space="preserve"> is the permeate pressure (Pa).</w:t>
      </w:r>
    </w:p>
    <w:p w14:paraId="0D0FD56C" w14:textId="60F17B07" w:rsidR="00062224" w:rsidRDefault="00B23C22" w:rsidP="00062224">
      <w:pPr>
        <w:pStyle w:val="CETBodytext"/>
      </w:pPr>
      <w:r>
        <w:t>The main observed quantity is the selectivity</w:t>
      </w:r>
      <w:r w:rsidR="0017778F">
        <w:t xml:space="preserve"> </w:t>
      </w:r>
      <w:r w:rsidR="0017778F">
        <w:rPr>
          <w:rFonts w:cs="Arial"/>
        </w:rPr>
        <w:t>α</w:t>
      </w:r>
      <w:r w:rsidR="0017778F" w:rsidRPr="0017778F">
        <w:t>(</w:t>
      </w:r>
      <w:proofErr w:type="spellStart"/>
      <w:r w:rsidR="0017778F">
        <w:t>i</w:t>
      </w:r>
      <w:proofErr w:type="spellEnd"/>
      <w:r w:rsidR="0017778F">
        <w:t xml:space="preserve">/j) expressing the ratio of permeabilities (and or permeances) of </w:t>
      </w:r>
      <w:r w:rsidR="0069299A">
        <w:t>components</w:t>
      </w:r>
      <w:r w:rsidR="0017778F">
        <w:t xml:space="preserve"> </w:t>
      </w:r>
      <w:proofErr w:type="spellStart"/>
      <w:r w:rsidR="0017778F">
        <w:t>i</w:t>
      </w:r>
      <w:proofErr w:type="spellEnd"/>
      <w:r w:rsidR="0017778F">
        <w:t xml:space="preserve"> and j</w:t>
      </w:r>
      <w:r w:rsidR="00062224">
        <w:t>:</w:t>
      </w:r>
    </w:p>
    <w:tbl>
      <w:tblPr>
        <w:tblW w:w="5000" w:type="pct"/>
        <w:tblLook w:val="04A0" w:firstRow="1" w:lastRow="0" w:firstColumn="1" w:lastColumn="0" w:noHBand="0" w:noVBand="1"/>
      </w:tblPr>
      <w:tblGrid>
        <w:gridCol w:w="7983"/>
        <w:gridCol w:w="804"/>
      </w:tblGrid>
      <w:tr w:rsidR="00062224" w:rsidRPr="00B57B36" w14:paraId="6961E644" w14:textId="77777777" w:rsidTr="00332A12">
        <w:tc>
          <w:tcPr>
            <w:tcW w:w="7983" w:type="dxa"/>
            <w:shd w:val="clear" w:color="auto" w:fill="auto"/>
            <w:vAlign w:val="center"/>
          </w:tcPr>
          <w:p w14:paraId="337B37B9" w14:textId="5F207F64" w:rsidR="00062224" w:rsidRPr="00062224" w:rsidRDefault="0017778F" w:rsidP="00062224">
            <w:pPr>
              <w:pStyle w:val="CETEquation"/>
            </w:pPr>
            <m:oMathPara>
              <m:oMathParaPr>
                <m:jc m:val="left"/>
              </m:oMathParaPr>
              <m:oMath>
                <m:r>
                  <w:rPr>
                    <w:rStyle w:val="PlaceholderText"/>
                    <w:rFonts w:ascii="Cambria Math" w:eastAsiaTheme="minorHAnsi" w:hAnsi="Cambria Math" w:cs="Arial"/>
                    <w:color w:val="auto"/>
                  </w:rPr>
                  <m:t>α</m:t>
                </m:r>
                <m:d>
                  <m:dPr>
                    <m:ctrlPr>
                      <w:rPr>
                        <w:rStyle w:val="PlaceholderText"/>
                        <w:rFonts w:ascii="Cambria Math" w:eastAsiaTheme="minorHAnsi" w:hAnsi="Cambria Math" w:cs="Arial"/>
                        <w:i/>
                        <w:color w:val="auto"/>
                      </w:rPr>
                    </m:ctrlPr>
                  </m:dPr>
                  <m:e>
                    <m:r>
                      <w:rPr>
                        <w:rStyle w:val="PlaceholderText"/>
                        <w:rFonts w:ascii="Cambria Math" w:eastAsiaTheme="minorHAnsi" w:hAnsi="Cambria Math" w:cs="Arial"/>
                        <w:color w:val="auto"/>
                      </w:rPr>
                      <m:t>i/j</m:t>
                    </m:r>
                  </m:e>
                </m:d>
                <m:r>
                  <m:rPr>
                    <m:sty m:val="p"/>
                  </m:rPr>
                  <w:rPr>
                    <w:rStyle w:val="PlaceholderText"/>
                    <w:rFonts w:ascii="Cambria Math" w:eastAsiaTheme="minorHAnsi" w:hAnsi="Cambria Math" w:cs="Arial"/>
                    <w:color w:val="auto"/>
                  </w:rPr>
                  <m:t>=</m:t>
                </m:r>
                <m:f>
                  <m:fPr>
                    <m:ctrlPr>
                      <w:rPr>
                        <w:rStyle w:val="PlaceholderText"/>
                        <w:rFonts w:ascii="Cambria Math" w:eastAsiaTheme="minorHAnsi" w:hAnsi="Cambria Math" w:cs="Arial"/>
                        <w:i/>
                        <w:color w:val="auto"/>
                      </w:rPr>
                    </m:ctrlPr>
                  </m:fPr>
                  <m:num>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P</m:t>
                        </m:r>
                      </m:e>
                      <m:sub>
                        <m:r>
                          <w:rPr>
                            <w:rStyle w:val="PlaceholderText"/>
                            <w:rFonts w:ascii="Cambria Math" w:eastAsiaTheme="minorHAnsi" w:hAnsi="Cambria Math" w:cs="Arial"/>
                            <w:color w:val="auto"/>
                          </w:rPr>
                          <m:t>i</m:t>
                        </m:r>
                      </m:sub>
                    </m:sSub>
                  </m:num>
                  <m:den>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P</m:t>
                        </m:r>
                      </m:e>
                      <m:sub>
                        <m:r>
                          <w:rPr>
                            <w:rStyle w:val="PlaceholderText"/>
                            <w:rFonts w:ascii="Cambria Math" w:eastAsiaTheme="minorHAnsi" w:hAnsi="Cambria Math" w:cs="Arial"/>
                            <w:color w:val="auto"/>
                          </w:rPr>
                          <m:t>j</m:t>
                        </m:r>
                      </m:sub>
                    </m:sSub>
                  </m:den>
                </m:f>
                <m:r>
                  <w:rPr>
                    <w:rStyle w:val="PlaceholderText"/>
                    <w:rFonts w:ascii="Cambria Math" w:eastAsiaTheme="minorHAnsi" w:hAnsi="Cambria Math" w:cs="Arial"/>
                    <w:color w:val="auto"/>
                  </w:rPr>
                  <m:t>=</m:t>
                </m:r>
                <m:f>
                  <m:fPr>
                    <m:ctrlPr>
                      <w:rPr>
                        <w:rStyle w:val="PlaceholderText"/>
                        <w:rFonts w:ascii="Cambria Math" w:eastAsiaTheme="minorHAnsi" w:hAnsi="Cambria Math" w:cs="Arial"/>
                        <w:i/>
                        <w:color w:val="auto"/>
                      </w:rPr>
                    </m:ctrlPr>
                  </m:fPr>
                  <m:num>
                    <m:sSub>
                      <m:sSubPr>
                        <m:ctrlPr>
                          <w:rPr>
                            <w:rStyle w:val="PlaceholderText"/>
                            <w:rFonts w:ascii="Cambria Math" w:eastAsiaTheme="minorHAnsi" w:hAnsi="Cambria Math" w:cs="Arial"/>
                            <w:i/>
                            <w:color w:val="auto"/>
                          </w:rPr>
                        </m:ctrlPr>
                      </m:sSubPr>
                      <m:e>
                        <m:d>
                          <m:dPr>
                            <m:ctrlPr>
                              <w:rPr>
                                <w:rStyle w:val="PlaceholderText"/>
                                <w:rFonts w:ascii="Cambria Math" w:eastAsiaTheme="minorHAnsi" w:hAnsi="Cambria Math" w:cs="Arial"/>
                                <w:i/>
                                <w:color w:val="auto"/>
                              </w:rPr>
                            </m:ctrlPr>
                          </m:dPr>
                          <m:e>
                            <m:r>
                              <w:rPr>
                                <w:rStyle w:val="PlaceholderText"/>
                                <w:rFonts w:ascii="Cambria Math" w:eastAsiaTheme="minorHAnsi" w:hAnsi="Cambria Math" w:cs="Arial"/>
                                <w:color w:val="auto"/>
                              </w:rPr>
                              <m:t>P/L</m:t>
                            </m:r>
                          </m:e>
                        </m:d>
                        <m:ctrlPr>
                          <w:rPr>
                            <w:rFonts w:ascii="Cambria Math" w:hAnsi="Cambria Math"/>
                            <w:i/>
                          </w:rPr>
                        </m:ctrlPr>
                      </m:e>
                      <m:sub>
                        <m:r>
                          <w:rPr>
                            <w:rFonts w:ascii="Cambria Math" w:hAnsi="Cambria Math"/>
                          </w:rPr>
                          <m:t>i</m:t>
                        </m:r>
                      </m:sub>
                    </m:sSub>
                  </m:num>
                  <m:den>
                    <m:sSub>
                      <m:sSubPr>
                        <m:ctrlPr>
                          <w:rPr>
                            <w:rStyle w:val="PlaceholderText"/>
                            <w:rFonts w:ascii="Cambria Math" w:eastAsiaTheme="minorHAnsi" w:hAnsi="Cambria Math" w:cs="Arial"/>
                            <w:i/>
                            <w:color w:val="auto"/>
                          </w:rPr>
                        </m:ctrlPr>
                      </m:sSubPr>
                      <m:e>
                        <m:d>
                          <m:dPr>
                            <m:ctrlPr>
                              <w:rPr>
                                <w:rStyle w:val="PlaceholderText"/>
                                <w:rFonts w:ascii="Cambria Math" w:eastAsiaTheme="minorHAnsi" w:hAnsi="Cambria Math" w:cs="Arial"/>
                                <w:i/>
                                <w:color w:val="auto"/>
                              </w:rPr>
                            </m:ctrlPr>
                          </m:dPr>
                          <m:e>
                            <m:r>
                              <w:rPr>
                                <w:rStyle w:val="PlaceholderText"/>
                                <w:rFonts w:ascii="Cambria Math" w:eastAsiaTheme="minorHAnsi" w:hAnsi="Cambria Math" w:cs="Arial"/>
                                <w:color w:val="auto"/>
                              </w:rPr>
                              <m:t>P/L</m:t>
                            </m:r>
                          </m:e>
                        </m:d>
                        <m:ctrlPr>
                          <w:rPr>
                            <w:rFonts w:ascii="Cambria Math" w:hAnsi="Cambria Math"/>
                            <w:i/>
                          </w:rPr>
                        </m:ctrlPr>
                      </m:e>
                      <m:sub>
                        <m:r>
                          <w:rPr>
                            <w:rFonts w:ascii="Cambria Math" w:hAnsi="Cambria Math"/>
                          </w:rPr>
                          <m:t>j</m:t>
                        </m:r>
                      </m:sub>
                    </m:sSub>
                  </m:den>
                </m:f>
                <m:r>
                  <w:rPr>
                    <w:rStyle w:val="PlaceholderText"/>
                    <w:rFonts w:ascii="Cambria Math" w:eastAsiaTheme="minorHAnsi" w:hAnsi="Cambria Math" w:cs="Arial"/>
                    <w:color w:val="auto"/>
                  </w:rPr>
                  <m:t xml:space="preserve"> </m:t>
                </m:r>
              </m:oMath>
            </m:oMathPara>
          </w:p>
        </w:tc>
        <w:tc>
          <w:tcPr>
            <w:tcW w:w="804" w:type="dxa"/>
            <w:shd w:val="clear" w:color="auto" w:fill="auto"/>
            <w:vAlign w:val="center"/>
          </w:tcPr>
          <w:p w14:paraId="1915837C" w14:textId="77777777" w:rsidR="00062224" w:rsidRPr="00B57B36" w:rsidRDefault="00062224" w:rsidP="00332A12">
            <w:pPr>
              <w:pStyle w:val="CETEquation"/>
              <w:jc w:val="right"/>
            </w:pPr>
            <w:r w:rsidRPr="00B57B36">
              <w:t>(</w:t>
            </w:r>
            <w:r>
              <w:t>3</w:t>
            </w:r>
            <w:r w:rsidRPr="00B57B36">
              <w:t>)</w:t>
            </w:r>
          </w:p>
        </w:tc>
      </w:tr>
    </w:tbl>
    <w:p w14:paraId="6BCB9DB6" w14:textId="4667290C" w:rsidR="00062224" w:rsidRDefault="00062224" w:rsidP="00062224">
      <w:pPr>
        <w:pStyle w:val="CETBodytext"/>
      </w:pPr>
      <w:r>
        <w:t xml:space="preserve">where </w:t>
      </w:r>
      <w:r w:rsidR="0017778F">
        <w:rPr>
          <w:i/>
          <w:iCs/>
        </w:rPr>
        <w:t>P</w:t>
      </w:r>
      <w:r w:rsidR="0017778F">
        <w:rPr>
          <w:i/>
          <w:iCs/>
          <w:vertAlign w:val="subscript"/>
        </w:rPr>
        <w:t>i</w:t>
      </w:r>
      <w:r>
        <w:t xml:space="preserve"> is the </w:t>
      </w:r>
      <w:r w:rsidR="0017778F">
        <w:t>permeability</w:t>
      </w:r>
      <w:r>
        <w:t xml:space="preserve"> of component </w:t>
      </w:r>
      <w:proofErr w:type="spellStart"/>
      <w:r w:rsidRPr="00E149D9">
        <w:rPr>
          <w:i/>
          <w:iCs/>
        </w:rPr>
        <w:t>i</w:t>
      </w:r>
      <w:proofErr w:type="spellEnd"/>
      <w:r w:rsidRPr="00E149D9">
        <w:rPr>
          <w:i/>
          <w:iCs/>
        </w:rPr>
        <w:t xml:space="preserve"> </w:t>
      </w:r>
      <w:r w:rsidR="0017778F">
        <w:t>(</w:t>
      </w:r>
      <w:r>
        <w:t>mol</w:t>
      </w:r>
      <w:r w:rsidR="0017778F">
        <w:t xml:space="preserve"> m</w:t>
      </w:r>
      <w:r w:rsidR="0017778F">
        <w:rPr>
          <w:vertAlign w:val="superscript"/>
        </w:rPr>
        <w:t>-1</w:t>
      </w:r>
      <w:r>
        <w:t xml:space="preserve"> s</w:t>
      </w:r>
      <w:r>
        <w:rPr>
          <w:vertAlign w:val="superscript"/>
        </w:rPr>
        <w:t>-</w:t>
      </w:r>
      <w:r w:rsidR="0017778F">
        <w:rPr>
          <w:vertAlign w:val="superscript"/>
        </w:rPr>
        <w:t>1</w:t>
      </w:r>
      <w:r w:rsidR="0017778F">
        <w:t xml:space="preserve"> Pa</w:t>
      </w:r>
      <w:r w:rsidR="0017778F">
        <w:rPr>
          <w:vertAlign w:val="superscript"/>
        </w:rPr>
        <w:t>-1</w:t>
      </w:r>
      <w:r>
        <w:t>) and</w:t>
      </w:r>
      <w:r w:rsidR="0017778F">
        <w:t xml:space="preserve"> can also be expressed as the ratio of permeances</w:t>
      </w:r>
      <w:r w:rsidR="00E91B93">
        <w:t xml:space="preserve"> </w:t>
      </w:r>
      <w:r w:rsidR="00E91B93">
        <w:rPr>
          <w:i/>
          <w:iCs/>
        </w:rPr>
        <w:t>(P/L)</w:t>
      </w:r>
      <w:proofErr w:type="spellStart"/>
      <w:r w:rsidR="00E91B93">
        <w:rPr>
          <w:i/>
          <w:iCs/>
          <w:vertAlign w:val="subscript"/>
        </w:rPr>
        <w:t>i</w:t>
      </w:r>
      <w:proofErr w:type="spellEnd"/>
      <w:r>
        <w:t>.</w:t>
      </w:r>
      <w:r w:rsidR="0017778F">
        <w:t xml:space="preserve"> The selectivity can be defined both for </w:t>
      </w:r>
      <w:r w:rsidR="0069299A">
        <w:t xml:space="preserve">the </w:t>
      </w:r>
      <w:r w:rsidR="0017778F">
        <w:t xml:space="preserve">ideal case (where the permeabilities or permeances refer to processing the pure components </w:t>
      </w:r>
      <w:proofErr w:type="spellStart"/>
      <w:r w:rsidR="0017778F">
        <w:t>i</w:t>
      </w:r>
      <w:proofErr w:type="spellEnd"/>
      <w:r w:rsidR="0017778F">
        <w:t xml:space="preserve"> and j) and for the real case (evaluated from permeabilities or permeances measured).</w:t>
      </w:r>
    </w:p>
    <w:p w14:paraId="7D6E353E" w14:textId="79BAFCA3" w:rsidR="00062224" w:rsidRDefault="0017778F" w:rsidP="00062224">
      <w:pPr>
        <w:pStyle w:val="CETBodytext"/>
      </w:pPr>
      <w:r>
        <w:t xml:space="preserve">One of the main parameters that can be used for comparing different modules is the molar stagecut </w:t>
      </w:r>
      <w:r w:rsidRPr="0017778F">
        <w:rPr>
          <w:rFonts w:cs="Arial"/>
          <w:i/>
          <w:iCs/>
        </w:rPr>
        <w:t>θ</w:t>
      </w:r>
      <w:r w:rsidR="00062224">
        <w:t>:</w:t>
      </w:r>
    </w:p>
    <w:tbl>
      <w:tblPr>
        <w:tblW w:w="5000" w:type="pct"/>
        <w:tblLook w:val="04A0" w:firstRow="1" w:lastRow="0" w:firstColumn="1" w:lastColumn="0" w:noHBand="0" w:noVBand="1"/>
      </w:tblPr>
      <w:tblGrid>
        <w:gridCol w:w="7983"/>
        <w:gridCol w:w="804"/>
      </w:tblGrid>
      <w:tr w:rsidR="00062224" w:rsidRPr="00B57B36" w14:paraId="226F1B67" w14:textId="77777777" w:rsidTr="00332A12">
        <w:tc>
          <w:tcPr>
            <w:tcW w:w="7983" w:type="dxa"/>
            <w:shd w:val="clear" w:color="auto" w:fill="auto"/>
            <w:vAlign w:val="center"/>
          </w:tcPr>
          <w:p w14:paraId="07FD7B8C" w14:textId="381451A2" w:rsidR="00062224" w:rsidRPr="00062224" w:rsidRDefault="0017778F" w:rsidP="00062224">
            <w:pPr>
              <w:pStyle w:val="CETEquation"/>
            </w:pPr>
            <m:oMathPara>
              <m:oMathParaPr>
                <m:jc m:val="left"/>
              </m:oMathParaPr>
              <m:oMath>
                <m:r>
                  <m:rPr>
                    <m:sty m:val="p"/>
                  </m:rPr>
                  <w:rPr>
                    <w:rStyle w:val="PlaceholderText"/>
                    <w:rFonts w:ascii="Cambria Math" w:eastAsiaTheme="minorHAnsi" w:hAnsi="Cambria Math" w:cs="Arial"/>
                    <w:color w:val="auto"/>
                  </w:rPr>
                  <m:t>θ</m:t>
                </m:r>
                <m:r>
                  <w:rPr>
                    <w:rStyle w:val="PlaceholderText"/>
                    <w:rFonts w:ascii="Cambria Math" w:eastAsiaTheme="minorHAnsi" w:hAnsi="Cambria Math" w:cs="Arial"/>
                    <w:color w:val="auto"/>
                  </w:rPr>
                  <m:t>=</m:t>
                </m:r>
                <m:f>
                  <m:fPr>
                    <m:ctrlPr>
                      <w:rPr>
                        <w:rStyle w:val="PlaceholderText"/>
                        <w:rFonts w:ascii="Cambria Math" w:eastAsiaTheme="minorHAnsi" w:hAnsi="Cambria Math" w:cs="Arial"/>
                        <w:i/>
                        <w:color w:val="auto"/>
                      </w:rPr>
                    </m:ctrlPr>
                  </m:fPr>
                  <m:num>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n</m:t>
                        </m:r>
                      </m:e>
                      <m:sub>
                        <m:r>
                          <w:rPr>
                            <w:rStyle w:val="PlaceholderText"/>
                            <w:rFonts w:ascii="Cambria Math" w:eastAsiaTheme="minorHAnsi" w:hAnsi="Cambria Math" w:cs="Arial"/>
                            <w:color w:val="auto"/>
                          </w:rPr>
                          <m:t>P</m:t>
                        </m:r>
                      </m:sub>
                    </m:sSub>
                  </m:num>
                  <m:den>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n</m:t>
                        </m:r>
                      </m:e>
                      <m:sub>
                        <m:r>
                          <w:rPr>
                            <w:rStyle w:val="PlaceholderText"/>
                            <w:rFonts w:ascii="Cambria Math" w:eastAsiaTheme="minorHAnsi" w:hAnsi="Cambria Math" w:cs="Arial"/>
                            <w:color w:val="auto"/>
                          </w:rPr>
                          <m:t>P</m:t>
                        </m:r>
                      </m:sub>
                    </m:sSub>
                    <m:r>
                      <w:rPr>
                        <w:rStyle w:val="PlaceholderText"/>
                        <w:rFonts w:ascii="Cambria Math" w:eastAsiaTheme="minorHAnsi" w:hAnsi="Cambria Math" w:cs="Arial"/>
                        <w:color w:val="auto"/>
                      </w:rPr>
                      <m:t>+</m:t>
                    </m:r>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n</m:t>
                        </m:r>
                      </m:e>
                      <m:sub>
                        <m:r>
                          <w:rPr>
                            <w:rStyle w:val="PlaceholderText"/>
                            <w:rFonts w:ascii="Cambria Math" w:eastAsiaTheme="minorHAnsi" w:hAnsi="Cambria Math" w:cs="Arial"/>
                            <w:color w:val="auto"/>
                          </w:rPr>
                          <m:t>R</m:t>
                        </m:r>
                      </m:sub>
                    </m:sSub>
                  </m:den>
                </m:f>
              </m:oMath>
            </m:oMathPara>
          </w:p>
        </w:tc>
        <w:tc>
          <w:tcPr>
            <w:tcW w:w="804" w:type="dxa"/>
            <w:shd w:val="clear" w:color="auto" w:fill="auto"/>
            <w:vAlign w:val="center"/>
          </w:tcPr>
          <w:p w14:paraId="22794C41" w14:textId="77777777" w:rsidR="00062224" w:rsidRPr="00B57B36" w:rsidRDefault="00062224" w:rsidP="00332A12">
            <w:pPr>
              <w:pStyle w:val="CETEquation"/>
              <w:jc w:val="right"/>
            </w:pPr>
            <w:r w:rsidRPr="00B57B36">
              <w:t>(</w:t>
            </w:r>
            <w:r>
              <w:t>4</w:t>
            </w:r>
            <w:r w:rsidRPr="00B57B36">
              <w:t>)</w:t>
            </w:r>
          </w:p>
        </w:tc>
      </w:tr>
    </w:tbl>
    <w:p w14:paraId="1B7B0454" w14:textId="013280E4" w:rsidR="00062224" w:rsidRPr="0038258C" w:rsidRDefault="00062224" w:rsidP="00062224">
      <w:pPr>
        <w:pStyle w:val="CETBodytext"/>
      </w:pPr>
      <w:r>
        <w:t xml:space="preserve">where </w:t>
      </w:r>
      <w:proofErr w:type="spellStart"/>
      <w:r w:rsidR="0017778F">
        <w:rPr>
          <w:i/>
          <w:iCs/>
        </w:rPr>
        <w:t>n</w:t>
      </w:r>
      <w:r w:rsidR="0017778F">
        <w:rPr>
          <w:i/>
          <w:iCs/>
          <w:vertAlign w:val="subscript"/>
        </w:rPr>
        <w:t>P</w:t>
      </w:r>
      <w:proofErr w:type="spellEnd"/>
      <w:r>
        <w:t xml:space="preserve"> </w:t>
      </w:r>
      <w:r w:rsidR="0017778F">
        <w:t xml:space="preserve">and </w:t>
      </w:r>
      <w:proofErr w:type="spellStart"/>
      <w:r w:rsidR="0017778F" w:rsidRPr="0017778F">
        <w:rPr>
          <w:i/>
          <w:iCs/>
        </w:rPr>
        <w:t>n</w:t>
      </w:r>
      <w:r w:rsidR="0017778F">
        <w:rPr>
          <w:i/>
          <w:iCs/>
          <w:vertAlign w:val="subscript"/>
        </w:rPr>
        <w:t>R</w:t>
      </w:r>
      <w:proofErr w:type="spellEnd"/>
      <w:r w:rsidR="0017778F">
        <w:rPr>
          <w:i/>
          <w:iCs/>
        </w:rPr>
        <w:t xml:space="preserve"> </w:t>
      </w:r>
      <w:r w:rsidR="0017778F" w:rsidRPr="0017778F">
        <w:t>are the</w:t>
      </w:r>
      <w:r w:rsidR="0017778F">
        <w:t xml:space="preserve"> total molar flows in the permeate (index P) and retentate (R</w:t>
      </w:r>
      <w:r w:rsidR="0038258C">
        <w:t>) in mol s</w:t>
      </w:r>
      <w:r w:rsidR="0038258C">
        <w:rPr>
          <w:vertAlign w:val="superscript"/>
        </w:rPr>
        <w:t>-1</w:t>
      </w:r>
      <w:r w:rsidR="0038258C">
        <w:t>.</w:t>
      </w:r>
    </w:p>
    <w:p w14:paraId="5961D00C" w14:textId="2E7810CC" w:rsidR="00062224" w:rsidRDefault="00062224" w:rsidP="00062224">
      <w:pPr>
        <w:pStyle w:val="CETBodytext"/>
      </w:pPr>
      <w:r>
        <w:t>To calculate the total molar flow in a stream from the mass flow</w:t>
      </w:r>
      <w:r w:rsidR="0038258C">
        <w:t xml:space="preserve"> </w:t>
      </w:r>
      <w:r>
        <w:t xml:space="preserve">and the concentrations, </w:t>
      </w:r>
      <w:r w:rsidR="0069299A">
        <w:t xml:space="preserve">the </w:t>
      </w:r>
      <w:r>
        <w:t>following equation can be used:</w:t>
      </w:r>
    </w:p>
    <w:tbl>
      <w:tblPr>
        <w:tblW w:w="5000" w:type="pct"/>
        <w:tblLook w:val="04A0" w:firstRow="1" w:lastRow="0" w:firstColumn="1" w:lastColumn="0" w:noHBand="0" w:noVBand="1"/>
      </w:tblPr>
      <w:tblGrid>
        <w:gridCol w:w="7983"/>
        <w:gridCol w:w="804"/>
      </w:tblGrid>
      <w:tr w:rsidR="00062224" w:rsidRPr="00B57B36" w14:paraId="0CB5E26E" w14:textId="77777777" w:rsidTr="00332A12">
        <w:tc>
          <w:tcPr>
            <w:tcW w:w="7983" w:type="dxa"/>
            <w:shd w:val="clear" w:color="auto" w:fill="auto"/>
            <w:vAlign w:val="center"/>
          </w:tcPr>
          <w:p w14:paraId="18774BC8" w14:textId="77777777" w:rsidR="00062224" w:rsidRPr="00062224" w:rsidRDefault="00707596" w:rsidP="00062224">
            <w:pPr>
              <w:pStyle w:val="CETEquation"/>
            </w:pPr>
            <m:oMathPara>
              <m:oMathParaPr>
                <m:jc m:val="left"/>
              </m:oMathParaPr>
              <m:oMath>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n</m:t>
                    </m:r>
                  </m:e>
                  <m:sub>
                    <m:r>
                      <w:rPr>
                        <w:rStyle w:val="PlaceholderText"/>
                        <w:rFonts w:ascii="Cambria Math" w:eastAsiaTheme="minorHAnsi" w:hAnsi="Cambria Math" w:cs="Arial"/>
                        <w:color w:val="auto"/>
                      </w:rPr>
                      <m:t>x</m:t>
                    </m:r>
                  </m:sub>
                </m:sSub>
                <m:r>
                  <w:rPr>
                    <w:rStyle w:val="PlaceholderText"/>
                    <w:rFonts w:ascii="Cambria Math" w:eastAsiaTheme="minorHAnsi" w:hAnsi="Cambria Math" w:cs="Arial"/>
                    <w:color w:val="auto"/>
                  </w:rPr>
                  <m:t>=</m:t>
                </m:r>
                <m:f>
                  <m:fPr>
                    <m:ctrlPr>
                      <w:rPr>
                        <w:rStyle w:val="PlaceholderText"/>
                        <w:rFonts w:ascii="Cambria Math" w:eastAsiaTheme="minorHAnsi" w:hAnsi="Cambria Math" w:cs="Arial"/>
                        <w:i/>
                        <w:color w:val="auto"/>
                      </w:rPr>
                    </m:ctrlPr>
                  </m:fPr>
                  <m:num>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m</m:t>
                        </m:r>
                      </m:e>
                      <m:sub>
                        <m:r>
                          <w:rPr>
                            <w:rStyle w:val="PlaceholderText"/>
                            <w:rFonts w:ascii="Cambria Math" w:eastAsiaTheme="minorHAnsi" w:hAnsi="Cambria Math" w:cs="Arial"/>
                            <w:color w:val="auto"/>
                          </w:rPr>
                          <m:t>x</m:t>
                        </m:r>
                      </m:sub>
                    </m:sSub>
                  </m:num>
                  <m:den>
                    <m:nary>
                      <m:naryPr>
                        <m:chr m:val="∑"/>
                        <m:subHide m:val="1"/>
                        <m:supHide m:val="1"/>
                        <m:ctrlPr>
                          <w:rPr>
                            <w:rStyle w:val="PlaceholderText"/>
                            <w:rFonts w:ascii="Cambria Math" w:eastAsiaTheme="minorHAnsi" w:hAnsi="Cambria Math" w:cs="Arial"/>
                            <w:i/>
                            <w:color w:val="auto"/>
                          </w:rPr>
                        </m:ctrlPr>
                      </m:naryPr>
                      <m:sub/>
                      <m:sup/>
                      <m:e>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c</m:t>
                            </m:r>
                          </m:e>
                          <m:sub>
                            <m:r>
                              <w:rPr>
                                <w:rStyle w:val="PlaceholderText"/>
                                <w:rFonts w:ascii="Cambria Math" w:eastAsiaTheme="minorHAnsi" w:hAnsi="Cambria Math" w:cs="Arial"/>
                                <w:color w:val="auto"/>
                              </w:rPr>
                              <m:t>i</m:t>
                            </m:r>
                          </m:sub>
                        </m:sSub>
                        <m:r>
                          <w:rPr>
                            <w:rStyle w:val="PlaceholderText"/>
                            <w:rFonts w:ascii="Cambria Math" w:eastAsiaTheme="minorHAnsi" w:hAnsi="Cambria Math" w:cs="Arial"/>
                            <w:color w:val="auto"/>
                          </w:rPr>
                          <m:t>∙</m:t>
                        </m:r>
                        <m:sSub>
                          <m:sSubPr>
                            <m:ctrlPr>
                              <w:rPr>
                                <w:rStyle w:val="PlaceholderText"/>
                                <w:rFonts w:ascii="Cambria Math" w:eastAsiaTheme="minorHAnsi" w:hAnsi="Cambria Math" w:cs="Arial"/>
                                <w:i/>
                                <w:color w:val="auto"/>
                              </w:rPr>
                            </m:ctrlPr>
                          </m:sSubPr>
                          <m:e>
                            <m:r>
                              <w:rPr>
                                <w:rStyle w:val="PlaceholderText"/>
                                <w:rFonts w:ascii="Cambria Math" w:eastAsiaTheme="minorHAnsi" w:hAnsi="Cambria Math" w:cs="Arial"/>
                                <w:color w:val="auto"/>
                              </w:rPr>
                              <m:t>M</m:t>
                            </m:r>
                          </m:e>
                          <m:sub>
                            <m:r>
                              <w:rPr>
                                <w:rStyle w:val="PlaceholderText"/>
                                <w:rFonts w:ascii="Cambria Math" w:eastAsiaTheme="minorHAnsi" w:hAnsi="Cambria Math" w:cs="Arial"/>
                                <w:color w:val="auto"/>
                              </w:rPr>
                              <m:t>i</m:t>
                            </m:r>
                          </m:sub>
                        </m:sSub>
                        <m:r>
                          <w:rPr>
                            <w:rStyle w:val="PlaceholderText"/>
                            <w:rFonts w:ascii="Cambria Math" w:eastAsiaTheme="minorHAnsi" w:hAnsi="Cambria Math" w:cs="Arial"/>
                            <w:color w:val="auto"/>
                          </w:rPr>
                          <m:t xml:space="preserve"> </m:t>
                        </m:r>
                      </m:e>
                    </m:nary>
                  </m:den>
                </m:f>
                <m:r>
                  <w:rPr>
                    <w:rStyle w:val="PlaceholderText"/>
                    <w:rFonts w:ascii="Cambria Math" w:eastAsiaTheme="minorHAnsi" w:hAnsi="Cambria Math" w:cs="Arial"/>
                    <w:color w:val="auto"/>
                  </w:rPr>
                  <m:t xml:space="preserve"> </m:t>
                </m:r>
              </m:oMath>
            </m:oMathPara>
          </w:p>
        </w:tc>
        <w:tc>
          <w:tcPr>
            <w:tcW w:w="804" w:type="dxa"/>
            <w:shd w:val="clear" w:color="auto" w:fill="auto"/>
            <w:vAlign w:val="center"/>
          </w:tcPr>
          <w:p w14:paraId="33A2EEF4" w14:textId="77777777" w:rsidR="00062224" w:rsidRPr="00B57B36" w:rsidRDefault="00062224" w:rsidP="00332A12">
            <w:pPr>
              <w:pStyle w:val="CETEquation"/>
              <w:jc w:val="right"/>
            </w:pPr>
            <w:r w:rsidRPr="00B57B36">
              <w:t>(</w:t>
            </w:r>
            <w:r>
              <w:t>5</w:t>
            </w:r>
            <w:r w:rsidRPr="00B57B36">
              <w:t>)</w:t>
            </w:r>
          </w:p>
        </w:tc>
      </w:tr>
    </w:tbl>
    <w:p w14:paraId="38BC5CFE" w14:textId="4F292445" w:rsidR="00062224" w:rsidRDefault="00062224" w:rsidP="00062224">
      <w:pPr>
        <w:pStyle w:val="CETBodytext"/>
      </w:pPr>
      <w:r>
        <w:t xml:space="preserve">where </w:t>
      </w:r>
      <w:proofErr w:type="spellStart"/>
      <w:r w:rsidRPr="00E149D9">
        <w:rPr>
          <w:i/>
          <w:iCs/>
        </w:rPr>
        <w:t>n</w:t>
      </w:r>
      <w:r w:rsidRPr="00E149D9">
        <w:rPr>
          <w:i/>
          <w:iCs/>
          <w:vertAlign w:val="subscript"/>
        </w:rPr>
        <w:t>x</w:t>
      </w:r>
      <w:proofErr w:type="spellEnd"/>
      <w:r>
        <w:t xml:space="preserve"> is the total molar flow in branch </w:t>
      </w:r>
      <w:r w:rsidRPr="00E149D9">
        <w:rPr>
          <w:i/>
          <w:iCs/>
        </w:rPr>
        <w:t>x</w:t>
      </w:r>
      <w:r>
        <w:t xml:space="preserve"> (mol s</w:t>
      </w:r>
      <w:r>
        <w:rPr>
          <w:vertAlign w:val="superscript"/>
        </w:rPr>
        <w:t>-1</w:t>
      </w:r>
      <w:r>
        <w:t xml:space="preserve">), </w:t>
      </w:r>
      <w:r w:rsidRPr="00E149D9">
        <w:rPr>
          <w:i/>
          <w:iCs/>
        </w:rPr>
        <w:t>m</w:t>
      </w:r>
      <w:r w:rsidRPr="00E149D9">
        <w:rPr>
          <w:i/>
          <w:iCs/>
          <w:vertAlign w:val="subscript"/>
        </w:rPr>
        <w:t>x</w:t>
      </w:r>
      <w:r w:rsidRPr="00E149D9">
        <w:rPr>
          <w:i/>
          <w:iCs/>
        </w:rPr>
        <w:t xml:space="preserve"> </w:t>
      </w:r>
      <w:r>
        <w:t xml:space="preserve">is the measured mass flow in branch </w:t>
      </w:r>
      <w:r w:rsidRPr="00E149D9">
        <w:rPr>
          <w:i/>
          <w:iCs/>
        </w:rPr>
        <w:t>x</w:t>
      </w:r>
      <w:r>
        <w:t xml:space="preserve"> (g s</w:t>
      </w:r>
      <w:r>
        <w:rPr>
          <w:vertAlign w:val="superscript"/>
        </w:rPr>
        <w:t>-1</w:t>
      </w:r>
      <w:r>
        <w:t xml:space="preserve">), </w:t>
      </w:r>
      <w:r w:rsidRPr="00E149D9">
        <w:rPr>
          <w:i/>
          <w:iCs/>
        </w:rPr>
        <w:t>c</w:t>
      </w:r>
      <w:r w:rsidRPr="00E149D9">
        <w:rPr>
          <w:i/>
          <w:iCs/>
          <w:vertAlign w:val="subscript"/>
        </w:rPr>
        <w:t>i</w:t>
      </w:r>
      <w:r>
        <w:t xml:space="preserve"> is the </w:t>
      </w:r>
      <w:r w:rsidR="00AA6F0C">
        <w:t>molar fraction</w:t>
      </w:r>
      <w:r>
        <w:t xml:space="preserve"> of component </w:t>
      </w:r>
      <w:proofErr w:type="spellStart"/>
      <w:r w:rsidRPr="00E149D9">
        <w:rPr>
          <w:i/>
          <w:iCs/>
        </w:rPr>
        <w:t>i</w:t>
      </w:r>
      <w:proofErr w:type="spellEnd"/>
      <w:r>
        <w:t xml:space="preserve"> (mol</w:t>
      </w:r>
      <w:r w:rsidR="00AA6F0C">
        <w:t>/mol</w:t>
      </w:r>
      <w:r>
        <w:t xml:space="preserve">) and </w:t>
      </w:r>
      <w:r w:rsidRPr="00832099">
        <w:rPr>
          <w:i/>
          <w:iCs/>
        </w:rPr>
        <w:t>M</w:t>
      </w:r>
      <w:r w:rsidRPr="00832099">
        <w:rPr>
          <w:i/>
          <w:iCs/>
          <w:vertAlign w:val="subscript"/>
        </w:rPr>
        <w:t>i</w:t>
      </w:r>
      <w:r w:rsidRPr="00832099">
        <w:rPr>
          <w:i/>
          <w:iCs/>
        </w:rPr>
        <w:t xml:space="preserve"> </w:t>
      </w:r>
      <w:r>
        <w:t xml:space="preserve">is the molar weight of component </w:t>
      </w:r>
      <w:proofErr w:type="spellStart"/>
      <w:r w:rsidRPr="00E149D9">
        <w:rPr>
          <w:i/>
          <w:iCs/>
        </w:rPr>
        <w:t>i</w:t>
      </w:r>
      <w:proofErr w:type="spellEnd"/>
      <w:r>
        <w:t xml:space="preserve"> (g s</w:t>
      </w:r>
      <w:r>
        <w:rPr>
          <w:vertAlign w:val="superscript"/>
        </w:rPr>
        <w:t>-1</w:t>
      </w:r>
      <w:r>
        <w:t>).</w:t>
      </w:r>
    </w:p>
    <w:p w14:paraId="523F2A11" w14:textId="467D725F" w:rsidR="00AA6F0C" w:rsidRPr="00AA6F0C" w:rsidRDefault="00AA6F0C" w:rsidP="00062224">
      <w:pPr>
        <w:pStyle w:val="CETBodytext"/>
      </w:pPr>
      <w:r>
        <w:t xml:space="preserve">Another observed quantity is the separation factor </w:t>
      </w:r>
      <w:r w:rsidRPr="00AA6F0C">
        <w:rPr>
          <w:i/>
          <w:iCs/>
        </w:rPr>
        <w:t>SF(</w:t>
      </w:r>
      <w:proofErr w:type="spellStart"/>
      <w:r w:rsidRPr="00AA6F0C">
        <w:rPr>
          <w:i/>
          <w:iCs/>
        </w:rPr>
        <w:t>i</w:t>
      </w:r>
      <w:proofErr w:type="spellEnd"/>
      <w:r w:rsidRPr="00AA6F0C">
        <w:rPr>
          <w:i/>
          <w:iCs/>
        </w:rPr>
        <w:t>/j)</w:t>
      </w:r>
      <w:r>
        <w:t xml:space="preserve"> </w:t>
      </w:r>
      <w:r w:rsidR="0069299A">
        <w:t>which</w:t>
      </w:r>
      <w:r>
        <w:t xml:space="preserve"> defines how well is the component </w:t>
      </w:r>
      <w:proofErr w:type="spellStart"/>
      <w:r>
        <w:rPr>
          <w:i/>
          <w:iCs/>
        </w:rPr>
        <w:t>i</w:t>
      </w:r>
      <w:proofErr w:type="spellEnd"/>
      <w:r>
        <w:t xml:space="preserve"> separated compared to component </w:t>
      </w:r>
      <w:r>
        <w:rPr>
          <w:i/>
          <w:iCs/>
        </w:rPr>
        <w:t>j</w:t>
      </w:r>
      <w:r>
        <w:t>. It is defined as follows:</w:t>
      </w:r>
    </w:p>
    <w:tbl>
      <w:tblPr>
        <w:tblW w:w="5000" w:type="pct"/>
        <w:tblLook w:val="04A0" w:firstRow="1" w:lastRow="0" w:firstColumn="1" w:lastColumn="0" w:noHBand="0" w:noVBand="1"/>
      </w:tblPr>
      <w:tblGrid>
        <w:gridCol w:w="7983"/>
        <w:gridCol w:w="804"/>
      </w:tblGrid>
      <w:tr w:rsidR="00AA6F0C" w:rsidRPr="00B57B36" w14:paraId="0752FC24" w14:textId="77777777" w:rsidTr="00332A12">
        <w:tc>
          <w:tcPr>
            <w:tcW w:w="7983" w:type="dxa"/>
            <w:shd w:val="clear" w:color="auto" w:fill="auto"/>
            <w:vAlign w:val="center"/>
          </w:tcPr>
          <w:p w14:paraId="77694B36" w14:textId="4F3072F3" w:rsidR="00AA6F0C" w:rsidRPr="00AA6F0C" w:rsidRDefault="00AA6F0C" w:rsidP="00332A12">
            <w:pPr>
              <w:pStyle w:val="CETEquation"/>
              <w:rPr>
                <w:rFonts w:ascii="Cambria Math" w:hAnsi="Cambria Math"/>
                <w:i/>
              </w:rPr>
            </w:pPr>
            <m:oMathPara>
              <m:oMathParaPr>
                <m:jc m:val="left"/>
              </m:oMathParaPr>
              <m:oMath>
                <m:r>
                  <w:rPr>
                    <w:rFonts w:ascii="Cambria Math" w:hAnsi="Cambria Math"/>
                  </w:rPr>
                  <m:t>SF</m:t>
                </m:r>
                <m:d>
                  <m:dPr>
                    <m:ctrlPr>
                      <w:rPr>
                        <w:rFonts w:ascii="Cambria Math" w:hAnsi="Cambria Math"/>
                        <w:i/>
                      </w:rPr>
                    </m:ctrlPr>
                  </m:dPr>
                  <m:e>
                    <m:r>
                      <w:rPr>
                        <w:rFonts w:ascii="Cambria Math" w:hAnsi="Cambria Math"/>
                      </w:rPr>
                      <m:t>i/j</m:t>
                    </m:r>
                  </m:e>
                </m:d>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jP</m:t>
                        </m:r>
                      </m:sub>
                    </m:sSub>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iR</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jR</m:t>
                        </m:r>
                      </m:sub>
                    </m:sSub>
                    <m:r>
                      <w:rPr>
                        <w:rFonts w:ascii="Cambria Math" w:hAnsi="Cambria Math"/>
                      </w:rPr>
                      <m:t>)</m:t>
                    </m:r>
                  </m:den>
                </m:f>
              </m:oMath>
            </m:oMathPara>
          </w:p>
        </w:tc>
        <w:tc>
          <w:tcPr>
            <w:tcW w:w="804" w:type="dxa"/>
            <w:shd w:val="clear" w:color="auto" w:fill="auto"/>
            <w:vAlign w:val="center"/>
          </w:tcPr>
          <w:p w14:paraId="1D775DB7" w14:textId="178905B6" w:rsidR="00AA6F0C" w:rsidRPr="00B57B36" w:rsidRDefault="00AA6F0C" w:rsidP="00332A12">
            <w:pPr>
              <w:pStyle w:val="CETEquation"/>
              <w:jc w:val="right"/>
            </w:pPr>
            <w:r w:rsidRPr="00B57B36">
              <w:t>(</w:t>
            </w:r>
            <w:r w:rsidR="00663C76">
              <w:t>6</w:t>
            </w:r>
            <w:r w:rsidRPr="00B57B36">
              <w:t>)</w:t>
            </w:r>
          </w:p>
        </w:tc>
      </w:tr>
    </w:tbl>
    <w:p w14:paraId="4B2475B8" w14:textId="0E6C1C2D" w:rsidR="00062224" w:rsidRPr="00AA6F0C" w:rsidRDefault="00AA6F0C" w:rsidP="00CE120B">
      <w:pPr>
        <w:pStyle w:val="CETBodytext"/>
      </w:pPr>
      <w:r>
        <w:t xml:space="preserve">where </w:t>
      </w:r>
      <w:r w:rsidRPr="00AA6F0C">
        <w:rPr>
          <w:i/>
          <w:iCs/>
        </w:rPr>
        <w:t>SF(</w:t>
      </w:r>
      <w:proofErr w:type="spellStart"/>
      <w:r w:rsidRPr="00AA6F0C">
        <w:rPr>
          <w:i/>
          <w:iCs/>
        </w:rPr>
        <w:t>i</w:t>
      </w:r>
      <w:proofErr w:type="spellEnd"/>
      <w:r w:rsidRPr="00AA6F0C">
        <w:rPr>
          <w:i/>
          <w:iCs/>
        </w:rPr>
        <w:t>/j)</w:t>
      </w:r>
      <w:r w:rsidRPr="00AA6F0C">
        <w:t xml:space="preserve"> </w:t>
      </w:r>
      <w:r>
        <w:t xml:space="preserve">is the separation factor of components </w:t>
      </w:r>
      <w:proofErr w:type="spellStart"/>
      <w:r>
        <w:t>i</w:t>
      </w:r>
      <w:proofErr w:type="spellEnd"/>
      <w:r>
        <w:t xml:space="preserve"> to j (-), </w:t>
      </w:r>
      <w:proofErr w:type="spellStart"/>
      <w:r w:rsidRPr="00AA6F0C">
        <w:rPr>
          <w:i/>
          <w:iCs/>
        </w:rPr>
        <w:t>c</w:t>
      </w:r>
      <w:r>
        <w:rPr>
          <w:i/>
          <w:iCs/>
          <w:vertAlign w:val="subscript"/>
        </w:rPr>
        <w:t>iP</w:t>
      </w:r>
      <w:proofErr w:type="spellEnd"/>
      <w:r>
        <w:rPr>
          <w:i/>
          <w:iCs/>
        </w:rPr>
        <w:t xml:space="preserve"> </w:t>
      </w:r>
      <w:r>
        <w:t xml:space="preserve">is the molar fraction of component </w:t>
      </w:r>
      <w:proofErr w:type="spellStart"/>
      <w:r>
        <w:rPr>
          <w:i/>
          <w:iCs/>
        </w:rPr>
        <w:t>i</w:t>
      </w:r>
      <w:proofErr w:type="spellEnd"/>
      <w:r>
        <w:t xml:space="preserve"> in permeate, </w:t>
      </w:r>
      <w:proofErr w:type="spellStart"/>
      <w:r>
        <w:rPr>
          <w:i/>
          <w:iCs/>
        </w:rPr>
        <w:t>c</w:t>
      </w:r>
      <w:r>
        <w:rPr>
          <w:i/>
          <w:iCs/>
          <w:vertAlign w:val="subscript"/>
        </w:rPr>
        <w:t>jR</w:t>
      </w:r>
      <w:proofErr w:type="spellEnd"/>
      <w:r>
        <w:rPr>
          <w:i/>
          <w:iCs/>
        </w:rPr>
        <w:t xml:space="preserve"> </w:t>
      </w:r>
      <w:r>
        <w:t xml:space="preserve">is the molar fraction of component </w:t>
      </w:r>
      <w:r>
        <w:rPr>
          <w:i/>
          <w:iCs/>
        </w:rPr>
        <w:t>j</w:t>
      </w:r>
      <w:r>
        <w:t xml:space="preserve"> in retentate (mol/mol). </w:t>
      </w:r>
      <w:r w:rsidR="0069299A">
        <w:t>The separation</w:t>
      </w:r>
      <w:r>
        <w:t xml:space="preserve"> factor is also often used in the scientific field for modules behavior comparison.</w:t>
      </w:r>
    </w:p>
    <w:p w14:paraId="008004C0" w14:textId="42816739" w:rsidR="005946C3" w:rsidRDefault="005946C3" w:rsidP="005946C3">
      <w:pPr>
        <w:pStyle w:val="CETHeading1"/>
        <w:rPr>
          <w:lang w:val="en-GB"/>
        </w:rPr>
      </w:pPr>
      <w:r>
        <w:rPr>
          <w:lang w:val="en-GB"/>
        </w:rPr>
        <w:lastRenderedPageBreak/>
        <w:t>Results and Discussion</w:t>
      </w:r>
    </w:p>
    <w:p w14:paraId="4F5C17C2" w14:textId="0D971CB7" w:rsidR="005403D9" w:rsidRPr="005403D9" w:rsidRDefault="0069299A" w:rsidP="005946C3">
      <w:pPr>
        <w:pStyle w:val="CETBodytext"/>
        <w:rPr>
          <w:lang w:val="en-GB"/>
        </w:rPr>
      </w:pPr>
      <w:r>
        <w:rPr>
          <w:lang w:val="en-GB"/>
        </w:rPr>
        <w:t>Firstly</w:t>
      </w:r>
      <w:r w:rsidR="00CF50F5">
        <w:rPr>
          <w:lang w:val="en-GB"/>
        </w:rPr>
        <w:t xml:space="preserve">, the </w:t>
      </w:r>
      <w:r w:rsidR="005403D9">
        <w:rPr>
          <w:lang w:val="en-GB"/>
        </w:rPr>
        <w:t xml:space="preserve">pure components permeances </w:t>
      </w:r>
      <w:r w:rsidR="005403D9" w:rsidRPr="005403D9">
        <w:rPr>
          <w:i/>
          <w:iCs/>
          <w:lang w:val="en-GB"/>
        </w:rPr>
        <w:t>(P/</w:t>
      </w:r>
      <w:proofErr w:type="gramStart"/>
      <w:r w:rsidR="005403D9" w:rsidRPr="005403D9">
        <w:rPr>
          <w:i/>
          <w:iCs/>
          <w:lang w:val="en-GB"/>
        </w:rPr>
        <w:t>L)</w:t>
      </w:r>
      <w:proofErr w:type="spellStart"/>
      <w:r w:rsidR="005403D9">
        <w:rPr>
          <w:i/>
          <w:iCs/>
          <w:vertAlign w:val="subscript"/>
          <w:lang w:val="en-GB"/>
        </w:rPr>
        <w:t>i</w:t>
      </w:r>
      <w:proofErr w:type="spellEnd"/>
      <w:proofErr w:type="gramEnd"/>
      <w:r w:rsidR="005403D9">
        <w:rPr>
          <w:i/>
          <w:iCs/>
          <w:lang w:val="en-GB"/>
        </w:rPr>
        <w:t xml:space="preserve"> </w:t>
      </w:r>
      <w:r w:rsidR="005403D9">
        <w:rPr>
          <w:lang w:val="en-GB"/>
        </w:rPr>
        <w:t xml:space="preserve">were obtained and then ideal selectivities </w:t>
      </w:r>
      <w:r w:rsidR="005403D9" w:rsidRPr="005403D9">
        <w:rPr>
          <w:rFonts w:cs="Arial"/>
          <w:i/>
          <w:iCs/>
          <w:lang w:val="en-GB"/>
        </w:rPr>
        <w:t>α</w:t>
      </w:r>
      <w:r w:rsidR="005403D9" w:rsidRPr="005403D9">
        <w:rPr>
          <w:i/>
          <w:iCs/>
          <w:vertAlign w:val="subscript"/>
          <w:lang w:val="en-GB"/>
        </w:rPr>
        <w:t>ideal</w:t>
      </w:r>
      <w:r w:rsidR="005403D9" w:rsidRPr="005403D9">
        <w:rPr>
          <w:i/>
          <w:iCs/>
          <w:lang w:val="en-GB"/>
        </w:rPr>
        <w:t>(H</w:t>
      </w:r>
      <w:r w:rsidR="005403D9" w:rsidRPr="005403D9">
        <w:rPr>
          <w:i/>
          <w:iCs/>
          <w:vertAlign w:val="subscript"/>
          <w:lang w:val="en-GB"/>
        </w:rPr>
        <w:t>2</w:t>
      </w:r>
      <w:r w:rsidR="005403D9" w:rsidRPr="005403D9">
        <w:rPr>
          <w:i/>
          <w:iCs/>
          <w:lang w:val="en-GB"/>
        </w:rPr>
        <w:t>/CO</w:t>
      </w:r>
      <w:r w:rsidR="005403D9" w:rsidRPr="005403D9">
        <w:rPr>
          <w:i/>
          <w:iCs/>
          <w:vertAlign w:val="subscript"/>
          <w:lang w:val="en-GB"/>
        </w:rPr>
        <w:t>2</w:t>
      </w:r>
      <w:r w:rsidR="005403D9" w:rsidRPr="005403D9">
        <w:rPr>
          <w:i/>
          <w:iCs/>
          <w:lang w:val="en-GB"/>
        </w:rPr>
        <w:t>)</w:t>
      </w:r>
      <w:r w:rsidR="005403D9">
        <w:rPr>
          <w:lang w:val="en-GB"/>
        </w:rPr>
        <w:t xml:space="preserve"> and </w:t>
      </w:r>
      <w:r w:rsidR="005403D9" w:rsidRPr="005403D9">
        <w:rPr>
          <w:rFonts w:cs="Arial"/>
          <w:i/>
          <w:iCs/>
          <w:lang w:val="en-GB"/>
        </w:rPr>
        <w:t>α</w:t>
      </w:r>
      <w:r w:rsidR="005403D9" w:rsidRPr="005403D9">
        <w:rPr>
          <w:i/>
          <w:iCs/>
          <w:vertAlign w:val="subscript"/>
          <w:lang w:val="en-GB"/>
        </w:rPr>
        <w:t>ideal</w:t>
      </w:r>
      <w:r w:rsidR="005403D9" w:rsidRPr="005403D9">
        <w:rPr>
          <w:i/>
          <w:iCs/>
          <w:lang w:val="en-GB"/>
        </w:rPr>
        <w:t>(CO</w:t>
      </w:r>
      <w:r w:rsidR="005403D9" w:rsidRPr="005403D9">
        <w:rPr>
          <w:i/>
          <w:iCs/>
          <w:vertAlign w:val="subscript"/>
          <w:lang w:val="en-GB"/>
        </w:rPr>
        <w:t>2</w:t>
      </w:r>
      <w:r w:rsidR="005403D9" w:rsidRPr="005403D9">
        <w:rPr>
          <w:i/>
          <w:iCs/>
          <w:lang w:val="en-GB"/>
        </w:rPr>
        <w:t>/CO)</w:t>
      </w:r>
      <w:r w:rsidR="005403D9">
        <w:rPr>
          <w:lang w:val="en-GB"/>
        </w:rPr>
        <w:t xml:space="preserve"> were evaluated.</w:t>
      </w:r>
    </w:p>
    <w:p w14:paraId="63F653A6" w14:textId="300EBC54" w:rsidR="005403D9" w:rsidRDefault="005403D9" w:rsidP="005403D9">
      <w:pPr>
        <w:pStyle w:val="CETheadingx"/>
      </w:pPr>
      <w:r>
        <w:t>Ideal selectivity</w:t>
      </w:r>
    </w:p>
    <w:p w14:paraId="7961C4FA" w14:textId="5FB73C1C" w:rsidR="005946C3" w:rsidRDefault="005403D9" w:rsidP="005946C3">
      <w:pPr>
        <w:pStyle w:val="CETBodytext"/>
        <w:rPr>
          <w:lang w:val="en-GB"/>
        </w:rPr>
      </w:pPr>
      <w:r>
        <w:rPr>
          <w:lang w:val="en-GB"/>
        </w:rPr>
        <w:t>U</w:t>
      </w:r>
      <w:r w:rsidR="00CF50F5">
        <w:rPr>
          <w:lang w:val="en-GB"/>
        </w:rPr>
        <w:t>sing Eq. 1.</w:t>
      </w:r>
      <w:r>
        <w:rPr>
          <w:lang w:val="en-GB"/>
        </w:rPr>
        <w:t>, t</w:t>
      </w:r>
      <w:r w:rsidR="00CF50F5">
        <w:rPr>
          <w:lang w:val="en-GB"/>
        </w:rPr>
        <w:t>he permeances of pure gases were evaluated for different pressure conditions</w:t>
      </w:r>
      <w:r>
        <w:rPr>
          <w:lang w:val="en-GB"/>
        </w:rPr>
        <w:t xml:space="preserve"> and then averaged</w:t>
      </w:r>
      <w:r w:rsidR="00CF50F5">
        <w:rPr>
          <w:lang w:val="en-GB"/>
        </w:rPr>
        <w:t xml:space="preserve">. The spread of the data for the permeances is shown in </w:t>
      </w:r>
      <w:r w:rsidR="0069299A">
        <w:rPr>
          <w:lang w:val="en-GB"/>
        </w:rPr>
        <w:t>Table 2</w:t>
      </w:r>
      <w:r w:rsidR="00CF50F5">
        <w:rPr>
          <w:lang w:val="en-GB"/>
        </w:rPr>
        <w:t xml:space="preserve">. As presented in the authors’ previous publication (Seghman et al., 2021), the data reflect a similar trend as published by other authors using polymeric hollow </w:t>
      </w:r>
      <w:proofErr w:type="spellStart"/>
      <w:r w:rsidR="0069299A">
        <w:rPr>
          <w:lang w:val="en-GB"/>
        </w:rPr>
        <w:t>fiber</w:t>
      </w:r>
      <w:proofErr w:type="spellEnd"/>
      <w:r w:rsidR="00CF50F5">
        <w:rPr>
          <w:lang w:val="en-GB"/>
        </w:rPr>
        <w:t xml:space="preserve"> modules. </w:t>
      </w:r>
      <w:r w:rsidR="0069299A">
        <w:rPr>
          <w:lang w:val="en-GB"/>
        </w:rPr>
        <w:t>Table 2</w:t>
      </w:r>
      <w:r w:rsidR="00CF50F5">
        <w:rPr>
          <w:lang w:val="en-GB"/>
        </w:rPr>
        <w:t xml:space="preserve"> shows the permeances for our module and values presented by Sharifian et al. (2019) and by Huang et al. (2020) that both used a module with similar properties.</w:t>
      </w:r>
    </w:p>
    <w:p w14:paraId="7C8AEC7B" w14:textId="13CD7B76" w:rsidR="00CF50F5" w:rsidRPr="00B57B36" w:rsidRDefault="00CF50F5" w:rsidP="00CF50F5">
      <w:pPr>
        <w:pStyle w:val="CETTabletitle"/>
        <w:keepLines/>
      </w:pPr>
      <w:r w:rsidRPr="00B57B36">
        <w:t xml:space="preserve">Table </w:t>
      </w:r>
      <w:r>
        <w:t>2</w:t>
      </w:r>
      <w:r w:rsidRPr="00B57B36">
        <w:t xml:space="preserve">: </w:t>
      </w:r>
      <w:r>
        <w:t xml:space="preserve">Pure components permeances compared to similar studies in </w:t>
      </w:r>
      <w:r w:rsidR="0069299A">
        <w:t xml:space="preserve">the </w:t>
      </w:r>
      <w:r>
        <w:t>literature presented by Sharifian et al. (2019) and by Huang et al. (2020). (Units from literature sources converted to match.)</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97"/>
        <w:gridCol w:w="2431"/>
        <w:gridCol w:w="2472"/>
        <w:gridCol w:w="2387"/>
      </w:tblGrid>
      <w:tr w:rsidR="00CF50F5" w:rsidRPr="00B57B36" w14:paraId="09B2F703" w14:textId="77777777" w:rsidTr="00332A12">
        <w:trPr>
          <w:trHeight w:val="273"/>
        </w:trPr>
        <w:tc>
          <w:tcPr>
            <w:tcW w:w="1397" w:type="dxa"/>
            <w:tcBorders>
              <w:top w:val="single" w:sz="12" w:space="0" w:color="008000"/>
              <w:bottom w:val="single" w:sz="6" w:space="0" w:color="008000"/>
            </w:tcBorders>
            <w:shd w:val="clear" w:color="auto" w:fill="FFFFFF"/>
          </w:tcPr>
          <w:p w14:paraId="789F2424" w14:textId="77777777" w:rsidR="00CF50F5" w:rsidRPr="00B57B36" w:rsidRDefault="00CF50F5" w:rsidP="00332A12">
            <w:pPr>
              <w:pStyle w:val="CETBodytext"/>
              <w:keepNext/>
              <w:keepLines/>
              <w:rPr>
                <w:lang w:val="en-GB"/>
              </w:rPr>
            </w:pPr>
            <w:r>
              <w:rPr>
                <w:lang w:val="en-GB"/>
              </w:rPr>
              <w:t>Component</w:t>
            </w:r>
          </w:p>
        </w:tc>
        <w:tc>
          <w:tcPr>
            <w:tcW w:w="2431" w:type="dxa"/>
            <w:tcBorders>
              <w:top w:val="single" w:sz="12" w:space="0" w:color="008000"/>
              <w:bottom w:val="single" w:sz="6" w:space="0" w:color="008000"/>
            </w:tcBorders>
            <w:shd w:val="clear" w:color="auto" w:fill="FFFFFF"/>
          </w:tcPr>
          <w:p w14:paraId="0C3A63DB" w14:textId="78B0EF8D" w:rsidR="00CF50F5" w:rsidRDefault="00CF50F5" w:rsidP="00332A12">
            <w:pPr>
              <w:pStyle w:val="CETBodytext"/>
              <w:keepNext/>
              <w:keepLines/>
              <w:ind w:hanging="5"/>
              <w:jc w:val="left"/>
              <w:rPr>
                <w:lang w:val="en-GB"/>
              </w:rPr>
            </w:pPr>
            <w:r>
              <w:rPr>
                <w:lang w:val="en-GB"/>
              </w:rPr>
              <w:t xml:space="preserve"> </w:t>
            </w:r>
            <w:r w:rsidR="00E91B93">
              <w:rPr>
                <w:lang w:val="en-GB"/>
              </w:rPr>
              <w:t>(</w:t>
            </w:r>
            <w:r>
              <w:rPr>
                <w:lang w:val="en-GB"/>
              </w:rPr>
              <w:t>P/</w:t>
            </w:r>
            <w:proofErr w:type="gramStart"/>
            <w:r>
              <w:rPr>
                <w:lang w:val="en-GB"/>
              </w:rPr>
              <w:t>L</w:t>
            </w:r>
            <w:r w:rsidR="00E91B93">
              <w:rPr>
                <w:lang w:val="en-GB"/>
              </w:rPr>
              <w:t>)</w:t>
            </w:r>
            <w:proofErr w:type="spellStart"/>
            <w:r>
              <w:rPr>
                <w:vertAlign w:val="subscript"/>
                <w:lang w:val="en-GB"/>
              </w:rPr>
              <w:t>i</w:t>
            </w:r>
            <w:proofErr w:type="spellEnd"/>
            <w:proofErr w:type="gramEnd"/>
            <w:r>
              <w:rPr>
                <w:lang w:val="en-GB"/>
              </w:rPr>
              <w:t xml:space="preserve"> (nmol s</w:t>
            </w:r>
            <w:r>
              <w:rPr>
                <w:vertAlign w:val="superscript"/>
                <w:lang w:val="en-GB"/>
              </w:rPr>
              <w:t>-1</w:t>
            </w:r>
            <w:r>
              <w:rPr>
                <w:lang w:val="en-GB"/>
              </w:rPr>
              <w:t xml:space="preserve"> m</w:t>
            </w:r>
            <w:r>
              <w:rPr>
                <w:vertAlign w:val="superscript"/>
                <w:lang w:val="en-GB"/>
              </w:rPr>
              <w:t>-2</w:t>
            </w:r>
            <w:r>
              <w:rPr>
                <w:lang w:val="en-GB"/>
              </w:rPr>
              <w:t xml:space="preserve"> Pa</w:t>
            </w:r>
            <w:r>
              <w:rPr>
                <w:vertAlign w:val="superscript"/>
                <w:lang w:val="en-GB"/>
              </w:rPr>
              <w:t>-1</w:t>
            </w:r>
            <w:r>
              <w:rPr>
                <w:lang w:val="en-GB"/>
              </w:rPr>
              <w:t>)</w:t>
            </w:r>
          </w:p>
          <w:p w14:paraId="371575E4" w14:textId="77777777" w:rsidR="00CF50F5" w:rsidRPr="00E149D9" w:rsidRDefault="00CF50F5" w:rsidP="00332A12">
            <w:pPr>
              <w:pStyle w:val="CETBodytext"/>
              <w:keepNext/>
              <w:keepLines/>
              <w:ind w:hanging="5"/>
              <w:jc w:val="left"/>
              <w:rPr>
                <w:lang w:val="en-GB"/>
              </w:rPr>
            </w:pPr>
            <w:r>
              <w:rPr>
                <w:lang w:val="en-GB"/>
              </w:rPr>
              <w:t>measured</w:t>
            </w:r>
          </w:p>
        </w:tc>
        <w:tc>
          <w:tcPr>
            <w:tcW w:w="2472" w:type="dxa"/>
            <w:tcBorders>
              <w:top w:val="single" w:sz="12" w:space="0" w:color="008000"/>
              <w:bottom w:val="single" w:sz="6" w:space="0" w:color="008000"/>
            </w:tcBorders>
            <w:shd w:val="clear" w:color="auto" w:fill="FFFFFF"/>
          </w:tcPr>
          <w:p w14:paraId="4D58818C" w14:textId="3C185343" w:rsidR="00CF50F5" w:rsidRDefault="00E91B93" w:rsidP="00332A12">
            <w:pPr>
              <w:pStyle w:val="CETBodytext"/>
              <w:keepNext/>
              <w:keepLines/>
              <w:rPr>
                <w:lang w:val="en-GB"/>
              </w:rPr>
            </w:pPr>
            <w:r>
              <w:rPr>
                <w:lang w:val="en-GB"/>
              </w:rPr>
              <w:t>(</w:t>
            </w:r>
            <w:r w:rsidR="00CF50F5">
              <w:rPr>
                <w:lang w:val="en-GB"/>
              </w:rPr>
              <w:t>P/</w:t>
            </w:r>
            <w:proofErr w:type="gramStart"/>
            <w:r w:rsidR="00CF50F5">
              <w:rPr>
                <w:lang w:val="en-GB"/>
              </w:rPr>
              <w:t>L</w:t>
            </w:r>
            <w:r>
              <w:rPr>
                <w:lang w:val="en-GB"/>
              </w:rPr>
              <w:t>)</w:t>
            </w:r>
            <w:proofErr w:type="spellStart"/>
            <w:r w:rsidR="00CF50F5" w:rsidRPr="00696316">
              <w:rPr>
                <w:vertAlign w:val="subscript"/>
                <w:lang w:val="en-GB"/>
              </w:rPr>
              <w:t>i</w:t>
            </w:r>
            <w:proofErr w:type="spellEnd"/>
            <w:proofErr w:type="gramEnd"/>
            <w:r w:rsidR="00CF50F5">
              <w:rPr>
                <w:lang w:val="en-GB"/>
              </w:rPr>
              <w:t xml:space="preserve"> (nmol s</w:t>
            </w:r>
            <w:r w:rsidR="00CF50F5">
              <w:rPr>
                <w:vertAlign w:val="superscript"/>
                <w:lang w:val="en-GB"/>
              </w:rPr>
              <w:t>-1</w:t>
            </w:r>
            <w:r w:rsidR="00CF50F5">
              <w:rPr>
                <w:lang w:val="en-GB"/>
              </w:rPr>
              <w:t xml:space="preserve"> m</w:t>
            </w:r>
            <w:r w:rsidR="00CF50F5">
              <w:rPr>
                <w:vertAlign w:val="superscript"/>
                <w:lang w:val="en-GB"/>
              </w:rPr>
              <w:t>-2</w:t>
            </w:r>
            <w:r w:rsidR="00CF50F5">
              <w:rPr>
                <w:lang w:val="en-GB"/>
              </w:rPr>
              <w:t xml:space="preserve"> Pa</w:t>
            </w:r>
            <w:r w:rsidR="00CF50F5">
              <w:rPr>
                <w:vertAlign w:val="superscript"/>
                <w:lang w:val="en-GB"/>
              </w:rPr>
              <w:t>-1</w:t>
            </w:r>
            <w:r w:rsidR="00CF50F5">
              <w:rPr>
                <w:lang w:val="en-GB"/>
              </w:rPr>
              <w:t>)</w:t>
            </w:r>
          </w:p>
          <w:p w14:paraId="576EA9E8" w14:textId="77777777" w:rsidR="00CF50F5" w:rsidRPr="00753E7A" w:rsidRDefault="00CF50F5" w:rsidP="00332A12">
            <w:pPr>
              <w:pStyle w:val="CETBodytext"/>
              <w:keepNext/>
              <w:keepLines/>
              <w:rPr>
                <w:lang w:val="en-GB"/>
              </w:rPr>
            </w:pPr>
            <w:r>
              <w:rPr>
                <w:lang w:val="en-GB"/>
              </w:rPr>
              <w:t>Sharifian et al. (2019)</w:t>
            </w:r>
          </w:p>
        </w:tc>
        <w:tc>
          <w:tcPr>
            <w:tcW w:w="2387" w:type="dxa"/>
            <w:tcBorders>
              <w:top w:val="single" w:sz="12" w:space="0" w:color="008000"/>
              <w:bottom w:val="single" w:sz="6" w:space="0" w:color="008000"/>
            </w:tcBorders>
            <w:shd w:val="clear" w:color="auto" w:fill="FFFFFF"/>
          </w:tcPr>
          <w:p w14:paraId="4B78FF26" w14:textId="6A630C75" w:rsidR="00CF50F5" w:rsidRDefault="00E91B93" w:rsidP="00332A12">
            <w:pPr>
              <w:pStyle w:val="CETBodytext"/>
              <w:keepNext/>
              <w:keepLines/>
              <w:rPr>
                <w:lang w:val="en-GB"/>
              </w:rPr>
            </w:pPr>
            <w:r>
              <w:rPr>
                <w:lang w:val="en-GB"/>
              </w:rPr>
              <w:t>(</w:t>
            </w:r>
            <w:r w:rsidR="00CF50F5">
              <w:rPr>
                <w:lang w:val="en-GB"/>
              </w:rPr>
              <w:t>P/</w:t>
            </w:r>
            <w:proofErr w:type="gramStart"/>
            <w:r w:rsidR="00CF50F5">
              <w:rPr>
                <w:lang w:val="en-GB"/>
              </w:rPr>
              <w:t>L</w:t>
            </w:r>
            <w:r>
              <w:rPr>
                <w:lang w:val="en-GB"/>
              </w:rPr>
              <w:t>)</w:t>
            </w:r>
            <w:proofErr w:type="spellStart"/>
            <w:r w:rsidR="00CF50F5">
              <w:rPr>
                <w:vertAlign w:val="subscript"/>
                <w:lang w:val="en-GB"/>
              </w:rPr>
              <w:t>i</w:t>
            </w:r>
            <w:proofErr w:type="spellEnd"/>
            <w:proofErr w:type="gramEnd"/>
            <w:r w:rsidR="00CF50F5">
              <w:rPr>
                <w:lang w:val="en-GB"/>
              </w:rPr>
              <w:t xml:space="preserve"> (nmol s</w:t>
            </w:r>
            <w:r w:rsidR="00CF50F5">
              <w:rPr>
                <w:vertAlign w:val="superscript"/>
                <w:lang w:val="en-GB"/>
              </w:rPr>
              <w:t>-1</w:t>
            </w:r>
            <w:r w:rsidR="00CF50F5">
              <w:rPr>
                <w:lang w:val="en-GB"/>
              </w:rPr>
              <w:t xml:space="preserve"> m</w:t>
            </w:r>
            <w:r w:rsidR="00CF50F5">
              <w:rPr>
                <w:vertAlign w:val="superscript"/>
                <w:lang w:val="en-GB"/>
              </w:rPr>
              <w:t>-2</w:t>
            </w:r>
            <w:r w:rsidR="00CF50F5">
              <w:rPr>
                <w:lang w:val="en-GB"/>
              </w:rPr>
              <w:t xml:space="preserve"> Pa</w:t>
            </w:r>
            <w:r w:rsidR="00CF50F5">
              <w:rPr>
                <w:vertAlign w:val="superscript"/>
                <w:lang w:val="en-GB"/>
              </w:rPr>
              <w:t>-1</w:t>
            </w:r>
            <w:r w:rsidR="00CF50F5">
              <w:rPr>
                <w:lang w:val="en-GB"/>
              </w:rPr>
              <w:t>)</w:t>
            </w:r>
          </w:p>
          <w:p w14:paraId="7BE134C9" w14:textId="77777777" w:rsidR="00CF50F5" w:rsidRPr="00696316" w:rsidRDefault="00CF50F5" w:rsidP="00332A12">
            <w:pPr>
              <w:pStyle w:val="CETBodytext"/>
              <w:keepNext/>
              <w:keepLines/>
              <w:rPr>
                <w:lang w:val="en-GB"/>
              </w:rPr>
            </w:pPr>
            <w:r>
              <w:rPr>
                <w:lang w:val="en-GB"/>
              </w:rPr>
              <w:t>Huang et al. (2020)</w:t>
            </w:r>
          </w:p>
        </w:tc>
      </w:tr>
      <w:tr w:rsidR="00CF50F5" w:rsidRPr="00B57B36" w14:paraId="5F153306" w14:textId="77777777" w:rsidTr="00332A12">
        <w:trPr>
          <w:trHeight w:val="259"/>
        </w:trPr>
        <w:tc>
          <w:tcPr>
            <w:tcW w:w="1397" w:type="dxa"/>
            <w:shd w:val="clear" w:color="auto" w:fill="FFFFFF"/>
          </w:tcPr>
          <w:p w14:paraId="31BAE876" w14:textId="77777777" w:rsidR="00CF50F5" w:rsidRPr="00F265E8" w:rsidRDefault="00CF50F5" w:rsidP="00332A12">
            <w:pPr>
              <w:pStyle w:val="CETBodytext"/>
              <w:keepNext/>
              <w:keepLines/>
              <w:rPr>
                <w:vertAlign w:val="subscript"/>
                <w:lang w:val="en-GB"/>
              </w:rPr>
            </w:pPr>
            <w:r>
              <w:rPr>
                <w:lang w:val="en-GB"/>
              </w:rPr>
              <w:t>H</w:t>
            </w:r>
            <w:r w:rsidRPr="00F265E8">
              <w:rPr>
                <w:vertAlign w:val="subscript"/>
                <w:lang w:val="en-GB"/>
              </w:rPr>
              <w:t>2</w:t>
            </w:r>
          </w:p>
        </w:tc>
        <w:tc>
          <w:tcPr>
            <w:tcW w:w="2431" w:type="dxa"/>
            <w:shd w:val="clear" w:color="auto" w:fill="FFFFFF"/>
          </w:tcPr>
          <w:p w14:paraId="6A74BD73" w14:textId="77777777" w:rsidR="00CF50F5" w:rsidRPr="00B57B36" w:rsidRDefault="00CF50F5" w:rsidP="00332A12">
            <w:pPr>
              <w:pStyle w:val="CETBodytext"/>
              <w:keepNext/>
              <w:keepLines/>
              <w:tabs>
                <w:tab w:val="decimal" w:pos="725"/>
              </w:tabs>
              <w:jc w:val="left"/>
              <w:rPr>
                <w:lang w:val="en-GB"/>
              </w:rPr>
            </w:pPr>
            <w:r>
              <w:rPr>
                <w:lang w:val="en-GB"/>
              </w:rPr>
              <w:t xml:space="preserve">61.40 </w:t>
            </w:r>
            <w:r>
              <w:rPr>
                <w:rFonts w:cs="Arial"/>
                <w:lang w:val="en-GB"/>
              </w:rPr>
              <w:t>± 2.80</w:t>
            </w:r>
          </w:p>
        </w:tc>
        <w:tc>
          <w:tcPr>
            <w:tcW w:w="2472" w:type="dxa"/>
            <w:shd w:val="clear" w:color="auto" w:fill="FFFFFF"/>
          </w:tcPr>
          <w:p w14:paraId="1B94C2AA" w14:textId="77777777" w:rsidR="00CF50F5" w:rsidRDefault="00CF50F5" w:rsidP="00332A12">
            <w:pPr>
              <w:pStyle w:val="CETBodytext"/>
              <w:keepNext/>
              <w:keepLines/>
              <w:rPr>
                <w:lang w:val="en-GB"/>
              </w:rPr>
            </w:pPr>
            <w:r>
              <w:rPr>
                <w:lang w:val="en-GB"/>
              </w:rPr>
              <w:t>97.10</w:t>
            </w:r>
          </w:p>
        </w:tc>
        <w:tc>
          <w:tcPr>
            <w:tcW w:w="2387" w:type="dxa"/>
            <w:shd w:val="clear" w:color="auto" w:fill="FFFFFF"/>
          </w:tcPr>
          <w:p w14:paraId="34FCBE16" w14:textId="77777777" w:rsidR="00CF50F5" w:rsidRDefault="00CF50F5" w:rsidP="00332A12">
            <w:pPr>
              <w:pStyle w:val="CETBodytext"/>
              <w:keepNext/>
              <w:keepLines/>
              <w:rPr>
                <w:lang w:val="en-GB"/>
              </w:rPr>
            </w:pPr>
            <w:r>
              <w:rPr>
                <w:lang w:val="en-GB"/>
              </w:rPr>
              <w:t>241.0</w:t>
            </w:r>
          </w:p>
        </w:tc>
      </w:tr>
      <w:tr w:rsidR="00CF50F5" w:rsidRPr="00B57B36" w14:paraId="76450C36" w14:textId="77777777" w:rsidTr="00332A12">
        <w:trPr>
          <w:trHeight w:val="273"/>
        </w:trPr>
        <w:tc>
          <w:tcPr>
            <w:tcW w:w="1397" w:type="dxa"/>
            <w:shd w:val="clear" w:color="auto" w:fill="FFFFFF"/>
          </w:tcPr>
          <w:p w14:paraId="4B534FA3" w14:textId="77777777" w:rsidR="00CF50F5" w:rsidRPr="00B57B36" w:rsidRDefault="00CF50F5" w:rsidP="00332A12">
            <w:pPr>
              <w:pStyle w:val="CETBodytext"/>
              <w:keepNext/>
              <w:keepLines/>
              <w:ind w:right="-1"/>
              <w:rPr>
                <w:rFonts w:cs="Arial"/>
                <w:szCs w:val="18"/>
                <w:lang w:val="en-GB"/>
              </w:rPr>
            </w:pPr>
            <w:r>
              <w:rPr>
                <w:rFonts w:cs="Arial"/>
                <w:szCs w:val="18"/>
                <w:lang w:val="en-GB"/>
              </w:rPr>
              <w:t>CO</w:t>
            </w:r>
          </w:p>
        </w:tc>
        <w:tc>
          <w:tcPr>
            <w:tcW w:w="2431" w:type="dxa"/>
            <w:shd w:val="clear" w:color="auto" w:fill="FFFFFF"/>
          </w:tcPr>
          <w:p w14:paraId="5622ED9D" w14:textId="77777777" w:rsidR="00CF50F5" w:rsidRPr="00B57B36" w:rsidRDefault="00CF50F5" w:rsidP="00332A12">
            <w:pPr>
              <w:pStyle w:val="CETBodytext"/>
              <w:keepNext/>
              <w:keepLines/>
              <w:tabs>
                <w:tab w:val="decimal" w:pos="725"/>
              </w:tabs>
              <w:ind w:right="-1"/>
              <w:jc w:val="left"/>
              <w:rPr>
                <w:rFonts w:cs="Arial"/>
                <w:szCs w:val="18"/>
                <w:lang w:val="en-GB"/>
              </w:rPr>
            </w:pPr>
            <w:r>
              <w:rPr>
                <w:rFonts w:cs="Arial"/>
                <w:szCs w:val="18"/>
                <w:lang w:val="en-GB"/>
              </w:rPr>
              <w:t xml:space="preserve">  1.00 </w:t>
            </w:r>
            <w:r>
              <w:rPr>
                <w:rFonts w:cs="Arial"/>
                <w:lang w:val="en-GB"/>
              </w:rPr>
              <w:t>± 0.03</w:t>
            </w:r>
          </w:p>
        </w:tc>
        <w:tc>
          <w:tcPr>
            <w:tcW w:w="2472" w:type="dxa"/>
            <w:shd w:val="clear" w:color="auto" w:fill="FFFFFF"/>
          </w:tcPr>
          <w:p w14:paraId="1502923B" w14:textId="77777777" w:rsidR="00CF50F5" w:rsidRDefault="00CF50F5" w:rsidP="00332A12">
            <w:pPr>
              <w:pStyle w:val="CETBodytext"/>
              <w:keepNext/>
              <w:keepLines/>
              <w:ind w:right="-1"/>
              <w:rPr>
                <w:rFonts w:cs="Arial"/>
                <w:szCs w:val="18"/>
                <w:lang w:val="en-GB"/>
              </w:rPr>
            </w:pPr>
            <w:r>
              <w:rPr>
                <w:rFonts w:cs="Arial"/>
                <w:szCs w:val="18"/>
                <w:lang w:val="en-GB"/>
              </w:rPr>
              <w:t xml:space="preserve">  1.28</w:t>
            </w:r>
          </w:p>
        </w:tc>
        <w:tc>
          <w:tcPr>
            <w:tcW w:w="2387" w:type="dxa"/>
            <w:shd w:val="clear" w:color="auto" w:fill="FFFFFF"/>
          </w:tcPr>
          <w:p w14:paraId="1EB08E05" w14:textId="77777777" w:rsidR="00CF50F5" w:rsidRDefault="00CF50F5" w:rsidP="00332A12">
            <w:pPr>
              <w:pStyle w:val="CETBodytext"/>
              <w:keepNext/>
              <w:keepLines/>
              <w:ind w:right="-1"/>
              <w:rPr>
                <w:rFonts w:cs="Arial"/>
                <w:szCs w:val="18"/>
                <w:lang w:val="en-GB"/>
              </w:rPr>
            </w:pPr>
            <w:r>
              <w:rPr>
                <w:rFonts w:cs="Arial"/>
                <w:szCs w:val="18"/>
                <w:lang w:val="en-GB"/>
              </w:rPr>
              <w:t xml:space="preserve">   </w:t>
            </w:r>
            <w:r w:rsidRPr="00FC4CFD">
              <w:rPr>
                <w:rFonts w:cs="Arial"/>
                <w:sz w:val="12"/>
                <w:szCs w:val="12"/>
                <w:lang w:val="en-GB"/>
              </w:rPr>
              <w:t xml:space="preserve"> </w:t>
            </w:r>
            <w:r>
              <w:rPr>
                <w:rFonts w:cs="Arial"/>
                <w:szCs w:val="18"/>
                <w:lang w:val="en-GB"/>
              </w:rPr>
              <w:t>8.7</w:t>
            </w:r>
          </w:p>
        </w:tc>
      </w:tr>
      <w:tr w:rsidR="00CF50F5" w:rsidRPr="00B57B36" w14:paraId="74F324FD" w14:textId="77777777" w:rsidTr="00332A12">
        <w:trPr>
          <w:trHeight w:val="273"/>
        </w:trPr>
        <w:tc>
          <w:tcPr>
            <w:tcW w:w="1397" w:type="dxa"/>
            <w:shd w:val="clear" w:color="auto" w:fill="FFFFFF"/>
          </w:tcPr>
          <w:p w14:paraId="51F26EE0" w14:textId="77777777" w:rsidR="00CF50F5" w:rsidRPr="00F265E8" w:rsidRDefault="00CF50F5" w:rsidP="00332A12">
            <w:pPr>
              <w:pStyle w:val="CETBodytext"/>
              <w:keepNext/>
              <w:keepLines/>
              <w:ind w:right="-1"/>
              <w:rPr>
                <w:rFonts w:cs="Arial"/>
                <w:szCs w:val="18"/>
                <w:vertAlign w:val="subscript"/>
                <w:lang w:val="en-GB"/>
              </w:rPr>
            </w:pPr>
            <w:r>
              <w:rPr>
                <w:rFonts w:cs="Arial"/>
                <w:szCs w:val="18"/>
                <w:lang w:val="en-GB"/>
              </w:rPr>
              <w:t>CO</w:t>
            </w:r>
            <w:r>
              <w:rPr>
                <w:rFonts w:cs="Arial"/>
                <w:szCs w:val="18"/>
                <w:vertAlign w:val="subscript"/>
                <w:lang w:val="en-GB"/>
              </w:rPr>
              <w:t>2</w:t>
            </w:r>
          </w:p>
        </w:tc>
        <w:tc>
          <w:tcPr>
            <w:tcW w:w="2431" w:type="dxa"/>
            <w:shd w:val="clear" w:color="auto" w:fill="FFFFFF"/>
          </w:tcPr>
          <w:p w14:paraId="5C945992" w14:textId="77777777" w:rsidR="00CF50F5" w:rsidRPr="00B57B36" w:rsidRDefault="00CF50F5" w:rsidP="00332A12">
            <w:pPr>
              <w:pStyle w:val="CETBodytext"/>
              <w:keepNext/>
              <w:keepLines/>
              <w:tabs>
                <w:tab w:val="decimal" w:pos="725"/>
              </w:tabs>
              <w:ind w:right="-1"/>
              <w:jc w:val="left"/>
              <w:rPr>
                <w:rFonts w:cs="Arial"/>
                <w:szCs w:val="18"/>
                <w:lang w:val="en-GB"/>
              </w:rPr>
            </w:pPr>
            <w:r>
              <w:rPr>
                <w:rFonts w:cs="Arial"/>
                <w:szCs w:val="18"/>
                <w:lang w:val="en-GB"/>
              </w:rPr>
              <w:t xml:space="preserve">15.20 </w:t>
            </w:r>
            <w:r>
              <w:rPr>
                <w:rFonts w:cs="Arial"/>
                <w:lang w:val="en-GB"/>
              </w:rPr>
              <w:t>± 0.50</w:t>
            </w:r>
          </w:p>
        </w:tc>
        <w:tc>
          <w:tcPr>
            <w:tcW w:w="2472" w:type="dxa"/>
            <w:shd w:val="clear" w:color="auto" w:fill="FFFFFF"/>
          </w:tcPr>
          <w:p w14:paraId="423D19D8" w14:textId="77777777" w:rsidR="00CF50F5" w:rsidRDefault="00CF50F5" w:rsidP="00332A12">
            <w:pPr>
              <w:pStyle w:val="CETBodytext"/>
              <w:keepNext/>
              <w:keepLines/>
              <w:ind w:right="-1"/>
              <w:rPr>
                <w:rFonts w:cs="Arial"/>
                <w:szCs w:val="18"/>
                <w:lang w:val="en-GB"/>
              </w:rPr>
            </w:pPr>
            <w:r>
              <w:rPr>
                <w:rFonts w:cs="Arial"/>
                <w:szCs w:val="18"/>
                <w:lang w:val="en-GB"/>
              </w:rPr>
              <w:t>31.10</w:t>
            </w:r>
          </w:p>
        </w:tc>
        <w:tc>
          <w:tcPr>
            <w:tcW w:w="2387" w:type="dxa"/>
            <w:shd w:val="clear" w:color="auto" w:fill="FFFFFF"/>
          </w:tcPr>
          <w:p w14:paraId="3D154B36" w14:textId="77777777" w:rsidR="00CF50F5" w:rsidRDefault="00CF50F5" w:rsidP="00332A12">
            <w:pPr>
              <w:pStyle w:val="CETBodytext"/>
              <w:keepNext/>
              <w:keepLines/>
              <w:ind w:right="-1"/>
              <w:rPr>
                <w:rFonts w:cs="Arial"/>
                <w:szCs w:val="18"/>
                <w:lang w:val="en-GB"/>
              </w:rPr>
            </w:pPr>
            <w:r>
              <w:rPr>
                <w:rFonts w:cs="Arial"/>
                <w:szCs w:val="18"/>
                <w:lang w:val="en-GB"/>
              </w:rPr>
              <w:t xml:space="preserve"> 67.0</w:t>
            </w:r>
          </w:p>
        </w:tc>
      </w:tr>
    </w:tbl>
    <w:p w14:paraId="2EDEFDF7" w14:textId="77777777" w:rsidR="00CF50F5" w:rsidRDefault="00CF50F5" w:rsidP="00CF50F5">
      <w:pPr>
        <w:pStyle w:val="CETBodytext"/>
      </w:pPr>
    </w:p>
    <w:p w14:paraId="17E58812" w14:textId="15999FCF" w:rsidR="00CF50F5" w:rsidRPr="00671B29" w:rsidRDefault="00CF50F5" w:rsidP="005946C3">
      <w:pPr>
        <w:pStyle w:val="CETBodytext"/>
        <w:rPr>
          <w:lang w:val="en-GB"/>
        </w:rPr>
      </w:pPr>
      <w:r>
        <w:rPr>
          <w:lang w:val="en-GB"/>
        </w:rPr>
        <w:t xml:space="preserve">Based on the pure </w:t>
      </w:r>
      <w:r w:rsidR="0069299A">
        <w:rPr>
          <w:lang w:val="en-GB"/>
        </w:rPr>
        <w:t>components’</w:t>
      </w:r>
      <w:r>
        <w:rPr>
          <w:lang w:val="en-GB"/>
        </w:rPr>
        <w:t xml:space="preserve"> permeances, the ideal selectivity for the combinations H</w:t>
      </w:r>
      <w:r>
        <w:rPr>
          <w:vertAlign w:val="subscript"/>
          <w:lang w:val="en-GB"/>
        </w:rPr>
        <w:t>2</w:t>
      </w:r>
      <w:r>
        <w:rPr>
          <w:lang w:val="en-GB"/>
        </w:rPr>
        <w:t>/CO</w:t>
      </w:r>
      <w:r>
        <w:rPr>
          <w:vertAlign w:val="subscript"/>
          <w:lang w:val="en-GB"/>
        </w:rPr>
        <w:t>2</w:t>
      </w:r>
      <w:r>
        <w:rPr>
          <w:lang w:val="en-GB"/>
        </w:rPr>
        <w:t xml:space="preserve"> and CO</w:t>
      </w:r>
      <w:r>
        <w:rPr>
          <w:vertAlign w:val="subscript"/>
          <w:lang w:val="en-GB"/>
        </w:rPr>
        <w:t>2</w:t>
      </w:r>
      <w:r>
        <w:rPr>
          <w:lang w:val="en-GB"/>
        </w:rPr>
        <w:t>/CO can be evaluated as shown in Eq. 3.</w:t>
      </w:r>
      <w:r w:rsidR="005403D9">
        <w:rPr>
          <w:lang w:val="en-GB"/>
        </w:rPr>
        <w:t xml:space="preserve"> The values for the ideal selectivities are </w:t>
      </w:r>
      <w:r w:rsidR="005403D9" w:rsidRPr="005403D9">
        <w:rPr>
          <w:rFonts w:cs="Arial"/>
          <w:i/>
          <w:iCs/>
          <w:lang w:val="en-GB"/>
        </w:rPr>
        <w:t>α</w:t>
      </w:r>
      <w:r w:rsidR="005403D9" w:rsidRPr="005403D9">
        <w:rPr>
          <w:rFonts w:cs="Arial"/>
          <w:i/>
          <w:iCs/>
          <w:vertAlign w:val="subscript"/>
          <w:lang w:val="en-GB"/>
        </w:rPr>
        <w:t>ideal</w:t>
      </w:r>
      <w:r w:rsidR="005403D9" w:rsidRPr="005403D9">
        <w:rPr>
          <w:i/>
          <w:iCs/>
          <w:lang w:val="en-GB"/>
        </w:rPr>
        <w:t>(H</w:t>
      </w:r>
      <w:r w:rsidR="005403D9" w:rsidRPr="005403D9">
        <w:rPr>
          <w:i/>
          <w:iCs/>
          <w:vertAlign w:val="subscript"/>
          <w:lang w:val="en-GB"/>
        </w:rPr>
        <w:t>2</w:t>
      </w:r>
      <w:r w:rsidR="005403D9" w:rsidRPr="005403D9">
        <w:rPr>
          <w:i/>
          <w:iCs/>
          <w:lang w:val="en-GB"/>
        </w:rPr>
        <w:t>/CO</w:t>
      </w:r>
      <w:r w:rsidR="005403D9" w:rsidRPr="005403D9">
        <w:rPr>
          <w:i/>
          <w:iCs/>
          <w:vertAlign w:val="subscript"/>
          <w:lang w:val="en-GB"/>
        </w:rPr>
        <w:t>2</w:t>
      </w:r>
      <w:r w:rsidR="005403D9" w:rsidRPr="005403D9">
        <w:rPr>
          <w:i/>
          <w:iCs/>
          <w:lang w:val="en-GB"/>
        </w:rPr>
        <w:t>)</w:t>
      </w:r>
      <w:r w:rsidR="005403D9">
        <w:rPr>
          <w:lang w:val="en-GB"/>
        </w:rPr>
        <w:t xml:space="preserve"> = 3.21 and </w:t>
      </w:r>
      <w:r w:rsidR="005403D9" w:rsidRPr="005403D9">
        <w:rPr>
          <w:rFonts w:cs="Arial"/>
          <w:i/>
          <w:iCs/>
          <w:lang w:val="en-GB"/>
        </w:rPr>
        <w:t>α</w:t>
      </w:r>
      <w:r w:rsidR="005403D9" w:rsidRPr="005403D9">
        <w:rPr>
          <w:rFonts w:cs="Arial"/>
          <w:i/>
          <w:iCs/>
          <w:vertAlign w:val="subscript"/>
          <w:lang w:val="en-GB"/>
        </w:rPr>
        <w:t>ideal</w:t>
      </w:r>
      <w:r w:rsidR="005403D9" w:rsidRPr="005403D9">
        <w:rPr>
          <w:i/>
          <w:iCs/>
          <w:lang w:val="en-GB"/>
        </w:rPr>
        <w:t>(H</w:t>
      </w:r>
      <w:r w:rsidR="005403D9" w:rsidRPr="005403D9">
        <w:rPr>
          <w:i/>
          <w:iCs/>
          <w:vertAlign w:val="subscript"/>
          <w:lang w:val="en-GB"/>
        </w:rPr>
        <w:t>2</w:t>
      </w:r>
      <w:r w:rsidR="005403D9" w:rsidRPr="005403D9">
        <w:rPr>
          <w:i/>
          <w:iCs/>
          <w:lang w:val="en-GB"/>
        </w:rPr>
        <w:t>/CO</w:t>
      </w:r>
      <w:r w:rsidR="005403D9" w:rsidRPr="005403D9">
        <w:rPr>
          <w:i/>
          <w:iCs/>
          <w:vertAlign w:val="subscript"/>
          <w:lang w:val="en-GB"/>
        </w:rPr>
        <w:t>2</w:t>
      </w:r>
      <w:r w:rsidR="005403D9" w:rsidRPr="005403D9">
        <w:rPr>
          <w:i/>
          <w:iCs/>
          <w:lang w:val="en-GB"/>
        </w:rPr>
        <w:t>)</w:t>
      </w:r>
      <w:r w:rsidR="005403D9">
        <w:rPr>
          <w:lang w:val="en-GB"/>
        </w:rPr>
        <w:t xml:space="preserve"> = 14.77. </w:t>
      </w:r>
      <w:r w:rsidR="00671B29">
        <w:rPr>
          <w:lang w:val="en-GB"/>
        </w:rPr>
        <w:t xml:space="preserve">Similar values were obtained by Abdul Hamid et al. (2019) with </w:t>
      </w:r>
      <w:r w:rsidR="00671B29" w:rsidRPr="005403D9">
        <w:rPr>
          <w:rFonts w:cs="Arial"/>
          <w:i/>
          <w:iCs/>
          <w:lang w:val="en-GB"/>
        </w:rPr>
        <w:t>α</w:t>
      </w:r>
      <w:r w:rsidR="00671B29" w:rsidRPr="005403D9">
        <w:rPr>
          <w:i/>
          <w:iCs/>
          <w:lang w:val="en-GB"/>
        </w:rPr>
        <w:t>(H</w:t>
      </w:r>
      <w:r w:rsidR="00671B29" w:rsidRPr="005403D9">
        <w:rPr>
          <w:i/>
          <w:iCs/>
          <w:vertAlign w:val="subscript"/>
          <w:lang w:val="en-GB"/>
        </w:rPr>
        <w:t>2</w:t>
      </w:r>
      <w:r w:rsidR="00671B29" w:rsidRPr="005403D9">
        <w:rPr>
          <w:i/>
          <w:iCs/>
          <w:lang w:val="en-GB"/>
        </w:rPr>
        <w:t>/CO</w:t>
      </w:r>
      <w:r w:rsidR="00671B29" w:rsidRPr="005403D9">
        <w:rPr>
          <w:i/>
          <w:iCs/>
          <w:vertAlign w:val="subscript"/>
          <w:lang w:val="en-GB"/>
        </w:rPr>
        <w:t>2</w:t>
      </w:r>
      <w:r w:rsidR="00671B29" w:rsidRPr="005403D9">
        <w:rPr>
          <w:i/>
          <w:iCs/>
          <w:lang w:val="en-GB"/>
        </w:rPr>
        <w:t>)</w:t>
      </w:r>
      <w:r w:rsidR="00671B29">
        <w:rPr>
          <w:lang w:val="en-GB"/>
        </w:rPr>
        <w:t xml:space="preserve"> ranging from 1.5 to 4 for different polymers (polyimide, </w:t>
      </w:r>
      <w:proofErr w:type="spellStart"/>
      <w:r w:rsidR="00671B29">
        <w:rPr>
          <w:lang w:val="en-GB"/>
        </w:rPr>
        <w:t>polysulfone</w:t>
      </w:r>
      <w:proofErr w:type="spellEnd"/>
      <w:r w:rsidR="0069299A">
        <w:rPr>
          <w:lang w:val="en-GB"/>
        </w:rPr>
        <w:t>,</w:t>
      </w:r>
      <w:r w:rsidR="00671B29">
        <w:rPr>
          <w:lang w:val="en-GB"/>
        </w:rPr>
        <w:t xml:space="preserve"> and their mixture).</w:t>
      </w:r>
    </w:p>
    <w:p w14:paraId="71AE9520" w14:textId="7FE84B08" w:rsidR="005403D9" w:rsidRDefault="005403D9" w:rsidP="005403D9">
      <w:pPr>
        <w:pStyle w:val="CETheadingx"/>
      </w:pPr>
      <w:r>
        <w:t>Selectivity for varying permeate pressure</w:t>
      </w:r>
    </w:p>
    <w:p w14:paraId="594AD81C" w14:textId="51489219" w:rsidR="00012B94" w:rsidRPr="00E71808" w:rsidRDefault="00012B94" w:rsidP="00012B94">
      <w:pPr>
        <w:pStyle w:val="CETBodytext"/>
        <w:rPr>
          <w:lang w:val="en-GB"/>
        </w:rPr>
      </w:pPr>
      <w:r>
        <w:rPr>
          <w:lang w:val="en-GB"/>
        </w:rPr>
        <w:t xml:space="preserve">The permeate pressure is one of the parameters that </w:t>
      </w:r>
      <w:r w:rsidR="0069299A">
        <w:rPr>
          <w:lang w:val="en-GB"/>
        </w:rPr>
        <w:t>affect</w:t>
      </w:r>
      <w:r>
        <w:rPr>
          <w:lang w:val="en-GB"/>
        </w:rPr>
        <w:t xml:space="preserve"> the overall separation process. Three different permeate pressure levels were tested for the three model mixtures. Figure 2 show the differences in selectivities for three permeate pressure levels (</w:t>
      </w:r>
      <w:r>
        <w:rPr>
          <w:i/>
          <w:iCs/>
          <w:lang w:val="en-GB"/>
        </w:rPr>
        <w:t>p</w:t>
      </w:r>
      <w:r>
        <w:rPr>
          <w:i/>
          <w:iCs/>
          <w:vertAlign w:val="subscript"/>
          <w:lang w:val="en-GB"/>
        </w:rPr>
        <w:t>P</w:t>
      </w:r>
      <w:r>
        <w:rPr>
          <w:i/>
          <w:iCs/>
          <w:lang w:val="en-GB"/>
        </w:rPr>
        <w:t xml:space="preserve"> = </w:t>
      </w:r>
      <w:r w:rsidRPr="00012B94">
        <w:rPr>
          <w:lang w:val="en-GB"/>
        </w:rPr>
        <w:t xml:space="preserve">1.2 </w:t>
      </w:r>
      <w:r w:rsidR="00A214C6">
        <w:rPr>
          <w:lang w:val="en-GB"/>
        </w:rPr>
        <w:t xml:space="preserve">/ 2.5 / </w:t>
      </w:r>
      <w:r>
        <w:rPr>
          <w:lang w:val="en-GB"/>
        </w:rPr>
        <w:t>4.0</w:t>
      </w:r>
      <w:r w:rsidRPr="00012B94">
        <w:rPr>
          <w:lang w:val="en-GB"/>
        </w:rPr>
        <w:t xml:space="preserve"> bar</w:t>
      </w:r>
      <w:r>
        <w:rPr>
          <w:lang w:val="en-GB"/>
        </w:rPr>
        <w:t>) tested on mixture</w:t>
      </w:r>
      <w:r w:rsidR="00164A5F">
        <w:rPr>
          <w:lang w:val="en-GB"/>
        </w:rPr>
        <w:t xml:space="preserve"> </w:t>
      </w:r>
      <w:r>
        <w:rPr>
          <w:lang w:val="en-GB"/>
        </w:rPr>
        <w:t>15-35-5</w:t>
      </w:r>
      <w:r w:rsidR="000C5480">
        <w:rPr>
          <w:lang w:val="en-GB"/>
        </w:rPr>
        <w:t>0</w:t>
      </w:r>
      <w:r>
        <w:rPr>
          <w:lang w:val="en-GB"/>
        </w:rPr>
        <w:t>.</w:t>
      </w:r>
    </w:p>
    <w:p w14:paraId="1A38B1B3" w14:textId="7718654E" w:rsidR="00E71808" w:rsidRPr="00012B94" w:rsidRDefault="00E71808" w:rsidP="00012B94">
      <w:pPr>
        <w:pStyle w:val="CETBodytext"/>
        <w:rPr>
          <w:i/>
          <w:iCs/>
          <w:lang w:val="en-GB"/>
        </w:rPr>
      </w:pPr>
      <w:r>
        <w:rPr>
          <w:i/>
          <w:iCs/>
          <w:noProof/>
          <w:lang w:val="en-GB"/>
        </w:rPr>
        <w:drawing>
          <wp:inline distT="0" distB="0" distL="0" distR="0" wp14:anchorId="7041FAC7" wp14:editId="6BCB0931">
            <wp:extent cx="2514988" cy="2064463"/>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848" cy="2095541"/>
                    </a:xfrm>
                    <a:prstGeom prst="rect">
                      <a:avLst/>
                    </a:prstGeom>
                    <a:noFill/>
                  </pic:spPr>
                </pic:pic>
              </a:graphicData>
            </a:graphic>
          </wp:inline>
        </w:drawing>
      </w:r>
      <w:r>
        <w:rPr>
          <w:i/>
          <w:iCs/>
          <w:noProof/>
          <w:lang w:val="en-GB"/>
        </w:rPr>
        <w:drawing>
          <wp:inline distT="0" distB="0" distL="0" distR="0" wp14:anchorId="6E1176E5" wp14:editId="058A7E08">
            <wp:extent cx="2519807" cy="2075419"/>
            <wp:effectExtent l="0" t="0" r="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84" cy="2092285"/>
                    </a:xfrm>
                    <a:prstGeom prst="rect">
                      <a:avLst/>
                    </a:prstGeom>
                    <a:noFill/>
                  </pic:spPr>
                </pic:pic>
              </a:graphicData>
            </a:graphic>
          </wp:inline>
        </w:drawing>
      </w:r>
    </w:p>
    <w:p w14:paraId="53DFFFE8" w14:textId="4BBA9435" w:rsidR="00012B94" w:rsidRPr="00012B94" w:rsidRDefault="00012B94" w:rsidP="00012B94">
      <w:pPr>
        <w:pStyle w:val="CETCaption"/>
        <w:rPr>
          <w:vertAlign w:val="subscript"/>
        </w:rPr>
      </w:pPr>
      <w:r w:rsidRPr="00742BED">
        <w:t xml:space="preserve">Figure </w:t>
      </w:r>
      <w:r>
        <w:t>2</w:t>
      </w:r>
      <w:r w:rsidRPr="00742BED">
        <w:t xml:space="preserve">: </w:t>
      </w:r>
      <w:r>
        <w:t xml:space="preserve">Selectivity for </w:t>
      </w:r>
      <w:r w:rsidR="000C5480">
        <w:t>H</w:t>
      </w:r>
      <w:r w:rsidR="000C5480">
        <w:rPr>
          <w:vertAlign w:val="subscript"/>
        </w:rPr>
        <w:t>2</w:t>
      </w:r>
      <w:r w:rsidR="000C5480">
        <w:t>/CO</w:t>
      </w:r>
      <w:r w:rsidR="000C5480">
        <w:rPr>
          <w:vertAlign w:val="subscript"/>
        </w:rPr>
        <w:t>2</w:t>
      </w:r>
      <w:r w:rsidR="000C5480">
        <w:t xml:space="preserve"> and </w:t>
      </w:r>
      <w:r>
        <w:t>CO</w:t>
      </w:r>
      <w:r>
        <w:rPr>
          <w:vertAlign w:val="subscript"/>
        </w:rPr>
        <w:t>2</w:t>
      </w:r>
      <w:r w:rsidRPr="00012B94">
        <w:t>/</w:t>
      </w:r>
      <w:r>
        <w:t>CO</w:t>
      </w:r>
      <w:r w:rsidR="000C5480">
        <w:t xml:space="preserve"> on stagecut for mixture 15-35-50 on stagecut.</w:t>
      </w:r>
    </w:p>
    <w:p w14:paraId="46FAC967" w14:textId="0CE78342" w:rsidR="00164A5F" w:rsidRDefault="000C5480" w:rsidP="005403D9">
      <w:pPr>
        <w:pStyle w:val="CETBodytext"/>
        <w:rPr>
          <w:lang w:val="en-GB"/>
        </w:rPr>
      </w:pPr>
      <w:r>
        <w:rPr>
          <w:lang w:val="en-GB"/>
        </w:rPr>
        <w:t>The permeate pressure appears to have a small effect on the shift of selectivity. As can be seen, the actual selectivities are decreasing with increasing stagecut, and for the whole range for CO</w:t>
      </w:r>
      <w:r>
        <w:rPr>
          <w:vertAlign w:val="subscript"/>
          <w:lang w:val="en-GB"/>
        </w:rPr>
        <w:t>2</w:t>
      </w:r>
      <w:r>
        <w:rPr>
          <w:lang w:val="en-GB"/>
        </w:rPr>
        <w:t>/CO and most of the range for H</w:t>
      </w:r>
      <w:r>
        <w:rPr>
          <w:vertAlign w:val="subscript"/>
          <w:lang w:val="en-GB"/>
        </w:rPr>
        <w:t>2</w:t>
      </w:r>
      <w:r>
        <w:rPr>
          <w:lang w:val="en-GB"/>
        </w:rPr>
        <w:t>/CO</w:t>
      </w:r>
      <w:r>
        <w:rPr>
          <w:vertAlign w:val="subscript"/>
          <w:lang w:val="en-GB"/>
        </w:rPr>
        <w:t>2</w:t>
      </w:r>
      <w:r>
        <w:rPr>
          <w:lang w:val="en-GB"/>
        </w:rPr>
        <w:t>, the values are below the ideal selectivity</w:t>
      </w:r>
      <w:r w:rsidR="00663C76">
        <w:rPr>
          <w:lang w:val="en-GB"/>
        </w:rPr>
        <w:t xml:space="preserve"> – the values for H</w:t>
      </w:r>
      <w:r w:rsidR="00663C76">
        <w:rPr>
          <w:vertAlign w:val="subscript"/>
          <w:lang w:val="en-GB"/>
        </w:rPr>
        <w:t>2</w:t>
      </w:r>
      <w:r w:rsidR="00663C76">
        <w:rPr>
          <w:lang w:val="en-GB"/>
        </w:rPr>
        <w:t>/CO</w:t>
      </w:r>
      <w:r w:rsidR="00663C76">
        <w:rPr>
          <w:vertAlign w:val="subscript"/>
          <w:lang w:val="en-GB"/>
        </w:rPr>
        <w:t xml:space="preserve">2 </w:t>
      </w:r>
      <w:r w:rsidR="00663C76">
        <w:t>drop to approx. 40 % of the ideal value (from 3.21 to 1.3) and to around 10 % for the CO</w:t>
      </w:r>
      <w:r w:rsidR="00663C76">
        <w:rPr>
          <w:vertAlign w:val="subscript"/>
        </w:rPr>
        <w:t>2</w:t>
      </w:r>
      <w:r w:rsidR="00663C76">
        <w:t>/CO selectivity (from 14.77 to 1.5)</w:t>
      </w:r>
      <w:r>
        <w:rPr>
          <w:lang w:val="en-GB"/>
        </w:rPr>
        <w:t>.</w:t>
      </w:r>
      <w:r w:rsidR="00A214C6">
        <w:rPr>
          <w:lang w:val="en-GB"/>
        </w:rPr>
        <w:t xml:space="preserve"> The same trend was reported by </w:t>
      </w:r>
      <w:proofErr w:type="spellStart"/>
      <w:r w:rsidR="00A214C6">
        <w:rPr>
          <w:lang w:val="en-GB"/>
        </w:rPr>
        <w:t>Kapantaidakis</w:t>
      </w:r>
      <w:proofErr w:type="spellEnd"/>
      <w:r w:rsidR="00A214C6">
        <w:rPr>
          <w:lang w:val="en-GB"/>
        </w:rPr>
        <w:t xml:space="preserve"> et al. (2003) who worked with polyimide membranes with similar ideal selectivities </w:t>
      </w:r>
      <w:r w:rsidR="0069299A">
        <w:rPr>
          <w:lang w:val="en-GB"/>
        </w:rPr>
        <w:t>and</w:t>
      </w:r>
      <w:r w:rsidR="00A214C6">
        <w:rPr>
          <w:lang w:val="en-GB"/>
        </w:rPr>
        <w:t xml:space="preserve"> reported a decrease in ‘real’ selectivity with increasing stagecut.</w:t>
      </w:r>
    </w:p>
    <w:p w14:paraId="526CD763" w14:textId="7F595B81" w:rsidR="000C5480" w:rsidRPr="00164A5F" w:rsidRDefault="0069299A" w:rsidP="005403D9">
      <w:pPr>
        <w:pStyle w:val="CETBodytext"/>
        <w:rPr>
          <w:lang w:val="en-GB"/>
        </w:rPr>
      </w:pPr>
      <w:r>
        <w:rPr>
          <w:lang w:val="en-GB"/>
        </w:rPr>
        <w:t>A similar</w:t>
      </w:r>
      <w:r w:rsidR="000C5480">
        <w:rPr>
          <w:lang w:val="en-GB"/>
        </w:rPr>
        <w:t xml:space="preserve"> trend can be observed for the three different mixtures 15-35-50, 25-35-40</w:t>
      </w:r>
      <w:r>
        <w:rPr>
          <w:lang w:val="en-GB"/>
        </w:rPr>
        <w:t>,</w:t>
      </w:r>
      <w:r w:rsidR="000C5480">
        <w:rPr>
          <w:lang w:val="en-GB"/>
        </w:rPr>
        <w:t xml:space="preserve"> and </w:t>
      </w:r>
      <w:r w:rsidR="00164A5F">
        <w:rPr>
          <w:lang w:val="en-GB"/>
        </w:rPr>
        <w:t xml:space="preserve">35-35-30. As can be seen in Figure 3, the selectivities drop for all three mixtures at a similar rate. The data shown in the figure are all for the same permeate pressure </w:t>
      </w:r>
      <w:r w:rsidR="00164A5F">
        <w:rPr>
          <w:i/>
          <w:iCs/>
          <w:lang w:val="en-GB"/>
        </w:rPr>
        <w:t>p</w:t>
      </w:r>
      <w:r w:rsidR="00164A5F">
        <w:rPr>
          <w:i/>
          <w:iCs/>
          <w:vertAlign w:val="subscript"/>
          <w:lang w:val="en-GB"/>
        </w:rPr>
        <w:t>P</w:t>
      </w:r>
      <w:r w:rsidR="00164A5F">
        <w:rPr>
          <w:lang w:val="en-GB"/>
        </w:rPr>
        <w:t xml:space="preserve"> = 2.5 bar. As can be observed in the figures, it appears that with increasing concentration of the H</w:t>
      </w:r>
      <w:r w:rsidR="00164A5F">
        <w:rPr>
          <w:vertAlign w:val="subscript"/>
          <w:lang w:val="en-GB"/>
        </w:rPr>
        <w:t>2</w:t>
      </w:r>
      <w:r w:rsidR="00164A5F">
        <w:rPr>
          <w:lang w:val="en-GB"/>
        </w:rPr>
        <w:t xml:space="preserve"> in the feed the selectivity </w:t>
      </w:r>
      <w:r w:rsidR="00164A5F">
        <w:rPr>
          <w:rFonts w:cs="Arial"/>
          <w:i/>
          <w:iCs/>
          <w:lang w:val="en-GB"/>
        </w:rPr>
        <w:t>α</w:t>
      </w:r>
      <w:r w:rsidR="00164A5F">
        <w:rPr>
          <w:i/>
          <w:iCs/>
          <w:lang w:val="en-GB"/>
        </w:rPr>
        <w:t>(H</w:t>
      </w:r>
      <w:r w:rsidR="00164A5F">
        <w:rPr>
          <w:i/>
          <w:iCs/>
          <w:vertAlign w:val="subscript"/>
          <w:lang w:val="en-GB"/>
        </w:rPr>
        <w:t>2</w:t>
      </w:r>
      <w:r w:rsidR="00164A5F">
        <w:rPr>
          <w:i/>
          <w:iCs/>
          <w:lang w:val="en-GB"/>
        </w:rPr>
        <w:t>/CO</w:t>
      </w:r>
      <w:r w:rsidR="00164A5F">
        <w:rPr>
          <w:i/>
          <w:iCs/>
          <w:vertAlign w:val="subscript"/>
          <w:lang w:val="en-GB"/>
        </w:rPr>
        <w:t>2</w:t>
      </w:r>
      <w:r w:rsidR="00164A5F">
        <w:rPr>
          <w:i/>
          <w:iCs/>
          <w:lang w:val="en-GB"/>
        </w:rPr>
        <w:t>)</w:t>
      </w:r>
      <w:r w:rsidR="00164A5F">
        <w:rPr>
          <w:lang w:val="en-GB"/>
        </w:rPr>
        <w:t xml:space="preserve"> drops faster and this trend can be applied to CO</w:t>
      </w:r>
      <w:r w:rsidR="00164A5F">
        <w:rPr>
          <w:vertAlign w:val="subscript"/>
          <w:lang w:val="en-GB"/>
        </w:rPr>
        <w:t>2</w:t>
      </w:r>
      <w:r w:rsidR="00164A5F">
        <w:rPr>
          <w:lang w:val="en-GB"/>
        </w:rPr>
        <w:t xml:space="preserve"> and </w:t>
      </w:r>
      <w:r w:rsidR="00164A5F" w:rsidRPr="00164A5F">
        <w:rPr>
          <w:rFonts w:cs="Arial"/>
          <w:i/>
          <w:iCs/>
          <w:lang w:val="en-GB"/>
        </w:rPr>
        <w:t>α</w:t>
      </w:r>
      <w:r w:rsidR="00164A5F" w:rsidRPr="00164A5F">
        <w:rPr>
          <w:i/>
          <w:iCs/>
          <w:lang w:val="en-GB"/>
        </w:rPr>
        <w:t>(CO</w:t>
      </w:r>
      <w:r w:rsidR="00164A5F" w:rsidRPr="00164A5F">
        <w:rPr>
          <w:i/>
          <w:iCs/>
          <w:vertAlign w:val="subscript"/>
          <w:lang w:val="en-GB"/>
        </w:rPr>
        <w:t>2</w:t>
      </w:r>
      <w:r w:rsidR="00164A5F" w:rsidRPr="00164A5F">
        <w:rPr>
          <w:i/>
          <w:iCs/>
          <w:lang w:val="en-GB"/>
        </w:rPr>
        <w:t>/CO)</w:t>
      </w:r>
      <w:r w:rsidR="00164A5F">
        <w:rPr>
          <w:i/>
          <w:iCs/>
          <w:lang w:val="en-GB"/>
        </w:rPr>
        <w:t xml:space="preserve"> </w:t>
      </w:r>
      <w:r w:rsidR="00164A5F">
        <w:rPr>
          <w:lang w:val="en-GB"/>
        </w:rPr>
        <w:t xml:space="preserve">selectivity. </w:t>
      </w:r>
    </w:p>
    <w:p w14:paraId="40346BFD" w14:textId="65B2E0E4" w:rsidR="000C5480" w:rsidRDefault="009D76F3" w:rsidP="005403D9">
      <w:pPr>
        <w:pStyle w:val="CETBodytext"/>
        <w:rPr>
          <w:lang w:val="en-GB"/>
        </w:rPr>
      </w:pPr>
      <w:r>
        <w:rPr>
          <w:noProof/>
          <w:lang w:val="en-GB"/>
        </w:rPr>
        <w:lastRenderedPageBreak/>
        <w:drawing>
          <wp:inline distT="0" distB="0" distL="0" distR="0" wp14:anchorId="6373F11E" wp14:editId="3C18C292">
            <wp:extent cx="2702257" cy="2009588"/>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5832" cy="2019683"/>
                    </a:xfrm>
                    <a:prstGeom prst="rect">
                      <a:avLst/>
                    </a:prstGeom>
                    <a:noFill/>
                  </pic:spPr>
                </pic:pic>
              </a:graphicData>
            </a:graphic>
          </wp:inline>
        </w:drawing>
      </w:r>
      <w:r w:rsidR="00CC2E50">
        <w:rPr>
          <w:noProof/>
          <w:lang w:val="en-GB"/>
        </w:rPr>
        <w:drawing>
          <wp:inline distT="0" distB="0" distL="0" distR="0" wp14:anchorId="444581E6" wp14:editId="57A34B1C">
            <wp:extent cx="2538483" cy="200090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3145" cy="2036110"/>
                    </a:xfrm>
                    <a:prstGeom prst="rect">
                      <a:avLst/>
                    </a:prstGeom>
                    <a:noFill/>
                  </pic:spPr>
                </pic:pic>
              </a:graphicData>
            </a:graphic>
          </wp:inline>
        </w:drawing>
      </w:r>
    </w:p>
    <w:p w14:paraId="4C1425D1" w14:textId="4FD48474" w:rsidR="00164A5F" w:rsidRDefault="00164A5F" w:rsidP="00164A5F">
      <w:pPr>
        <w:pStyle w:val="CETCaption"/>
      </w:pPr>
      <w:r w:rsidRPr="00742BED">
        <w:t xml:space="preserve">Figure </w:t>
      </w:r>
      <w:r>
        <w:t>3</w:t>
      </w:r>
      <w:r w:rsidRPr="00742BED">
        <w:t xml:space="preserve">: </w:t>
      </w:r>
      <w:r>
        <w:t>Selectivity for H</w:t>
      </w:r>
      <w:r>
        <w:rPr>
          <w:vertAlign w:val="subscript"/>
        </w:rPr>
        <w:t>2</w:t>
      </w:r>
      <w:r>
        <w:t>/CO</w:t>
      </w:r>
      <w:r>
        <w:rPr>
          <w:vertAlign w:val="subscript"/>
        </w:rPr>
        <w:t>2</w:t>
      </w:r>
      <w:r>
        <w:t xml:space="preserve"> and CO</w:t>
      </w:r>
      <w:r>
        <w:rPr>
          <w:vertAlign w:val="subscript"/>
        </w:rPr>
        <w:t>2</w:t>
      </w:r>
      <w:r w:rsidRPr="00012B94">
        <w:t>/</w:t>
      </w:r>
      <w:r>
        <w:t>CO on stagecut for the three mixtures with permeate pressure p</w:t>
      </w:r>
      <w:r>
        <w:rPr>
          <w:vertAlign w:val="subscript"/>
        </w:rPr>
        <w:t>P</w:t>
      </w:r>
      <w:r>
        <w:t xml:space="preserve"> =2.5 bar on stagecut. </w:t>
      </w:r>
    </w:p>
    <w:p w14:paraId="2E16251D" w14:textId="745FB0A0" w:rsidR="003F70AA" w:rsidRDefault="003F70AA" w:rsidP="003F70AA">
      <w:pPr>
        <w:pStyle w:val="CETheadingx"/>
      </w:pPr>
      <w:r>
        <w:t>Separation factor</w:t>
      </w:r>
    </w:p>
    <w:p w14:paraId="047CCAEC" w14:textId="70BCD883" w:rsidR="005946C3" w:rsidRPr="00671B29" w:rsidRDefault="003F70AA" w:rsidP="003F70AA">
      <w:pPr>
        <w:pStyle w:val="CETBodytext"/>
        <w:rPr>
          <w:lang w:val="en-GB"/>
        </w:rPr>
      </w:pPr>
      <w:r>
        <w:rPr>
          <w:lang w:val="en-GB"/>
        </w:rPr>
        <w:t xml:space="preserve">The separation factor </w:t>
      </w:r>
      <w:r>
        <w:rPr>
          <w:i/>
          <w:iCs/>
          <w:lang w:val="en-GB"/>
        </w:rPr>
        <w:t>SF</w:t>
      </w:r>
      <w:r>
        <w:rPr>
          <w:lang w:val="en-GB"/>
        </w:rPr>
        <w:t xml:space="preserve"> expresses </w:t>
      </w:r>
      <w:r w:rsidR="0069299A">
        <w:rPr>
          <w:lang w:val="en-GB"/>
        </w:rPr>
        <w:t xml:space="preserve">the </w:t>
      </w:r>
      <w:r>
        <w:rPr>
          <w:lang w:val="en-GB"/>
        </w:rPr>
        <w:t xml:space="preserve">ratio the effectiveness for two components. Its dependency can be described both for increasing total pressure difference </w:t>
      </w:r>
      <w:r w:rsidRPr="003F70AA">
        <w:rPr>
          <w:rFonts w:cs="Arial"/>
          <w:i/>
          <w:iCs/>
          <w:lang w:val="en-GB"/>
        </w:rPr>
        <w:t>Δ</w:t>
      </w:r>
      <w:r w:rsidRPr="003F70AA">
        <w:rPr>
          <w:i/>
          <w:iCs/>
          <w:lang w:val="en-GB"/>
        </w:rPr>
        <w:t>p</w:t>
      </w:r>
      <w:r>
        <w:rPr>
          <w:lang w:val="en-GB"/>
        </w:rPr>
        <w:t xml:space="preserve"> and for increasing stagecut </w:t>
      </w:r>
      <w:r w:rsidRPr="003F70AA">
        <w:rPr>
          <w:rFonts w:cs="Arial"/>
          <w:i/>
          <w:iCs/>
          <w:lang w:val="en-GB"/>
        </w:rPr>
        <w:t>θ</w:t>
      </w:r>
      <w:r>
        <w:rPr>
          <w:lang w:val="en-GB"/>
        </w:rPr>
        <w:t xml:space="preserve">. As can be seen in the following Figure 4, the permeate pressure </w:t>
      </w:r>
      <w:r w:rsidRPr="003F70AA">
        <w:rPr>
          <w:i/>
          <w:iCs/>
          <w:lang w:val="en-GB"/>
        </w:rPr>
        <w:t>p</w:t>
      </w:r>
      <w:r w:rsidRPr="003F70AA">
        <w:rPr>
          <w:i/>
          <w:iCs/>
          <w:vertAlign w:val="subscript"/>
          <w:lang w:val="en-GB"/>
        </w:rPr>
        <w:t>P</w:t>
      </w:r>
      <w:r w:rsidRPr="003F70AA">
        <w:rPr>
          <w:i/>
          <w:iCs/>
          <w:lang w:val="en-GB"/>
        </w:rPr>
        <w:t xml:space="preserve"> </w:t>
      </w:r>
      <w:r>
        <w:rPr>
          <w:lang w:val="en-GB"/>
        </w:rPr>
        <w:t xml:space="preserve">has a great effect on the separation factor </w:t>
      </w:r>
      <w:r w:rsidRPr="003F70AA">
        <w:rPr>
          <w:i/>
          <w:iCs/>
          <w:lang w:val="en-GB"/>
        </w:rPr>
        <w:t>SF</w:t>
      </w:r>
      <w:r w:rsidR="00671B29">
        <w:rPr>
          <w:i/>
          <w:iCs/>
          <w:lang w:val="en-GB"/>
        </w:rPr>
        <w:t>(CO</w:t>
      </w:r>
      <w:r w:rsidR="00671B29">
        <w:rPr>
          <w:i/>
          <w:iCs/>
          <w:vertAlign w:val="subscript"/>
          <w:lang w:val="en-GB"/>
        </w:rPr>
        <w:t>2</w:t>
      </w:r>
      <w:r w:rsidR="00671B29">
        <w:rPr>
          <w:i/>
          <w:iCs/>
          <w:lang w:val="en-GB"/>
        </w:rPr>
        <w:t>/CO)</w:t>
      </w:r>
      <w:r>
        <w:rPr>
          <w:lang w:val="en-GB"/>
        </w:rPr>
        <w:t>.</w:t>
      </w:r>
      <w:r w:rsidR="00671B29">
        <w:rPr>
          <w:lang w:val="en-GB"/>
        </w:rPr>
        <w:t xml:space="preserve"> The same dependency was observed for </w:t>
      </w:r>
      <w:r w:rsidR="00671B29" w:rsidRPr="00671B29">
        <w:rPr>
          <w:i/>
          <w:iCs/>
          <w:lang w:val="en-GB"/>
        </w:rPr>
        <w:t>SF(H</w:t>
      </w:r>
      <w:r w:rsidR="00671B29" w:rsidRPr="00671B29">
        <w:rPr>
          <w:i/>
          <w:iCs/>
          <w:vertAlign w:val="subscript"/>
          <w:lang w:val="en-GB"/>
        </w:rPr>
        <w:t>2</w:t>
      </w:r>
      <w:r w:rsidR="00671B29" w:rsidRPr="00671B29">
        <w:rPr>
          <w:i/>
          <w:iCs/>
          <w:lang w:val="en-GB"/>
        </w:rPr>
        <w:t>/CO</w:t>
      </w:r>
      <w:r w:rsidR="00671B29" w:rsidRPr="00671B29">
        <w:rPr>
          <w:i/>
          <w:iCs/>
          <w:vertAlign w:val="subscript"/>
          <w:lang w:val="en-GB"/>
        </w:rPr>
        <w:t>2</w:t>
      </w:r>
      <w:r w:rsidR="00671B29" w:rsidRPr="00671B29">
        <w:rPr>
          <w:i/>
          <w:iCs/>
          <w:lang w:val="en-GB"/>
        </w:rPr>
        <w:t>)</w:t>
      </w:r>
      <w:r w:rsidR="00671B29">
        <w:rPr>
          <w:lang w:val="en-GB"/>
        </w:rPr>
        <w:t>.</w:t>
      </w:r>
      <w:r w:rsidR="009D76F3">
        <w:rPr>
          <w:lang w:val="en-GB"/>
        </w:rPr>
        <w:t xml:space="preserve"> </w:t>
      </w:r>
      <w:r w:rsidR="009D76F3">
        <w:t xml:space="preserve">Similarly, the dependency between </w:t>
      </w:r>
      <w:r w:rsidR="0069299A">
        <w:t xml:space="preserve">the </w:t>
      </w:r>
      <w:r w:rsidR="009D76F3">
        <w:t xml:space="preserve">separation factor and the composition of the feed can be observed. The following Figure 5 shows the dependency of separation factors </w:t>
      </w:r>
      <w:r w:rsidR="009D76F3" w:rsidRPr="00A214C6">
        <w:rPr>
          <w:i/>
          <w:iCs/>
        </w:rPr>
        <w:t>SF(H</w:t>
      </w:r>
      <w:r w:rsidR="009D76F3" w:rsidRPr="00A214C6">
        <w:rPr>
          <w:i/>
          <w:iCs/>
          <w:vertAlign w:val="subscript"/>
        </w:rPr>
        <w:t>2</w:t>
      </w:r>
      <w:r w:rsidR="009D76F3" w:rsidRPr="00A214C6">
        <w:rPr>
          <w:i/>
          <w:iCs/>
        </w:rPr>
        <w:t>/CO</w:t>
      </w:r>
      <w:r w:rsidR="009D76F3" w:rsidRPr="00A214C6">
        <w:rPr>
          <w:i/>
          <w:iCs/>
          <w:vertAlign w:val="subscript"/>
        </w:rPr>
        <w:t>2</w:t>
      </w:r>
      <w:r w:rsidR="009D76F3" w:rsidRPr="00A214C6">
        <w:rPr>
          <w:i/>
          <w:iCs/>
        </w:rPr>
        <w:t>)</w:t>
      </w:r>
      <w:r w:rsidR="009D76F3">
        <w:t xml:space="preserve"> and </w:t>
      </w:r>
      <w:r w:rsidR="009D76F3" w:rsidRPr="00A214C6">
        <w:rPr>
          <w:i/>
          <w:iCs/>
        </w:rPr>
        <w:t>SF(CO</w:t>
      </w:r>
      <w:r w:rsidR="009D76F3" w:rsidRPr="00A214C6">
        <w:rPr>
          <w:i/>
          <w:iCs/>
          <w:vertAlign w:val="subscript"/>
        </w:rPr>
        <w:t>2</w:t>
      </w:r>
      <w:r w:rsidR="009D76F3" w:rsidRPr="00A214C6">
        <w:rPr>
          <w:i/>
          <w:iCs/>
        </w:rPr>
        <w:t>/CO)</w:t>
      </w:r>
      <w:r w:rsidR="009D76F3">
        <w:t>.</w:t>
      </w:r>
    </w:p>
    <w:p w14:paraId="0324B432" w14:textId="0830A407" w:rsidR="003F70AA" w:rsidRDefault="0017523B" w:rsidP="003F70AA">
      <w:pPr>
        <w:pStyle w:val="CETBodytext"/>
      </w:pPr>
      <w:r>
        <w:rPr>
          <w:noProof/>
        </w:rPr>
        <w:drawing>
          <wp:inline distT="0" distB="0" distL="0" distR="0" wp14:anchorId="56FA304A" wp14:editId="231C75CD">
            <wp:extent cx="2257425" cy="1960459"/>
            <wp:effectExtent l="0" t="0" r="0"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0108" cy="1988842"/>
                    </a:xfrm>
                    <a:prstGeom prst="rect">
                      <a:avLst/>
                    </a:prstGeom>
                    <a:noFill/>
                  </pic:spPr>
                </pic:pic>
              </a:graphicData>
            </a:graphic>
          </wp:inline>
        </w:drawing>
      </w:r>
      <w:r>
        <w:rPr>
          <w:noProof/>
        </w:rPr>
        <w:drawing>
          <wp:inline distT="0" distB="0" distL="0" distR="0" wp14:anchorId="7384AC0A" wp14:editId="5EFE1144">
            <wp:extent cx="2268097" cy="1958182"/>
            <wp:effectExtent l="0" t="0" r="0" b="44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7117" cy="1983237"/>
                    </a:xfrm>
                    <a:prstGeom prst="rect">
                      <a:avLst/>
                    </a:prstGeom>
                    <a:noFill/>
                  </pic:spPr>
                </pic:pic>
              </a:graphicData>
            </a:graphic>
          </wp:inline>
        </w:drawing>
      </w:r>
    </w:p>
    <w:p w14:paraId="1F3AF805" w14:textId="4C2E2E91" w:rsidR="003F70AA" w:rsidRDefault="003F70AA" w:rsidP="003F70AA">
      <w:pPr>
        <w:pStyle w:val="CETCaption"/>
      </w:pPr>
      <w:r w:rsidRPr="00742BED">
        <w:t xml:space="preserve">Figure </w:t>
      </w:r>
      <w:r w:rsidR="00612319">
        <w:t>4</w:t>
      </w:r>
      <w:r w:rsidRPr="00742BED">
        <w:t xml:space="preserve">: </w:t>
      </w:r>
      <w:r w:rsidR="00612319">
        <w:t>Separation factors CO</w:t>
      </w:r>
      <w:r w:rsidR="00612319">
        <w:rPr>
          <w:vertAlign w:val="subscript"/>
        </w:rPr>
        <w:t>2</w:t>
      </w:r>
      <w:r w:rsidR="00612319">
        <w:t>/CO for three permeate pressures on pressure difference</w:t>
      </w:r>
      <w:r w:rsidR="0017523B">
        <w:t xml:space="preserve"> and stagecut</w:t>
      </w:r>
      <w:r>
        <w:t>.</w:t>
      </w:r>
    </w:p>
    <w:p w14:paraId="663B0FD3" w14:textId="5B83A5E3" w:rsidR="00A214C6" w:rsidRDefault="003C030E" w:rsidP="003F70AA">
      <w:pPr>
        <w:pStyle w:val="CETBodytext"/>
      </w:pPr>
      <w:r>
        <w:rPr>
          <w:noProof/>
        </w:rPr>
        <w:drawing>
          <wp:inline distT="0" distB="0" distL="0" distR="0" wp14:anchorId="53B25F37" wp14:editId="2FECC68F">
            <wp:extent cx="2537213" cy="17907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4475" cy="1816998"/>
                    </a:xfrm>
                    <a:prstGeom prst="rect">
                      <a:avLst/>
                    </a:prstGeom>
                    <a:noFill/>
                  </pic:spPr>
                </pic:pic>
              </a:graphicData>
            </a:graphic>
          </wp:inline>
        </w:drawing>
      </w:r>
      <w:r>
        <w:rPr>
          <w:noProof/>
        </w:rPr>
        <w:drawing>
          <wp:inline distT="0" distB="0" distL="0" distR="0" wp14:anchorId="014990D6" wp14:editId="1F9AEC12">
            <wp:extent cx="2489810" cy="1786605"/>
            <wp:effectExtent l="0" t="0" r="635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9205" cy="1822049"/>
                    </a:xfrm>
                    <a:prstGeom prst="rect">
                      <a:avLst/>
                    </a:prstGeom>
                    <a:noFill/>
                  </pic:spPr>
                </pic:pic>
              </a:graphicData>
            </a:graphic>
          </wp:inline>
        </w:drawing>
      </w:r>
    </w:p>
    <w:p w14:paraId="2DD06C4A" w14:textId="0AA5CEE3" w:rsidR="00612319" w:rsidRDefault="00612319" w:rsidP="00612319">
      <w:pPr>
        <w:pStyle w:val="CETCaption"/>
      </w:pPr>
      <w:r w:rsidRPr="00742BED">
        <w:t xml:space="preserve">Figure </w:t>
      </w:r>
      <w:r>
        <w:t>5</w:t>
      </w:r>
      <w:r w:rsidRPr="00742BED">
        <w:t xml:space="preserve">: </w:t>
      </w:r>
      <w:r>
        <w:t xml:space="preserve">Separation factors on total pressure drop for </w:t>
      </w:r>
      <w:r w:rsidR="00703EE5">
        <w:t xml:space="preserve">three </w:t>
      </w:r>
      <w:r>
        <w:t>different mixtures.</w:t>
      </w:r>
    </w:p>
    <w:p w14:paraId="1EB76ABE" w14:textId="562F11EB" w:rsidR="009D76F3" w:rsidRPr="00612319" w:rsidRDefault="009D76F3" w:rsidP="009D76F3">
      <w:pPr>
        <w:pStyle w:val="CETBodytext"/>
      </w:pPr>
      <w:r>
        <w:lastRenderedPageBreak/>
        <w:t xml:space="preserve">As can be seen, the separation factors vary with the composition of the feed. With </w:t>
      </w:r>
      <w:r w:rsidR="0069299A">
        <w:t xml:space="preserve">a </w:t>
      </w:r>
      <w:r>
        <w:t>higher content of the most permeable compounds (H</w:t>
      </w:r>
      <w:r>
        <w:rPr>
          <w:vertAlign w:val="subscript"/>
        </w:rPr>
        <w:t>2</w:t>
      </w:r>
      <w:r>
        <w:t>)</w:t>
      </w:r>
      <w:r w:rsidR="0069299A">
        <w:t>,</w:t>
      </w:r>
      <w:r>
        <w:t xml:space="preserve"> the separation factors rise at a greater rate.</w:t>
      </w:r>
      <w:r w:rsidR="003C030E">
        <w:t xml:space="preserve"> </w:t>
      </w:r>
      <w:r w:rsidR="00703EE5">
        <w:t xml:space="preserve">This can be caused by </w:t>
      </w:r>
      <w:r w:rsidR="0069299A">
        <w:t xml:space="preserve">the </w:t>
      </w:r>
      <w:r w:rsidR="00703EE5">
        <w:t xml:space="preserve">overall higher permeation of the gas through the membrane. </w:t>
      </w:r>
      <w:r w:rsidR="003C030E">
        <w:t>Also, the rate of growth is smaller with increasing total pressure drop (</w:t>
      </w:r>
      <w:r w:rsidR="003C030E" w:rsidRPr="003C030E">
        <w:rPr>
          <w:rFonts w:cs="Arial"/>
          <w:i/>
          <w:iCs/>
        </w:rPr>
        <w:t>Δ</w:t>
      </w:r>
      <w:r w:rsidR="003C030E" w:rsidRPr="003C030E">
        <w:rPr>
          <w:i/>
          <w:iCs/>
        </w:rPr>
        <w:t>p</w:t>
      </w:r>
      <w:r w:rsidR="003C030E">
        <w:t>).</w:t>
      </w:r>
    </w:p>
    <w:p w14:paraId="5741900F" w14:textId="03832814" w:rsidR="00453E24" w:rsidRDefault="00612319" w:rsidP="00453E24">
      <w:pPr>
        <w:pStyle w:val="CETHeading1"/>
      </w:pPr>
      <w:r>
        <w:t>Conclusions</w:t>
      </w:r>
    </w:p>
    <w:p w14:paraId="3146F2A8" w14:textId="7B3D4033" w:rsidR="005B2B9B" w:rsidRDefault="005B2B9B" w:rsidP="00612319">
      <w:pPr>
        <w:pStyle w:val="CETBodytext"/>
      </w:pPr>
      <w:r>
        <w:t xml:space="preserve">The experimental results have shown that the ideal selectivity should not be considered in the numerical simulations and other computations of </w:t>
      </w:r>
      <w:r w:rsidR="0069299A">
        <w:t xml:space="preserve">the </w:t>
      </w:r>
      <w:r>
        <w:t>multicomponent membrane separation process. The data suggest that the ‘real’ selectivity obtained during multicomponent separation decrease</w:t>
      </w:r>
      <w:r w:rsidR="0069299A">
        <w:t>s</w:t>
      </w:r>
      <w:r>
        <w:t xml:space="preserve"> significantly – for the H</w:t>
      </w:r>
      <w:r>
        <w:rPr>
          <w:vertAlign w:val="subscript"/>
        </w:rPr>
        <w:t>2</w:t>
      </w:r>
      <w:r>
        <w:t>/CO</w:t>
      </w:r>
      <w:r>
        <w:rPr>
          <w:vertAlign w:val="subscript"/>
        </w:rPr>
        <w:t>2</w:t>
      </w:r>
      <w:r>
        <w:t xml:space="preserve">, the selectivity dropped to </w:t>
      </w:r>
      <w:r w:rsidR="0069299A">
        <w:t>below</w:t>
      </w:r>
      <w:r>
        <w:t xml:space="preserve"> 40 % of the ideal selectivity (from </w:t>
      </w:r>
      <w:r w:rsidRPr="005B2B9B">
        <w:rPr>
          <w:rFonts w:cs="Arial"/>
          <w:i/>
          <w:iCs/>
        </w:rPr>
        <w:t>α</w:t>
      </w:r>
      <w:r w:rsidRPr="005B2B9B">
        <w:rPr>
          <w:i/>
          <w:iCs/>
          <w:vertAlign w:val="subscript"/>
        </w:rPr>
        <w:t>ideal</w:t>
      </w:r>
      <w:r w:rsidRPr="005B2B9B">
        <w:rPr>
          <w:i/>
          <w:iCs/>
        </w:rPr>
        <w:t>(H</w:t>
      </w:r>
      <w:r w:rsidRPr="005B2B9B">
        <w:rPr>
          <w:i/>
          <w:iCs/>
          <w:vertAlign w:val="subscript"/>
        </w:rPr>
        <w:t>2</w:t>
      </w:r>
      <w:r w:rsidRPr="005B2B9B">
        <w:rPr>
          <w:i/>
          <w:iCs/>
        </w:rPr>
        <w:t>/CO</w:t>
      </w:r>
      <w:r w:rsidRPr="005B2B9B">
        <w:rPr>
          <w:i/>
          <w:iCs/>
          <w:vertAlign w:val="subscript"/>
        </w:rPr>
        <w:t>2</w:t>
      </w:r>
      <w:r w:rsidRPr="005B2B9B">
        <w:rPr>
          <w:i/>
          <w:iCs/>
        </w:rPr>
        <w:t>)</w:t>
      </w:r>
      <w:r>
        <w:t xml:space="preserve"> = 3.21 to </w:t>
      </w:r>
      <w:r w:rsidRPr="005B2B9B">
        <w:rPr>
          <w:rFonts w:cs="Arial"/>
          <w:i/>
          <w:iCs/>
        </w:rPr>
        <w:t>α</w:t>
      </w:r>
      <w:r w:rsidRPr="005B2B9B">
        <w:rPr>
          <w:i/>
          <w:iCs/>
        </w:rPr>
        <w:t>(H</w:t>
      </w:r>
      <w:r w:rsidRPr="005B2B9B">
        <w:rPr>
          <w:i/>
          <w:iCs/>
          <w:vertAlign w:val="subscript"/>
        </w:rPr>
        <w:t>2</w:t>
      </w:r>
      <w:r w:rsidRPr="005B2B9B">
        <w:rPr>
          <w:i/>
          <w:iCs/>
        </w:rPr>
        <w:t>/CO</w:t>
      </w:r>
      <w:r w:rsidRPr="005B2B9B">
        <w:rPr>
          <w:i/>
          <w:iCs/>
          <w:vertAlign w:val="subscript"/>
        </w:rPr>
        <w:t>2</w:t>
      </w:r>
      <w:r w:rsidRPr="005B2B9B">
        <w:rPr>
          <w:i/>
          <w:iCs/>
        </w:rPr>
        <w:t>)</w:t>
      </w:r>
      <w:r>
        <w:t xml:space="preserve"> &lt; 1.3), for the CO</w:t>
      </w:r>
      <w:r>
        <w:rPr>
          <w:vertAlign w:val="subscript"/>
        </w:rPr>
        <w:t>2</w:t>
      </w:r>
      <w:r>
        <w:t>/CO selectivity, the values dropped to less than 10 % of the ideal selectivity with increasing stagecut. The permeate pressure and the composition of the feed gas also affect the selectivity.</w:t>
      </w:r>
      <w:r w:rsidR="00731840">
        <w:t xml:space="preserve"> </w:t>
      </w:r>
    </w:p>
    <w:p w14:paraId="33DFBFF5" w14:textId="51648370" w:rsidR="005B2B9B" w:rsidRDefault="005B2B9B" w:rsidP="00612319">
      <w:pPr>
        <w:pStyle w:val="CETBodytext"/>
      </w:pPr>
      <w:r>
        <w:t xml:space="preserve">Another observed dependency is that separation factor </w:t>
      </w:r>
      <w:r>
        <w:rPr>
          <w:i/>
          <w:iCs/>
        </w:rPr>
        <w:t>SF</w:t>
      </w:r>
      <w:r>
        <w:t xml:space="preserve"> for both H</w:t>
      </w:r>
      <w:r>
        <w:rPr>
          <w:vertAlign w:val="subscript"/>
        </w:rPr>
        <w:t>2</w:t>
      </w:r>
      <w:r>
        <w:t>/CO</w:t>
      </w:r>
      <w:r>
        <w:rPr>
          <w:vertAlign w:val="subscript"/>
        </w:rPr>
        <w:t>2</w:t>
      </w:r>
      <w:r>
        <w:t xml:space="preserve"> and CO</w:t>
      </w:r>
      <w:r>
        <w:rPr>
          <w:vertAlign w:val="subscript"/>
        </w:rPr>
        <w:t>2</w:t>
      </w:r>
      <w:r>
        <w:t xml:space="preserve">/CO increases at a greater rate for lower permeate pressure at </w:t>
      </w:r>
      <w:r w:rsidR="0069299A">
        <w:t xml:space="preserve">a </w:t>
      </w:r>
      <w:r>
        <w:t>given total pressure drop. With increasing content of the most permeable component (H</w:t>
      </w:r>
      <w:r>
        <w:rPr>
          <w:vertAlign w:val="subscript"/>
        </w:rPr>
        <w:t>2</w:t>
      </w:r>
      <w:r>
        <w:t xml:space="preserve"> in this study)</w:t>
      </w:r>
      <w:r w:rsidR="0069299A">
        <w:t>,</w:t>
      </w:r>
      <w:r>
        <w:t xml:space="preserve"> the separation factor for both H</w:t>
      </w:r>
      <w:r>
        <w:rPr>
          <w:vertAlign w:val="subscript"/>
        </w:rPr>
        <w:t>2</w:t>
      </w:r>
      <w:r>
        <w:t>/CO</w:t>
      </w:r>
      <w:r>
        <w:rPr>
          <w:vertAlign w:val="subscript"/>
        </w:rPr>
        <w:t>2</w:t>
      </w:r>
      <w:r>
        <w:t xml:space="preserve"> and CO</w:t>
      </w:r>
      <w:r>
        <w:rPr>
          <w:vertAlign w:val="subscript"/>
        </w:rPr>
        <w:t>2</w:t>
      </w:r>
      <w:r>
        <w:t xml:space="preserve">/CO increase at a greater rate. This was observed in the whole range of total pressure drops and </w:t>
      </w:r>
      <w:r w:rsidR="001B0111">
        <w:t>for all three mixtures. Also, with increasing total pressure difference, the rate of growth of separation factor decreases.</w:t>
      </w:r>
    </w:p>
    <w:p w14:paraId="0BFCB04A" w14:textId="7F659A7F" w:rsidR="001B0111" w:rsidRPr="005B2B9B" w:rsidRDefault="001B0111" w:rsidP="00612319">
      <w:pPr>
        <w:pStyle w:val="CETBodytext"/>
      </w:pPr>
      <w:r>
        <w:t xml:space="preserve">This paper suggests </w:t>
      </w:r>
      <w:r w:rsidR="0069299A">
        <w:t xml:space="preserve">a </w:t>
      </w:r>
      <w:r>
        <w:t xml:space="preserve">deeper study of selectivity behavior in multicomponent mixtures. The important dependencies (on permeate pressure and composition of the feed) were demonstrated and should be </w:t>
      </w:r>
      <w:r w:rsidR="00703EE5">
        <w:t>considered</w:t>
      </w:r>
      <w:r>
        <w:t xml:space="preserve"> for future simulations and computations.</w:t>
      </w:r>
    </w:p>
    <w:p w14:paraId="371569F2" w14:textId="71D6DB7D" w:rsidR="00612319" w:rsidRPr="00B57B36" w:rsidRDefault="0069299A" w:rsidP="00612319">
      <w:pPr>
        <w:pStyle w:val="CETAcknowledgementstitle"/>
      </w:pPr>
      <w:r>
        <w:t>Acknowledgments</w:t>
      </w:r>
    </w:p>
    <w:p w14:paraId="4B8E4766" w14:textId="39E8BF94" w:rsidR="00612319" w:rsidRPr="004A4AB1" w:rsidRDefault="00612319" w:rsidP="00612319">
      <w:pPr>
        <w:pStyle w:val="CETBodytext"/>
        <w:rPr>
          <w:lang w:val="en-GB"/>
        </w:rPr>
      </w:pPr>
      <w:r>
        <w:rPr>
          <w:lang w:val="en-GB"/>
        </w:rPr>
        <w:t>This work was supported by</w:t>
      </w:r>
      <w:r w:rsidRPr="004A4AB1">
        <w:rPr>
          <w:lang w:val="en-GB"/>
        </w:rPr>
        <w:t xml:space="preserve"> the Ministry of Education, Youth and Sports of the Czech Republic under OP RDE grant number CZ.02.1.01/0.0/0.0/16_019/0000753 "Research </w:t>
      </w:r>
      <w:proofErr w:type="spellStart"/>
      <w:r w:rsidR="0069299A">
        <w:rPr>
          <w:lang w:val="en-GB"/>
        </w:rPr>
        <w:t>center</w:t>
      </w:r>
      <w:proofErr w:type="spellEnd"/>
      <w:r w:rsidRPr="004A4AB1">
        <w:rPr>
          <w:lang w:val="en-GB"/>
        </w:rPr>
        <w:t xml:space="preserve"> for low-carbon energy technologies„</w:t>
      </w:r>
    </w:p>
    <w:p w14:paraId="2C55EFC5" w14:textId="77777777" w:rsidR="00612319" w:rsidRPr="00B57B36" w:rsidRDefault="00612319" w:rsidP="00612319">
      <w:pPr>
        <w:pStyle w:val="CETBodytext"/>
        <w:rPr>
          <w:lang w:val="en-GB"/>
        </w:rPr>
      </w:pPr>
      <w:r w:rsidRPr="004A4AB1">
        <w:rPr>
          <w:lang w:val="en-GB"/>
        </w:rPr>
        <w:t>and by Student Grant Competition of CTU as part of grant no. SGS20/118/OHK2/2T/12.</w:t>
      </w:r>
    </w:p>
    <w:p w14:paraId="64826921" w14:textId="77777777" w:rsidR="00612319" w:rsidRPr="00B57B36" w:rsidRDefault="00612319" w:rsidP="00612319">
      <w:pPr>
        <w:pStyle w:val="CETReference"/>
      </w:pPr>
      <w:r w:rsidRPr="00B57B36">
        <w:t>References</w:t>
      </w:r>
    </w:p>
    <w:p w14:paraId="2A8CAEF1" w14:textId="30C2F595" w:rsidR="00612319" w:rsidRDefault="00612319" w:rsidP="00B51E76">
      <w:pPr>
        <w:tabs>
          <w:tab w:val="clear" w:pos="7100"/>
        </w:tabs>
        <w:spacing w:line="276" w:lineRule="auto"/>
        <w:ind w:left="284" w:hanging="284"/>
      </w:pPr>
      <w:r>
        <w:t xml:space="preserve">Abd. Hamid, M.A, Chung, Y.T., </w:t>
      </w:r>
      <w:proofErr w:type="spellStart"/>
      <w:r>
        <w:t>Rohani</w:t>
      </w:r>
      <w:proofErr w:type="spellEnd"/>
      <w:r>
        <w:t xml:space="preserve">, R., </w:t>
      </w:r>
      <w:proofErr w:type="spellStart"/>
      <w:r>
        <w:t>Mohd</w:t>
      </w:r>
      <w:proofErr w:type="spellEnd"/>
      <w:r>
        <w:t xml:space="preserve">. </w:t>
      </w:r>
      <w:proofErr w:type="spellStart"/>
      <w:r>
        <w:t>Junaidi</w:t>
      </w:r>
      <w:proofErr w:type="spellEnd"/>
      <w:r>
        <w:t>, M.U., 201</w:t>
      </w:r>
      <w:r w:rsidR="00B51E76">
        <w:t>9</w:t>
      </w:r>
      <w:r>
        <w:t xml:space="preserve">, </w:t>
      </w:r>
      <w:r w:rsidR="00B51E76">
        <w:t xml:space="preserve">Miscible-blend </w:t>
      </w:r>
      <w:proofErr w:type="spellStart"/>
      <w:r w:rsidR="00B51E76">
        <w:t>polysulfone</w:t>
      </w:r>
      <w:proofErr w:type="spellEnd"/>
      <w:r w:rsidR="00B51E76">
        <w:t>/polyimide membrane for hydrogen purification from palm oil mill effluent fermentation</w:t>
      </w:r>
      <w:r>
        <w:t xml:space="preserve">, </w:t>
      </w:r>
      <w:r w:rsidR="00B51E76">
        <w:t>Separation and Purification Technology</w:t>
      </w:r>
      <w:r>
        <w:t xml:space="preserve">, </w:t>
      </w:r>
      <w:r w:rsidR="00B51E76">
        <w:t>209</w:t>
      </w:r>
      <w:r>
        <w:t xml:space="preserve">, </w:t>
      </w:r>
      <w:r w:rsidR="00B51E76">
        <w:t>598-607.</w:t>
      </w:r>
    </w:p>
    <w:p w14:paraId="42543137" w14:textId="2FE9782C" w:rsidR="00B51E76" w:rsidRDefault="00B51E76" w:rsidP="00B51E76">
      <w:pPr>
        <w:tabs>
          <w:tab w:val="clear" w:pos="7100"/>
        </w:tabs>
        <w:spacing w:line="276" w:lineRule="auto"/>
        <w:ind w:left="284" w:hanging="284"/>
      </w:pPr>
      <w:r>
        <w:t>Ahmad, F., Lau, K.K., Shariff, A.M., Murshid, G., 2012, Process simulation and optimal design of membrane separation system for CO</w:t>
      </w:r>
      <w:r w:rsidRPr="00B51E76">
        <w:rPr>
          <w:vertAlign w:val="subscript"/>
        </w:rPr>
        <w:t>2</w:t>
      </w:r>
      <w:r>
        <w:t xml:space="preserve"> capture from natural gas, Computers and Chemical Engineering, 36, 119-128.</w:t>
      </w:r>
    </w:p>
    <w:p w14:paraId="2AB405DB" w14:textId="21EA8689" w:rsidR="00B51E76" w:rsidRDefault="00B51E76" w:rsidP="00B51E76">
      <w:pPr>
        <w:tabs>
          <w:tab w:val="clear" w:pos="7100"/>
        </w:tabs>
        <w:spacing w:line="276" w:lineRule="auto"/>
        <w:ind w:left="284" w:hanging="284"/>
      </w:pPr>
      <w:r>
        <w:t>Azizi, M., Mousavi, S.A.</w:t>
      </w:r>
      <w:r w:rsidR="00663C76">
        <w:t>, 2015,</w:t>
      </w:r>
      <w:r w:rsidR="00663C76" w:rsidRPr="00663C76">
        <w:t xml:space="preserve"> </w:t>
      </w:r>
      <w:r w:rsidR="00663C76">
        <w:t>CO2/H2 separation using a highly permeable polyurethane membrane: Molecular dynamics simulation, Journal of Molecular Structure, 1100, 401-414.</w:t>
      </w:r>
    </w:p>
    <w:p w14:paraId="7C221840" w14:textId="67772D72" w:rsidR="00B51E76" w:rsidRDefault="00B51E76" w:rsidP="00B51E76">
      <w:pPr>
        <w:tabs>
          <w:tab w:val="clear" w:pos="7100"/>
        </w:tabs>
        <w:spacing w:line="276" w:lineRule="auto"/>
        <w:ind w:left="284" w:hanging="284"/>
      </w:pPr>
      <w:r w:rsidRPr="00B51E76">
        <w:t>Casado-</w:t>
      </w:r>
      <w:proofErr w:type="spellStart"/>
      <w:r w:rsidRPr="00B51E76">
        <w:t>Coterillo</w:t>
      </w:r>
      <w:proofErr w:type="spellEnd"/>
      <w:r w:rsidRPr="00B51E76">
        <w:t>, C., Fernandez-</w:t>
      </w:r>
      <w:proofErr w:type="spellStart"/>
      <w:r w:rsidRPr="00B51E76">
        <w:t>Barquin</w:t>
      </w:r>
      <w:proofErr w:type="spellEnd"/>
      <w:r w:rsidRPr="00B51E76">
        <w:t xml:space="preserve">, A., </w:t>
      </w:r>
      <w:proofErr w:type="spellStart"/>
      <w:r w:rsidRPr="00B51E76">
        <w:t>Irabien</w:t>
      </w:r>
      <w:proofErr w:type="spellEnd"/>
      <w:r w:rsidRPr="00B51E76">
        <w:t>, A., 2019, Effect of Humidity on CO</w:t>
      </w:r>
      <w:r w:rsidRPr="00703EE5">
        <w:rPr>
          <w:vertAlign w:val="subscript"/>
        </w:rPr>
        <w:t>2</w:t>
      </w:r>
      <w:r w:rsidRPr="00B51E76">
        <w:t>/N</w:t>
      </w:r>
      <w:r w:rsidRPr="00703EE5">
        <w:rPr>
          <w:vertAlign w:val="subscript"/>
        </w:rPr>
        <w:t>2</w:t>
      </w:r>
      <w:r w:rsidRPr="00B51E76">
        <w:t xml:space="preserve"> and CO</w:t>
      </w:r>
      <w:r w:rsidRPr="00703EE5">
        <w:rPr>
          <w:vertAlign w:val="subscript"/>
        </w:rPr>
        <w:t>2</w:t>
      </w:r>
      <w:r w:rsidRPr="00B51E76">
        <w:t>/CH</w:t>
      </w:r>
      <w:r w:rsidRPr="00703EE5">
        <w:rPr>
          <w:vertAlign w:val="subscript"/>
        </w:rPr>
        <w:t>4</w:t>
      </w:r>
      <w:r w:rsidRPr="00B51E76">
        <w:t xml:space="preserve"> Separation using Novel Robust Mixed Matrix Composite Hollow </w:t>
      </w:r>
      <w:proofErr w:type="spellStart"/>
      <w:r w:rsidRPr="00B51E76">
        <w:t>Fiber</w:t>
      </w:r>
      <w:proofErr w:type="spellEnd"/>
      <w:r w:rsidRPr="00B51E76">
        <w:t xml:space="preserve"> Membranes, Membranes, 10.</w:t>
      </w:r>
    </w:p>
    <w:p w14:paraId="62175CB5" w14:textId="64083B86" w:rsidR="00B51E76" w:rsidRDefault="00B51E76" w:rsidP="00B51E76">
      <w:pPr>
        <w:tabs>
          <w:tab w:val="clear" w:pos="7100"/>
        </w:tabs>
        <w:spacing w:line="276" w:lineRule="auto"/>
        <w:ind w:left="284" w:hanging="284"/>
      </w:pPr>
      <w:proofErr w:type="spellStart"/>
      <w:r>
        <w:t>Drioli</w:t>
      </w:r>
      <w:proofErr w:type="spellEnd"/>
      <w:r>
        <w:t xml:space="preserve">, E., </w:t>
      </w:r>
      <w:proofErr w:type="spellStart"/>
      <w:r>
        <w:t>Giorno</w:t>
      </w:r>
      <w:proofErr w:type="spellEnd"/>
      <w:r>
        <w:t xml:space="preserve">, L. (Eds.), </w:t>
      </w:r>
      <w:proofErr w:type="spellStart"/>
      <w:r>
        <w:t>Encyclopedia</w:t>
      </w:r>
      <w:proofErr w:type="spellEnd"/>
      <w:r>
        <w:t xml:space="preserve"> of Membranes, Springer, Berlin, (DE).</w:t>
      </w:r>
    </w:p>
    <w:p w14:paraId="2AA72113" w14:textId="5DF46099" w:rsidR="00612319" w:rsidRDefault="00B51E76" w:rsidP="00612319">
      <w:pPr>
        <w:tabs>
          <w:tab w:val="clear" w:pos="7100"/>
        </w:tabs>
        <w:spacing w:line="276" w:lineRule="auto"/>
        <w:ind w:left="284" w:hanging="284"/>
      </w:pPr>
      <w:r w:rsidRPr="00B51E76">
        <w:t xml:space="preserve">Huang, W., Jiang, X., He, G., </w:t>
      </w:r>
      <w:proofErr w:type="spellStart"/>
      <w:r w:rsidRPr="00B51E76">
        <w:t>Ruan</w:t>
      </w:r>
      <w:proofErr w:type="spellEnd"/>
      <w:r w:rsidRPr="00B51E76">
        <w:t>. X., Chen, B. et al., 2020, A Novel Process of H2/CO2 Membrane Separation of Shifted Syngas Coupled with Gasoil Hydrogenation, Processes, 8, 590.</w:t>
      </w:r>
    </w:p>
    <w:p w14:paraId="032ABE21" w14:textId="4906F6CF" w:rsidR="00B51E76" w:rsidRDefault="00B51E76" w:rsidP="00612319">
      <w:pPr>
        <w:tabs>
          <w:tab w:val="clear" w:pos="7100"/>
        </w:tabs>
        <w:spacing w:line="276" w:lineRule="auto"/>
        <w:ind w:left="284" w:hanging="284"/>
      </w:pPr>
      <w:proofErr w:type="spellStart"/>
      <w:r>
        <w:t>Kapantaidakis</w:t>
      </w:r>
      <w:proofErr w:type="spellEnd"/>
      <w:r>
        <w:t xml:space="preserve">, G.C., </w:t>
      </w:r>
      <w:proofErr w:type="spellStart"/>
      <w:r>
        <w:t>Koops</w:t>
      </w:r>
      <w:proofErr w:type="spellEnd"/>
      <w:r>
        <w:t xml:space="preserve">, G.H., </w:t>
      </w:r>
      <w:proofErr w:type="spellStart"/>
      <w:r>
        <w:t>Wessling</w:t>
      </w:r>
      <w:proofErr w:type="spellEnd"/>
      <w:r>
        <w:t xml:space="preserve">, M., </w:t>
      </w:r>
      <w:proofErr w:type="spellStart"/>
      <w:r>
        <w:t>Kaidis</w:t>
      </w:r>
      <w:proofErr w:type="spellEnd"/>
      <w:r>
        <w:t>, S.P., CO</w:t>
      </w:r>
      <w:r>
        <w:rPr>
          <w:vertAlign w:val="subscript"/>
        </w:rPr>
        <w:t>2</w:t>
      </w:r>
      <w:r>
        <w:t xml:space="preserve"> </w:t>
      </w:r>
      <w:r w:rsidRPr="00B51E76">
        <w:t xml:space="preserve">Plasticization of </w:t>
      </w:r>
      <w:proofErr w:type="spellStart"/>
      <w:r w:rsidRPr="00B51E76">
        <w:t>polyethersulfone</w:t>
      </w:r>
      <w:proofErr w:type="spellEnd"/>
      <w:r w:rsidRPr="00B51E76">
        <w:t>/polyimide gas</w:t>
      </w:r>
      <w:r w:rsidRPr="00B51E76">
        <w:rPr>
          <w:rFonts w:ascii="Cambria Math" w:hAnsi="Cambria Math" w:cs="Cambria Math"/>
        </w:rPr>
        <w:t>‐</w:t>
      </w:r>
      <w:r w:rsidRPr="00B51E76">
        <w:t>separation membranes</w:t>
      </w:r>
      <w:r>
        <w:t xml:space="preserve">, </w:t>
      </w:r>
      <w:proofErr w:type="spellStart"/>
      <w:r>
        <w:t>AIChE</w:t>
      </w:r>
      <w:proofErr w:type="spellEnd"/>
      <w:r>
        <w:t xml:space="preserve"> Journal, 49, 1702-1711</w:t>
      </w:r>
      <w:r w:rsidR="00663C76">
        <w:t>.</w:t>
      </w:r>
    </w:p>
    <w:p w14:paraId="1F21B977" w14:textId="7437F3B0" w:rsidR="00B51E76" w:rsidRDefault="00B51E76" w:rsidP="00612319">
      <w:pPr>
        <w:tabs>
          <w:tab w:val="clear" w:pos="7100"/>
        </w:tabs>
        <w:spacing w:line="276" w:lineRule="auto"/>
        <w:ind w:left="284" w:hanging="284"/>
      </w:pPr>
      <w:r>
        <w:t>Li, K., Acharya, D.R., Hughes, R., 1990, Mathematical Modelling of Multicomponent Membrane Permeators, Journal of Membrane Science, 52, 205-219.</w:t>
      </w:r>
    </w:p>
    <w:p w14:paraId="218C90AA" w14:textId="2F378FAD" w:rsidR="00B51E76" w:rsidRDefault="00B51E76" w:rsidP="00612319">
      <w:pPr>
        <w:tabs>
          <w:tab w:val="clear" w:pos="7100"/>
        </w:tabs>
        <w:spacing w:line="276" w:lineRule="auto"/>
        <w:ind w:left="284" w:hanging="284"/>
      </w:pPr>
      <w:r>
        <w:t xml:space="preserve">Seghman, P., Krátký, L., Jirout, T., 2021, </w:t>
      </w:r>
      <w:r w:rsidRPr="00B51E76">
        <w:t>Syngas Components Recovery during Membrane Gas Separation</w:t>
      </w:r>
      <w:r>
        <w:t>, Chemical Engineering Transactions, 88, 763-768.</w:t>
      </w:r>
    </w:p>
    <w:p w14:paraId="018F9C52" w14:textId="6642982A" w:rsidR="00B51E76" w:rsidRDefault="00B51E76" w:rsidP="00612319">
      <w:pPr>
        <w:tabs>
          <w:tab w:val="clear" w:pos="7100"/>
        </w:tabs>
        <w:spacing w:line="276" w:lineRule="auto"/>
        <w:ind w:left="284" w:hanging="284"/>
      </w:pPr>
      <w:r w:rsidRPr="00B51E76">
        <w:t xml:space="preserve">Sharifian, S., </w:t>
      </w:r>
      <w:proofErr w:type="spellStart"/>
      <w:r w:rsidRPr="00B51E76">
        <w:t>Asasian-Kolir</w:t>
      </w:r>
      <w:proofErr w:type="spellEnd"/>
      <w:r w:rsidRPr="00B51E76">
        <w:t xml:space="preserve">, N., </w:t>
      </w:r>
      <w:proofErr w:type="spellStart"/>
      <w:r w:rsidRPr="00B51E76">
        <w:t>Harasek</w:t>
      </w:r>
      <w:proofErr w:type="spellEnd"/>
      <w:r w:rsidRPr="00B51E76">
        <w:t>, M., 2019, Process Simulation of Syngas Purification by Gas Permeation Application, Chemical Engineering Transactions, 76, 829-834.</w:t>
      </w:r>
    </w:p>
    <w:p w14:paraId="23D47AB2" w14:textId="0401D993" w:rsidR="00B51E76" w:rsidRPr="00B51E76" w:rsidRDefault="00B51E76" w:rsidP="00612319">
      <w:pPr>
        <w:tabs>
          <w:tab w:val="clear" w:pos="7100"/>
        </w:tabs>
        <w:spacing w:line="276" w:lineRule="auto"/>
        <w:ind w:left="284" w:hanging="284"/>
      </w:pPr>
      <w:r>
        <w:t xml:space="preserve">Zhao, L., </w:t>
      </w:r>
      <w:proofErr w:type="spellStart"/>
      <w:r>
        <w:t>Reinsche</w:t>
      </w:r>
      <w:proofErr w:type="spellEnd"/>
      <w:r>
        <w:t xml:space="preserve">, E., </w:t>
      </w:r>
      <w:proofErr w:type="spellStart"/>
      <w:r>
        <w:t>Menzer</w:t>
      </w:r>
      <w:proofErr w:type="spellEnd"/>
      <w:r>
        <w:t xml:space="preserve">, R., Blum, L., </w:t>
      </w:r>
      <w:proofErr w:type="spellStart"/>
      <w:r>
        <w:t>Stolten</w:t>
      </w:r>
      <w:proofErr w:type="spellEnd"/>
      <w:r>
        <w:t xml:space="preserve">, D., 2008, A parametric </w:t>
      </w:r>
      <w:proofErr w:type="spellStart"/>
      <w:r>
        <w:t>stuy</w:t>
      </w:r>
      <w:proofErr w:type="spellEnd"/>
      <w:r>
        <w:t xml:space="preserve"> of CO</w:t>
      </w:r>
      <w:r>
        <w:rPr>
          <w:vertAlign w:val="subscript"/>
        </w:rPr>
        <w:t>2</w:t>
      </w:r>
      <w:r>
        <w:t>/N</w:t>
      </w:r>
      <w:r>
        <w:rPr>
          <w:vertAlign w:val="subscript"/>
        </w:rPr>
        <w:t>2</w:t>
      </w:r>
      <w:r>
        <w:t xml:space="preserve"> gas separation membrane processes for post combustion capture, Journal of Membrane Science, 325, 284-294.</w:t>
      </w:r>
    </w:p>
    <w:sectPr w:rsidR="00B51E76" w:rsidRPr="00B51E7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66ED" w14:textId="77777777" w:rsidR="00707596" w:rsidRDefault="00707596" w:rsidP="004F5E36">
      <w:r>
        <w:separator/>
      </w:r>
    </w:p>
  </w:endnote>
  <w:endnote w:type="continuationSeparator" w:id="0">
    <w:p w14:paraId="1C53F9D2" w14:textId="77777777" w:rsidR="00707596" w:rsidRDefault="0070759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FE64" w14:textId="77777777" w:rsidR="00707596" w:rsidRDefault="00707596" w:rsidP="004F5E36">
      <w:r>
        <w:separator/>
      </w:r>
    </w:p>
  </w:footnote>
  <w:footnote w:type="continuationSeparator" w:id="0">
    <w:p w14:paraId="110D6B28" w14:textId="77777777" w:rsidR="00707596" w:rsidRDefault="0070759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B94"/>
    <w:rsid w:val="0003148D"/>
    <w:rsid w:val="00031EEC"/>
    <w:rsid w:val="00051566"/>
    <w:rsid w:val="00062224"/>
    <w:rsid w:val="00062A9A"/>
    <w:rsid w:val="00065058"/>
    <w:rsid w:val="00086C39"/>
    <w:rsid w:val="000A03B2"/>
    <w:rsid w:val="000C4FDF"/>
    <w:rsid w:val="000C5480"/>
    <w:rsid w:val="000D0268"/>
    <w:rsid w:val="000D34BE"/>
    <w:rsid w:val="000E102F"/>
    <w:rsid w:val="000E36F1"/>
    <w:rsid w:val="000E3A73"/>
    <w:rsid w:val="000E414A"/>
    <w:rsid w:val="000F093C"/>
    <w:rsid w:val="000F787B"/>
    <w:rsid w:val="00110342"/>
    <w:rsid w:val="0012091F"/>
    <w:rsid w:val="00126BC2"/>
    <w:rsid w:val="001308B6"/>
    <w:rsid w:val="0013121F"/>
    <w:rsid w:val="00131FE6"/>
    <w:rsid w:val="0013263F"/>
    <w:rsid w:val="001331DF"/>
    <w:rsid w:val="00134DE4"/>
    <w:rsid w:val="0014034D"/>
    <w:rsid w:val="00144D16"/>
    <w:rsid w:val="00150E59"/>
    <w:rsid w:val="00152DE3"/>
    <w:rsid w:val="00164A5F"/>
    <w:rsid w:val="00164CF9"/>
    <w:rsid w:val="001667A6"/>
    <w:rsid w:val="0017523B"/>
    <w:rsid w:val="0017778F"/>
    <w:rsid w:val="00184AD6"/>
    <w:rsid w:val="001A4AF7"/>
    <w:rsid w:val="001B0111"/>
    <w:rsid w:val="001B0349"/>
    <w:rsid w:val="001B1E93"/>
    <w:rsid w:val="001B65C1"/>
    <w:rsid w:val="001C684B"/>
    <w:rsid w:val="001D0CFB"/>
    <w:rsid w:val="001D21AF"/>
    <w:rsid w:val="001D53FC"/>
    <w:rsid w:val="001F1E4C"/>
    <w:rsid w:val="001F42A5"/>
    <w:rsid w:val="001F7B9D"/>
    <w:rsid w:val="00201C93"/>
    <w:rsid w:val="002224B4"/>
    <w:rsid w:val="00244260"/>
    <w:rsid w:val="002447EF"/>
    <w:rsid w:val="00251550"/>
    <w:rsid w:val="00263B05"/>
    <w:rsid w:val="0027221A"/>
    <w:rsid w:val="00275B61"/>
    <w:rsid w:val="00280FAF"/>
    <w:rsid w:val="00281F9E"/>
    <w:rsid w:val="00282656"/>
    <w:rsid w:val="00296B83"/>
    <w:rsid w:val="002B4015"/>
    <w:rsid w:val="002B78CE"/>
    <w:rsid w:val="002C2FB6"/>
    <w:rsid w:val="002E5FA7"/>
    <w:rsid w:val="002F3309"/>
    <w:rsid w:val="003008CE"/>
    <w:rsid w:val="003009B7"/>
    <w:rsid w:val="00300E56"/>
    <w:rsid w:val="0030469C"/>
    <w:rsid w:val="0031559F"/>
    <w:rsid w:val="00321CA6"/>
    <w:rsid w:val="00323763"/>
    <w:rsid w:val="00334C09"/>
    <w:rsid w:val="003723D4"/>
    <w:rsid w:val="00381905"/>
    <w:rsid w:val="0038258C"/>
    <w:rsid w:val="00384CC8"/>
    <w:rsid w:val="003871FD"/>
    <w:rsid w:val="003A1E30"/>
    <w:rsid w:val="003A2829"/>
    <w:rsid w:val="003A7D1C"/>
    <w:rsid w:val="003B304B"/>
    <w:rsid w:val="003B3146"/>
    <w:rsid w:val="003C030E"/>
    <w:rsid w:val="003E0634"/>
    <w:rsid w:val="003E7252"/>
    <w:rsid w:val="003F015E"/>
    <w:rsid w:val="003F70AA"/>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403D9"/>
    <w:rsid w:val="00543E7D"/>
    <w:rsid w:val="00547A68"/>
    <w:rsid w:val="005531C9"/>
    <w:rsid w:val="00570C43"/>
    <w:rsid w:val="005946C3"/>
    <w:rsid w:val="005B2110"/>
    <w:rsid w:val="005B2B9B"/>
    <w:rsid w:val="005B61E6"/>
    <w:rsid w:val="005C77E1"/>
    <w:rsid w:val="005D668A"/>
    <w:rsid w:val="005D6A2F"/>
    <w:rsid w:val="005E1A82"/>
    <w:rsid w:val="005E794C"/>
    <w:rsid w:val="005F0A28"/>
    <w:rsid w:val="005F0E5E"/>
    <w:rsid w:val="00600535"/>
    <w:rsid w:val="00610CD6"/>
    <w:rsid w:val="00612319"/>
    <w:rsid w:val="00620DEE"/>
    <w:rsid w:val="00621F92"/>
    <w:rsid w:val="0062280A"/>
    <w:rsid w:val="00625639"/>
    <w:rsid w:val="00631B33"/>
    <w:rsid w:val="0064184D"/>
    <w:rsid w:val="006422CC"/>
    <w:rsid w:val="00660E3E"/>
    <w:rsid w:val="00662E74"/>
    <w:rsid w:val="00663C76"/>
    <w:rsid w:val="00671B29"/>
    <w:rsid w:val="00680C23"/>
    <w:rsid w:val="0069299A"/>
    <w:rsid w:val="00693766"/>
    <w:rsid w:val="006A3281"/>
    <w:rsid w:val="006B4888"/>
    <w:rsid w:val="006C2E45"/>
    <w:rsid w:val="006C359C"/>
    <w:rsid w:val="006C5579"/>
    <w:rsid w:val="006D6E8B"/>
    <w:rsid w:val="006E737D"/>
    <w:rsid w:val="00703EE5"/>
    <w:rsid w:val="00707596"/>
    <w:rsid w:val="00713973"/>
    <w:rsid w:val="00720A24"/>
    <w:rsid w:val="00727989"/>
    <w:rsid w:val="00731840"/>
    <w:rsid w:val="00732386"/>
    <w:rsid w:val="0073514D"/>
    <w:rsid w:val="00742BED"/>
    <w:rsid w:val="007447F3"/>
    <w:rsid w:val="0075499F"/>
    <w:rsid w:val="007661C8"/>
    <w:rsid w:val="0077098D"/>
    <w:rsid w:val="007931FA"/>
    <w:rsid w:val="007A4861"/>
    <w:rsid w:val="007A7BBA"/>
    <w:rsid w:val="007B0C50"/>
    <w:rsid w:val="007B48F9"/>
    <w:rsid w:val="007C1A43"/>
    <w:rsid w:val="0080013E"/>
    <w:rsid w:val="00813288"/>
    <w:rsid w:val="008168FC"/>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8293D"/>
    <w:rsid w:val="009932DF"/>
    <w:rsid w:val="00993B84"/>
    <w:rsid w:val="00996483"/>
    <w:rsid w:val="00996F5A"/>
    <w:rsid w:val="009B041A"/>
    <w:rsid w:val="009C37C3"/>
    <w:rsid w:val="009C7C86"/>
    <w:rsid w:val="009D2FF7"/>
    <w:rsid w:val="009D76F3"/>
    <w:rsid w:val="009E1FDC"/>
    <w:rsid w:val="009E7884"/>
    <w:rsid w:val="009E788A"/>
    <w:rsid w:val="009F0E08"/>
    <w:rsid w:val="00A1763D"/>
    <w:rsid w:val="00A17CEC"/>
    <w:rsid w:val="00A214C6"/>
    <w:rsid w:val="00A27EF0"/>
    <w:rsid w:val="00A42361"/>
    <w:rsid w:val="00A50B20"/>
    <w:rsid w:val="00A51390"/>
    <w:rsid w:val="00A60D13"/>
    <w:rsid w:val="00A72745"/>
    <w:rsid w:val="00A76EFC"/>
    <w:rsid w:val="00A87362"/>
    <w:rsid w:val="00A91010"/>
    <w:rsid w:val="00A97F29"/>
    <w:rsid w:val="00AA6F0C"/>
    <w:rsid w:val="00AA702E"/>
    <w:rsid w:val="00AB0964"/>
    <w:rsid w:val="00AB5011"/>
    <w:rsid w:val="00AC7368"/>
    <w:rsid w:val="00AD16B9"/>
    <w:rsid w:val="00AE377D"/>
    <w:rsid w:val="00AF0EBA"/>
    <w:rsid w:val="00B02C8A"/>
    <w:rsid w:val="00B17FBD"/>
    <w:rsid w:val="00B23C22"/>
    <w:rsid w:val="00B315A6"/>
    <w:rsid w:val="00B31813"/>
    <w:rsid w:val="00B33365"/>
    <w:rsid w:val="00B51E76"/>
    <w:rsid w:val="00B57B36"/>
    <w:rsid w:val="00B57E6F"/>
    <w:rsid w:val="00B64297"/>
    <w:rsid w:val="00B8686D"/>
    <w:rsid w:val="00B93F69"/>
    <w:rsid w:val="00BB1DDC"/>
    <w:rsid w:val="00BC30C9"/>
    <w:rsid w:val="00BD077D"/>
    <w:rsid w:val="00BE3E58"/>
    <w:rsid w:val="00C01616"/>
    <w:rsid w:val="00C0162B"/>
    <w:rsid w:val="00C068ED"/>
    <w:rsid w:val="00C1084C"/>
    <w:rsid w:val="00C22E0C"/>
    <w:rsid w:val="00C345B1"/>
    <w:rsid w:val="00C40142"/>
    <w:rsid w:val="00C52C3C"/>
    <w:rsid w:val="00C57182"/>
    <w:rsid w:val="00C57863"/>
    <w:rsid w:val="00C655FD"/>
    <w:rsid w:val="00C75407"/>
    <w:rsid w:val="00C870A8"/>
    <w:rsid w:val="00C94434"/>
    <w:rsid w:val="00CA0D75"/>
    <w:rsid w:val="00CA1C95"/>
    <w:rsid w:val="00CA5A9C"/>
    <w:rsid w:val="00CC2E50"/>
    <w:rsid w:val="00CC4C20"/>
    <w:rsid w:val="00CD3517"/>
    <w:rsid w:val="00CD5FE2"/>
    <w:rsid w:val="00CE120B"/>
    <w:rsid w:val="00CE7C68"/>
    <w:rsid w:val="00CE7D6F"/>
    <w:rsid w:val="00CF50F5"/>
    <w:rsid w:val="00D02B4C"/>
    <w:rsid w:val="00D040C4"/>
    <w:rsid w:val="00D44A9E"/>
    <w:rsid w:val="00D46B7E"/>
    <w:rsid w:val="00D57C84"/>
    <w:rsid w:val="00D6057D"/>
    <w:rsid w:val="00D71640"/>
    <w:rsid w:val="00D836C5"/>
    <w:rsid w:val="00D84576"/>
    <w:rsid w:val="00DA1399"/>
    <w:rsid w:val="00DA24C6"/>
    <w:rsid w:val="00DA4D7B"/>
    <w:rsid w:val="00DE264A"/>
    <w:rsid w:val="00DF5072"/>
    <w:rsid w:val="00E02D18"/>
    <w:rsid w:val="00E041E7"/>
    <w:rsid w:val="00E0555C"/>
    <w:rsid w:val="00E11194"/>
    <w:rsid w:val="00E23CA1"/>
    <w:rsid w:val="00E409A8"/>
    <w:rsid w:val="00E50C12"/>
    <w:rsid w:val="00E65B91"/>
    <w:rsid w:val="00E71808"/>
    <w:rsid w:val="00E7209D"/>
    <w:rsid w:val="00E72EAD"/>
    <w:rsid w:val="00E77223"/>
    <w:rsid w:val="00E8528B"/>
    <w:rsid w:val="00E85B94"/>
    <w:rsid w:val="00E91B93"/>
    <w:rsid w:val="00E978D0"/>
    <w:rsid w:val="00EA4613"/>
    <w:rsid w:val="00EA7F91"/>
    <w:rsid w:val="00EB1523"/>
    <w:rsid w:val="00EC0E49"/>
    <w:rsid w:val="00EC101F"/>
    <w:rsid w:val="00EC1D9F"/>
    <w:rsid w:val="00EE0131"/>
    <w:rsid w:val="00EE17B0"/>
    <w:rsid w:val="00EF06D9"/>
    <w:rsid w:val="00F30C64"/>
    <w:rsid w:val="00F32BA2"/>
    <w:rsid w:val="00F32CDB"/>
    <w:rsid w:val="00F40E45"/>
    <w:rsid w:val="00F565FE"/>
    <w:rsid w:val="00F63A70"/>
    <w:rsid w:val="00F752D1"/>
    <w:rsid w:val="00F7534E"/>
    <w:rsid w:val="00F80748"/>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9E1FDC"/>
    <w:rPr>
      <w:color w:val="605E5C"/>
      <w:shd w:val="clear" w:color="auto" w:fill="E1DFDD"/>
    </w:rPr>
  </w:style>
  <w:style w:type="character" w:styleId="PlaceholderText">
    <w:name w:val="Placeholder Text"/>
    <w:basedOn w:val="DefaultParagraphFont"/>
    <w:uiPriority w:val="99"/>
    <w:semiHidden/>
    <w:rsid w:val="000622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347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2927</Words>
  <Characters>16684</Characters>
  <Application>Microsoft Office Word</Application>
  <DocSecurity>0</DocSecurity>
  <Lines>139</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pseghman@seznam.cz</cp:lastModifiedBy>
  <cp:revision>2</cp:revision>
  <cp:lastPrinted>2022-02-02T11:05:00Z</cp:lastPrinted>
  <dcterms:created xsi:type="dcterms:W3CDTF">2022-02-22T12:10:00Z</dcterms:created>
  <dcterms:modified xsi:type="dcterms:W3CDTF">2022-02-22T12:10:00Z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