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fr-FR" w:eastAsia="fr-FR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1EEF6F50" w:rsidR="000A03B2" w:rsidRPr="00B57B36" w:rsidRDefault="00A76EFC" w:rsidP="004C3D1D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fr-FR" w:eastAsia="fr-FR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35204533" w:rsidR="000A03B2" w:rsidRPr="00B57B36" w:rsidRDefault="005A3E9C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7D24D70F" w:rsidR="00300E56" w:rsidRPr="0014464F" w:rsidRDefault="00300E56" w:rsidP="00EC0E49">
            <w:pPr>
              <w:tabs>
                <w:tab w:val="left" w:pos="-108"/>
              </w:tabs>
              <w:spacing w:line="140" w:lineRule="atLeast"/>
              <w:ind w:left="-108"/>
              <w:jc w:val="left"/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</w:pPr>
            <w:r w:rsidRPr="0014464F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Guest Editors:</w:t>
            </w:r>
            <w:r w:rsidR="00904C62" w:rsidRPr="0014464F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</w:t>
            </w:r>
          </w:p>
          <w:p w14:paraId="1B0F1814" w14:textId="6CE52C7C" w:rsidR="000A03B2" w:rsidRPr="00B57B36" w:rsidRDefault="0014464F" w:rsidP="00180860">
            <w:pPr>
              <w:tabs>
                <w:tab w:val="left" w:pos="-108"/>
              </w:tabs>
              <w:spacing w:line="140" w:lineRule="atLeast"/>
              <w:ind w:left="-108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Copyright © 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180860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</w:t>
            </w:r>
            <w:r w:rsidR="00180860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 xml:space="preserve">BN </w:t>
            </w:r>
            <w:r w:rsidR="00180860" w:rsidRPr="00D642A9">
              <w:rPr>
                <w:rFonts w:ascii="Tahoma" w:hAnsi="Tahoma" w:cs="Tahoma"/>
                <w:sz w:val="14"/>
                <w:szCs w:val="14"/>
                <w:lang w:val="en-US"/>
              </w:rPr>
              <w:t>978-88-95608</w:t>
            </w:r>
            <w:r w:rsidR="00180860">
              <w:rPr>
                <w:rFonts w:ascii="Tahoma" w:hAnsi="Tahoma" w:cs="Tahoma"/>
                <w:sz w:val="14"/>
                <w:szCs w:val="14"/>
                <w:lang w:val="en-US"/>
              </w:rPr>
              <w:t xml:space="preserve">-xx-x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B57B36" w:rsidRDefault="000A03B2" w:rsidP="000A03B2">
      <w:pPr>
        <w:pStyle w:val="CETAuthors"/>
        <w:sectPr w:rsidR="000A03B2" w:rsidRPr="00B57B36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5FDC07B7" w:rsidR="00E978D0" w:rsidRPr="00B57B36" w:rsidRDefault="00BC51A9" w:rsidP="00E978D0">
      <w:pPr>
        <w:pStyle w:val="CETTitle"/>
      </w:pPr>
      <w:r w:rsidRPr="00BC51A9">
        <w:t>Photochemical [2+2] cycloaddition of biobased latexes for composites with microfibrillated cellulose</w:t>
      </w:r>
    </w:p>
    <w:p w14:paraId="2B3CA35C" w14:textId="18DC5076" w:rsidR="00E978D0" w:rsidRPr="00B57B36" w:rsidRDefault="00BC51A9" w:rsidP="00AB5011">
      <w:pPr>
        <w:pStyle w:val="CETAuthors"/>
      </w:pPr>
      <w:r>
        <w:t>Sara Dalle Vacche</w:t>
      </w:r>
      <w:r w:rsidR="00600535" w:rsidRPr="00B57B36">
        <w:rPr>
          <w:vertAlign w:val="superscript"/>
        </w:rPr>
        <w:t>a</w:t>
      </w:r>
      <w:r w:rsidRPr="00B57B36">
        <w:rPr>
          <w:vertAlign w:val="superscript"/>
        </w:rPr>
        <w:t>,</w:t>
      </w:r>
      <w:r w:rsidRPr="00B57B36">
        <w:t>*</w:t>
      </w:r>
      <w:r w:rsidR="00600535" w:rsidRPr="00B57B36">
        <w:t xml:space="preserve">, </w:t>
      </w:r>
      <w:r>
        <w:t>Samantha Molina-Gutiérrez</w:t>
      </w:r>
      <w:r w:rsidRPr="00BC51A9">
        <w:rPr>
          <w:vertAlign w:val="superscript"/>
        </w:rPr>
        <w:t>b</w:t>
      </w:r>
      <w:r w:rsidR="00600535" w:rsidRPr="00B57B36">
        <w:t xml:space="preserve">, </w:t>
      </w:r>
      <w:r w:rsidRPr="00BC51A9">
        <w:t>Vincent Ladmiral</w:t>
      </w:r>
      <w:r w:rsidRPr="00BC51A9">
        <w:rPr>
          <w:vertAlign w:val="superscript"/>
        </w:rPr>
        <w:t>b</w:t>
      </w:r>
      <w:r w:rsidRPr="00BC51A9">
        <w:t>, Sylvain Caillol</w:t>
      </w:r>
      <w:r w:rsidRPr="00BC51A9">
        <w:rPr>
          <w:vertAlign w:val="superscript"/>
        </w:rPr>
        <w:t>b</w:t>
      </w:r>
      <w:r w:rsidRPr="00BC51A9">
        <w:t>, Patrick Lacroix-Desmazes</w:t>
      </w:r>
      <w:r w:rsidRPr="00BC51A9">
        <w:rPr>
          <w:vertAlign w:val="superscript"/>
        </w:rPr>
        <w:t>b</w:t>
      </w:r>
      <w:r w:rsidRPr="00BC51A9">
        <w:t>, Roberta Bongiovanni</w:t>
      </w:r>
      <w:r>
        <w:rPr>
          <w:vertAlign w:val="superscript"/>
        </w:rPr>
        <w:t>a</w:t>
      </w:r>
    </w:p>
    <w:p w14:paraId="7B82D453" w14:textId="61EC57BD" w:rsidR="00287EA2" w:rsidRDefault="00E978D0" w:rsidP="00287EA2">
      <w:pPr>
        <w:pStyle w:val="CETAddress"/>
      </w:pPr>
      <w:r w:rsidRPr="00B57B36">
        <w:rPr>
          <w:vertAlign w:val="superscript"/>
        </w:rPr>
        <w:t>a</w:t>
      </w:r>
      <w:r w:rsidR="00287EA2">
        <w:t xml:space="preserve">Dipartimento Scienza Applicata e tecnologia, Politecnico di Torino, c.so Duca degli Abruzzi 24, </w:t>
      </w:r>
    </w:p>
    <w:p w14:paraId="2A156956" w14:textId="77777777" w:rsidR="00287EA2" w:rsidRDefault="00287EA2" w:rsidP="00287EA2">
      <w:pPr>
        <w:pStyle w:val="CETAddress"/>
      </w:pPr>
      <w:r>
        <w:t>10129 Torino, Italia</w:t>
      </w:r>
    </w:p>
    <w:p w14:paraId="38D29194" w14:textId="7F195DC1" w:rsidR="00E978D0" w:rsidRPr="00B57B36" w:rsidRDefault="00E978D0" w:rsidP="00287EA2">
      <w:pPr>
        <w:pStyle w:val="CETAddress"/>
      </w:pPr>
      <w:r w:rsidRPr="00B57B36">
        <w:rPr>
          <w:vertAlign w:val="superscript"/>
        </w:rPr>
        <w:t>b</w:t>
      </w:r>
      <w:r w:rsidR="00287EA2" w:rsidRPr="00287EA2">
        <w:t>ICGM, Univ Montpellier, ENSCM, CNRS, Montpellier, France</w:t>
      </w:r>
    </w:p>
    <w:p w14:paraId="22F57ED6" w14:textId="3DC989EC" w:rsidR="00287EA2" w:rsidRDefault="00AB5011" w:rsidP="00287EA2">
      <w:pPr>
        <w:pStyle w:val="CETemail"/>
      </w:pPr>
      <w:r>
        <w:t xml:space="preserve"> </w:t>
      </w:r>
      <w:hyperlink r:id="rId10" w:history="1">
        <w:r w:rsidR="00287EA2" w:rsidRPr="000F5381">
          <w:rPr>
            <w:rStyle w:val="Hyperlink"/>
          </w:rPr>
          <w:t>sara.dallevacche@polito.it</w:t>
        </w:r>
      </w:hyperlink>
    </w:p>
    <w:p w14:paraId="70409639" w14:textId="2F980788" w:rsidR="00287EA2" w:rsidRPr="00287EA2" w:rsidRDefault="00BC789C" w:rsidP="00287EA2">
      <w:pPr>
        <w:pStyle w:val="CETBodytext"/>
      </w:pPr>
      <w:bookmarkStart w:id="0" w:name="_Hlk495475023"/>
      <w:r>
        <w:t>A b</w:t>
      </w:r>
      <w:r w:rsidR="00287EA2" w:rsidRPr="00287EA2">
        <w:t>iobased latex</w:t>
      </w:r>
      <w:r>
        <w:t xml:space="preserve"> was </w:t>
      </w:r>
      <w:r w:rsidR="00287EA2" w:rsidRPr="00287EA2">
        <w:t xml:space="preserve">obtained </w:t>
      </w:r>
      <w:r>
        <w:t>by</w:t>
      </w:r>
      <w:r w:rsidR="00287EA2" w:rsidRPr="00287EA2">
        <w:t xml:space="preserve"> copolymerization in emulsion of ethoxy dihydroeugenyl methacrylate (EDMA) and coumarin methacrylate (CMA). </w:t>
      </w:r>
      <w:r>
        <w:t>Thin films of poly(EDMA-</w:t>
      </w:r>
      <w:r w:rsidRPr="00D71E28">
        <w:rPr>
          <w:i/>
        </w:rPr>
        <w:t>co</w:t>
      </w:r>
      <w:r>
        <w:t>-CMA) were</w:t>
      </w:r>
      <w:r w:rsidR="00287EA2" w:rsidRPr="00287EA2">
        <w:t xml:space="preserve"> irradiated with UV light at 365 nm</w:t>
      </w:r>
      <w:r>
        <w:t xml:space="preserve">, to promote the [2+2] photocycloaddition reaction </w:t>
      </w:r>
      <w:r w:rsidRPr="00287EA2">
        <w:t>of the coumarin moieties</w:t>
      </w:r>
      <w:r w:rsidR="00EA31E4">
        <w:t>. T</w:t>
      </w:r>
      <w:r w:rsidR="00287EA2" w:rsidRPr="00287EA2">
        <w:t>he</w:t>
      </w:r>
      <w:r w:rsidR="00EA31E4">
        <w:t xml:space="preserve"> advancement of the</w:t>
      </w:r>
      <w:r w:rsidR="00287EA2" w:rsidRPr="00287EA2">
        <w:t xml:space="preserve"> </w:t>
      </w:r>
      <w:r>
        <w:t>reaction</w:t>
      </w:r>
      <w:r w:rsidR="00287EA2" w:rsidRPr="00287EA2">
        <w:t xml:space="preserve"> was followed</w:t>
      </w:r>
      <w:r w:rsidR="00EA31E4">
        <w:t xml:space="preserve"> </w:t>
      </w:r>
      <w:r w:rsidR="00287EA2" w:rsidRPr="00287EA2">
        <w:t>by monitoring the intensity of the UV-Vis absorbance at 3</w:t>
      </w:r>
      <w:r w:rsidR="00EA31E4">
        <w:t>20</w:t>
      </w:r>
      <w:r w:rsidR="00287EA2" w:rsidRPr="00287EA2">
        <w:t xml:space="preserve"> nm</w:t>
      </w:r>
      <w:r>
        <w:t xml:space="preserve">, characteristic of coumarin, </w:t>
      </w:r>
      <w:r w:rsidR="00EA31E4">
        <w:t>after different irradiation times. C</w:t>
      </w:r>
      <w:r w:rsidR="00287EA2" w:rsidRPr="00287EA2">
        <w:t>omplete dimerization of the coumarin moieties</w:t>
      </w:r>
      <w:r w:rsidR="00EA31E4">
        <w:t xml:space="preserve"> could be achieved</w:t>
      </w:r>
      <w:r w:rsidR="00287EA2" w:rsidRPr="00287EA2">
        <w:t xml:space="preserve">. A microfibrillated cellulose (MFC) reinforcement was added to the </w:t>
      </w:r>
      <w:r w:rsidR="000D7283">
        <w:t>poly(</w:t>
      </w:r>
      <w:r w:rsidR="00287EA2" w:rsidRPr="00287EA2">
        <w:t>EDMA-</w:t>
      </w:r>
      <w:r w:rsidR="00EA6626" w:rsidRPr="00D71E28">
        <w:rPr>
          <w:i/>
        </w:rPr>
        <w:t>co</w:t>
      </w:r>
      <w:r w:rsidR="00EA6626">
        <w:t>-</w:t>
      </w:r>
      <w:r w:rsidR="00287EA2" w:rsidRPr="00287EA2">
        <w:t>CMA</w:t>
      </w:r>
      <w:r w:rsidR="000D7283">
        <w:t>)</w:t>
      </w:r>
      <w:r w:rsidR="00287EA2" w:rsidRPr="00287EA2">
        <w:t xml:space="preserve"> latexes to prepare composite materials. The permeability of the composite films to oxygen, before and after crosslinking, was assessed. For the non-crosslinked films, increasing the cellulose content from 5 wt% to 30 wt% decreased the oxygen transmission rate (OTR) </w:t>
      </w:r>
      <w:r w:rsidR="00420025">
        <w:t>by</w:t>
      </w:r>
      <w:r w:rsidR="00420025" w:rsidRPr="00287EA2">
        <w:t xml:space="preserve"> </w:t>
      </w:r>
      <w:r w:rsidR="00EA6626">
        <w:t xml:space="preserve">approximately </w:t>
      </w:r>
      <w:r w:rsidR="00287EA2" w:rsidRPr="00287EA2">
        <w:t xml:space="preserve">70%. When </w:t>
      </w:r>
      <w:r>
        <w:t xml:space="preserve">1 wt% </w:t>
      </w:r>
      <w:r w:rsidR="00287EA2" w:rsidRPr="00287EA2">
        <w:t xml:space="preserve">CMA </w:t>
      </w:r>
      <w:r w:rsidR="000D7283">
        <w:t xml:space="preserve">moieties </w:t>
      </w:r>
      <w:r w:rsidR="00287EA2" w:rsidRPr="00287EA2">
        <w:t>w</w:t>
      </w:r>
      <w:r w:rsidR="000D7283">
        <w:t>ere</w:t>
      </w:r>
      <w:r w:rsidR="00287EA2" w:rsidRPr="00287EA2">
        <w:t xml:space="preserve"> present in the polymer backbone the OTR </w:t>
      </w:r>
      <w:r>
        <w:t xml:space="preserve">was </w:t>
      </w:r>
      <w:r w:rsidR="00EA6626">
        <w:t>approximately</w:t>
      </w:r>
      <w:r w:rsidR="00287EA2" w:rsidRPr="00287EA2">
        <w:t xml:space="preserve"> 50</w:t>
      </w:r>
      <w:r>
        <w:t xml:space="preserve"> </w:t>
      </w:r>
      <w:r w:rsidR="00287EA2" w:rsidRPr="00287EA2">
        <w:t xml:space="preserve">% </w:t>
      </w:r>
      <w:r>
        <w:t xml:space="preserve">lower </w:t>
      </w:r>
      <w:r w:rsidR="00287EA2" w:rsidRPr="00287EA2">
        <w:t xml:space="preserve">with respect to </w:t>
      </w:r>
      <w:r>
        <w:t>poly(</w:t>
      </w:r>
      <w:r w:rsidR="00287EA2" w:rsidRPr="00287EA2">
        <w:t>EDMA</w:t>
      </w:r>
      <w:r>
        <w:t>)</w:t>
      </w:r>
      <w:r w:rsidR="00287EA2" w:rsidRPr="00287EA2">
        <w:t xml:space="preserve"> composites. A further </w:t>
      </w:r>
      <w:r w:rsidR="00EA6626">
        <w:t xml:space="preserve">slight </w:t>
      </w:r>
      <w:r w:rsidR="00287EA2" w:rsidRPr="00287EA2">
        <w:t xml:space="preserve">decrease of permeability was observed upon crosslinking of the composite </w:t>
      </w:r>
      <w:r w:rsidR="000D7283">
        <w:t>poly(</w:t>
      </w:r>
      <w:r w:rsidR="00287EA2" w:rsidRPr="00287EA2">
        <w:t>EDMA-</w:t>
      </w:r>
      <w:r w:rsidR="00EA6626" w:rsidRPr="00D71E28">
        <w:rPr>
          <w:i/>
        </w:rPr>
        <w:t>co</w:t>
      </w:r>
      <w:r w:rsidR="00EA6626">
        <w:t>-</w:t>
      </w:r>
      <w:r w:rsidR="00287EA2" w:rsidRPr="00287EA2">
        <w:t>CMA</w:t>
      </w:r>
      <w:r w:rsidR="000D7283">
        <w:t>)/MFC</w:t>
      </w:r>
      <w:r w:rsidR="00287EA2" w:rsidRPr="00287EA2">
        <w:t xml:space="preserve"> films.</w:t>
      </w:r>
    </w:p>
    <w:p w14:paraId="29F330CB" w14:textId="77777777" w:rsidR="00D523A8" w:rsidRPr="00B57B36" w:rsidRDefault="00D523A8" w:rsidP="00D523A8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1BCF14B7" w14:textId="79B4AF82" w:rsidR="005C18B7" w:rsidRDefault="00B90CD2" w:rsidP="00600535">
      <w:pPr>
        <w:pStyle w:val="CETBodytext"/>
        <w:rPr>
          <w:lang w:val="en-GB"/>
        </w:rPr>
      </w:pPr>
      <w:r w:rsidRPr="00B90CD2">
        <w:rPr>
          <w:lang w:val="en-GB"/>
        </w:rPr>
        <w:t xml:space="preserve">Replacing </w:t>
      </w:r>
      <w:r>
        <w:rPr>
          <w:lang w:val="en-GB"/>
        </w:rPr>
        <w:t>oil-based</w:t>
      </w:r>
      <w:r w:rsidRPr="00B90CD2">
        <w:rPr>
          <w:lang w:val="en-GB"/>
        </w:rPr>
        <w:t xml:space="preserve"> plastics with new </w:t>
      </w:r>
      <w:r>
        <w:rPr>
          <w:lang w:val="en-GB"/>
        </w:rPr>
        <w:t>m</w:t>
      </w:r>
      <w:r w:rsidRPr="00B90CD2">
        <w:rPr>
          <w:lang w:val="en-GB"/>
        </w:rPr>
        <w:t xml:space="preserve">aterials from renewable resources </w:t>
      </w:r>
      <w:r>
        <w:rPr>
          <w:lang w:val="en-GB"/>
        </w:rPr>
        <w:t xml:space="preserve">is a key action for reducing dependency </w:t>
      </w:r>
      <w:r w:rsidR="00420025">
        <w:rPr>
          <w:lang w:val="en-GB"/>
        </w:rPr>
        <w:t xml:space="preserve">on </w:t>
      </w:r>
      <w:r>
        <w:rPr>
          <w:lang w:val="en-GB"/>
        </w:rPr>
        <w:t>fossil resources and the related environmental burden</w:t>
      </w:r>
      <w:r w:rsidRPr="00B90CD2">
        <w:rPr>
          <w:lang w:val="en-GB"/>
        </w:rPr>
        <w:t xml:space="preserve">. </w:t>
      </w:r>
      <w:r w:rsidR="008E10C5">
        <w:rPr>
          <w:lang w:val="en-GB"/>
        </w:rPr>
        <w:t xml:space="preserve">When the renewable resources are derived from non-edible biomass, there is the additional benefit of </w:t>
      </w:r>
      <w:r w:rsidR="002B4FC7">
        <w:rPr>
          <w:lang w:val="en-GB"/>
        </w:rPr>
        <w:t>valorizing</w:t>
      </w:r>
      <w:r w:rsidR="008E10C5">
        <w:rPr>
          <w:lang w:val="en-GB"/>
        </w:rPr>
        <w:t xml:space="preserve"> otherwise unusable </w:t>
      </w:r>
      <w:r w:rsidR="008E10C5" w:rsidRPr="00B90CD2">
        <w:rPr>
          <w:lang w:val="en-GB"/>
        </w:rPr>
        <w:t>by-product</w:t>
      </w:r>
      <w:r w:rsidR="008E10C5">
        <w:rPr>
          <w:lang w:val="en-GB"/>
        </w:rPr>
        <w:t>s</w:t>
      </w:r>
      <w:r w:rsidR="008E10C5" w:rsidRPr="00B90CD2">
        <w:rPr>
          <w:lang w:val="en-GB"/>
        </w:rPr>
        <w:t xml:space="preserve"> </w:t>
      </w:r>
      <w:r w:rsidR="008E10C5">
        <w:rPr>
          <w:lang w:val="en-GB"/>
        </w:rPr>
        <w:t>of</w:t>
      </w:r>
      <w:r w:rsidR="008E10C5" w:rsidRPr="00B90CD2">
        <w:rPr>
          <w:lang w:val="en-GB"/>
        </w:rPr>
        <w:t xml:space="preserve"> the agr</w:t>
      </w:r>
      <w:r w:rsidR="00420025">
        <w:rPr>
          <w:lang w:val="en-GB"/>
        </w:rPr>
        <w:t>o</w:t>
      </w:r>
      <w:r w:rsidR="008E10C5" w:rsidRPr="00B90CD2">
        <w:rPr>
          <w:lang w:val="en-GB"/>
        </w:rPr>
        <w:t>-food industry</w:t>
      </w:r>
      <w:r w:rsidR="008E10C5">
        <w:rPr>
          <w:lang w:val="en-GB"/>
        </w:rPr>
        <w:t>, reducing</w:t>
      </w:r>
      <w:r w:rsidR="008E10C5" w:rsidRPr="00B90CD2">
        <w:rPr>
          <w:lang w:val="en-GB"/>
        </w:rPr>
        <w:t xml:space="preserve"> </w:t>
      </w:r>
      <w:r w:rsidR="008E10C5">
        <w:rPr>
          <w:lang w:val="en-GB"/>
        </w:rPr>
        <w:t xml:space="preserve">waste. To this aim, </w:t>
      </w:r>
      <w:r w:rsidR="00C0542C">
        <w:rPr>
          <w:lang w:val="en-GB"/>
        </w:rPr>
        <w:t>increasing attention is being given to cellulose, the most abundant biopolymer on earth, and particularly to microfibrillated cellulose (MFC),</w:t>
      </w:r>
      <w:r w:rsidR="00B2601A">
        <w:rPr>
          <w:lang w:val="en-GB"/>
        </w:rPr>
        <w:t xml:space="preserve"> which</w:t>
      </w:r>
      <w:r w:rsidR="00C0542C">
        <w:rPr>
          <w:lang w:val="en-GB"/>
        </w:rPr>
        <w:t xml:space="preserve"> can be obtained not only from wood but also from numerous annual plants</w:t>
      </w:r>
      <w:r w:rsidR="004A4DE6">
        <w:rPr>
          <w:lang w:val="en-GB"/>
        </w:rPr>
        <w:t xml:space="preserve"> </w:t>
      </w:r>
      <w:r w:rsidR="00910A43" w:rsidRPr="00910A43">
        <w:rPr>
          <w:rFonts w:cs="Arial"/>
        </w:rPr>
        <w:t>(Goncalves et al., 2016)</w:t>
      </w:r>
      <w:r w:rsidR="00C0542C">
        <w:rPr>
          <w:lang w:val="en-GB"/>
        </w:rPr>
        <w:t xml:space="preserve">. </w:t>
      </w:r>
      <w:r w:rsidR="00940767">
        <w:rPr>
          <w:lang w:val="en-GB"/>
        </w:rPr>
        <w:t>MFC displays</w:t>
      </w:r>
      <w:r w:rsidR="009E715A">
        <w:rPr>
          <w:lang w:val="en-GB"/>
        </w:rPr>
        <w:t xml:space="preserve"> very good oxygen barrier properties, </w:t>
      </w:r>
      <w:r w:rsidR="002B4FC7">
        <w:rPr>
          <w:lang w:val="en-GB"/>
        </w:rPr>
        <w:t>which</w:t>
      </w:r>
      <w:r w:rsidR="009E715A">
        <w:rPr>
          <w:lang w:val="en-GB"/>
        </w:rPr>
        <w:t xml:space="preserve"> make </w:t>
      </w:r>
      <w:r w:rsidR="00420025">
        <w:rPr>
          <w:lang w:val="en-GB"/>
        </w:rPr>
        <w:t xml:space="preserve">it </w:t>
      </w:r>
      <w:r w:rsidR="009E715A">
        <w:rPr>
          <w:lang w:val="en-GB"/>
        </w:rPr>
        <w:t xml:space="preserve">an interesting material for packaging applications </w:t>
      </w:r>
      <w:r w:rsidR="00910A43" w:rsidRPr="00910A43">
        <w:rPr>
          <w:rFonts w:cs="Arial"/>
        </w:rPr>
        <w:t>(Demuner et al., 2019; Nair et al., 2014)</w:t>
      </w:r>
      <w:r w:rsidR="009E715A">
        <w:rPr>
          <w:lang w:val="en-GB"/>
        </w:rPr>
        <w:t xml:space="preserve">. </w:t>
      </w:r>
      <w:r w:rsidR="00940767">
        <w:rPr>
          <w:lang w:val="en-GB"/>
        </w:rPr>
        <w:t>MFC</w:t>
      </w:r>
      <w:r w:rsidR="008B405F">
        <w:rPr>
          <w:lang w:val="en-GB"/>
        </w:rPr>
        <w:t xml:space="preserve"> films</w:t>
      </w:r>
      <w:r w:rsidR="009E715A">
        <w:rPr>
          <w:lang w:val="en-GB"/>
        </w:rPr>
        <w:t>, however,</w:t>
      </w:r>
      <w:r w:rsidR="00940767">
        <w:rPr>
          <w:lang w:val="en-GB"/>
        </w:rPr>
        <w:t xml:space="preserve"> are sensitive to humidity,</w:t>
      </w:r>
      <w:r w:rsidR="008B405F">
        <w:rPr>
          <w:lang w:val="en-GB"/>
        </w:rPr>
        <w:t xml:space="preserve"> </w:t>
      </w:r>
      <w:r w:rsidR="009E715A">
        <w:rPr>
          <w:lang w:val="en-GB"/>
        </w:rPr>
        <w:t>thus</w:t>
      </w:r>
      <w:r w:rsidR="00940767">
        <w:rPr>
          <w:lang w:val="en-GB"/>
        </w:rPr>
        <w:t xml:space="preserve"> they are </w:t>
      </w:r>
      <w:r w:rsidR="009E715A">
        <w:rPr>
          <w:lang w:val="en-GB"/>
        </w:rPr>
        <w:t xml:space="preserve">often </w:t>
      </w:r>
      <w:r w:rsidR="00940767">
        <w:rPr>
          <w:lang w:val="en-GB"/>
        </w:rPr>
        <w:t xml:space="preserve">combined with polymers, </w:t>
      </w:r>
      <w:r w:rsidR="008B405F">
        <w:rPr>
          <w:lang w:val="en-GB"/>
        </w:rPr>
        <w:t>and particularly thermally or photochemically</w:t>
      </w:r>
      <w:r w:rsidR="003A2211">
        <w:rPr>
          <w:lang w:val="en-GB"/>
        </w:rPr>
        <w:t xml:space="preserve"> </w:t>
      </w:r>
      <w:r w:rsidR="008B405F">
        <w:rPr>
          <w:lang w:val="en-GB"/>
        </w:rPr>
        <w:t xml:space="preserve">crosslinked ones, </w:t>
      </w:r>
      <w:r w:rsidR="00940767">
        <w:rPr>
          <w:lang w:val="en-GB"/>
        </w:rPr>
        <w:t>to improve their water resistance</w:t>
      </w:r>
      <w:r w:rsidR="007A22CC">
        <w:rPr>
          <w:lang w:val="en-GB"/>
        </w:rPr>
        <w:t>; h</w:t>
      </w:r>
      <w:r w:rsidR="008B405F">
        <w:rPr>
          <w:lang w:val="en-GB"/>
        </w:rPr>
        <w:t>owever,</w:t>
      </w:r>
      <w:r w:rsidR="00940767">
        <w:rPr>
          <w:lang w:val="en-GB"/>
        </w:rPr>
        <w:t xml:space="preserve"> </w:t>
      </w:r>
      <w:r w:rsidR="008B405F">
        <w:rPr>
          <w:lang w:val="en-GB"/>
        </w:rPr>
        <w:t>MFC</w:t>
      </w:r>
      <w:r w:rsidR="00940767">
        <w:rPr>
          <w:lang w:val="en-GB"/>
        </w:rPr>
        <w:t xml:space="preserve"> aggregate when mixed with apolar polymers or solvents, thus some</w:t>
      </w:r>
      <w:r w:rsidR="008B405F">
        <w:rPr>
          <w:lang w:val="en-GB"/>
        </w:rPr>
        <w:t>what complex solvent exchange procedures are often involved</w:t>
      </w:r>
      <w:r w:rsidR="003A2211">
        <w:rPr>
          <w:lang w:val="en-GB"/>
        </w:rPr>
        <w:t xml:space="preserve"> </w:t>
      </w:r>
      <w:r w:rsidR="00910A43" w:rsidRPr="00910A43">
        <w:rPr>
          <w:rFonts w:cs="Arial"/>
        </w:rPr>
        <w:t>(Dalle Vacche et al., 2019, 2021; Vitale et al., 2022)</w:t>
      </w:r>
      <w:r w:rsidR="008B405F">
        <w:rPr>
          <w:lang w:val="en-GB"/>
        </w:rPr>
        <w:t xml:space="preserve">. The use of polymer matrices in the form of waterborne latexes, that can </w:t>
      </w:r>
      <w:r w:rsidR="000D7283">
        <w:rPr>
          <w:lang w:val="en-GB"/>
        </w:rPr>
        <w:t>easily</w:t>
      </w:r>
      <w:r w:rsidR="003A2211">
        <w:rPr>
          <w:lang w:val="en-GB"/>
        </w:rPr>
        <w:t xml:space="preserve"> be</w:t>
      </w:r>
      <w:r w:rsidR="000D7283">
        <w:rPr>
          <w:lang w:val="en-GB"/>
        </w:rPr>
        <w:t xml:space="preserve"> mixed with MFC in an aqueous dispersion and </w:t>
      </w:r>
      <w:r w:rsidR="008B405F">
        <w:rPr>
          <w:lang w:val="en-GB"/>
        </w:rPr>
        <w:t>subsequently crossl</w:t>
      </w:r>
      <w:r w:rsidR="000D7283">
        <w:rPr>
          <w:lang w:val="en-GB"/>
        </w:rPr>
        <w:t>i</w:t>
      </w:r>
      <w:r w:rsidR="008B405F">
        <w:rPr>
          <w:lang w:val="en-GB"/>
        </w:rPr>
        <w:t xml:space="preserve">nked, is therefore a convenient </w:t>
      </w:r>
      <w:r w:rsidR="000D7283">
        <w:rPr>
          <w:lang w:val="en-GB"/>
        </w:rPr>
        <w:t xml:space="preserve">and environmentally advantageous </w:t>
      </w:r>
      <w:r w:rsidR="008B405F">
        <w:rPr>
          <w:lang w:val="en-GB"/>
        </w:rPr>
        <w:t xml:space="preserve">alternative. </w:t>
      </w:r>
      <w:r w:rsidR="000D7283">
        <w:rPr>
          <w:lang w:val="en-GB"/>
        </w:rPr>
        <w:t xml:space="preserve">Biobased polymer latexes have been </w:t>
      </w:r>
      <w:r w:rsidR="006406E9">
        <w:rPr>
          <w:lang w:val="en-GB"/>
        </w:rPr>
        <w:t xml:space="preserve">prepared by emulsion radical polymerization </w:t>
      </w:r>
      <w:r w:rsidR="00420025">
        <w:rPr>
          <w:lang w:val="en-GB"/>
        </w:rPr>
        <w:t xml:space="preserve">of </w:t>
      </w:r>
      <w:r w:rsidR="006406E9">
        <w:rPr>
          <w:lang w:val="en-GB"/>
        </w:rPr>
        <w:t>vegetable oils and lipids, terpene derivatives, lignin derivatives</w:t>
      </w:r>
      <w:r w:rsidR="005B4A93">
        <w:rPr>
          <w:lang w:val="en-GB"/>
        </w:rPr>
        <w:t>, proteins</w:t>
      </w:r>
      <w:r w:rsidR="002B4FC7">
        <w:rPr>
          <w:lang w:val="en-GB"/>
        </w:rPr>
        <w:t>,</w:t>
      </w:r>
      <w:r w:rsidR="00420025">
        <w:rPr>
          <w:lang w:val="en-GB"/>
        </w:rPr>
        <w:t xml:space="preserve"> or </w:t>
      </w:r>
      <w:r w:rsidR="005B4A93">
        <w:rPr>
          <w:lang w:val="en-GB"/>
        </w:rPr>
        <w:t xml:space="preserve">carbohydrates </w:t>
      </w:r>
      <w:r w:rsidR="00910A43" w:rsidRPr="00910A43">
        <w:rPr>
          <w:rFonts w:cs="Arial"/>
          <w:szCs w:val="24"/>
        </w:rPr>
        <w:t>(Molina-Gutiérrez et al., 2019a)</w:t>
      </w:r>
      <w:r w:rsidR="005B4A93">
        <w:rPr>
          <w:lang w:val="en-GB"/>
        </w:rPr>
        <w:t>.</w:t>
      </w:r>
      <w:r w:rsidR="000D7283">
        <w:rPr>
          <w:lang w:val="en-GB"/>
        </w:rPr>
        <w:t xml:space="preserve"> </w:t>
      </w:r>
      <w:r w:rsidR="005B4A93">
        <w:rPr>
          <w:lang w:val="en-GB"/>
        </w:rPr>
        <w:t xml:space="preserve">In order to impart the ability to form crosslinks to the polymer latex, an interesting option is the introduction of coumarin functionalities in the polymer structure. </w:t>
      </w:r>
      <w:r w:rsidR="00005B88">
        <w:rPr>
          <w:lang w:val="en-GB"/>
        </w:rPr>
        <w:t xml:space="preserve">Naturally occurring coumarins can be isolated from </w:t>
      </w:r>
      <w:r w:rsidR="006F1062">
        <w:rPr>
          <w:lang w:val="en-GB"/>
        </w:rPr>
        <w:t>several</w:t>
      </w:r>
      <w:r w:rsidR="00005B88">
        <w:rPr>
          <w:lang w:val="en-GB"/>
        </w:rPr>
        <w:t xml:space="preserve"> plants, </w:t>
      </w:r>
      <w:r w:rsidR="006F1062">
        <w:rPr>
          <w:lang w:val="en-GB"/>
        </w:rPr>
        <w:t>particularly of the A</w:t>
      </w:r>
      <w:r w:rsidR="006F1062" w:rsidRPr="006F1062">
        <w:rPr>
          <w:lang w:val="en-GB"/>
        </w:rPr>
        <w:t>piaceae, Asteraceae, and Rutaceae</w:t>
      </w:r>
      <w:r w:rsidR="006F1062">
        <w:rPr>
          <w:lang w:val="en-GB"/>
        </w:rPr>
        <w:t xml:space="preserve"> families. </w:t>
      </w:r>
      <w:r w:rsidR="00D523A8" w:rsidRPr="00D523A8">
        <w:rPr>
          <w:lang w:val="en-GB"/>
        </w:rPr>
        <w:t xml:space="preserve">The </w:t>
      </w:r>
      <w:r w:rsidR="005B4A93">
        <w:rPr>
          <w:lang w:val="en-GB"/>
        </w:rPr>
        <w:t xml:space="preserve">photoinduced </w:t>
      </w:r>
      <w:r w:rsidR="00D523A8" w:rsidRPr="00D523A8">
        <w:rPr>
          <w:lang w:val="en-GB"/>
        </w:rPr>
        <w:t xml:space="preserve">dimerization of coumarin </w:t>
      </w:r>
      <w:r w:rsidR="00420025">
        <w:rPr>
          <w:lang w:val="en-GB"/>
        </w:rPr>
        <w:t>has been</w:t>
      </w:r>
      <w:r w:rsidR="00420025" w:rsidRPr="00D523A8">
        <w:rPr>
          <w:lang w:val="en-GB"/>
        </w:rPr>
        <w:t xml:space="preserve"> </w:t>
      </w:r>
      <w:r w:rsidR="00D523A8" w:rsidRPr="00D523A8">
        <w:rPr>
          <w:lang w:val="en-GB"/>
        </w:rPr>
        <w:t xml:space="preserve">known since the </w:t>
      </w:r>
      <w:r w:rsidR="005C18B7">
        <w:rPr>
          <w:lang w:val="en-GB"/>
        </w:rPr>
        <w:t>beginning of the 20</w:t>
      </w:r>
      <w:r w:rsidR="005C18B7" w:rsidRPr="005C18B7">
        <w:rPr>
          <w:vertAlign w:val="superscript"/>
          <w:lang w:val="en-GB"/>
        </w:rPr>
        <w:t>th</w:t>
      </w:r>
      <w:r w:rsidR="005C18B7">
        <w:rPr>
          <w:lang w:val="en-GB"/>
        </w:rPr>
        <w:t xml:space="preserve"> century, and the structure of the coumarin dimers was elucidated in the </w:t>
      </w:r>
      <w:r w:rsidR="002B4FC7">
        <w:rPr>
          <w:lang w:val="en-GB"/>
        </w:rPr>
        <w:t>1960s</w:t>
      </w:r>
      <w:r w:rsidR="005C18B7">
        <w:rPr>
          <w:lang w:val="en-GB"/>
        </w:rPr>
        <w:t xml:space="preserve"> </w:t>
      </w:r>
      <w:r w:rsidR="00910A43" w:rsidRPr="00910A43">
        <w:rPr>
          <w:rFonts w:cs="Arial"/>
        </w:rPr>
        <w:t>(Anet, 1962; Ciamician and Silber, 1902)</w:t>
      </w:r>
      <w:r w:rsidR="005C18B7">
        <w:rPr>
          <w:lang w:val="en-GB"/>
        </w:rPr>
        <w:t>. Nevertheless, the photochemical</w:t>
      </w:r>
      <w:r w:rsidR="005C18B7" w:rsidRPr="00D523A8">
        <w:rPr>
          <w:lang w:val="en-GB"/>
        </w:rPr>
        <w:t xml:space="preserve"> [2+2] cycloaddition reaction </w:t>
      </w:r>
      <w:r w:rsidR="005C18B7">
        <w:rPr>
          <w:lang w:val="en-GB"/>
        </w:rPr>
        <w:t>of coumarin</w:t>
      </w:r>
      <w:r w:rsidR="00D523A8" w:rsidRPr="00D523A8">
        <w:rPr>
          <w:lang w:val="en-GB"/>
        </w:rPr>
        <w:t xml:space="preserve"> has </w:t>
      </w:r>
      <w:r w:rsidR="00420025" w:rsidRPr="00D523A8">
        <w:rPr>
          <w:lang w:val="en-GB"/>
        </w:rPr>
        <w:t xml:space="preserve">only </w:t>
      </w:r>
      <w:r w:rsidR="00D523A8" w:rsidRPr="00D523A8">
        <w:rPr>
          <w:lang w:val="en-GB"/>
        </w:rPr>
        <w:t xml:space="preserve">been exploited </w:t>
      </w:r>
      <w:r w:rsidR="00420025">
        <w:rPr>
          <w:lang w:val="en-GB"/>
        </w:rPr>
        <w:t>in the last few decades</w:t>
      </w:r>
      <w:r w:rsidR="00420025" w:rsidRPr="00D523A8">
        <w:rPr>
          <w:lang w:val="en-GB"/>
        </w:rPr>
        <w:t xml:space="preserve"> </w:t>
      </w:r>
      <w:r w:rsidR="00D523A8" w:rsidRPr="00D523A8">
        <w:rPr>
          <w:lang w:val="en-GB"/>
        </w:rPr>
        <w:t>for obtaining polymer networks</w:t>
      </w:r>
      <w:r w:rsidR="006F3A8B">
        <w:rPr>
          <w:lang w:val="en-GB"/>
        </w:rPr>
        <w:t xml:space="preserve"> </w:t>
      </w:r>
      <w:r w:rsidR="00910A43" w:rsidRPr="00910A43">
        <w:rPr>
          <w:rFonts w:cs="Arial"/>
        </w:rPr>
        <w:t>(Cazin et al., 2021)</w:t>
      </w:r>
      <w:r w:rsidR="005C18B7">
        <w:rPr>
          <w:lang w:val="en-GB"/>
        </w:rPr>
        <w:t xml:space="preserve">. </w:t>
      </w:r>
    </w:p>
    <w:p w14:paraId="1E4E1312" w14:textId="638757BF" w:rsidR="000D7283" w:rsidRDefault="00023925" w:rsidP="00023925">
      <w:pPr>
        <w:pStyle w:val="CETBodytext"/>
        <w:rPr>
          <w:lang w:val="en-GB"/>
        </w:rPr>
      </w:pPr>
      <w:r w:rsidRPr="00023925">
        <w:lastRenderedPageBreak/>
        <w:t>Emulsion polymerization of</w:t>
      </w:r>
      <w:r w:rsidR="00551511">
        <w:t xml:space="preserve"> </w:t>
      </w:r>
      <w:r w:rsidR="00551511" w:rsidRPr="00023925">
        <w:t>butyl methacrylate</w:t>
      </w:r>
      <w:r w:rsidRPr="00023925">
        <w:t xml:space="preserve"> in the presence of</w:t>
      </w:r>
      <w:r w:rsidR="00551511">
        <w:t xml:space="preserve"> an acrylated coumarin derivative </w:t>
      </w:r>
      <w:r w:rsidRPr="00023925">
        <w:t xml:space="preserve">was performed to obtain </w:t>
      </w:r>
      <w:r w:rsidR="00551511">
        <w:t>c</w:t>
      </w:r>
      <w:r w:rsidRPr="00023925">
        <w:t>oumarin-labeled poly(butyl methacrylate) latex dispersions</w:t>
      </w:r>
      <w:r>
        <w:t xml:space="preserve"> </w:t>
      </w:r>
      <w:r w:rsidR="00910A43" w:rsidRPr="00910A43">
        <w:rPr>
          <w:rFonts w:cs="Arial"/>
        </w:rPr>
        <w:t>(Oh et al., 2004)</w:t>
      </w:r>
      <w:r w:rsidR="00E3585C">
        <w:t xml:space="preserve">, </w:t>
      </w:r>
      <w:r w:rsidR="00742C2A">
        <w:t>where coumarin acts a</w:t>
      </w:r>
      <w:r w:rsidR="00420025">
        <w:t>s an</w:t>
      </w:r>
      <w:r w:rsidR="00742C2A">
        <w:t xml:space="preserve"> </w:t>
      </w:r>
      <w:r w:rsidR="00742C2A" w:rsidRPr="00742C2A">
        <w:t>acceptor dye in nonradiative energy transfer experiments</w:t>
      </w:r>
      <w:r w:rsidR="00551511">
        <w:t xml:space="preserve">. </w:t>
      </w:r>
      <w:r w:rsidR="00742C2A">
        <w:t xml:space="preserve">Recently, </w:t>
      </w:r>
      <w:r w:rsidR="00742C2A" w:rsidRPr="00742C2A">
        <w:t xml:space="preserve">self-healing bio-based polyurethanes </w:t>
      </w:r>
      <w:r w:rsidR="00742C2A">
        <w:t>were</w:t>
      </w:r>
      <w:r w:rsidR="00742C2A" w:rsidRPr="00742C2A">
        <w:t xml:space="preserve"> synthesized by embedding coumarin derivatives into bio-based polyurethanes</w:t>
      </w:r>
      <w:r w:rsidR="00F05B1A">
        <w:t xml:space="preserve"> </w:t>
      </w:r>
      <w:r w:rsidR="00910A43" w:rsidRPr="00910A43">
        <w:rPr>
          <w:rFonts w:cs="Arial"/>
        </w:rPr>
        <w:t>(Wong et al., 2019)</w:t>
      </w:r>
      <w:r w:rsidR="00742C2A" w:rsidRPr="00742C2A">
        <w:t>.</w:t>
      </w:r>
      <w:r w:rsidR="00F05B1A">
        <w:t xml:space="preserve"> A shape memory polymer was obtained synthesizing a </w:t>
      </w:r>
      <w:r w:rsidR="00F05B1A" w:rsidRPr="00F05B1A">
        <w:t>poly(ε-caprolactone)/poly(l-malic acid) covalent skeleton</w:t>
      </w:r>
      <w:r w:rsidR="00F05B1A">
        <w:t xml:space="preserve"> with</w:t>
      </w:r>
      <w:r w:rsidR="00F05B1A" w:rsidRPr="00F05B1A">
        <w:t xml:space="preserve"> </w:t>
      </w:r>
      <w:r w:rsidR="00F05B1A">
        <w:t xml:space="preserve">coumarin </w:t>
      </w:r>
      <w:r w:rsidR="00F05B1A" w:rsidRPr="00F05B1A">
        <w:t>photoreversible group end-capped dangling chains</w:t>
      </w:r>
      <w:r w:rsidR="00F05B1A">
        <w:t xml:space="preserve"> </w:t>
      </w:r>
      <w:r w:rsidR="00910A43" w:rsidRPr="00910A43">
        <w:rPr>
          <w:rFonts w:cs="Arial"/>
        </w:rPr>
        <w:t>(Qiu et al., 2021)</w:t>
      </w:r>
      <w:r w:rsidR="00F05B1A">
        <w:t>.</w:t>
      </w:r>
      <w:r w:rsidR="000D7283">
        <w:t xml:space="preserve"> </w:t>
      </w:r>
      <w:r w:rsidR="00D523A8" w:rsidRPr="00D523A8">
        <w:rPr>
          <w:lang w:val="en-GB"/>
        </w:rPr>
        <w:t xml:space="preserve">However, </w:t>
      </w:r>
      <w:r w:rsidR="004A7267">
        <w:rPr>
          <w:lang w:val="en-GB"/>
        </w:rPr>
        <w:t>the preparation of biobased polymer</w:t>
      </w:r>
      <w:r w:rsidR="006F3A8B">
        <w:rPr>
          <w:lang w:val="en-GB"/>
        </w:rPr>
        <w:t xml:space="preserve"> latexes</w:t>
      </w:r>
      <w:r w:rsidR="004A7267">
        <w:rPr>
          <w:lang w:val="en-GB"/>
        </w:rPr>
        <w:t xml:space="preserve"> bearing coumarin moieties has so far not been widely investigated. </w:t>
      </w:r>
    </w:p>
    <w:p w14:paraId="0F63E150" w14:textId="2AE53D21" w:rsidR="00D523A8" w:rsidRDefault="004A7267" w:rsidP="00023925">
      <w:pPr>
        <w:pStyle w:val="CETBodytext"/>
        <w:rPr>
          <w:lang w:val="en-GB"/>
        </w:rPr>
      </w:pPr>
      <w:r>
        <w:rPr>
          <w:lang w:val="en-GB"/>
        </w:rPr>
        <w:t xml:space="preserve">In this work, the preparation of a copolymer </w:t>
      </w:r>
      <w:r w:rsidR="00126BFE">
        <w:rPr>
          <w:lang w:val="en-GB"/>
        </w:rPr>
        <w:t xml:space="preserve">latex </w:t>
      </w:r>
      <w:r>
        <w:rPr>
          <w:lang w:val="en-GB"/>
        </w:rPr>
        <w:t xml:space="preserve">of </w:t>
      </w:r>
      <w:r w:rsidR="003D6D61" w:rsidRPr="00287EA2">
        <w:t xml:space="preserve">ethoxy dihydroeugenyl methacrylate </w:t>
      </w:r>
      <w:r w:rsidR="003D6D61">
        <w:t>(</w:t>
      </w:r>
      <w:r>
        <w:rPr>
          <w:lang w:val="en-GB"/>
        </w:rPr>
        <w:t>EDMA</w:t>
      </w:r>
      <w:r w:rsidR="003D6D61">
        <w:rPr>
          <w:lang w:val="en-GB"/>
        </w:rPr>
        <w:t>)</w:t>
      </w:r>
      <w:r>
        <w:rPr>
          <w:lang w:val="en-GB"/>
        </w:rPr>
        <w:t xml:space="preserve"> and </w:t>
      </w:r>
      <w:r w:rsidR="003D6D61">
        <w:rPr>
          <w:lang w:val="en-GB"/>
        </w:rPr>
        <w:t>a methacrylate coumarin derivative (</w:t>
      </w:r>
      <w:r>
        <w:rPr>
          <w:lang w:val="en-GB"/>
        </w:rPr>
        <w:t>CMA</w:t>
      </w:r>
      <w:r w:rsidR="003D6D61">
        <w:rPr>
          <w:lang w:val="en-GB"/>
        </w:rPr>
        <w:t>)</w:t>
      </w:r>
      <w:r>
        <w:rPr>
          <w:lang w:val="en-GB"/>
        </w:rPr>
        <w:t xml:space="preserve"> by redox initiated emulsion polymerization</w:t>
      </w:r>
      <w:r w:rsidR="003D6D61">
        <w:rPr>
          <w:lang w:val="en-GB"/>
        </w:rPr>
        <w:t>,</w:t>
      </w:r>
      <w:r>
        <w:rPr>
          <w:lang w:val="en-GB"/>
        </w:rPr>
        <w:t xml:space="preserve"> and the study of the [2+2] photocycloaddition reaction leading to cross-linking of the copolymer</w:t>
      </w:r>
      <w:r w:rsidR="00126BFE">
        <w:rPr>
          <w:lang w:val="en-GB"/>
        </w:rPr>
        <w:t xml:space="preserve"> film</w:t>
      </w:r>
      <w:r w:rsidR="00A53B68">
        <w:rPr>
          <w:lang w:val="en-GB"/>
        </w:rPr>
        <w:t>, are reported</w:t>
      </w:r>
      <w:r>
        <w:rPr>
          <w:lang w:val="en-GB"/>
        </w:rPr>
        <w:t xml:space="preserve">. </w:t>
      </w:r>
      <w:r w:rsidR="00A53B68">
        <w:rPr>
          <w:lang w:val="en-GB"/>
        </w:rPr>
        <w:t>F</w:t>
      </w:r>
      <w:r>
        <w:rPr>
          <w:lang w:val="en-GB"/>
        </w:rPr>
        <w:t>urthermore</w:t>
      </w:r>
      <w:r w:rsidR="00A53B68">
        <w:rPr>
          <w:lang w:val="en-GB"/>
        </w:rPr>
        <w:t xml:space="preserve">, </w:t>
      </w:r>
      <w:r w:rsidR="00EA31E4">
        <w:rPr>
          <w:lang w:val="en-GB"/>
        </w:rPr>
        <w:t>poly(</w:t>
      </w:r>
      <w:r w:rsidR="00D24116">
        <w:rPr>
          <w:lang w:val="en-GB"/>
        </w:rPr>
        <w:t>EDMA</w:t>
      </w:r>
      <w:r w:rsidR="00EA31E4">
        <w:rPr>
          <w:lang w:val="en-GB"/>
        </w:rPr>
        <w:t>)</w:t>
      </w:r>
      <w:r w:rsidR="00D24116">
        <w:rPr>
          <w:lang w:val="en-GB"/>
        </w:rPr>
        <w:t xml:space="preserve"> and</w:t>
      </w:r>
      <w:r w:rsidR="003D6D61">
        <w:rPr>
          <w:lang w:val="en-GB"/>
        </w:rPr>
        <w:t xml:space="preserve"> </w:t>
      </w:r>
      <w:r w:rsidR="00EA31E4">
        <w:rPr>
          <w:lang w:val="en-GB"/>
        </w:rPr>
        <w:t>poly(</w:t>
      </w:r>
      <w:r w:rsidR="003D6D61">
        <w:rPr>
          <w:lang w:val="en-GB"/>
        </w:rPr>
        <w:t>EDMA-</w:t>
      </w:r>
      <w:r w:rsidR="003D6D61" w:rsidRPr="00D71E28">
        <w:rPr>
          <w:i/>
          <w:lang w:val="en-GB"/>
        </w:rPr>
        <w:t>co</w:t>
      </w:r>
      <w:r w:rsidR="003D6D61">
        <w:rPr>
          <w:lang w:val="en-GB"/>
        </w:rPr>
        <w:t>-CMA</w:t>
      </w:r>
      <w:r w:rsidR="00EA31E4">
        <w:rPr>
          <w:lang w:val="en-GB"/>
        </w:rPr>
        <w:t>)</w:t>
      </w:r>
      <w:r>
        <w:rPr>
          <w:lang w:val="en-GB"/>
        </w:rPr>
        <w:t xml:space="preserve"> latex</w:t>
      </w:r>
      <w:r w:rsidR="00D24116">
        <w:rPr>
          <w:lang w:val="en-GB"/>
        </w:rPr>
        <w:t>es</w:t>
      </w:r>
      <w:r>
        <w:rPr>
          <w:lang w:val="en-GB"/>
        </w:rPr>
        <w:t xml:space="preserve"> </w:t>
      </w:r>
      <w:r w:rsidR="00A53B68">
        <w:rPr>
          <w:lang w:val="en-GB"/>
        </w:rPr>
        <w:t xml:space="preserve">are used </w:t>
      </w:r>
      <w:r>
        <w:rPr>
          <w:lang w:val="en-GB"/>
        </w:rPr>
        <w:t xml:space="preserve">for the preparation of composite films containing microfibrillated </w:t>
      </w:r>
      <w:r w:rsidR="009E715A">
        <w:rPr>
          <w:lang w:val="en-GB"/>
        </w:rPr>
        <w:t>cellulose and</w:t>
      </w:r>
      <w:r>
        <w:rPr>
          <w:lang w:val="en-GB"/>
        </w:rPr>
        <w:t xml:space="preserve"> </w:t>
      </w:r>
      <w:r w:rsidR="0054781E">
        <w:rPr>
          <w:lang w:val="en-GB"/>
        </w:rPr>
        <w:t>the oxygen barrier properties</w:t>
      </w:r>
      <w:r w:rsidR="00A53B68">
        <w:rPr>
          <w:lang w:val="en-GB"/>
        </w:rPr>
        <w:t xml:space="preserve"> of the composites are</w:t>
      </w:r>
      <w:r w:rsidR="00A53B68" w:rsidRPr="00A53B68">
        <w:rPr>
          <w:lang w:val="en-GB"/>
        </w:rPr>
        <w:t xml:space="preserve"> </w:t>
      </w:r>
      <w:r w:rsidR="00A53B68">
        <w:rPr>
          <w:lang w:val="en-GB"/>
        </w:rPr>
        <w:t>investigated</w:t>
      </w:r>
      <w:r w:rsidR="0054781E">
        <w:rPr>
          <w:lang w:val="en-GB"/>
        </w:rPr>
        <w:t>.</w:t>
      </w:r>
    </w:p>
    <w:p w14:paraId="7FF4D31A" w14:textId="5802B062" w:rsidR="00A763A2" w:rsidRPr="00B57B36" w:rsidRDefault="00A763A2" w:rsidP="00A763A2">
      <w:pPr>
        <w:pStyle w:val="CETHeading1"/>
        <w:rPr>
          <w:lang w:val="en-GB"/>
        </w:rPr>
      </w:pPr>
      <w:r>
        <w:rPr>
          <w:lang w:val="en-GB"/>
        </w:rPr>
        <w:t>Materials and methods</w:t>
      </w:r>
    </w:p>
    <w:bookmarkEnd w:id="0"/>
    <w:p w14:paraId="61A9B77A" w14:textId="6261A613" w:rsidR="00600535" w:rsidRPr="00B57B36" w:rsidRDefault="00A763A2" w:rsidP="00FA5F5F">
      <w:pPr>
        <w:pStyle w:val="CETheadingx"/>
      </w:pPr>
      <w:r>
        <w:t>Materials</w:t>
      </w:r>
    </w:p>
    <w:p w14:paraId="3AA50F24" w14:textId="101A4600" w:rsidR="00C37D61" w:rsidRDefault="001B0E5F" w:rsidP="002F2329">
      <w:pPr>
        <w:pStyle w:val="CETBodytext"/>
        <w:rPr>
          <w:sz w:val="24"/>
          <w:lang w:val="en-GB" w:eastAsia="zh-CN"/>
        </w:rPr>
      </w:pPr>
      <w:bookmarkStart w:id="1" w:name="_Ref536488597"/>
      <w:r w:rsidRPr="001B0E5F">
        <w:rPr>
          <w:lang w:eastAsia="zh-CN"/>
        </w:rPr>
        <w:t xml:space="preserve">(4-methyl)coumarin-7-yl methacrylate </w:t>
      </w:r>
      <w:r w:rsidR="002F2329">
        <w:rPr>
          <w:lang w:eastAsia="zh-CN"/>
        </w:rPr>
        <w:t>(</w:t>
      </w:r>
      <w:r>
        <w:rPr>
          <w:lang w:eastAsia="zh-CN"/>
        </w:rPr>
        <w:t>94</w:t>
      </w:r>
      <w:r w:rsidR="00F65FD4">
        <w:rPr>
          <w:lang w:eastAsia="zh-CN"/>
        </w:rPr>
        <w:t xml:space="preserve"> </w:t>
      </w:r>
      <w:r>
        <w:rPr>
          <w:lang w:eastAsia="zh-CN"/>
        </w:rPr>
        <w:t>%, Specific</w:t>
      </w:r>
      <w:r w:rsidR="002F2329">
        <w:rPr>
          <w:lang w:eastAsia="zh-CN"/>
        </w:rPr>
        <w:t xml:space="preserve"> polymers), potassium persulfate (KPS,</w:t>
      </w:r>
      <w:r w:rsidR="002F2329">
        <w:t xml:space="preserve"> </w:t>
      </w:r>
      <w:r w:rsidR="002F2329">
        <w:rPr>
          <w:lang w:eastAsia="zh-CN"/>
        </w:rPr>
        <w:t>≥99.0</w:t>
      </w:r>
      <w:r w:rsidR="00F65FD4">
        <w:rPr>
          <w:lang w:eastAsia="zh-CN"/>
        </w:rPr>
        <w:t xml:space="preserve"> </w:t>
      </w:r>
      <w:r w:rsidR="002F2329">
        <w:rPr>
          <w:lang w:eastAsia="zh-CN"/>
        </w:rPr>
        <w:t>%, Aldrich), sodium dodecyl sulfate (SDS, &gt;99</w:t>
      </w:r>
      <w:r w:rsidR="00F65FD4">
        <w:rPr>
          <w:lang w:eastAsia="zh-CN"/>
        </w:rPr>
        <w:t xml:space="preserve"> </w:t>
      </w:r>
      <w:r w:rsidR="002F2329">
        <w:rPr>
          <w:lang w:eastAsia="zh-CN"/>
        </w:rPr>
        <w:t>%, Aldrich), sodium metabisulfite (Na</w:t>
      </w:r>
      <w:r w:rsidR="002F2329">
        <w:rPr>
          <w:vertAlign w:val="subscript"/>
          <w:lang w:eastAsia="zh-CN"/>
        </w:rPr>
        <w:t>2</w:t>
      </w:r>
      <w:r w:rsidR="002F2329">
        <w:rPr>
          <w:lang w:eastAsia="zh-CN"/>
        </w:rPr>
        <w:t>S</w:t>
      </w:r>
      <w:r w:rsidR="002F2329">
        <w:rPr>
          <w:vertAlign w:val="subscript"/>
          <w:lang w:eastAsia="zh-CN"/>
        </w:rPr>
        <w:t>2</w:t>
      </w:r>
      <w:r w:rsidR="002F2329">
        <w:rPr>
          <w:lang w:eastAsia="zh-CN"/>
        </w:rPr>
        <w:t>O</w:t>
      </w:r>
      <w:r w:rsidR="002F2329">
        <w:rPr>
          <w:vertAlign w:val="subscript"/>
          <w:lang w:eastAsia="zh-CN"/>
        </w:rPr>
        <w:t>5</w:t>
      </w:r>
      <w:r w:rsidR="002F2329">
        <w:rPr>
          <w:lang w:eastAsia="zh-CN"/>
        </w:rPr>
        <w:t>, 99</w:t>
      </w:r>
      <w:r w:rsidR="00F65FD4">
        <w:rPr>
          <w:lang w:eastAsia="zh-CN"/>
        </w:rPr>
        <w:t xml:space="preserve"> </w:t>
      </w:r>
      <w:r w:rsidR="002F2329">
        <w:rPr>
          <w:lang w:eastAsia="zh-CN"/>
        </w:rPr>
        <w:t>%, Aldrich), sodium bicarbonate (NaHCO</w:t>
      </w:r>
      <w:r w:rsidR="002F2329">
        <w:rPr>
          <w:vertAlign w:val="subscript"/>
          <w:lang w:eastAsia="zh-CN"/>
        </w:rPr>
        <w:t>3,</w:t>
      </w:r>
      <w:r w:rsidR="002F2329">
        <w:rPr>
          <w:lang w:eastAsia="zh-CN"/>
        </w:rPr>
        <w:t xml:space="preserve"> 99.7</w:t>
      </w:r>
      <w:r w:rsidR="00F65FD4">
        <w:rPr>
          <w:lang w:eastAsia="zh-CN"/>
        </w:rPr>
        <w:t xml:space="preserve"> </w:t>
      </w:r>
      <w:r w:rsidR="002F2329">
        <w:rPr>
          <w:lang w:eastAsia="zh-CN"/>
        </w:rPr>
        <w:t>%, Aldrich) were used as received. Deionized water (</w:t>
      </w:r>
      <w:r w:rsidR="005C5B67">
        <w:rPr>
          <w:lang w:eastAsia="zh-CN"/>
        </w:rPr>
        <w:t>DIW</w:t>
      </w:r>
      <w:r w:rsidR="002F2329">
        <w:rPr>
          <w:lang w:eastAsia="zh-CN"/>
        </w:rPr>
        <w:t>) (1 μS cm</w:t>
      </w:r>
      <w:r w:rsidR="002F2329">
        <w:rPr>
          <w:vertAlign w:val="superscript"/>
          <w:lang w:eastAsia="zh-CN"/>
        </w:rPr>
        <w:t>−1</w:t>
      </w:r>
      <w:r w:rsidR="002F2329">
        <w:rPr>
          <w:lang w:eastAsia="zh-CN"/>
        </w:rPr>
        <w:t xml:space="preserve">) was obtained using a D8 ion exchange demineralizer </w:t>
      </w:r>
      <w:r w:rsidR="005C5B67">
        <w:rPr>
          <w:lang w:eastAsia="zh-CN"/>
        </w:rPr>
        <w:t>(</w:t>
      </w:r>
      <w:r w:rsidR="002F2329">
        <w:rPr>
          <w:lang w:eastAsia="zh-CN"/>
        </w:rPr>
        <w:t>A2E Affinage de L’Eau</w:t>
      </w:r>
      <w:r w:rsidR="005C5B67">
        <w:rPr>
          <w:lang w:eastAsia="zh-CN"/>
        </w:rPr>
        <w:t>)</w:t>
      </w:r>
      <w:r w:rsidR="002F2329">
        <w:rPr>
          <w:lang w:eastAsia="zh-CN"/>
        </w:rPr>
        <w:t xml:space="preserve">. </w:t>
      </w:r>
      <w:r w:rsidR="00CB5145">
        <w:rPr>
          <w:lang w:eastAsia="zh-CN"/>
        </w:rPr>
        <w:t>2-(2-methoxy-4-propylphenoxy)ethyl methacrylate (Ethoxy Dihydroeugenyl MethAcrylate</w:t>
      </w:r>
      <w:r w:rsidR="00C87627">
        <w:rPr>
          <w:lang w:eastAsia="zh-CN"/>
        </w:rPr>
        <w:t xml:space="preserve">, </w:t>
      </w:r>
      <w:r w:rsidR="002F2329">
        <w:rPr>
          <w:lang w:eastAsia="zh-CN"/>
        </w:rPr>
        <w:t>EDMA</w:t>
      </w:r>
      <w:r w:rsidR="00C87627">
        <w:rPr>
          <w:lang w:eastAsia="zh-CN"/>
        </w:rPr>
        <w:t xml:space="preserve">) </w:t>
      </w:r>
      <w:r w:rsidR="002F2329">
        <w:rPr>
          <w:lang w:eastAsia="zh-CN"/>
        </w:rPr>
        <w:t xml:space="preserve">monomer was synthesized as described in previous work </w:t>
      </w:r>
      <w:r w:rsidR="00D22EEA" w:rsidRPr="00D22EEA">
        <w:rPr>
          <w:rFonts w:cs="Arial"/>
          <w:szCs w:val="24"/>
        </w:rPr>
        <w:t>(Molina-Gutiérrez et al., 2019c)</w:t>
      </w:r>
      <w:r w:rsidR="005C5B67">
        <w:t>.</w:t>
      </w:r>
      <w:r w:rsidR="002F2329">
        <w:rPr>
          <w:lang w:eastAsia="zh-CN"/>
        </w:rPr>
        <w:t xml:space="preserve"> </w:t>
      </w:r>
      <w:bookmarkEnd w:id="1"/>
      <w:r w:rsidR="00C37D61">
        <w:t>Mi</w:t>
      </w:r>
      <w:r w:rsidR="00C37D61" w:rsidRPr="00E31113">
        <w:t>crofibrillated cellulose</w:t>
      </w:r>
      <w:r w:rsidR="00814F65">
        <w:t xml:space="preserve"> (MFC)</w:t>
      </w:r>
      <w:r w:rsidR="00C37D61" w:rsidRPr="00E31113">
        <w:t xml:space="preserve"> Exilva</w:t>
      </w:r>
      <w:r w:rsidR="00C37D61">
        <w:t xml:space="preserve"> F</w:t>
      </w:r>
      <w:r w:rsidR="00834EE4">
        <w:t xml:space="preserve"> </w:t>
      </w:r>
      <w:r w:rsidR="00C37D61" w:rsidRPr="00E31113">
        <w:t>01-V</w:t>
      </w:r>
      <w:r w:rsidR="00C37D61">
        <w:t xml:space="preserve"> (10 wt% in water) kindly </w:t>
      </w:r>
      <w:r w:rsidR="00C37D61" w:rsidRPr="00E31113">
        <w:t>provided by Borregaard (Norway)</w:t>
      </w:r>
      <w:r w:rsidR="00C87627">
        <w:t>,</w:t>
      </w:r>
      <w:r w:rsidR="00C37D61" w:rsidRPr="00E31113">
        <w:t xml:space="preserve"> used</w:t>
      </w:r>
      <w:r w:rsidR="00C37D61">
        <w:t xml:space="preserve"> as filler for the composite materials</w:t>
      </w:r>
      <w:r w:rsidR="00C87627">
        <w:t xml:space="preserve">, </w:t>
      </w:r>
      <w:r w:rsidR="00814F65">
        <w:rPr>
          <w:rFonts w:eastAsia="Arial"/>
        </w:rPr>
        <w:t xml:space="preserve">is a wood-derived MFC, </w:t>
      </w:r>
      <w:r w:rsidR="00D7693D">
        <w:rPr>
          <w:rFonts w:eastAsia="Arial"/>
        </w:rPr>
        <w:t xml:space="preserve">mainly </w:t>
      </w:r>
      <w:r w:rsidR="00814F65">
        <w:rPr>
          <w:rFonts w:eastAsia="Arial"/>
        </w:rPr>
        <w:t xml:space="preserve">consisting </w:t>
      </w:r>
      <w:r w:rsidR="00814F65" w:rsidRPr="0038073D">
        <w:rPr>
          <w:rFonts w:eastAsia="Arial"/>
        </w:rPr>
        <w:t xml:space="preserve">of fibrils having widths </w:t>
      </w:r>
      <w:r w:rsidR="00814F65">
        <w:rPr>
          <w:rFonts w:eastAsia="Arial"/>
        </w:rPr>
        <w:t>in the</w:t>
      </w:r>
      <w:r w:rsidR="00814F65" w:rsidRPr="0038073D">
        <w:rPr>
          <w:rFonts w:eastAsia="Arial"/>
        </w:rPr>
        <w:t xml:space="preserve"> 20 nm to 1 μm</w:t>
      </w:r>
      <w:r w:rsidR="00814F65">
        <w:rPr>
          <w:rFonts w:eastAsia="Arial"/>
        </w:rPr>
        <w:t xml:space="preserve"> range</w:t>
      </w:r>
      <w:r w:rsidR="00814F65" w:rsidRPr="0038073D">
        <w:rPr>
          <w:rFonts w:eastAsia="Arial"/>
        </w:rPr>
        <w:t xml:space="preserve">, and lengths of </w:t>
      </w:r>
      <w:r w:rsidR="00C87627">
        <w:rPr>
          <w:rFonts w:eastAsia="Arial"/>
        </w:rPr>
        <w:t xml:space="preserve">ca. </w:t>
      </w:r>
      <w:r w:rsidR="00814F65" w:rsidRPr="0038073D">
        <w:rPr>
          <w:rFonts w:eastAsia="Arial"/>
        </w:rPr>
        <w:t>5 to 40 μm, with a small fraction of lower aspect-ratio</w:t>
      </w:r>
      <w:r w:rsidR="00814F65">
        <w:rPr>
          <w:rFonts w:eastAsia="Arial"/>
        </w:rPr>
        <w:t xml:space="preserve"> </w:t>
      </w:r>
      <w:r w:rsidR="00814F65" w:rsidRPr="0038073D">
        <w:rPr>
          <w:rFonts w:eastAsia="Arial"/>
        </w:rPr>
        <w:t xml:space="preserve">micrometer-sized fibrils </w:t>
      </w:r>
      <w:r w:rsidR="00910A43" w:rsidRPr="00910A43">
        <w:rPr>
          <w:rFonts w:eastAsia="Arial" w:cs="Arial"/>
        </w:rPr>
        <w:t>(Cinar Ciftci et al., 2020; Larsson et al., 2019)</w:t>
      </w:r>
    </w:p>
    <w:p w14:paraId="506186C5" w14:textId="425ACDB1" w:rsidR="002F2329" w:rsidRPr="00B57B36" w:rsidRDefault="002F2329" w:rsidP="002F2329">
      <w:pPr>
        <w:pStyle w:val="CETheadingx"/>
      </w:pPr>
      <w:r>
        <w:t xml:space="preserve">Synthesis of </w:t>
      </w:r>
      <w:r w:rsidR="0072022D">
        <w:t>poly(EDMA)</w:t>
      </w:r>
      <w:r w:rsidR="00474B6F">
        <w:t xml:space="preserve"> and </w:t>
      </w:r>
      <w:r w:rsidR="00883CE2">
        <w:t>poly(</w:t>
      </w:r>
      <w:r>
        <w:t>EDMA-</w:t>
      </w:r>
      <w:r w:rsidR="00EA6626" w:rsidRPr="00526C9D">
        <w:rPr>
          <w:i/>
        </w:rPr>
        <w:t>co</w:t>
      </w:r>
      <w:r w:rsidR="00EA6626">
        <w:t>-</w:t>
      </w:r>
      <w:r>
        <w:t>CMA</w:t>
      </w:r>
      <w:r w:rsidR="008A5C5F">
        <w:t>)</w:t>
      </w:r>
      <w:r>
        <w:t xml:space="preserve"> latex</w:t>
      </w:r>
      <w:r w:rsidR="00474B6F">
        <w:t>es</w:t>
      </w:r>
    </w:p>
    <w:p w14:paraId="6E2E0556" w14:textId="101AC432" w:rsidR="002F2329" w:rsidRPr="006F6AA0" w:rsidRDefault="00474B6F" w:rsidP="00F31069">
      <w:pPr>
        <w:pStyle w:val="CETBodytext"/>
      </w:pPr>
      <w:r>
        <w:rPr>
          <w:rFonts w:eastAsiaTheme="minorHAnsi"/>
        </w:rPr>
        <w:t xml:space="preserve">The </w:t>
      </w:r>
      <w:r w:rsidR="0072022D">
        <w:rPr>
          <w:rFonts w:eastAsiaTheme="minorHAnsi"/>
        </w:rPr>
        <w:t>poly(EDMA)</w:t>
      </w:r>
      <w:r w:rsidR="009A4A58">
        <w:rPr>
          <w:rFonts w:eastAsiaTheme="minorHAnsi"/>
        </w:rPr>
        <w:t xml:space="preserve"> </w:t>
      </w:r>
      <w:r w:rsidR="00F2013F">
        <w:rPr>
          <w:rFonts w:eastAsiaTheme="minorHAnsi"/>
        </w:rPr>
        <w:t>l</w:t>
      </w:r>
      <w:r>
        <w:rPr>
          <w:rFonts w:eastAsiaTheme="minorHAnsi"/>
        </w:rPr>
        <w:t xml:space="preserve">atex </w:t>
      </w:r>
      <w:r w:rsidR="009A4A58">
        <w:rPr>
          <w:rFonts w:eastAsiaTheme="minorHAnsi"/>
        </w:rPr>
        <w:t xml:space="preserve">was </w:t>
      </w:r>
      <w:r>
        <w:rPr>
          <w:rFonts w:eastAsiaTheme="minorHAnsi"/>
        </w:rPr>
        <w:t xml:space="preserve">prepared </w:t>
      </w:r>
      <w:r w:rsidR="00420025">
        <w:rPr>
          <w:rFonts w:eastAsiaTheme="minorHAnsi"/>
        </w:rPr>
        <w:t xml:space="preserve">by </w:t>
      </w:r>
      <w:r w:rsidR="00F31069">
        <w:rPr>
          <w:rFonts w:eastAsiaTheme="minorHAnsi"/>
        </w:rPr>
        <w:t>e</w:t>
      </w:r>
      <w:r w:rsidR="00F31069" w:rsidRPr="00F31069">
        <w:rPr>
          <w:rFonts w:eastAsiaTheme="minorHAnsi"/>
        </w:rPr>
        <w:t xml:space="preserve">mulsion </w:t>
      </w:r>
      <w:r w:rsidR="00F31069">
        <w:rPr>
          <w:rFonts w:eastAsiaTheme="minorHAnsi"/>
        </w:rPr>
        <w:t>p</w:t>
      </w:r>
      <w:r w:rsidR="00F31069" w:rsidRPr="00F31069">
        <w:rPr>
          <w:rFonts w:eastAsiaTheme="minorHAnsi"/>
        </w:rPr>
        <w:t>olymerization with</w:t>
      </w:r>
      <w:r w:rsidR="00F31069">
        <w:rPr>
          <w:rFonts w:eastAsiaTheme="minorHAnsi"/>
        </w:rPr>
        <w:t xml:space="preserve"> r</w:t>
      </w:r>
      <w:r w:rsidR="00F31069" w:rsidRPr="00F31069">
        <w:rPr>
          <w:rFonts w:eastAsiaTheme="minorHAnsi"/>
        </w:rPr>
        <w:t xml:space="preserve">edox </w:t>
      </w:r>
      <w:r w:rsidR="00F31069">
        <w:rPr>
          <w:rFonts w:eastAsiaTheme="minorHAnsi"/>
        </w:rPr>
        <w:t>i</w:t>
      </w:r>
      <w:r w:rsidR="00F31069" w:rsidRPr="00F31069">
        <w:rPr>
          <w:rFonts w:eastAsiaTheme="minorHAnsi"/>
        </w:rPr>
        <w:t>nitiation</w:t>
      </w:r>
      <w:r w:rsidR="00F31069">
        <w:rPr>
          <w:rFonts w:eastAsiaTheme="minorHAnsi"/>
        </w:rPr>
        <w:t xml:space="preserve"> </w:t>
      </w:r>
      <w:r w:rsidR="00420025">
        <w:rPr>
          <w:rFonts w:eastAsiaTheme="minorHAnsi"/>
        </w:rPr>
        <w:t xml:space="preserve">following the procedure </w:t>
      </w:r>
      <w:r>
        <w:rPr>
          <w:rFonts w:eastAsiaTheme="minorHAnsi"/>
        </w:rPr>
        <w:t xml:space="preserve">previously reported by </w:t>
      </w:r>
      <w:r w:rsidRPr="00474B6F">
        <w:rPr>
          <w:rFonts w:eastAsiaTheme="minorHAnsi"/>
        </w:rPr>
        <w:t>Molina-Gutiérrez et al.</w:t>
      </w:r>
      <w:r w:rsidR="006F6AA0">
        <w:rPr>
          <w:rFonts w:eastAsiaTheme="minorHAnsi"/>
        </w:rPr>
        <w:t xml:space="preserve"> </w:t>
      </w:r>
      <w:r w:rsidR="00D57954" w:rsidRPr="00D57954">
        <w:rPr>
          <w:rFonts w:cs="Arial"/>
          <w:szCs w:val="24"/>
        </w:rPr>
        <w:t>(Molina-Gutiérrez et al., 2019b)</w:t>
      </w:r>
      <w:r w:rsidR="006F6AA0">
        <w:rPr>
          <w:rFonts w:eastAsiaTheme="minorHAnsi"/>
        </w:rPr>
        <w:t xml:space="preserve">. To obtain the </w:t>
      </w:r>
      <w:r w:rsidR="00996453">
        <w:rPr>
          <w:rFonts w:eastAsiaTheme="minorHAnsi"/>
        </w:rPr>
        <w:t>poly(</w:t>
      </w:r>
      <w:r w:rsidR="006F6AA0">
        <w:rPr>
          <w:rFonts w:eastAsiaTheme="minorHAnsi"/>
        </w:rPr>
        <w:t>EDMA-</w:t>
      </w:r>
      <w:r w:rsidR="006F6AA0" w:rsidRPr="00526C9D">
        <w:rPr>
          <w:rFonts w:eastAsiaTheme="minorHAnsi"/>
          <w:i/>
        </w:rPr>
        <w:t>co</w:t>
      </w:r>
      <w:r w:rsidR="006F6AA0">
        <w:rPr>
          <w:rFonts w:eastAsiaTheme="minorHAnsi"/>
        </w:rPr>
        <w:t>-CMA</w:t>
      </w:r>
      <w:r w:rsidR="00996453">
        <w:rPr>
          <w:rFonts w:eastAsiaTheme="minorHAnsi"/>
        </w:rPr>
        <w:t>)</w:t>
      </w:r>
      <w:r w:rsidR="006F6AA0">
        <w:rPr>
          <w:rFonts w:eastAsiaTheme="minorHAnsi"/>
        </w:rPr>
        <w:t xml:space="preserve"> latex, the procedure was slightly modified as follows. </w:t>
      </w:r>
      <w:r w:rsidR="006F6AA0" w:rsidRPr="006F6AA0">
        <w:t xml:space="preserve">Coumarin methacrylate </w:t>
      </w:r>
      <w:r w:rsidR="006F6AA0">
        <w:t xml:space="preserve">(1 phm) </w:t>
      </w:r>
      <w:r w:rsidR="006F6AA0" w:rsidRPr="006F6AA0">
        <w:t>was dissolved in EDMA</w:t>
      </w:r>
      <w:r w:rsidR="006F6AA0">
        <w:t xml:space="preserve"> (</w:t>
      </w:r>
      <w:r w:rsidR="001B0E5F">
        <w:t xml:space="preserve">15 mmol; </w:t>
      </w:r>
      <w:r w:rsidR="006F6AA0">
        <w:t>99 phm)</w:t>
      </w:r>
      <w:r w:rsidR="006F6AA0" w:rsidRPr="006F6AA0">
        <w:t xml:space="preserve"> and the mixture was purged under argon for 15 min. KPS </w:t>
      </w:r>
      <w:r w:rsidR="0038636D">
        <w:t xml:space="preserve">(2 phm) </w:t>
      </w:r>
      <w:r w:rsidR="006F6AA0" w:rsidRPr="006F6AA0">
        <w:t xml:space="preserve">was dissolved in 9 mL of DIW and placed aside. </w:t>
      </w:r>
      <w:r w:rsidR="0038636D">
        <w:rPr>
          <w:rFonts w:eastAsiaTheme="minorHAnsi"/>
        </w:rPr>
        <w:t>T</w:t>
      </w:r>
      <w:r w:rsidR="006F6AA0" w:rsidRPr="006F6AA0">
        <w:rPr>
          <w:rFonts w:eastAsiaTheme="minorHAnsi"/>
        </w:rPr>
        <w:t xml:space="preserve">he emulsion polymerization </w:t>
      </w:r>
      <w:r w:rsidR="006F6AA0" w:rsidRPr="006F6AA0">
        <w:t>was carried out in a 50 mL double-walled jacketed glass reactor with a U-shaped glass stirring rod. SDS</w:t>
      </w:r>
      <w:r w:rsidR="0038636D">
        <w:t xml:space="preserve"> (4 phm)</w:t>
      </w:r>
      <w:r w:rsidR="006F6AA0" w:rsidRPr="006F6AA0">
        <w:t>, NaHCO</w:t>
      </w:r>
      <w:r w:rsidR="006F6AA0" w:rsidRPr="0038636D">
        <w:rPr>
          <w:vertAlign w:val="subscript"/>
        </w:rPr>
        <w:t>3</w:t>
      </w:r>
      <w:r w:rsidR="0038636D">
        <w:t xml:space="preserve"> (2.2 phm</w:t>
      </w:r>
      <w:r w:rsidR="00996453">
        <w:t>)</w:t>
      </w:r>
      <w:r w:rsidR="00996453">
        <w:rPr>
          <w:vertAlign w:val="subscript"/>
        </w:rPr>
        <w:t>,</w:t>
      </w:r>
      <w:r w:rsidR="006F6AA0" w:rsidRPr="006F6AA0">
        <w:t xml:space="preserve"> Na</w:t>
      </w:r>
      <w:r w:rsidR="006F6AA0" w:rsidRPr="0038636D">
        <w:rPr>
          <w:vertAlign w:val="subscript"/>
        </w:rPr>
        <w:t>2</w:t>
      </w:r>
      <w:r w:rsidR="006F6AA0" w:rsidRPr="006F6AA0">
        <w:t>S</w:t>
      </w:r>
      <w:r w:rsidR="006F6AA0" w:rsidRPr="0038636D">
        <w:rPr>
          <w:vertAlign w:val="subscript"/>
        </w:rPr>
        <w:t>2</w:t>
      </w:r>
      <w:r w:rsidR="006F6AA0" w:rsidRPr="006F6AA0">
        <w:t>O</w:t>
      </w:r>
      <w:r w:rsidR="006F6AA0" w:rsidRPr="0038636D">
        <w:rPr>
          <w:vertAlign w:val="subscript"/>
        </w:rPr>
        <w:t>5</w:t>
      </w:r>
      <w:r w:rsidR="006F6AA0" w:rsidRPr="006F6AA0">
        <w:t xml:space="preserve"> </w:t>
      </w:r>
      <w:r w:rsidR="001B0E5F">
        <w:t>(2 phm)</w:t>
      </w:r>
      <w:r w:rsidR="001B0E5F">
        <w:rPr>
          <w:vertAlign w:val="subscript"/>
        </w:rPr>
        <w:t xml:space="preserve"> </w:t>
      </w:r>
      <w:r w:rsidR="006F6AA0" w:rsidRPr="006F6AA0">
        <w:t xml:space="preserve">and the rest of the DIW </w:t>
      </w:r>
      <w:r w:rsidR="001B0E5F">
        <w:t>(15 m</w:t>
      </w:r>
      <w:r w:rsidR="00960B87">
        <w:t>L</w:t>
      </w:r>
      <w:r w:rsidR="001B0E5F">
        <w:t xml:space="preserve">) </w:t>
      </w:r>
      <w:r w:rsidR="006F6AA0" w:rsidRPr="006F6AA0">
        <w:t>were mixed, placed in the reactor, and purged with argon for 30 min. The reactor was heated to 40</w:t>
      </w:r>
      <w:r w:rsidR="00F80706">
        <w:t xml:space="preserve"> </w:t>
      </w:r>
      <w:r w:rsidR="006F6AA0" w:rsidRPr="006F6AA0">
        <w:t>°C and the mixture of monomers was added. Finally, 3 mL of the previously prepared solution of KPS were added in one shot and this was considered as t = 0. The rest of the KPS was added over four hours at 1.5 mL</w:t>
      </w:r>
      <w:r w:rsidR="00960B87">
        <w:t xml:space="preserve"> </w:t>
      </w:r>
      <w:r w:rsidR="006F6AA0" w:rsidRPr="006F6AA0">
        <w:t>h</w:t>
      </w:r>
      <w:r w:rsidR="00960B87" w:rsidRPr="00960B87">
        <w:rPr>
          <w:vertAlign w:val="superscript"/>
        </w:rPr>
        <w:t>-1</w:t>
      </w:r>
      <w:r w:rsidR="006F6AA0" w:rsidRPr="006F6AA0">
        <w:t>. The polymerization proceeded under mechanical stirring at 250 rpm.</w:t>
      </w:r>
      <w:r w:rsidR="002F2329" w:rsidRPr="006F6AA0">
        <w:rPr>
          <w:rFonts w:eastAsiaTheme="minorHAnsi"/>
        </w:rPr>
        <w:t xml:space="preserve"> </w:t>
      </w:r>
    </w:p>
    <w:p w14:paraId="0FB899D4" w14:textId="0C828D1F" w:rsidR="00FC7018" w:rsidRPr="00B57B36" w:rsidRDefault="00FC7018" w:rsidP="00FC7018">
      <w:pPr>
        <w:pStyle w:val="CETheadingx"/>
      </w:pPr>
      <w:r>
        <w:t xml:space="preserve">Monitoring of [2+2] cycloaddition by UV-visible spectroscopy </w:t>
      </w:r>
    </w:p>
    <w:p w14:paraId="37F224DF" w14:textId="7AB795D2" w:rsidR="00FC7018" w:rsidRPr="00E9038C" w:rsidRDefault="00FC7018" w:rsidP="00FC7018">
      <w:pPr>
        <w:pStyle w:val="CETBodytext"/>
      </w:pPr>
      <w:r w:rsidRPr="00FC7018">
        <w:t>UV-visible spectroscopy was carried out by means of a JENWAY 6850 UV/Vis (Cole-Parmer, UK) UV-visible spectrophotometer. For the analysis</w:t>
      </w:r>
      <w:r w:rsidR="00E478C2">
        <w:t>,</w:t>
      </w:r>
      <w:r w:rsidRPr="00FC7018">
        <w:t xml:space="preserve"> the latexes were dried</w:t>
      </w:r>
      <w:r w:rsidR="008F4493" w:rsidRPr="008F4493">
        <w:t xml:space="preserve"> </w:t>
      </w:r>
      <w:r w:rsidR="008F4493">
        <w:t>in a ventilated oven at 80 °C until no change in weight was detected</w:t>
      </w:r>
      <w:r w:rsidRPr="00FC7018">
        <w:t xml:space="preserve">, </w:t>
      </w:r>
      <w:r w:rsidR="00807545">
        <w:t xml:space="preserve">and </w:t>
      </w:r>
      <w:r w:rsidRPr="00FC7018">
        <w:t>then they were dissolved in acetone</w:t>
      </w:r>
      <w:r w:rsidR="00D67AA3">
        <w:t xml:space="preserve"> (at 4 wt% concentration). A drop of the solution was spread on th</w:t>
      </w:r>
      <w:r w:rsidRPr="00FC7018">
        <w:t>e side of a quartz cuvette</w:t>
      </w:r>
      <w:r w:rsidR="00D67AA3">
        <w:t xml:space="preserve"> and left to dry, obtaining a thin </w:t>
      </w:r>
      <w:r w:rsidR="00A97E95">
        <w:t>polymer layer</w:t>
      </w:r>
      <w:r w:rsidRPr="00FC7018">
        <w:t xml:space="preserve">. </w:t>
      </w:r>
      <w:r w:rsidR="00D67AA3">
        <w:t>The</w:t>
      </w:r>
      <w:r w:rsidR="00E9038C">
        <w:t xml:space="preserve"> </w:t>
      </w:r>
      <w:r w:rsidR="00F80706">
        <w:t>poly(</w:t>
      </w:r>
      <w:r w:rsidR="00E9038C">
        <w:t>EDMA</w:t>
      </w:r>
      <w:r w:rsidR="00F80706">
        <w:t>-</w:t>
      </w:r>
      <w:r w:rsidR="00F80706" w:rsidRPr="00526C9D">
        <w:rPr>
          <w:i/>
        </w:rPr>
        <w:t>co</w:t>
      </w:r>
      <w:r w:rsidR="00F80706">
        <w:t>-</w:t>
      </w:r>
      <w:r w:rsidR="00E9038C">
        <w:t>CMA</w:t>
      </w:r>
      <w:r w:rsidR="00F80706">
        <w:t xml:space="preserve">) </w:t>
      </w:r>
      <w:r w:rsidRPr="00FC7018">
        <w:t xml:space="preserve">thin </w:t>
      </w:r>
      <w:r w:rsidR="00D67AA3">
        <w:t>coating</w:t>
      </w:r>
      <w:r w:rsidRPr="00FC7018">
        <w:t xml:space="preserve"> was </w:t>
      </w:r>
      <w:r w:rsidR="00D67AA3">
        <w:t xml:space="preserve">then </w:t>
      </w:r>
      <w:r w:rsidRPr="00FC7018">
        <w:t xml:space="preserve">irradiated with UV light using a high-pressure mercury-xenon lamp Lightning Cure LC8 from Hamamatsu equipped with a flexible light guide </w:t>
      </w:r>
      <w:r>
        <w:t>and</w:t>
      </w:r>
      <w:r w:rsidRPr="00FC7018">
        <w:t xml:space="preserve"> a</w:t>
      </w:r>
      <w:r w:rsidR="00E9038C">
        <w:t>n</w:t>
      </w:r>
      <w:r w:rsidRPr="00FC7018">
        <w:t xml:space="preserve"> A9616-07 filter with a transmittance wavelength 355-375 nm (</w:t>
      </w:r>
      <w:r w:rsidR="00F80706">
        <w:t>t</w:t>
      </w:r>
      <w:r w:rsidRPr="00FC7018">
        <w:t xml:space="preserve">ransmissive light of 365 nm). </w:t>
      </w:r>
      <w:r w:rsidR="00E9038C">
        <w:t>A</w:t>
      </w:r>
      <w:r w:rsidRPr="00FC7018">
        <w:t xml:space="preserve">n EIT Powerpuck® II radiometer was used to measure </w:t>
      </w:r>
      <w:r w:rsidR="00E9038C">
        <w:t xml:space="preserve">the light intensity that was fixed at </w:t>
      </w:r>
      <w:r w:rsidR="009A4A58">
        <w:t>36</w:t>
      </w:r>
      <w:r w:rsidR="00E9038C" w:rsidRPr="00FC7018">
        <w:t> mW cm</w:t>
      </w:r>
      <w:r w:rsidR="00E9038C" w:rsidRPr="00FC7018">
        <w:rPr>
          <w:vertAlign w:val="superscript"/>
        </w:rPr>
        <w:t>-2</w:t>
      </w:r>
      <w:r w:rsidR="00E9038C">
        <w:t>.</w:t>
      </w:r>
      <w:r w:rsidR="006D59A1">
        <w:t xml:space="preserve"> </w:t>
      </w:r>
      <w:r w:rsidR="00365BF5">
        <w:t>UV-vis s</w:t>
      </w:r>
      <w:r w:rsidR="006D59A1">
        <w:t xml:space="preserve">pectra were taken </w:t>
      </w:r>
      <w:r w:rsidR="00220713">
        <w:t>after</w:t>
      </w:r>
      <w:r w:rsidR="006D59A1">
        <w:t xml:space="preserve"> given irradiation time intervals.</w:t>
      </w:r>
    </w:p>
    <w:p w14:paraId="70F30D42" w14:textId="750F56FB" w:rsidR="00762BEA" w:rsidRPr="00B57B36" w:rsidRDefault="00762BEA" w:rsidP="00762BEA">
      <w:pPr>
        <w:pStyle w:val="CETheadingx"/>
      </w:pPr>
      <w:r>
        <w:t>Preparation of composites with microfibrillated cellulose</w:t>
      </w:r>
    </w:p>
    <w:p w14:paraId="59BBB7C8" w14:textId="43B0D602" w:rsidR="00474B6F" w:rsidRPr="00910A43" w:rsidRDefault="00811DCF" w:rsidP="00910A43">
      <w:pPr>
        <w:pStyle w:val="CETBodytext"/>
      </w:pPr>
      <w:r w:rsidRPr="00910A43">
        <w:t xml:space="preserve">MFC </w:t>
      </w:r>
      <w:r w:rsidR="00F80706" w:rsidRPr="00910A43">
        <w:t>wa</w:t>
      </w:r>
      <w:r w:rsidRPr="00910A43">
        <w:t>s diluted in demineralized water to a concentration of 0</w:t>
      </w:r>
      <w:r w:rsidR="001221BF" w:rsidRPr="00910A43">
        <w:t>.</w:t>
      </w:r>
      <w:r w:rsidRPr="00910A43">
        <w:t>5</w:t>
      </w:r>
      <w:r w:rsidR="005B6476" w:rsidRPr="00910A43">
        <w:t xml:space="preserve"> </w:t>
      </w:r>
      <w:r w:rsidR="00C87627" w:rsidRPr="00910A43">
        <w:t>wt</w:t>
      </w:r>
      <w:r w:rsidRPr="00910A43">
        <w:t xml:space="preserve">% </w:t>
      </w:r>
      <w:r w:rsidR="001221BF" w:rsidRPr="00910A43">
        <w:t>by means of a</w:t>
      </w:r>
      <w:r w:rsidRPr="00910A43">
        <w:t xml:space="preserve"> T 10 ULTRA-TURRAX® </w:t>
      </w:r>
      <w:r w:rsidR="001221BF" w:rsidRPr="00910A43">
        <w:t>homogenizer</w:t>
      </w:r>
      <w:r w:rsidR="00534B7A" w:rsidRPr="00910A43">
        <w:t xml:space="preserve"> at approximately 20k rpm</w:t>
      </w:r>
      <w:r w:rsidRPr="00910A43">
        <w:t xml:space="preserve">. </w:t>
      </w:r>
      <w:r w:rsidR="001221BF" w:rsidRPr="00910A43">
        <w:t xml:space="preserve">Then, the desired quantity of </w:t>
      </w:r>
      <w:r w:rsidRPr="00910A43">
        <w:t xml:space="preserve">MFC suspension </w:t>
      </w:r>
      <w:r w:rsidR="00217F9C" w:rsidRPr="00910A43">
        <w:t>wa</w:t>
      </w:r>
      <w:r w:rsidRPr="00910A43">
        <w:t>s added</w:t>
      </w:r>
      <w:r w:rsidR="001221BF" w:rsidRPr="00910A43">
        <w:t xml:space="preserve"> dropwise</w:t>
      </w:r>
      <w:r w:rsidRPr="00910A43">
        <w:t xml:space="preserve"> to</w:t>
      </w:r>
      <w:r w:rsidR="001221BF" w:rsidRPr="00910A43">
        <w:t xml:space="preserve"> the</w:t>
      </w:r>
      <w:r w:rsidRPr="00910A43">
        <w:t xml:space="preserve"> latex</w:t>
      </w:r>
      <w:r w:rsidR="00217F9C" w:rsidRPr="00910A43">
        <w:t xml:space="preserve"> and dispersed </w:t>
      </w:r>
      <w:r w:rsidR="001221BF" w:rsidRPr="00910A43">
        <w:t>using a magnetic stirrer for 10 minutes at 1000 rpm</w:t>
      </w:r>
      <w:r w:rsidR="00217F9C" w:rsidRPr="00910A43">
        <w:t xml:space="preserve">. </w:t>
      </w:r>
      <w:r w:rsidR="001221BF" w:rsidRPr="00910A43">
        <w:t>After degassing</w:t>
      </w:r>
      <w:r w:rsidR="00217F9C" w:rsidRPr="00910A43">
        <w:t xml:space="preserve"> </w:t>
      </w:r>
      <w:r w:rsidR="00E96872" w:rsidRPr="00910A43">
        <w:t>under</w:t>
      </w:r>
      <w:r w:rsidR="00217F9C" w:rsidRPr="00910A43">
        <w:t xml:space="preserve"> vacuum</w:t>
      </w:r>
      <w:r w:rsidR="001221BF" w:rsidRPr="00910A43">
        <w:t xml:space="preserve">, the film-forming </w:t>
      </w:r>
      <w:r w:rsidR="00217F9C" w:rsidRPr="00910A43">
        <w:t>suspension</w:t>
      </w:r>
      <w:r w:rsidR="001221BF" w:rsidRPr="00910A43">
        <w:t xml:space="preserve"> </w:t>
      </w:r>
      <w:r w:rsidR="00217F9C" w:rsidRPr="00910A43">
        <w:t>wa</w:t>
      </w:r>
      <w:r w:rsidR="001221BF" w:rsidRPr="00910A43">
        <w:t xml:space="preserve">s cast on </w:t>
      </w:r>
      <w:r w:rsidR="00217F9C" w:rsidRPr="00910A43">
        <w:t xml:space="preserve">a </w:t>
      </w:r>
      <w:r w:rsidR="001221BF" w:rsidRPr="00910A43">
        <w:t>Petri dish and allowed to dry overnight under the fume hood.</w:t>
      </w:r>
      <w:r w:rsidR="00217F9C" w:rsidRPr="00910A43">
        <w:t xml:space="preserve"> The films were then hot pressed between two silicon-coated glass slides with an applied pressure of 76 mbar at 85 °C for 1</w:t>
      </w:r>
      <w:r w:rsidR="00F80706" w:rsidRPr="00910A43">
        <w:t>.</w:t>
      </w:r>
      <w:r w:rsidR="00217F9C" w:rsidRPr="00910A43">
        <w:t xml:space="preserve">5 hours. </w:t>
      </w:r>
      <w:r w:rsidR="001221BF" w:rsidRPr="00910A43">
        <w:t xml:space="preserve">Composites with 5 wt% and 30 wt% of MFC </w:t>
      </w:r>
      <w:r w:rsidR="005B6476" w:rsidRPr="00910A43">
        <w:t xml:space="preserve">(dry weight) </w:t>
      </w:r>
      <w:r w:rsidR="001221BF" w:rsidRPr="00910A43">
        <w:t>were prepared.</w:t>
      </w:r>
      <w:r w:rsidR="00534092" w:rsidRPr="00910A43">
        <w:t xml:space="preserve"> </w:t>
      </w:r>
      <w:r w:rsidR="00BD7C36" w:rsidRPr="00910A43">
        <w:t>Part</w:t>
      </w:r>
      <w:r w:rsidR="00474B6F" w:rsidRPr="00910A43">
        <w:t xml:space="preserve"> of the composites </w:t>
      </w:r>
      <w:r w:rsidR="002B4FC7">
        <w:t>was</w:t>
      </w:r>
      <w:r w:rsidR="00474B6F" w:rsidRPr="00910A43">
        <w:t xml:space="preserve"> </w:t>
      </w:r>
      <w:r w:rsidR="00BD7C36" w:rsidRPr="00910A43">
        <w:t>exposed to</w:t>
      </w:r>
      <w:r w:rsidR="00474B6F" w:rsidRPr="00910A43">
        <w:t xml:space="preserve"> UV</w:t>
      </w:r>
      <w:r w:rsidR="00534092" w:rsidRPr="00910A43">
        <w:t>A</w:t>
      </w:r>
      <w:r w:rsidR="00474B6F" w:rsidRPr="00910A43">
        <w:t xml:space="preserve"> light with an intensity of </w:t>
      </w:r>
      <w:r w:rsidR="00534092" w:rsidRPr="00910A43">
        <w:t>2</w:t>
      </w:r>
      <w:r w:rsidR="00474B6F" w:rsidRPr="00910A43">
        <w:t>0 mW</w:t>
      </w:r>
      <w:r w:rsidR="00960B87">
        <w:t xml:space="preserve"> </w:t>
      </w:r>
      <w:r w:rsidR="00474B6F" w:rsidRPr="00910A43">
        <w:t>cm</w:t>
      </w:r>
      <w:r w:rsidR="00960B87" w:rsidRPr="00960B87">
        <w:rPr>
          <w:vertAlign w:val="superscript"/>
        </w:rPr>
        <w:t>-</w:t>
      </w:r>
      <w:r w:rsidR="00474B6F" w:rsidRPr="00960B87">
        <w:rPr>
          <w:vertAlign w:val="superscript"/>
        </w:rPr>
        <w:t>2</w:t>
      </w:r>
      <w:r w:rsidR="00474B6F" w:rsidRPr="00910A43">
        <w:t xml:space="preserve"> for 20 min in a </w:t>
      </w:r>
      <w:r w:rsidR="00BD7C36" w:rsidRPr="00910A43">
        <w:t xml:space="preserve">5000-EC UV flood lamp system (Dymax Corporation, Torrington, CT, USA) </w:t>
      </w:r>
      <w:r w:rsidR="00F07BF7" w:rsidRPr="00910A43">
        <w:t xml:space="preserve">equipped </w:t>
      </w:r>
      <w:r w:rsidR="00BD7C36" w:rsidRPr="00910A43">
        <w:t xml:space="preserve">with </w:t>
      </w:r>
      <w:r w:rsidR="00F07BF7" w:rsidRPr="00910A43">
        <w:t xml:space="preserve">a </w:t>
      </w:r>
      <w:r w:rsidR="00BD7C36" w:rsidRPr="00910A43">
        <w:t>medium intensity mercury bulb (320-390 nm)</w:t>
      </w:r>
      <w:r w:rsidR="00F07BF7" w:rsidRPr="00910A43">
        <w:t>.</w:t>
      </w:r>
    </w:p>
    <w:p w14:paraId="77C8BE3D" w14:textId="1A718CE8" w:rsidR="008919F8" w:rsidRPr="00B57B36" w:rsidRDefault="008919F8" w:rsidP="00910A43">
      <w:pPr>
        <w:pStyle w:val="CETheadingx"/>
      </w:pPr>
      <w:r>
        <w:lastRenderedPageBreak/>
        <w:t>Oxygen permeability measurements</w:t>
      </w:r>
    </w:p>
    <w:p w14:paraId="132BC2AA" w14:textId="552C208A" w:rsidR="0006043F" w:rsidRDefault="00843D5E" w:rsidP="00910A43">
      <w:pPr>
        <w:pStyle w:val="CETBodytext"/>
        <w:keepNext/>
      </w:pPr>
      <w:r>
        <w:t xml:space="preserve">For the oxygen permeability test, the specimens </w:t>
      </w:r>
      <w:r w:rsidRPr="00071DC3">
        <w:t xml:space="preserve">were inserted in a surface reducer with an </w:t>
      </w:r>
      <w:r>
        <w:t xml:space="preserve">exposed </w:t>
      </w:r>
      <w:r w:rsidRPr="00071DC3">
        <w:t>area of 2</w:t>
      </w:r>
      <w:r w:rsidR="00420025">
        <w:t>.</w:t>
      </w:r>
      <w:r w:rsidRPr="00071DC3">
        <w:t>01 cm</w:t>
      </w:r>
      <w:r w:rsidRPr="00071DC3">
        <w:rPr>
          <w:vertAlign w:val="superscript"/>
        </w:rPr>
        <w:t>2</w:t>
      </w:r>
      <w:r>
        <w:t>. F</w:t>
      </w:r>
      <w:r w:rsidRPr="00071DC3">
        <w:t>ilm thickness was measured using a micro caliper, averaging 6 measurements per sample.</w:t>
      </w:r>
      <w:r>
        <w:t xml:space="preserve"> </w:t>
      </w:r>
      <w:r w:rsidR="008A4035">
        <w:t>The o</w:t>
      </w:r>
      <w:r w:rsidR="00071DC3" w:rsidRPr="00071DC3">
        <w:t xml:space="preserve">xygen permeability tests were conducted using </w:t>
      </w:r>
      <w:r w:rsidR="00071DC3">
        <w:t xml:space="preserve">a </w:t>
      </w:r>
      <w:r w:rsidR="00071DC3" w:rsidRPr="00071DC3">
        <w:t>MultiPerm</w:t>
      </w:r>
      <w:r w:rsidR="00071DC3">
        <w:t xml:space="preserve"> permeability analyzer</w:t>
      </w:r>
      <w:r w:rsidR="00071DC3" w:rsidRPr="00071DC3">
        <w:t xml:space="preserve"> (ExtraSolution S.r.l.). </w:t>
      </w:r>
      <w:r w:rsidR="00071DC3">
        <w:t>The composite f</w:t>
      </w:r>
      <w:r w:rsidR="00071DC3" w:rsidRPr="00071DC3">
        <w:t xml:space="preserve">ilms were </w:t>
      </w:r>
      <w:r w:rsidR="00071DC3">
        <w:t xml:space="preserve">analyzed at </w:t>
      </w:r>
      <w:r w:rsidR="00071DC3" w:rsidRPr="00071DC3">
        <w:t>T = 23 °C and RH = 0</w:t>
      </w:r>
      <w:r w:rsidR="002B6204">
        <w:t xml:space="preserve"> </w:t>
      </w:r>
      <w:r w:rsidR="00071DC3" w:rsidRPr="00071DC3">
        <w:t>%.</w:t>
      </w:r>
      <w:r w:rsidR="008A4035">
        <w:t xml:space="preserve"> The </w:t>
      </w:r>
      <w:r w:rsidR="00051E3F">
        <w:t xml:space="preserve">instrument measures and records the instantaneous Oxygen Transmission Rate (OTR), i.e. the </w:t>
      </w:r>
      <w:r w:rsidR="00BA3905">
        <w:t>flux</w:t>
      </w:r>
      <w:r w:rsidR="00051E3F">
        <w:t xml:space="preserve"> </w:t>
      </w:r>
      <w:r w:rsidR="00051E3F" w:rsidRPr="006E4987">
        <w:rPr>
          <w:i/>
          <w:iCs/>
        </w:rPr>
        <w:t>J(t)</w:t>
      </w:r>
      <w:r w:rsidR="00051E3F">
        <w:t xml:space="preserve"> of oxygen transported per unit of time through the surface of the tested film. </w:t>
      </w:r>
      <w:r w:rsidR="00D640CD">
        <w:t>The</w:t>
      </w:r>
      <w:r w:rsidR="00051E3F">
        <w:t xml:space="preserve"> </w:t>
      </w:r>
      <w:r w:rsidR="00BA3905">
        <w:t>flux</w:t>
      </w:r>
      <w:r w:rsidR="00051E3F">
        <w:t xml:space="preserve"> </w:t>
      </w:r>
      <w:r w:rsidR="00D640CD">
        <w:t xml:space="preserve">was considered to have reached a </w:t>
      </w:r>
      <w:r w:rsidR="00051E3F">
        <w:t>steady state (</w:t>
      </w:r>
      <w:r w:rsidR="00051E3F" w:rsidRPr="006E4987">
        <w:rPr>
          <w:i/>
          <w:iCs/>
        </w:rPr>
        <w:t>J</w:t>
      </w:r>
      <w:r w:rsidR="00D640CD" w:rsidRPr="006E4987">
        <w:rPr>
          <w:i/>
          <w:iCs/>
          <w:vertAlign w:val="subscript"/>
        </w:rPr>
        <w:sym w:font="Symbol" w:char="F0A5"/>
      </w:r>
      <w:r w:rsidR="00D640CD">
        <w:t xml:space="preserve">) when the </w:t>
      </w:r>
      <w:r w:rsidR="00254784">
        <w:t xml:space="preserve">instantaneous </w:t>
      </w:r>
      <w:r w:rsidR="00D640CD">
        <w:t xml:space="preserve">OTR did not </w:t>
      </w:r>
      <w:r w:rsidR="00254784">
        <w:t xml:space="preserve">differ </w:t>
      </w:r>
      <w:r w:rsidR="002B4FC7">
        <w:t>by</w:t>
      </w:r>
      <w:r w:rsidR="00D640CD">
        <w:t xml:space="preserve"> more than </w:t>
      </w:r>
      <w:r w:rsidR="004E3812">
        <w:t>0.</w:t>
      </w:r>
      <w:r w:rsidR="00254784">
        <w:t xml:space="preserve">5 </w:t>
      </w:r>
      <w:r w:rsidR="00D640CD">
        <w:t>%</w:t>
      </w:r>
      <w:r w:rsidR="00254784">
        <w:t xml:space="preserve"> from its average value</w:t>
      </w:r>
      <w:r w:rsidR="006E4987">
        <w:t xml:space="preserve"> over more than 100 measurement points</w:t>
      </w:r>
      <w:r w:rsidR="00D640CD">
        <w:t xml:space="preserve">. This steady state value was taken </w:t>
      </w:r>
      <w:r w:rsidR="002B4FC7">
        <w:t xml:space="preserve">as the </w:t>
      </w:r>
      <w:r w:rsidR="00D640CD">
        <w:t xml:space="preserve"> OTR value of the film.</w:t>
      </w:r>
      <w:r w:rsidR="008B5920">
        <w:t xml:space="preserve"> To compare films of different thicknesses the </w:t>
      </w:r>
      <w:r w:rsidR="00892122">
        <w:t>OTR values were normalized with respect to the thickness</w:t>
      </w:r>
      <w:r w:rsidR="008B5920">
        <w:t xml:space="preserve"> </w:t>
      </w:r>
      <w:r w:rsidR="008B5920" w:rsidRPr="00EB248F">
        <w:rPr>
          <w:i/>
          <w:iCs/>
        </w:rPr>
        <w:t>L</w:t>
      </w:r>
      <w:r w:rsidR="00892122">
        <w:t xml:space="preserve"> of the films; the OTR</w:t>
      </w:r>
      <w:r w:rsidR="00257B13" w:rsidRPr="00257B13">
        <w:rPr>
          <w:vertAlign w:val="subscript"/>
        </w:rPr>
        <w:t>25</w:t>
      </w:r>
      <w:r w:rsidR="00257B13">
        <w:t xml:space="preserve">, </w:t>
      </w:r>
      <w:r w:rsidR="00892122">
        <w:t xml:space="preserve">normalized to a thickness of 25 </w:t>
      </w:r>
      <w:r w:rsidR="00892122">
        <w:sym w:font="Symbol" w:char="F06D"/>
      </w:r>
      <w:r w:rsidR="00892122">
        <w:t>m</w:t>
      </w:r>
      <w:r w:rsidR="00257B13">
        <w:t>,</w:t>
      </w:r>
      <w:r w:rsidR="00892122">
        <w:t xml:space="preserve"> was calculated as follows: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892122" w:rsidRPr="00B57B36" w14:paraId="17BB224E" w14:textId="77777777" w:rsidTr="00360D14">
        <w:tc>
          <w:tcPr>
            <w:tcW w:w="8188" w:type="dxa"/>
            <w:shd w:val="clear" w:color="auto" w:fill="auto"/>
            <w:vAlign w:val="center"/>
          </w:tcPr>
          <w:p w14:paraId="69799500" w14:textId="60B987C3" w:rsidR="00892122" w:rsidRPr="008B5920" w:rsidRDefault="00456A0F" w:rsidP="008B5920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OTR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OTR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μm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μm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78560999" w14:textId="77777777" w:rsidR="00892122" w:rsidRPr="008B5920" w:rsidRDefault="00892122" w:rsidP="008B5920">
            <w:pPr>
              <w:pStyle w:val="CETEquation"/>
            </w:pPr>
            <w:r w:rsidRPr="008B5920">
              <w:t>(1)</w:t>
            </w:r>
          </w:p>
        </w:tc>
      </w:tr>
    </w:tbl>
    <w:p w14:paraId="58A682D2" w14:textId="4AE82634" w:rsidR="00F41623" w:rsidRDefault="00F41623" w:rsidP="00F41623">
      <w:pPr>
        <w:pStyle w:val="CETBodytext"/>
      </w:pPr>
      <w:r>
        <w:t xml:space="preserve">The diffusion coefficients </w:t>
      </w:r>
      <w:r w:rsidR="00FC798E" w:rsidRPr="00FC798E">
        <w:rPr>
          <w:i/>
          <w:iCs/>
        </w:rPr>
        <w:t>D</w:t>
      </w:r>
      <w:r w:rsidR="00FC798E">
        <w:t xml:space="preserve"> </w:t>
      </w:r>
      <w:r>
        <w:t xml:space="preserve">of oxygen in </w:t>
      </w:r>
      <w:r w:rsidR="008B5920">
        <w:t xml:space="preserve">the composite </w:t>
      </w:r>
      <w:r>
        <w:t xml:space="preserve">films </w:t>
      </w:r>
      <w:r w:rsidR="00C77D00">
        <w:t>were</w:t>
      </w:r>
      <w:r>
        <w:t xml:space="preserve"> estimated using </w:t>
      </w:r>
      <w:r w:rsidR="009D3A61">
        <w:t xml:space="preserve">the </w:t>
      </w:r>
      <w:r w:rsidR="00BA3905">
        <w:t xml:space="preserve">time-lag </w:t>
      </w:r>
      <w:r w:rsidR="003F4209">
        <w:t xml:space="preserve">method </w:t>
      </w:r>
      <w:r w:rsidR="00910A43" w:rsidRPr="00910A43">
        <w:rPr>
          <w:rFonts w:cs="Arial"/>
        </w:rPr>
        <w:t>(Beckman et al., 2020)</w:t>
      </w:r>
      <w:r w:rsidR="00FC798E">
        <w:t>, using</w:t>
      </w:r>
      <w:r w:rsidR="003F4209">
        <w:t xml:space="preserve"> the equation</w:t>
      </w:r>
      <w:r w:rsidR="002318DE">
        <w:t>s</w:t>
      </w:r>
      <w:r w:rsidR="003F4209">
        <w:t>:</w:t>
      </w:r>
      <w: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C77D00" w:rsidRPr="003F4209" w14:paraId="7A026F34" w14:textId="77777777" w:rsidTr="00290FB5">
        <w:tc>
          <w:tcPr>
            <w:tcW w:w="8188" w:type="dxa"/>
            <w:shd w:val="clear" w:color="auto" w:fill="auto"/>
            <w:vAlign w:val="center"/>
          </w:tcPr>
          <w:p w14:paraId="7213F492" w14:textId="73ADB6E5" w:rsidR="00C77D00" w:rsidRPr="003F4209" w:rsidRDefault="002318DE" w:rsidP="002318DE">
            <w:pPr>
              <w:pStyle w:val="CETEquation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029A718A" w14:textId="59CB4AC5" w:rsidR="00C77D00" w:rsidRPr="003F4209" w:rsidRDefault="00C77D00" w:rsidP="003F4209">
            <w:pPr>
              <w:pStyle w:val="CETEquation"/>
            </w:pPr>
            <w:r w:rsidRPr="003F4209">
              <w:t>(2)</w:t>
            </w:r>
          </w:p>
        </w:tc>
      </w:tr>
      <w:tr w:rsidR="002318DE" w:rsidRPr="003F4209" w14:paraId="3D55AAA0" w14:textId="77777777" w:rsidTr="00290FB5">
        <w:tc>
          <w:tcPr>
            <w:tcW w:w="8188" w:type="dxa"/>
            <w:shd w:val="clear" w:color="auto" w:fill="auto"/>
            <w:vAlign w:val="center"/>
          </w:tcPr>
          <w:p w14:paraId="74F4A3AB" w14:textId="3BDEE741" w:rsidR="002318DE" w:rsidRPr="00935052" w:rsidRDefault="00456A0F" w:rsidP="002318DE">
            <w:pPr>
              <w:pStyle w:val="CETEquation"/>
              <w:jc w:val="both"/>
              <w:rPr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6837BCDF" w14:textId="2D47625B" w:rsidR="002318DE" w:rsidRPr="003F4209" w:rsidRDefault="002318DE" w:rsidP="003F4209">
            <w:pPr>
              <w:pStyle w:val="CETEquation"/>
            </w:pPr>
            <w:r>
              <w:t>(3)</w:t>
            </w:r>
          </w:p>
        </w:tc>
      </w:tr>
    </w:tbl>
    <w:p w14:paraId="267CF885" w14:textId="4D25AC4E" w:rsidR="00843D5E" w:rsidRDefault="00252BD1" w:rsidP="00C77D00">
      <w:pPr>
        <w:pStyle w:val="CETBodytext"/>
      </w:pPr>
      <w:r>
        <w:t>w</w:t>
      </w:r>
      <w:r w:rsidR="003F4209">
        <w:t>here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is the normalized </w:t>
      </w:r>
      <w:r w:rsidR="00BA3905">
        <w:t>flux</w:t>
      </w:r>
      <w:r w:rsidR="008B5920">
        <w:t xml:space="preserve"> </w:t>
      </w:r>
      <w:r w:rsidR="00613C01">
        <w:t>(</w:t>
      </w:r>
      <w:r w:rsidR="008B5920" w:rsidRPr="00456083">
        <w:rPr>
          <w:i/>
          <w:iCs/>
        </w:rPr>
        <w:t>J/</w:t>
      </w:r>
      <w:r w:rsidR="00613C01" w:rsidRPr="00456083">
        <w:rPr>
          <w:i/>
          <w:iCs/>
        </w:rPr>
        <w:t>J</w:t>
      </w:r>
      <w:r w:rsidR="00613C01" w:rsidRPr="00456083">
        <w:rPr>
          <w:i/>
          <w:iCs/>
          <w:vertAlign w:val="subscript"/>
        </w:rPr>
        <w:sym w:font="Symbol" w:char="F0A5"/>
      </w:r>
      <w:r w:rsidR="00613C01" w:rsidRPr="00613C01">
        <w:t>)</w:t>
      </w:r>
      <w:r w:rsidR="002318DE">
        <w:t xml:space="preserve">. The </w:t>
      </w:r>
      <w:r w:rsidR="009F7BA0">
        <w:t xml:space="preserve">time-lag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FC798E">
        <w:t xml:space="preserve"> </w:t>
      </w:r>
      <w:r w:rsidR="009F7BA0">
        <w:t xml:space="preserve">according to the statistical moments method corresponds to the </w:t>
      </w:r>
      <w:r>
        <w:t>moment</w:t>
      </w:r>
      <w:r w:rsidR="003F420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7BA0">
        <w:t xml:space="preserve"> (Eq.</w:t>
      </w:r>
      <w:r w:rsidR="00F6220F">
        <w:t xml:space="preserve"> </w:t>
      </w:r>
      <w:r w:rsidR="009F7BA0">
        <w:t xml:space="preserve">3), </w:t>
      </w:r>
      <w:r w:rsidR="003F4209">
        <w:t>calculated by numerical integration of the experimental OTR curve</w:t>
      </w:r>
      <w:r w:rsidR="002318DE">
        <w:t>.</w:t>
      </w:r>
      <w:r w:rsidR="003F4209" w:rsidRPr="00C77D00">
        <w:t xml:space="preserve"> </w:t>
      </w:r>
    </w:p>
    <w:p w14:paraId="5D471E27" w14:textId="36D88764" w:rsidR="00913F14" w:rsidRPr="00B57B36" w:rsidRDefault="00913F14" w:rsidP="00913F14">
      <w:pPr>
        <w:pStyle w:val="CETheadingx"/>
      </w:pPr>
      <w:r>
        <w:t>Optical microscopy</w:t>
      </w:r>
    </w:p>
    <w:p w14:paraId="0FD45A83" w14:textId="4285AEAE" w:rsidR="00913F14" w:rsidRDefault="00913F14" w:rsidP="00C77D00">
      <w:pPr>
        <w:pStyle w:val="CETBodytext"/>
      </w:pPr>
      <w:r>
        <w:t>Optical microscopy was performed in reflection mode with an Olympus BX53M microscope (</w:t>
      </w:r>
      <w:r w:rsidRPr="00545E59">
        <w:t xml:space="preserve">Olympus Italia </w:t>
      </w:r>
      <w:r w:rsidR="00E2432F" w:rsidRPr="00071DC3">
        <w:t>S.r.l.).</w:t>
      </w:r>
    </w:p>
    <w:p w14:paraId="677EBFF0" w14:textId="4A972C60" w:rsidR="00600535" w:rsidRDefault="00BD7C36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bookmarkStart w:id="2" w:name="_Hlk97020825"/>
      <w:r>
        <w:rPr>
          <w:lang w:val="en-GB"/>
        </w:rPr>
        <w:t>Results and discussion</w:t>
      </w:r>
    </w:p>
    <w:p w14:paraId="3664BBF3" w14:textId="38384C33" w:rsidR="003053EC" w:rsidRDefault="00EC6330" w:rsidP="00A66FF5">
      <w:pPr>
        <w:pStyle w:val="CETBodytext"/>
      </w:pPr>
      <w:r>
        <w:t xml:space="preserve">Poly(EDMA) and </w:t>
      </w:r>
      <w:r w:rsidR="0029789E">
        <w:t>poly(</w:t>
      </w:r>
      <w:r w:rsidR="009B7528">
        <w:t>EDMA-</w:t>
      </w:r>
      <w:r w:rsidR="009B7528" w:rsidRPr="00D71E28">
        <w:rPr>
          <w:i/>
        </w:rPr>
        <w:t>co</w:t>
      </w:r>
      <w:r w:rsidR="009B7528">
        <w:t>-CMA</w:t>
      </w:r>
      <w:r w:rsidR="0029789E">
        <w:t>)</w:t>
      </w:r>
      <w:r w:rsidR="00400D01">
        <w:t xml:space="preserve"> </w:t>
      </w:r>
      <w:r w:rsidR="009B7528">
        <w:t>w</w:t>
      </w:r>
      <w:r>
        <w:t>ere</w:t>
      </w:r>
      <w:r w:rsidR="009B7528">
        <w:t xml:space="preserve"> </w:t>
      </w:r>
      <w:r w:rsidR="00736C79">
        <w:t>synthesized</w:t>
      </w:r>
      <w:r w:rsidR="009B7528">
        <w:t xml:space="preserve"> in form of latex</w:t>
      </w:r>
      <w:r>
        <w:t>es</w:t>
      </w:r>
      <w:r w:rsidR="009B7528">
        <w:t xml:space="preserve"> by emulsion polymerization</w:t>
      </w:r>
      <w:r w:rsidR="00736C79">
        <w:t>,</w:t>
      </w:r>
      <w:r>
        <w:t xml:space="preserve"> according to the principles of green chemistry</w:t>
      </w:r>
      <w:r w:rsidR="00F33BF9">
        <w:t xml:space="preserve">. </w:t>
      </w:r>
      <w:r w:rsidR="003775C9">
        <w:t>T</w:t>
      </w:r>
      <w:r w:rsidR="00F33BF9">
        <w:t xml:space="preserve">he main co-monomer, </w:t>
      </w:r>
      <w:r>
        <w:t>EDMA</w:t>
      </w:r>
      <w:r w:rsidR="00F33BF9">
        <w:t>,</w:t>
      </w:r>
      <w:r>
        <w:t xml:space="preserve"> </w:t>
      </w:r>
      <w:r w:rsidR="003775C9">
        <w:t>wa</w:t>
      </w:r>
      <w:r>
        <w:t>s derived</w:t>
      </w:r>
      <w:r w:rsidR="003775C9">
        <w:t xml:space="preserve"> from</w:t>
      </w:r>
      <w:r>
        <w:t xml:space="preserve"> </w:t>
      </w:r>
      <w:r w:rsidR="003775C9">
        <w:t>e</w:t>
      </w:r>
      <w:r w:rsidR="003775C9" w:rsidRPr="00803985">
        <w:t>ugenol</w:t>
      </w:r>
      <w:r w:rsidR="003775C9">
        <w:t>, a</w:t>
      </w:r>
      <w:r>
        <w:t xml:space="preserve"> natural phenol</w:t>
      </w:r>
      <w:r w:rsidR="00736C79">
        <w:t>ic compound extracted from clove</w:t>
      </w:r>
      <w:r w:rsidR="008F71CB">
        <w:t xml:space="preserve"> plant</w:t>
      </w:r>
      <w:r>
        <w:t xml:space="preserve">; </w:t>
      </w:r>
      <w:r w:rsidRPr="00803985">
        <w:t>ethylene carbonate</w:t>
      </w:r>
      <w:r>
        <w:t xml:space="preserve"> and methacrylic acid used for its methacrylation</w:t>
      </w:r>
      <w:r w:rsidR="00DE1FFD">
        <w:t xml:space="preserve"> were not biobased </w:t>
      </w:r>
      <w:r w:rsidRPr="00D22EEA">
        <w:rPr>
          <w:rFonts w:cs="Arial"/>
          <w:szCs w:val="24"/>
        </w:rPr>
        <w:t>(Molina-Gutiérrez et al., 2019c)</w:t>
      </w:r>
      <w:r w:rsidR="00736C79">
        <w:t>,</w:t>
      </w:r>
      <w:r>
        <w:t xml:space="preserve"> </w:t>
      </w:r>
      <w:r w:rsidR="00DE1FFD">
        <w:t xml:space="preserve">but </w:t>
      </w:r>
      <w:r w:rsidR="00736C79">
        <w:t>promising routes for their production from</w:t>
      </w:r>
      <w:r>
        <w:t xml:space="preserve"> biobased sources</w:t>
      </w:r>
      <w:r w:rsidR="00736C79">
        <w:t xml:space="preserve"> have been reported</w:t>
      </w:r>
      <w:r>
        <w:t xml:space="preserve"> </w:t>
      </w:r>
      <w:r w:rsidRPr="00D57954">
        <w:rPr>
          <w:rFonts w:cs="Arial"/>
        </w:rPr>
        <w:t>(Lebeau et al., 2020; Pescarmona, 2021)</w:t>
      </w:r>
      <w:r w:rsidRPr="00803985">
        <w:t>.</w:t>
      </w:r>
      <w:r>
        <w:t xml:space="preserve"> </w:t>
      </w:r>
      <w:bookmarkEnd w:id="2"/>
      <w:r w:rsidR="000B748A">
        <w:t>The structures of</w:t>
      </w:r>
      <w:r w:rsidRPr="00EC6330">
        <w:t xml:space="preserve"> poly(EDMA) and</w:t>
      </w:r>
      <w:r>
        <w:t xml:space="preserve"> </w:t>
      </w:r>
      <w:r w:rsidRPr="00EC6330">
        <w:t>poly(EDMA-</w:t>
      </w:r>
      <w:r w:rsidRPr="00EC6330">
        <w:rPr>
          <w:i/>
          <w:iCs/>
        </w:rPr>
        <w:t>co</w:t>
      </w:r>
      <w:r w:rsidRPr="00EC6330">
        <w:t xml:space="preserve">-CMA) </w:t>
      </w:r>
      <w:r w:rsidR="000B748A">
        <w:t>are depicted in</w:t>
      </w:r>
      <w:r w:rsidR="00A66FF5">
        <w:t xml:space="preserve"> Figure 1</w:t>
      </w:r>
      <w:r w:rsidR="000B748A">
        <w:t>.</w:t>
      </w:r>
      <w:r w:rsidR="003053EC">
        <w:t xml:space="preserve"> </w:t>
      </w:r>
      <w:r>
        <w:t xml:space="preserve">The solids content of the poly(EDMA) latex was 15 </w:t>
      </w:r>
      <w:r w:rsidR="002B6204">
        <w:t>wt</w:t>
      </w:r>
      <w:r>
        <w:t>%</w:t>
      </w:r>
      <w:r w:rsidR="00C92B08">
        <w:t xml:space="preserve"> and that of the </w:t>
      </w:r>
      <w:r w:rsidR="00C92B08" w:rsidRPr="00EC6330">
        <w:t>poly(EDMA-</w:t>
      </w:r>
      <w:r w:rsidR="00C92B08" w:rsidRPr="00EC6330">
        <w:rPr>
          <w:i/>
          <w:iCs/>
        </w:rPr>
        <w:t>co</w:t>
      </w:r>
      <w:r w:rsidR="00C92B08" w:rsidRPr="00EC6330">
        <w:t>-CMA)</w:t>
      </w:r>
      <w:r>
        <w:t xml:space="preserve"> latex was 16.5 </w:t>
      </w:r>
      <w:r w:rsidR="002B6204">
        <w:t>wt</w:t>
      </w:r>
      <w:r>
        <w:t xml:space="preserve">%. </w:t>
      </w:r>
    </w:p>
    <w:p w14:paraId="4D9A247D" w14:textId="77777777" w:rsidR="00A66FF5" w:rsidRDefault="000658EC" w:rsidP="009B7528">
      <w:pPr>
        <w:pStyle w:val="CETCaption"/>
      </w:pPr>
      <w:r>
        <w:rPr>
          <w:noProof/>
          <w:lang w:val="fr-FR" w:eastAsia="fr-FR"/>
        </w:rPr>
        <w:drawing>
          <wp:inline distT="0" distB="0" distL="0" distR="0" wp14:anchorId="279B9DC5" wp14:editId="604F70D7">
            <wp:extent cx="2700000" cy="990000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Ref94014208"/>
    </w:p>
    <w:p w14:paraId="53912D4F" w14:textId="6BA254BF" w:rsidR="009B7528" w:rsidRDefault="009B7528" w:rsidP="009B7528">
      <w:pPr>
        <w:pStyle w:val="CET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3E4DAD">
        <w:rPr>
          <w:noProof/>
        </w:rPr>
        <w:t>1</w:t>
      </w:r>
      <w:r>
        <w:fldChar w:fldCharType="end"/>
      </w:r>
      <w:bookmarkEnd w:id="3"/>
      <w:r w:rsidR="000B748A">
        <w:t>. Structure of (a</w:t>
      </w:r>
      <w:bookmarkStart w:id="4" w:name="_Hlk96968480"/>
      <w:r w:rsidR="000B748A">
        <w:t xml:space="preserve">) </w:t>
      </w:r>
      <w:r w:rsidR="0095094B">
        <w:t>poly(</w:t>
      </w:r>
      <w:r w:rsidR="000B748A">
        <w:t>EDMA</w:t>
      </w:r>
      <w:r w:rsidR="0095094B">
        <w:t>)</w:t>
      </w:r>
      <w:r w:rsidR="000B748A">
        <w:t xml:space="preserve"> and (b)</w:t>
      </w:r>
      <w:r w:rsidR="0095094B">
        <w:t xml:space="preserve"> poly(</w:t>
      </w:r>
      <w:r w:rsidR="000B748A">
        <w:t>EDMA-co-CMA</w:t>
      </w:r>
      <w:r w:rsidR="0095094B">
        <w:t>)</w:t>
      </w:r>
      <w:r w:rsidR="000B748A">
        <w:t xml:space="preserve"> </w:t>
      </w:r>
      <w:bookmarkEnd w:id="4"/>
    </w:p>
    <w:p w14:paraId="78022EB3" w14:textId="79E74C90" w:rsidR="00003E22" w:rsidRDefault="00003E22" w:rsidP="00003E22">
      <w:pPr>
        <w:pStyle w:val="CETBodytext"/>
      </w:pPr>
      <w:r>
        <w:rPr>
          <w:lang w:val="en-GB"/>
        </w:rPr>
        <w:t>Upon irradiation with UV</w:t>
      </w:r>
      <w:r w:rsidR="0046558B">
        <w:rPr>
          <w:lang w:val="en-GB"/>
        </w:rPr>
        <w:t>A</w:t>
      </w:r>
      <w:r>
        <w:rPr>
          <w:lang w:val="en-GB"/>
        </w:rPr>
        <w:t xml:space="preserve"> light two adjacent </w:t>
      </w:r>
      <w:r>
        <w:t>coumarin moieties can undergo a [2+2] photocycloaddition reaction forming a cyclobutane ring, leading to crosslinking of poly(EDMA-</w:t>
      </w:r>
      <w:r w:rsidRPr="00D71E28">
        <w:rPr>
          <w:i/>
        </w:rPr>
        <w:t>co</w:t>
      </w:r>
      <w:r>
        <w:t xml:space="preserve">-CMA), as sketched in </w:t>
      </w:r>
      <w:r>
        <w:fldChar w:fldCharType="begin"/>
      </w:r>
      <w:r>
        <w:instrText xml:space="preserve"> REF _Ref94020184 </w:instrText>
      </w:r>
      <w:r>
        <w:fldChar w:fldCharType="separate"/>
      </w:r>
      <w:r w:rsidR="003E4DAD">
        <w:t xml:space="preserve">Figure </w:t>
      </w:r>
      <w:r w:rsidR="003E4DAD">
        <w:rPr>
          <w:noProof/>
        </w:rPr>
        <w:t>2</w:t>
      </w:r>
      <w:r>
        <w:fldChar w:fldCharType="end"/>
      </w:r>
      <w:r>
        <w:t xml:space="preserve">. </w:t>
      </w:r>
    </w:p>
    <w:p w14:paraId="3B0351B1" w14:textId="2CA3A568" w:rsidR="00003E22" w:rsidRDefault="00003E22" w:rsidP="00003E22">
      <w:pPr>
        <w:pStyle w:val="CETBodytext"/>
      </w:pPr>
      <w:r>
        <w:t>Upon drying, the poly(EDMA-</w:t>
      </w:r>
      <w:r w:rsidRPr="00D71E28">
        <w:rPr>
          <w:i/>
        </w:rPr>
        <w:t>co</w:t>
      </w:r>
      <w:r>
        <w:t xml:space="preserve">-CMA) latex yielded transparent polymer films that were relatively brittle and could be completely dissolved in acetone. Thin </w:t>
      </w:r>
      <w:r w:rsidR="00AB415C">
        <w:t xml:space="preserve">layers </w:t>
      </w:r>
      <w:r>
        <w:t>of poly(EDMA-</w:t>
      </w:r>
      <w:r w:rsidRPr="00D71E28">
        <w:rPr>
          <w:i/>
        </w:rPr>
        <w:t>co</w:t>
      </w:r>
      <w:r>
        <w:t>-CMA) cast from acetone (section 2.3) were thus used for the study of the [2+2] photocycloaddition reaction involving the CMA moieties upon exposure to UVA radiation.</w:t>
      </w:r>
    </w:p>
    <w:p w14:paraId="25907644" w14:textId="11EE861A" w:rsidR="0016762A" w:rsidRDefault="002C66BF" w:rsidP="00400D01">
      <w:pPr>
        <w:pStyle w:val="CETBodytext"/>
      </w:pPr>
      <w:r>
        <w:rPr>
          <w:noProof/>
          <w:lang w:val="fr-FR" w:eastAsia="fr-FR"/>
        </w:rPr>
        <w:lastRenderedPageBreak/>
        <w:drawing>
          <wp:inline distT="0" distB="0" distL="0" distR="0" wp14:anchorId="069B4594" wp14:editId="62A8D460">
            <wp:extent cx="3664800" cy="1735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4800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4523" w14:textId="7F6D937F" w:rsidR="0016762A" w:rsidRDefault="0016762A" w:rsidP="0016762A">
      <w:pPr>
        <w:pStyle w:val="CETCaption"/>
      </w:pPr>
      <w:bookmarkStart w:id="5" w:name="_Ref9402018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3E4DAD">
        <w:rPr>
          <w:noProof/>
        </w:rPr>
        <w:t>2</w:t>
      </w:r>
      <w:r>
        <w:fldChar w:fldCharType="end"/>
      </w:r>
      <w:bookmarkEnd w:id="5"/>
      <w:r w:rsidR="00C01D4A">
        <w:t xml:space="preserve">. </w:t>
      </w:r>
      <w:r w:rsidR="00A82750">
        <w:t xml:space="preserve">(a) </w:t>
      </w:r>
      <w:r w:rsidR="00C01D4A">
        <w:t xml:space="preserve">[2+2] photocycloaddition </w:t>
      </w:r>
      <w:r w:rsidR="00A82750">
        <w:t>of</w:t>
      </w:r>
      <w:r w:rsidR="00C01D4A">
        <w:t xml:space="preserve"> </w:t>
      </w:r>
      <w:r w:rsidR="00A82750">
        <w:t>coumarin</w:t>
      </w:r>
      <w:r w:rsidR="00C01D4A">
        <w:t>,</w:t>
      </w:r>
      <w:r w:rsidR="00A82750">
        <w:t xml:space="preserve"> and (b)</w:t>
      </w:r>
      <w:r w:rsidR="00C01D4A">
        <w:t xml:space="preserve"> crosslinking of </w:t>
      </w:r>
      <w:r w:rsidR="0095094B">
        <w:t>poly(</w:t>
      </w:r>
      <w:r w:rsidR="00C01D4A">
        <w:t>EDMA-co-CMA</w:t>
      </w:r>
      <w:r w:rsidR="0095094B">
        <w:t>)</w:t>
      </w:r>
      <w:r w:rsidR="00C01D4A">
        <w:t>.</w:t>
      </w:r>
    </w:p>
    <w:p w14:paraId="4E993FD2" w14:textId="1E154ADF" w:rsidR="00C01D4A" w:rsidRDefault="00C01D4A" w:rsidP="0038073D">
      <w:pPr>
        <w:pStyle w:val="CETBodytext"/>
      </w:pPr>
      <w:r>
        <w:t xml:space="preserve">The advancement of the reaction </w:t>
      </w:r>
      <w:r w:rsidR="008E29BB">
        <w:t>was</w:t>
      </w:r>
      <w:r>
        <w:t xml:space="preserve"> followed by monitoring the UV-vis absorbance at 320 nm</w:t>
      </w:r>
      <w:r w:rsidR="0038073D">
        <w:t xml:space="preserve">, which </w:t>
      </w:r>
      <w:r w:rsidR="00A07C08">
        <w:t>is characteristic of coumarin</w:t>
      </w:r>
      <w:r w:rsidR="0038073D">
        <w:t xml:space="preserve"> and decreases proportionally to the extent of photodimerization </w:t>
      </w:r>
      <w:r w:rsidR="00910A43" w:rsidRPr="00910A43">
        <w:rPr>
          <w:rFonts w:cs="Arial"/>
        </w:rPr>
        <w:t>(Hasegawa et al., 1972)</w:t>
      </w:r>
      <w:r>
        <w:t xml:space="preserve">. As shown in </w:t>
      </w:r>
      <w:r>
        <w:fldChar w:fldCharType="begin"/>
      </w:r>
      <w:r>
        <w:instrText xml:space="preserve"> REF _Ref94020635 </w:instrText>
      </w:r>
      <w:r>
        <w:fldChar w:fldCharType="separate"/>
      </w:r>
      <w:r w:rsidR="003E4DAD">
        <w:t xml:space="preserve">Figure </w:t>
      </w:r>
      <w:r w:rsidR="003E4DAD">
        <w:rPr>
          <w:noProof/>
        </w:rPr>
        <w:t>3</w:t>
      </w:r>
      <w:r>
        <w:fldChar w:fldCharType="end"/>
      </w:r>
      <w:r>
        <w:t xml:space="preserve">, </w:t>
      </w:r>
      <w:r w:rsidR="0020664F">
        <w:t>the absorbance at 320 nm</w:t>
      </w:r>
      <w:r w:rsidR="0013172D">
        <w:t xml:space="preserve"> </w:t>
      </w:r>
      <w:r w:rsidR="0020664F">
        <w:t>decrease</w:t>
      </w:r>
      <w:r w:rsidR="009D773F">
        <w:t>d</w:t>
      </w:r>
      <w:r w:rsidR="0020664F">
        <w:t xml:space="preserve"> steadily with increasing irradiation time for </w:t>
      </w:r>
      <w:r w:rsidR="00DE262D">
        <w:t>poly(</w:t>
      </w:r>
      <w:r w:rsidR="0020664F">
        <w:t>EDMA-</w:t>
      </w:r>
      <w:r w:rsidR="0020664F" w:rsidRPr="00D71E28">
        <w:rPr>
          <w:i/>
        </w:rPr>
        <w:t>co</w:t>
      </w:r>
      <w:r w:rsidR="0020664F">
        <w:t>-CMA</w:t>
      </w:r>
      <w:r w:rsidR="00DE262D">
        <w:t>)</w:t>
      </w:r>
      <w:r w:rsidR="0019205B">
        <w:t xml:space="preserve">, </w:t>
      </w:r>
      <w:r w:rsidR="0019205B" w:rsidRPr="00DE262D">
        <w:t xml:space="preserve">indicating that the photocycloaddition reaction led to the formation of </w:t>
      </w:r>
      <w:r w:rsidR="00DE262D">
        <w:t xml:space="preserve">coumarin </w:t>
      </w:r>
      <w:r w:rsidR="0019205B" w:rsidRPr="00DE262D">
        <w:t>dimers</w:t>
      </w:r>
      <w:r w:rsidR="0020664F" w:rsidRPr="00DE262D">
        <w:t>.</w:t>
      </w:r>
    </w:p>
    <w:p w14:paraId="7D7E54D4" w14:textId="72893B5A" w:rsidR="0020664F" w:rsidRDefault="0020664F" w:rsidP="00C01D4A">
      <w:pPr>
        <w:pStyle w:val="CETBodytext"/>
      </w:pPr>
    </w:p>
    <w:p w14:paraId="15B6F318" w14:textId="1EACECAF" w:rsidR="0020664F" w:rsidRDefault="009A4A58" w:rsidP="00C01D4A">
      <w:pPr>
        <w:pStyle w:val="CETBodytext"/>
      </w:pPr>
      <w:r>
        <w:rPr>
          <w:noProof/>
          <w:lang w:val="fr-FR" w:eastAsia="fr-FR"/>
        </w:rPr>
        <w:drawing>
          <wp:inline distT="0" distB="0" distL="0" distR="0" wp14:anchorId="6B00BD81" wp14:editId="0AFE3B50">
            <wp:extent cx="1512000" cy="151200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39FE1" w14:textId="1CA1879E" w:rsidR="00C01D4A" w:rsidRDefault="00C01D4A" w:rsidP="00C01D4A">
      <w:pPr>
        <w:pStyle w:val="CETCaption"/>
      </w:pPr>
      <w:bookmarkStart w:id="6" w:name="_Ref9402063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3E4DAD">
        <w:rPr>
          <w:noProof/>
        </w:rPr>
        <w:t>3</w:t>
      </w:r>
      <w:r>
        <w:fldChar w:fldCharType="end"/>
      </w:r>
      <w:bookmarkEnd w:id="6"/>
      <w:r>
        <w:t xml:space="preserve">. UV-vis </w:t>
      </w:r>
      <w:r w:rsidR="002B6204">
        <w:t xml:space="preserve">absorption </w:t>
      </w:r>
      <w:r>
        <w:t xml:space="preserve">spectra of </w:t>
      </w:r>
      <w:r w:rsidR="00FE3D3C">
        <w:t>poly(</w:t>
      </w:r>
      <w:r>
        <w:t>EDMA-co-CMA</w:t>
      </w:r>
      <w:r w:rsidR="00FE3D3C">
        <w:t>)</w:t>
      </w:r>
      <w:r>
        <w:t xml:space="preserve"> at different UVA irradiation times.</w:t>
      </w:r>
    </w:p>
    <w:p w14:paraId="2E7FF677" w14:textId="7ED21F6F" w:rsidR="0019205B" w:rsidRDefault="00D97D78" w:rsidP="0019205B">
      <w:pPr>
        <w:pStyle w:val="CETBodytext"/>
      </w:pPr>
      <w:r w:rsidRPr="0038073D">
        <w:t xml:space="preserve">A photo of a </w:t>
      </w:r>
      <w:r w:rsidR="00D35D66" w:rsidRPr="0038073D">
        <w:t>poly(</w:t>
      </w:r>
      <w:r w:rsidRPr="0038073D">
        <w:t>EDMA-</w:t>
      </w:r>
      <w:r w:rsidRPr="00AB415C">
        <w:rPr>
          <w:i/>
        </w:rPr>
        <w:t>co</w:t>
      </w:r>
      <w:r w:rsidRPr="0038073D">
        <w:t>-CMA</w:t>
      </w:r>
      <w:r w:rsidR="00D35D66" w:rsidRPr="0038073D">
        <w:t>)</w:t>
      </w:r>
      <w:r w:rsidRPr="0038073D">
        <w:t xml:space="preserve"> composite </w:t>
      </w:r>
      <w:r w:rsidR="00A7212E">
        <w:t>with</w:t>
      </w:r>
      <w:r w:rsidR="00D35D66" w:rsidRPr="0038073D">
        <w:t xml:space="preserve"> </w:t>
      </w:r>
      <w:r w:rsidR="0019205B" w:rsidRPr="0038073D">
        <w:t xml:space="preserve">30 wt% of MFC </w:t>
      </w:r>
      <w:r w:rsidRPr="0038073D">
        <w:t>is</w:t>
      </w:r>
      <w:r w:rsidR="0019205B" w:rsidRPr="0038073D">
        <w:t xml:space="preserve"> shown in </w:t>
      </w:r>
      <w:r w:rsidR="00F36741" w:rsidRPr="0038073D">
        <w:fldChar w:fldCharType="begin"/>
      </w:r>
      <w:r w:rsidR="00F36741" w:rsidRPr="0038073D">
        <w:instrText xml:space="preserve"> REF _Ref94025170 </w:instrText>
      </w:r>
      <w:r w:rsidR="0038073D">
        <w:instrText xml:space="preserve"> \* MERGEFORMAT </w:instrText>
      </w:r>
      <w:r w:rsidR="00F36741" w:rsidRPr="0038073D">
        <w:fldChar w:fldCharType="separate"/>
      </w:r>
      <w:r w:rsidR="003E4DAD">
        <w:t>Figure 4</w:t>
      </w:r>
      <w:r w:rsidR="00F36741" w:rsidRPr="0038073D">
        <w:fldChar w:fldCharType="end"/>
      </w:r>
      <w:r w:rsidR="00EF53FF" w:rsidRPr="0038073D">
        <w:t>a</w:t>
      </w:r>
      <w:r w:rsidR="00C70643" w:rsidRPr="0038073D">
        <w:t xml:space="preserve">, and is representative of the appearance of all </w:t>
      </w:r>
      <w:r w:rsidR="004945B2" w:rsidRPr="0038073D">
        <w:t xml:space="preserve">the </w:t>
      </w:r>
      <w:r w:rsidR="00C70643" w:rsidRPr="0038073D">
        <w:t>com</w:t>
      </w:r>
      <w:r w:rsidR="004945B2" w:rsidRPr="0038073D">
        <w:t>p</w:t>
      </w:r>
      <w:r w:rsidR="00C70643" w:rsidRPr="0038073D">
        <w:t>osites</w:t>
      </w:r>
      <w:r w:rsidR="004945B2" w:rsidRPr="0038073D">
        <w:t xml:space="preserve"> prepared </w:t>
      </w:r>
      <w:r w:rsidR="00FE3D3E">
        <w:t>in</w:t>
      </w:r>
      <w:r w:rsidR="004945B2" w:rsidRPr="0038073D">
        <w:t xml:space="preserve"> this work</w:t>
      </w:r>
      <w:r w:rsidR="00672CEE" w:rsidRPr="0038073D">
        <w:t>. The</w:t>
      </w:r>
      <w:r w:rsidR="00C70643" w:rsidRPr="0038073D">
        <w:t>se</w:t>
      </w:r>
      <w:r w:rsidR="00672CEE" w:rsidRPr="0038073D">
        <w:t xml:space="preserve"> were trans</w:t>
      </w:r>
      <w:r w:rsidRPr="0038073D">
        <w:t>lucent</w:t>
      </w:r>
      <w:r w:rsidR="00672CEE" w:rsidRPr="0038073D">
        <w:t xml:space="preserve">, </w:t>
      </w:r>
      <w:r w:rsidR="00C70643" w:rsidRPr="0038073D">
        <w:t xml:space="preserve">and </w:t>
      </w:r>
      <w:r w:rsidR="00672CEE" w:rsidRPr="0038073D">
        <w:t>the surface exposed to air during drying</w:t>
      </w:r>
      <w:r w:rsidR="00E107BA" w:rsidRPr="0038073D">
        <w:t xml:space="preserve"> was</w:t>
      </w:r>
      <w:r w:rsidR="00672CEE" w:rsidRPr="0038073D">
        <w:t xml:space="preserve"> rough</w:t>
      </w:r>
      <w:r w:rsidRPr="0038073D">
        <w:t xml:space="preserve">, diffusing </w:t>
      </w:r>
      <w:r w:rsidR="00672CEE" w:rsidRPr="0038073D">
        <w:t>light.</w:t>
      </w:r>
      <w:r w:rsidR="00672CEE">
        <w:t xml:space="preserve"> </w:t>
      </w:r>
      <w:r w:rsidR="004945B2">
        <w:t>When the surface was observed by optical microscopy</w:t>
      </w:r>
      <w:r w:rsidR="00EF53FF">
        <w:t xml:space="preserve"> </w:t>
      </w:r>
      <w:r w:rsidR="007D018E">
        <w:t>(</w:t>
      </w:r>
      <w:r w:rsidR="00EF53FF">
        <w:fldChar w:fldCharType="begin"/>
      </w:r>
      <w:r w:rsidR="00EF53FF">
        <w:instrText xml:space="preserve"> REF _Ref94025170 </w:instrText>
      </w:r>
      <w:r w:rsidR="00EF53FF">
        <w:fldChar w:fldCharType="separate"/>
      </w:r>
      <w:r w:rsidR="003E4DAD">
        <w:t xml:space="preserve">Figure </w:t>
      </w:r>
      <w:r w:rsidR="003E4DAD">
        <w:rPr>
          <w:noProof/>
        </w:rPr>
        <w:t>4</w:t>
      </w:r>
      <w:r w:rsidR="00EF53FF">
        <w:fldChar w:fldCharType="end"/>
      </w:r>
      <w:r w:rsidR="00EF53FF">
        <w:t>b</w:t>
      </w:r>
      <w:r w:rsidR="007D018E">
        <w:t>)</w:t>
      </w:r>
      <w:r w:rsidR="004945B2">
        <w:t>, the structure formed by MFC was visible.</w:t>
      </w:r>
      <w:r w:rsidR="00F43D42">
        <w:t xml:space="preserve"> The MFC was well dispersed in the polymer matrix.</w:t>
      </w:r>
    </w:p>
    <w:p w14:paraId="7F8CA9CE" w14:textId="525B51C0" w:rsidR="0019205B" w:rsidRDefault="0019205B" w:rsidP="0019205B">
      <w:pPr>
        <w:pStyle w:val="CETBodytext"/>
      </w:pPr>
    </w:p>
    <w:p w14:paraId="145C0DCA" w14:textId="6AECBABD" w:rsidR="0019205B" w:rsidRDefault="00EF53FF" w:rsidP="00EF53FF">
      <w:pPr>
        <w:pStyle w:val="CETBodytext"/>
      </w:pPr>
      <w:r w:rsidRPr="00EF53FF">
        <w:t>(a</w:t>
      </w:r>
      <w:r>
        <w:t xml:space="preserve">) </w:t>
      </w:r>
      <w:r w:rsidR="00D97D78">
        <w:rPr>
          <w:noProof/>
          <w:lang w:val="fr-FR" w:eastAsia="fr-FR"/>
        </w:rPr>
        <w:drawing>
          <wp:inline distT="0" distB="0" distL="0" distR="0" wp14:anchorId="7654D98D" wp14:editId="0B790F5D">
            <wp:extent cx="1376649" cy="1440000"/>
            <wp:effectExtent l="0" t="0" r="0" b="8255"/>
            <wp:docPr id="9" name="Immagine 9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5" t="4826" r="4313" b="9719"/>
                    <a:stretch/>
                  </pic:blipFill>
                  <pic:spPr bwMode="auto">
                    <a:xfrm>
                      <a:off x="0" y="0"/>
                      <a:ext cx="137664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(b) </w:t>
      </w:r>
      <w:r>
        <w:rPr>
          <w:noProof/>
          <w:lang w:val="fr-FR" w:eastAsia="fr-FR"/>
        </w:rPr>
        <w:drawing>
          <wp:inline distT="0" distB="0" distL="0" distR="0" wp14:anchorId="17152BE2" wp14:editId="329C326F">
            <wp:extent cx="1924745" cy="1440000"/>
            <wp:effectExtent l="0" t="0" r="0" b="8255"/>
            <wp:docPr id="8" name="Picture 8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outdoor, sig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74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88B0" w14:textId="69DF4E21" w:rsidR="0019205B" w:rsidRDefault="00F36741" w:rsidP="00F36741">
      <w:pPr>
        <w:pStyle w:val="CETCaption"/>
      </w:pPr>
      <w:bookmarkStart w:id="7" w:name="_Ref9402517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3E4DAD">
        <w:rPr>
          <w:noProof/>
        </w:rPr>
        <w:t>4</w:t>
      </w:r>
      <w:r>
        <w:fldChar w:fldCharType="end"/>
      </w:r>
      <w:bookmarkEnd w:id="7"/>
      <w:r w:rsidR="00B1457D">
        <w:t xml:space="preserve">. </w:t>
      </w:r>
      <w:r w:rsidR="0072022D">
        <w:t>poly(</w:t>
      </w:r>
      <w:r w:rsidR="00B1457D">
        <w:t>EDMA-co-CMA</w:t>
      </w:r>
      <w:r w:rsidR="0072022D">
        <w:t>)</w:t>
      </w:r>
      <w:r w:rsidR="00B1457D">
        <w:t xml:space="preserve"> composite </w:t>
      </w:r>
      <w:r w:rsidR="0050635A">
        <w:t>with</w:t>
      </w:r>
      <w:r w:rsidR="00B1457D">
        <w:t xml:space="preserve"> 30 wt% MFC</w:t>
      </w:r>
      <w:r w:rsidR="00EF53FF">
        <w:t>: (a) photo and (b) optical micrograph of the surface</w:t>
      </w:r>
    </w:p>
    <w:p w14:paraId="516DFA30" w14:textId="3526786C" w:rsidR="00E44842" w:rsidRDefault="00272288" w:rsidP="00E44842">
      <w:pPr>
        <w:pStyle w:val="CETBodytext"/>
      </w:pPr>
      <w:r>
        <w:t>With the neat polymer latexes</w:t>
      </w:r>
      <w:r w:rsidR="00BD75E2">
        <w:t>,</w:t>
      </w:r>
      <w:r>
        <w:t xml:space="preserve"> it was not possible to obtain defect-free films suitable for permeability measurements. Thus</w:t>
      </w:r>
      <w:r w:rsidR="00E44842">
        <w:t>,</w:t>
      </w:r>
      <w:r>
        <w:t xml:space="preserve"> the tests were performed on composi</w:t>
      </w:r>
      <w:r w:rsidR="005A62FA">
        <w:t xml:space="preserve">te films only. </w:t>
      </w:r>
      <w:r w:rsidR="00B577C1">
        <w:t xml:space="preserve">First, the effect of </w:t>
      </w:r>
      <w:r w:rsidR="00B577C1" w:rsidRPr="00132BDE">
        <w:t xml:space="preserve">the </w:t>
      </w:r>
      <w:r w:rsidR="008A7BB7" w:rsidRPr="00132BDE">
        <w:t xml:space="preserve">inclusion of CMA in the polymer </w:t>
      </w:r>
      <w:r w:rsidR="00132BDE" w:rsidRPr="00132BDE">
        <w:t>structure</w:t>
      </w:r>
      <w:r w:rsidR="00132BDE">
        <w:t>,</w:t>
      </w:r>
      <w:r w:rsidR="008A7BB7" w:rsidRPr="00132BDE">
        <w:t xml:space="preserve"> an</w:t>
      </w:r>
      <w:r w:rsidR="008A7BB7">
        <w:t xml:space="preserve">d </w:t>
      </w:r>
      <w:r w:rsidR="00132BDE">
        <w:t xml:space="preserve">the influence of the </w:t>
      </w:r>
      <w:r w:rsidR="00B577C1">
        <w:t xml:space="preserve">MFC </w:t>
      </w:r>
      <w:r w:rsidR="00132BDE">
        <w:t xml:space="preserve">weight fraction </w:t>
      </w:r>
      <w:r w:rsidR="00B577C1">
        <w:t xml:space="preserve">on the permeability of </w:t>
      </w:r>
      <w:r w:rsidR="00F6192D">
        <w:t>non-irradiated</w:t>
      </w:r>
      <w:r w:rsidR="00B577C1">
        <w:t xml:space="preserve"> (thus not crosslinked) </w:t>
      </w:r>
      <w:r w:rsidR="005A10F3">
        <w:t>poly(EDMA) and poly(EDMA-</w:t>
      </w:r>
      <w:r w:rsidR="005A10F3" w:rsidRPr="00AB415C">
        <w:rPr>
          <w:i/>
        </w:rPr>
        <w:t>co</w:t>
      </w:r>
      <w:r w:rsidR="005A10F3">
        <w:t xml:space="preserve">-CMA) </w:t>
      </w:r>
      <w:r w:rsidR="00B577C1">
        <w:t xml:space="preserve">composite films </w:t>
      </w:r>
      <w:r w:rsidR="002819D5">
        <w:t>were</w:t>
      </w:r>
      <w:r w:rsidR="00B577C1">
        <w:t xml:space="preserve"> assessed. </w:t>
      </w:r>
      <w:r w:rsidR="00703D65">
        <w:t>T</w:t>
      </w:r>
      <w:r w:rsidR="001A397E">
        <w:t xml:space="preserve">he </w:t>
      </w:r>
      <w:r w:rsidR="00703D65">
        <w:t xml:space="preserve">values </w:t>
      </w:r>
      <w:r w:rsidR="00F6192D">
        <w:t xml:space="preserve">of </w:t>
      </w:r>
      <w:r w:rsidR="00703D65">
        <w:t xml:space="preserve">OTR and </w:t>
      </w:r>
      <w:r w:rsidR="001A397E">
        <w:t>OTR</w:t>
      </w:r>
      <w:r w:rsidR="001A397E" w:rsidRPr="001A397E">
        <w:rPr>
          <w:vertAlign w:val="subscript"/>
        </w:rPr>
        <w:t>25</w:t>
      </w:r>
      <w:r w:rsidR="001A397E">
        <w:t xml:space="preserve"> </w:t>
      </w:r>
      <w:r w:rsidR="00FC798E">
        <w:t xml:space="preserve">and </w:t>
      </w:r>
      <w:r w:rsidR="00FC798E" w:rsidRPr="00292611">
        <w:t>the values of the diffusion coefficient</w:t>
      </w:r>
      <w:r w:rsidR="00FC798E">
        <w:t xml:space="preserve">s </w:t>
      </w:r>
      <w:r w:rsidR="00FC798E" w:rsidRPr="00F77C74">
        <w:rPr>
          <w:i/>
          <w:iCs/>
        </w:rPr>
        <w:t>D</w:t>
      </w:r>
      <w:r w:rsidR="00FC798E" w:rsidRPr="00292611">
        <w:t xml:space="preserve"> estimated with the time-lag method </w:t>
      </w:r>
      <w:r w:rsidR="00703D65">
        <w:t>are</w:t>
      </w:r>
      <w:r w:rsidR="001A397E">
        <w:t xml:space="preserve"> reported in Table</w:t>
      </w:r>
      <w:r w:rsidR="006349BB">
        <w:t xml:space="preserve"> </w:t>
      </w:r>
      <w:r w:rsidR="001A397E">
        <w:t>1</w:t>
      </w:r>
      <w:r w:rsidR="00E44842">
        <w:t>.</w:t>
      </w:r>
      <w:r w:rsidR="008A7BB7">
        <w:t xml:space="preserve"> </w:t>
      </w:r>
    </w:p>
    <w:p w14:paraId="1FDC5595" w14:textId="34E71A27" w:rsidR="00B577C1" w:rsidRPr="00B57B36" w:rsidRDefault="00B577C1" w:rsidP="00B577C1">
      <w:pPr>
        <w:pStyle w:val="CETTabletitle"/>
      </w:pPr>
      <w:r w:rsidRPr="00B57B36">
        <w:lastRenderedPageBreak/>
        <w:t xml:space="preserve">Table 1: </w:t>
      </w:r>
      <w:r>
        <w:t>Oxygen transmission rates</w:t>
      </w:r>
      <w:r w:rsidR="00FC798E">
        <w:t xml:space="preserve"> (OTR) and diffusion coefficients (D)</w:t>
      </w:r>
      <w:r>
        <w:t xml:space="preserve"> of </w:t>
      </w:r>
      <w:r w:rsidR="00F6192D">
        <w:t>poly(</w:t>
      </w:r>
      <w:r>
        <w:t>EDMA</w:t>
      </w:r>
      <w:r w:rsidR="00F6192D">
        <w:t>)</w:t>
      </w:r>
      <w:r>
        <w:t xml:space="preserve"> and </w:t>
      </w:r>
      <w:r w:rsidR="00F6192D">
        <w:t>poly(</w:t>
      </w:r>
      <w:r>
        <w:t>EDMA-co-CMA</w:t>
      </w:r>
      <w:r w:rsidR="00F6192D">
        <w:t>)</w:t>
      </w:r>
      <w:r>
        <w:t xml:space="preserve"> composites before irradiation </w:t>
      </w:r>
    </w:p>
    <w:tbl>
      <w:tblPr>
        <w:tblW w:w="5001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1085"/>
        <w:gridCol w:w="1464"/>
        <w:gridCol w:w="1464"/>
        <w:gridCol w:w="1466"/>
        <w:gridCol w:w="1466"/>
      </w:tblGrid>
      <w:tr w:rsidR="00FC798E" w:rsidRPr="00B57B36" w14:paraId="1142578D" w14:textId="29221D27" w:rsidTr="00FC798E">
        <w:tc>
          <w:tcPr>
            <w:tcW w:w="104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2CBEEF9" w14:textId="4F17537F" w:rsidR="00FC798E" w:rsidRPr="00B57B36" w:rsidRDefault="00FC798E" w:rsidP="00FC798E">
            <w:pPr>
              <w:pStyle w:val="CETBodytext"/>
              <w:rPr>
                <w:lang w:val="en-GB"/>
              </w:rPr>
            </w:pPr>
          </w:p>
        </w:tc>
        <w:tc>
          <w:tcPr>
            <w:tcW w:w="61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49BA8FD" w14:textId="07145E12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MFC [wt%]</w:t>
            </w:r>
          </w:p>
        </w:tc>
        <w:tc>
          <w:tcPr>
            <w:tcW w:w="83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2AEC648" w14:textId="2742193E" w:rsidR="00FC798E" w:rsidRPr="00B57B36" w:rsidRDefault="00FC798E" w:rsidP="00FC798E">
            <w:pPr>
              <w:pStyle w:val="CETBodytext"/>
              <w:rPr>
                <w:lang w:val="en-GB"/>
              </w:rPr>
            </w:pPr>
            <w:r w:rsidRPr="006675A9">
              <w:t>Thickness [μm]</w:t>
            </w:r>
          </w:p>
        </w:tc>
        <w:tc>
          <w:tcPr>
            <w:tcW w:w="83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5F97FDD" w14:textId="2DCF2223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675A9">
              <w:t>OTR [cc/m</w:t>
            </w:r>
            <w:r w:rsidRPr="00652396">
              <w:rPr>
                <w:vertAlign w:val="superscript"/>
              </w:rPr>
              <w:t>2</w:t>
            </w:r>
            <w:r w:rsidRPr="006675A9">
              <w:t xml:space="preserve"> d]</w:t>
            </w:r>
          </w:p>
        </w:tc>
        <w:tc>
          <w:tcPr>
            <w:tcW w:w="83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FAB149A" w14:textId="7E5D5E8B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675A9">
              <w:t>OTR</w:t>
            </w:r>
            <w:r w:rsidRPr="00652396">
              <w:rPr>
                <w:vertAlign w:val="subscript"/>
              </w:rPr>
              <w:t>25</w:t>
            </w:r>
            <w:r w:rsidRPr="006675A9">
              <w:t xml:space="preserve"> [cc/m</w:t>
            </w:r>
            <w:r w:rsidRPr="00652396">
              <w:rPr>
                <w:vertAlign w:val="superscript"/>
              </w:rPr>
              <w:t>2</w:t>
            </w:r>
            <w:r w:rsidRPr="006675A9">
              <w:t xml:space="preserve"> d]</w:t>
            </w:r>
          </w:p>
        </w:tc>
        <w:tc>
          <w:tcPr>
            <w:tcW w:w="83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0FD8518" w14:textId="5DE9531D" w:rsidR="00FC798E" w:rsidRPr="006675A9" w:rsidRDefault="00FC798E" w:rsidP="00FC798E">
            <w:pPr>
              <w:pStyle w:val="CETBodytext"/>
              <w:ind w:right="-1"/>
            </w:pPr>
            <w:r w:rsidRPr="00C41235">
              <w:rPr>
                <w:lang w:val="en-GB"/>
              </w:rPr>
              <w:t>D [cm</w:t>
            </w:r>
            <w:r w:rsidRPr="00C41235">
              <w:rPr>
                <w:vertAlign w:val="superscript"/>
                <w:lang w:val="en-GB"/>
              </w:rPr>
              <w:t>2</w:t>
            </w:r>
            <w:r w:rsidRPr="00C41235">
              <w:rPr>
                <w:lang w:val="en-GB"/>
              </w:rPr>
              <w:t>/s]</w:t>
            </w:r>
          </w:p>
        </w:tc>
      </w:tr>
      <w:tr w:rsidR="00FC798E" w:rsidRPr="00B57B36" w14:paraId="34B12F85" w14:textId="51B57898" w:rsidTr="00FC798E">
        <w:tc>
          <w:tcPr>
            <w:tcW w:w="1049" w:type="pct"/>
            <w:shd w:val="clear" w:color="auto" w:fill="FFFFFF"/>
          </w:tcPr>
          <w:p w14:paraId="39257C96" w14:textId="27842DCB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Poly(EDMA)</w:t>
            </w:r>
          </w:p>
        </w:tc>
        <w:tc>
          <w:tcPr>
            <w:tcW w:w="617" w:type="pct"/>
            <w:shd w:val="clear" w:color="auto" w:fill="FFFFFF"/>
          </w:tcPr>
          <w:p w14:paraId="6E296174" w14:textId="706F0DD8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833" w:type="pct"/>
            <w:shd w:val="clear" w:color="auto" w:fill="FFFFFF"/>
          </w:tcPr>
          <w:p w14:paraId="448C8C9C" w14:textId="5D4AA312" w:rsidR="00FC798E" w:rsidRPr="00B57B36" w:rsidRDefault="00FC798E" w:rsidP="00FC798E">
            <w:pPr>
              <w:pStyle w:val="CETBodytext"/>
              <w:rPr>
                <w:lang w:val="en-GB"/>
              </w:rPr>
            </w:pPr>
            <w:r w:rsidRPr="00C7673D">
              <w:t>143 ± 1</w:t>
            </w:r>
          </w:p>
        </w:tc>
        <w:tc>
          <w:tcPr>
            <w:tcW w:w="833" w:type="pct"/>
            <w:shd w:val="clear" w:color="auto" w:fill="FFFFFF"/>
          </w:tcPr>
          <w:p w14:paraId="5EFB250C" w14:textId="135EBF09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7673D">
              <w:t>998</w:t>
            </w:r>
          </w:p>
        </w:tc>
        <w:tc>
          <w:tcPr>
            <w:tcW w:w="834" w:type="pct"/>
            <w:shd w:val="clear" w:color="auto" w:fill="FFFFFF"/>
          </w:tcPr>
          <w:p w14:paraId="63C9182C" w14:textId="6206C863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7673D">
              <w:t>5713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3C07307D" w14:textId="61C9A606" w:rsidR="00FC798E" w:rsidRPr="00C7673D" w:rsidRDefault="00FC798E" w:rsidP="00FC798E">
            <w:pPr>
              <w:pStyle w:val="CETBodytext"/>
              <w:ind w:right="-1"/>
            </w:pPr>
            <w:r w:rsidRPr="00C41235">
              <w:rPr>
                <w:lang w:val="en-GB"/>
              </w:rPr>
              <w:t>5</w:t>
            </w:r>
            <w:r>
              <w:rPr>
                <w:lang w:val="en-GB"/>
              </w:rPr>
              <w:t>.</w:t>
            </w:r>
            <w:r w:rsidRPr="00C41235">
              <w:rPr>
                <w:lang w:val="en-GB"/>
              </w:rPr>
              <w:t>5 ·10</w:t>
            </w:r>
            <w:r w:rsidRPr="00C41235">
              <w:rPr>
                <w:vertAlign w:val="superscript"/>
                <w:lang w:val="en-GB"/>
              </w:rPr>
              <w:t>-8</w:t>
            </w:r>
          </w:p>
        </w:tc>
      </w:tr>
      <w:tr w:rsidR="00FC798E" w:rsidRPr="00B57B36" w14:paraId="6D2B5E8E" w14:textId="69364EEA" w:rsidTr="00FC798E">
        <w:tc>
          <w:tcPr>
            <w:tcW w:w="1049" w:type="pct"/>
            <w:shd w:val="clear" w:color="auto" w:fill="FFFFFF"/>
          </w:tcPr>
          <w:p w14:paraId="29EA1EFC" w14:textId="11E956E5" w:rsidR="00FC798E" w:rsidRDefault="00FC798E" w:rsidP="00FC798E">
            <w:pPr>
              <w:pStyle w:val="CETBodytext"/>
              <w:rPr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Poly(EDMA-</w:t>
            </w:r>
            <w:r w:rsidRPr="00D71E28">
              <w:rPr>
                <w:rFonts w:cs="Arial"/>
                <w:i/>
                <w:szCs w:val="18"/>
                <w:lang w:val="en-GB"/>
              </w:rPr>
              <w:t>co</w:t>
            </w:r>
            <w:r>
              <w:rPr>
                <w:rFonts w:cs="Arial"/>
                <w:szCs w:val="18"/>
                <w:lang w:val="en-GB"/>
              </w:rPr>
              <w:t>-CMA)</w:t>
            </w:r>
          </w:p>
        </w:tc>
        <w:tc>
          <w:tcPr>
            <w:tcW w:w="617" w:type="pct"/>
            <w:shd w:val="clear" w:color="auto" w:fill="FFFFFF"/>
          </w:tcPr>
          <w:p w14:paraId="15B3735B" w14:textId="1E95CDF5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05D1A51" w14:textId="644EE75F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t>128 ± 5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EC74801" w14:textId="420F1F9F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25662">
              <w:t>56</w:t>
            </w:r>
            <w:r>
              <w:t>1</w:t>
            </w:r>
          </w:p>
        </w:tc>
        <w:tc>
          <w:tcPr>
            <w:tcW w:w="834" w:type="pct"/>
            <w:shd w:val="clear" w:color="auto" w:fill="FFFFFF"/>
          </w:tcPr>
          <w:p w14:paraId="2E221925" w14:textId="36282B48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25662">
              <w:t>2870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62BA1CD7" w14:textId="0FF31225" w:rsidR="00FC798E" w:rsidRPr="00C25662" w:rsidRDefault="00FC798E" w:rsidP="00FC798E">
            <w:pPr>
              <w:pStyle w:val="CETBodytext"/>
              <w:ind w:right="-1"/>
            </w:pPr>
            <w:r>
              <w:t>3.5 ·10</w:t>
            </w:r>
            <w:r w:rsidRPr="002542D9">
              <w:rPr>
                <w:vertAlign w:val="superscript"/>
              </w:rPr>
              <w:t>-</w:t>
            </w:r>
            <w:r>
              <w:rPr>
                <w:vertAlign w:val="superscript"/>
              </w:rPr>
              <w:t>8</w:t>
            </w:r>
          </w:p>
        </w:tc>
      </w:tr>
      <w:tr w:rsidR="00FC798E" w:rsidRPr="00B57B36" w14:paraId="47065071" w14:textId="7F39C31A" w:rsidTr="00FC798E">
        <w:tc>
          <w:tcPr>
            <w:tcW w:w="1049" w:type="pct"/>
            <w:shd w:val="clear" w:color="auto" w:fill="FFFFFF"/>
          </w:tcPr>
          <w:p w14:paraId="2BD6C021" w14:textId="775F8AF1" w:rsidR="00FC798E" w:rsidRDefault="00FC798E" w:rsidP="00FC798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Poly(EDMA)</w:t>
            </w:r>
          </w:p>
        </w:tc>
        <w:tc>
          <w:tcPr>
            <w:tcW w:w="617" w:type="pct"/>
            <w:shd w:val="clear" w:color="auto" w:fill="FFFFFF"/>
          </w:tcPr>
          <w:p w14:paraId="68957FC3" w14:textId="2131122F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A534A82" w14:textId="0130B14D" w:rsidR="00FC798E" w:rsidRPr="00B57B36" w:rsidRDefault="00FC798E" w:rsidP="00FC798E">
            <w:pPr>
              <w:pStyle w:val="CETBodytext"/>
              <w:rPr>
                <w:lang w:val="en-GB"/>
              </w:rPr>
            </w:pPr>
            <w:r>
              <w:t>55 ± 3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85E41ED" w14:textId="440E844E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25662">
              <w:t>82</w:t>
            </w:r>
            <w:r>
              <w:t>3</w:t>
            </w:r>
          </w:p>
        </w:tc>
        <w:tc>
          <w:tcPr>
            <w:tcW w:w="834" w:type="pct"/>
            <w:shd w:val="clear" w:color="auto" w:fill="FFFFFF"/>
          </w:tcPr>
          <w:p w14:paraId="53142618" w14:textId="2E3EBB53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C25662">
              <w:t>181</w:t>
            </w:r>
            <w:r>
              <w:t>6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79D6BF1A" w14:textId="7B0BC05F" w:rsidR="00FC798E" w:rsidRPr="00C25662" w:rsidRDefault="00FC798E" w:rsidP="00FC798E">
            <w:pPr>
              <w:pStyle w:val="CETBodytext"/>
              <w:ind w:right="-1"/>
            </w:pPr>
            <w:r>
              <w:t>8.8 ·10</w:t>
            </w:r>
            <w:r w:rsidRPr="002542D9">
              <w:rPr>
                <w:vertAlign w:val="superscript"/>
              </w:rPr>
              <w:t>-9</w:t>
            </w:r>
          </w:p>
        </w:tc>
      </w:tr>
      <w:tr w:rsidR="00FC798E" w:rsidRPr="00B57B36" w14:paraId="2BE39997" w14:textId="77E00653" w:rsidTr="00FC798E">
        <w:tc>
          <w:tcPr>
            <w:tcW w:w="1049" w:type="pct"/>
            <w:shd w:val="clear" w:color="auto" w:fill="FFFFFF"/>
          </w:tcPr>
          <w:p w14:paraId="0C78CB80" w14:textId="7D7FB484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Poly(EDMA-</w:t>
            </w:r>
            <w:r w:rsidRPr="00D71E28">
              <w:rPr>
                <w:rFonts w:cs="Arial"/>
                <w:i/>
                <w:szCs w:val="18"/>
                <w:lang w:val="en-GB"/>
              </w:rPr>
              <w:t>co</w:t>
            </w:r>
            <w:r>
              <w:rPr>
                <w:rFonts w:cs="Arial"/>
                <w:szCs w:val="18"/>
                <w:lang w:val="en-GB"/>
              </w:rPr>
              <w:t>-CMA)</w:t>
            </w:r>
          </w:p>
        </w:tc>
        <w:tc>
          <w:tcPr>
            <w:tcW w:w="617" w:type="pct"/>
            <w:shd w:val="clear" w:color="auto" w:fill="FFFFFF"/>
          </w:tcPr>
          <w:p w14:paraId="11239A3C" w14:textId="51BEAC7A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30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1DE0B422" w14:textId="3CB85801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52 ± 4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06B4901" w14:textId="0714EA32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399</w:t>
            </w:r>
          </w:p>
        </w:tc>
        <w:tc>
          <w:tcPr>
            <w:tcW w:w="834" w:type="pct"/>
            <w:shd w:val="clear" w:color="auto" w:fill="FFFFFF"/>
          </w:tcPr>
          <w:p w14:paraId="3EDC7E3C" w14:textId="48692CBF" w:rsidR="00FC798E" w:rsidRPr="00B57B36" w:rsidRDefault="00FC798E" w:rsidP="00FC798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827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248D4098" w14:textId="0CDFFFCA" w:rsidR="00FC798E" w:rsidRDefault="00FC798E" w:rsidP="00FC798E">
            <w:pPr>
              <w:pStyle w:val="CETBodytext"/>
              <w:ind w:right="-1"/>
            </w:pPr>
            <w:r>
              <w:t>7.2 ·10</w:t>
            </w:r>
            <w:r w:rsidRPr="002542D9">
              <w:rPr>
                <w:vertAlign w:val="superscript"/>
              </w:rPr>
              <w:t>-9</w:t>
            </w:r>
          </w:p>
        </w:tc>
      </w:tr>
    </w:tbl>
    <w:p w14:paraId="664929FA" w14:textId="7ADDA093" w:rsidR="00B577C1" w:rsidRDefault="00B577C1" w:rsidP="00E44842">
      <w:pPr>
        <w:pStyle w:val="CETBodytext"/>
      </w:pPr>
    </w:p>
    <w:p w14:paraId="01143CEB" w14:textId="361189B3" w:rsidR="00272288" w:rsidRDefault="00C41235" w:rsidP="00CC2980">
      <w:pPr>
        <w:pStyle w:val="CETBodytext"/>
      </w:pPr>
      <w:r>
        <w:t xml:space="preserve">The </w:t>
      </w:r>
      <w:r w:rsidR="0072022D">
        <w:t>poly(EDMA-</w:t>
      </w:r>
      <w:r w:rsidR="0072022D" w:rsidRPr="00D71E28">
        <w:rPr>
          <w:i/>
        </w:rPr>
        <w:t>co</w:t>
      </w:r>
      <w:r w:rsidR="0072022D">
        <w:t>-CMA)</w:t>
      </w:r>
      <w:r>
        <w:t xml:space="preserve"> composites showed better oxygen barrier properties than </w:t>
      </w:r>
      <w:r w:rsidR="009E3EC6">
        <w:t>poly(EDMA)</w:t>
      </w:r>
      <w:r>
        <w:t xml:space="preserve"> composites. Comparing the values obtained for the composites with 5 </w:t>
      </w:r>
      <w:r w:rsidR="002B6204">
        <w:t>wt</w:t>
      </w:r>
      <w:r>
        <w:t>% MFC content, the OTR</w:t>
      </w:r>
      <w:r w:rsidRPr="006349BB">
        <w:rPr>
          <w:vertAlign w:val="subscript"/>
        </w:rPr>
        <w:t>25</w:t>
      </w:r>
      <w:r>
        <w:t xml:space="preserve"> decreased by 50 % when </w:t>
      </w:r>
      <w:r w:rsidR="0072022D">
        <w:t>poly(EDMA-</w:t>
      </w:r>
      <w:r w:rsidR="0072022D" w:rsidRPr="00D71E28">
        <w:rPr>
          <w:i/>
        </w:rPr>
        <w:t>co</w:t>
      </w:r>
      <w:r w:rsidR="0072022D">
        <w:t>-CMA)</w:t>
      </w:r>
      <w:r>
        <w:t xml:space="preserve"> was used as matrix, compared to the value obtained using </w:t>
      </w:r>
      <w:r w:rsidR="009E3EC6">
        <w:t>poly(EDMA)</w:t>
      </w:r>
      <w:r>
        <w:t xml:space="preserve"> as a matrix. For the composites containing 30 </w:t>
      </w:r>
      <w:r w:rsidR="002B6204">
        <w:t>wt</w:t>
      </w:r>
      <w:r>
        <w:t>% of MFC, the presence of the CMA moieties in the copolymer resulted in a decrease of more than 54</w:t>
      </w:r>
      <w:r w:rsidR="005B6476">
        <w:t xml:space="preserve"> </w:t>
      </w:r>
      <w:r>
        <w:t>% of the OTR</w:t>
      </w:r>
      <w:r w:rsidRPr="006349BB">
        <w:rPr>
          <w:vertAlign w:val="subscript"/>
        </w:rPr>
        <w:t>25</w:t>
      </w:r>
      <w:r>
        <w:t>.</w:t>
      </w:r>
      <w:r w:rsidR="002106AB">
        <w:t xml:space="preserve"> Comparing the values of the</w:t>
      </w:r>
      <w:r w:rsidR="002106AB" w:rsidRPr="00035905">
        <w:t xml:space="preserve"> diffusion coefficients</w:t>
      </w:r>
      <w:r w:rsidR="008D0CA2">
        <w:t>, also</w:t>
      </w:r>
      <w:r w:rsidR="002106AB">
        <w:t xml:space="preserve"> reported </w:t>
      </w:r>
      <w:r w:rsidR="002106AB" w:rsidRPr="009C6E50">
        <w:t xml:space="preserve">in </w:t>
      </w:r>
      <w:r w:rsidR="002106AB">
        <w:t xml:space="preserve">Table </w:t>
      </w:r>
      <w:r w:rsidR="008D0CA2">
        <w:t>1</w:t>
      </w:r>
      <w:r w:rsidR="002106AB" w:rsidRPr="009C6E50">
        <w:t xml:space="preserve">, </w:t>
      </w:r>
      <w:r w:rsidR="002106AB">
        <w:t>however, th</w:t>
      </w:r>
      <w:r w:rsidR="002106AB" w:rsidRPr="009C6E50">
        <w:t>e</w:t>
      </w:r>
      <w:r w:rsidR="002106AB" w:rsidRPr="00035905">
        <w:t xml:space="preserve"> </w:t>
      </w:r>
      <w:r w:rsidR="002106AB">
        <w:t>differences between the results obtained with the two polymers are not as pronounced</w:t>
      </w:r>
      <w:r w:rsidR="002106AB" w:rsidRPr="00035905">
        <w:t xml:space="preserve">. </w:t>
      </w:r>
      <w:r w:rsidR="002106AB">
        <w:t>For</w:t>
      </w:r>
      <w:r w:rsidR="002106AB" w:rsidRPr="00035905">
        <w:t xml:space="preserve"> the composites with 5</w:t>
      </w:r>
      <w:r w:rsidR="002106AB">
        <w:t xml:space="preserve"> </w:t>
      </w:r>
      <w:r w:rsidR="002B6204">
        <w:t>wt</w:t>
      </w:r>
      <w:r w:rsidR="002106AB" w:rsidRPr="00035905">
        <w:t xml:space="preserve">% of MFC content, the diffusion coefficient </w:t>
      </w:r>
      <w:r w:rsidR="002106AB">
        <w:t xml:space="preserve">was 36 </w:t>
      </w:r>
      <w:r w:rsidR="002106AB" w:rsidRPr="00035905">
        <w:t>%</w:t>
      </w:r>
      <w:r w:rsidR="002106AB">
        <w:t xml:space="preserve"> lower for the </w:t>
      </w:r>
      <w:r w:rsidR="0072022D">
        <w:t>poly(EDMA-</w:t>
      </w:r>
      <w:r w:rsidR="0072022D" w:rsidRPr="00D71E28">
        <w:rPr>
          <w:i/>
        </w:rPr>
        <w:t>co</w:t>
      </w:r>
      <w:r w:rsidR="0072022D">
        <w:t>-CMA)</w:t>
      </w:r>
      <w:r w:rsidR="002106AB">
        <w:t xml:space="preserve"> composites compared with the </w:t>
      </w:r>
      <w:r w:rsidR="009E3EC6">
        <w:t>poly(EDMA)</w:t>
      </w:r>
      <w:r w:rsidR="00C974C9">
        <w:t xml:space="preserve"> ones, </w:t>
      </w:r>
      <w:r w:rsidR="002106AB">
        <w:t>while for the</w:t>
      </w:r>
      <w:r w:rsidR="002106AB" w:rsidRPr="00035905">
        <w:t xml:space="preserve"> composites with 30</w:t>
      </w:r>
      <w:r w:rsidR="00C974C9">
        <w:t xml:space="preserve"> </w:t>
      </w:r>
      <w:r w:rsidR="002B6204">
        <w:t>wt</w:t>
      </w:r>
      <w:r w:rsidR="002106AB" w:rsidRPr="00035905">
        <w:t xml:space="preserve">% of </w:t>
      </w:r>
      <w:r w:rsidR="00C974C9">
        <w:t>MFC</w:t>
      </w:r>
      <w:r w:rsidR="002106AB" w:rsidRPr="00035905">
        <w:t xml:space="preserve">, </w:t>
      </w:r>
      <w:r w:rsidR="00C974C9">
        <w:t>the</w:t>
      </w:r>
      <w:r w:rsidR="002106AB" w:rsidRPr="00035905">
        <w:t xml:space="preserve"> decrease </w:t>
      </w:r>
      <w:r w:rsidR="00C974C9">
        <w:t>amounted to</w:t>
      </w:r>
      <w:r w:rsidR="002106AB" w:rsidRPr="00035905">
        <w:t xml:space="preserve"> </w:t>
      </w:r>
      <w:r w:rsidR="002106AB">
        <w:t>only 18</w:t>
      </w:r>
      <w:r w:rsidR="005B6476">
        <w:t xml:space="preserve"> </w:t>
      </w:r>
      <w:r w:rsidR="002106AB">
        <w:t>%. T</w:t>
      </w:r>
      <w:r w:rsidR="002106AB" w:rsidRPr="00F23640">
        <w:t>h</w:t>
      </w:r>
      <w:r w:rsidR="00C974C9">
        <w:t>e</w:t>
      </w:r>
      <w:r w:rsidR="002106AB" w:rsidRPr="00F23640">
        <w:t xml:space="preserve"> weak</w:t>
      </w:r>
      <w:r w:rsidR="002106AB">
        <w:t>er</w:t>
      </w:r>
      <w:r w:rsidR="002106AB" w:rsidRPr="00F23640">
        <w:t xml:space="preserve"> effect </w:t>
      </w:r>
      <w:r w:rsidR="00C974C9">
        <w:t xml:space="preserve">of the presence of CMA </w:t>
      </w:r>
      <w:r w:rsidR="002106AB" w:rsidRPr="00F23640">
        <w:t>on the diffusion coefficient</w:t>
      </w:r>
      <w:r w:rsidR="00C974C9">
        <w:t xml:space="preserve"> with respect to the effect on OTR</w:t>
      </w:r>
      <w:r w:rsidR="002106AB" w:rsidRPr="00F23640">
        <w:t xml:space="preserve"> may </w:t>
      </w:r>
      <w:r w:rsidR="00C974C9">
        <w:t>imply</w:t>
      </w:r>
      <w:r w:rsidR="002106AB" w:rsidRPr="00F23640">
        <w:t xml:space="preserve"> that </w:t>
      </w:r>
      <w:r w:rsidR="00C974C9">
        <w:t>CMA</w:t>
      </w:r>
      <w:r w:rsidR="002106AB" w:rsidRPr="00F23640">
        <w:t xml:space="preserve"> improves</w:t>
      </w:r>
      <w:r w:rsidR="002106AB">
        <w:t xml:space="preserve"> the barrier properties by </w:t>
      </w:r>
      <w:r w:rsidR="00C974C9">
        <w:t>also</w:t>
      </w:r>
      <w:r w:rsidR="00C974C9" w:rsidRPr="00F23640">
        <w:t xml:space="preserve"> </w:t>
      </w:r>
      <w:r w:rsidR="002106AB" w:rsidRPr="00F23640">
        <w:t>acting</w:t>
      </w:r>
      <w:r w:rsidR="00C974C9" w:rsidRPr="00C974C9">
        <w:t xml:space="preserve"> </w:t>
      </w:r>
      <w:r w:rsidR="00C974C9" w:rsidRPr="00F23640">
        <w:t>on solubility</w:t>
      </w:r>
      <w:r w:rsidR="002106AB" w:rsidRPr="00F23640">
        <w:t>.</w:t>
      </w:r>
      <w:r w:rsidR="002106AB">
        <w:t xml:space="preserve"> </w:t>
      </w:r>
      <w:r w:rsidR="00C974C9">
        <w:t>Indeed, c</w:t>
      </w:r>
      <w:r w:rsidR="002106AB">
        <w:t xml:space="preserve">opolymerization with </w:t>
      </w:r>
      <w:r w:rsidR="00C974C9">
        <w:t>CMA</w:t>
      </w:r>
      <w:r w:rsidR="002106AB">
        <w:t xml:space="preserve"> </w:t>
      </w:r>
      <w:r w:rsidR="002106AB" w:rsidRPr="00F23640">
        <w:t>increases the number of polar groups in the polymer matrix</w:t>
      </w:r>
      <w:r w:rsidR="002106AB">
        <w:t xml:space="preserve"> and this </w:t>
      </w:r>
      <w:r w:rsidR="00C974C9">
        <w:t>might</w:t>
      </w:r>
      <w:r w:rsidR="002106AB">
        <w:t xml:space="preserve"> </w:t>
      </w:r>
      <w:r w:rsidR="00C974C9">
        <w:t>result in a</w:t>
      </w:r>
      <w:r w:rsidR="002106AB">
        <w:t xml:space="preserve"> decrease </w:t>
      </w:r>
      <w:r w:rsidR="002B4FC7">
        <w:t>in</w:t>
      </w:r>
      <w:r w:rsidR="002106AB">
        <w:t xml:space="preserve"> the solubility of non-polar penetrants</w:t>
      </w:r>
      <w:r w:rsidR="00C974C9">
        <w:t>,</w:t>
      </w:r>
      <w:r w:rsidR="002106AB">
        <w:t xml:space="preserve"> </w:t>
      </w:r>
      <w:r w:rsidR="00C974C9">
        <w:t>such as</w:t>
      </w:r>
      <w:r w:rsidR="002106AB">
        <w:t xml:space="preserve"> oxygen. Moreover</w:t>
      </w:r>
      <w:r w:rsidR="002106AB" w:rsidRPr="00595BBF">
        <w:t xml:space="preserve">, the presence of polar groups also </w:t>
      </w:r>
      <w:r w:rsidR="00C974C9">
        <w:t xml:space="preserve">favors </w:t>
      </w:r>
      <w:r w:rsidR="002106AB" w:rsidRPr="00595BBF">
        <w:t>weak interactions</w:t>
      </w:r>
      <w:r w:rsidR="002106AB">
        <w:t xml:space="preserve"> within the copolymer chains</w:t>
      </w:r>
      <w:r w:rsidR="00C974C9">
        <w:t xml:space="preserve">, </w:t>
      </w:r>
      <w:r w:rsidR="002106AB">
        <w:t>reduc</w:t>
      </w:r>
      <w:r w:rsidR="00C974C9">
        <w:t>ing</w:t>
      </w:r>
      <w:r w:rsidR="002106AB">
        <w:t xml:space="preserve"> the free volume of the polymer matrix</w:t>
      </w:r>
      <w:r w:rsidR="00C974C9">
        <w:t xml:space="preserve"> and</w:t>
      </w:r>
      <w:r w:rsidR="002106AB">
        <w:t xml:space="preserve"> </w:t>
      </w:r>
      <w:r w:rsidR="00C974C9">
        <w:t xml:space="preserve">thus </w:t>
      </w:r>
      <w:r w:rsidR="002106AB">
        <w:t>decreas</w:t>
      </w:r>
      <w:r w:rsidR="00C974C9">
        <w:t>ing</w:t>
      </w:r>
      <w:r w:rsidR="002106AB">
        <w:t xml:space="preserve"> permeability. </w:t>
      </w:r>
      <w:r w:rsidR="00CC2980">
        <w:t>When the content of MFC in the composites increased, a</w:t>
      </w:r>
      <w:r>
        <w:t xml:space="preserve">n improvement of the barrier properties against oxygen was evident for both the </w:t>
      </w:r>
      <w:r w:rsidR="00BD7C89">
        <w:t>poly(</w:t>
      </w:r>
      <w:r>
        <w:t>EDMA</w:t>
      </w:r>
      <w:r w:rsidR="00BD7C89">
        <w:t>)</w:t>
      </w:r>
      <w:r>
        <w:t xml:space="preserve"> and the </w:t>
      </w:r>
      <w:r w:rsidR="00BD7C89">
        <w:t>poly(EDMA-</w:t>
      </w:r>
      <w:r w:rsidR="00BD7C89" w:rsidRPr="00D71E28">
        <w:rPr>
          <w:i/>
        </w:rPr>
        <w:t>co</w:t>
      </w:r>
      <w:r w:rsidR="00BD7C89">
        <w:t>-CMA)</w:t>
      </w:r>
      <w:r>
        <w:t xml:space="preserve"> composites. Specifically, increasing the MFC content from 5</w:t>
      </w:r>
      <w:r w:rsidR="005B6476">
        <w:t xml:space="preserve"> </w:t>
      </w:r>
      <w:r w:rsidR="002B6204">
        <w:t>wt</w:t>
      </w:r>
      <w:r>
        <w:t>% to 30</w:t>
      </w:r>
      <w:r w:rsidR="005B6476">
        <w:t xml:space="preserve"> </w:t>
      </w:r>
      <w:r w:rsidR="002B6204">
        <w:t>wt</w:t>
      </w:r>
      <w:r>
        <w:t>% resulted in a 68</w:t>
      </w:r>
      <w:r w:rsidR="005B6476">
        <w:t xml:space="preserve"> </w:t>
      </w:r>
      <w:r>
        <w:t>% decrease of OTR</w:t>
      </w:r>
      <w:r w:rsidRPr="00E44842">
        <w:rPr>
          <w:vertAlign w:val="subscript"/>
        </w:rPr>
        <w:t>25</w:t>
      </w:r>
      <w:r>
        <w:t xml:space="preserve"> for </w:t>
      </w:r>
      <w:r w:rsidR="009E3EC6">
        <w:t>poly</w:t>
      </w:r>
      <w:r w:rsidR="0072022D">
        <w:t>(EDMA)</w:t>
      </w:r>
      <w:r>
        <w:t xml:space="preserve"> composites, and a 71</w:t>
      </w:r>
      <w:r w:rsidR="005B6476">
        <w:t xml:space="preserve"> </w:t>
      </w:r>
      <w:r>
        <w:t>% decrease of OTR</w:t>
      </w:r>
      <w:r w:rsidRPr="00E44842">
        <w:rPr>
          <w:vertAlign w:val="subscript"/>
        </w:rPr>
        <w:t>25</w:t>
      </w:r>
      <w:r>
        <w:t xml:space="preserve"> for </w:t>
      </w:r>
      <w:r w:rsidR="00BD7C89">
        <w:t>poly(EDMA-</w:t>
      </w:r>
      <w:r w:rsidR="00BD7C89" w:rsidRPr="00D71E28">
        <w:rPr>
          <w:i/>
        </w:rPr>
        <w:t>co</w:t>
      </w:r>
      <w:r w:rsidR="00BD7C89">
        <w:t>-CMA)</w:t>
      </w:r>
      <w:r>
        <w:t xml:space="preserve"> composites</w:t>
      </w:r>
      <w:r w:rsidR="0006043F">
        <w:t>. Comparing t</w:t>
      </w:r>
      <w:r w:rsidR="00272288">
        <w:t xml:space="preserve">he values </w:t>
      </w:r>
      <w:r w:rsidR="0006043F">
        <w:t xml:space="preserve">of the diffusion coefficients </w:t>
      </w:r>
      <w:r w:rsidR="00272288">
        <w:t>obtained through the time-lag method, t</w:t>
      </w:r>
      <w:r w:rsidR="00272288" w:rsidRPr="00BB642A">
        <w:t>he increase of the content of MFC</w:t>
      </w:r>
      <w:r w:rsidR="00272288">
        <w:t xml:space="preserve"> from 5</w:t>
      </w:r>
      <w:r w:rsidR="0006043F">
        <w:t xml:space="preserve"> </w:t>
      </w:r>
      <w:r w:rsidR="002B6204">
        <w:t>wt</w:t>
      </w:r>
      <w:r w:rsidR="00272288">
        <w:t>% to 30</w:t>
      </w:r>
      <w:r w:rsidR="005B6476">
        <w:t xml:space="preserve"> </w:t>
      </w:r>
      <w:r w:rsidR="002B6204">
        <w:t>wt</w:t>
      </w:r>
      <w:r w:rsidR="00272288">
        <w:t>% caused</w:t>
      </w:r>
      <w:r w:rsidR="00272288" w:rsidRPr="00BB642A">
        <w:t xml:space="preserve"> a</w:t>
      </w:r>
      <w:r w:rsidR="0006043F">
        <w:t>n</w:t>
      </w:r>
      <w:r w:rsidR="00272288" w:rsidRPr="00BB642A">
        <w:t xml:space="preserve"> </w:t>
      </w:r>
      <w:r w:rsidR="0006043F">
        <w:t>8</w:t>
      </w:r>
      <w:r w:rsidR="0006043F" w:rsidRPr="00BB642A">
        <w:t>0</w:t>
      </w:r>
      <w:r w:rsidR="0006043F">
        <w:t xml:space="preserve"> </w:t>
      </w:r>
      <w:r w:rsidR="0006043F" w:rsidRPr="00BB642A">
        <w:t>%</w:t>
      </w:r>
      <w:r w:rsidR="0006043F">
        <w:t xml:space="preserve"> </w:t>
      </w:r>
      <w:r w:rsidR="00272288" w:rsidRPr="00BB642A">
        <w:t xml:space="preserve">decrease of the </w:t>
      </w:r>
      <w:r w:rsidR="00272288">
        <w:t>diffusion coefficient</w:t>
      </w:r>
      <w:r w:rsidR="00272288" w:rsidRPr="00BB642A">
        <w:t xml:space="preserve"> </w:t>
      </w:r>
      <w:r w:rsidR="0006043F">
        <w:t xml:space="preserve">for </w:t>
      </w:r>
      <w:r w:rsidR="00BD7C89">
        <w:t>poly(EDMA-</w:t>
      </w:r>
      <w:r w:rsidR="00BD7C89" w:rsidRPr="00D71E28">
        <w:rPr>
          <w:i/>
        </w:rPr>
        <w:t>co</w:t>
      </w:r>
      <w:r w:rsidR="00BD7C89">
        <w:t>-CMA)</w:t>
      </w:r>
      <w:r w:rsidR="0006043F">
        <w:t xml:space="preserve"> composites and an 84 % decrease for </w:t>
      </w:r>
      <w:r w:rsidR="00BD7C89">
        <w:t>poly</w:t>
      </w:r>
      <w:r w:rsidR="0072022D">
        <w:t>(EDMA)</w:t>
      </w:r>
      <w:r w:rsidR="00272288">
        <w:t xml:space="preserve"> composites</w:t>
      </w:r>
      <w:r w:rsidR="0006043F">
        <w:t xml:space="preserve">. </w:t>
      </w:r>
      <w:r w:rsidR="00272288">
        <w:t>T</w:t>
      </w:r>
      <w:r w:rsidR="00272288" w:rsidRPr="0084515E">
        <w:t xml:space="preserve">hese results confirm </w:t>
      </w:r>
      <w:r w:rsidR="0006043F">
        <w:t xml:space="preserve">that the addition of MFC can decrease permeability by </w:t>
      </w:r>
      <w:r w:rsidR="0006043F" w:rsidRPr="00CC2980">
        <w:t>increasing tortuosity</w:t>
      </w:r>
      <w:r w:rsidR="00272288" w:rsidRPr="00CC2980">
        <w:t xml:space="preserve">. </w:t>
      </w:r>
    </w:p>
    <w:p w14:paraId="7275B382" w14:textId="00B5947B" w:rsidR="0051595F" w:rsidRDefault="00CC2980" w:rsidP="0051595F">
      <w:pPr>
        <w:pStyle w:val="CETBodytext"/>
      </w:pPr>
      <w:r>
        <w:t xml:space="preserve">Finally, the effect </w:t>
      </w:r>
      <w:r w:rsidR="008B3819">
        <w:t xml:space="preserve">on oxygen permeability </w:t>
      </w:r>
      <w:r>
        <w:t xml:space="preserve">of crosslinking </w:t>
      </w:r>
      <w:r w:rsidR="008B3819">
        <w:t>t</w:t>
      </w:r>
      <w:r>
        <w:t xml:space="preserve">he </w:t>
      </w:r>
      <w:r w:rsidR="00BD7C89">
        <w:t>poly(EDMA-</w:t>
      </w:r>
      <w:r w:rsidR="00BD7C89" w:rsidRPr="00D71E28">
        <w:rPr>
          <w:i/>
        </w:rPr>
        <w:t>co</w:t>
      </w:r>
      <w:r w:rsidR="00BD7C89">
        <w:t>-CMA)</w:t>
      </w:r>
      <w:r>
        <w:t xml:space="preserve"> matrix </w:t>
      </w:r>
      <w:r w:rsidR="008B3819">
        <w:t xml:space="preserve">by UVA irradiation </w:t>
      </w:r>
      <w:r>
        <w:t xml:space="preserve">was examined. </w:t>
      </w:r>
      <w:r w:rsidR="00272288">
        <w:t xml:space="preserve">Crosslinking should </w:t>
      </w:r>
      <w:r w:rsidR="00272288" w:rsidRPr="00AD0FA3">
        <w:t xml:space="preserve">cause </w:t>
      </w:r>
      <w:r w:rsidR="00272288">
        <w:t xml:space="preserve">a decrease in </w:t>
      </w:r>
      <w:r w:rsidR="00272288" w:rsidRPr="00AD0FA3">
        <w:t>the free volume of</w:t>
      </w:r>
      <w:r w:rsidR="00272288">
        <w:t xml:space="preserve"> the polymeric matrix through the formation </w:t>
      </w:r>
      <w:r w:rsidR="00272288" w:rsidRPr="00AD0FA3">
        <w:t>of new chemical bonds</w:t>
      </w:r>
      <w:r w:rsidR="00272288">
        <w:t xml:space="preserve">. Since </w:t>
      </w:r>
      <w:r w:rsidR="008B3819">
        <w:t xml:space="preserve">gas </w:t>
      </w:r>
      <w:r w:rsidR="00272288">
        <w:t xml:space="preserve">permeation occurs only in the free volume, </w:t>
      </w:r>
      <w:r w:rsidR="00272288" w:rsidRPr="00DC7DAA">
        <w:t>this process should lead to a</w:t>
      </w:r>
      <w:r w:rsidR="00272288">
        <w:t xml:space="preserve"> decrease in the permeability of the material.</w:t>
      </w:r>
      <w:r>
        <w:t xml:space="preserve"> </w:t>
      </w:r>
      <w:r w:rsidR="00041299">
        <w:t xml:space="preserve">The OTR values measured for the </w:t>
      </w:r>
      <w:r w:rsidR="00BD7C89">
        <w:t>poly(EDMA-</w:t>
      </w:r>
      <w:r w:rsidR="00BD7C89" w:rsidRPr="00D71E28">
        <w:rPr>
          <w:i/>
        </w:rPr>
        <w:t>co</w:t>
      </w:r>
      <w:r w:rsidR="00BD7C89">
        <w:t>-CMA)</w:t>
      </w:r>
      <w:r w:rsidR="00041299">
        <w:t xml:space="preserve"> composites after UVA irradiation are reported in Table </w:t>
      </w:r>
      <w:r w:rsidR="0051595F">
        <w:t>2</w:t>
      </w:r>
      <w:r w:rsidR="00041299">
        <w:t>.</w:t>
      </w:r>
      <w:r w:rsidR="0051595F" w:rsidRPr="0051595F">
        <w:t xml:space="preserve"> </w:t>
      </w:r>
      <w:r w:rsidR="0051595F">
        <w:t xml:space="preserve">When these values are compared with those of the corresponding composites before irradiation, a modest improvement of the barrier properties is shown. The OTR of the composite with 5 </w:t>
      </w:r>
      <w:r w:rsidR="002B6204">
        <w:t>wt</w:t>
      </w:r>
      <w:r w:rsidR="0051595F">
        <w:t xml:space="preserve">% MFC only decreased by 5%, while that of the composite with 30 </w:t>
      </w:r>
      <w:r w:rsidR="002B6204">
        <w:t>wt</w:t>
      </w:r>
      <w:r w:rsidR="0051595F">
        <w:t xml:space="preserve">% MFC decreased by 25 %. </w:t>
      </w:r>
    </w:p>
    <w:p w14:paraId="1CE7C589" w14:textId="3D30E092" w:rsidR="008B3819" w:rsidRPr="00B57B36" w:rsidRDefault="008B3819" w:rsidP="008B3819">
      <w:pPr>
        <w:pStyle w:val="CETTabletitle"/>
      </w:pPr>
      <w:r w:rsidRPr="00B57B36">
        <w:t xml:space="preserve">Table </w:t>
      </w:r>
      <w:r w:rsidR="008D0CA2">
        <w:t>2</w:t>
      </w:r>
      <w:r w:rsidRPr="00B57B36">
        <w:t xml:space="preserve">: </w:t>
      </w:r>
      <w:r>
        <w:t xml:space="preserve">Oxygen transmission rates of </w:t>
      </w:r>
      <w:r w:rsidR="00BD7C89">
        <w:t>poly(EDMA-co-CMA)</w:t>
      </w:r>
      <w:r>
        <w:t xml:space="preserve"> composites after UVA irradiation </w:t>
      </w:r>
    </w:p>
    <w:tbl>
      <w:tblPr>
        <w:tblW w:w="8931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6"/>
        <w:gridCol w:w="1786"/>
        <w:gridCol w:w="1786"/>
        <w:gridCol w:w="1786"/>
        <w:gridCol w:w="1787"/>
      </w:tblGrid>
      <w:tr w:rsidR="008B3819" w:rsidRPr="00B57B36" w14:paraId="41E0184A" w14:textId="77777777" w:rsidTr="00290FB5">
        <w:tc>
          <w:tcPr>
            <w:tcW w:w="17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291DC3F" w14:textId="77777777" w:rsidR="008B3819" w:rsidRPr="00B57B36" w:rsidRDefault="008B3819" w:rsidP="00290FB5">
            <w:pPr>
              <w:pStyle w:val="CETBodytext"/>
              <w:rPr>
                <w:lang w:val="en-GB"/>
              </w:rPr>
            </w:pPr>
          </w:p>
        </w:tc>
        <w:tc>
          <w:tcPr>
            <w:tcW w:w="17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0BB12F3" w14:textId="77777777" w:rsidR="008B3819" w:rsidRPr="00B57B36" w:rsidRDefault="008B3819" w:rsidP="00290FB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MFC content [wt%]</w:t>
            </w:r>
          </w:p>
        </w:tc>
        <w:tc>
          <w:tcPr>
            <w:tcW w:w="17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3D2BD00" w14:textId="77777777" w:rsidR="008B3819" w:rsidRPr="00B57B36" w:rsidRDefault="008B3819" w:rsidP="00290FB5">
            <w:pPr>
              <w:pStyle w:val="CETBodytext"/>
              <w:rPr>
                <w:lang w:val="en-GB"/>
              </w:rPr>
            </w:pPr>
            <w:r w:rsidRPr="006675A9">
              <w:t>Thickness [μm]</w:t>
            </w:r>
          </w:p>
        </w:tc>
        <w:tc>
          <w:tcPr>
            <w:tcW w:w="17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A96B21" w14:textId="77777777" w:rsidR="008B3819" w:rsidRPr="00B57B36" w:rsidRDefault="008B3819" w:rsidP="00290FB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675A9">
              <w:t>OTR [cc/m</w:t>
            </w:r>
            <w:r w:rsidRPr="00652396">
              <w:rPr>
                <w:vertAlign w:val="superscript"/>
              </w:rPr>
              <w:t>2</w:t>
            </w:r>
            <w:r w:rsidRPr="006675A9">
              <w:t xml:space="preserve"> d]</w:t>
            </w:r>
          </w:p>
        </w:tc>
        <w:tc>
          <w:tcPr>
            <w:tcW w:w="178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C7F7CB5" w14:textId="77777777" w:rsidR="008B3819" w:rsidRPr="00B57B36" w:rsidRDefault="008B3819" w:rsidP="00290FB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675A9">
              <w:t>OTR</w:t>
            </w:r>
            <w:r w:rsidRPr="00652396">
              <w:rPr>
                <w:vertAlign w:val="subscript"/>
              </w:rPr>
              <w:t>25</w:t>
            </w:r>
            <w:r w:rsidRPr="006675A9">
              <w:t xml:space="preserve"> [cc/m</w:t>
            </w:r>
            <w:r w:rsidRPr="00652396">
              <w:rPr>
                <w:vertAlign w:val="superscript"/>
              </w:rPr>
              <w:t>2</w:t>
            </w:r>
            <w:r w:rsidRPr="006675A9">
              <w:t xml:space="preserve"> d]</w:t>
            </w:r>
          </w:p>
        </w:tc>
      </w:tr>
      <w:tr w:rsidR="000040C5" w:rsidRPr="00B57B36" w14:paraId="0889BEFD" w14:textId="77777777" w:rsidTr="0075325B">
        <w:tc>
          <w:tcPr>
            <w:tcW w:w="1786" w:type="dxa"/>
            <w:shd w:val="clear" w:color="auto" w:fill="FFFFFF"/>
          </w:tcPr>
          <w:p w14:paraId="4D1099BC" w14:textId="2FF0ACDA" w:rsidR="000040C5" w:rsidRPr="00B57B36" w:rsidRDefault="000040C5" w:rsidP="000040C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poly(EDMA-</w:t>
            </w:r>
            <w:r w:rsidRPr="00D71E28">
              <w:rPr>
                <w:i/>
                <w:lang w:val="en-GB"/>
              </w:rPr>
              <w:t>co</w:t>
            </w:r>
            <w:r>
              <w:rPr>
                <w:lang w:val="en-GB"/>
              </w:rPr>
              <w:t>-CMA)</w:t>
            </w:r>
          </w:p>
        </w:tc>
        <w:tc>
          <w:tcPr>
            <w:tcW w:w="1786" w:type="dxa"/>
            <w:shd w:val="clear" w:color="auto" w:fill="FFFFFF"/>
          </w:tcPr>
          <w:p w14:paraId="10E6ACBF" w14:textId="77777777" w:rsidR="000040C5" w:rsidRPr="00B57B36" w:rsidRDefault="000040C5" w:rsidP="000040C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7C7DE0FE" w14:textId="11CB9D51" w:rsidR="000040C5" w:rsidRPr="00B57B36" w:rsidRDefault="000040C5" w:rsidP="000040C5">
            <w:pPr>
              <w:pStyle w:val="CETBodytext"/>
              <w:rPr>
                <w:lang w:val="en-GB"/>
              </w:rPr>
            </w:pPr>
            <w:r>
              <w:t>128 ± 5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42D66AA" w14:textId="0A393CD6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533</w:t>
            </w:r>
          </w:p>
        </w:tc>
        <w:tc>
          <w:tcPr>
            <w:tcW w:w="1787" w:type="dxa"/>
            <w:shd w:val="clear" w:color="auto" w:fill="FFFFFF"/>
          </w:tcPr>
          <w:p w14:paraId="5CC83AEF" w14:textId="04061B26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2729</w:t>
            </w:r>
          </w:p>
        </w:tc>
      </w:tr>
      <w:tr w:rsidR="000040C5" w:rsidRPr="00B57B36" w14:paraId="5E811E9A" w14:textId="77777777" w:rsidTr="00290FB5">
        <w:tc>
          <w:tcPr>
            <w:tcW w:w="1786" w:type="dxa"/>
            <w:shd w:val="clear" w:color="auto" w:fill="FFFFFF"/>
          </w:tcPr>
          <w:p w14:paraId="34D687E6" w14:textId="63FABFEC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poly(EDMA-</w:t>
            </w:r>
            <w:r w:rsidRPr="00D71E28">
              <w:rPr>
                <w:rFonts w:cs="Arial"/>
                <w:i/>
                <w:szCs w:val="18"/>
                <w:lang w:val="en-GB"/>
              </w:rPr>
              <w:t>co</w:t>
            </w:r>
            <w:r>
              <w:rPr>
                <w:rFonts w:cs="Arial"/>
                <w:szCs w:val="18"/>
                <w:lang w:val="en-GB"/>
              </w:rPr>
              <w:t>-CMA)</w:t>
            </w:r>
          </w:p>
        </w:tc>
        <w:tc>
          <w:tcPr>
            <w:tcW w:w="1786" w:type="dxa"/>
            <w:shd w:val="clear" w:color="auto" w:fill="FFFFFF"/>
          </w:tcPr>
          <w:p w14:paraId="25285221" w14:textId="77777777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16E39215" w14:textId="77777777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52 ± 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3367FE28" w14:textId="50DF95F0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t>300</w:t>
            </w:r>
          </w:p>
        </w:tc>
        <w:tc>
          <w:tcPr>
            <w:tcW w:w="1787" w:type="dxa"/>
            <w:shd w:val="clear" w:color="auto" w:fill="FFFFFF"/>
          </w:tcPr>
          <w:p w14:paraId="378E05CB" w14:textId="53627A99" w:rsidR="000040C5" w:rsidRPr="00B57B36" w:rsidRDefault="000040C5" w:rsidP="000040C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624</w:t>
            </w:r>
          </w:p>
        </w:tc>
      </w:tr>
    </w:tbl>
    <w:p w14:paraId="68D26B83" w14:textId="250007CF" w:rsidR="00600535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0D384C98" w14:textId="54AE3758" w:rsidR="002940F4" w:rsidRDefault="00C60B73" w:rsidP="002940F4">
      <w:pPr>
        <w:pStyle w:val="CETBodytext"/>
        <w:rPr>
          <w:lang w:val="en-GB"/>
        </w:rPr>
      </w:pPr>
      <w:r>
        <w:rPr>
          <w:lang w:val="en-GB"/>
        </w:rPr>
        <w:t xml:space="preserve">A novel copolymer of </w:t>
      </w:r>
      <w:r w:rsidR="003B791E">
        <w:rPr>
          <w:lang w:val="en-GB"/>
        </w:rPr>
        <w:t xml:space="preserve">ethoxy </w:t>
      </w:r>
      <w:r>
        <w:rPr>
          <w:lang w:val="en-GB"/>
        </w:rPr>
        <w:t xml:space="preserve">dihydroeugenol methacrylate (EDMA) and coumarin methacrylate (CMA) </w:t>
      </w:r>
      <w:r w:rsidR="00171956">
        <w:rPr>
          <w:lang w:val="en-GB"/>
        </w:rPr>
        <w:t>was</w:t>
      </w:r>
      <w:r>
        <w:rPr>
          <w:lang w:val="en-GB"/>
        </w:rPr>
        <w:t xml:space="preserve"> </w:t>
      </w:r>
      <w:r w:rsidR="002B4FC7">
        <w:rPr>
          <w:lang w:val="en-GB"/>
        </w:rPr>
        <w:t>synthesized</w:t>
      </w:r>
      <w:r>
        <w:rPr>
          <w:lang w:val="en-GB"/>
        </w:rPr>
        <w:t xml:space="preserve"> by </w:t>
      </w:r>
      <w:r w:rsidR="002B4FC7">
        <w:rPr>
          <w:lang w:val="en-GB"/>
        </w:rPr>
        <w:t>redox-initiated</w:t>
      </w:r>
      <w:r>
        <w:rPr>
          <w:lang w:val="en-GB"/>
        </w:rPr>
        <w:t xml:space="preserve"> emulsion polymerization. The copolymer</w:t>
      </w:r>
      <w:r w:rsidR="00171956">
        <w:rPr>
          <w:lang w:val="en-GB"/>
        </w:rPr>
        <w:t>,</w:t>
      </w:r>
      <w:r>
        <w:rPr>
          <w:lang w:val="en-GB"/>
        </w:rPr>
        <w:t xml:space="preserve"> </w:t>
      </w:r>
      <w:r w:rsidR="00BD7C89">
        <w:rPr>
          <w:lang w:val="en-GB"/>
        </w:rPr>
        <w:t>poly(EDMA-</w:t>
      </w:r>
      <w:r w:rsidR="00BD7C89" w:rsidRPr="00D71E28">
        <w:rPr>
          <w:i/>
          <w:lang w:val="en-GB"/>
        </w:rPr>
        <w:t>co</w:t>
      </w:r>
      <w:r w:rsidR="00BD7C89">
        <w:rPr>
          <w:lang w:val="en-GB"/>
        </w:rPr>
        <w:t>-CMA)</w:t>
      </w:r>
      <w:r w:rsidR="0093099A">
        <w:rPr>
          <w:lang w:val="en-GB"/>
        </w:rPr>
        <w:t>,</w:t>
      </w:r>
      <w:r>
        <w:rPr>
          <w:lang w:val="en-GB"/>
        </w:rPr>
        <w:t xml:space="preserve"> </w:t>
      </w:r>
      <w:r w:rsidR="0093099A">
        <w:rPr>
          <w:lang w:val="en-GB"/>
        </w:rPr>
        <w:t>having</w:t>
      </w:r>
      <w:r>
        <w:rPr>
          <w:lang w:val="en-GB"/>
        </w:rPr>
        <w:t xml:space="preserve"> 1 % by weight of coumarin moieties</w:t>
      </w:r>
      <w:r w:rsidR="0093099A">
        <w:rPr>
          <w:lang w:val="en-GB"/>
        </w:rPr>
        <w:t>,</w:t>
      </w:r>
      <w:r>
        <w:rPr>
          <w:lang w:val="en-GB"/>
        </w:rPr>
        <w:t xml:space="preserve"> </w:t>
      </w:r>
      <w:r w:rsidR="000E4E3A">
        <w:rPr>
          <w:lang w:val="en-GB"/>
        </w:rPr>
        <w:t>could be</w:t>
      </w:r>
      <w:r>
        <w:rPr>
          <w:lang w:val="en-GB"/>
        </w:rPr>
        <w:t xml:space="preserve"> cross-linked by UVA irradiation exploiting the [2+2] photocycloaddition reaction of coumarin. </w:t>
      </w:r>
      <w:r w:rsidR="00EC755C">
        <w:rPr>
          <w:lang w:val="en-GB"/>
        </w:rPr>
        <w:t xml:space="preserve">Addition of microfibrillated cellulose (MFC) to </w:t>
      </w:r>
      <w:r w:rsidR="0093099A">
        <w:rPr>
          <w:lang w:val="en-GB"/>
        </w:rPr>
        <w:t>poly(EDMA) and poly(EDMA-</w:t>
      </w:r>
      <w:r w:rsidR="0093099A" w:rsidRPr="00D71E28">
        <w:rPr>
          <w:i/>
          <w:lang w:val="en-GB"/>
        </w:rPr>
        <w:t>co</w:t>
      </w:r>
      <w:r w:rsidR="0093099A">
        <w:rPr>
          <w:lang w:val="en-GB"/>
        </w:rPr>
        <w:t>-CMA)</w:t>
      </w:r>
      <w:r w:rsidR="00171956">
        <w:rPr>
          <w:lang w:val="en-GB"/>
        </w:rPr>
        <w:t xml:space="preserve"> latexes</w:t>
      </w:r>
      <w:r w:rsidR="0093099A">
        <w:rPr>
          <w:lang w:val="en-GB"/>
        </w:rPr>
        <w:t xml:space="preserve"> allows obtaining translucent composite films</w:t>
      </w:r>
      <w:r w:rsidR="00171956">
        <w:rPr>
          <w:lang w:val="en-GB"/>
        </w:rPr>
        <w:t xml:space="preserve"> by simple mixing in aqueous medium</w:t>
      </w:r>
      <w:r w:rsidR="0093099A">
        <w:rPr>
          <w:lang w:val="en-GB"/>
        </w:rPr>
        <w:t>. The permeability to oxygen of poly(EDMA-</w:t>
      </w:r>
      <w:r w:rsidR="0093099A" w:rsidRPr="00D71E28">
        <w:rPr>
          <w:i/>
          <w:lang w:val="en-GB"/>
        </w:rPr>
        <w:t>co</w:t>
      </w:r>
      <w:r w:rsidR="0093099A">
        <w:rPr>
          <w:lang w:val="en-GB"/>
        </w:rPr>
        <w:t xml:space="preserve">-CMA) composites </w:t>
      </w:r>
      <w:r w:rsidR="00171956">
        <w:rPr>
          <w:lang w:val="en-GB"/>
        </w:rPr>
        <w:t>wa</w:t>
      </w:r>
      <w:r w:rsidR="0093099A">
        <w:rPr>
          <w:lang w:val="en-GB"/>
        </w:rPr>
        <w:t>s approximately 50 % lower than that of poly(EDMA) composites. For both types of composites</w:t>
      </w:r>
      <w:r w:rsidR="002B4FC7">
        <w:rPr>
          <w:lang w:val="en-GB"/>
        </w:rPr>
        <w:t>,</w:t>
      </w:r>
      <w:r w:rsidR="0093099A">
        <w:rPr>
          <w:lang w:val="en-GB"/>
        </w:rPr>
        <w:t xml:space="preserve"> permeability decrease</w:t>
      </w:r>
      <w:r w:rsidR="00171956">
        <w:rPr>
          <w:lang w:val="en-GB"/>
        </w:rPr>
        <w:t>d</w:t>
      </w:r>
      <w:r w:rsidR="0093099A">
        <w:rPr>
          <w:lang w:val="en-GB"/>
        </w:rPr>
        <w:t xml:space="preserve"> with increasing MFC content. Cross-linking of the poly(EDMA-</w:t>
      </w:r>
      <w:r w:rsidR="0093099A" w:rsidRPr="00D71E28">
        <w:rPr>
          <w:i/>
          <w:lang w:val="en-GB"/>
        </w:rPr>
        <w:t>co</w:t>
      </w:r>
      <w:r w:rsidR="0093099A">
        <w:rPr>
          <w:lang w:val="en-GB"/>
        </w:rPr>
        <w:t>-CMA) composites by irradiation with UVA light brought a further slight reduction of permeability.</w:t>
      </w:r>
    </w:p>
    <w:p w14:paraId="459D05E6" w14:textId="6DB9F58F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57C305DD" w14:textId="77777777" w:rsidR="007B4397" w:rsidRDefault="006037B4" w:rsidP="00FD767E">
      <w:pPr>
        <w:pStyle w:val="CETBodytext"/>
        <w:rPr>
          <w:lang w:val="en-GB"/>
        </w:rPr>
      </w:pPr>
      <w:r w:rsidRPr="006037B4">
        <w:rPr>
          <w:lang w:val="en-GB"/>
        </w:rPr>
        <w:t>Th</w:t>
      </w:r>
      <w:r>
        <w:rPr>
          <w:lang w:val="en-GB"/>
        </w:rPr>
        <w:t>e</w:t>
      </w:r>
      <w:r w:rsidRPr="006037B4">
        <w:rPr>
          <w:lang w:val="en-GB"/>
        </w:rPr>
        <w:t xml:space="preserve"> project</w:t>
      </w:r>
      <w:r>
        <w:rPr>
          <w:lang w:val="en-GB"/>
        </w:rPr>
        <w:t xml:space="preserve"> ComBIOsites </w:t>
      </w:r>
      <w:r w:rsidRPr="006037B4">
        <w:rPr>
          <w:lang w:val="en-GB"/>
        </w:rPr>
        <w:t>has received funding from the European Union’s Horizon 2020 research and innovation</w:t>
      </w:r>
      <w:r>
        <w:rPr>
          <w:lang w:val="en-GB"/>
        </w:rPr>
        <w:t xml:space="preserve"> </w:t>
      </w:r>
      <w:r w:rsidRPr="006037B4">
        <w:rPr>
          <w:lang w:val="en-GB"/>
        </w:rPr>
        <w:t xml:space="preserve">programme under the Marie </w:t>
      </w:r>
      <w:r w:rsidR="00C169D1" w:rsidRPr="00C169D1">
        <w:rPr>
          <w:lang w:val="en-GB"/>
        </w:rPr>
        <w:t>Skłodowska</w:t>
      </w:r>
      <w:r w:rsidRPr="006037B4">
        <w:rPr>
          <w:lang w:val="en-GB"/>
        </w:rPr>
        <w:t xml:space="preserve">-Curie </w:t>
      </w:r>
      <w:r w:rsidR="007B4397">
        <w:rPr>
          <w:lang w:val="en-GB"/>
        </w:rPr>
        <w:t xml:space="preserve">Actions (MSCA) </w:t>
      </w:r>
      <w:r w:rsidRPr="006037B4">
        <w:rPr>
          <w:lang w:val="en-GB"/>
        </w:rPr>
        <w:t>grant agreement No 789454</w:t>
      </w:r>
      <w:r>
        <w:rPr>
          <w:lang w:val="en-GB"/>
        </w:rPr>
        <w:t>.</w:t>
      </w:r>
    </w:p>
    <w:p w14:paraId="2D7EAF6B" w14:textId="77777777" w:rsidR="007B4397" w:rsidRDefault="005A4400" w:rsidP="00FD767E">
      <w:pPr>
        <w:pStyle w:val="CETBodytext"/>
        <w:rPr>
          <w:lang w:val="en-GB"/>
        </w:rPr>
      </w:pPr>
      <w:r>
        <w:rPr>
          <w:lang w:val="en-GB"/>
        </w:rPr>
        <w:lastRenderedPageBreak/>
        <w:t xml:space="preserve">S. M.-G. </w:t>
      </w:r>
      <w:r w:rsidR="00FD767E" w:rsidRPr="00FD767E">
        <w:rPr>
          <w:lang w:val="en-GB"/>
        </w:rPr>
        <w:t>acknowledges</w:t>
      </w:r>
      <w:r w:rsidR="007B4397">
        <w:rPr>
          <w:lang w:val="en-GB"/>
        </w:rPr>
        <w:t xml:space="preserve"> </w:t>
      </w:r>
      <w:r w:rsidR="00FD767E" w:rsidRPr="00FD767E">
        <w:rPr>
          <w:lang w:val="en-GB"/>
        </w:rPr>
        <w:t>financial support from EU through</w:t>
      </w:r>
      <w:r>
        <w:rPr>
          <w:lang w:val="en-GB"/>
        </w:rPr>
        <w:t xml:space="preserve"> a SINCHEM Grant</w:t>
      </w:r>
      <w:r w:rsidR="00FD767E">
        <w:rPr>
          <w:lang w:val="en-GB"/>
        </w:rPr>
        <w:t>.</w:t>
      </w:r>
      <w:r>
        <w:rPr>
          <w:lang w:val="en-GB"/>
        </w:rPr>
        <w:t xml:space="preserve"> </w:t>
      </w:r>
      <w:r w:rsidRPr="005A4400">
        <w:rPr>
          <w:lang w:val="en-GB"/>
        </w:rPr>
        <w:t>SINCHEM is a Joint Doctorate program selected under the</w:t>
      </w:r>
      <w:r>
        <w:rPr>
          <w:lang w:val="en-GB"/>
        </w:rPr>
        <w:t xml:space="preserve"> </w:t>
      </w:r>
      <w:r w:rsidRPr="005A4400">
        <w:rPr>
          <w:lang w:val="en-GB"/>
        </w:rPr>
        <w:t>Erasmus Mundus Action 1 Program (FPA 2013-0037).</w:t>
      </w:r>
    </w:p>
    <w:p w14:paraId="07E99143" w14:textId="701C666C" w:rsidR="006037B4" w:rsidRDefault="006037B4" w:rsidP="00FD767E">
      <w:pPr>
        <w:pStyle w:val="CETBodytext"/>
        <w:rPr>
          <w:lang w:val="en-GB"/>
        </w:rPr>
      </w:pPr>
      <w:r>
        <w:rPr>
          <w:lang w:val="en-GB"/>
        </w:rPr>
        <w:t xml:space="preserve">Disclaimer: </w:t>
      </w:r>
      <w:r w:rsidR="00592C5E" w:rsidRPr="00592C5E">
        <w:rPr>
          <w:lang w:val="en-GB"/>
        </w:rPr>
        <w:t>The contents of this publication reflect only the author</w:t>
      </w:r>
      <w:r w:rsidR="0093099A">
        <w:rPr>
          <w:lang w:val="en-GB"/>
        </w:rPr>
        <w:t>’</w:t>
      </w:r>
      <w:r w:rsidR="00592C5E" w:rsidRPr="00592C5E">
        <w:rPr>
          <w:lang w:val="en-GB"/>
        </w:rPr>
        <w:t xml:space="preserve">s view and </w:t>
      </w:r>
      <w:r w:rsidR="00592C5E">
        <w:rPr>
          <w:lang w:val="en-GB"/>
        </w:rPr>
        <w:t xml:space="preserve">the European Commission </w:t>
      </w:r>
      <w:r w:rsidR="00592C5E" w:rsidRPr="00592C5E">
        <w:rPr>
          <w:lang w:val="en-GB"/>
        </w:rPr>
        <w:t>is not responsible for any use that may be made of the information it contains</w:t>
      </w:r>
      <w:r w:rsidRPr="006037B4">
        <w:rPr>
          <w:lang w:val="en-GB"/>
        </w:rPr>
        <w:t>.</w:t>
      </w:r>
    </w:p>
    <w:p w14:paraId="33F8138F" w14:textId="4FF11D91" w:rsidR="00600535" w:rsidRPr="00B57B36" w:rsidRDefault="002940F4" w:rsidP="00600535">
      <w:pPr>
        <w:pStyle w:val="CETBodytext"/>
        <w:rPr>
          <w:lang w:val="en-GB"/>
        </w:rPr>
      </w:pPr>
      <w:r>
        <w:rPr>
          <w:lang w:val="en-GB"/>
        </w:rPr>
        <w:t>The authors thank L</w:t>
      </w:r>
      <w:r w:rsidR="00A66FF5">
        <w:rPr>
          <w:lang w:val="en-GB"/>
        </w:rPr>
        <w:t xml:space="preserve">. </w:t>
      </w:r>
      <w:r>
        <w:rPr>
          <w:lang w:val="en-GB"/>
        </w:rPr>
        <w:t>Grillo</w:t>
      </w:r>
      <w:r w:rsidR="00C22AD6">
        <w:rPr>
          <w:lang w:val="en-GB"/>
        </w:rPr>
        <w:t xml:space="preserve"> and M</w:t>
      </w:r>
      <w:r w:rsidR="00A66FF5">
        <w:rPr>
          <w:lang w:val="en-GB"/>
        </w:rPr>
        <w:t xml:space="preserve">. </w:t>
      </w:r>
      <w:r w:rsidR="00C22AD6">
        <w:rPr>
          <w:lang w:val="en-GB"/>
        </w:rPr>
        <w:t>Olivato</w:t>
      </w:r>
      <w:r>
        <w:rPr>
          <w:lang w:val="en-GB"/>
        </w:rPr>
        <w:t xml:space="preserve"> for the experimental work performed during </w:t>
      </w:r>
      <w:r w:rsidR="00C22AD6">
        <w:rPr>
          <w:lang w:val="en-GB"/>
        </w:rPr>
        <w:t>their</w:t>
      </w:r>
      <w:r>
        <w:rPr>
          <w:lang w:val="en-GB"/>
        </w:rPr>
        <w:t xml:space="preserve"> Master’s final project</w:t>
      </w:r>
      <w:r w:rsidR="00600535" w:rsidRPr="00B57B36">
        <w:rPr>
          <w:lang w:val="en-GB"/>
        </w:rPr>
        <w:t>.</w:t>
      </w: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1FF691DB" w14:textId="4E5FCD72" w:rsidR="00E919DD" w:rsidRPr="00461CDB" w:rsidRDefault="00E919DD" w:rsidP="00461CDB">
      <w:pPr>
        <w:pStyle w:val="CETReferencetext"/>
      </w:pPr>
      <w:r w:rsidRPr="00461CDB">
        <w:t>Anet, R., 1962. The photodimers of coumarin and related compounds. Can. J. Chem. 40, 1249–1257.</w:t>
      </w:r>
    </w:p>
    <w:p w14:paraId="51463B06" w14:textId="77777777" w:rsidR="00E919DD" w:rsidRPr="00461CDB" w:rsidRDefault="00E919DD" w:rsidP="00461CDB">
      <w:pPr>
        <w:pStyle w:val="CETReferencetext"/>
      </w:pPr>
      <w:r w:rsidRPr="00461CDB">
        <w:t>Beckman, I.N., Syrtsova, D.А., Shalygin, M.G., Kandasamy, P., Teplyakov, V.V., 2020. Transmembrane gas transfer: Mathematics of diffusion and experimental practice. Journal of Membrane Science 601, 117737.</w:t>
      </w:r>
    </w:p>
    <w:p w14:paraId="0E53456D" w14:textId="77777777" w:rsidR="00E919DD" w:rsidRPr="00461CDB" w:rsidRDefault="00E919DD" w:rsidP="00461CDB">
      <w:pPr>
        <w:pStyle w:val="CETReferencetext"/>
      </w:pPr>
      <w:r w:rsidRPr="00461CDB">
        <w:t>Cazin, I., Rossegger, E., Guedes de la Cruz, G., Griesser, T., Schlögl, S., 2021. Recent Advances in Functional Polymers Containing Coumarin Chromophores. Polymers 13, 56.</w:t>
      </w:r>
    </w:p>
    <w:p w14:paraId="2B9B1DD2" w14:textId="77777777" w:rsidR="00E919DD" w:rsidRPr="00461CDB" w:rsidRDefault="00E919DD" w:rsidP="00461CDB">
      <w:pPr>
        <w:pStyle w:val="CETReferencetext"/>
      </w:pPr>
      <w:r w:rsidRPr="00461CDB">
        <w:t>Ciamician, G., Silber, P., 1902. Chemische Lichtwirkungen. Berichte der deutschen chemischen Gesellschaft 35, 4128–4131.</w:t>
      </w:r>
    </w:p>
    <w:p w14:paraId="78D3D61B" w14:textId="77777777" w:rsidR="00E919DD" w:rsidRPr="00461CDB" w:rsidRDefault="00E919DD" w:rsidP="00461CDB">
      <w:pPr>
        <w:pStyle w:val="CETReferencetext"/>
      </w:pPr>
      <w:r w:rsidRPr="00461CDB">
        <w:t>Cinar Ciftci, G., Larsson, P.A., Riazanova, A.V., Øvrebø, H.H., Wågberg, L., Berglund, L.A., 2020. Tailoring of rheological properties and structural polydispersity effects in microfibrillated cellulose suspensions. Cellulose 27, 9227–9241.</w:t>
      </w:r>
    </w:p>
    <w:p w14:paraId="71C9BB52" w14:textId="77777777" w:rsidR="00E919DD" w:rsidRPr="00461CDB" w:rsidRDefault="00E919DD" w:rsidP="00461CDB">
      <w:pPr>
        <w:pStyle w:val="CETReferencetext"/>
      </w:pPr>
      <w:r w:rsidRPr="00461CDB">
        <w:t>Dalle Vacche, S., Karunakaran, V., Ronchetti, S.M., Vitale, A., Bongiovanni, R., 2021. Nanocellulose from Unbleached Hemp Fibers as a Filler for Biobased Photocured Composites with Epoxidized Cardanol. Journal of Composites Science 5, 11.</w:t>
      </w:r>
    </w:p>
    <w:p w14:paraId="6324402F" w14:textId="77777777" w:rsidR="00E919DD" w:rsidRPr="00461CDB" w:rsidRDefault="00E919DD" w:rsidP="00461CDB">
      <w:pPr>
        <w:pStyle w:val="CETReferencetext"/>
      </w:pPr>
      <w:r w:rsidRPr="00461CDB">
        <w:t>Dalle Vacche, S., Vitale, A., Bongiovanni, R., 2019. Photocuring of Epoxidized Cardanol for Biobased Composites with Microfibrillated Cellulose. Molecules 24, 3858.</w:t>
      </w:r>
    </w:p>
    <w:p w14:paraId="00BF2D9C" w14:textId="77777777" w:rsidR="00E919DD" w:rsidRPr="00461CDB" w:rsidRDefault="00E919DD" w:rsidP="00461CDB">
      <w:pPr>
        <w:pStyle w:val="CETReferencetext"/>
      </w:pPr>
      <w:r w:rsidRPr="00461CDB">
        <w:t>Demuner, I., Colodette, J.L., Gomes, F.J.B., Oliveira, R.C., 2019. Production and Characterization of Cnf and Lcnf, and Manufacture of Lcnf-nanostructured Packaging Papers. Chemical Engineering Transactions 73, 43–48.</w:t>
      </w:r>
    </w:p>
    <w:p w14:paraId="414567AE" w14:textId="77777777" w:rsidR="00E919DD" w:rsidRPr="00461CDB" w:rsidRDefault="00E919DD" w:rsidP="00461CDB">
      <w:pPr>
        <w:pStyle w:val="CETReferencetext"/>
      </w:pPr>
      <w:r w:rsidRPr="00461CDB">
        <w:t>Goncalves, A.P., Cruz, A., Sales, J., Souza, M., Silva, F., Guimaraes, D., Mattedi, S., Jose, N., 2016. Achievement and Characterization of Cellulose Nanowhiskers of Palm (Elaeis Guineensis) and Bromelia Fibers (Neoglaziovia Variegate). Chemical Engineering Transactions 50, 403–408.</w:t>
      </w:r>
    </w:p>
    <w:p w14:paraId="1EA745EC" w14:textId="77777777" w:rsidR="00E919DD" w:rsidRPr="00461CDB" w:rsidRDefault="00E919DD" w:rsidP="00461CDB">
      <w:pPr>
        <w:pStyle w:val="CETReferencetext"/>
      </w:pPr>
      <w:r w:rsidRPr="00461CDB">
        <w:t>Hasegawa, M., Suzuki, Y., Kita, N., 1972. Photocleavage of coumarin dimers. Chem. Lett. 1, 317–320.</w:t>
      </w:r>
    </w:p>
    <w:p w14:paraId="12322729" w14:textId="77777777" w:rsidR="00E919DD" w:rsidRPr="00461CDB" w:rsidRDefault="00E919DD" w:rsidP="00461CDB">
      <w:pPr>
        <w:pStyle w:val="CETReferencetext"/>
      </w:pPr>
      <w:r w:rsidRPr="00461CDB">
        <w:t>Larsson, P.A., Riazanova, A.V., Cinar Ciftci, G., Rojas, R., Øvrebø, H.H., Wågberg, L., Berglund, L.A., 2019. Towards optimised size distribution in commercial microfibrillated cellulose: a fractionation approach. Cellulose 26, 1565–1575.</w:t>
      </w:r>
    </w:p>
    <w:p w14:paraId="2914FAC1" w14:textId="77777777" w:rsidR="00E919DD" w:rsidRPr="00461CDB" w:rsidRDefault="00E919DD" w:rsidP="00461CDB">
      <w:pPr>
        <w:pStyle w:val="CETReferencetext"/>
      </w:pPr>
      <w:r w:rsidRPr="00461CDB">
        <w:t>Lebeau, J., Efromson, J.P., Lynch, M.D., 2020. A Review of the Biotechnological Production of Methacrylic Acid. Frontiers in Bioengineering and Biotechnology 8.</w:t>
      </w:r>
    </w:p>
    <w:p w14:paraId="24E4940F" w14:textId="77777777" w:rsidR="00E919DD" w:rsidRPr="00461CDB" w:rsidRDefault="00E919DD" w:rsidP="00461CDB">
      <w:pPr>
        <w:pStyle w:val="CETReferencetext"/>
      </w:pPr>
      <w:r w:rsidRPr="00461CDB">
        <w:t>Molina-Gutiérrez, S., Ladmiral, V., Bongiovanni, R., Caillol, S., Lacroix-Desmazes, P., 2019a. Radical polymerization of biobased monomers in aqueous dispersed media. Green Chem. 21, 36–53.</w:t>
      </w:r>
    </w:p>
    <w:p w14:paraId="7010C409" w14:textId="77777777" w:rsidR="00E919DD" w:rsidRPr="00461CDB" w:rsidRDefault="00E919DD" w:rsidP="00461CDB">
      <w:pPr>
        <w:pStyle w:val="CETReferencetext"/>
      </w:pPr>
      <w:r w:rsidRPr="00461CDB">
        <w:t>Molina-Gutiérrez, S., Ladmiral, V., Bongiovanni, R., Caillol, S., Lacroix-Desmazes, P., 2019b. Emulsion Polymerization of Dihydroeugenol-, Eugenol-, and Isoeugenol-Derived Methacrylates. Ind. Eng. Chem. Res. 58, 21155–21164.</w:t>
      </w:r>
    </w:p>
    <w:p w14:paraId="4E3D7D23" w14:textId="77777777" w:rsidR="00E919DD" w:rsidRPr="00461CDB" w:rsidRDefault="00E919DD" w:rsidP="00461CDB">
      <w:pPr>
        <w:pStyle w:val="CETReferencetext"/>
      </w:pPr>
      <w:r w:rsidRPr="00461CDB">
        <w:t>Molina-Gutiérrez, S., Manseri, A., Ladmiral, V., Bongiovanni, R., Caillol, S., Lacroix-Desmazes, P., 2019c. Eugenol: A Promising Building Block for Synthesis of Radically Polymerizable Monomers. Macromolecular Chemistry and Physics 220, 1900179.</w:t>
      </w:r>
    </w:p>
    <w:p w14:paraId="27F688E6" w14:textId="77777777" w:rsidR="00E919DD" w:rsidRPr="00461CDB" w:rsidRDefault="00E919DD" w:rsidP="00461CDB">
      <w:pPr>
        <w:pStyle w:val="CETReferencetext"/>
      </w:pPr>
      <w:r w:rsidRPr="00461CDB">
        <w:t>Nair, S.S., Zhu, J., Deng, Y., Ragauskas, A.J., 2014. High performance green barriers based on nanocellulose. Sustainable Chemical Processes 2, 23.</w:t>
      </w:r>
    </w:p>
    <w:p w14:paraId="37EEA996" w14:textId="77777777" w:rsidR="00E919DD" w:rsidRPr="00461CDB" w:rsidRDefault="00E919DD" w:rsidP="00461CDB">
      <w:pPr>
        <w:pStyle w:val="CETReferencetext"/>
      </w:pPr>
      <w:r w:rsidRPr="00461CDB">
        <w:t>Oh, J.K., Stöeva, V., Rademacher, J., Farwaha, R., Winnik, M.A., 2004. Synthesis, characterization, and emulsion polymerization of polymerizable coumarin derivatives. Journal of Polymer Science Part A: Polymer Chemistry 42, 3479–3489.</w:t>
      </w:r>
    </w:p>
    <w:p w14:paraId="59ECA4A6" w14:textId="77777777" w:rsidR="00E919DD" w:rsidRPr="00461CDB" w:rsidRDefault="00E919DD" w:rsidP="00461CDB">
      <w:pPr>
        <w:pStyle w:val="CETReferencetext"/>
      </w:pPr>
      <w:r w:rsidRPr="00461CDB">
        <w:t>Pescarmona, P.P., 2021. Cyclic carbonates synthesised from CO2: Applications, challenges and recent research trends. Current Opinion in Green and Sustainable Chemistry 29, 100457.</w:t>
      </w:r>
    </w:p>
    <w:p w14:paraId="6675673E" w14:textId="77777777" w:rsidR="00E919DD" w:rsidRPr="00461CDB" w:rsidRDefault="00E919DD" w:rsidP="00461CDB">
      <w:pPr>
        <w:pStyle w:val="CETReferencetext"/>
      </w:pPr>
      <w:r w:rsidRPr="00461CDB">
        <w:t>Qiu, Y., Munna, D.-R., Wang, F., Xi, J., Wang, Z., Wu, D., 2021. Regulating Asynchronous Deformations of Biopolyester Elastomers via Photoprogramming and Strain-Induced Crystallization. Macromolecules 54, 5694–5704.</w:t>
      </w:r>
    </w:p>
    <w:p w14:paraId="4106A7CA" w14:textId="77777777" w:rsidR="00E919DD" w:rsidRPr="00461CDB" w:rsidRDefault="00E919DD" w:rsidP="00461CDB">
      <w:pPr>
        <w:pStyle w:val="CETReferencetext"/>
      </w:pPr>
      <w:r w:rsidRPr="00461CDB">
        <w:t>Vitale, A., Molina-Gutiérrez, S., Li, W.S.J., Caillol, S., Ladmiral, V., Lacroix-Desmazes, P., Dalle Vacche, S., 2022. Biobased Composites by Photoinduced Polymerization of Cardanol Methacrylate with Microfibrillated Cellulose. Materials 15, 339.</w:t>
      </w:r>
    </w:p>
    <w:p w14:paraId="762FF0EB" w14:textId="3F80E1B6" w:rsidR="00973746" w:rsidRPr="00461CDB" w:rsidRDefault="00E919DD" w:rsidP="00461CDB">
      <w:pPr>
        <w:pStyle w:val="CETReferencetext"/>
      </w:pPr>
      <w:r w:rsidRPr="00461CDB">
        <w:t>Wong, C.S., Hassan, N.I., Su’ait, M.S., Pelach Serra, M.A., Mendez Gonzalez, J.A., Granda, L.A., Badri, K.H., 2019. Photo-activated self-healing bio-based polyurethanes. Industrial Crops and Products 140, 111613.</w:t>
      </w:r>
    </w:p>
    <w:sectPr w:rsidR="00973746" w:rsidRPr="00461CDB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A511" w14:textId="77777777" w:rsidR="00456A0F" w:rsidRDefault="00456A0F" w:rsidP="004F5E36">
      <w:r>
        <w:separator/>
      </w:r>
    </w:p>
  </w:endnote>
  <w:endnote w:type="continuationSeparator" w:id="0">
    <w:p w14:paraId="064566C8" w14:textId="77777777" w:rsidR="00456A0F" w:rsidRDefault="00456A0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B641" w14:textId="77777777" w:rsidR="00456A0F" w:rsidRDefault="00456A0F" w:rsidP="004F5E36">
      <w:r>
        <w:separator/>
      </w:r>
    </w:p>
  </w:footnote>
  <w:footnote w:type="continuationSeparator" w:id="0">
    <w:p w14:paraId="641B9385" w14:textId="77777777" w:rsidR="00456A0F" w:rsidRDefault="00456A0F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73605"/>
    <w:multiLevelType w:val="hybridMultilevel"/>
    <w:tmpl w:val="0D2C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930600"/>
    <w:multiLevelType w:val="hybridMultilevel"/>
    <w:tmpl w:val="2318D2EE"/>
    <w:lvl w:ilvl="0" w:tplc="008C6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4"/>
  </w:num>
  <w:num w:numId="14">
    <w:abstractNumId w:val="19"/>
  </w:num>
  <w:num w:numId="15">
    <w:abstractNumId w:val="21"/>
  </w:num>
  <w:num w:numId="16">
    <w:abstractNumId w:val="20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D5D"/>
    <w:rsid w:val="000027C0"/>
    <w:rsid w:val="00003E22"/>
    <w:rsid w:val="000040C5"/>
    <w:rsid w:val="000052FB"/>
    <w:rsid w:val="00005B88"/>
    <w:rsid w:val="000117CB"/>
    <w:rsid w:val="00023925"/>
    <w:rsid w:val="0003148D"/>
    <w:rsid w:val="00041299"/>
    <w:rsid w:val="00051566"/>
    <w:rsid w:val="00051E3F"/>
    <w:rsid w:val="0006043F"/>
    <w:rsid w:val="00062A9A"/>
    <w:rsid w:val="00065058"/>
    <w:rsid w:val="000658EC"/>
    <w:rsid w:val="00071DC3"/>
    <w:rsid w:val="00086C39"/>
    <w:rsid w:val="000A0090"/>
    <w:rsid w:val="000A03B2"/>
    <w:rsid w:val="000B2888"/>
    <w:rsid w:val="000B748A"/>
    <w:rsid w:val="000D34BE"/>
    <w:rsid w:val="000D47B5"/>
    <w:rsid w:val="000D59EE"/>
    <w:rsid w:val="000D7283"/>
    <w:rsid w:val="000E035E"/>
    <w:rsid w:val="000E102F"/>
    <w:rsid w:val="000E36F1"/>
    <w:rsid w:val="000E3A73"/>
    <w:rsid w:val="000E414A"/>
    <w:rsid w:val="000E4E3A"/>
    <w:rsid w:val="000F093C"/>
    <w:rsid w:val="000F2DDA"/>
    <w:rsid w:val="000F6819"/>
    <w:rsid w:val="000F7200"/>
    <w:rsid w:val="000F787B"/>
    <w:rsid w:val="0010096B"/>
    <w:rsid w:val="00116444"/>
    <w:rsid w:val="0012091F"/>
    <w:rsid w:val="001221BF"/>
    <w:rsid w:val="00126BC2"/>
    <w:rsid w:val="00126BFE"/>
    <w:rsid w:val="001308B6"/>
    <w:rsid w:val="0013121F"/>
    <w:rsid w:val="0013172D"/>
    <w:rsid w:val="00131FE6"/>
    <w:rsid w:val="0013263F"/>
    <w:rsid w:val="00132BDE"/>
    <w:rsid w:val="00134DE4"/>
    <w:rsid w:val="0014034D"/>
    <w:rsid w:val="0014464F"/>
    <w:rsid w:val="00150E59"/>
    <w:rsid w:val="00152DE3"/>
    <w:rsid w:val="001535B0"/>
    <w:rsid w:val="00164CF9"/>
    <w:rsid w:val="0016762A"/>
    <w:rsid w:val="00171956"/>
    <w:rsid w:val="00173773"/>
    <w:rsid w:val="00180860"/>
    <w:rsid w:val="001822E7"/>
    <w:rsid w:val="001824DF"/>
    <w:rsid w:val="0018490D"/>
    <w:rsid w:val="00184AD6"/>
    <w:rsid w:val="0019205B"/>
    <w:rsid w:val="001A397E"/>
    <w:rsid w:val="001A499C"/>
    <w:rsid w:val="001A5B78"/>
    <w:rsid w:val="001B02CF"/>
    <w:rsid w:val="001B0349"/>
    <w:rsid w:val="001B0E5F"/>
    <w:rsid w:val="001B56E5"/>
    <w:rsid w:val="001B65C1"/>
    <w:rsid w:val="001C4B7F"/>
    <w:rsid w:val="001C684B"/>
    <w:rsid w:val="001D53FC"/>
    <w:rsid w:val="001F2D81"/>
    <w:rsid w:val="001F32DC"/>
    <w:rsid w:val="001F42A5"/>
    <w:rsid w:val="001F7B9D"/>
    <w:rsid w:val="00201534"/>
    <w:rsid w:val="0020664F"/>
    <w:rsid w:val="002106AB"/>
    <w:rsid w:val="0021154F"/>
    <w:rsid w:val="00215E41"/>
    <w:rsid w:val="00217F9C"/>
    <w:rsid w:val="00220713"/>
    <w:rsid w:val="002224B4"/>
    <w:rsid w:val="00224E48"/>
    <w:rsid w:val="002318DE"/>
    <w:rsid w:val="002447EF"/>
    <w:rsid w:val="00251550"/>
    <w:rsid w:val="00252BD1"/>
    <w:rsid w:val="00253AFA"/>
    <w:rsid w:val="00254784"/>
    <w:rsid w:val="00257B13"/>
    <w:rsid w:val="00263B05"/>
    <w:rsid w:val="00267E0B"/>
    <w:rsid w:val="0027221A"/>
    <w:rsid w:val="00272288"/>
    <w:rsid w:val="00275B61"/>
    <w:rsid w:val="002819D5"/>
    <w:rsid w:val="00282656"/>
    <w:rsid w:val="00287EA2"/>
    <w:rsid w:val="00290146"/>
    <w:rsid w:val="002940F4"/>
    <w:rsid w:val="00296B83"/>
    <w:rsid w:val="0029789E"/>
    <w:rsid w:val="002A0C35"/>
    <w:rsid w:val="002A523D"/>
    <w:rsid w:val="002B4FC7"/>
    <w:rsid w:val="002B5977"/>
    <w:rsid w:val="002B6204"/>
    <w:rsid w:val="002B78CE"/>
    <w:rsid w:val="002C2FB6"/>
    <w:rsid w:val="002C33CA"/>
    <w:rsid w:val="002C66BF"/>
    <w:rsid w:val="002D3FDB"/>
    <w:rsid w:val="002F2329"/>
    <w:rsid w:val="002F28F1"/>
    <w:rsid w:val="003009B7"/>
    <w:rsid w:val="00300E56"/>
    <w:rsid w:val="0030469C"/>
    <w:rsid w:val="003053EC"/>
    <w:rsid w:val="00305BE7"/>
    <w:rsid w:val="0032132A"/>
    <w:rsid w:val="00321CA6"/>
    <w:rsid w:val="00326199"/>
    <w:rsid w:val="00334C09"/>
    <w:rsid w:val="00347C4A"/>
    <w:rsid w:val="00353DF3"/>
    <w:rsid w:val="003563DD"/>
    <w:rsid w:val="00365BF5"/>
    <w:rsid w:val="003723D4"/>
    <w:rsid w:val="003775C9"/>
    <w:rsid w:val="0038073D"/>
    <w:rsid w:val="00383F4B"/>
    <w:rsid w:val="00384CC8"/>
    <w:rsid w:val="0038636D"/>
    <w:rsid w:val="00387159"/>
    <w:rsid w:val="003871FD"/>
    <w:rsid w:val="003A1E30"/>
    <w:rsid w:val="003A2211"/>
    <w:rsid w:val="003A7D1C"/>
    <w:rsid w:val="003B0EC1"/>
    <w:rsid w:val="003B304B"/>
    <w:rsid w:val="003B3146"/>
    <w:rsid w:val="003B791E"/>
    <w:rsid w:val="003C6670"/>
    <w:rsid w:val="003D6D61"/>
    <w:rsid w:val="003E273E"/>
    <w:rsid w:val="003E4DAD"/>
    <w:rsid w:val="003F015E"/>
    <w:rsid w:val="003F4209"/>
    <w:rsid w:val="003F6E26"/>
    <w:rsid w:val="00400414"/>
    <w:rsid w:val="00400D01"/>
    <w:rsid w:val="0040652B"/>
    <w:rsid w:val="004122AA"/>
    <w:rsid w:val="0041446B"/>
    <w:rsid w:val="0041775C"/>
    <w:rsid w:val="00420025"/>
    <w:rsid w:val="00433E03"/>
    <w:rsid w:val="0044329C"/>
    <w:rsid w:val="00443FE8"/>
    <w:rsid w:val="00456083"/>
    <w:rsid w:val="00456A0F"/>
    <w:rsid w:val="004577FE"/>
    <w:rsid w:val="00457B9C"/>
    <w:rsid w:val="0046164A"/>
    <w:rsid w:val="00461CDB"/>
    <w:rsid w:val="004628D2"/>
    <w:rsid w:val="00462DCD"/>
    <w:rsid w:val="004648AD"/>
    <w:rsid w:val="0046558B"/>
    <w:rsid w:val="004674D9"/>
    <w:rsid w:val="004703A9"/>
    <w:rsid w:val="00474B6F"/>
    <w:rsid w:val="004760DE"/>
    <w:rsid w:val="00476ED1"/>
    <w:rsid w:val="004945B2"/>
    <w:rsid w:val="00497529"/>
    <w:rsid w:val="004A004E"/>
    <w:rsid w:val="004A24CF"/>
    <w:rsid w:val="004A4DE6"/>
    <w:rsid w:val="004A7267"/>
    <w:rsid w:val="004B6C74"/>
    <w:rsid w:val="004C3D1D"/>
    <w:rsid w:val="004C7913"/>
    <w:rsid w:val="004E17FA"/>
    <w:rsid w:val="004E3812"/>
    <w:rsid w:val="004E4DD6"/>
    <w:rsid w:val="004E7CFF"/>
    <w:rsid w:val="004F5E36"/>
    <w:rsid w:val="004F6A80"/>
    <w:rsid w:val="005036D8"/>
    <w:rsid w:val="00503DFA"/>
    <w:rsid w:val="0050635A"/>
    <w:rsid w:val="00507B47"/>
    <w:rsid w:val="00507CC9"/>
    <w:rsid w:val="005119A5"/>
    <w:rsid w:val="0051595F"/>
    <w:rsid w:val="00516AD7"/>
    <w:rsid w:val="00516D93"/>
    <w:rsid w:val="0051762F"/>
    <w:rsid w:val="0052262F"/>
    <w:rsid w:val="00526C9D"/>
    <w:rsid w:val="005278B7"/>
    <w:rsid w:val="00532016"/>
    <w:rsid w:val="00534092"/>
    <w:rsid w:val="005346C8"/>
    <w:rsid w:val="0053479C"/>
    <w:rsid w:val="00534B7A"/>
    <w:rsid w:val="00543E7D"/>
    <w:rsid w:val="0054781E"/>
    <w:rsid w:val="00547A68"/>
    <w:rsid w:val="00551511"/>
    <w:rsid w:val="005531C9"/>
    <w:rsid w:val="0055776E"/>
    <w:rsid w:val="0056005D"/>
    <w:rsid w:val="005602BE"/>
    <w:rsid w:val="0057613C"/>
    <w:rsid w:val="00581143"/>
    <w:rsid w:val="0058353A"/>
    <w:rsid w:val="00584CD8"/>
    <w:rsid w:val="00587EB0"/>
    <w:rsid w:val="00592C5E"/>
    <w:rsid w:val="005A10F3"/>
    <w:rsid w:val="005A3E9C"/>
    <w:rsid w:val="005A4400"/>
    <w:rsid w:val="005A62FA"/>
    <w:rsid w:val="005B2110"/>
    <w:rsid w:val="005B3A18"/>
    <w:rsid w:val="005B4A93"/>
    <w:rsid w:val="005B61E6"/>
    <w:rsid w:val="005B6476"/>
    <w:rsid w:val="005C18B7"/>
    <w:rsid w:val="005C5B67"/>
    <w:rsid w:val="005C77E1"/>
    <w:rsid w:val="005D6A2F"/>
    <w:rsid w:val="005E1A82"/>
    <w:rsid w:val="005E794C"/>
    <w:rsid w:val="005F0A28"/>
    <w:rsid w:val="005F0E5E"/>
    <w:rsid w:val="005F7D51"/>
    <w:rsid w:val="00600535"/>
    <w:rsid w:val="00602CCC"/>
    <w:rsid w:val="006037B4"/>
    <w:rsid w:val="00610CD6"/>
    <w:rsid w:val="00613C01"/>
    <w:rsid w:val="00620C11"/>
    <w:rsid w:val="00620DEE"/>
    <w:rsid w:val="00621F92"/>
    <w:rsid w:val="00625639"/>
    <w:rsid w:val="00631B33"/>
    <w:rsid w:val="006326DA"/>
    <w:rsid w:val="006349BB"/>
    <w:rsid w:val="00637A5F"/>
    <w:rsid w:val="006406E9"/>
    <w:rsid w:val="0064184D"/>
    <w:rsid w:val="006438EF"/>
    <w:rsid w:val="0064399B"/>
    <w:rsid w:val="00652396"/>
    <w:rsid w:val="00653D2E"/>
    <w:rsid w:val="00660E3E"/>
    <w:rsid w:val="00662E74"/>
    <w:rsid w:val="00672CEE"/>
    <w:rsid w:val="00680C23"/>
    <w:rsid w:val="006859B8"/>
    <w:rsid w:val="00693766"/>
    <w:rsid w:val="006A3281"/>
    <w:rsid w:val="006B4888"/>
    <w:rsid w:val="006C2E45"/>
    <w:rsid w:val="006C359C"/>
    <w:rsid w:val="006C5579"/>
    <w:rsid w:val="006D59A1"/>
    <w:rsid w:val="006D5DCF"/>
    <w:rsid w:val="006E065B"/>
    <w:rsid w:val="006E0CB2"/>
    <w:rsid w:val="006E4987"/>
    <w:rsid w:val="006E737D"/>
    <w:rsid w:val="006F1062"/>
    <w:rsid w:val="006F3A8B"/>
    <w:rsid w:val="006F6AA0"/>
    <w:rsid w:val="00703D65"/>
    <w:rsid w:val="00706873"/>
    <w:rsid w:val="00714F2B"/>
    <w:rsid w:val="00715504"/>
    <w:rsid w:val="0072022D"/>
    <w:rsid w:val="00720A24"/>
    <w:rsid w:val="00723B9C"/>
    <w:rsid w:val="00725703"/>
    <w:rsid w:val="00732386"/>
    <w:rsid w:val="00732D5E"/>
    <w:rsid w:val="00734DD8"/>
    <w:rsid w:val="00736C79"/>
    <w:rsid w:val="00742C2A"/>
    <w:rsid w:val="007447F3"/>
    <w:rsid w:val="0075499F"/>
    <w:rsid w:val="007558BC"/>
    <w:rsid w:val="00760D85"/>
    <w:rsid w:val="00762BEA"/>
    <w:rsid w:val="00762C2A"/>
    <w:rsid w:val="007661C8"/>
    <w:rsid w:val="00766F9B"/>
    <w:rsid w:val="0077098D"/>
    <w:rsid w:val="00797A16"/>
    <w:rsid w:val="007A22CC"/>
    <w:rsid w:val="007A2C4D"/>
    <w:rsid w:val="007A7BBA"/>
    <w:rsid w:val="007B0C50"/>
    <w:rsid w:val="007B0C7E"/>
    <w:rsid w:val="007B0D0E"/>
    <w:rsid w:val="007B4397"/>
    <w:rsid w:val="007B4945"/>
    <w:rsid w:val="007B57B3"/>
    <w:rsid w:val="007C1A43"/>
    <w:rsid w:val="007D018E"/>
    <w:rsid w:val="007E0614"/>
    <w:rsid w:val="007E2625"/>
    <w:rsid w:val="00803985"/>
    <w:rsid w:val="00807545"/>
    <w:rsid w:val="00811DCF"/>
    <w:rsid w:val="00813288"/>
    <w:rsid w:val="00814CA2"/>
    <w:rsid w:val="00814F65"/>
    <w:rsid w:val="00815B3C"/>
    <w:rsid w:val="008168FC"/>
    <w:rsid w:val="0082000F"/>
    <w:rsid w:val="00830996"/>
    <w:rsid w:val="008345F1"/>
    <w:rsid w:val="00834EE4"/>
    <w:rsid w:val="00843D5E"/>
    <w:rsid w:val="00850779"/>
    <w:rsid w:val="00865B07"/>
    <w:rsid w:val="008667EA"/>
    <w:rsid w:val="00873D70"/>
    <w:rsid w:val="008745EF"/>
    <w:rsid w:val="0087637F"/>
    <w:rsid w:val="00877211"/>
    <w:rsid w:val="00883CE2"/>
    <w:rsid w:val="008919F8"/>
    <w:rsid w:val="00892122"/>
    <w:rsid w:val="00892AD5"/>
    <w:rsid w:val="008A020A"/>
    <w:rsid w:val="008A0A76"/>
    <w:rsid w:val="008A1512"/>
    <w:rsid w:val="008A4035"/>
    <w:rsid w:val="008A5C5F"/>
    <w:rsid w:val="008A7BB7"/>
    <w:rsid w:val="008B3819"/>
    <w:rsid w:val="008B405F"/>
    <w:rsid w:val="008B5920"/>
    <w:rsid w:val="008C5C77"/>
    <w:rsid w:val="008D0CA2"/>
    <w:rsid w:val="008D433B"/>
    <w:rsid w:val="008E10C5"/>
    <w:rsid w:val="008E29BB"/>
    <w:rsid w:val="008E566E"/>
    <w:rsid w:val="008F4493"/>
    <w:rsid w:val="008F71CB"/>
    <w:rsid w:val="0090161A"/>
    <w:rsid w:val="00901EB6"/>
    <w:rsid w:val="00904C62"/>
    <w:rsid w:val="00910A43"/>
    <w:rsid w:val="00913F14"/>
    <w:rsid w:val="00924DAC"/>
    <w:rsid w:val="00927058"/>
    <w:rsid w:val="0093099A"/>
    <w:rsid w:val="00931C9E"/>
    <w:rsid w:val="00935052"/>
    <w:rsid w:val="00940767"/>
    <w:rsid w:val="009450CE"/>
    <w:rsid w:val="00947179"/>
    <w:rsid w:val="0095068F"/>
    <w:rsid w:val="0095094B"/>
    <w:rsid w:val="0095164B"/>
    <w:rsid w:val="00954090"/>
    <w:rsid w:val="009573E7"/>
    <w:rsid w:val="00960B87"/>
    <w:rsid w:val="009627C9"/>
    <w:rsid w:val="00962D01"/>
    <w:rsid w:val="00963E05"/>
    <w:rsid w:val="00967D54"/>
    <w:rsid w:val="00973746"/>
    <w:rsid w:val="00975A23"/>
    <w:rsid w:val="00984A67"/>
    <w:rsid w:val="0099613D"/>
    <w:rsid w:val="00996453"/>
    <w:rsid w:val="00996483"/>
    <w:rsid w:val="00996F5A"/>
    <w:rsid w:val="009A3D8F"/>
    <w:rsid w:val="009A4A58"/>
    <w:rsid w:val="009A667F"/>
    <w:rsid w:val="009B041A"/>
    <w:rsid w:val="009B7528"/>
    <w:rsid w:val="009C28E3"/>
    <w:rsid w:val="009C7C86"/>
    <w:rsid w:val="009D27F7"/>
    <w:rsid w:val="009D2FF7"/>
    <w:rsid w:val="009D3A61"/>
    <w:rsid w:val="009D4C50"/>
    <w:rsid w:val="009D773F"/>
    <w:rsid w:val="009E3EC6"/>
    <w:rsid w:val="009E715A"/>
    <w:rsid w:val="009E7884"/>
    <w:rsid w:val="009E788A"/>
    <w:rsid w:val="009F0E08"/>
    <w:rsid w:val="009F7BA0"/>
    <w:rsid w:val="009F7F64"/>
    <w:rsid w:val="00A0056D"/>
    <w:rsid w:val="00A07C08"/>
    <w:rsid w:val="00A1763D"/>
    <w:rsid w:val="00A17CEC"/>
    <w:rsid w:val="00A22A23"/>
    <w:rsid w:val="00A25920"/>
    <w:rsid w:val="00A27EF0"/>
    <w:rsid w:val="00A30313"/>
    <w:rsid w:val="00A30660"/>
    <w:rsid w:val="00A338BD"/>
    <w:rsid w:val="00A3460B"/>
    <w:rsid w:val="00A50B20"/>
    <w:rsid w:val="00A51390"/>
    <w:rsid w:val="00A53B68"/>
    <w:rsid w:val="00A60869"/>
    <w:rsid w:val="00A60D13"/>
    <w:rsid w:val="00A66FF5"/>
    <w:rsid w:val="00A7212E"/>
    <w:rsid w:val="00A72745"/>
    <w:rsid w:val="00A74ACE"/>
    <w:rsid w:val="00A763A2"/>
    <w:rsid w:val="00A76EFC"/>
    <w:rsid w:val="00A80851"/>
    <w:rsid w:val="00A82750"/>
    <w:rsid w:val="00A91010"/>
    <w:rsid w:val="00A96099"/>
    <w:rsid w:val="00A974DF"/>
    <w:rsid w:val="00A97E95"/>
    <w:rsid w:val="00A97F29"/>
    <w:rsid w:val="00AA702E"/>
    <w:rsid w:val="00AB01E7"/>
    <w:rsid w:val="00AB0964"/>
    <w:rsid w:val="00AB415C"/>
    <w:rsid w:val="00AB5011"/>
    <w:rsid w:val="00AB56BE"/>
    <w:rsid w:val="00AB6E4F"/>
    <w:rsid w:val="00AB6EF7"/>
    <w:rsid w:val="00AC3E53"/>
    <w:rsid w:val="00AC7368"/>
    <w:rsid w:val="00AD16B9"/>
    <w:rsid w:val="00AE377D"/>
    <w:rsid w:val="00AE3A48"/>
    <w:rsid w:val="00B129E5"/>
    <w:rsid w:val="00B1457D"/>
    <w:rsid w:val="00B17FBD"/>
    <w:rsid w:val="00B2601A"/>
    <w:rsid w:val="00B315A6"/>
    <w:rsid w:val="00B31813"/>
    <w:rsid w:val="00B33365"/>
    <w:rsid w:val="00B4066A"/>
    <w:rsid w:val="00B40EC8"/>
    <w:rsid w:val="00B410CB"/>
    <w:rsid w:val="00B53C7B"/>
    <w:rsid w:val="00B57487"/>
    <w:rsid w:val="00B5755B"/>
    <w:rsid w:val="00B577C1"/>
    <w:rsid w:val="00B57B36"/>
    <w:rsid w:val="00B61A0A"/>
    <w:rsid w:val="00B739A8"/>
    <w:rsid w:val="00B86412"/>
    <w:rsid w:val="00B8686D"/>
    <w:rsid w:val="00B86DCD"/>
    <w:rsid w:val="00B90CD2"/>
    <w:rsid w:val="00B9684E"/>
    <w:rsid w:val="00BA0006"/>
    <w:rsid w:val="00BA3905"/>
    <w:rsid w:val="00BC2F39"/>
    <w:rsid w:val="00BC30C9"/>
    <w:rsid w:val="00BC51A9"/>
    <w:rsid w:val="00BC789C"/>
    <w:rsid w:val="00BD5411"/>
    <w:rsid w:val="00BD5BE7"/>
    <w:rsid w:val="00BD75E2"/>
    <w:rsid w:val="00BD7C36"/>
    <w:rsid w:val="00BD7C89"/>
    <w:rsid w:val="00BE3E58"/>
    <w:rsid w:val="00BF2E07"/>
    <w:rsid w:val="00BF3EB8"/>
    <w:rsid w:val="00C01616"/>
    <w:rsid w:val="00C0162B"/>
    <w:rsid w:val="00C01D4A"/>
    <w:rsid w:val="00C0542C"/>
    <w:rsid w:val="00C169D1"/>
    <w:rsid w:val="00C22AD6"/>
    <w:rsid w:val="00C31C69"/>
    <w:rsid w:val="00C345B1"/>
    <w:rsid w:val="00C351B7"/>
    <w:rsid w:val="00C37D61"/>
    <w:rsid w:val="00C40142"/>
    <w:rsid w:val="00C41235"/>
    <w:rsid w:val="00C4767D"/>
    <w:rsid w:val="00C57182"/>
    <w:rsid w:val="00C57863"/>
    <w:rsid w:val="00C60B73"/>
    <w:rsid w:val="00C655FD"/>
    <w:rsid w:val="00C70643"/>
    <w:rsid w:val="00C71FB5"/>
    <w:rsid w:val="00C77D00"/>
    <w:rsid w:val="00C870A8"/>
    <w:rsid w:val="00C87627"/>
    <w:rsid w:val="00C92B08"/>
    <w:rsid w:val="00C94434"/>
    <w:rsid w:val="00C974C9"/>
    <w:rsid w:val="00C978B8"/>
    <w:rsid w:val="00CA0D75"/>
    <w:rsid w:val="00CA1C95"/>
    <w:rsid w:val="00CA5A9C"/>
    <w:rsid w:val="00CB34FF"/>
    <w:rsid w:val="00CB5145"/>
    <w:rsid w:val="00CC1516"/>
    <w:rsid w:val="00CC2980"/>
    <w:rsid w:val="00CD5FE2"/>
    <w:rsid w:val="00CE7C68"/>
    <w:rsid w:val="00D02B4C"/>
    <w:rsid w:val="00D040C4"/>
    <w:rsid w:val="00D0470B"/>
    <w:rsid w:val="00D04DF3"/>
    <w:rsid w:val="00D1009D"/>
    <w:rsid w:val="00D203ED"/>
    <w:rsid w:val="00D22EEA"/>
    <w:rsid w:val="00D24116"/>
    <w:rsid w:val="00D35D66"/>
    <w:rsid w:val="00D40067"/>
    <w:rsid w:val="00D41CEB"/>
    <w:rsid w:val="00D523A8"/>
    <w:rsid w:val="00D54F2A"/>
    <w:rsid w:val="00D57954"/>
    <w:rsid w:val="00D57C84"/>
    <w:rsid w:val="00D6057D"/>
    <w:rsid w:val="00D640CD"/>
    <w:rsid w:val="00D67AA3"/>
    <w:rsid w:val="00D71E28"/>
    <w:rsid w:val="00D75496"/>
    <w:rsid w:val="00D7615D"/>
    <w:rsid w:val="00D7693D"/>
    <w:rsid w:val="00D84576"/>
    <w:rsid w:val="00D97D78"/>
    <w:rsid w:val="00DA1399"/>
    <w:rsid w:val="00DA24C6"/>
    <w:rsid w:val="00DA4D7B"/>
    <w:rsid w:val="00DA65A9"/>
    <w:rsid w:val="00DB1DBB"/>
    <w:rsid w:val="00DB5A9F"/>
    <w:rsid w:val="00DD4E49"/>
    <w:rsid w:val="00DD770A"/>
    <w:rsid w:val="00DE0EFD"/>
    <w:rsid w:val="00DE1FFD"/>
    <w:rsid w:val="00DE262D"/>
    <w:rsid w:val="00DE264A"/>
    <w:rsid w:val="00DF1D48"/>
    <w:rsid w:val="00E02D18"/>
    <w:rsid w:val="00E041E7"/>
    <w:rsid w:val="00E107BA"/>
    <w:rsid w:val="00E23CA1"/>
    <w:rsid w:val="00E2432F"/>
    <w:rsid w:val="00E3585C"/>
    <w:rsid w:val="00E409A8"/>
    <w:rsid w:val="00E44842"/>
    <w:rsid w:val="00E478C2"/>
    <w:rsid w:val="00E50C12"/>
    <w:rsid w:val="00E65B91"/>
    <w:rsid w:val="00E67B7F"/>
    <w:rsid w:val="00E7209D"/>
    <w:rsid w:val="00E77223"/>
    <w:rsid w:val="00E8528B"/>
    <w:rsid w:val="00E85B94"/>
    <w:rsid w:val="00E9038C"/>
    <w:rsid w:val="00E919DD"/>
    <w:rsid w:val="00E96872"/>
    <w:rsid w:val="00E978D0"/>
    <w:rsid w:val="00EA19B3"/>
    <w:rsid w:val="00EA31E4"/>
    <w:rsid w:val="00EA4613"/>
    <w:rsid w:val="00EA6626"/>
    <w:rsid w:val="00EA7F91"/>
    <w:rsid w:val="00EB1523"/>
    <w:rsid w:val="00EB248F"/>
    <w:rsid w:val="00EC0E49"/>
    <w:rsid w:val="00EC6199"/>
    <w:rsid w:val="00EC6330"/>
    <w:rsid w:val="00EC755C"/>
    <w:rsid w:val="00EE0131"/>
    <w:rsid w:val="00EE1AFB"/>
    <w:rsid w:val="00EE49DC"/>
    <w:rsid w:val="00EF2394"/>
    <w:rsid w:val="00EF53FF"/>
    <w:rsid w:val="00F05B1A"/>
    <w:rsid w:val="00F07BF7"/>
    <w:rsid w:val="00F100F5"/>
    <w:rsid w:val="00F20081"/>
    <w:rsid w:val="00F2013F"/>
    <w:rsid w:val="00F30C64"/>
    <w:rsid w:val="00F31069"/>
    <w:rsid w:val="00F32CDB"/>
    <w:rsid w:val="00F33BF9"/>
    <w:rsid w:val="00F36741"/>
    <w:rsid w:val="00F41623"/>
    <w:rsid w:val="00F43D42"/>
    <w:rsid w:val="00F54D0E"/>
    <w:rsid w:val="00F6192D"/>
    <w:rsid w:val="00F6220F"/>
    <w:rsid w:val="00F63A70"/>
    <w:rsid w:val="00F65FD4"/>
    <w:rsid w:val="00F7304A"/>
    <w:rsid w:val="00F77C74"/>
    <w:rsid w:val="00F80706"/>
    <w:rsid w:val="00F9557F"/>
    <w:rsid w:val="00FA21D0"/>
    <w:rsid w:val="00FA5F5F"/>
    <w:rsid w:val="00FB730C"/>
    <w:rsid w:val="00FB78FD"/>
    <w:rsid w:val="00FC2695"/>
    <w:rsid w:val="00FC3E03"/>
    <w:rsid w:val="00FC3FC1"/>
    <w:rsid w:val="00FC7018"/>
    <w:rsid w:val="00FC798E"/>
    <w:rsid w:val="00FD5491"/>
    <w:rsid w:val="00FD767E"/>
    <w:rsid w:val="00FD76CA"/>
    <w:rsid w:val="00FE2B3C"/>
    <w:rsid w:val="00FE3D3C"/>
    <w:rsid w:val="00FE3D3E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0CC22"/>
  <w14:defaultImageDpi w14:val="330"/>
  <w15:docId w15:val="{03376A1F-6BCA-4A37-BDFF-98F0E2A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A2"/>
    <w:rPr>
      <w:color w:val="605E5C"/>
      <w:shd w:val="clear" w:color="auto" w:fill="E1DFDD"/>
    </w:rPr>
  </w:style>
  <w:style w:type="paragraph" w:customStyle="1" w:styleId="TAMainText">
    <w:name w:val="TA_Main_Text"/>
    <w:basedOn w:val="Normal"/>
    <w:rsid w:val="002F2329"/>
    <w:pPr>
      <w:tabs>
        <w:tab w:val="clear" w:pos="7100"/>
      </w:tabs>
      <w:spacing w:before="120" w:line="480" w:lineRule="auto"/>
      <w:ind w:firstLine="202"/>
    </w:pPr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34"/>
    <w:rsid w:val="00811D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122"/>
    <w:rPr>
      <w:color w:val="808080"/>
    </w:rPr>
  </w:style>
  <w:style w:type="paragraph" w:styleId="Revision">
    <w:name w:val="Revision"/>
    <w:hidden/>
    <w:uiPriority w:val="99"/>
    <w:semiHidden/>
    <w:rsid w:val="00D71E2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hyperlink" Target="mailto:sara.dallevacche@poli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RMF78</b:Tag>
    <b:SourceType>JournalArticle</b:SourceType>
    <b:Guid>{2E86AB0D-4484-4A81-8E64-1DF62DB78A42}</b:Guid>
    <b:Author>
      <b:Author>
        <b:Corporate>R.M. Felder</b:Corporate>
      </b:Author>
    </b:Author>
    <b:Title>Estimation of gas transport coefficients from differential permeation, integral permeation, and sorption rate data</b:Title>
    <b:JournalName>Journal of Membrane Science</b:JournalName>
    <b:Year>1978</b:Year>
    <b:Pages>15-27</b:Pages>
    <b:Volume>15</b:Volume>
    <b:RefOrder>37</b:RefOrder>
  </b:Source>
  <b:Source>
    <b:Tag>Sán18</b:Tag>
    <b:SourceType>JournalArticle</b:SourceType>
    <b:Guid>{AD9A2AC0-AA83-483E-8F3F-15B3A9E590CA}</b:Guid>
    <b:Title>Biocomposites of different lignocellulosic wastes for sustainable food packaging applications</b:Title>
    <b:JournalName>Composites Part B</b:JournalName>
    <b:Year>2018</b:Year>
    <b:Pages>215-225</b:Pages>
    <b:Volume>145</b:Volume>
    <b:Author>
      <b:Author>
        <b:Corporate>E. L. Sánchez-Safont, A. Aldureid, J. M. Lagarón, J. Gámez-Pérez, L. Cabedo</b:Corporate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95A5BC97-C8D1-4CC9-8847-64242325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3503</Words>
  <Characters>19973</Characters>
  <Application>Microsoft Office Word</Application>
  <DocSecurity>0</DocSecurity>
  <Lines>166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Sara Dalle Vacche</cp:lastModifiedBy>
  <cp:revision>3</cp:revision>
  <cp:lastPrinted>2022-02-28T12:52:00Z</cp:lastPrinted>
  <dcterms:created xsi:type="dcterms:W3CDTF">2022-03-21T13:42:00Z</dcterms:created>
  <dcterms:modified xsi:type="dcterms:W3CDTF">2022-03-21T13:42:00Z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zotero-version="6.0"&gt;&lt;session id="Ye4yhfdB"/&gt;&lt;style id="http://www.zotero.org/styles/elsevier-harvard2" hasBibliography="1" bibliographyStyleHasBeenSet="1"/&gt;&lt;prefs&gt;&lt;pref name="fieldType" value="Field"/&gt;&lt;pref name="storeReferences" v</vt:lpwstr>
  </property>
  <property fmtid="{D5CDD505-2E9C-101B-9397-08002B2CF9AE}" pid="3" name="ZOTERO_PREF_2">
    <vt:lpwstr>alue="true"/&gt;&lt;/prefs&gt;&lt;/data&gt;</vt:lpwstr>
  </property>
</Properties>
</file>